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GRI_305</w:t>
      </w:r>
    </w:p>
    <w:p>
      <w:pPr>
        <w:jc w:val="center"/>
      </w:pPr>
      <w:r>
        <w:rPr>
          <w:rFonts w:ascii="Arial" w:hAnsi="Arial"/>
          <w:sz w:val="22"/>
        </w:rPr>
        <w:t>Generated: 2026-06-05 03:28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pPr>
      <w:r>
        <w:rPr>
          <w:rFonts w:ascii="Arial" w:hAnsi="Arial"/>
          <w:sz w:val="22"/>
        </w:rPr>
        <w:t>The organization reported gross direct (Scope 1) GHG emissions of 3402.997 metric tons of CO₂ equivalent (tCO₂e) for the reporting period ending December 31, 2024. These emissions represent direct releases from sources owned or controlled by the organization under the operational control consolidation approach. All Scope 1 emissions were calculated in accordance with the GHG Protocol Corporate Accounting and Reporting Standard (2015 revision) and include carbon dioxide (CO₂), methane (CH₄), and nitrous oxide (N₂O) expressed in CO₂ equivalents using global warming potential (GWP) values from the IPCC Sixth Assessment Report (AR6) with a 100-year time horizon.</w:t>
      </w:r>
    </w:p>
    <w:p>
      <w:pPr>
        <w:spacing w:after="160" w:line="276" w:lineRule="auto"/>
      </w:pPr>
      <w:r>
        <w:rPr>
          <w:rFonts w:ascii="Arial" w:hAnsi="Arial"/>
          <w:sz w:val="22"/>
        </w:rPr>
        <w:t>The organization's Scope 1 emissions originated from two primary combustion sources during the reporting period. Natural gas combustion in stationary equipment accounted for 1199.7924 tCO₂e, representing 35.3 percent of total Scope 1 emissions. Diesel fuel combustion in backup generators and emergency equipment contributed 2203.2044 tCO₂e, representing 64.7 percent of total Scope 1 emissions. No biogenic CO₂ emissions were material to the organization's operations during the reporting period.</w:t>
      </w:r>
    </w:p>
    <w:p>
      <w:pPr>
        <w:spacing w:after="160" w:line="276" w:lineRule="auto"/>
      </w:pPr>
      <w:r>
        <w:rPr>
          <w:rFonts w:ascii="Arial" w:hAnsi="Arial"/>
          <w:i/>
          <w:sz w:val="22"/>
        </w:rPr>
        <w:t>Emission factors for natural gas combustion were sourced from Indonesia's Ministry of Energy and Mineral Resources (MEMR) Technical Guidelines for GHG Inventory in the Energy Sector (2023 edition), applying a factor of 56.1 kgCO₂e per gigajoule (GJ) of natural gas consumed. Diesel combustion emission factors were derived from IPCC 2006 Guidelines for National Greenhouse Gas Inventories (Volume 2, Chapter 3), applying a factor of 2.571 kgCO₂e per liter of diesel fuel consumed. Methane and nitrous oxide emissions from combustion processes were converted to CO₂ equivalents using GWP values of 29.8 for CH₄ and 273.0 for N₂O, consistent with IPCC AR6 GWP100 values. The organization applied the operational control consolidation approach, including 100 percent of emissions from facilities where the organization has authority to introduce and implement operating policies.</w:t>
      </w:r>
    </w:p>
    <w:p>
      <w:pPr>
        <w:spacing w:after="160" w:line="276" w:lineRule="auto"/>
      </w:pPr>
      <w:r>
        <w:rPr>
          <w:rFonts w:ascii="Arial" w:hAnsi="Arial"/>
          <w:sz w:val="22"/>
        </w:rPr>
        <w:t>Compared to the prior reporting period (2023), the organization's Scope 1 emissions increased by 2.36 percent, rising from 3324.521 tCO₂e in 2023 to 3402.997 tCO₂e in 2024. This increase of 78.476 tCO₂e was primarily attributable to diesel fuel consumption, which increased by 77.7156 tCO₂e (3.66 percent) year-over-year, while natural gas consumption remained relatively stable with an increase of 0.7603 tCO₂e (0.06 percent). The increase in diesel consumption reflected extended operational hours for backup power systems during grid maintenance activities at several facilities during the reporting period.</w:t>
      </w:r>
    </w:p>
    <w:p>
      <w:pPr>
        <w:spacing w:after="160" w:line="276" w:lineRule="auto"/>
      </w:pPr>
      <w:r>
        <w:rPr>
          <w:rFonts w:ascii="Arial" w:hAnsi="Arial"/>
          <w:sz w:val="22"/>
        </w:rPr>
        <w:t>The organization established 2023 as the base year for GHG emissions reporting. This base year was selected as it represents the first complete reporting period following the implementation of comprehensive energy monitoring systems across all operational facilities under the organization's control. Base year emissions totaled 3324.521 tCO₂e. No structural changes, calculation methodology updates, or discovery of significant errors occurred during the reporting period that would trigger recalculation of base year emissions under GHG Protocol requirements. The organization's Scope 1 emissions increased by 2.36 percent relative to the base year.</w:t>
      </w:r>
    </w:p>
    <w:p>
      <w:pPr>
        <w:spacing w:after="160" w:line="276" w:lineRule="auto"/>
      </w:pPr>
      <w:r>
        <w:rPr>
          <w:rFonts w:ascii="Arial" w:hAnsi="Arial"/>
          <w:sz w:val="22"/>
        </w:rPr>
        <w:t>All Scope 1 emission calculations were based on primary activity data (fuel consumption records) collected from facility-level metering systems and supplier invoices. Data quality for Scope 1 emissions was assessed as high quality (score: 1 out of 4 on the data quality scale, where 1 represents the highest quality based on direct measurement). No estimation or extrapolation of fuel consumption data was required for the reporting period. The organization excluded all GHG trades, offsets, and renewable energy certificates from the calculation of gross direct Scope 1 emissions in accordance with GRI 305-1 compilation requirements.</w:t>
      </w:r>
    </w:p>
    <w:p>
      <w:r>
        <w:rPr>
          <w:rFonts w:ascii="Arial" w:hAnsi="Arial"/>
          <w:b/>
          <w:sz w:val="20"/>
        </w:rPr>
        <w:t>Table 1: Scope 1 GHG Emissions by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Emissions (tCO₂e)</w:t>
            </w:r>
          </w:p>
        </w:tc>
        <w:tc>
          <w:tcPr>
            <w:tcW w:type="dxa" w:w="1806"/>
            <w:shd w:fill="1B3A6B" w:val="clear"/>
          </w:tcPr>
          <w:p>
            <w:r>
              <w:rPr>
                <w:rFonts w:ascii="Arial" w:hAnsi="Arial"/>
                <w:b/>
                <w:color w:val="FFFFFF"/>
                <w:sz w:val="18"/>
              </w:rPr>
              <w:t>Percentage of Total Scope 1</w:t>
            </w:r>
          </w:p>
        </w:tc>
        <w:tc>
          <w:tcPr>
            <w:tcW w:type="dxa" w:w="1806"/>
            <w:shd w:fill="1B3A6B" w:val="clear"/>
          </w:tcPr>
          <w:p>
            <w:r>
              <w:rPr>
                <w:rFonts w:ascii="Arial" w:hAnsi="Arial"/>
                <w:b/>
                <w:color w:val="FFFFFF"/>
                <w:sz w:val="18"/>
              </w:rPr>
              <w:t>Activity Data</w:t>
            </w:r>
          </w:p>
        </w:tc>
        <w:tc>
          <w:tcPr>
            <w:tcW w:type="dxa" w:w="1806"/>
            <w:shd w:fill="1B3A6B" w:val="clear"/>
          </w:tcPr>
          <w:p>
            <w:r>
              <w:rPr>
                <w:rFonts w:ascii="Arial" w:hAnsi="Arial"/>
                <w:b/>
                <w:color w:val="FFFFFF"/>
                <w:sz w:val="18"/>
              </w:rPr>
              <w:t>Emission Factor</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c>
          <w:tcPr>
            <w:tcW w:type="dxa" w:w="1806"/>
          </w:tcPr>
          <w:p>
            <w:r>
              <w:rPr>
                <w:rFonts w:ascii="Arial" w:hAnsi="Arial"/>
                <w:sz w:val="18"/>
              </w:rPr>
              <w:t>21,382.43 GJ</w:t>
            </w:r>
          </w:p>
        </w:tc>
        <w:tc>
          <w:tcPr>
            <w:tcW w:type="dxa" w:w="1806"/>
          </w:tcPr>
          <w:p>
            <w:r>
              <w:rPr>
                <w:rFonts w:ascii="Arial" w:hAnsi="Arial"/>
                <w:sz w:val="18"/>
              </w:rPr>
              <w:t>56.1 kgCO₂e/GJ</w:t>
            </w:r>
          </w:p>
        </w:tc>
      </w:tr>
      <w:tr>
        <w:tc>
          <w:tcPr>
            <w:tcW w:type="dxa" w:w="1806"/>
            <w:shd w:fill="F2F6FC" w:val="clear"/>
          </w:tcPr>
          <w:p>
            <w:r>
              <w:rPr>
                <w:rFonts w:ascii="Arial" w:hAnsi="Arial"/>
                <w:sz w:val="18"/>
              </w:rPr>
              <w:t>Diesel Fuel Combustion</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c>
          <w:tcPr>
            <w:tcW w:type="dxa" w:w="1806"/>
            <w:shd w:fill="F2F6FC" w:val="clear"/>
          </w:tcPr>
          <w:p>
            <w:r>
              <w:rPr>
                <w:rFonts w:ascii="Arial" w:hAnsi="Arial"/>
                <w:sz w:val="18"/>
              </w:rPr>
              <w:t>856,906.78 liters</w:t>
            </w:r>
          </w:p>
        </w:tc>
        <w:tc>
          <w:tcPr>
            <w:tcW w:type="dxa" w:w="1806"/>
            <w:shd w:fill="F2F6FC" w:val="clear"/>
          </w:tcPr>
          <w:p>
            <w:r>
              <w:rPr>
                <w:rFonts w:ascii="Arial" w:hAnsi="Arial"/>
                <w:sz w:val="18"/>
              </w:rPr>
              <w:t>2.571 kgCO₂e/liter</w:t>
            </w:r>
          </w:p>
        </w:tc>
      </w:tr>
      <w:tr>
        <w:tc>
          <w:tcPr>
            <w:tcW w:type="dxa" w:w="1806"/>
          </w:tcPr>
          <w:p>
            <w:r>
              <w:rPr>
                <w:rFonts w:ascii="Arial" w:hAnsi="Arial"/>
                <w:sz w:val="18"/>
              </w:rPr>
              <w:t>Total Scope 1 Emissions</w:t>
            </w:r>
          </w:p>
        </w:tc>
        <w:tc>
          <w:tcPr>
            <w:tcW w:type="dxa" w:w="1806"/>
          </w:tcPr>
          <w:p>
            <w:pPr>
              <w:jc w:val="right"/>
            </w:pPr>
            <w:r>
              <w:rPr>
                <w:rFonts w:ascii="Arial" w:hAnsi="Arial"/>
                <w:sz w:val="18"/>
              </w:rPr>
              <w:t>3402.997</w:t>
            </w:r>
          </w:p>
        </w:tc>
        <w:tc>
          <w:tcPr>
            <w:tcW w:type="dxa" w:w="1806"/>
          </w:tcPr>
          <w:p>
            <w:pPr>
              <w:jc w:val="right"/>
            </w:pPr>
            <w:r>
              <w:rPr>
                <w:rFonts w:ascii="Arial" w:hAnsi="Arial"/>
                <w:sz w:val="18"/>
              </w:rPr>
              <w:t>100.0%</w:t>
            </w:r>
          </w:p>
        </w:tc>
        <w:tc>
          <w:tcPr>
            <w:tcW w:type="dxa" w:w="1806"/>
          </w:tcPr>
          <w:p>
            <w:r>
              <w:rPr>
                <w:rFonts w:ascii="Arial" w:hAnsi="Arial"/>
                <w:sz w:val="18"/>
              </w:rPr>
              <w:t>—</w:t>
            </w:r>
          </w:p>
        </w:tc>
        <w:tc>
          <w:tcPr>
            <w:tcW w:type="dxa" w:w="1806"/>
          </w:tcPr>
          <w:p>
            <w:r>
              <w:rPr>
                <w:rFonts w:ascii="Arial" w:hAnsi="Arial"/>
                <w:sz w:val="18"/>
              </w:rPr>
              <w:t>—</w:t>
            </w:r>
          </w:p>
        </w:tc>
      </w:tr>
    </w:tbl>
    <w:p>
      <w:r>
        <w:rPr>
          <w:rFonts w:ascii="Arial" w:hAnsi="Arial"/>
          <w:i/>
          <w:sz w:val="16"/>
        </w:rPr>
        <w:t>Source: Source: Facility energy consumption records and supplier invoices for the period January 1 – December 31, 2024. Emission factors from Indonesia MEMR Technical Guidelines (2023) and IPCC 2006 Guidelines Volume 2.</w:t>
      </w:r>
    </w:p>
    <w:p/>
    <w:p>
      <w:r>
        <w:rPr>
          <w:rFonts w:ascii="Arial" w:hAnsi="Arial"/>
          <w:b/>
          <w:sz w:val="20"/>
        </w:rPr>
        <w:t>Table 2: Scope 1 Emissions Trend Analysis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2023 (tCO₂e)</w:t>
            </w:r>
          </w:p>
        </w:tc>
        <w:tc>
          <w:tcPr>
            <w:tcW w:type="dxa" w:w="1806"/>
            <w:shd w:fill="1B3A6B" w:val="clear"/>
          </w:tcPr>
          <w:p>
            <w:r>
              <w:rPr>
                <w:rFonts w:ascii="Arial" w:hAnsi="Arial"/>
                <w:b/>
                <w:color w:val="FFFFFF"/>
                <w:sz w:val="18"/>
              </w:rPr>
              <w:t>2024 (tCO₂e)</w:t>
            </w:r>
          </w:p>
        </w:tc>
        <w:tc>
          <w:tcPr>
            <w:tcW w:type="dxa" w:w="1806"/>
            <w:shd w:fill="1B3A6B" w:val="clear"/>
          </w:tcPr>
          <w:p>
            <w:r>
              <w:rPr>
                <w:rFonts w:ascii="Arial" w:hAnsi="Arial"/>
                <w:b/>
                <w:color w:val="FFFFFF"/>
                <w:sz w:val="18"/>
              </w:rPr>
              <w:t>Absolute Change (tCO₂e)</w:t>
            </w:r>
          </w:p>
        </w:tc>
        <w:tc>
          <w:tcPr>
            <w:tcW w:type="dxa" w:w="1806"/>
            <w:shd w:fill="1B3A6B" w:val="clear"/>
          </w:tcPr>
          <w:p>
            <w:r>
              <w:rPr>
                <w:rFonts w:ascii="Arial" w:hAnsi="Arial"/>
                <w:b/>
                <w:color w:val="FFFFFF"/>
                <w:sz w:val="18"/>
              </w:rPr>
              <w:t>Percentage Change</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1199.0321</w:t>
            </w:r>
          </w:p>
        </w:tc>
        <w:tc>
          <w:tcPr>
            <w:tcW w:type="dxa" w:w="1806"/>
          </w:tcPr>
          <w:p>
            <w:pPr>
              <w:jc w:val="right"/>
            </w:pPr>
            <w:r>
              <w:rPr>
                <w:rFonts w:ascii="Arial" w:hAnsi="Arial"/>
                <w:sz w:val="18"/>
              </w:rPr>
              <w:t>1199.7924</w:t>
            </w:r>
          </w:p>
        </w:tc>
        <w:tc>
          <w:tcPr>
            <w:tcW w:type="dxa" w:w="1806"/>
          </w:tcPr>
          <w:p>
            <w:pPr>
              <w:jc w:val="right"/>
            </w:pPr>
            <w:r>
              <w:rPr>
                <w:rFonts w:ascii="Arial" w:hAnsi="Arial"/>
                <w:sz w:val="18"/>
              </w:rPr>
              <w:t>+0.7603</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Fuel Combustion</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+77.7156</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 Emissions</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+78.476</w:t>
            </w:r>
          </w:p>
        </w:tc>
        <w:tc>
          <w:tcPr>
            <w:tcW w:type="dxa" w:w="1806"/>
          </w:tcPr>
          <w:p>
            <w:pPr>
              <w:jc w:val="right"/>
            </w:pPr>
            <w:r>
              <w:rPr>
                <w:rFonts w:ascii="Arial" w:hAnsi="Arial"/>
                <w:sz w:val="18"/>
              </w:rPr>
              <w:t>+2.36%</w:t>
            </w:r>
          </w:p>
        </w:tc>
      </w:tr>
    </w:tbl>
    <w:p>
      <w:r>
        <w:rPr>
          <w:rFonts w:ascii="Arial" w:hAnsi="Arial"/>
          <w:i/>
          <w:sz w:val="16"/>
        </w:rPr>
        <w:t>Source: Source: Annual GHG inventory calculations for reporting periods 2023 and 2024. Percentage changes calculated from unrounded values.</w:t>
      </w:r>
    </w:p>
    <w:p/>
    <w:p>
      <w:r>
        <w:rPr>
          <w:i/>
          <w:color w:val="3D6094"/>
          <w:sz w:val="18"/>
        </w:rPr>
        <w:t>Framework references: GRI 305-1a: Gross direct (Scope 1) GHG emissions in metric tons of CO₂ equivalent; GRI 305-1b: Gases included in the calculation (CO₂, CH₄, N₂O); GRI 305-1c: Biogenic CO₂ emissions; GRI 305-1d: Base year for the calculation; GRI 305-1e: Source of emission factors and GWP rates; GRI 305-1f: Consolidation approach (operational control); GRI 305-1g: Standards and methodologies used</w:t>
      </w:r>
    </w:p>
    <w:p>
      <w:pPr>
        <w:spacing w:after="80"/>
        <w:pBdr>
          <w:bottom w:val="single" w:sz="6" w:space="1" w:color="999999"/>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GRI Content Index: 305-1 | Direct (Scope 1) GHG emissions | Section 4.1</w:t>
      </w:r>
    </w:p>
    <w:p>
      <w:r>
        <w:br w:type="page"/>
      </w:r>
    </w:p>
    <w:p>
      <w:pPr>
        <w:pStyle w:val="Heading1"/>
        <w:keepNext/>
        <w:spacing w:before="480" w:after="240"/>
      </w:pPr>
      <w:r>
        <w:rPr>
          <w:rFonts w:ascii="Arial" w:hAnsi="Arial"/>
          <w:b/>
          <w:color w:val="1B3A6B"/>
          <w:sz w:val="36"/>
        </w:rPr>
        <w:t>Appendix A: Methodology Notes</w:t>
      </w:r>
    </w:p>
    <w:p>
      <w:pPr>
        <w:spacing w:after="160" w:line="276" w:lineRule="auto"/>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305-1</w:t>
            </w:r>
          </w:p>
        </w:tc>
        <w:tc>
          <w:tcPr>
            <w:tcW w:type="dxa" w:w="2257"/>
          </w:tcPr>
          <w:p>
            <w:r>
              <w:rPr>
                <w:rFonts w:ascii="Arial" w:hAnsi="Arial"/>
                <w:sz w:val="18"/>
              </w:rPr>
              <w:t>Direct (Scope 1) GHG emissions</w:t>
            </w:r>
          </w:p>
        </w:tc>
        <w:tc>
          <w:tcPr>
            <w:tcW w:type="dxa" w:w="2257"/>
          </w:tcPr>
          <w:p>
            <w:r>
              <w:rPr>
                <w:rFonts w:ascii="Arial" w:hAnsi="Arial"/>
                <w:sz w:val="18"/>
              </w:rPr>
              <w:t>Section: Scope 1</w:t>
            </w:r>
          </w:p>
        </w:tc>
        <w:tc>
          <w:tcPr>
            <w:tcW w:type="dxa" w:w="2257"/>
          </w:tcPr>
          <w:p>
            <w:r>
              <w:rPr>
                <w:rFonts w:ascii="Arial" w:hAnsi="Arial"/>
                <w:sz w:val="18"/>
              </w:rPr>
              <w:t>None</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 GHG emissions</w:t>
            </w:r>
          </w:p>
        </w:tc>
        <w:tc>
          <w:tcPr>
            <w:tcW w:type="dxa" w:w="2257"/>
            <w:shd w:fill="F2F6FC" w:val="clear"/>
          </w:tcPr>
          <w:p>
            <w:r>
              <w:rPr>
                <w:rFonts w:ascii="Arial" w:hAnsi="Arial"/>
                <w:sz w:val="18"/>
              </w:rPr>
              <w:t>Section: Scope 2</w:t>
            </w:r>
          </w:p>
        </w:tc>
        <w:tc>
          <w:tcPr>
            <w:tcW w:type="dxa" w:w="2257"/>
            <w:shd w:fill="F2F6FC" w:val="clear"/>
          </w:tcPr>
          <w:p>
            <w:r>
              <w:rPr>
                <w:rFonts w:ascii="Arial" w:hAnsi="Arial"/>
                <w:sz w:val="18"/>
              </w:rPr>
              <w:t>None</w:t>
            </w:r>
          </w:p>
        </w:tc>
      </w:tr>
      <w:tr>
        <w:tc>
          <w:tcPr>
            <w:tcW w:type="dxa" w:w="2257"/>
          </w:tcPr>
          <w:p>
            <w:r>
              <w:rPr>
                <w:rFonts w:ascii="Arial" w:hAnsi="Arial"/>
                <w:sz w:val="18"/>
              </w:rPr>
              <w:t>GRI 305-3</w:t>
            </w:r>
          </w:p>
        </w:tc>
        <w:tc>
          <w:tcPr>
            <w:tcW w:type="dxa" w:w="2257"/>
          </w:tcPr>
          <w:p>
            <w:r>
              <w:rPr>
                <w:rFonts w:ascii="Arial" w:hAnsi="Arial"/>
                <w:sz w:val="18"/>
              </w:rPr>
              <w:t>Other indirect (Scope 3) GHG emissions</w:t>
            </w:r>
          </w:p>
        </w:tc>
        <w:tc>
          <w:tcPr>
            <w:tcW w:type="dxa" w:w="2257"/>
          </w:tcPr>
          <w:p>
            <w:r>
              <w:rPr>
                <w:rFonts w:ascii="Arial" w:hAnsi="Arial"/>
                <w:sz w:val="18"/>
              </w:rPr>
              <w:t>Section: PCAF</w:t>
            </w:r>
          </w:p>
        </w:tc>
        <w:tc>
          <w:tcPr>
            <w:tcW w:type="dxa" w:w="2257"/>
          </w:tcPr>
          <w:p>
            <w:r>
              <w:rPr>
                <w:rFonts w:ascii="Arial" w:hAnsi="Arial"/>
                <w:sz w:val="18"/>
              </w:rPr>
              <w:t>None</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Section: Intensity</w:t>
            </w:r>
          </w:p>
        </w:tc>
        <w:tc>
          <w:tcPr>
            <w:tcW w:type="dxa" w:w="2257"/>
            <w:shd w:fill="F2F6FC" w:val="clear"/>
          </w:tcPr>
          <w:p>
            <w:r>
              <w:rPr>
                <w:rFonts w:ascii="Arial" w:hAnsi="Arial"/>
                <w:sz w:val="18"/>
              </w:rPr>
              <w:t>None</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Section: Reduction</w:t>
            </w:r>
          </w:p>
        </w:tc>
        <w:tc>
          <w:tcPr>
            <w:tcW w:type="dxa" w:w="2257"/>
          </w:tcPr>
          <w:p>
            <w:r>
              <w:rPr>
                <w:rFonts w:ascii="Arial" w:hAnsi="Arial"/>
                <w:sz w:val="18"/>
              </w:rPr>
              <w:t>Partial — targets in development</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GRI_305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GRI_305</dc:title>
  <dc:subject>GHG Emissions Disclosure - GRI_305</dc:subject>
  <dc:creator>ESG Reporting System (GENERIC_FI_001)</dc:creator>
  <cp:keywords>ESG, GHG, GRI_305, 2024, PCAF, Scope1, Scope2, Scope3</cp:keywords>
  <dc:description>Generated by execution: arn:aws:states:us-east-1:061039769766:execution:ESGReportGenerationStateMachine:63782e52-a197-4ecd-97e1-b8cdbe7dddef</dc:description>
  <cp:lastModifiedBy/>
  <cp:revision>1</cp:revision>
  <dcterms:created xsi:type="dcterms:W3CDTF">2013-12-23T23:15:00Z</dcterms:created>
  <dcterms:modified xsi:type="dcterms:W3CDTF">2013-12-23T23:15:00Z</dcterms:modified>
  <cp:category>ESG Sustainability Report</cp:category>
</cp:coreProperties>
</file>