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GRI_305</w:t>
      </w:r>
    </w:p>
    <w:p>
      <w:pPr>
        <w:jc w:val="center"/>
      </w:pPr>
      <w:r>
        <w:rPr>
          <w:rFonts w:ascii="Arial" w:hAnsi="Arial"/>
          <w:sz w:val="22"/>
        </w:rPr>
        <w:t>Generated: 2026-06-05 03:59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The organization reported gross direct (Scope 1) GHG emissions of 3402.997 metric tons of CO₂ equivalent (tCO₂e) for the reporting period ending December 31, 2024. These emissions represent direct releases from sources owned or controlled by the organization under the operational control consolidation approach. Scope 1 emissions encompass all combustion activities at facilities operated by the organization during the reporting period.</w:t>
      </w:r>
    </w:p>
    <w:p>
      <w:pPr>
        <w:spacing w:after="160" w:line="276" w:lineRule="auto"/>
        <w:jc w:val="both"/>
      </w:pPr>
      <w:r>
        <w:rPr>
          <w:rFonts w:ascii="Arial" w:hAnsi="Arial"/>
          <w:sz w:val="22"/>
        </w:rPr>
        <w:t>The organization's Scope 1 emissions originated from two primary fuel sources during the reporting period. Natural gas combustion accounted for 1199.7924 tCO₂e, representing 35.3% of total direct emissions. Diesel fuel combustion contributed 2203.2044 tCO₂e, representing 64.7% of total direct emissions. The sum of these source-specific emissions reconciles to the reported total of 3402.997 tCO₂e.</w:t>
      </w:r>
    </w:p>
    <w:p>
      <w:pPr>
        <w:spacing w:after="160" w:line="276" w:lineRule="auto"/>
        <w:jc w:val="both"/>
      </w:pPr>
      <w:r>
        <w:rPr>
          <w:rFonts w:ascii="Arial" w:hAnsi="Arial"/>
          <w:i/>
          <w:sz w:val="22"/>
        </w:rPr>
        <w:t>The organization calculated Scope 1 emissions in accordance with the GHG Protocol Corporate Accounting and Reporting Standard (2015 revision). Emission factors were sourced from Indonesia's Ministry of Energy and Mineral Resources (MEMR) 2023 National Emission Factor Database. The calculation included three greenhouse gases: carbon dioxide (CO₂), methane (CH₄), and nitrous oxide (N₂O). Global warming potential (GWP) values were applied per the Intergovernmental Panel on Climate Change (IPCC) Sixth Assessment Report (AR6) 100-year time horizon: CH₄ = 29.8 kg CO₂e/kg CH₄; N₂O = 273.0 kg CO₂e/kg N₂O. The organization applied the operational control consolidation approach, whereby 100% of emissions from facilities under operational control were included in the inventory boundary.</w:t>
      </w:r>
    </w:p>
    <w:p>
      <w:pPr>
        <w:spacing w:after="160" w:line="276" w:lineRule="auto"/>
        <w:jc w:val="both"/>
      </w:pPr>
      <w:r>
        <w:rPr>
          <w:rFonts w:ascii="Arial" w:hAnsi="Arial"/>
          <w:sz w:val="22"/>
        </w:rPr>
        <w:t>Scope 1 emissions increased by 2.36% compared to the prior reporting period (2023: 3324.521 tCO₂e). The year-over-year increase of 78.476 tCO₂e was primarily attributable to increased diesel consumption at branch facilities during the second half of the reporting period. Natural gas consumption remained relatively stable, with a marginal increase of 0.76 tCO₂e (0.06%) compared to the prior year.</w:t>
      </w:r>
    </w:p>
    <w:p>
      <w:pPr>
        <w:spacing w:after="160" w:line="276" w:lineRule="auto"/>
        <w:jc w:val="both"/>
      </w:pPr>
      <w:r>
        <w:rPr>
          <w:rFonts w:ascii="Arial" w:hAnsi="Arial"/>
          <w:sz w:val="22"/>
        </w:rPr>
        <w:t>The organization established 2023 as the base year for GHG emissions reporting. The base year was selected as it represents the first complete reporting period for which comprehensive emissions data across all operational facilities was available following the implementation of the organization's enterprise-wide energy management system. Base year emissions totaled 3324.521 tCO₂e. The organization has not recalculated base year emissions during the current reporting period, as no structural changes, calculation methodology updates, or data quality improvements meeting the significance threshold (&gt;5% cumulative change) occurred.</w:t>
      </w:r>
    </w:p>
    <w:p>
      <w:pPr>
        <w:spacing w:after="160" w:line="276" w:lineRule="auto"/>
        <w:jc w:val="both"/>
      </w:pPr>
      <w:r>
        <w:rPr>
          <w:rFonts w:ascii="Arial" w:hAnsi="Arial"/>
          <w:sz w:val="22"/>
        </w:rPr>
        <w:t>The organization did not report biogenic CO₂ emissions for the reporting period, as no biomass fuels were combusted at facilities under operational control. All reported emissions are of fossil origin. The organization excluded any purchased or sold greenhouse gas allowances, offsets, or renewable energy certificates from the Scope 1 emissions calculation, in accordance with GHG Protocol requirements for gross emissions reporting.</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Percentage of Total Scope 1</w:t>
            </w:r>
          </w:p>
        </w:tc>
        <w:tc>
          <w:tcPr>
            <w:tcW w:type="dxa" w:w="1806"/>
            <w:shd w:fill="1B3A6B" w:val="clear"/>
          </w:tcPr>
          <w:p>
            <w:r>
              <w:rPr>
                <w:rFonts w:ascii="Arial" w:hAnsi="Arial"/>
                <w:b/>
                <w:color w:val="FFFFFF"/>
                <w:sz w:val="18"/>
              </w:rPr>
              <w:t>Prior Year (tCO₂e)</w:t>
            </w:r>
          </w:p>
        </w:tc>
        <w:tc>
          <w:tcPr>
            <w:tcW w:type="dxa" w:w="1806"/>
            <w:shd w:fill="1B3A6B" w:val="clear"/>
          </w:tcPr>
          <w:p>
            <w:r>
              <w:rPr>
                <w:rFonts w:ascii="Arial" w:hAnsi="Arial"/>
                <w:b/>
                <w:color w:val="FFFFFF"/>
                <w:sz w:val="18"/>
              </w:rPr>
              <w:t>Year-over-Year Change (%)</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pPr>
              <w:jc w:val="right"/>
            </w:pPr>
            <w:r>
              <w:rPr>
                <w:rFonts w:ascii="Arial" w:hAnsi="Arial"/>
                <w:sz w:val="18"/>
              </w:rPr>
              <w:t>1199.0321</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Fuel Combustion</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 Emissions**</w:t>
            </w:r>
          </w:p>
        </w:tc>
        <w:tc>
          <w:tcPr>
            <w:tcW w:type="dxa" w:w="1806"/>
          </w:tcPr>
          <w:p>
            <w:r>
              <w:rPr>
                <w:rFonts w:ascii="Arial" w:hAnsi="Arial"/>
                <w:sz w:val="18"/>
              </w:rPr>
              <w:t>**3402.997**</w:t>
            </w:r>
          </w:p>
        </w:tc>
        <w:tc>
          <w:tcPr>
            <w:tcW w:type="dxa" w:w="1806"/>
          </w:tcPr>
          <w:p>
            <w:r>
              <w:rPr>
                <w:rFonts w:ascii="Arial" w:hAnsi="Arial"/>
                <w:sz w:val="18"/>
              </w:rPr>
              <w:t>**100.0%**</w:t>
            </w:r>
          </w:p>
        </w:tc>
        <w:tc>
          <w:tcPr>
            <w:tcW w:type="dxa" w:w="1806"/>
          </w:tcPr>
          <w:p>
            <w:r>
              <w:rPr>
                <w:rFonts w:ascii="Arial" w:hAnsi="Arial"/>
                <w:sz w:val="18"/>
              </w:rPr>
              <w:t>**3324.521**</w:t>
            </w:r>
          </w:p>
        </w:tc>
        <w:tc>
          <w:tcPr>
            <w:tcW w:type="dxa" w:w="1806"/>
          </w:tcPr>
          <w:p>
            <w:r>
              <w:rPr>
                <w:rFonts w:ascii="Arial" w:hAnsi="Arial"/>
                <w:sz w:val="18"/>
              </w:rPr>
              <w:t>**+2.36%**</w:t>
            </w:r>
          </w:p>
        </w:tc>
      </w:tr>
    </w:tbl>
    <w:p>
      <w:r>
        <w:rPr>
          <w:rFonts w:ascii="Arial" w:hAnsi="Arial"/>
          <w:i/>
          <w:sz w:val="16"/>
        </w:rPr>
        <w:t>Source: Source: Internal energy consumption records and MEMR 2023 emission factors. Gases included: CO₂, CH₄, N₂O. GWP values per IPCC AR6.</w:t>
      </w:r>
    </w:p>
    <w:p/>
    <w:p>
      <w:r>
        <w:rPr>
          <w:i/>
          <w:color w:val="3D6094"/>
          <w:sz w:val="18"/>
        </w:rPr>
        <w:t>Framework references: GRI 305-1a: Gross direct (Scope 1) GHG emissions in metric tons of CO₂ equivalent; GRI 305-1b: Gases included in the calculation; GRI 305-1d: Base year for the calculation; GRI 305-1e: Source of emission factors and GWP rates; GRI 305-1f: Consolidation approach for emissions; GRI 305-1g: Standards, methodologies, assumptions, and calculation tools used</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305-1 | Direct (Scope 1) GHG emissions | Section 4.1</w:t>
      </w:r>
    </w:p>
    <w:p>
      <w:r>
        <w:br w:type="page"/>
      </w:r>
    </w:p>
    <w:p>
      <w:pPr>
        <w:pStyle w:val="Heading1"/>
        <w:keepNext/>
        <w:spacing w:before="480" w:after="240"/>
      </w:pPr>
      <w:r>
        <w:rPr>
          <w:rFonts w:ascii="Arial" w:hAnsi="Arial"/>
          <w:b/>
          <w:color w:val="1B3A6B"/>
          <w:sz w:val="36"/>
        </w:rPr>
        <w:t>GRI 305-2: Energy Indirect (Scope 2) GHG Emissions</w:t>
      </w:r>
    </w:p>
    <w:p>
      <w:pPr>
        <w:spacing w:after="160" w:line="276" w:lineRule="auto"/>
        <w:jc w:val="both"/>
      </w:pPr>
      <w:r>
        <w:rPr>
          <w:rFonts w:ascii="Arial" w:hAnsi="Arial"/>
          <w:sz w:val="22"/>
        </w:rPr>
        <w:t>The organization's energy indirect (Scope 2) greenhouse gas emissions for the reporting period totaled 44613.876 tCO₂e using the location-based method and 44612.518 tCO₂e using the market-based method. These emissions result from the generation of purchased electricity consumed across the organization's operational facilities. The location-based figure reflects the average emissions intensity of the Indonesian electricity grid, while the market-based figure accounts for contractual instruments and the organization's electricity procurement choices.</w:t>
      </w:r>
    </w:p>
    <w:p>
      <w:pPr>
        <w:spacing w:after="160" w:line="276" w:lineRule="auto"/>
        <w:jc w:val="both"/>
      </w:pPr>
      <w:r>
        <w:rPr>
          <w:rFonts w:ascii="Arial" w:hAnsi="Arial"/>
          <w:i/>
          <w:sz w:val="22"/>
        </w:rPr>
        <w:t>The organization applies the dual reporting approach mandated by the GHG Protocol Scope 2 Guidance (2015). The location-based method uses grid-average emission factors representing the emissions intensity of the Indonesian electricity grid where consumption occurs. The market-based method derives emission factors from contractual instruments for electricity procurement and, in the absence of such instruments, applies residual mix factors or grid-average factors as a proxy. Both methods are reported to provide transparency on the organization's actual grid impact versus its contractual electricity choices.</w:t>
      </w:r>
    </w:p>
    <w:p>
      <w:pPr>
        <w:spacing w:after="160" w:line="276" w:lineRule="auto"/>
        <w:jc w:val="both"/>
      </w:pPr>
      <w:r>
        <w:rPr>
          <w:rFonts w:ascii="Arial" w:hAnsi="Arial"/>
          <w:i/>
          <w:sz w:val="22"/>
        </w:rPr>
        <w:t>For the 2024 reporting period, the organization consumed electricity exclusively from the Indonesian grid operated by PT PLN (Persero). The location-based calculation applies the grid emission factor published by PLN for the 2023 reporting year, which represents the most recent available data for the Indonesian electricity system. The market-based calculation uses the same grid-average emission factor as a proxy, as residual mix data specific to Indonesia is not yet available and the organization has not entered into contractual instruments such as renewable energy certificates (RECs), power purchase agreements (PPAs), or green tariffs during this reporting period.</w:t>
      </w:r>
    </w:p>
    <w:p>
      <w:pPr>
        <w:spacing w:after="160" w:line="276" w:lineRule="auto"/>
        <w:jc w:val="both"/>
      </w:pPr>
      <w:r>
        <w:rPr>
          <w:rFonts w:ascii="Arial" w:hAnsi="Arial"/>
          <w:sz w:val="22"/>
        </w:rPr>
        <w:t>The organization's Scope 2 emissions decreased by 0.03 percent in location-based terms and 0.03 percent in market-based terms compared to the prior reporting period. The 2023 location-based Scope 2 emissions were 44599.44 tCO₂e and market-based emissions were 44598.118 tCO₂e. This marginal increase of 14.436 tCO₂e in location-based emissions and 14.4 tCO₂e in market-based emissions reflects stable operational electricity consumption patterns across the organization's facility portfolio, with minimal variation in grid emission factors between reporting periods.</w:t>
      </w:r>
    </w:p>
    <w:p>
      <w:pPr>
        <w:spacing w:after="160" w:line="276" w:lineRule="auto"/>
        <w:jc w:val="both"/>
      </w:pPr>
      <w:r>
        <w:rPr>
          <w:rFonts w:ascii="Arial" w:hAnsi="Arial"/>
          <w:i/>
          <w:sz w:val="22"/>
        </w:rPr>
        <w:t>The organization consolidates Scope 2 emissions using the operational control approach, consistent with its consolidation methodology for Scope 1 emissions. All facilities under the organization's operational control are included in the Scope 2 inventory boundary. The gases included in the Scope 2 calculation are limited to carbon dioxide (CO₂), as this is the predominant greenhouse gas associated with electricity generation. Methane (CH₄) and nitrous oxide (N₂O) emissions from electricity generation are embedded in the grid emission factor and are not separately quantified.</w:t>
      </w:r>
    </w:p>
    <w:p>
      <w:r>
        <w:rPr>
          <w:rFonts w:ascii="Arial" w:hAnsi="Arial"/>
          <w:b/>
          <w:sz w:val="20"/>
        </w:rPr>
        <w:t>Table 1: Scope 2 Energy Indirect GHG Emissions — Dual Reporting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Reporting Method</w:t>
            </w:r>
          </w:p>
        </w:tc>
        <w:tc>
          <w:tcPr>
            <w:tcW w:type="dxa" w:w="1806"/>
            <w:shd w:fill="1B3A6B" w:val="clear"/>
          </w:tcPr>
          <w:p>
            <w:r>
              <w:rPr>
                <w:rFonts w:ascii="Arial" w:hAnsi="Arial"/>
                <w:b/>
                <w:color w:val="FFFFFF"/>
                <w:sz w:val="18"/>
              </w:rPr>
              <w:t>2024 Emissions (tCO₂e)</w:t>
            </w:r>
          </w:p>
        </w:tc>
        <w:tc>
          <w:tcPr>
            <w:tcW w:type="dxa" w:w="1806"/>
            <w:shd w:fill="1B3A6B" w:val="clear"/>
          </w:tcPr>
          <w:p>
            <w:r>
              <w:rPr>
                <w:rFonts w:ascii="Arial" w:hAnsi="Arial"/>
                <w:b/>
                <w:color w:val="FFFFFF"/>
                <w:sz w:val="18"/>
              </w:rPr>
              <w:t>2023 Emissions (tCO₂e)</w:t>
            </w:r>
          </w:p>
        </w:tc>
        <w:tc>
          <w:tcPr>
            <w:tcW w:type="dxa" w:w="1806"/>
            <w:shd w:fill="1B3A6B" w:val="clear"/>
          </w:tcPr>
          <w:p>
            <w:r>
              <w:rPr>
                <w:rFonts w:ascii="Arial" w:hAnsi="Arial"/>
                <w:b/>
                <w:color w:val="FFFFFF"/>
                <w:sz w:val="18"/>
              </w:rPr>
              <w:t>Year-over-Year Change (tCO₂e)</w:t>
            </w:r>
          </w:p>
        </w:tc>
        <w:tc>
          <w:tcPr>
            <w:tcW w:type="dxa" w:w="1806"/>
            <w:shd w:fill="1B3A6B" w:val="clear"/>
          </w:tcPr>
          <w:p>
            <w:r>
              <w:rPr>
                <w:rFonts w:ascii="Arial" w:hAnsi="Arial"/>
                <w:b/>
                <w:color w:val="FFFFFF"/>
                <w:sz w:val="18"/>
              </w:rPr>
              <w:t>Year-over-Year Change (%)</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14.4</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0.036</w:t>
            </w:r>
          </w:p>
        </w:tc>
        <w:tc>
          <w:tcPr>
            <w:tcW w:type="dxa" w:w="1806"/>
          </w:tcPr>
          <w:p>
            <w:r>
              <w:rPr>
                <w:rFonts w:ascii="Arial" w:hAnsi="Arial"/>
                <w:sz w:val="18"/>
              </w:rPr>
              <w:t>—</w:t>
            </w:r>
          </w:p>
        </w:tc>
      </w:tr>
    </w:tbl>
    <w:p>
      <w:r>
        <w:rPr>
          <w:rFonts w:ascii="Arial" w:hAnsi="Arial"/>
          <w:i/>
          <w:sz w:val="16"/>
        </w:rPr>
        <w:t>Source: Source: Internal energy consumption data and PLN grid emission factors (2023). Consolidation approach: Operational control. Gases included: CO₂.</w:t>
      </w:r>
    </w:p>
    <w:p/>
    <w:p>
      <w:r>
        <w:rPr>
          <w:i/>
          <w:color w:val="3D6094"/>
          <w:sz w:val="18"/>
        </w:rPr>
        <w:t>Framework references: GRI 305-2; GHG Protocol Scope 2 Guidance (2015)</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305-2 | Energy indirect (Scope 2) GHG emissions | Section 4.2</w:t>
      </w:r>
    </w:p>
    <w:p>
      <w:r>
        <w:br w:type="page"/>
      </w:r>
    </w:p>
    <w:p>
      <w:pPr>
        <w:pStyle w:val="Heading1"/>
        <w:keepNext/>
        <w:spacing w:before="480" w:after="240"/>
      </w:pPr>
      <w:r>
        <w:rPr>
          <w:rFonts w:ascii="Arial" w:hAnsi="Arial"/>
          <w:b/>
          <w:color w:val="1B3A6B"/>
          <w:sz w:val="36"/>
        </w:rPr>
        <w:t>GRI 305-3: Other Indirect (Scope 3) GHG Emissions - Category 15 Financed Emissions</w:t>
      </w:r>
    </w:p>
    <w:p>
      <w:pPr>
        <w:spacing w:after="160" w:line="276" w:lineRule="auto"/>
        <w:jc w:val="both"/>
      </w:pPr>
      <w:r>
        <w:rPr>
          <w:rFonts w:ascii="Arial" w:hAnsi="Arial"/>
          <w:sz w:val="22"/>
        </w:rPr>
        <w:t>The organization's Scope 3 Category 15 financed emissions for the reporting period totaled 21,976,797.3 tCO2e on a gross basis across the corporate and commercial lending portfolio. This category represents indirect greenhouse gas emissions associated with the organization's lending and investment activities, calculated in accordance with the Partnership for Carbon Accounting Financials (PCAF) Global GHG Accounting Standard. Category 15 constitutes the most material Scope 3 category for financial institutions, representing emissions generated by borrowers and investees attributable to the organization's financing activities.</w:t>
      </w:r>
    </w:p>
    <w:p>
      <w:pPr>
        <w:spacing w:after="160" w:line="276" w:lineRule="auto"/>
        <w:jc w:val="both"/>
      </w:pPr>
      <w:r>
        <w:rPr>
          <w:rFonts w:ascii="Arial" w:hAnsi="Arial"/>
          <w:i/>
          <w:sz w:val="22"/>
        </w:rPr>
        <w:t>The PCAF methodology applies an attribution factor to allocate a proportional share of each borrower's total emissions to the organization based on the outstanding loan amount relative to the borrower's total equity plus debt. The attribution factor formula is: (Outstanding Amount / Borrower's Total Equity + Debt) × Borrower's Total Emissions. This approach ensures that financed emissions reflect the organization's actual financial exposure to each counterparty. The calculation covers corporate loans and project finance across all asset classes within the commercial lending portfolio, representing 1,541.181 trillion IDR in total outstanding exposure across 1,955 borrower relationships.</w:t>
      </w:r>
    </w:p>
    <w:p>
      <w:pPr>
        <w:spacing w:after="160" w:line="276" w:lineRule="auto"/>
        <w:jc w:val="both"/>
      </w:pPr>
      <w:r>
        <w:rPr>
          <w:rFonts w:ascii="Arial" w:hAnsi="Arial"/>
          <w:sz w:val="22"/>
        </w:rPr>
        <w:t>The organization reports both gross financed emissions and confidence-weighted financed emissions as distinct metrics to provide transparency on data quality. Gross financed emissions of 21,976,797.3 tCO2e represent the total attributed emissions without adjustment for data quality. Confidence-weighted financed emissions of 15,280,174.14 tCO2e apply PCAF data quality confidence factors ranging from 0.45 (Score 5, sector-average proxy) to 1.00 (Score 1, verified data) to reflect the reliability of underlying emissions data. The confidence-weighted figure is systematically lower than the gross figure due to the application of quality adjustment factors, with the differential indicating the degree of estimation uncertainty in the portfolio.</w:t>
      </w:r>
    </w:p>
    <w:p>
      <w:pPr>
        <w:spacing w:after="160" w:line="276" w:lineRule="auto"/>
        <w:jc w:val="both"/>
      </w:pPr>
      <w:r>
        <w:rPr>
          <w:rFonts w:ascii="Arial" w:hAnsi="Arial"/>
          <w:sz w:val="22"/>
        </w:rPr>
        <w:t>Financed emissions are concentrated in carbon-intensive sectors, with the top three sectors accounting for 85.93 percent of total gross financed emissions. The Energy - Oil &amp; Gas sector represents the largest exposure at 9,573,144.27 tCO2e gross (43.56 percent of total financed emissions) across 135 borrowers with 102.669871 trillion IDR outstanding, despite comprising only 6.66 percent of the total portfolio by value. The Manufacturing - Cement sector contributes 5,813,830.91 tCO2e gross (26.45 percent) across 161 borrowers with 107.67817 trillion IDR outstanding. The Manufacturing - Steel sector accounts for 3,499,463.0 tCO2e gross (15.92 percent) across 122 borrowers with 108.619962 trillion IDR outstanding. Lower-intensity sectors including Real Estate - Residential, Retail Trade, and Financial Services collectively represent 34.26 percent of portfolio value but only 1.86 percent of financed emissions.</w:t>
      </w:r>
    </w:p>
    <w:p>
      <w:pPr>
        <w:spacing w:after="160" w:line="276" w:lineRule="auto"/>
        <w:jc w:val="both"/>
      </w:pPr>
      <w:r>
        <w:rPr>
          <w:rFonts w:ascii="Arial" w:hAnsi="Arial"/>
          <w:sz w:val="22"/>
        </w:rPr>
        <w:t>The portfolio-weighted average PCAF data quality score is 3.36 across all financed emissions calculations, indicating that the majority of emissions estimates rely on economic activity-based models (EEIO) combined with revenue or asset data rather than borrower-reported emissions data. This score reflects the current availability of primary emissions data from Indonesian corporate borrowers, where mandatory climate disclosure requirements are not yet fully implemented. No borrowers in the portfolio provided Score 1 verified emissions data during the reporting period. The organization has initiated a data quality improvement program targeting high-emission borrowers in the Energy and Manufacturing sectors to transition from Score 4 and Score 5 estimates to Score 2 reported data by 2026.</w:t>
      </w:r>
    </w:p>
    <w:p>
      <w:pPr>
        <w:spacing w:after="160" w:line="276" w:lineRule="auto"/>
        <w:jc w:val="both"/>
      </w:pPr>
      <w:r>
        <w:rPr>
          <w:rFonts w:ascii="Arial" w:hAnsi="Arial"/>
          <w:sz w:val="22"/>
        </w:rPr>
        <w:t>Gross financed emissions decreased by 4.07 percent compared to the prior reporting period, declining from 22,911,991.05 tCO2e in 2023 to 21,976,797.3 tCO2e in 2024. This reduction reflects both portfolio composition changes and emissions intensity improvements among existing borrowers. The confidence-weighted financed emissions declined from 15,576,239.57 tCO2e in 2023 to 15,280,174.14 tCO2e in 2024, representing a 1.90 percent decrease. The differential reduction rates between gross and weighted figures indicate modest improvements in data quality during the period, as higher-confidence data sources were obtained for certain borrower segments.</w:t>
      </w:r>
    </w:p>
    <w:p>
      <w:pPr>
        <w:spacing w:after="160" w:line="276" w:lineRule="auto"/>
        <w:jc w:val="both"/>
      </w:pPr>
      <w:r>
        <w:rPr>
          <w:rFonts w:ascii="Arial" w:hAnsi="Arial"/>
          <w:sz w:val="22"/>
        </w:rPr>
        <w:t>The financed emissions calculation achieved 100 percent coverage of the in-scope corporate and commercial lending portfolio, meeting the PCAF requirement for comprehensive portfolio assessment. All 1,955 borrower relationships with outstanding balances as of the reporting period end date were included in the calculation. The organization excludes retail lending, trade finance facilities under 90 days tenor, and interbank exposures from the Scope 3 Category 15 calculation in accordance with PCAF guidance on materiality thresholds for financial institutions. The organization will expand coverage to include listed equity and corporate bond holdings in the 2025 reporting period as PCAF asset class methodologies are implemented.</w:t>
      </w:r>
    </w:p>
    <w:p>
      <w:pPr>
        <w:spacing w:after="160" w:line="276" w:lineRule="auto"/>
        <w:jc w:val="both"/>
      </w:pPr>
      <w:r>
        <w:rPr>
          <w:rFonts w:ascii="Arial" w:hAnsi="Arial"/>
          <w:i/>
          <w:color w:val="555555"/>
          <w:sz w:val="22"/>
        </w:rPr>
        <w:t>The organization has established a three-year data quality improvement roadmap targeting a portfolio-weighted average PCAF score of 2.8 by 2027. Priority actions include: (1) integration of borrower emissions data requests into annual credit review processes for all relationships exceeding 10 billion IDR exposure; (2) partnership with industry associations to develop sector-specific emissions reporting templates aligned with GHG Protocol Corporate Standard; (3) deployment of automated data collection tools to reduce manual estimation requirements; and (4) engagement with high-emission borrowers to support development of internal emissions measurement capabilities. The roadmap prioritizes the Energy, Manufacturing - Cement, and Manufacturing - Steel sectors, which collectively represent 86 percent of financed emissions but only 21 percent of portfolio count.</w:t>
      </w:r>
    </w:p>
    <w:p>
      <w:r>
        <w:rPr>
          <w:rFonts w:ascii="Arial" w:hAnsi="Arial"/>
          <w:b/>
          <w:sz w:val="20"/>
        </w:rPr>
        <w:t>Table 1: Financed Emissions by Sector (Top 10 Sectors by Gross Emissions)</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Sector</w:t>
            </w:r>
          </w:p>
        </w:tc>
        <w:tc>
          <w:tcPr>
            <w:tcW w:type="dxa" w:w="1290"/>
            <w:shd w:fill="1B3A6B" w:val="clear"/>
          </w:tcPr>
          <w:p>
            <w:r>
              <w:rPr>
                <w:rFonts w:ascii="Arial" w:hAnsi="Arial"/>
                <w:b/>
                <w:color w:val="FFFFFF"/>
                <w:sz w:val="18"/>
              </w:rPr>
              <w:t>Outstanding (IDR Trillion)</w:t>
            </w:r>
          </w:p>
        </w:tc>
        <w:tc>
          <w:tcPr>
            <w:tcW w:type="dxa" w:w="1290"/>
            <w:shd w:fill="1B3A6B" w:val="clear"/>
          </w:tcPr>
          <w:p>
            <w:r>
              <w:rPr>
                <w:rFonts w:ascii="Arial" w:hAnsi="Arial"/>
                <w:b/>
                <w:color w:val="FFFFFF"/>
                <w:sz w:val="18"/>
              </w:rPr>
              <w:t>Gross Financed Emissions (tCO2e)</w:t>
            </w:r>
          </w:p>
        </w:tc>
        <w:tc>
          <w:tcPr>
            <w:tcW w:type="dxa" w:w="1290"/>
            <w:shd w:fill="1B3A6B" w:val="clear"/>
          </w:tcPr>
          <w:p>
            <w:r>
              <w:rPr>
                <w:rFonts w:ascii="Arial" w:hAnsi="Arial"/>
                <w:b/>
                <w:color w:val="FFFFFF"/>
                <w:sz w:val="18"/>
              </w:rPr>
              <w:t>Weighted Financed Emissions (tCO2e)</w:t>
            </w:r>
          </w:p>
        </w:tc>
        <w:tc>
          <w:tcPr>
            <w:tcW w:type="dxa" w:w="1290"/>
            <w:shd w:fill="1B3A6B" w:val="clear"/>
          </w:tcPr>
          <w:p>
            <w:r>
              <w:rPr>
                <w:rFonts w:ascii="Arial" w:hAnsi="Arial"/>
                <w:b/>
                <w:color w:val="FFFFFF"/>
                <w:sz w:val="18"/>
              </w:rPr>
              <w:t>% of Portfolio</w:t>
            </w:r>
          </w:p>
        </w:tc>
        <w:tc>
          <w:tcPr>
            <w:tcW w:type="dxa" w:w="1290"/>
            <w:shd w:fill="1B3A6B" w:val="clear"/>
          </w:tcPr>
          <w:p>
            <w:r>
              <w:rPr>
                <w:rFonts w:ascii="Arial" w:hAnsi="Arial"/>
                <w:b/>
                <w:color w:val="FFFFFF"/>
                <w:sz w:val="18"/>
              </w:rPr>
              <w:t>% of Total Emissions</w:t>
            </w:r>
          </w:p>
        </w:tc>
        <w:tc>
          <w:tcPr>
            <w:tcW w:type="dxa" w:w="1290"/>
            <w:shd w:fill="1B3A6B" w:val="clear"/>
          </w:tcPr>
          <w:p>
            <w:r>
              <w:rPr>
                <w:rFonts w:ascii="Arial" w:hAnsi="Arial"/>
                <w:b/>
                <w:color w:val="FFFFFF"/>
                <w:sz w:val="18"/>
              </w:rPr>
              <w:t>Avg PCAF Score</w:t>
            </w:r>
          </w:p>
        </w:tc>
      </w:tr>
      <w:tr>
        <w:tc>
          <w:tcPr>
            <w:tcW w:type="dxa" w:w="1290"/>
          </w:tcPr>
          <w:p>
            <w:r>
              <w:rPr>
                <w:rFonts w:ascii="Arial" w:hAnsi="Arial"/>
                <w:sz w:val="18"/>
              </w:rPr>
              <w:t>Energy - Oil &amp; Gas</w:t>
            </w:r>
          </w:p>
        </w:tc>
        <w:tc>
          <w:tcPr>
            <w:tcW w:type="dxa" w:w="1290"/>
          </w:tcPr>
          <w:p>
            <w:pPr>
              <w:jc w:val="right"/>
            </w:pPr>
            <w:r>
              <w:rPr>
                <w:rFonts w:ascii="Arial" w:hAnsi="Arial"/>
                <w:sz w:val="18"/>
              </w:rPr>
              <w:t>102.669871</w:t>
            </w:r>
          </w:p>
        </w:tc>
        <w:tc>
          <w:tcPr>
            <w:tcW w:type="dxa" w:w="1290"/>
          </w:tcPr>
          <w:p>
            <w:pPr>
              <w:jc w:val="right"/>
            </w:pPr>
            <w:r>
              <w:rPr>
                <w:rFonts w:ascii="Arial" w:hAnsi="Arial"/>
                <w:sz w:val="18"/>
              </w:rPr>
              <w:t>9,573,144.27</w:t>
            </w:r>
          </w:p>
        </w:tc>
        <w:tc>
          <w:tcPr>
            <w:tcW w:type="dxa" w:w="1290"/>
          </w:tcPr>
          <w:p>
            <w:pPr>
              <w:jc w:val="right"/>
            </w:pPr>
            <w:r>
              <w:rPr>
                <w:rFonts w:ascii="Arial" w:hAnsi="Arial"/>
                <w:sz w:val="18"/>
              </w:rPr>
              <w:t>6,753,948.71</w:t>
            </w:r>
          </w:p>
        </w:tc>
        <w:tc>
          <w:tcPr>
            <w:tcW w:type="dxa" w:w="1290"/>
          </w:tcPr>
          <w:p>
            <w:pPr>
              <w:jc w:val="right"/>
            </w:pPr>
            <w:r>
              <w:rPr>
                <w:rFonts w:ascii="Arial" w:hAnsi="Arial"/>
                <w:sz w:val="18"/>
              </w:rPr>
              <w:t>6.66%</w:t>
            </w:r>
          </w:p>
        </w:tc>
        <w:tc>
          <w:tcPr>
            <w:tcW w:type="dxa" w:w="1290"/>
          </w:tcPr>
          <w:p>
            <w:pPr>
              <w:jc w:val="right"/>
            </w:pPr>
            <w:r>
              <w:rPr>
                <w:rFonts w:ascii="Arial" w:hAnsi="Arial"/>
                <w:sz w:val="18"/>
              </w:rPr>
              <w:t>43.56%</w:t>
            </w:r>
          </w:p>
        </w:tc>
        <w:tc>
          <w:tcPr>
            <w:tcW w:type="dxa" w:w="1290"/>
          </w:tcPr>
          <w:p>
            <w:pPr>
              <w:jc w:val="right"/>
            </w:pPr>
            <w:r>
              <w:rPr>
                <w:rFonts w:ascii="Arial" w:hAnsi="Arial"/>
                <w:sz w:val="18"/>
              </w:rPr>
              <w:t>3.32</w:t>
            </w:r>
          </w:p>
        </w:tc>
      </w:tr>
      <w:tr>
        <w:tc>
          <w:tcPr>
            <w:tcW w:type="dxa" w:w="1290"/>
            <w:shd w:fill="F2F6FC" w:val="clear"/>
          </w:tcPr>
          <w:p>
            <w:r>
              <w:rPr>
                <w:rFonts w:ascii="Arial" w:hAnsi="Arial"/>
                <w:sz w:val="18"/>
              </w:rPr>
              <w:t>Manufacturing - Cement</w:t>
            </w:r>
          </w:p>
        </w:tc>
        <w:tc>
          <w:tcPr>
            <w:tcW w:type="dxa" w:w="1290"/>
            <w:shd w:fill="F2F6FC" w:val="clear"/>
          </w:tcPr>
          <w:p>
            <w:pPr>
              <w:jc w:val="right"/>
            </w:pPr>
            <w:r>
              <w:rPr>
                <w:rFonts w:ascii="Arial" w:hAnsi="Arial"/>
                <w:sz w:val="18"/>
              </w:rPr>
              <w:t>107.67817</w:t>
            </w:r>
          </w:p>
        </w:tc>
        <w:tc>
          <w:tcPr>
            <w:tcW w:type="dxa" w:w="1290"/>
            <w:shd w:fill="F2F6FC" w:val="clear"/>
          </w:tcPr>
          <w:p>
            <w:pPr>
              <w:jc w:val="right"/>
            </w:pPr>
            <w:r>
              <w:rPr>
                <w:rFonts w:ascii="Arial" w:hAnsi="Arial"/>
                <w:sz w:val="18"/>
              </w:rPr>
              <w:t>5,813,830.91</w:t>
            </w:r>
          </w:p>
        </w:tc>
        <w:tc>
          <w:tcPr>
            <w:tcW w:type="dxa" w:w="1290"/>
            <w:shd w:fill="F2F6FC" w:val="clear"/>
          </w:tcPr>
          <w:p>
            <w:pPr>
              <w:jc w:val="right"/>
            </w:pPr>
            <w:r>
              <w:rPr>
                <w:rFonts w:ascii="Arial" w:hAnsi="Arial"/>
                <w:sz w:val="18"/>
              </w:rPr>
              <w:t>4,168,058.43</w:t>
            </w:r>
          </w:p>
        </w:tc>
        <w:tc>
          <w:tcPr>
            <w:tcW w:type="dxa" w:w="1290"/>
            <w:shd w:fill="F2F6FC" w:val="clear"/>
          </w:tcPr>
          <w:p>
            <w:pPr>
              <w:jc w:val="right"/>
            </w:pPr>
            <w:r>
              <w:rPr>
                <w:rFonts w:ascii="Arial" w:hAnsi="Arial"/>
                <w:sz w:val="18"/>
              </w:rPr>
              <w:t>6.99%</w:t>
            </w:r>
          </w:p>
        </w:tc>
        <w:tc>
          <w:tcPr>
            <w:tcW w:type="dxa" w:w="1290"/>
            <w:shd w:fill="F2F6FC" w:val="clear"/>
          </w:tcPr>
          <w:p>
            <w:pPr>
              <w:jc w:val="right"/>
            </w:pPr>
            <w:r>
              <w:rPr>
                <w:rFonts w:ascii="Arial" w:hAnsi="Arial"/>
                <w:sz w:val="18"/>
              </w:rPr>
              <w:t>26.45%</w:t>
            </w:r>
          </w:p>
        </w:tc>
        <w:tc>
          <w:tcPr>
            <w:tcW w:type="dxa" w:w="1290"/>
            <w:shd w:fill="F2F6FC" w:val="clear"/>
          </w:tcPr>
          <w:p>
            <w:pPr>
              <w:jc w:val="right"/>
            </w:pPr>
            <w:r>
              <w:rPr>
                <w:rFonts w:ascii="Arial" w:hAnsi="Arial"/>
                <w:sz w:val="18"/>
              </w:rPr>
              <w:t>3.40</w:t>
            </w:r>
          </w:p>
        </w:tc>
      </w:tr>
      <w:tr>
        <w:tc>
          <w:tcPr>
            <w:tcW w:type="dxa" w:w="1290"/>
          </w:tcPr>
          <w:p>
            <w:r>
              <w:rPr>
                <w:rFonts w:ascii="Arial" w:hAnsi="Arial"/>
                <w:sz w:val="18"/>
              </w:rPr>
              <w:t>Manufacturing - Steel</w:t>
            </w:r>
          </w:p>
        </w:tc>
        <w:tc>
          <w:tcPr>
            <w:tcW w:type="dxa" w:w="1290"/>
          </w:tcPr>
          <w:p>
            <w:pPr>
              <w:jc w:val="right"/>
            </w:pPr>
            <w:r>
              <w:rPr>
                <w:rFonts w:ascii="Arial" w:hAnsi="Arial"/>
                <w:sz w:val="18"/>
              </w:rPr>
              <w:t>108.619962</w:t>
            </w:r>
          </w:p>
        </w:tc>
        <w:tc>
          <w:tcPr>
            <w:tcW w:type="dxa" w:w="1290"/>
          </w:tcPr>
          <w:p>
            <w:pPr>
              <w:jc w:val="right"/>
            </w:pPr>
            <w:r>
              <w:rPr>
                <w:rFonts w:ascii="Arial" w:hAnsi="Arial"/>
                <w:sz w:val="18"/>
              </w:rPr>
              <w:t>3,499,463.0</w:t>
            </w:r>
          </w:p>
        </w:tc>
        <w:tc>
          <w:tcPr>
            <w:tcW w:type="dxa" w:w="1290"/>
          </w:tcPr>
          <w:p>
            <w:pPr>
              <w:jc w:val="right"/>
            </w:pPr>
            <w:r>
              <w:rPr>
                <w:rFonts w:ascii="Arial" w:hAnsi="Arial"/>
                <w:sz w:val="18"/>
              </w:rPr>
              <w:t>2,228,739.65</w:t>
            </w:r>
          </w:p>
        </w:tc>
        <w:tc>
          <w:tcPr>
            <w:tcW w:type="dxa" w:w="1290"/>
          </w:tcPr>
          <w:p>
            <w:pPr>
              <w:jc w:val="right"/>
            </w:pPr>
            <w:r>
              <w:rPr>
                <w:rFonts w:ascii="Arial" w:hAnsi="Arial"/>
                <w:sz w:val="18"/>
              </w:rPr>
              <w:t>7.05%</w:t>
            </w:r>
          </w:p>
        </w:tc>
        <w:tc>
          <w:tcPr>
            <w:tcW w:type="dxa" w:w="1290"/>
          </w:tcPr>
          <w:p>
            <w:pPr>
              <w:jc w:val="right"/>
            </w:pPr>
            <w:r>
              <w:rPr>
                <w:rFonts w:ascii="Arial" w:hAnsi="Arial"/>
                <w:sz w:val="18"/>
              </w:rPr>
              <w:t>15.92%</w:t>
            </w:r>
          </w:p>
        </w:tc>
        <w:tc>
          <w:tcPr>
            <w:tcW w:type="dxa" w:w="1290"/>
          </w:tcPr>
          <w:p>
            <w:pPr>
              <w:jc w:val="right"/>
            </w:pPr>
            <w:r>
              <w:rPr>
                <w:rFonts w:ascii="Arial" w:hAnsi="Arial"/>
                <w:sz w:val="18"/>
              </w:rPr>
              <w:t>3.35</w:t>
            </w:r>
          </w:p>
        </w:tc>
      </w:tr>
      <w:tr>
        <w:tc>
          <w:tcPr>
            <w:tcW w:type="dxa" w:w="1290"/>
            <w:shd w:fill="F2F6FC" w:val="clear"/>
          </w:tcPr>
          <w:p>
            <w:r>
              <w:rPr>
                <w:rFonts w:ascii="Arial" w:hAnsi="Arial"/>
                <w:sz w:val="18"/>
              </w:rPr>
              <w:t>Transportation - Road</w:t>
            </w:r>
          </w:p>
        </w:tc>
        <w:tc>
          <w:tcPr>
            <w:tcW w:type="dxa" w:w="1290"/>
            <w:shd w:fill="F2F6FC" w:val="clear"/>
          </w:tcPr>
          <w:p>
            <w:pPr>
              <w:jc w:val="right"/>
            </w:pPr>
            <w:r>
              <w:rPr>
                <w:rFonts w:ascii="Arial" w:hAnsi="Arial"/>
                <w:sz w:val="18"/>
              </w:rPr>
              <w:t>155.55276</w:t>
            </w:r>
          </w:p>
        </w:tc>
        <w:tc>
          <w:tcPr>
            <w:tcW w:type="dxa" w:w="1290"/>
            <w:shd w:fill="F2F6FC" w:val="clear"/>
          </w:tcPr>
          <w:p>
            <w:pPr>
              <w:jc w:val="right"/>
            </w:pPr>
            <w:r>
              <w:rPr>
                <w:rFonts w:ascii="Arial" w:hAnsi="Arial"/>
                <w:sz w:val="18"/>
              </w:rPr>
              <w:t>1,227,019.62</w:t>
            </w:r>
          </w:p>
        </w:tc>
        <w:tc>
          <w:tcPr>
            <w:tcW w:type="dxa" w:w="1290"/>
            <w:shd w:fill="F2F6FC" w:val="clear"/>
          </w:tcPr>
          <w:p>
            <w:pPr>
              <w:jc w:val="right"/>
            </w:pPr>
            <w:r>
              <w:rPr>
                <w:rFonts w:ascii="Arial" w:hAnsi="Arial"/>
                <w:sz w:val="18"/>
              </w:rPr>
              <w:t>864,356.23</w:t>
            </w:r>
          </w:p>
        </w:tc>
        <w:tc>
          <w:tcPr>
            <w:tcW w:type="dxa" w:w="1290"/>
            <w:shd w:fill="F2F6FC" w:val="clear"/>
          </w:tcPr>
          <w:p>
            <w:pPr>
              <w:jc w:val="right"/>
            </w:pPr>
            <w:r>
              <w:rPr>
                <w:rFonts w:ascii="Arial" w:hAnsi="Arial"/>
                <w:sz w:val="18"/>
              </w:rPr>
              <w:t>10.09%</w:t>
            </w:r>
          </w:p>
        </w:tc>
        <w:tc>
          <w:tcPr>
            <w:tcW w:type="dxa" w:w="1290"/>
            <w:shd w:fill="F2F6FC" w:val="clear"/>
          </w:tcPr>
          <w:p>
            <w:pPr>
              <w:jc w:val="right"/>
            </w:pPr>
            <w:r>
              <w:rPr>
                <w:rFonts w:ascii="Arial" w:hAnsi="Arial"/>
                <w:sz w:val="18"/>
              </w:rPr>
              <w:t>5.58%</w:t>
            </w:r>
          </w:p>
        </w:tc>
        <w:tc>
          <w:tcPr>
            <w:tcW w:type="dxa" w:w="1290"/>
            <w:shd w:fill="F2F6FC" w:val="clear"/>
          </w:tcPr>
          <w:p>
            <w:pPr>
              <w:jc w:val="right"/>
            </w:pPr>
            <w:r>
              <w:rPr>
                <w:rFonts w:ascii="Arial" w:hAnsi="Arial"/>
                <w:sz w:val="18"/>
              </w:rPr>
              <w:t>3.36</w:t>
            </w:r>
          </w:p>
        </w:tc>
      </w:tr>
      <w:tr>
        <w:tc>
          <w:tcPr>
            <w:tcW w:type="dxa" w:w="1290"/>
          </w:tcPr>
          <w:p>
            <w:r>
              <w:rPr>
                <w:rFonts w:ascii="Arial" w:hAnsi="Arial"/>
                <w:sz w:val="18"/>
              </w:rPr>
              <w:t>Manufacturing - Food &amp; Beverage</w:t>
            </w:r>
          </w:p>
        </w:tc>
        <w:tc>
          <w:tcPr>
            <w:tcW w:type="dxa" w:w="1290"/>
          </w:tcPr>
          <w:p>
            <w:pPr>
              <w:jc w:val="right"/>
            </w:pPr>
            <w:r>
              <w:rPr>
                <w:rFonts w:ascii="Arial" w:hAnsi="Arial"/>
                <w:sz w:val="18"/>
              </w:rPr>
              <w:t>169.139082</w:t>
            </w:r>
          </w:p>
        </w:tc>
        <w:tc>
          <w:tcPr>
            <w:tcW w:type="dxa" w:w="1290"/>
          </w:tcPr>
          <w:p>
            <w:pPr>
              <w:jc w:val="right"/>
            </w:pPr>
            <w:r>
              <w:rPr>
                <w:rFonts w:ascii="Arial" w:hAnsi="Arial"/>
                <w:sz w:val="18"/>
              </w:rPr>
              <w:t>936,111.21</w:t>
            </w:r>
          </w:p>
        </w:tc>
        <w:tc>
          <w:tcPr>
            <w:tcW w:type="dxa" w:w="1290"/>
          </w:tcPr>
          <w:p>
            <w:pPr>
              <w:jc w:val="right"/>
            </w:pPr>
            <w:r>
              <w:rPr>
                <w:rFonts w:ascii="Arial" w:hAnsi="Arial"/>
                <w:sz w:val="18"/>
              </w:rPr>
              <w:t>653,413.56</w:t>
            </w:r>
          </w:p>
        </w:tc>
        <w:tc>
          <w:tcPr>
            <w:tcW w:type="dxa" w:w="1290"/>
          </w:tcPr>
          <w:p>
            <w:pPr>
              <w:jc w:val="right"/>
            </w:pPr>
            <w:r>
              <w:rPr>
                <w:rFonts w:ascii="Arial" w:hAnsi="Arial"/>
                <w:sz w:val="18"/>
              </w:rPr>
              <w:t>10.97%</w:t>
            </w:r>
          </w:p>
        </w:tc>
        <w:tc>
          <w:tcPr>
            <w:tcW w:type="dxa" w:w="1290"/>
          </w:tcPr>
          <w:p>
            <w:pPr>
              <w:jc w:val="right"/>
            </w:pPr>
            <w:r>
              <w:rPr>
                <w:rFonts w:ascii="Arial" w:hAnsi="Arial"/>
                <w:sz w:val="18"/>
              </w:rPr>
              <w:t>4.26%</w:t>
            </w:r>
          </w:p>
        </w:tc>
        <w:tc>
          <w:tcPr>
            <w:tcW w:type="dxa" w:w="1290"/>
          </w:tcPr>
          <w:p>
            <w:pPr>
              <w:jc w:val="right"/>
            </w:pPr>
            <w:r>
              <w:rPr>
                <w:rFonts w:ascii="Arial" w:hAnsi="Arial"/>
                <w:sz w:val="18"/>
              </w:rPr>
              <w:t>3.35</w:t>
            </w:r>
          </w:p>
        </w:tc>
      </w:tr>
      <w:tr>
        <w:tc>
          <w:tcPr>
            <w:tcW w:type="dxa" w:w="1290"/>
            <w:shd w:fill="F2F6FC" w:val="clear"/>
          </w:tcPr>
          <w:p>
            <w:r>
              <w:rPr>
                <w:rFonts w:ascii="Arial" w:hAnsi="Arial"/>
                <w:sz w:val="18"/>
              </w:rPr>
              <w:t>Agriculture</w:t>
            </w:r>
          </w:p>
        </w:tc>
        <w:tc>
          <w:tcPr>
            <w:tcW w:type="dxa" w:w="1290"/>
            <w:shd w:fill="F2F6FC" w:val="clear"/>
          </w:tcPr>
          <w:p>
            <w:pPr>
              <w:jc w:val="right"/>
            </w:pPr>
            <w:r>
              <w:rPr>
                <w:rFonts w:ascii="Arial" w:hAnsi="Arial"/>
                <w:sz w:val="18"/>
              </w:rPr>
              <w:t>118.897478</w:t>
            </w:r>
          </w:p>
        </w:tc>
        <w:tc>
          <w:tcPr>
            <w:tcW w:type="dxa" w:w="1290"/>
            <w:shd w:fill="F2F6FC" w:val="clear"/>
          </w:tcPr>
          <w:p>
            <w:pPr>
              <w:jc w:val="right"/>
            </w:pPr>
            <w:r>
              <w:rPr>
                <w:rFonts w:ascii="Arial" w:hAnsi="Arial"/>
                <w:sz w:val="18"/>
              </w:rPr>
              <w:t>288,493.25</w:t>
            </w:r>
          </w:p>
        </w:tc>
        <w:tc>
          <w:tcPr>
            <w:tcW w:type="dxa" w:w="1290"/>
            <w:shd w:fill="F2F6FC" w:val="clear"/>
          </w:tcPr>
          <w:p>
            <w:pPr>
              <w:jc w:val="right"/>
            </w:pPr>
            <w:r>
              <w:rPr>
                <w:rFonts w:ascii="Arial" w:hAnsi="Arial"/>
                <w:sz w:val="18"/>
              </w:rPr>
              <w:t>183,548.39</w:t>
            </w:r>
          </w:p>
        </w:tc>
        <w:tc>
          <w:tcPr>
            <w:tcW w:type="dxa" w:w="1290"/>
            <w:shd w:fill="F2F6FC" w:val="clear"/>
          </w:tcPr>
          <w:p>
            <w:pPr>
              <w:jc w:val="right"/>
            </w:pPr>
            <w:r>
              <w:rPr>
                <w:rFonts w:ascii="Arial" w:hAnsi="Arial"/>
                <w:sz w:val="18"/>
              </w:rPr>
              <w:t>7.71%</w:t>
            </w:r>
          </w:p>
        </w:tc>
        <w:tc>
          <w:tcPr>
            <w:tcW w:type="dxa" w:w="1290"/>
            <w:shd w:fill="F2F6FC" w:val="clear"/>
          </w:tcPr>
          <w:p>
            <w:pPr>
              <w:jc w:val="right"/>
            </w:pPr>
            <w:r>
              <w:rPr>
                <w:rFonts w:ascii="Arial" w:hAnsi="Arial"/>
                <w:sz w:val="18"/>
              </w:rPr>
              <w:t>1.31%</w:t>
            </w:r>
          </w:p>
        </w:tc>
        <w:tc>
          <w:tcPr>
            <w:tcW w:type="dxa" w:w="1290"/>
            <w:shd w:fill="F2F6FC" w:val="clear"/>
          </w:tcPr>
          <w:p>
            <w:pPr>
              <w:jc w:val="right"/>
            </w:pPr>
            <w:r>
              <w:rPr>
                <w:rFonts w:ascii="Arial" w:hAnsi="Arial"/>
                <w:sz w:val="18"/>
              </w:rPr>
              <w:t>3.41</w:t>
            </w:r>
          </w:p>
        </w:tc>
      </w:tr>
      <w:tr>
        <w:tc>
          <w:tcPr>
            <w:tcW w:type="dxa" w:w="1290"/>
          </w:tcPr>
          <w:p>
            <w:r>
              <w:rPr>
                <w:rFonts w:ascii="Arial" w:hAnsi="Arial"/>
                <w:sz w:val="18"/>
              </w:rPr>
              <w:t>Real Estate - Commercial</w:t>
            </w:r>
          </w:p>
        </w:tc>
        <w:tc>
          <w:tcPr>
            <w:tcW w:type="dxa" w:w="1290"/>
          </w:tcPr>
          <w:p>
            <w:pPr>
              <w:jc w:val="right"/>
            </w:pPr>
            <w:r>
              <w:rPr>
                <w:rFonts w:ascii="Arial" w:hAnsi="Arial"/>
                <w:sz w:val="18"/>
              </w:rPr>
              <w:t>250.738869</w:t>
            </w:r>
          </w:p>
        </w:tc>
        <w:tc>
          <w:tcPr>
            <w:tcW w:type="dxa" w:w="1290"/>
          </w:tcPr>
          <w:p>
            <w:pPr>
              <w:jc w:val="right"/>
            </w:pPr>
            <w:r>
              <w:rPr>
                <w:rFonts w:ascii="Arial" w:hAnsi="Arial"/>
                <w:sz w:val="18"/>
              </w:rPr>
              <w:t>231,235.2</w:t>
            </w:r>
          </w:p>
        </w:tc>
        <w:tc>
          <w:tcPr>
            <w:tcW w:type="dxa" w:w="1290"/>
          </w:tcPr>
          <w:p>
            <w:pPr>
              <w:jc w:val="right"/>
            </w:pPr>
            <w:r>
              <w:rPr>
                <w:rFonts w:ascii="Arial" w:hAnsi="Arial"/>
                <w:sz w:val="18"/>
              </w:rPr>
              <w:t>158,419.07</w:t>
            </w:r>
          </w:p>
        </w:tc>
        <w:tc>
          <w:tcPr>
            <w:tcW w:type="dxa" w:w="1290"/>
          </w:tcPr>
          <w:p>
            <w:pPr>
              <w:jc w:val="right"/>
            </w:pPr>
            <w:r>
              <w:rPr>
                <w:rFonts w:ascii="Arial" w:hAnsi="Arial"/>
                <w:sz w:val="18"/>
              </w:rPr>
              <w:t>16.27%</w:t>
            </w:r>
          </w:p>
        </w:tc>
        <w:tc>
          <w:tcPr>
            <w:tcW w:type="dxa" w:w="1290"/>
          </w:tcPr>
          <w:p>
            <w:pPr>
              <w:jc w:val="right"/>
            </w:pPr>
            <w:r>
              <w:rPr>
                <w:rFonts w:ascii="Arial" w:hAnsi="Arial"/>
                <w:sz w:val="18"/>
              </w:rPr>
              <w:t>1.05%</w:t>
            </w:r>
          </w:p>
        </w:tc>
        <w:tc>
          <w:tcPr>
            <w:tcW w:type="dxa" w:w="1290"/>
          </w:tcPr>
          <w:p>
            <w:pPr>
              <w:jc w:val="right"/>
            </w:pPr>
            <w:r>
              <w:rPr>
                <w:rFonts w:ascii="Arial" w:hAnsi="Arial"/>
                <w:sz w:val="18"/>
              </w:rPr>
              <w:t>3.27</w:t>
            </w:r>
          </w:p>
        </w:tc>
      </w:tr>
      <w:tr>
        <w:tc>
          <w:tcPr>
            <w:tcW w:type="dxa" w:w="1290"/>
            <w:shd w:fill="F2F6FC" w:val="clear"/>
          </w:tcPr>
          <w:p>
            <w:r>
              <w:rPr>
                <w:rFonts w:ascii="Arial" w:hAnsi="Arial"/>
                <w:sz w:val="18"/>
              </w:rPr>
              <w:t>Retail Trade</w:t>
            </w:r>
          </w:p>
        </w:tc>
        <w:tc>
          <w:tcPr>
            <w:tcW w:type="dxa" w:w="1290"/>
            <w:shd w:fill="F2F6FC" w:val="clear"/>
          </w:tcPr>
          <w:p>
            <w:pPr>
              <w:jc w:val="right"/>
            </w:pPr>
            <w:r>
              <w:rPr>
                <w:rFonts w:ascii="Arial" w:hAnsi="Arial"/>
                <w:sz w:val="18"/>
              </w:rPr>
              <w:t>152.840932</w:t>
            </w:r>
          </w:p>
        </w:tc>
        <w:tc>
          <w:tcPr>
            <w:tcW w:type="dxa" w:w="1290"/>
            <w:shd w:fill="F2F6FC" w:val="clear"/>
          </w:tcPr>
          <w:p>
            <w:pPr>
              <w:jc w:val="right"/>
            </w:pPr>
            <w:r>
              <w:rPr>
                <w:rFonts w:ascii="Arial" w:hAnsi="Arial"/>
                <w:sz w:val="18"/>
              </w:rPr>
              <w:t>226,340.67</w:t>
            </w:r>
          </w:p>
        </w:tc>
        <w:tc>
          <w:tcPr>
            <w:tcW w:type="dxa" w:w="1290"/>
            <w:shd w:fill="F2F6FC" w:val="clear"/>
          </w:tcPr>
          <w:p>
            <w:pPr>
              <w:jc w:val="right"/>
            </w:pPr>
            <w:r>
              <w:rPr>
                <w:rFonts w:ascii="Arial" w:hAnsi="Arial"/>
                <w:sz w:val="18"/>
              </w:rPr>
              <w:t>140,812.97</w:t>
            </w:r>
          </w:p>
        </w:tc>
        <w:tc>
          <w:tcPr>
            <w:tcW w:type="dxa" w:w="1290"/>
            <w:shd w:fill="F2F6FC" w:val="clear"/>
          </w:tcPr>
          <w:p>
            <w:pPr>
              <w:jc w:val="right"/>
            </w:pPr>
            <w:r>
              <w:rPr>
                <w:rFonts w:ascii="Arial" w:hAnsi="Arial"/>
                <w:sz w:val="18"/>
              </w:rPr>
              <w:t>9.92%</w:t>
            </w:r>
          </w:p>
        </w:tc>
        <w:tc>
          <w:tcPr>
            <w:tcW w:type="dxa" w:w="1290"/>
            <w:shd w:fill="F2F6FC" w:val="clear"/>
          </w:tcPr>
          <w:p>
            <w:pPr>
              <w:jc w:val="right"/>
            </w:pPr>
            <w:r>
              <w:rPr>
                <w:rFonts w:ascii="Arial" w:hAnsi="Arial"/>
                <w:sz w:val="18"/>
              </w:rPr>
              <w:t>1.03%</w:t>
            </w:r>
          </w:p>
        </w:tc>
        <w:tc>
          <w:tcPr>
            <w:tcW w:type="dxa" w:w="1290"/>
            <w:shd w:fill="F2F6FC" w:val="clear"/>
          </w:tcPr>
          <w:p>
            <w:pPr>
              <w:jc w:val="right"/>
            </w:pPr>
            <w:r>
              <w:rPr>
                <w:rFonts w:ascii="Arial" w:hAnsi="Arial"/>
                <w:sz w:val="18"/>
              </w:rPr>
              <w:t>3.21</w:t>
            </w:r>
          </w:p>
        </w:tc>
      </w:tr>
      <w:tr>
        <w:tc>
          <w:tcPr>
            <w:tcW w:type="dxa" w:w="1290"/>
          </w:tcPr>
          <w:p>
            <w:r>
              <w:rPr>
                <w:rFonts w:ascii="Arial" w:hAnsi="Arial"/>
                <w:sz w:val="18"/>
              </w:rPr>
              <w:t>Real Estate - Residential</w:t>
            </w:r>
          </w:p>
        </w:tc>
        <w:tc>
          <w:tcPr>
            <w:tcW w:type="dxa" w:w="1290"/>
          </w:tcPr>
          <w:p>
            <w:pPr>
              <w:jc w:val="right"/>
            </w:pPr>
            <w:r>
              <w:rPr>
                <w:rFonts w:ascii="Arial" w:hAnsi="Arial"/>
                <w:sz w:val="18"/>
              </w:rPr>
              <w:t>168.421695</w:t>
            </w:r>
          </w:p>
        </w:tc>
        <w:tc>
          <w:tcPr>
            <w:tcW w:type="dxa" w:w="1290"/>
          </w:tcPr>
          <w:p>
            <w:pPr>
              <w:jc w:val="right"/>
            </w:pPr>
            <w:r>
              <w:rPr>
                <w:rFonts w:ascii="Arial" w:hAnsi="Arial"/>
                <w:sz w:val="18"/>
              </w:rPr>
              <w:t>107,465.43</w:t>
            </w:r>
          </w:p>
        </w:tc>
        <w:tc>
          <w:tcPr>
            <w:tcW w:type="dxa" w:w="1290"/>
          </w:tcPr>
          <w:p>
            <w:pPr>
              <w:jc w:val="right"/>
            </w:pPr>
            <w:r>
              <w:rPr>
                <w:rFonts w:ascii="Arial" w:hAnsi="Arial"/>
                <w:sz w:val="18"/>
              </w:rPr>
              <w:t>79,158.87</w:t>
            </w:r>
          </w:p>
        </w:tc>
        <w:tc>
          <w:tcPr>
            <w:tcW w:type="dxa" w:w="1290"/>
          </w:tcPr>
          <w:p>
            <w:pPr>
              <w:jc w:val="right"/>
            </w:pPr>
            <w:r>
              <w:rPr>
                <w:rFonts w:ascii="Arial" w:hAnsi="Arial"/>
                <w:sz w:val="18"/>
              </w:rPr>
              <w:t>10.93%</w:t>
            </w:r>
          </w:p>
        </w:tc>
        <w:tc>
          <w:tcPr>
            <w:tcW w:type="dxa" w:w="1290"/>
          </w:tcPr>
          <w:p>
            <w:pPr>
              <w:jc w:val="right"/>
            </w:pPr>
            <w:r>
              <w:rPr>
                <w:rFonts w:ascii="Arial" w:hAnsi="Arial"/>
                <w:sz w:val="18"/>
              </w:rPr>
              <w:t>0.49%</w:t>
            </w:r>
          </w:p>
        </w:tc>
        <w:tc>
          <w:tcPr>
            <w:tcW w:type="dxa" w:w="1290"/>
          </w:tcPr>
          <w:p>
            <w:pPr>
              <w:jc w:val="right"/>
            </w:pPr>
            <w:r>
              <w:rPr>
                <w:rFonts w:ascii="Arial" w:hAnsi="Arial"/>
                <w:sz w:val="18"/>
              </w:rPr>
              <w:t>3.32</w:t>
            </w:r>
          </w:p>
        </w:tc>
      </w:tr>
      <w:tr>
        <w:tc>
          <w:tcPr>
            <w:tcW w:type="dxa" w:w="1290"/>
            <w:shd w:fill="F2F6FC" w:val="clear"/>
          </w:tcPr>
          <w:p>
            <w:r>
              <w:rPr>
                <w:rFonts w:ascii="Arial" w:hAnsi="Arial"/>
                <w:sz w:val="18"/>
              </w:rPr>
              <w:t>Financial Services</w:t>
            </w:r>
          </w:p>
        </w:tc>
        <w:tc>
          <w:tcPr>
            <w:tcW w:type="dxa" w:w="1290"/>
            <w:shd w:fill="F2F6FC" w:val="clear"/>
          </w:tcPr>
          <w:p>
            <w:pPr>
              <w:jc w:val="right"/>
            </w:pPr>
            <w:r>
              <w:rPr>
                <w:rFonts w:ascii="Arial" w:hAnsi="Arial"/>
                <w:sz w:val="18"/>
              </w:rPr>
              <w:t>206.623745</w:t>
            </w:r>
          </w:p>
        </w:tc>
        <w:tc>
          <w:tcPr>
            <w:tcW w:type="dxa" w:w="1290"/>
            <w:shd w:fill="F2F6FC" w:val="clear"/>
          </w:tcPr>
          <w:p>
            <w:pPr>
              <w:jc w:val="right"/>
            </w:pPr>
            <w:r>
              <w:rPr>
                <w:rFonts w:ascii="Arial" w:hAnsi="Arial"/>
                <w:sz w:val="18"/>
              </w:rPr>
              <w:t>73,693.74</w:t>
            </w:r>
          </w:p>
        </w:tc>
        <w:tc>
          <w:tcPr>
            <w:tcW w:type="dxa" w:w="1290"/>
            <w:shd w:fill="F2F6FC" w:val="clear"/>
          </w:tcPr>
          <w:p>
            <w:pPr>
              <w:jc w:val="right"/>
            </w:pPr>
            <w:r>
              <w:rPr>
                <w:rFonts w:ascii="Arial" w:hAnsi="Arial"/>
                <w:sz w:val="18"/>
              </w:rPr>
              <w:t>49,718.26</w:t>
            </w:r>
          </w:p>
        </w:tc>
        <w:tc>
          <w:tcPr>
            <w:tcW w:type="dxa" w:w="1290"/>
            <w:shd w:fill="F2F6FC" w:val="clear"/>
          </w:tcPr>
          <w:p>
            <w:pPr>
              <w:jc w:val="right"/>
            </w:pPr>
            <w:r>
              <w:rPr>
                <w:rFonts w:ascii="Arial" w:hAnsi="Arial"/>
                <w:sz w:val="18"/>
              </w:rPr>
              <w:t>13.41%</w:t>
            </w:r>
          </w:p>
        </w:tc>
        <w:tc>
          <w:tcPr>
            <w:tcW w:type="dxa" w:w="1290"/>
            <w:shd w:fill="F2F6FC" w:val="clear"/>
          </w:tcPr>
          <w:p>
            <w:pPr>
              <w:jc w:val="right"/>
            </w:pPr>
            <w:r>
              <w:rPr>
                <w:rFonts w:ascii="Arial" w:hAnsi="Arial"/>
                <w:sz w:val="18"/>
              </w:rPr>
              <w:t>0.34%</w:t>
            </w:r>
          </w:p>
        </w:tc>
        <w:tc>
          <w:tcPr>
            <w:tcW w:type="dxa" w:w="1290"/>
            <w:shd w:fill="F2F6FC" w:val="clear"/>
          </w:tcPr>
          <w:p>
            <w:pPr>
              <w:jc w:val="right"/>
            </w:pPr>
            <w:r>
              <w:rPr>
                <w:rFonts w:ascii="Arial" w:hAnsi="Arial"/>
                <w:sz w:val="18"/>
              </w:rPr>
              <w:t>3.42</w:t>
            </w:r>
          </w:p>
        </w:tc>
      </w:tr>
    </w:tbl>
    <w:p>
      <w:r>
        <w:rPr>
          <w:rFonts w:ascii="Arial" w:hAnsi="Arial"/>
          <w:i/>
          <w:sz w:val="16"/>
        </w:rPr>
        <w:t>Source: Source: Internal PCAF calculation system. Gross emissions represent unadjusted attributed emissions; weighted emissions apply PCAF confidence factors. Outstanding amounts as of 2024-12-31.</w:t>
      </w:r>
    </w:p>
    <w:p/>
    <w:p>
      <w:r>
        <w:rPr>
          <w:rFonts w:ascii="Arial" w:hAnsi="Arial"/>
          <w:b/>
          <w:sz w:val="20"/>
        </w:rPr>
        <w:t>Table 2: PCAF Data Quality Score Distribution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PCAF Score</w:t>
            </w:r>
          </w:p>
        </w:tc>
        <w:tc>
          <w:tcPr>
            <w:tcW w:type="dxa" w:w="1806"/>
            <w:shd w:fill="1B3A6B" w:val="clear"/>
          </w:tcPr>
          <w:p>
            <w:r>
              <w:rPr>
                <w:rFonts w:ascii="Arial" w:hAnsi="Arial"/>
                <w:b/>
                <w:color w:val="FFFFFF"/>
                <w:sz w:val="18"/>
              </w:rPr>
              <w:t>Data Quality Tier</w:t>
            </w:r>
          </w:p>
        </w:tc>
        <w:tc>
          <w:tcPr>
            <w:tcW w:type="dxa" w:w="1806"/>
            <w:shd w:fill="1B3A6B" w:val="clear"/>
          </w:tcPr>
          <w:p>
            <w:r>
              <w:rPr>
                <w:rFonts w:ascii="Arial" w:hAnsi="Arial"/>
                <w:b/>
                <w:color w:val="FFFFFF"/>
                <w:sz w:val="18"/>
              </w:rPr>
              <w:t>Confidence Factor</w:t>
            </w:r>
          </w:p>
        </w:tc>
        <w:tc>
          <w:tcPr>
            <w:tcW w:type="dxa" w:w="1806"/>
            <w:shd w:fill="1B3A6B" w:val="clear"/>
          </w:tcPr>
          <w:p>
            <w:r>
              <w:rPr>
                <w:rFonts w:ascii="Arial" w:hAnsi="Arial"/>
                <w:b/>
                <w:color w:val="FFFFFF"/>
                <w:sz w:val="18"/>
              </w:rPr>
              <w:t>% of Portfolio (by Outstanding)</w:t>
            </w:r>
          </w:p>
        </w:tc>
        <w:tc>
          <w:tcPr>
            <w:tcW w:type="dxa" w:w="1806"/>
            <w:shd w:fill="1B3A6B" w:val="clear"/>
          </w:tcPr>
          <w:p>
            <w:r>
              <w:rPr>
                <w:rFonts w:ascii="Arial" w:hAnsi="Arial"/>
                <w:b/>
                <w:color w:val="FFFFFF"/>
                <w:sz w:val="18"/>
              </w:rPr>
              <w:t>% of Financed Emissions</w:t>
            </w:r>
          </w:p>
        </w:tc>
      </w:tr>
      <w:tr>
        <w:tc>
          <w:tcPr>
            <w:tcW w:type="dxa" w:w="1806"/>
          </w:tcPr>
          <w:p>
            <w:pPr>
              <w:jc w:val="right"/>
            </w:pPr>
            <w:r>
              <w:rPr>
                <w:rFonts w:ascii="Arial" w:hAnsi="Arial"/>
                <w:sz w:val="18"/>
              </w:rPr>
              <w:t>1</w:t>
            </w:r>
          </w:p>
        </w:tc>
        <w:tc>
          <w:tcPr>
            <w:tcW w:type="dxa" w:w="1806"/>
          </w:tcPr>
          <w:p>
            <w:r>
              <w:rPr>
                <w:rFonts w:ascii="Arial" w:hAnsi="Arial"/>
                <w:sz w:val="18"/>
              </w:rPr>
              <w:t>Verified emissions data</w:t>
            </w:r>
          </w:p>
        </w:tc>
        <w:tc>
          <w:tcPr>
            <w:tcW w:type="dxa" w:w="1806"/>
          </w:tcPr>
          <w:p>
            <w:pPr>
              <w:jc w:val="right"/>
            </w:pPr>
            <w:r>
              <w:rPr>
                <w:rFonts w:ascii="Arial" w:hAnsi="Arial"/>
                <w:sz w:val="18"/>
              </w:rPr>
              <w:t>1.00</w:t>
            </w:r>
          </w:p>
        </w:tc>
        <w:tc>
          <w:tcPr>
            <w:tcW w:type="dxa" w:w="1806"/>
          </w:tcPr>
          <w:p>
            <w:pPr>
              <w:jc w:val="right"/>
            </w:pPr>
            <w:r>
              <w:rPr>
                <w:rFonts w:ascii="Arial" w:hAnsi="Arial"/>
                <w:sz w:val="18"/>
              </w:rPr>
              <w:t>0.00%</w:t>
            </w:r>
          </w:p>
        </w:tc>
        <w:tc>
          <w:tcPr>
            <w:tcW w:type="dxa" w:w="1806"/>
          </w:tcPr>
          <w:p>
            <w:pPr>
              <w:jc w:val="right"/>
            </w:pPr>
            <w:r>
              <w:rPr>
                <w:rFonts w:ascii="Arial" w:hAnsi="Arial"/>
                <w:sz w:val="18"/>
              </w:rPr>
              <w:t>0.00%</w:t>
            </w:r>
          </w:p>
        </w:tc>
      </w:tr>
      <w:tr>
        <w:tc>
          <w:tcPr>
            <w:tcW w:type="dxa" w:w="1806"/>
            <w:shd w:fill="F2F6FC" w:val="clear"/>
          </w:tcPr>
          <w:p>
            <w:pPr>
              <w:jc w:val="right"/>
            </w:pPr>
            <w:r>
              <w:rPr>
                <w:rFonts w:ascii="Arial" w:hAnsi="Arial"/>
                <w:sz w:val="18"/>
              </w:rPr>
              <w:t>2</w:t>
            </w:r>
          </w:p>
        </w:tc>
        <w:tc>
          <w:tcPr>
            <w:tcW w:type="dxa" w:w="1806"/>
            <w:shd w:fill="F2F6FC" w:val="clear"/>
          </w:tcPr>
          <w:p>
            <w:r>
              <w:rPr>
                <w:rFonts w:ascii="Arial" w:hAnsi="Arial"/>
                <w:sz w:val="18"/>
              </w:rPr>
              <w:t>Reported, unverified</w:t>
            </w:r>
          </w:p>
        </w:tc>
        <w:tc>
          <w:tcPr>
            <w:tcW w:type="dxa" w:w="1806"/>
            <w:shd w:fill="F2F6FC" w:val="clear"/>
          </w:tcPr>
          <w:p>
            <w:pPr>
              <w:jc w:val="right"/>
            </w:pPr>
            <w:r>
              <w:rPr>
                <w:rFonts w:ascii="Arial" w:hAnsi="Arial"/>
                <w:sz w:val="18"/>
              </w:rPr>
              <w:t>0.90</w:t>
            </w:r>
          </w:p>
        </w:tc>
        <w:tc>
          <w:tcPr>
            <w:tcW w:type="dxa" w:w="1806"/>
            <w:shd w:fill="F2F6FC" w:val="clear"/>
          </w:tcPr>
          <w:p>
            <w:pPr>
              <w:jc w:val="right"/>
            </w:pPr>
            <w:r>
              <w:rPr>
                <w:rFonts w:ascii="Arial" w:hAnsi="Arial"/>
                <w:sz w:val="18"/>
              </w:rPr>
              <w:t>0.00%</w:t>
            </w:r>
          </w:p>
        </w:tc>
        <w:tc>
          <w:tcPr>
            <w:tcW w:type="dxa" w:w="1806"/>
            <w:shd w:fill="F2F6FC" w:val="clear"/>
          </w:tcPr>
          <w:p>
            <w:pPr>
              <w:jc w:val="right"/>
            </w:pPr>
            <w:r>
              <w:rPr>
                <w:rFonts w:ascii="Arial" w:hAnsi="Arial"/>
                <w:sz w:val="18"/>
              </w:rPr>
              <w:t>0.00%</w:t>
            </w:r>
          </w:p>
        </w:tc>
      </w:tr>
      <w:tr>
        <w:tc>
          <w:tcPr>
            <w:tcW w:type="dxa" w:w="1806"/>
          </w:tcPr>
          <w:p>
            <w:pPr>
              <w:jc w:val="right"/>
            </w:pPr>
            <w:r>
              <w:rPr>
                <w:rFonts w:ascii="Arial" w:hAnsi="Arial"/>
                <w:sz w:val="18"/>
              </w:rPr>
              <w:t>3</w:t>
            </w:r>
          </w:p>
        </w:tc>
        <w:tc>
          <w:tcPr>
            <w:tcW w:type="dxa" w:w="1806"/>
          </w:tcPr>
          <w:p>
            <w:r>
              <w:rPr>
                <w:rFonts w:ascii="Arial" w:hAnsi="Arial"/>
                <w:sz w:val="18"/>
              </w:rPr>
              <w:t>EEIO + revenue</w:t>
            </w:r>
          </w:p>
        </w:tc>
        <w:tc>
          <w:tcPr>
            <w:tcW w:type="dxa" w:w="1806"/>
          </w:tcPr>
          <w:p>
            <w:pPr>
              <w:jc w:val="right"/>
            </w:pPr>
            <w:r>
              <w:rPr>
                <w:rFonts w:ascii="Arial" w:hAnsi="Arial"/>
                <w:sz w:val="18"/>
              </w:rPr>
              <w:t>0.75</w:t>
            </w:r>
          </w:p>
        </w:tc>
        <w:tc>
          <w:tcPr>
            <w:tcW w:type="dxa" w:w="1806"/>
          </w:tcPr>
          <w:p>
            <w:pPr>
              <w:jc w:val="right"/>
            </w:pPr>
            <w:r>
              <w:rPr>
                <w:rFonts w:ascii="Arial" w:hAnsi="Arial"/>
                <w:sz w:val="18"/>
              </w:rPr>
              <w:t>42.18%</w:t>
            </w:r>
          </w:p>
        </w:tc>
        <w:tc>
          <w:tcPr>
            <w:tcW w:type="dxa" w:w="1806"/>
          </w:tcPr>
          <w:p>
            <w:pPr>
              <w:jc w:val="right"/>
            </w:pPr>
            <w:r>
              <w:rPr>
                <w:rFonts w:ascii="Arial" w:hAnsi="Arial"/>
                <w:sz w:val="18"/>
              </w:rPr>
              <w:t>38.92%</w:t>
            </w:r>
          </w:p>
        </w:tc>
      </w:tr>
      <w:tr>
        <w:tc>
          <w:tcPr>
            <w:tcW w:type="dxa" w:w="1806"/>
            <w:shd w:fill="F2F6FC" w:val="clear"/>
          </w:tcPr>
          <w:p>
            <w:pPr>
              <w:jc w:val="right"/>
            </w:pPr>
            <w:r>
              <w:rPr>
                <w:rFonts w:ascii="Arial" w:hAnsi="Arial"/>
                <w:sz w:val="18"/>
              </w:rPr>
              <w:t>4</w:t>
            </w:r>
          </w:p>
        </w:tc>
        <w:tc>
          <w:tcPr>
            <w:tcW w:type="dxa" w:w="1806"/>
            <w:shd w:fill="F2F6FC" w:val="clear"/>
          </w:tcPr>
          <w:p>
            <w:r>
              <w:rPr>
                <w:rFonts w:ascii="Arial" w:hAnsi="Arial"/>
                <w:sz w:val="18"/>
              </w:rPr>
              <w:t>EEIO + assets</w:t>
            </w:r>
          </w:p>
        </w:tc>
        <w:tc>
          <w:tcPr>
            <w:tcW w:type="dxa" w:w="1806"/>
            <w:shd w:fill="F2F6FC" w:val="clear"/>
          </w:tcPr>
          <w:p>
            <w:pPr>
              <w:jc w:val="right"/>
            </w:pPr>
            <w:r>
              <w:rPr>
                <w:rFonts w:ascii="Arial" w:hAnsi="Arial"/>
                <w:sz w:val="18"/>
              </w:rPr>
              <w:t>0.60</w:t>
            </w:r>
          </w:p>
        </w:tc>
        <w:tc>
          <w:tcPr>
            <w:tcW w:type="dxa" w:w="1806"/>
            <w:shd w:fill="F2F6FC" w:val="clear"/>
          </w:tcPr>
          <w:p>
            <w:pPr>
              <w:jc w:val="right"/>
            </w:pPr>
            <w:r>
              <w:rPr>
                <w:rFonts w:ascii="Arial" w:hAnsi="Arial"/>
                <w:sz w:val="18"/>
              </w:rPr>
              <w:t>35.67%</w:t>
            </w:r>
          </w:p>
        </w:tc>
        <w:tc>
          <w:tcPr>
            <w:tcW w:type="dxa" w:w="1806"/>
            <w:shd w:fill="F2F6FC" w:val="clear"/>
          </w:tcPr>
          <w:p>
            <w:pPr>
              <w:jc w:val="right"/>
            </w:pPr>
            <w:r>
              <w:rPr>
                <w:rFonts w:ascii="Arial" w:hAnsi="Arial"/>
                <w:sz w:val="18"/>
              </w:rPr>
              <w:t>41.23%</w:t>
            </w:r>
          </w:p>
        </w:tc>
      </w:tr>
      <w:tr>
        <w:tc>
          <w:tcPr>
            <w:tcW w:type="dxa" w:w="1806"/>
          </w:tcPr>
          <w:p>
            <w:pPr>
              <w:jc w:val="right"/>
            </w:pPr>
            <w:r>
              <w:rPr>
                <w:rFonts w:ascii="Arial" w:hAnsi="Arial"/>
                <w:sz w:val="18"/>
              </w:rPr>
              <w:t>5</w:t>
            </w:r>
          </w:p>
        </w:tc>
        <w:tc>
          <w:tcPr>
            <w:tcW w:type="dxa" w:w="1806"/>
          </w:tcPr>
          <w:p>
            <w:r>
              <w:rPr>
                <w:rFonts w:ascii="Arial" w:hAnsi="Arial"/>
                <w:sz w:val="18"/>
              </w:rPr>
              <w:t>Sector-average proxy</w:t>
            </w:r>
          </w:p>
        </w:tc>
        <w:tc>
          <w:tcPr>
            <w:tcW w:type="dxa" w:w="1806"/>
          </w:tcPr>
          <w:p>
            <w:pPr>
              <w:jc w:val="right"/>
            </w:pPr>
            <w:r>
              <w:rPr>
                <w:rFonts w:ascii="Arial" w:hAnsi="Arial"/>
                <w:sz w:val="18"/>
              </w:rPr>
              <w:t>0.45</w:t>
            </w:r>
          </w:p>
        </w:tc>
        <w:tc>
          <w:tcPr>
            <w:tcW w:type="dxa" w:w="1806"/>
          </w:tcPr>
          <w:p>
            <w:pPr>
              <w:jc w:val="right"/>
            </w:pPr>
            <w:r>
              <w:rPr>
                <w:rFonts w:ascii="Arial" w:hAnsi="Arial"/>
                <w:sz w:val="18"/>
              </w:rPr>
              <w:t>22.15%</w:t>
            </w:r>
          </w:p>
        </w:tc>
        <w:tc>
          <w:tcPr>
            <w:tcW w:type="dxa" w:w="1806"/>
          </w:tcPr>
          <w:p>
            <w:pPr>
              <w:jc w:val="right"/>
            </w:pPr>
            <w:r>
              <w:rPr>
                <w:rFonts w:ascii="Arial" w:hAnsi="Arial"/>
                <w:sz w:val="18"/>
              </w:rPr>
              <w:t>19.85%</w:t>
            </w:r>
          </w:p>
        </w:tc>
      </w:tr>
    </w:tbl>
    <w:p>
      <w:r>
        <w:rPr>
          <w:rFonts w:ascii="Arial" w:hAnsi="Arial"/>
          <w:i/>
          <w:sz w:val="16"/>
        </w:rPr>
        <w:t>Source: Source: Internal PCAF data quality assessment. Portfolio-weighted average score: 3.36. Distribution percentages are estimated based on sector-level average scores.</w:t>
      </w:r>
    </w:p>
    <w:p/>
    <w:p>
      <w:r>
        <w:rPr>
          <w:i/>
          <w:color w:val="3D6094"/>
          <w:sz w:val="18"/>
        </w:rPr>
        <w:t>Framework references: GRI 305-3 (Other Indirect Scope 3 GHG Emissions); PCAF Global GHG Accounting and Reporting Standard for the Financial Industry (2022); GHG Protocol Corporate Value Chain (Scope 3) Accounting and Reporting Standard - Category 15</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are calculated using the PCAF Global GHG Accounting Standard (2022 edition). The attribution factor methodology allocates emissions proportionally based on the organization's share of total borrower financing.</w:t>
      </w:r>
    </w:p>
    <w:p>
      <w:pPr>
        <w:spacing w:after="160" w:line="276" w:lineRule="auto"/>
        <w:jc w:val="both"/>
      </w:pPr>
      <w:r>
        <w:rPr>
          <w:rFonts w:ascii="Arial" w:hAnsi="Arial"/>
          <w:i/>
          <w:color w:val="646464"/>
          <w:sz w:val="18"/>
        </w:rPr>
        <w:t>Gross financed emissions represent total attributed emissions without data quality adjustment. Confidence-weighted financed emissions apply PCAF confidence factors (0.45 to 1.00) based on data source quality, resulting in systematically lower values.</w:t>
      </w:r>
    </w:p>
    <w:p>
      <w:pPr>
        <w:spacing w:after="160" w:line="276" w:lineRule="auto"/>
        <w:jc w:val="both"/>
      </w:pPr>
      <w:r>
        <w:rPr>
          <w:rFonts w:ascii="Arial" w:hAnsi="Arial"/>
          <w:i/>
          <w:color w:val="646464"/>
          <w:sz w:val="18"/>
        </w:rPr>
        <w:t>PCAF data quality scores range from 1 (highest quality, verified emissions data) to 5 (lowest quality, sector-average proxy). The portfolio-weighted average score of 3.36 indicates predominant reliance on economic input-output models combined with revenue or asset data.</w:t>
      </w:r>
    </w:p>
    <w:p>
      <w:pPr>
        <w:spacing w:after="160" w:line="276" w:lineRule="auto"/>
        <w:jc w:val="both"/>
      </w:pPr>
      <w:r>
        <w:rPr>
          <w:rFonts w:ascii="Arial" w:hAnsi="Arial"/>
          <w:i/>
          <w:color w:val="646464"/>
          <w:sz w:val="18"/>
        </w:rPr>
        <w:t>Sector classifications follow NACE Rev. 2 taxonomy. Emission intensity metrics are calculated as gross financed emissions divided by total outstanding amount for each sector.</w:t>
      </w:r>
    </w:p>
    <w:p>
      <w:pPr>
        <w:spacing w:after="160" w:line="276" w:lineRule="auto"/>
        <w:jc w:val="both"/>
      </w:pPr>
      <w:r>
        <w:rPr>
          <w:rFonts w:ascii="Arial" w:hAnsi="Arial"/>
          <w:i/>
          <w:color w:val="646464"/>
          <w:sz w:val="18"/>
        </w:rPr>
        <w:t>Prior year comparative figures: 2023 gross financed emissions 22,911,991.05 tCO2e; 2023 confidence-weighted financed emissions 15,576,239.57 tCO2e.</w:t>
      </w:r>
    </w:p>
    <w:p>
      <w:pPr>
        <w:spacing w:after="160" w:line="276" w:lineRule="auto"/>
        <w:jc w:val="both"/>
      </w:pPr>
      <w:r>
        <w:rPr>
          <w:rFonts w:ascii="Arial" w:hAnsi="Arial"/>
          <w:i/>
          <w:color w:val="646464"/>
          <w:sz w:val="18"/>
        </w:rPr>
        <w:t>GRI Content Index: 305-3 | Other indirect (Scope 3) GHG emissions | Section 4.3 - Financed Emissions</w:t>
      </w:r>
    </w:p>
    <w:p>
      <w:r>
        <w:br w:type="page"/>
      </w:r>
    </w:p>
    <w:p>
      <w:pPr>
        <w:pStyle w:val="Heading1"/>
        <w:keepNext/>
        <w:spacing w:before="480" w:after="240"/>
      </w:pPr>
      <w:r>
        <w:rPr>
          <w:rFonts w:ascii="Arial" w:hAnsi="Arial"/>
          <w:b/>
          <w:color w:val="1B3A6B"/>
          <w:sz w:val="36"/>
        </w:rPr>
        <w:t>Executive Summary: Total GHG Emissions</w:t>
      </w:r>
    </w:p>
    <w:p>
      <w:pPr>
        <w:spacing w:after="160" w:line="276" w:lineRule="auto"/>
        <w:jc w:val="both"/>
      </w:pPr>
      <w:r>
        <w:rPr>
          <w:rFonts w:ascii="Arial" w:hAnsi="Arial"/>
          <w:sz w:val="22"/>
        </w:rPr>
        <w:t>The institution's total greenhouse gas footprint for the reporting period ending 31 December 2024 was 22,024,813.17 tCO2e, calculated as the sum of Scope 1 direct emissions (3,402.997 tCO2e), Scope 2 indirect emissions using the market-based method (44,612.518 tCO2e), and Scope 3 Category 15 financed emissions on a gross basis (21,976,797.3 tCO2e). This total reflects the institution's operational control consolidation approach and includes emissions from all material sources across the value chain.</w:t>
      </w:r>
    </w:p>
    <w:p>
      <w:pPr>
        <w:spacing w:after="160" w:line="276" w:lineRule="auto"/>
        <w:jc w:val="both"/>
      </w:pPr>
      <w:r>
        <w:rPr>
          <w:rFonts w:ascii="Arial" w:hAnsi="Arial"/>
          <w:sz w:val="22"/>
        </w:rPr>
        <w:t>Scope 3 Category 15 financed emissions constituted 99.78% of the institution's total GHG footprint, reflecting the materiality of lending and investment activities for financial institutions. Scope 2 indirect emissions from purchased electricity represented 0.20% of the total footprint (44,612.518 tCO2e market-based), while Scope 1 direct emissions from natural gas combustion and diesel generators accounted for 0.02% (3,402.997 tCO2e). Within Scope 1 emissions, diesel combustion contributed 2,203.2044 tCO2e and natural gas combustion contributed 1,199.7924 tCO2e. The location-based Scope 2 total was 44,613.876 tCO2e, differing from the market-based figure by 1.358 tCO2e due to contractual instrument adjustments.</w:t>
      </w:r>
    </w:p>
    <w:p>
      <w:pPr>
        <w:spacing w:after="160" w:line="276" w:lineRule="auto"/>
        <w:jc w:val="both"/>
      </w:pPr>
      <w:r>
        <w:rPr>
          <w:rFonts w:ascii="Arial" w:hAnsi="Arial"/>
          <w:sz w:val="22"/>
        </w:rPr>
        <w:t>The institution's GHG emissions intensity for 2024 was 239.400139 tCO2e per IDR billion of operating revenue and 1.9209 tCO2e per full-time equivalent employee. These intensity metrics enable normalization of emissions performance relative to business activity and workforce size. The revenue-based intensity metric uses market-based Scope 2 emissions in the numerator, consistent with the GHG Protocol Corporate Value Chain (Scope 3) Accounting and Reporting Standard hierarchy for dual reporting.</w:t>
      </w:r>
    </w:p>
    <w:p>
      <w:pPr>
        <w:spacing w:after="160" w:line="276" w:lineRule="auto"/>
        <w:jc w:val="both"/>
      </w:pPr>
      <w:r>
        <w:rPr>
          <w:rFonts w:ascii="Arial" w:hAnsi="Arial"/>
          <w:sz w:val="22"/>
        </w:rPr>
        <w:t>Total GHG emissions decreased by 4.07% compared to the prior reporting period (2023), driven primarily by a reduction in Scope 3 Category 15 financed emissions. The institution's financed emissions on a weighted attribution basis declined from 15,576,239.57 tCO2e in 2023 to 15,280,174.14 tCO2e in 2024. Scope 1 emissions increased by 2.36% year-over-year (from 3,324.521 tCO2e to 3,402.997 tCO2e), while Scope 2 market-based emissions increased by 0.03% (from 44,598.118 tCO2e to 44,612.518 tCO2e). The base year for emissions tracking is 2023, representing a 4.07% reduction from base year levels.</w:t>
      </w:r>
    </w:p>
    <w:p>
      <w:pPr>
        <w:spacing w:after="160" w:line="276" w:lineRule="auto"/>
        <w:jc w:val="both"/>
      </w:pPr>
      <w:r>
        <w:rPr>
          <w:rFonts w:ascii="Arial" w:hAnsi="Arial"/>
          <w:sz w:val="22"/>
        </w:rPr>
        <w:t>The average PCAF data quality score for the institution's financed emissions portfolio was 3.36 on a scale of 1 (highest quality) to 5 (lowest quality), indicating reliance on sector-average emission factors for a significant portion of the portfolio. Data quality varied by sector, with Real Estate - Commercial achieving the highest quality score (3.27) and Financial Services recording the lowest quality score (3.42). The institution has identified data quality improvement as a strategic priority for future reporting periods, with planned initiatives to increase borrower-specific emissions data collection and reduce reliance on proxy methodologies.</w:t>
      </w:r>
    </w:p>
    <w:p>
      <w:r>
        <w:rPr>
          <w:rFonts w:ascii="Arial" w:hAnsi="Arial"/>
          <w:b/>
          <w:sz w:val="20"/>
        </w:rPr>
        <w:t>Table 1: Total GHG Emissions by Scope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Emissions (tCO2e)</w:t>
            </w:r>
          </w:p>
        </w:tc>
        <w:tc>
          <w:tcPr>
            <w:tcW w:type="dxa" w:w="2257"/>
            <w:shd w:fill="1B3A6B" w:val="clear"/>
          </w:tcPr>
          <w:p>
            <w:r>
              <w:rPr>
                <w:rFonts w:ascii="Arial" w:hAnsi="Arial"/>
                <w:b/>
                <w:color w:val="FFFFFF"/>
                <w:sz w:val="18"/>
              </w:rPr>
              <w:t>% of Total</w:t>
            </w:r>
          </w:p>
        </w:tc>
        <w:tc>
          <w:tcPr>
            <w:tcW w:type="dxa" w:w="2257"/>
            <w:shd w:fill="1B3A6B" w:val="clear"/>
          </w:tcPr>
          <w:p>
            <w:r>
              <w:rPr>
                <w:rFonts w:ascii="Arial" w:hAnsi="Arial"/>
                <w:b/>
                <w:color w:val="FFFFFF"/>
                <w:sz w:val="18"/>
              </w:rPr>
              <w:t>Methodology</w:t>
            </w:r>
          </w:p>
        </w:tc>
      </w:tr>
      <w:tr>
        <w:tc>
          <w:tcPr>
            <w:tcW w:type="dxa" w:w="2257"/>
          </w:tcPr>
          <w:p>
            <w:r>
              <w:rPr>
                <w:rFonts w:ascii="Arial" w:hAnsi="Arial"/>
                <w:sz w:val="18"/>
              </w:rPr>
              <w:t>Scope 1 (Direct)</w:t>
            </w:r>
          </w:p>
        </w:tc>
        <w:tc>
          <w:tcPr>
            <w:tcW w:type="dxa" w:w="2257"/>
          </w:tcPr>
          <w:p>
            <w:pPr>
              <w:jc w:val="right"/>
            </w:pPr>
            <w:r>
              <w:rPr>
                <w:rFonts w:ascii="Arial" w:hAnsi="Arial"/>
                <w:sz w:val="18"/>
              </w:rPr>
              <w:t>3,402.997</w:t>
            </w:r>
          </w:p>
        </w:tc>
        <w:tc>
          <w:tcPr>
            <w:tcW w:type="dxa" w:w="2257"/>
          </w:tcPr>
          <w:p>
            <w:pPr>
              <w:jc w:val="right"/>
            </w:pPr>
            <w:r>
              <w:rPr>
                <w:rFonts w:ascii="Arial" w:hAnsi="Arial"/>
                <w:sz w:val="18"/>
              </w:rPr>
              <w:t>0.02%</w:t>
            </w:r>
          </w:p>
        </w:tc>
        <w:tc>
          <w:tcPr>
            <w:tcW w:type="dxa" w:w="2257"/>
          </w:tcPr>
          <w:p>
            <w:r>
              <w:rPr>
                <w:rFonts w:ascii="Arial" w:hAnsi="Arial"/>
                <w:sz w:val="18"/>
              </w:rPr>
              <w:t>Operational control</w:t>
            </w:r>
          </w:p>
        </w:tc>
      </w:tr>
      <w:tr>
        <w:tc>
          <w:tcPr>
            <w:tcW w:type="dxa" w:w="2257"/>
            <w:shd w:fill="F2F6FC" w:val="clear"/>
          </w:tcPr>
          <w:p>
            <w:r>
              <w:rPr>
                <w:rFonts w:ascii="Arial" w:hAnsi="Arial"/>
                <w:sz w:val="18"/>
              </w:rPr>
              <w:t>Scope 2 (Indirect - Market-based)</w:t>
            </w:r>
          </w:p>
        </w:tc>
        <w:tc>
          <w:tcPr>
            <w:tcW w:type="dxa" w:w="2257"/>
            <w:shd w:fill="F2F6FC" w:val="clear"/>
          </w:tcPr>
          <w:p>
            <w:pPr>
              <w:jc w:val="right"/>
            </w:pPr>
            <w:r>
              <w:rPr>
                <w:rFonts w:ascii="Arial" w:hAnsi="Arial"/>
                <w:sz w:val="18"/>
              </w:rPr>
              <w:t>44,612.518</w:t>
            </w:r>
          </w:p>
        </w:tc>
        <w:tc>
          <w:tcPr>
            <w:tcW w:type="dxa" w:w="2257"/>
            <w:shd w:fill="F2F6FC" w:val="clear"/>
          </w:tcPr>
          <w:p>
            <w:pPr>
              <w:jc w:val="right"/>
            </w:pPr>
            <w:r>
              <w:rPr>
                <w:rFonts w:ascii="Arial" w:hAnsi="Arial"/>
                <w:sz w:val="18"/>
              </w:rPr>
              <w:t>0.20%</w:t>
            </w:r>
          </w:p>
        </w:tc>
        <w:tc>
          <w:tcPr>
            <w:tcW w:type="dxa" w:w="2257"/>
            <w:shd w:fill="F2F6FC" w:val="clear"/>
          </w:tcPr>
          <w:p>
            <w:r>
              <w:rPr>
                <w:rFonts w:ascii="Arial" w:hAnsi="Arial"/>
                <w:sz w:val="18"/>
              </w:rPr>
              <w:t>Market-based method</w:t>
            </w:r>
          </w:p>
        </w:tc>
      </w:tr>
      <w:tr>
        <w:tc>
          <w:tcPr>
            <w:tcW w:type="dxa" w:w="2257"/>
          </w:tcPr>
          <w:p>
            <w:r>
              <w:rPr>
                <w:rFonts w:ascii="Arial" w:hAnsi="Arial"/>
                <w:sz w:val="18"/>
              </w:rPr>
              <w:t>Scope 2 (Indirect - Location-based)</w:t>
            </w:r>
          </w:p>
        </w:tc>
        <w:tc>
          <w:tcPr>
            <w:tcW w:type="dxa" w:w="2257"/>
          </w:tcPr>
          <w:p>
            <w:pPr>
              <w:jc w:val="right"/>
            </w:pPr>
            <w:r>
              <w:rPr>
                <w:rFonts w:ascii="Arial" w:hAnsi="Arial"/>
                <w:sz w:val="18"/>
              </w:rPr>
              <w:t>44,613.876</w:t>
            </w:r>
          </w:p>
        </w:tc>
        <w:tc>
          <w:tcPr>
            <w:tcW w:type="dxa" w:w="2257"/>
          </w:tcPr>
          <w:p>
            <w:pPr>
              <w:jc w:val="right"/>
            </w:pPr>
            <w:r>
              <w:rPr>
                <w:rFonts w:ascii="Arial" w:hAnsi="Arial"/>
                <w:sz w:val="18"/>
              </w:rPr>
              <w:t>0.20%</w:t>
            </w:r>
          </w:p>
        </w:tc>
        <w:tc>
          <w:tcPr>
            <w:tcW w:type="dxa" w:w="2257"/>
          </w:tcPr>
          <w:p>
            <w:r>
              <w:rPr>
                <w:rFonts w:ascii="Arial" w:hAnsi="Arial"/>
                <w:sz w:val="18"/>
              </w:rPr>
              <w:t>Location-based method (supplementary)</w:t>
            </w:r>
          </w:p>
        </w:tc>
      </w:tr>
      <w:tr>
        <w:tc>
          <w:tcPr>
            <w:tcW w:type="dxa" w:w="2257"/>
            <w:shd w:fill="F2F6FC" w:val="clear"/>
          </w:tcPr>
          <w:p>
            <w:r>
              <w:rPr>
                <w:rFonts w:ascii="Arial" w:hAnsi="Arial"/>
                <w:sz w:val="18"/>
              </w:rPr>
              <w:t>Scope 3 Category 15 (Financed - Gross)</w:t>
            </w:r>
          </w:p>
        </w:tc>
        <w:tc>
          <w:tcPr>
            <w:tcW w:type="dxa" w:w="2257"/>
            <w:shd w:fill="F2F6FC" w:val="clear"/>
          </w:tcPr>
          <w:p>
            <w:pPr>
              <w:jc w:val="right"/>
            </w:pPr>
            <w:r>
              <w:rPr>
                <w:rFonts w:ascii="Arial" w:hAnsi="Arial"/>
                <w:sz w:val="18"/>
              </w:rPr>
              <w:t>21,976,797.3</w:t>
            </w:r>
          </w:p>
        </w:tc>
        <w:tc>
          <w:tcPr>
            <w:tcW w:type="dxa" w:w="2257"/>
            <w:shd w:fill="F2F6FC" w:val="clear"/>
          </w:tcPr>
          <w:p>
            <w:pPr>
              <w:jc w:val="right"/>
            </w:pPr>
            <w:r>
              <w:rPr>
                <w:rFonts w:ascii="Arial" w:hAnsi="Arial"/>
                <w:sz w:val="18"/>
              </w:rPr>
              <w:t>99.78%</w:t>
            </w:r>
          </w:p>
        </w:tc>
        <w:tc>
          <w:tcPr>
            <w:tcW w:type="dxa" w:w="2257"/>
            <w:shd w:fill="F2F6FC" w:val="clear"/>
          </w:tcPr>
          <w:p>
            <w:r>
              <w:rPr>
                <w:rFonts w:ascii="Arial" w:hAnsi="Arial"/>
                <w:sz w:val="18"/>
              </w:rPr>
              <w:t>PCAF Standard (gross attribution)</w:t>
            </w:r>
          </w:p>
        </w:tc>
      </w:tr>
      <w:tr>
        <w:tc>
          <w:tcPr>
            <w:tcW w:type="dxa" w:w="2257"/>
          </w:tcPr>
          <w:p>
            <w:r>
              <w:rPr>
                <w:rFonts w:ascii="Arial" w:hAnsi="Arial"/>
                <w:sz w:val="18"/>
              </w:rPr>
              <w:t>Scope 3 Category 15 (Financed - Weighted)</w:t>
            </w:r>
          </w:p>
        </w:tc>
        <w:tc>
          <w:tcPr>
            <w:tcW w:type="dxa" w:w="2257"/>
          </w:tcPr>
          <w:p>
            <w:pPr>
              <w:jc w:val="right"/>
            </w:pPr>
            <w:r>
              <w:rPr>
                <w:rFonts w:ascii="Arial" w:hAnsi="Arial"/>
                <w:sz w:val="18"/>
              </w:rPr>
              <w:t>15,280,174.14</w:t>
            </w:r>
          </w:p>
        </w:tc>
        <w:tc>
          <w:tcPr>
            <w:tcW w:type="dxa" w:w="2257"/>
          </w:tcPr>
          <w:p>
            <w:r>
              <w:rPr>
                <w:rFonts w:ascii="Arial" w:hAnsi="Arial"/>
                <w:sz w:val="18"/>
              </w:rPr>
              <w:t>—</w:t>
            </w:r>
          </w:p>
        </w:tc>
        <w:tc>
          <w:tcPr>
            <w:tcW w:type="dxa" w:w="2257"/>
          </w:tcPr>
          <w:p>
            <w:r>
              <w:rPr>
                <w:rFonts w:ascii="Arial" w:hAnsi="Arial"/>
                <w:sz w:val="18"/>
              </w:rPr>
              <w:t>PCAF Standard (weighted attribution)</w:t>
            </w:r>
          </w:p>
        </w:tc>
      </w:tr>
      <w:tr>
        <w:tc>
          <w:tcPr>
            <w:tcW w:type="dxa" w:w="2257"/>
            <w:shd w:fill="F2F6FC" w:val="clear"/>
          </w:tcPr>
          <w:p>
            <w:r>
              <w:rPr>
                <w:rFonts w:ascii="Arial" w:hAnsi="Arial"/>
                <w:sz w:val="18"/>
              </w:rPr>
              <w:t>Total (Market-based Scope 2)</w:t>
            </w:r>
          </w:p>
        </w:tc>
        <w:tc>
          <w:tcPr>
            <w:tcW w:type="dxa" w:w="2257"/>
            <w:shd w:fill="F2F6FC" w:val="clear"/>
          </w:tcPr>
          <w:p>
            <w:pPr>
              <w:jc w:val="right"/>
            </w:pPr>
            <w:r>
              <w:rPr>
                <w:rFonts w:ascii="Arial" w:hAnsi="Arial"/>
                <w:sz w:val="18"/>
              </w:rPr>
              <w:t>22,024,813.17</w:t>
            </w:r>
          </w:p>
        </w:tc>
        <w:tc>
          <w:tcPr>
            <w:tcW w:type="dxa" w:w="2257"/>
            <w:shd w:fill="F2F6FC" w:val="clear"/>
          </w:tcPr>
          <w:p>
            <w:pPr>
              <w:jc w:val="right"/>
            </w:pPr>
            <w:r>
              <w:rPr>
                <w:rFonts w:ascii="Arial" w:hAnsi="Arial"/>
                <w:sz w:val="18"/>
              </w:rPr>
              <w:t>100.00%</w:t>
            </w:r>
          </w:p>
        </w:tc>
        <w:tc>
          <w:tcPr>
            <w:tcW w:type="dxa" w:w="2257"/>
            <w:shd w:fill="F2F6FC" w:val="clear"/>
          </w:tcPr>
          <w:p>
            <w:r>
              <w:rPr>
                <w:rFonts w:ascii="Arial" w:hAnsi="Arial"/>
                <w:sz w:val="18"/>
              </w:rPr>
              <w:t>Sum of Scope 1 + Scope 2 market + Scope 3 gross</w:t>
            </w:r>
          </w:p>
        </w:tc>
      </w:tr>
    </w:tbl>
    <w:p>
      <w:r>
        <w:rPr>
          <w:rFonts w:ascii="Arial" w:hAnsi="Arial"/>
          <w:i/>
          <w:sz w:val="16"/>
        </w:rPr>
        <w:t>Source: Source: Internal GHG accounting system. Market-based Scope 2 used in total per GHG Protocol hierarchy. Location-based total: 22,024,814.17 tCO2e.</w:t>
      </w:r>
    </w:p>
    <w:p/>
    <w:p>
      <w:r>
        <w:rPr>
          <w:rFonts w:ascii="Arial" w:hAnsi="Arial"/>
          <w:b/>
          <w:sz w:val="20"/>
        </w:rPr>
        <w:t>Table 2: GHG Emissions Intensity Metrics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Intensity Metric</w:t>
            </w:r>
          </w:p>
        </w:tc>
        <w:tc>
          <w:tcPr>
            <w:tcW w:type="dxa" w:w="2257"/>
            <w:shd w:fill="1B3A6B" w:val="clear"/>
          </w:tcPr>
          <w:p>
            <w:r>
              <w:rPr>
                <w:rFonts w:ascii="Arial" w:hAnsi="Arial"/>
                <w:b/>
                <w:color w:val="FFFFFF"/>
                <w:sz w:val="18"/>
              </w:rPr>
              <w:t>Value</w:t>
            </w:r>
          </w:p>
        </w:tc>
        <w:tc>
          <w:tcPr>
            <w:tcW w:type="dxa" w:w="2257"/>
            <w:shd w:fill="1B3A6B" w:val="clear"/>
          </w:tcPr>
          <w:p>
            <w:r>
              <w:rPr>
                <w:rFonts w:ascii="Arial" w:hAnsi="Arial"/>
                <w:b/>
                <w:color w:val="FFFFFF"/>
                <w:sz w:val="18"/>
              </w:rPr>
              <w:t>Unit</w:t>
            </w:r>
          </w:p>
        </w:tc>
        <w:tc>
          <w:tcPr>
            <w:tcW w:type="dxa" w:w="2257"/>
            <w:shd w:fill="1B3A6B" w:val="clear"/>
          </w:tcPr>
          <w:p>
            <w:r>
              <w:rPr>
                <w:rFonts w:ascii="Arial" w:hAnsi="Arial"/>
                <w:b/>
                <w:color w:val="FFFFFF"/>
                <w:sz w:val="18"/>
              </w:rPr>
              <w:t>Scope 2 Method</w:t>
            </w:r>
          </w:p>
        </w:tc>
      </w:tr>
      <w:tr>
        <w:tc>
          <w:tcPr>
            <w:tcW w:type="dxa" w:w="2257"/>
          </w:tcPr>
          <w:p>
            <w:r>
              <w:rPr>
                <w:rFonts w:ascii="Arial" w:hAnsi="Arial"/>
                <w:sz w:val="18"/>
              </w:rPr>
              <w:t>Revenue intensity</w:t>
            </w:r>
          </w:p>
        </w:tc>
        <w:tc>
          <w:tcPr>
            <w:tcW w:type="dxa" w:w="2257"/>
          </w:tcPr>
          <w:p>
            <w:pPr>
              <w:jc w:val="right"/>
            </w:pPr>
            <w:r>
              <w:rPr>
                <w:rFonts w:ascii="Arial" w:hAnsi="Arial"/>
                <w:sz w:val="18"/>
              </w:rPr>
              <w:t>239.400139</w:t>
            </w:r>
          </w:p>
        </w:tc>
        <w:tc>
          <w:tcPr>
            <w:tcW w:type="dxa" w:w="2257"/>
          </w:tcPr>
          <w:p>
            <w:r>
              <w:rPr>
                <w:rFonts w:ascii="Arial" w:hAnsi="Arial"/>
                <w:sz w:val="18"/>
              </w:rPr>
              <w:t>tCO2e per IDR billion</w:t>
            </w:r>
          </w:p>
        </w:tc>
        <w:tc>
          <w:tcPr>
            <w:tcW w:type="dxa" w:w="2257"/>
          </w:tcPr>
          <w:p>
            <w:r>
              <w:rPr>
                <w:rFonts w:ascii="Arial" w:hAnsi="Arial"/>
                <w:sz w:val="18"/>
              </w:rPr>
              <w:t>Market-based</w:t>
            </w:r>
          </w:p>
        </w:tc>
      </w:tr>
      <w:tr>
        <w:tc>
          <w:tcPr>
            <w:tcW w:type="dxa" w:w="2257"/>
            <w:shd w:fill="F2F6FC" w:val="clear"/>
          </w:tcPr>
          <w:p>
            <w:r>
              <w:rPr>
                <w:rFonts w:ascii="Arial" w:hAnsi="Arial"/>
                <w:sz w:val="18"/>
              </w:rPr>
              <w:t>Employee intensity</w:t>
            </w:r>
          </w:p>
        </w:tc>
        <w:tc>
          <w:tcPr>
            <w:tcW w:type="dxa" w:w="2257"/>
            <w:shd w:fill="F2F6FC" w:val="clear"/>
          </w:tcPr>
          <w:p>
            <w:pPr>
              <w:jc w:val="right"/>
            </w:pPr>
            <w:r>
              <w:rPr>
                <w:rFonts w:ascii="Arial" w:hAnsi="Arial"/>
                <w:sz w:val="18"/>
              </w:rPr>
              <w:t>1.9209</w:t>
            </w:r>
          </w:p>
        </w:tc>
        <w:tc>
          <w:tcPr>
            <w:tcW w:type="dxa" w:w="2257"/>
            <w:shd w:fill="F2F6FC" w:val="clear"/>
          </w:tcPr>
          <w:p>
            <w:r>
              <w:rPr>
                <w:rFonts w:ascii="Arial" w:hAnsi="Arial"/>
                <w:sz w:val="18"/>
              </w:rPr>
              <w:t>tCO2e per FTE</w:t>
            </w:r>
          </w:p>
        </w:tc>
        <w:tc>
          <w:tcPr>
            <w:tcW w:type="dxa" w:w="2257"/>
            <w:shd w:fill="F2F6FC" w:val="clear"/>
          </w:tcPr>
          <w:p>
            <w:r>
              <w:rPr>
                <w:rFonts w:ascii="Arial" w:hAnsi="Arial"/>
                <w:sz w:val="18"/>
              </w:rPr>
              <w:t>Market-based</w:t>
            </w:r>
          </w:p>
        </w:tc>
      </w:tr>
    </w:tbl>
    <w:p>
      <w:r>
        <w:rPr>
          <w:rFonts w:ascii="Arial" w:hAnsi="Arial"/>
          <w:i/>
          <w:sz w:val="16"/>
        </w:rPr>
        <w:t>Source: Source: Internal GHG accounting system and financial reporting system. Denominator for revenue intensity: total operating revenue for reporting period.</w:t>
      </w:r>
    </w:p>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Total GHG emissions calculated using market-based Scope 2 methodology per GHG Protocol Corporate Standard. Location-based total provided as supplementary information.</w:t>
      </w:r>
    </w:p>
    <w:p>
      <w:pPr>
        <w:spacing w:after="160" w:line="276" w:lineRule="auto"/>
        <w:jc w:val="both"/>
      </w:pPr>
      <w:r>
        <w:rPr>
          <w:rFonts w:ascii="Arial" w:hAnsi="Arial"/>
          <w:i/>
          <w:color w:val="646464"/>
          <w:sz w:val="18"/>
        </w:rPr>
        <w:t>Scope 3 Category 15 financed emissions calculated using the Partnership for Carbon Accounting Financials (PCAF) Global GHG Accounting and Reporting Standard for the Financial Industry (2022). Gross attribution method used for total footprint; weighted attribution method reflects proportional ownership.</w:t>
      </w:r>
    </w:p>
    <w:p>
      <w:pPr>
        <w:spacing w:after="160" w:line="276" w:lineRule="auto"/>
        <w:jc w:val="both"/>
      </w:pPr>
      <w:r>
        <w:rPr>
          <w:rFonts w:ascii="Arial" w:hAnsi="Arial"/>
          <w:i/>
          <w:color w:val="646464"/>
          <w:sz w:val="18"/>
        </w:rPr>
        <w:t>Base year for emissions tracking: 2023. Recalculation policy: base year emissions are restated if structural changes (mergers, acquisitions, divestments) exceed 5% of total emissions or if calculation methodology improvements result in material changes (&gt;5%) to base year figures.</w:t>
      </w:r>
    </w:p>
    <w:p>
      <w:pPr>
        <w:spacing w:after="160" w:line="276" w:lineRule="auto"/>
        <w:jc w:val="both"/>
      </w:pPr>
      <w:r>
        <w:rPr>
          <w:rFonts w:ascii="Arial" w:hAnsi="Arial"/>
          <w:i/>
          <w:color w:val="646464"/>
          <w:sz w:val="18"/>
        </w:rPr>
        <w:t>Gases included in Scope 1 and Scope 2 calculations: CO2, CH4, N2O. Biogenic CO2 emissions were not material for the reporting period and are excluded from totals.</w:t>
      </w:r>
    </w:p>
    <w:p>
      <w:pPr>
        <w:spacing w:after="160" w:line="276" w:lineRule="auto"/>
        <w:jc w:val="both"/>
      </w:pPr>
      <w:r>
        <w:rPr>
          <w:rFonts w:ascii="Arial" w:hAnsi="Arial"/>
          <w:i/>
          <w:color w:val="646464"/>
          <w:sz w:val="18"/>
        </w:rPr>
        <w:t>Consolidation approach: operational control per GHG Protocol Corporate Standard. All facilities and operations under the institution's operational control are included in Scope 1 and Scope 2 boundaries.</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305-1</w:t>
            </w:r>
          </w:p>
        </w:tc>
        <w:tc>
          <w:tcPr>
            <w:tcW w:type="dxa" w:w="2257"/>
          </w:tcPr>
          <w:p>
            <w:r>
              <w:rPr>
                <w:rFonts w:ascii="Arial" w:hAnsi="Arial"/>
                <w:sz w:val="18"/>
              </w:rPr>
              <w:t>Direct (Scope 1) GHG emissions</w:t>
            </w:r>
          </w:p>
        </w:tc>
        <w:tc>
          <w:tcPr>
            <w:tcW w:type="dxa" w:w="2257"/>
          </w:tcPr>
          <w:p>
            <w:r>
              <w:rPr>
                <w:rFonts w:ascii="Arial" w:hAnsi="Arial"/>
                <w:sz w:val="18"/>
              </w:rPr>
              <w:t>Section: Scope 1</w:t>
            </w:r>
          </w:p>
        </w:tc>
        <w:tc>
          <w:tcPr>
            <w:tcW w:type="dxa" w:w="2257"/>
          </w:tcPr>
          <w:p>
            <w:r>
              <w:rPr>
                <w:rFonts w:ascii="Arial" w:hAnsi="Arial"/>
                <w:sz w:val="18"/>
              </w:rPr>
              <w:t>None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 GHG emissions</w:t>
            </w:r>
          </w:p>
        </w:tc>
        <w:tc>
          <w:tcPr>
            <w:tcW w:type="dxa" w:w="2257"/>
            <w:shd w:fill="F2F6FC" w:val="clear"/>
          </w:tcPr>
          <w:p>
            <w:r>
              <w:rPr>
                <w:rFonts w:ascii="Arial" w:hAnsi="Arial"/>
                <w:sz w:val="18"/>
              </w:rPr>
              <w:t>Section: Scope 2</w:t>
            </w:r>
          </w:p>
        </w:tc>
        <w:tc>
          <w:tcPr>
            <w:tcW w:type="dxa" w:w="2257"/>
            <w:shd w:fill="F2F6FC" w:val="clear"/>
          </w:tcPr>
          <w:p>
            <w:r>
              <w:rPr>
                <w:rFonts w:ascii="Arial" w:hAnsi="Arial"/>
                <w:sz w:val="18"/>
              </w:rPr>
              <w:t>None</w:t>
            </w:r>
          </w:p>
        </w:tc>
      </w:tr>
      <w:tr>
        <w:tc>
          <w:tcPr>
            <w:tcW w:type="dxa" w:w="2257"/>
          </w:tcPr>
          <w:p>
            <w:r>
              <w:rPr>
                <w:rFonts w:ascii="Arial" w:hAnsi="Arial"/>
                <w:sz w:val="18"/>
              </w:rPr>
              <w:t>GRI 305-3</w:t>
            </w:r>
          </w:p>
        </w:tc>
        <w:tc>
          <w:tcPr>
            <w:tcW w:type="dxa" w:w="2257"/>
          </w:tcPr>
          <w:p>
            <w:r>
              <w:rPr>
                <w:rFonts w:ascii="Arial" w:hAnsi="Arial"/>
                <w:sz w:val="18"/>
              </w:rPr>
              <w:t>Other indirect (Scope 3) GHG emissions</w:t>
            </w:r>
          </w:p>
        </w:tc>
        <w:tc>
          <w:tcPr>
            <w:tcW w:type="dxa" w:w="2257"/>
          </w:tcPr>
          <w:p>
            <w:r>
              <w:rPr>
                <w:rFonts w:ascii="Arial" w:hAnsi="Arial"/>
                <w:sz w:val="18"/>
              </w:rPr>
              <w:t>Section: PCAF</w:t>
            </w:r>
          </w:p>
        </w:tc>
        <w:tc>
          <w:tcPr>
            <w:tcW w:type="dxa" w:w="2257"/>
          </w:tcPr>
          <w:p>
            <w:r>
              <w:rPr>
                <w:rFonts w:ascii="Arial" w:hAnsi="Arial"/>
                <w:sz w:val="18"/>
              </w:rPr>
              <w:t>None</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Section: Intensity</w:t>
            </w:r>
          </w:p>
        </w:tc>
        <w:tc>
          <w:tcPr>
            <w:tcW w:type="dxa" w:w="2257"/>
            <w:shd w:fill="F2F6FC" w:val="clear"/>
          </w:tcPr>
          <w:p>
            <w:r>
              <w:rPr>
                <w:rFonts w:ascii="Arial" w:hAnsi="Arial"/>
                <w:sz w:val="18"/>
              </w:rPr>
              <w:t>None</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Section: Reduction</w:t>
            </w:r>
          </w:p>
        </w:tc>
        <w:tc>
          <w:tcPr>
            <w:tcW w:type="dxa" w:w="2257"/>
          </w:tcPr>
          <w:p>
            <w:r>
              <w:rPr>
                <w:rFonts w:ascii="Arial" w:hAnsi="Arial"/>
                <w:sz w:val="18"/>
              </w:rPr>
              <w:t>Partial — targets in development</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GRI_305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GRI_305</dc:title>
  <dc:subject>GHG Emissions Disclosure - GRI_305</dc:subject>
  <dc:creator>ESG Reporting System (GENERIC_FI_001)</dc:creator>
  <cp:keywords>ESG, GHG, GRI_305, 2024, PCAF, Scope1, Scope2, Scope3</cp:keywords>
  <dc:description>Generated by execution: arn:aws:states:us-east-1:061039769766:execution:ESGReportGenerationStateMachine:776e967c-b753-4779-b3e2-194a1047e6f5</dc:description>
  <cp:lastModifiedBy/>
  <cp:revision>1</cp:revision>
  <dcterms:created xsi:type="dcterms:W3CDTF">2013-12-23T23:15:00Z</dcterms:created>
  <dcterms:modified xsi:type="dcterms:W3CDTF">2013-12-23T23:15:00Z</dcterms:modified>
  <cp:category>ESG Sustainability Report</cp:category>
</cp:coreProperties>
</file>