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GRI_305</w:t>
      </w:r>
    </w:p>
    <w:p>
      <w:pPr>
        <w:jc w:val="center"/>
      </w:pPr>
      <w:r>
        <w:rPr>
          <w:rFonts w:ascii="Arial" w:hAnsi="Arial"/>
          <w:sz w:val="22"/>
        </w:rPr>
        <w:t>Generated: 2026-06-10 09:21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r>
        <w:br w:type="page"/>
      </w:r>
    </w:p>
    <w:p>
      <w:pPr>
        <w:pStyle w:val="Heading1"/>
        <w:keepNext/>
        <w:spacing w:before="480" w:after="240"/>
      </w:pPr>
      <w:r>
        <w:rPr>
          <w:rFonts w:ascii="Arial" w:hAnsi="Arial"/>
          <w:b/>
          <w:color w:val="1B3A6B"/>
          <w:sz w:val="36"/>
        </w:rPr>
        <w:t>GHG Emissions Disclosures</w:t>
      </w:r>
    </w:p>
    <w:p>
      <w:pPr>
        <w:pStyle w:val="Heading2"/>
        <w:keepNext/>
        <w:spacing w:before="360" w:after="160"/>
      </w:pPr>
      <w:r>
        <w:rPr>
          <w:rFonts w:ascii="Arial" w:hAnsi="Arial"/>
          <w:b/>
          <w:color w:val="3D6094"/>
          <w:sz w:val="28"/>
        </w:rPr>
        <w:t>GRI 305-1: Direct (Scope 1) GHG Emissions</w:t>
      </w:r>
    </w:p>
    <w:p>
      <w:pPr>
        <w:spacing w:after="160" w:line="276" w:lineRule="auto"/>
        <w:jc w:val="both"/>
      </w:pPr>
      <w:r>
        <w:rPr>
          <w:rFonts w:ascii="Arial" w:hAnsi="Arial"/>
          <w:sz w:val="22"/>
        </w:rPr>
        <w:t>The organization reported gross direct (Scope 1) GHG emissions of 3,402.997 metric tons of CO₂ equivalent (tCO₂e) for the reporting year 2024. These emissions arise from fuel combustion in sources under the organization's operational control, specifically natural gas consumption in facilities and diesel fuel consumption in backup generators and fleet vehicles.</w:t>
      </w:r>
    </w:p>
    <w:p>
      <w:pPr>
        <w:spacing w:after="160" w:line="276" w:lineRule="auto"/>
        <w:jc w:val="both"/>
      </w:pPr>
      <w:r>
        <w:rPr>
          <w:rFonts w:ascii="Arial" w:hAnsi="Arial"/>
          <w:sz w:val="22"/>
        </w:rPr>
        <w:t>The Scope 1 emission sources comprised natural gas combustion contributing 1,199.7924 tCO₂e and diesel combustion contributing 2,203.2044 tCO₂e. Diesel combustion represented 64.7% of total Scope 1 emissions, reflecting the organization's reliance on backup power generation systems and operational vehicle fleet. Natural gas combustion, primarily from HVAC systems and kitchen facilities in office buildings, accounted for the remaining 35.3% of direct emissions.</w:t>
      </w:r>
    </w:p>
    <w:p>
      <w:pPr>
        <w:spacing w:after="160" w:line="276" w:lineRule="auto"/>
        <w:jc w:val="both"/>
      </w:pPr>
      <w:r>
        <w:rPr>
          <w:rFonts w:ascii="Arial" w:hAnsi="Arial"/>
          <w:i/>
          <w:sz w:val="22"/>
        </w:rPr>
        <w:t>The organization calculated Scope 1 emissions using the GHG Protocol Corporate Accounting and Reporting Standard (2015 revision). Emission factors were sourced from Indonesia's Ministry of Energy and Mineral Resources (MEMR) 2023 National Emission Factors for stationary combustion. Global Warming Potential (GWP) values were applied per the Intergovernmental Panel on Climate Change (IPCC) Sixth Assessment Report (AR6) 100-year time horizon: CO₂ = 1, CH₄ = 29.8, N₂O = 273.0. The consolidation approach applied was operational control, whereby the organization accounts for 100% of emissions from operations over which it has operational control, regardless of equity share.</w:t>
      </w:r>
    </w:p>
    <w:p>
      <w:pPr>
        <w:spacing w:after="160" w:line="276" w:lineRule="auto"/>
        <w:jc w:val="both"/>
      </w:pPr>
      <w:r>
        <w:rPr>
          <w:rFonts w:ascii="Arial" w:hAnsi="Arial"/>
          <w:i/>
          <w:sz w:val="22"/>
        </w:rPr>
        <w:t>Gases included in the Scope 1 calculation were carbon dioxide (CO₂), methane (CH₄), and nitrous oxide (N₂O). The organization did not report material emissions of hydrofluorocarbons (HFCs), perfluorocarbons (PFCs), sulfur hexafluoride (SF₆), or nitrogen trifluoride (NF₃) during the reporting period. Biogenic CO₂ emissions were not material to the organization's operations and are therefore not separately reported.</w:t>
      </w:r>
    </w:p>
    <w:p>
      <w:pPr>
        <w:spacing w:after="160" w:line="276" w:lineRule="auto"/>
        <w:jc w:val="both"/>
      </w:pPr>
      <w:r>
        <w:rPr>
          <w:rFonts w:ascii="Arial" w:hAnsi="Arial"/>
          <w:sz w:val="22"/>
        </w:rPr>
        <w:t>Compared to the prior year (2023), Scope 1 emissions increased by 2.36%, rising from 3,324.521 tCO₂e to 3,402.997 tCO₂e. This increase of 78.476 tCO₂e was primarily attributable to expanded backup generator runtime during grid maintenance periods and the addition of three new branch locations with diesel-powered emergency systems. The organization has identified this upward trend as requiring corrective action through energy efficiency improvements and renewable energy integration.</w:t>
      </w:r>
    </w:p>
    <w:p>
      <w:pPr>
        <w:spacing w:after="160" w:line="276" w:lineRule="auto"/>
        <w:jc w:val="both"/>
      </w:pPr>
      <w:r>
        <w:rPr>
          <w:rFonts w:ascii="Arial" w:hAnsi="Arial"/>
          <w:i/>
          <w:color w:val="646464"/>
          <w:sz w:val="18"/>
        </w:rPr>
        <w:t>**Note on GRI Standard Update**: GRI 305: Emissions 2016, including Disclosure 305-1, has been superseded by GRI 102: Climate Change 2025. The organization will transition to the updated standard for the 2025 reporting period. The current disclosure remains compliant with GRI 305 requirements applicable to the 2024 reporting year.</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Total Scope 1</w:t>
            </w:r>
          </w:p>
        </w:tc>
        <w:tc>
          <w:tcPr>
            <w:tcW w:type="dxa" w:w="2257"/>
            <w:shd w:fill="1B3A6B" w:val="clear"/>
          </w:tcPr>
          <w:p>
            <w:r>
              <w:rPr>
                <w:rFonts w:ascii="Arial" w:hAnsi="Arial"/>
                <w:b/>
                <w:color w:val="FFFFFF"/>
                <w:sz w:val="18"/>
              </w:rPr>
              <w:t>Primary Use</w:t>
            </w:r>
          </w:p>
        </w:tc>
      </w:tr>
      <w:tr>
        <w:tc>
          <w:tcPr>
            <w:tcW w:type="dxa" w:w="2257"/>
          </w:tcPr>
          <w:p>
            <w:r>
              <w:rPr>
                <w:rFonts w:ascii="Arial" w:hAnsi="Arial"/>
                <w:sz w:val="18"/>
              </w:rPr>
              <w:t>Natural Gas Combustion</w:t>
            </w:r>
          </w:p>
        </w:tc>
        <w:tc>
          <w:tcPr>
            <w:tcW w:type="dxa" w:w="2257"/>
          </w:tcPr>
          <w:p>
            <w:pPr>
              <w:jc w:val="right"/>
            </w:pPr>
            <w:r>
              <w:rPr>
                <w:rFonts w:ascii="Arial" w:hAnsi="Arial"/>
                <w:sz w:val="18"/>
              </w:rPr>
              <w:t>1,199.7924</w:t>
            </w:r>
          </w:p>
        </w:tc>
        <w:tc>
          <w:tcPr>
            <w:tcW w:type="dxa" w:w="2257"/>
          </w:tcPr>
          <w:p>
            <w:pPr>
              <w:jc w:val="right"/>
            </w:pPr>
            <w:r>
              <w:rPr>
                <w:rFonts w:ascii="Arial" w:hAnsi="Arial"/>
                <w:sz w:val="18"/>
              </w:rPr>
              <w:t>35.3%</w:t>
            </w:r>
          </w:p>
        </w:tc>
        <w:tc>
          <w:tcPr>
            <w:tcW w:type="dxa" w:w="2257"/>
          </w:tcPr>
          <w:p>
            <w:r>
              <w:rPr>
                <w:rFonts w:ascii="Arial" w:hAnsi="Arial"/>
                <w:sz w:val="18"/>
              </w:rPr>
              <w:t>HVAC systems, kitchen facilities</w:t>
            </w:r>
          </w:p>
        </w:tc>
      </w:tr>
      <w:tr>
        <w:tc>
          <w:tcPr>
            <w:tcW w:type="dxa" w:w="2257"/>
            <w:shd w:fill="F2F6FC" w:val="clear"/>
          </w:tcPr>
          <w:p>
            <w:r>
              <w:rPr>
                <w:rFonts w:ascii="Arial" w:hAnsi="Arial"/>
                <w:sz w:val="18"/>
              </w:rPr>
              <w:t>Diesel Combustion</w:t>
            </w:r>
          </w:p>
        </w:tc>
        <w:tc>
          <w:tcPr>
            <w:tcW w:type="dxa" w:w="2257"/>
            <w:shd w:fill="F2F6FC" w:val="clear"/>
          </w:tcPr>
          <w:p>
            <w:pPr>
              <w:jc w:val="right"/>
            </w:pPr>
            <w:r>
              <w:rPr>
                <w:rFonts w:ascii="Arial" w:hAnsi="Arial"/>
                <w:sz w:val="18"/>
              </w:rPr>
              <w:t>2,203.2044</w:t>
            </w:r>
          </w:p>
        </w:tc>
        <w:tc>
          <w:tcPr>
            <w:tcW w:type="dxa" w:w="2257"/>
            <w:shd w:fill="F2F6FC" w:val="clear"/>
          </w:tcPr>
          <w:p>
            <w:pPr>
              <w:jc w:val="right"/>
            </w:pPr>
            <w:r>
              <w:rPr>
                <w:rFonts w:ascii="Arial" w:hAnsi="Arial"/>
                <w:sz w:val="18"/>
              </w:rPr>
              <w:t>64.7%</w:t>
            </w:r>
          </w:p>
        </w:tc>
        <w:tc>
          <w:tcPr>
            <w:tcW w:type="dxa" w:w="2257"/>
            <w:shd w:fill="F2F6FC" w:val="clear"/>
          </w:tcPr>
          <w:p>
            <w:r>
              <w:rPr>
                <w:rFonts w:ascii="Arial" w:hAnsi="Arial"/>
                <w:sz w:val="18"/>
              </w:rPr>
              <w:t>Backup generators, fleet vehicles</w:t>
            </w:r>
          </w:p>
        </w:tc>
      </w:tr>
      <w:tr>
        <w:tc>
          <w:tcPr>
            <w:tcW w:type="dxa" w:w="2257"/>
          </w:tcPr>
          <w:p>
            <w:r>
              <w:rPr>
                <w:rFonts w:ascii="Arial" w:hAnsi="Arial"/>
                <w:sz w:val="18"/>
              </w:rPr>
              <w:t>**Total Scope 1**</w:t>
            </w:r>
          </w:p>
        </w:tc>
        <w:tc>
          <w:tcPr>
            <w:tcW w:type="dxa" w:w="2257"/>
          </w:tcPr>
          <w:p>
            <w:r>
              <w:rPr>
                <w:rFonts w:ascii="Arial" w:hAnsi="Arial"/>
                <w:sz w:val="18"/>
              </w:rPr>
              <w:t>**3,402.997**</w:t>
            </w:r>
          </w:p>
        </w:tc>
        <w:tc>
          <w:tcPr>
            <w:tcW w:type="dxa" w:w="2257"/>
          </w:tcPr>
          <w:p>
            <w:r>
              <w:rPr>
                <w:rFonts w:ascii="Arial" w:hAnsi="Arial"/>
                <w:sz w:val="18"/>
              </w:rPr>
              <w:t>**100.0%**</w:t>
            </w:r>
          </w:p>
        </w:tc>
        <w:tc>
          <w:tcPr>
            <w:tcW w:type="dxa" w:w="2257"/>
          </w:tcPr>
          <w:p>
            <w:r>
              <w:rPr>
                <w:rFonts w:ascii="Arial" w:hAnsi="Arial"/>
                <w:sz w:val="18"/>
              </w:rPr>
              <w:t>—</w:t>
            </w:r>
          </w:p>
        </w:tc>
      </w:tr>
    </w:tbl>
    <w:p>
      <w:r>
        <w:rPr>
          <w:rFonts w:ascii="Arial" w:hAnsi="Arial"/>
          <w:i/>
          <w:sz w:val="16"/>
        </w:rPr>
        <w:t>Source: Source: Internal GHG inventory system; emission factors per MEMR 2023 National Emission Factors; GWP values per IPCC AR6.</w:t>
      </w:r>
    </w:p>
    <w:p/>
    <w:p>
      <w:r>
        <w:rPr>
          <w:rFonts w:ascii="Arial" w:hAnsi="Arial"/>
          <w:b/>
          <w:sz w:val="20"/>
        </w:rPr>
        <w:t>Table 2: Year-over-Year Scope 1 Emissions Comparison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Reporting Year</w:t>
            </w:r>
          </w:p>
        </w:tc>
        <w:tc>
          <w:tcPr>
            <w:tcW w:type="dxa" w:w="2257"/>
            <w:shd w:fill="1B3A6B" w:val="clear"/>
          </w:tcPr>
          <w:p>
            <w:r>
              <w:rPr>
                <w:rFonts w:ascii="Arial" w:hAnsi="Arial"/>
                <w:b/>
                <w:color w:val="FFFFFF"/>
                <w:sz w:val="18"/>
              </w:rPr>
              <w:t>Scope 1 Emissions (tCO₂e)</w:t>
            </w:r>
          </w:p>
        </w:tc>
        <w:tc>
          <w:tcPr>
            <w:tcW w:type="dxa" w:w="2257"/>
            <w:shd w:fill="1B3A6B" w:val="clear"/>
          </w:tcPr>
          <w:p>
            <w:r>
              <w:rPr>
                <w:rFonts w:ascii="Arial" w:hAnsi="Arial"/>
                <w:b/>
                <w:color w:val="FFFFFF"/>
                <w:sz w:val="18"/>
              </w:rPr>
              <w:t>Year-over-Year Change (tCO₂e)</w:t>
            </w:r>
          </w:p>
        </w:tc>
        <w:tc>
          <w:tcPr>
            <w:tcW w:type="dxa" w:w="2257"/>
            <w:shd w:fill="1B3A6B" w:val="clear"/>
          </w:tcPr>
          <w:p>
            <w:r>
              <w:rPr>
                <w:rFonts w:ascii="Arial" w:hAnsi="Arial"/>
                <w:b/>
                <w:color w:val="FFFFFF"/>
                <w:sz w:val="18"/>
              </w:rPr>
              <w:t>Year-over-Year Change (%)</w:t>
            </w:r>
          </w:p>
        </w:tc>
      </w:tr>
      <w:tr>
        <w:tc>
          <w:tcPr>
            <w:tcW w:type="dxa" w:w="2257"/>
          </w:tcPr>
          <w:p>
            <w:pPr>
              <w:jc w:val="right"/>
            </w:pPr>
            <w:r>
              <w:rPr>
                <w:rFonts w:ascii="Arial" w:hAnsi="Arial"/>
                <w:sz w:val="18"/>
              </w:rPr>
              <w:t>2023</w:t>
            </w:r>
          </w:p>
        </w:tc>
        <w:tc>
          <w:tcPr>
            <w:tcW w:type="dxa" w:w="2257"/>
          </w:tcPr>
          <w:p>
            <w:pPr>
              <w:jc w:val="right"/>
            </w:pPr>
            <w:r>
              <w:rPr>
                <w:rFonts w:ascii="Arial" w:hAnsi="Arial"/>
                <w:sz w:val="18"/>
              </w:rPr>
              <w:t>3,324.521</w:t>
            </w:r>
          </w:p>
        </w:tc>
        <w:tc>
          <w:tcPr>
            <w:tcW w:type="dxa" w:w="2257"/>
          </w:tcPr>
          <w:p>
            <w:r>
              <w:rPr>
                <w:rFonts w:ascii="Arial" w:hAnsi="Arial"/>
                <w:sz w:val="18"/>
              </w:rPr>
              <w:t>—</w:t>
            </w:r>
          </w:p>
        </w:tc>
        <w:tc>
          <w:tcPr>
            <w:tcW w:type="dxa" w:w="2257"/>
          </w:tcPr>
          <w:p>
            <w:r>
              <w:rPr>
                <w:rFonts w:ascii="Arial" w:hAnsi="Arial"/>
                <w:sz w:val="18"/>
              </w:rPr>
              <w:t>—</w:t>
            </w:r>
          </w:p>
        </w:tc>
      </w:tr>
      <w:tr>
        <w:tc>
          <w:tcPr>
            <w:tcW w:type="dxa" w:w="2257"/>
            <w:shd w:fill="F2F6FC" w:val="clear"/>
          </w:tcPr>
          <w:p>
            <w:pPr>
              <w:jc w:val="right"/>
            </w:pPr>
            <w:r>
              <w:rPr>
                <w:rFonts w:ascii="Arial" w:hAnsi="Arial"/>
                <w:sz w:val="18"/>
              </w:rPr>
              <w:t>2024</w:t>
            </w:r>
          </w:p>
        </w:tc>
        <w:tc>
          <w:tcPr>
            <w:tcW w:type="dxa" w:w="2257"/>
            <w:shd w:fill="F2F6FC" w:val="clear"/>
          </w:tcPr>
          <w:p>
            <w:pPr>
              <w:jc w:val="right"/>
            </w:pPr>
            <w:r>
              <w:rPr>
                <w:rFonts w:ascii="Arial" w:hAnsi="Arial"/>
                <w:sz w:val="18"/>
              </w:rPr>
              <w:t>3,402.997</w:t>
            </w:r>
          </w:p>
        </w:tc>
        <w:tc>
          <w:tcPr>
            <w:tcW w:type="dxa" w:w="2257"/>
            <w:shd w:fill="F2F6FC" w:val="clear"/>
          </w:tcPr>
          <w:p>
            <w:pPr>
              <w:jc w:val="right"/>
            </w:pPr>
            <w:r>
              <w:rPr>
                <w:rFonts w:ascii="Arial" w:hAnsi="Arial"/>
                <w:sz w:val="18"/>
              </w:rPr>
              <w:t>+78.476</w:t>
            </w:r>
          </w:p>
        </w:tc>
        <w:tc>
          <w:tcPr>
            <w:tcW w:type="dxa" w:w="2257"/>
            <w:shd w:fill="F2F6FC" w:val="clear"/>
          </w:tcPr>
          <w:p>
            <w:pPr>
              <w:jc w:val="right"/>
            </w:pPr>
            <w:r>
              <w:rPr>
                <w:rFonts w:ascii="Arial" w:hAnsi="Arial"/>
                <w:sz w:val="18"/>
              </w:rPr>
              <w:t>+2.36%</w:t>
            </w:r>
          </w:p>
        </w:tc>
      </w:tr>
    </w:tbl>
    <w:p>
      <w:r>
        <w:rPr>
          <w:rFonts w:ascii="Arial" w:hAnsi="Arial"/>
          <w:i/>
          <w:sz w:val="16"/>
        </w:rPr>
        <w:t>Source: Source: Internal GHG inventory system. Positive percentage indicates emissions increase.</w:t>
      </w:r>
    </w:p>
    <w:p/>
    <w:p>
      <w:r>
        <w:rPr>
          <w:i/>
          <w:color w:val="3D6094"/>
          <w:sz w:val="18"/>
        </w:rPr>
        <w:t>Framework references: GRI 305-1a: Gross direct (Scope 1) GHG emissions in metric tons of CO₂ equivalent; GRI 305-1b: Gases included in the calculation; GRI 305-1e: Source of emission factors and GWP rates; GRI 305-1f: Consolidation approach for emissions; GRI 305-1g: Standards, methodologies, assumptions, and calculation tools used</w:t>
      </w:r>
    </w:p>
    <w:p>
      <w:pPr>
        <w:spacing w:after="80"/>
        <w:pBdr>
          <w:bottom w:val="single" w:sz="6" w:space="1" w:color="999999"/>
        </w:pBdr>
      </w:pPr>
    </w:p>
    <w:p>
      <w:pPr>
        <w:spacing w:after="160" w:line="276" w:lineRule="auto"/>
        <w:jc w:val="both"/>
      </w:pPr>
      <w:r>
        <w:rPr>
          <w:rFonts w:ascii="Arial" w:hAnsi="Arial"/>
          <w:i/>
          <w:color w:val="646464"/>
          <w:sz w:val="18"/>
        </w:rPr>
        <w:t>GRI Content Index: 305-1 | Direct (Scope 1) GHG emissions | Section 4.1</w:t>
      </w:r>
    </w:p>
    <w:p>
      <w:pPr>
        <w:spacing w:after="160" w:line="276" w:lineRule="auto"/>
        <w:jc w:val="both"/>
      </w:pPr>
      <w:r>
        <w:rPr>
          <w:rFonts w:ascii="Arial" w:hAnsi="Arial"/>
          <w:i/>
          <w:color w:val="646464"/>
          <w:sz w:val="18"/>
        </w:rPr>
        <w:t>Emission factors sourced from Indonesia Ministry of Energy and Mineral Resources (MEMR) 2023 National Emission Factors for stationary combustion.</w:t>
      </w:r>
    </w:p>
    <w:p>
      <w:pPr>
        <w:spacing w:after="160" w:line="276" w:lineRule="auto"/>
        <w:jc w:val="both"/>
      </w:pPr>
      <w:r>
        <w:rPr>
          <w:rFonts w:ascii="Arial" w:hAnsi="Arial"/>
          <w:i/>
          <w:color w:val="646464"/>
          <w:sz w:val="18"/>
        </w:rPr>
        <w:t>Global Warming Potential (GWP) values applied per IPCC AR6 (100-year time horizon): CO₂ = 1, CH₄ = 29.8, N₂O = 273.0.</w:t>
      </w:r>
    </w:p>
    <w:p>
      <w:pPr>
        <w:spacing w:after="160" w:line="276" w:lineRule="auto"/>
        <w:jc w:val="both"/>
      </w:pPr>
      <w:r>
        <w:rPr>
          <w:rFonts w:ascii="Arial" w:hAnsi="Arial"/>
          <w:i/>
          <w:color w:val="646464"/>
          <w:sz w:val="18"/>
        </w:rPr>
        <w:t>Consolidation approach: Operational control per GHG Protocol Corporate Standard.</w:t>
      </w:r>
    </w:p>
    <w:p>
      <w:pPr>
        <w:spacing w:after="160" w:line="276" w:lineRule="auto"/>
        <w:jc w:val="both"/>
      </w:pPr>
      <w:r>
        <w:rPr>
          <w:rFonts w:ascii="Arial" w:hAnsi="Arial"/>
          <w:i/>
          <w:color w:val="646464"/>
          <w:sz w:val="18"/>
        </w:rPr>
        <w:t>Reconciliation verified: 1,199.7924 tCO₂e (natural gas) + 2,203.2044 tCO₂e (diesel) = 3,402.997 tCO₂e (total Scope 1).</w:t>
      </w:r>
    </w:p>
    <w:p>
      <w:pPr>
        <w:spacing w:after="160" w:line="276" w:lineRule="auto"/>
        <w:jc w:val="both"/>
      </w:pPr>
      <w:r>
        <w:rPr>
          <w:rFonts w:ascii="Arial" w:hAnsi="Arial"/>
          <w:i/>
          <w:color w:val="646464"/>
          <w:sz w:val="18"/>
        </w:rPr>
        <w:t>GRI 305: Emissions 2016 has been superseded by GRI 102: Climate Change 2025. Transition planned for 2025 reporting period.</w:t>
      </w:r>
    </w:p>
    <w:p>
      <w:r>
        <w:br w:type="page"/>
      </w:r>
    </w:p>
    <w:p>
      <w:pPr>
        <w:pStyle w:val="Heading1"/>
        <w:keepNext/>
        <w:spacing w:before="480" w:after="240"/>
      </w:pPr>
      <w:r>
        <w:rPr>
          <w:rFonts w:ascii="Arial" w:hAnsi="Arial"/>
          <w:b/>
          <w:color w:val="1B3A6B"/>
          <w:sz w:val="36"/>
        </w:rPr>
        <w:t>Social Disclosures</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Section: Scope 1</w:t>
            </w:r>
          </w:p>
        </w:tc>
        <w:tc>
          <w:tcPr>
            <w:tcW w:type="dxa" w:w="2257"/>
            <w:shd w:fill="F2F6FC" w:val="clear"/>
          </w:tcPr>
          <w:p>
            <w:r>
              <w:rPr>
                <w:rFonts w:ascii="Arial" w:hAnsi="Arial"/>
                <w:sz w:val="18"/>
              </w:rPr>
              <w:t>None</w:t>
            </w:r>
          </w:p>
        </w:tc>
      </w:tr>
      <w:tr>
        <w:tc>
          <w:tcPr>
            <w:tcW w:type="dxa" w:w="2257"/>
          </w:tcPr>
          <w:p>
            <w:r>
              <w:rPr>
                <w:rFonts w:ascii="Arial" w:hAnsi="Arial"/>
                <w:sz w:val="18"/>
              </w:rPr>
              <w:t>GRI 305-2</w:t>
            </w:r>
          </w:p>
        </w:tc>
        <w:tc>
          <w:tcPr>
            <w:tcW w:type="dxa" w:w="2257"/>
          </w:tcPr>
          <w:p>
            <w:r>
              <w:rPr>
                <w:rFonts w:ascii="Arial" w:hAnsi="Arial"/>
                <w:sz w:val="18"/>
              </w:rPr>
              <w:t>Energy indirect (Scope 2) GHG emissions</w:t>
            </w:r>
          </w:p>
        </w:tc>
        <w:tc>
          <w:tcPr>
            <w:tcW w:type="dxa" w:w="2257"/>
          </w:tcPr>
          <w:p>
            <w:r>
              <w:rPr>
                <w:rFonts w:ascii="Arial" w:hAnsi="Arial"/>
                <w:sz w:val="18"/>
              </w:rPr>
              <w:t>Section: Scope 2</w:t>
            </w:r>
          </w:p>
        </w:tc>
        <w:tc>
          <w:tcPr>
            <w:tcW w:type="dxa" w:w="2257"/>
          </w:tcPr>
          <w:p>
            <w:r>
              <w:rPr>
                <w:rFonts w:ascii="Arial" w:hAnsi="Arial"/>
                <w:sz w:val="18"/>
              </w:rPr>
              <w:t>None</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 GHG emissions</w:t>
            </w:r>
          </w:p>
        </w:tc>
        <w:tc>
          <w:tcPr>
            <w:tcW w:type="dxa" w:w="2257"/>
            <w:shd w:fill="F2F6FC" w:val="clear"/>
          </w:tcPr>
          <w:p>
            <w:r>
              <w:rPr>
                <w:rFonts w:ascii="Arial" w:hAnsi="Arial"/>
                <w:sz w:val="18"/>
              </w:rPr>
              <w:t>Section: PCAF</w:t>
            </w:r>
          </w:p>
        </w:tc>
        <w:tc>
          <w:tcPr>
            <w:tcW w:type="dxa" w:w="2257"/>
            <w:shd w:fill="F2F6FC" w:val="clear"/>
          </w:tcPr>
          <w:p>
            <w:r>
              <w:rPr>
                <w:rFonts w:ascii="Arial" w:hAnsi="Arial"/>
                <w:sz w:val="18"/>
              </w:rPr>
              <w:t>None</w:t>
            </w:r>
          </w:p>
        </w:tc>
      </w:tr>
      <w:tr>
        <w:tc>
          <w:tcPr>
            <w:tcW w:type="dxa" w:w="2257"/>
          </w:tcPr>
          <w:p>
            <w:r>
              <w:rPr>
                <w:rFonts w:ascii="Arial" w:hAnsi="Arial"/>
                <w:sz w:val="18"/>
              </w:rPr>
              <w:t>GRI 305-4</w:t>
            </w:r>
          </w:p>
        </w:tc>
        <w:tc>
          <w:tcPr>
            <w:tcW w:type="dxa" w:w="2257"/>
          </w:tcPr>
          <w:p>
            <w:r>
              <w:rPr>
                <w:rFonts w:ascii="Arial" w:hAnsi="Arial"/>
                <w:sz w:val="18"/>
              </w:rPr>
              <w:t>GHG emissions intensity</w:t>
            </w:r>
          </w:p>
        </w:tc>
        <w:tc>
          <w:tcPr>
            <w:tcW w:type="dxa" w:w="2257"/>
          </w:tcPr>
          <w:p>
            <w:r>
              <w:rPr>
                <w:rFonts w:ascii="Arial" w:hAnsi="Arial"/>
                <w:sz w:val="18"/>
              </w:rPr>
              <w:t>Section: Intensity</w:t>
            </w:r>
          </w:p>
        </w:tc>
        <w:tc>
          <w:tcPr>
            <w:tcW w:type="dxa" w:w="2257"/>
          </w:tcPr>
          <w:p>
            <w:r>
              <w:rPr>
                <w:rFonts w:ascii="Arial" w:hAnsi="Arial"/>
                <w:sz w:val="18"/>
              </w:rPr>
              <w:t>None</w:t>
            </w:r>
          </w:p>
        </w:tc>
      </w:tr>
      <w:tr>
        <w:tc>
          <w:tcPr>
            <w:tcW w:type="dxa" w:w="2257"/>
            <w:shd w:fill="F2F6FC" w:val="clear"/>
          </w:tcPr>
          <w:p>
            <w:r>
              <w:rPr>
                <w:rFonts w:ascii="Arial" w:hAnsi="Arial"/>
                <w:sz w:val="18"/>
              </w:rPr>
              <w:t>GRI 305-5</w:t>
            </w:r>
          </w:p>
        </w:tc>
        <w:tc>
          <w:tcPr>
            <w:tcW w:type="dxa" w:w="2257"/>
            <w:shd w:fill="F2F6FC" w:val="clear"/>
          </w:tcPr>
          <w:p>
            <w:r>
              <w:rPr>
                <w:rFonts w:ascii="Arial" w:hAnsi="Arial"/>
                <w:sz w:val="18"/>
              </w:rPr>
              <w:t>Reduction of GHG emissions</w:t>
            </w:r>
          </w:p>
        </w:tc>
        <w:tc>
          <w:tcPr>
            <w:tcW w:type="dxa" w:w="2257"/>
            <w:shd w:fill="F2F6FC" w:val="clear"/>
          </w:tcPr>
          <w:p>
            <w:r>
              <w:rPr>
                <w:rFonts w:ascii="Arial" w:hAnsi="Arial"/>
                <w:sz w:val="18"/>
              </w:rPr>
              <w:t>Section: Reduction</w:t>
            </w:r>
          </w:p>
        </w:tc>
        <w:tc>
          <w:tcPr>
            <w:tcW w:type="dxa" w:w="2257"/>
            <w:shd w:fill="F2F6FC" w:val="clear"/>
          </w:tcPr>
          <w:p>
            <w:r>
              <w:rPr>
                <w:rFonts w:ascii="Arial" w:hAnsi="Arial"/>
                <w:sz w:val="18"/>
              </w:rPr>
              <w:t>Partial — targets in development</w:t>
            </w:r>
          </w:p>
        </w:tc>
      </w:tr>
      <w:tr>
        <w:tc>
          <w:tcPr>
            <w:tcW w:type="dxa" w:w="2257"/>
          </w:tcPr>
          <w:p>
            <w:r>
              <w:rPr>
                <w:rFonts w:ascii="Arial" w:hAnsi="Arial"/>
                <w:sz w:val="18"/>
              </w:rPr>
              <w:t>GRI 401-1</w:t>
            </w:r>
          </w:p>
        </w:tc>
        <w:tc>
          <w:tcPr>
            <w:tcW w:type="dxa" w:w="2257"/>
          </w:tcPr>
          <w:p>
            <w:r>
              <w:rPr>
                <w:rFonts w:ascii="Arial" w:hAnsi="Arial"/>
                <w:sz w:val="18"/>
              </w:rPr>
              <w:t>New employee hires and employee turnover</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Average hours of training per year per employee</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r>
        <w:tc>
          <w:tcPr>
            <w:tcW w:type="dxa" w:w="2257"/>
          </w:tcPr>
          <w:p>
            <w:r>
              <w:rPr>
                <w:rFonts w:ascii="Arial" w:hAnsi="Arial"/>
                <w:sz w:val="18"/>
              </w:rPr>
              <w:t>GRI 405-1</w:t>
            </w:r>
          </w:p>
        </w:tc>
        <w:tc>
          <w:tcPr>
            <w:tcW w:type="dxa" w:w="2257"/>
          </w:tcPr>
          <w:p>
            <w:r>
              <w:rPr>
                <w:rFonts w:ascii="Arial" w:hAnsi="Arial"/>
                <w:sz w:val="18"/>
              </w:rPr>
              <w:t>Diversity of governance bodies and 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406-1</w:t>
            </w:r>
          </w:p>
        </w:tc>
        <w:tc>
          <w:tcPr>
            <w:tcW w:type="dxa" w:w="2257"/>
            <w:shd w:fill="F2F6FC" w:val="clear"/>
          </w:tcPr>
          <w:p>
            <w:r>
              <w:rPr>
                <w:rFonts w:ascii="Arial" w:hAnsi="Arial"/>
                <w:sz w:val="18"/>
              </w:rPr>
              <w:t>Incidents of discrimination and corrective actions</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GRI_305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GRI_305</dc:title>
  <dc:subject>GHG Emissions Disclosure - GRI_305</dc:subject>
  <dc:creator>ESG Reporting System (GENERIC_FI_001)</dc:creator>
  <cp:keywords>ESG, GHG, GRI_305, 2024, PCAF, Scope1, Scope2, Scope3</cp:keywords>
  <dc:description>Generated by execution: test-chart-001</dc:description>
  <cp:lastModifiedBy/>
  <cp:revision>1</cp:revision>
  <dcterms:created xsi:type="dcterms:W3CDTF">2013-12-23T23:15:00Z</dcterms:created>
  <dcterms:modified xsi:type="dcterms:W3CDTF">2013-12-23T23:15:00Z</dcterms:modified>
  <cp:category>ESG Sustainability Report</cp:category>
</cp:coreProperties>
</file>