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0C069" w14:textId="77777777" w:rsidR="00811103" w:rsidRDefault="00811103"/>
    <w:p w14:paraId="472252D6" w14:textId="77777777" w:rsidR="00811103" w:rsidRDefault="00000000">
      <w:pPr>
        <w:jc w:val="center"/>
      </w:pPr>
      <w:r>
        <w:rPr>
          <w:color w:val="999999"/>
          <w:sz w:val="24"/>
        </w:rPr>
        <w:t>[INSTITUTION LOGO]</w:t>
      </w:r>
    </w:p>
    <w:p w14:paraId="0AD0BBA7" w14:textId="77777777" w:rsidR="00811103" w:rsidRDefault="00811103"/>
    <w:p w14:paraId="04BBBC54" w14:textId="77777777" w:rsidR="00811103" w:rsidRDefault="00811103"/>
    <w:p w14:paraId="3134A102" w14:textId="77777777" w:rsidR="00811103" w:rsidRDefault="00000000">
      <w:pPr>
        <w:pStyle w:val="Heading1"/>
        <w:spacing w:after="240"/>
        <w:jc w:val="center"/>
      </w:pPr>
      <w:bookmarkStart w:id="0" w:name="_Toc231991226"/>
      <w:r>
        <w:rPr>
          <w:rFonts w:ascii="Arial" w:hAnsi="Arial"/>
          <w:color w:val="1B3A6B"/>
          <w:sz w:val="36"/>
        </w:rPr>
        <w:t>ESG Sustainability Report</w:t>
      </w:r>
      <w:bookmarkEnd w:id="0"/>
    </w:p>
    <w:p w14:paraId="4B118FEF" w14:textId="77777777" w:rsidR="00811103" w:rsidRDefault="00000000">
      <w:pPr>
        <w:pStyle w:val="Heading2"/>
        <w:spacing w:before="360" w:after="160"/>
        <w:jc w:val="center"/>
      </w:pPr>
      <w:bookmarkStart w:id="1" w:name="_Toc231991227"/>
      <w:r>
        <w:rPr>
          <w:rFonts w:ascii="Arial" w:hAnsi="Arial"/>
          <w:color w:val="3D6094"/>
          <w:sz w:val="28"/>
        </w:rPr>
        <w:t>Reporting Year 2024</w:t>
      </w:r>
      <w:bookmarkEnd w:id="1"/>
    </w:p>
    <w:p w14:paraId="7BCBA53A" w14:textId="77777777" w:rsidR="00811103" w:rsidRDefault="00811103"/>
    <w:p w14:paraId="4E8EA75E" w14:textId="77777777" w:rsidR="00811103" w:rsidRDefault="00000000">
      <w:pPr>
        <w:jc w:val="center"/>
      </w:pPr>
      <w:r>
        <w:rPr>
          <w:rFonts w:ascii="Arial" w:hAnsi="Arial"/>
        </w:rPr>
        <w:t>Institution: GENERIC_FI_001</w:t>
      </w:r>
    </w:p>
    <w:p w14:paraId="51B7A062" w14:textId="77777777" w:rsidR="00811103" w:rsidRDefault="00000000">
      <w:pPr>
        <w:jc w:val="center"/>
      </w:pPr>
      <w:r>
        <w:rPr>
          <w:rFonts w:ascii="Arial" w:hAnsi="Arial"/>
        </w:rPr>
        <w:t>Framework: IFRS_S2</w:t>
      </w:r>
    </w:p>
    <w:p w14:paraId="0C90A446" w14:textId="77777777" w:rsidR="00811103" w:rsidRDefault="00000000">
      <w:pPr>
        <w:jc w:val="center"/>
      </w:pPr>
      <w:r>
        <w:rPr>
          <w:rFonts w:ascii="Arial" w:hAnsi="Arial"/>
        </w:rPr>
        <w:t>Generated: 2026-06-10 06:37 UTC</w:t>
      </w:r>
    </w:p>
    <w:p w14:paraId="23FACEA6" w14:textId="77777777" w:rsidR="00811103" w:rsidRDefault="00000000">
      <w:pPr>
        <w:jc w:val="center"/>
      </w:pPr>
      <w:r>
        <w:rPr>
          <w:rFonts w:ascii="Arial" w:hAnsi="Arial"/>
        </w:rPr>
        <w:t>Status: DRAFT — Subject to Review</w:t>
      </w:r>
    </w:p>
    <w:p w14:paraId="67D67923" w14:textId="77777777" w:rsidR="00811103" w:rsidRDefault="00000000">
      <w:pPr>
        <w:jc w:val="center"/>
      </w:pPr>
      <w:r>
        <w:rPr>
          <w:rFonts w:ascii="Arial" w:hAnsi="Arial"/>
        </w:rPr>
        <w:t>Assurance Level: None</w:t>
      </w:r>
    </w:p>
    <w:p w14:paraId="29F234D1" w14:textId="77777777" w:rsidR="00811103" w:rsidRDefault="00811103"/>
    <w:p w14:paraId="4BE10E7E" w14:textId="77777777" w:rsidR="00811103" w:rsidRDefault="00811103"/>
    <w:p w14:paraId="13F5C614" w14:textId="77777777" w:rsidR="00811103" w:rsidRDefault="00000000">
      <w:pPr>
        <w:jc w:val="center"/>
      </w:pPr>
      <w:r>
        <w:rPr>
          <w:i/>
          <w:color w:val="993333"/>
          <w:sz w:val="18"/>
        </w:rPr>
        <w:t>CONFIDENTIAL — This document is for internal review purposes only. Do not distribute without authorization.</w:t>
      </w:r>
    </w:p>
    <w:p w14:paraId="56BC999F" w14:textId="77777777" w:rsidR="00811103" w:rsidRDefault="00000000">
      <w:r>
        <w:br w:type="page"/>
      </w:r>
    </w:p>
    <w:p w14:paraId="1C5E56FC" w14:textId="77777777" w:rsidR="00811103" w:rsidRDefault="00000000">
      <w:pPr>
        <w:pStyle w:val="Heading1"/>
        <w:spacing w:after="240"/>
      </w:pPr>
      <w:bookmarkStart w:id="2" w:name="_Toc231991228"/>
      <w:r>
        <w:rPr>
          <w:rFonts w:ascii="Arial" w:hAnsi="Arial"/>
          <w:color w:val="1B3A6B"/>
          <w:sz w:val="36"/>
        </w:rPr>
        <w:lastRenderedPageBreak/>
        <w:t>Table of Contents</w:t>
      </w:r>
      <w:bookmarkEnd w:id="2"/>
    </w:p>
    <w:p w14:paraId="6A3BBC70" w14:textId="77777777" w:rsidR="00811103" w:rsidRDefault="00000000">
      <w:r>
        <w:fldChar w:fldCharType="begin"/>
      </w:r>
      <w:r>
        <w:instrText xml:space="preserve"> TOC \o "1-3" \h \z \u </w:instrText>
      </w:r>
      <w:r>
        <w:fldChar w:fldCharType="end"/>
      </w:r>
    </w:p>
    <w:sdt>
      <w:sdtPr>
        <w:id w:val="-1974749665"/>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17744FD" w14:textId="1B41C4C1" w:rsidR="00B127D2" w:rsidRDefault="00B127D2">
          <w:pPr>
            <w:pStyle w:val="TOCHeading"/>
          </w:pPr>
          <w:r>
            <w:t>Contents</w:t>
          </w:r>
        </w:p>
        <w:p w14:paraId="1A3DFB16" w14:textId="10695822" w:rsidR="00B127D2" w:rsidRDefault="00B127D2">
          <w:pPr>
            <w:pStyle w:val="TOC1"/>
            <w:tabs>
              <w:tab w:val="right" w:leader="dot" w:pos="9019"/>
            </w:tabs>
            <w:rPr>
              <w:noProof/>
              <w:kern w:val="2"/>
              <w:sz w:val="24"/>
              <w:szCs w:val="24"/>
              <w:lang w:val="en-ID" w:eastAsia="en-ID"/>
              <w14:ligatures w14:val="standardContextual"/>
            </w:rPr>
          </w:pPr>
          <w:r>
            <w:fldChar w:fldCharType="begin"/>
          </w:r>
          <w:r>
            <w:instrText xml:space="preserve"> TOC \o "1-3" \h \z \u </w:instrText>
          </w:r>
          <w:r>
            <w:fldChar w:fldCharType="separate"/>
          </w:r>
          <w:hyperlink w:anchor="_Toc231991226" w:history="1">
            <w:r w:rsidRPr="005970C3">
              <w:rPr>
                <w:rStyle w:val="Hyperlink"/>
                <w:rFonts w:ascii="Arial" w:hAnsi="Arial"/>
                <w:noProof/>
              </w:rPr>
              <w:t>ESG Sustainability Report</w:t>
            </w:r>
            <w:r>
              <w:rPr>
                <w:noProof/>
                <w:webHidden/>
              </w:rPr>
              <w:tab/>
            </w:r>
            <w:r>
              <w:rPr>
                <w:noProof/>
                <w:webHidden/>
              </w:rPr>
              <w:fldChar w:fldCharType="begin"/>
            </w:r>
            <w:r>
              <w:rPr>
                <w:noProof/>
                <w:webHidden/>
              </w:rPr>
              <w:instrText xml:space="preserve"> PAGEREF _Toc231991226 \h </w:instrText>
            </w:r>
            <w:r>
              <w:rPr>
                <w:noProof/>
                <w:webHidden/>
              </w:rPr>
            </w:r>
            <w:r>
              <w:rPr>
                <w:noProof/>
                <w:webHidden/>
              </w:rPr>
              <w:fldChar w:fldCharType="separate"/>
            </w:r>
            <w:r>
              <w:rPr>
                <w:noProof/>
                <w:webHidden/>
              </w:rPr>
              <w:t>1</w:t>
            </w:r>
            <w:r>
              <w:rPr>
                <w:noProof/>
                <w:webHidden/>
              </w:rPr>
              <w:fldChar w:fldCharType="end"/>
            </w:r>
          </w:hyperlink>
        </w:p>
        <w:p w14:paraId="56D62A6C" w14:textId="67B253D2" w:rsidR="00B127D2" w:rsidRDefault="00B127D2">
          <w:pPr>
            <w:pStyle w:val="TOC2"/>
            <w:tabs>
              <w:tab w:val="right" w:leader="dot" w:pos="9019"/>
            </w:tabs>
            <w:rPr>
              <w:noProof/>
              <w:kern w:val="2"/>
              <w:sz w:val="24"/>
              <w:szCs w:val="24"/>
              <w:lang w:val="en-ID" w:eastAsia="en-ID"/>
              <w14:ligatures w14:val="standardContextual"/>
            </w:rPr>
          </w:pPr>
          <w:hyperlink w:anchor="_Toc231991227" w:history="1">
            <w:r w:rsidRPr="005970C3">
              <w:rPr>
                <w:rStyle w:val="Hyperlink"/>
                <w:rFonts w:ascii="Arial" w:hAnsi="Arial"/>
                <w:noProof/>
              </w:rPr>
              <w:t>Reporting Year 2024</w:t>
            </w:r>
            <w:r>
              <w:rPr>
                <w:noProof/>
                <w:webHidden/>
              </w:rPr>
              <w:tab/>
            </w:r>
            <w:r>
              <w:rPr>
                <w:noProof/>
                <w:webHidden/>
              </w:rPr>
              <w:fldChar w:fldCharType="begin"/>
            </w:r>
            <w:r>
              <w:rPr>
                <w:noProof/>
                <w:webHidden/>
              </w:rPr>
              <w:instrText xml:space="preserve"> PAGEREF _Toc231991227 \h </w:instrText>
            </w:r>
            <w:r>
              <w:rPr>
                <w:noProof/>
                <w:webHidden/>
              </w:rPr>
            </w:r>
            <w:r>
              <w:rPr>
                <w:noProof/>
                <w:webHidden/>
              </w:rPr>
              <w:fldChar w:fldCharType="separate"/>
            </w:r>
            <w:r>
              <w:rPr>
                <w:noProof/>
                <w:webHidden/>
              </w:rPr>
              <w:t>1</w:t>
            </w:r>
            <w:r>
              <w:rPr>
                <w:noProof/>
                <w:webHidden/>
              </w:rPr>
              <w:fldChar w:fldCharType="end"/>
            </w:r>
          </w:hyperlink>
        </w:p>
        <w:p w14:paraId="71266140" w14:textId="1087574C" w:rsidR="00B127D2" w:rsidRDefault="00B127D2">
          <w:pPr>
            <w:pStyle w:val="TOC1"/>
            <w:tabs>
              <w:tab w:val="right" w:leader="dot" w:pos="9019"/>
            </w:tabs>
            <w:rPr>
              <w:noProof/>
              <w:kern w:val="2"/>
              <w:sz w:val="24"/>
              <w:szCs w:val="24"/>
              <w:lang w:val="en-ID" w:eastAsia="en-ID"/>
              <w14:ligatures w14:val="standardContextual"/>
            </w:rPr>
          </w:pPr>
          <w:hyperlink w:anchor="_Toc231991228" w:history="1">
            <w:r w:rsidRPr="005970C3">
              <w:rPr>
                <w:rStyle w:val="Hyperlink"/>
                <w:rFonts w:ascii="Arial" w:hAnsi="Arial"/>
                <w:noProof/>
              </w:rPr>
              <w:t>Table of Contents</w:t>
            </w:r>
            <w:r>
              <w:rPr>
                <w:noProof/>
                <w:webHidden/>
              </w:rPr>
              <w:tab/>
            </w:r>
            <w:r>
              <w:rPr>
                <w:noProof/>
                <w:webHidden/>
              </w:rPr>
              <w:fldChar w:fldCharType="begin"/>
            </w:r>
            <w:r>
              <w:rPr>
                <w:noProof/>
                <w:webHidden/>
              </w:rPr>
              <w:instrText xml:space="preserve"> PAGEREF _Toc231991228 \h </w:instrText>
            </w:r>
            <w:r>
              <w:rPr>
                <w:noProof/>
                <w:webHidden/>
              </w:rPr>
            </w:r>
            <w:r>
              <w:rPr>
                <w:noProof/>
                <w:webHidden/>
              </w:rPr>
              <w:fldChar w:fldCharType="separate"/>
            </w:r>
            <w:r>
              <w:rPr>
                <w:noProof/>
                <w:webHidden/>
              </w:rPr>
              <w:t>2</w:t>
            </w:r>
            <w:r>
              <w:rPr>
                <w:noProof/>
                <w:webHidden/>
              </w:rPr>
              <w:fldChar w:fldCharType="end"/>
            </w:r>
          </w:hyperlink>
        </w:p>
        <w:p w14:paraId="686DC34B" w14:textId="564B358F" w:rsidR="00B127D2" w:rsidRDefault="00B127D2">
          <w:pPr>
            <w:pStyle w:val="TOC1"/>
            <w:tabs>
              <w:tab w:val="right" w:leader="dot" w:pos="9019"/>
            </w:tabs>
            <w:rPr>
              <w:noProof/>
              <w:kern w:val="2"/>
              <w:sz w:val="24"/>
              <w:szCs w:val="24"/>
              <w:lang w:val="en-ID" w:eastAsia="en-ID"/>
              <w14:ligatures w14:val="standardContextual"/>
            </w:rPr>
          </w:pPr>
          <w:hyperlink w:anchor="_Toc231991229" w:history="1">
            <w:r w:rsidRPr="005970C3">
              <w:rPr>
                <w:rStyle w:val="Hyperlink"/>
                <w:rFonts w:ascii="Arial" w:hAnsi="Arial"/>
                <w:noProof/>
              </w:rPr>
              <w:t>Executive Summary: Total Greenhouse Gas Emissions</w:t>
            </w:r>
            <w:r>
              <w:rPr>
                <w:noProof/>
                <w:webHidden/>
              </w:rPr>
              <w:tab/>
            </w:r>
            <w:r>
              <w:rPr>
                <w:noProof/>
                <w:webHidden/>
              </w:rPr>
              <w:fldChar w:fldCharType="begin"/>
            </w:r>
            <w:r>
              <w:rPr>
                <w:noProof/>
                <w:webHidden/>
              </w:rPr>
              <w:instrText xml:space="preserve"> PAGEREF _Toc231991229 \h </w:instrText>
            </w:r>
            <w:r>
              <w:rPr>
                <w:noProof/>
                <w:webHidden/>
              </w:rPr>
            </w:r>
            <w:r>
              <w:rPr>
                <w:noProof/>
                <w:webHidden/>
              </w:rPr>
              <w:fldChar w:fldCharType="separate"/>
            </w:r>
            <w:r>
              <w:rPr>
                <w:noProof/>
                <w:webHidden/>
              </w:rPr>
              <w:t>3</w:t>
            </w:r>
            <w:r>
              <w:rPr>
                <w:noProof/>
                <w:webHidden/>
              </w:rPr>
              <w:fldChar w:fldCharType="end"/>
            </w:r>
          </w:hyperlink>
        </w:p>
        <w:p w14:paraId="55E9F594" w14:textId="5F0BC26A" w:rsidR="00B127D2" w:rsidRDefault="00B127D2">
          <w:pPr>
            <w:pStyle w:val="TOC1"/>
            <w:tabs>
              <w:tab w:val="right" w:leader="dot" w:pos="9019"/>
            </w:tabs>
            <w:rPr>
              <w:noProof/>
              <w:kern w:val="2"/>
              <w:sz w:val="24"/>
              <w:szCs w:val="24"/>
              <w:lang w:val="en-ID" w:eastAsia="en-ID"/>
              <w14:ligatures w14:val="standardContextual"/>
            </w:rPr>
          </w:pPr>
          <w:hyperlink w:anchor="_Toc231991230" w:history="1">
            <w:r w:rsidRPr="005970C3">
              <w:rPr>
                <w:rStyle w:val="Hyperlink"/>
                <w:rFonts w:ascii="Arial" w:hAnsi="Arial"/>
                <w:noProof/>
              </w:rPr>
              <w:t>IFRS S2 Cross-Industry Metric: Direct (Scope 1) GHG Emissions</w:t>
            </w:r>
            <w:r>
              <w:rPr>
                <w:noProof/>
                <w:webHidden/>
              </w:rPr>
              <w:tab/>
            </w:r>
            <w:r>
              <w:rPr>
                <w:noProof/>
                <w:webHidden/>
              </w:rPr>
              <w:fldChar w:fldCharType="begin"/>
            </w:r>
            <w:r>
              <w:rPr>
                <w:noProof/>
                <w:webHidden/>
              </w:rPr>
              <w:instrText xml:space="preserve"> PAGEREF _Toc231991230 \h </w:instrText>
            </w:r>
            <w:r>
              <w:rPr>
                <w:noProof/>
                <w:webHidden/>
              </w:rPr>
            </w:r>
            <w:r>
              <w:rPr>
                <w:noProof/>
                <w:webHidden/>
              </w:rPr>
              <w:fldChar w:fldCharType="separate"/>
            </w:r>
            <w:r>
              <w:rPr>
                <w:noProof/>
                <w:webHidden/>
              </w:rPr>
              <w:t>3</w:t>
            </w:r>
            <w:r>
              <w:rPr>
                <w:noProof/>
                <w:webHidden/>
              </w:rPr>
              <w:fldChar w:fldCharType="end"/>
            </w:r>
          </w:hyperlink>
        </w:p>
        <w:p w14:paraId="0B7F06BC" w14:textId="49659246" w:rsidR="00B127D2" w:rsidRDefault="00B127D2">
          <w:pPr>
            <w:pStyle w:val="TOC1"/>
            <w:tabs>
              <w:tab w:val="right" w:leader="dot" w:pos="9019"/>
            </w:tabs>
            <w:rPr>
              <w:noProof/>
              <w:kern w:val="2"/>
              <w:sz w:val="24"/>
              <w:szCs w:val="24"/>
              <w:lang w:val="en-ID" w:eastAsia="en-ID"/>
              <w14:ligatures w14:val="standardContextual"/>
            </w:rPr>
          </w:pPr>
          <w:hyperlink w:anchor="_Toc231991231" w:history="1">
            <w:r w:rsidRPr="005970C3">
              <w:rPr>
                <w:rStyle w:val="Hyperlink"/>
                <w:rFonts w:ascii="Arial" w:hAnsi="Arial"/>
                <w:noProof/>
              </w:rPr>
              <w:t>Climate Governance &amp; ESG Oversight</w:t>
            </w:r>
            <w:r>
              <w:rPr>
                <w:noProof/>
                <w:webHidden/>
              </w:rPr>
              <w:tab/>
            </w:r>
            <w:r>
              <w:rPr>
                <w:noProof/>
                <w:webHidden/>
              </w:rPr>
              <w:fldChar w:fldCharType="begin"/>
            </w:r>
            <w:r>
              <w:rPr>
                <w:noProof/>
                <w:webHidden/>
              </w:rPr>
              <w:instrText xml:space="preserve"> PAGEREF _Toc231991231 \h </w:instrText>
            </w:r>
            <w:r>
              <w:rPr>
                <w:noProof/>
                <w:webHidden/>
              </w:rPr>
            </w:r>
            <w:r>
              <w:rPr>
                <w:noProof/>
                <w:webHidden/>
              </w:rPr>
              <w:fldChar w:fldCharType="separate"/>
            </w:r>
            <w:r>
              <w:rPr>
                <w:noProof/>
                <w:webHidden/>
              </w:rPr>
              <w:t>3</w:t>
            </w:r>
            <w:r>
              <w:rPr>
                <w:noProof/>
                <w:webHidden/>
              </w:rPr>
              <w:fldChar w:fldCharType="end"/>
            </w:r>
          </w:hyperlink>
        </w:p>
        <w:p w14:paraId="23321737" w14:textId="75222471" w:rsidR="00B127D2" w:rsidRDefault="00B127D2">
          <w:pPr>
            <w:pStyle w:val="TOC1"/>
            <w:tabs>
              <w:tab w:val="right" w:leader="dot" w:pos="9019"/>
            </w:tabs>
            <w:rPr>
              <w:noProof/>
              <w:kern w:val="2"/>
              <w:sz w:val="24"/>
              <w:szCs w:val="24"/>
              <w:lang w:val="en-ID" w:eastAsia="en-ID"/>
              <w14:ligatures w14:val="standardContextual"/>
            </w:rPr>
          </w:pPr>
          <w:hyperlink w:anchor="_Toc231991232" w:history="1">
            <w:r w:rsidRPr="005970C3">
              <w:rPr>
                <w:rStyle w:val="Hyperlink"/>
                <w:rFonts w:ascii="Arial" w:hAnsi="Arial"/>
                <w:noProof/>
              </w:rPr>
              <w:t>IFRS S2 Metrics &amp; Targets: Financed Emissions (Scope 3 Category 15)</w:t>
            </w:r>
            <w:r>
              <w:rPr>
                <w:noProof/>
                <w:webHidden/>
              </w:rPr>
              <w:tab/>
            </w:r>
            <w:r>
              <w:rPr>
                <w:noProof/>
                <w:webHidden/>
              </w:rPr>
              <w:fldChar w:fldCharType="begin"/>
            </w:r>
            <w:r>
              <w:rPr>
                <w:noProof/>
                <w:webHidden/>
              </w:rPr>
              <w:instrText xml:space="preserve"> PAGEREF _Toc231991232 \h </w:instrText>
            </w:r>
            <w:r>
              <w:rPr>
                <w:noProof/>
                <w:webHidden/>
              </w:rPr>
            </w:r>
            <w:r>
              <w:rPr>
                <w:noProof/>
                <w:webHidden/>
              </w:rPr>
              <w:fldChar w:fldCharType="separate"/>
            </w:r>
            <w:r>
              <w:rPr>
                <w:noProof/>
                <w:webHidden/>
              </w:rPr>
              <w:t>3</w:t>
            </w:r>
            <w:r>
              <w:rPr>
                <w:noProof/>
                <w:webHidden/>
              </w:rPr>
              <w:fldChar w:fldCharType="end"/>
            </w:r>
          </w:hyperlink>
        </w:p>
        <w:p w14:paraId="53B1664E" w14:textId="6E542C0C" w:rsidR="00B127D2" w:rsidRDefault="00B127D2">
          <w:pPr>
            <w:pStyle w:val="TOC1"/>
            <w:tabs>
              <w:tab w:val="right" w:leader="dot" w:pos="9019"/>
            </w:tabs>
            <w:rPr>
              <w:noProof/>
              <w:kern w:val="2"/>
              <w:sz w:val="24"/>
              <w:szCs w:val="24"/>
              <w:lang w:val="en-ID" w:eastAsia="en-ID"/>
              <w14:ligatures w14:val="standardContextual"/>
            </w:rPr>
          </w:pPr>
          <w:hyperlink w:anchor="_Toc231991233" w:history="1">
            <w:r w:rsidRPr="005970C3">
              <w:rPr>
                <w:rStyle w:val="Hyperlink"/>
                <w:rFonts w:ascii="Arial" w:hAnsi="Arial"/>
                <w:noProof/>
              </w:rPr>
              <w:t>Climate Targets &amp; Reduction Initiatives</w:t>
            </w:r>
            <w:r>
              <w:rPr>
                <w:noProof/>
                <w:webHidden/>
              </w:rPr>
              <w:tab/>
            </w:r>
            <w:r>
              <w:rPr>
                <w:noProof/>
                <w:webHidden/>
              </w:rPr>
              <w:fldChar w:fldCharType="begin"/>
            </w:r>
            <w:r>
              <w:rPr>
                <w:noProof/>
                <w:webHidden/>
              </w:rPr>
              <w:instrText xml:space="preserve"> PAGEREF _Toc231991233 \h </w:instrText>
            </w:r>
            <w:r>
              <w:rPr>
                <w:noProof/>
                <w:webHidden/>
              </w:rPr>
            </w:r>
            <w:r>
              <w:rPr>
                <w:noProof/>
                <w:webHidden/>
              </w:rPr>
              <w:fldChar w:fldCharType="separate"/>
            </w:r>
            <w:r>
              <w:rPr>
                <w:noProof/>
                <w:webHidden/>
              </w:rPr>
              <w:t>3</w:t>
            </w:r>
            <w:r>
              <w:rPr>
                <w:noProof/>
                <w:webHidden/>
              </w:rPr>
              <w:fldChar w:fldCharType="end"/>
            </w:r>
          </w:hyperlink>
        </w:p>
        <w:p w14:paraId="57AEA98F" w14:textId="39C4B4FD" w:rsidR="00B127D2" w:rsidRDefault="00B127D2">
          <w:pPr>
            <w:pStyle w:val="TOC1"/>
            <w:tabs>
              <w:tab w:val="right" w:leader="dot" w:pos="9019"/>
            </w:tabs>
            <w:rPr>
              <w:noProof/>
              <w:kern w:val="2"/>
              <w:sz w:val="24"/>
              <w:szCs w:val="24"/>
              <w:lang w:val="en-ID" w:eastAsia="en-ID"/>
              <w14:ligatures w14:val="standardContextual"/>
            </w:rPr>
          </w:pPr>
          <w:hyperlink w:anchor="_Toc231991234" w:history="1">
            <w:r w:rsidRPr="005970C3">
              <w:rPr>
                <w:rStyle w:val="Hyperlink"/>
                <w:rFonts w:ascii="Arial" w:hAnsi="Arial"/>
                <w:noProof/>
              </w:rPr>
              <w:t>Social: Workforce &amp; Human Capital Disclosures</w:t>
            </w:r>
            <w:r>
              <w:rPr>
                <w:noProof/>
                <w:webHidden/>
              </w:rPr>
              <w:tab/>
            </w:r>
            <w:r>
              <w:rPr>
                <w:noProof/>
                <w:webHidden/>
              </w:rPr>
              <w:fldChar w:fldCharType="begin"/>
            </w:r>
            <w:r>
              <w:rPr>
                <w:noProof/>
                <w:webHidden/>
              </w:rPr>
              <w:instrText xml:space="preserve"> PAGEREF _Toc231991234 \h </w:instrText>
            </w:r>
            <w:r>
              <w:rPr>
                <w:noProof/>
                <w:webHidden/>
              </w:rPr>
            </w:r>
            <w:r>
              <w:rPr>
                <w:noProof/>
                <w:webHidden/>
              </w:rPr>
              <w:fldChar w:fldCharType="separate"/>
            </w:r>
            <w:r>
              <w:rPr>
                <w:noProof/>
                <w:webHidden/>
              </w:rPr>
              <w:t>3</w:t>
            </w:r>
            <w:r>
              <w:rPr>
                <w:noProof/>
                <w:webHidden/>
              </w:rPr>
              <w:fldChar w:fldCharType="end"/>
            </w:r>
          </w:hyperlink>
        </w:p>
        <w:p w14:paraId="62ABAA04" w14:textId="6623DF72" w:rsidR="00B127D2" w:rsidRDefault="00B127D2">
          <w:pPr>
            <w:pStyle w:val="TOC1"/>
            <w:tabs>
              <w:tab w:val="right" w:leader="dot" w:pos="9019"/>
            </w:tabs>
            <w:rPr>
              <w:noProof/>
              <w:kern w:val="2"/>
              <w:sz w:val="24"/>
              <w:szCs w:val="24"/>
              <w:lang w:val="en-ID" w:eastAsia="en-ID"/>
              <w14:ligatures w14:val="standardContextual"/>
            </w:rPr>
          </w:pPr>
          <w:hyperlink w:anchor="_Toc231991235" w:history="1">
            <w:r w:rsidRPr="005970C3">
              <w:rPr>
                <w:rStyle w:val="Hyperlink"/>
                <w:rFonts w:ascii="Arial" w:hAnsi="Arial"/>
                <w:noProof/>
              </w:rPr>
              <w:t>Appendix A: Methodology Notes</w:t>
            </w:r>
            <w:r>
              <w:rPr>
                <w:noProof/>
                <w:webHidden/>
              </w:rPr>
              <w:tab/>
            </w:r>
            <w:r>
              <w:rPr>
                <w:noProof/>
                <w:webHidden/>
              </w:rPr>
              <w:fldChar w:fldCharType="begin"/>
            </w:r>
            <w:r>
              <w:rPr>
                <w:noProof/>
                <w:webHidden/>
              </w:rPr>
              <w:instrText xml:space="preserve"> PAGEREF _Toc231991235 \h </w:instrText>
            </w:r>
            <w:r>
              <w:rPr>
                <w:noProof/>
                <w:webHidden/>
              </w:rPr>
            </w:r>
            <w:r>
              <w:rPr>
                <w:noProof/>
                <w:webHidden/>
              </w:rPr>
              <w:fldChar w:fldCharType="separate"/>
            </w:r>
            <w:r>
              <w:rPr>
                <w:noProof/>
                <w:webHidden/>
              </w:rPr>
              <w:t>3</w:t>
            </w:r>
            <w:r>
              <w:rPr>
                <w:noProof/>
                <w:webHidden/>
              </w:rPr>
              <w:fldChar w:fldCharType="end"/>
            </w:r>
          </w:hyperlink>
        </w:p>
        <w:p w14:paraId="6EA637D6" w14:textId="78373703" w:rsidR="00B127D2" w:rsidRDefault="00B127D2">
          <w:pPr>
            <w:pStyle w:val="TOC1"/>
            <w:tabs>
              <w:tab w:val="right" w:leader="dot" w:pos="9019"/>
            </w:tabs>
            <w:rPr>
              <w:noProof/>
              <w:kern w:val="2"/>
              <w:sz w:val="24"/>
              <w:szCs w:val="24"/>
              <w:lang w:val="en-ID" w:eastAsia="en-ID"/>
              <w14:ligatures w14:val="standardContextual"/>
            </w:rPr>
          </w:pPr>
          <w:hyperlink w:anchor="_Toc231991236" w:history="1">
            <w:r w:rsidRPr="005970C3">
              <w:rPr>
                <w:rStyle w:val="Hyperlink"/>
                <w:rFonts w:ascii="Arial" w:hAnsi="Arial"/>
                <w:noProof/>
              </w:rPr>
              <w:t>Appendix B: Data Quality Summary</w:t>
            </w:r>
            <w:r>
              <w:rPr>
                <w:noProof/>
                <w:webHidden/>
              </w:rPr>
              <w:tab/>
            </w:r>
            <w:r>
              <w:rPr>
                <w:noProof/>
                <w:webHidden/>
              </w:rPr>
              <w:fldChar w:fldCharType="begin"/>
            </w:r>
            <w:r>
              <w:rPr>
                <w:noProof/>
                <w:webHidden/>
              </w:rPr>
              <w:instrText xml:space="preserve"> PAGEREF _Toc231991236 \h </w:instrText>
            </w:r>
            <w:r>
              <w:rPr>
                <w:noProof/>
                <w:webHidden/>
              </w:rPr>
            </w:r>
            <w:r>
              <w:rPr>
                <w:noProof/>
                <w:webHidden/>
              </w:rPr>
              <w:fldChar w:fldCharType="separate"/>
            </w:r>
            <w:r>
              <w:rPr>
                <w:noProof/>
                <w:webHidden/>
              </w:rPr>
              <w:t>3</w:t>
            </w:r>
            <w:r>
              <w:rPr>
                <w:noProof/>
                <w:webHidden/>
              </w:rPr>
              <w:fldChar w:fldCharType="end"/>
            </w:r>
          </w:hyperlink>
        </w:p>
        <w:p w14:paraId="779E5EB8" w14:textId="79465BEE" w:rsidR="00B127D2" w:rsidRDefault="00B127D2">
          <w:r>
            <w:rPr>
              <w:b/>
              <w:bCs/>
              <w:noProof/>
            </w:rPr>
            <w:fldChar w:fldCharType="end"/>
          </w:r>
        </w:p>
      </w:sdtContent>
    </w:sdt>
    <w:p w14:paraId="26100FC3" w14:textId="77777777" w:rsidR="00811103" w:rsidRDefault="00000000">
      <w:r>
        <w:br w:type="page"/>
      </w:r>
    </w:p>
    <w:p w14:paraId="513978CA" w14:textId="77777777" w:rsidR="00811103" w:rsidRDefault="00000000">
      <w:pPr>
        <w:pStyle w:val="Heading1"/>
        <w:spacing w:after="240"/>
      </w:pPr>
      <w:bookmarkStart w:id="3" w:name="_Toc231991229"/>
      <w:r>
        <w:rPr>
          <w:rFonts w:ascii="Arial" w:hAnsi="Arial"/>
          <w:color w:val="1B3A6B"/>
          <w:sz w:val="36"/>
        </w:rPr>
        <w:lastRenderedPageBreak/>
        <w:t>Executive Summary: Total Greenhouse Gas Emissions</w:t>
      </w:r>
      <w:bookmarkEnd w:id="3"/>
    </w:p>
    <w:p w14:paraId="24DBCC21" w14:textId="77777777" w:rsidR="00811103" w:rsidRDefault="00000000">
      <w:pPr>
        <w:spacing w:after="160"/>
        <w:jc w:val="both"/>
      </w:pPr>
      <w:r>
        <w:rPr>
          <w:rFonts w:ascii="Arial" w:hAnsi="Arial"/>
        </w:rPr>
        <w:t>For the reporting period ending December 31, 2024, the institution's total greenhouse gas footprint was 22,024,814.173 tCO2e, comprising direct operational emissions (Scope 1), indirect energy-related emissions (Scope 2), and financed emissions from the lending portfolio (Scope 3 Category 15). This figure represents the institution's comprehensive climate impact across its operational boundary and value chain, calculated in accordance with the GHG Protocol Corporate Accounting and Reporting Standard and the Partnership for Carbon Accounting Financials (PCAF) Global GHG Accounting and Reporting Standard for the Financial Industry.</w:t>
      </w:r>
    </w:p>
    <w:p w14:paraId="1F32D34D" w14:textId="77777777" w:rsidR="00811103" w:rsidRDefault="00000000">
      <w:pPr>
        <w:spacing w:after="160"/>
        <w:jc w:val="both"/>
      </w:pPr>
      <w:r>
        <w:rPr>
          <w:rFonts w:ascii="Arial" w:hAnsi="Arial"/>
        </w:rPr>
        <w:t>Scope 1 emissions from direct fuel combustion totaled 3,402.997 tCO2e, representing 0.015% of the total footprint. Scope 2 emissions from purchased electricity totaled 44,612.518 tCO2e (market-based method), representing 0.203% of the total footprint. Scope 3 Category 15 financed emissions constituted 21,976,797.3 tCO2e, representing 99.782% of the total footprint. The dominance of financed emissions reflects the institution's role as a financial intermediary, where the climate impact of lending and investment activities significantly exceeds direct operational emissions. The location-based Scope 2 total was 44,613.876 tCO2e, differing by 1.358 tCO2e from the market-based figure due to renewable energy certificate adjustments.</w:t>
      </w:r>
    </w:p>
    <w:p w14:paraId="7BE0E51F" w14:textId="77777777" w:rsidR="00811103" w:rsidRDefault="00000000">
      <w:pPr>
        <w:spacing w:after="160"/>
        <w:jc w:val="both"/>
      </w:pPr>
      <w:r>
        <w:rPr>
          <w:rFonts w:ascii="Arial" w:hAnsi="Arial"/>
        </w:rPr>
        <w:t>The institution's emission intensity metrics for 2024 were 239.400139 tCO2e per IDR billion of total assets and 1.9209 tCO2e per full-time equivalent employee. These intensity ratios enable normalization of the absolute footprint against business scale and workforce size, facilitating peer comparison and tracking of decarbonization progress independent of portfolio growth. The total GHG footprint decreased by 4.07% compared to the prior reporting period (2023), driven primarily by reductions in financed emissions across the lending portfolio. This year-over-year decline reflects both active portfolio decarbonization efforts and macroeconomic factors affecting borrower emissions profiles.</w:t>
      </w:r>
    </w:p>
    <w:p w14:paraId="7DC2C048" w14:textId="77777777" w:rsidR="00811103" w:rsidRDefault="00000000">
      <w:pPr>
        <w:spacing w:after="160"/>
        <w:jc w:val="both"/>
      </w:pPr>
      <w:r>
        <w:rPr>
          <w:rFonts w:ascii="Arial" w:hAnsi="Arial"/>
          <w:i/>
        </w:rPr>
        <w:t>The financed emissions calculation utilized borrower-specific emissions data where available, supplemented by sector-based estimation methodologies for counterparties without disclosed GHG inventories. The portfolio-weighted average PCAF data quality score was 3.36 on a scale of 1 (highest quality, based on reported data) to 5 (lowest quality, based on economic models). This score indicates that the majority of financed emissions were calculated using sector-average emission factors rather than borrower-specific reported data, representing an area for data quality improvement in future reporting periods. The institution is implementing a phased engagement program with high-emission borrowers to improve primary data collection rates and reduce reliance on estimation methodologies.</w:t>
      </w:r>
    </w:p>
    <w:p w14:paraId="33578B42" w14:textId="77777777" w:rsidR="00811103" w:rsidRDefault="00000000">
      <w:r>
        <w:rPr>
          <w:rFonts w:ascii="Arial" w:hAnsi="Arial"/>
          <w:b/>
          <w:sz w:val="20"/>
        </w:rPr>
        <w:t>Table 1: Total GHG Emissions by Scope — Reporting Year 2024</w:t>
      </w:r>
    </w:p>
    <w:tbl>
      <w:tblPr>
        <w:tblW w:w="0" w:type="auto"/>
        <w:jc w:val="center"/>
        <w:tblLook w:val="04A0" w:firstRow="1" w:lastRow="0" w:firstColumn="1" w:lastColumn="0" w:noHBand="0" w:noVBand="1"/>
      </w:tblPr>
      <w:tblGrid>
        <w:gridCol w:w="2257"/>
        <w:gridCol w:w="2257"/>
        <w:gridCol w:w="2257"/>
        <w:gridCol w:w="2257"/>
      </w:tblGrid>
      <w:tr w:rsidR="00811103" w14:paraId="00F9764C" w14:textId="77777777">
        <w:trPr>
          <w:jc w:val="center"/>
        </w:trPr>
        <w:tc>
          <w:tcPr>
            <w:tcW w:w="2257" w:type="dxa"/>
            <w:shd w:val="clear" w:color="auto" w:fill="1B3A6B"/>
          </w:tcPr>
          <w:p w14:paraId="40863B9E" w14:textId="77777777" w:rsidR="00811103" w:rsidRDefault="00000000">
            <w:r>
              <w:rPr>
                <w:rFonts w:ascii="Arial" w:hAnsi="Arial"/>
                <w:b/>
                <w:color w:val="FFFFFF"/>
                <w:sz w:val="18"/>
              </w:rPr>
              <w:t>Scope</w:t>
            </w:r>
          </w:p>
        </w:tc>
        <w:tc>
          <w:tcPr>
            <w:tcW w:w="2257" w:type="dxa"/>
            <w:shd w:val="clear" w:color="auto" w:fill="1B3A6B"/>
          </w:tcPr>
          <w:p w14:paraId="78A9F1AA" w14:textId="77777777" w:rsidR="00811103" w:rsidRDefault="00000000">
            <w:r>
              <w:rPr>
                <w:rFonts w:ascii="Arial" w:hAnsi="Arial"/>
                <w:b/>
                <w:color w:val="FFFFFF"/>
                <w:sz w:val="18"/>
              </w:rPr>
              <w:t>Emissions (tCO2e)</w:t>
            </w:r>
          </w:p>
        </w:tc>
        <w:tc>
          <w:tcPr>
            <w:tcW w:w="2257" w:type="dxa"/>
            <w:shd w:val="clear" w:color="auto" w:fill="1B3A6B"/>
          </w:tcPr>
          <w:p w14:paraId="2AA8FBB9" w14:textId="77777777" w:rsidR="00811103" w:rsidRDefault="00000000">
            <w:r>
              <w:rPr>
                <w:rFonts w:ascii="Arial" w:hAnsi="Arial"/>
                <w:b/>
                <w:color w:val="FFFFFF"/>
                <w:sz w:val="18"/>
              </w:rPr>
              <w:t>Percentage of Total</w:t>
            </w:r>
          </w:p>
        </w:tc>
        <w:tc>
          <w:tcPr>
            <w:tcW w:w="2257" w:type="dxa"/>
            <w:shd w:val="clear" w:color="auto" w:fill="1B3A6B"/>
          </w:tcPr>
          <w:p w14:paraId="2FCDB084" w14:textId="77777777" w:rsidR="00811103" w:rsidRDefault="00000000">
            <w:r>
              <w:rPr>
                <w:rFonts w:ascii="Arial" w:hAnsi="Arial"/>
                <w:b/>
                <w:color w:val="FFFFFF"/>
                <w:sz w:val="18"/>
              </w:rPr>
              <w:t>Calculation Method</w:t>
            </w:r>
          </w:p>
        </w:tc>
      </w:tr>
      <w:tr w:rsidR="00811103" w14:paraId="3A34D5E7" w14:textId="77777777">
        <w:trPr>
          <w:jc w:val="center"/>
        </w:trPr>
        <w:tc>
          <w:tcPr>
            <w:tcW w:w="2257" w:type="dxa"/>
          </w:tcPr>
          <w:p w14:paraId="7D3BF9E1" w14:textId="77777777" w:rsidR="00811103" w:rsidRDefault="00000000">
            <w:r>
              <w:rPr>
                <w:rFonts w:ascii="Arial" w:hAnsi="Arial"/>
                <w:sz w:val="18"/>
              </w:rPr>
              <w:t>Scope 1 (Direct)</w:t>
            </w:r>
          </w:p>
        </w:tc>
        <w:tc>
          <w:tcPr>
            <w:tcW w:w="2257" w:type="dxa"/>
          </w:tcPr>
          <w:p w14:paraId="00EE1664" w14:textId="77777777" w:rsidR="00811103" w:rsidRDefault="00000000">
            <w:pPr>
              <w:jc w:val="right"/>
            </w:pPr>
            <w:r>
              <w:rPr>
                <w:rFonts w:ascii="Arial" w:hAnsi="Arial"/>
                <w:sz w:val="18"/>
              </w:rPr>
              <w:t>3,402.997</w:t>
            </w:r>
          </w:p>
        </w:tc>
        <w:tc>
          <w:tcPr>
            <w:tcW w:w="2257" w:type="dxa"/>
          </w:tcPr>
          <w:p w14:paraId="48DDBDB0" w14:textId="77777777" w:rsidR="00811103" w:rsidRDefault="00000000">
            <w:pPr>
              <w:jc w:val="right"/>
            </w:pPr>
            <w:r>
              <w:rPr>
                <w:rFonts w:ascii="Arial" w:hAnsi="Arial"/>
                <w:sz w:val="18"/>
              </w:rPr>
              <w:t>0.015%</w:t>
            </w:r>
          </w:p>
        </w:tc>
        <w:tc>
          <w:tcPr>
            <w:tcW w:w="2257" w:type="dxa"/>
          </w:tcPr>
          <w:p w14:paraId="7DC2EE17" w14:textId="77777777" w:rsidR="00811103" w:rsidRDefault="00000000">
            <w:r>
              <w:rPr>
                <w:rFonts w:ascii="Arial" w:hAnsi="Arial"/>
                <w:sz w:val="18"/>
              </w:rPr>
              <w:t>Fuel consumption records</w:t>
            </w:r>
          </w:p>
        </w:tc>
      </w:tr>
      <w:tr w:rsidR="00811103" w14:paraId="1D1CE06E" w14:textId="77777777">
        <w:trPr>
          <w:jc w:val="center"/>
        </w:trPr>
        <w:tc>
          <w:tcPr>
            <w:tcW w:w="2257" w:type="dxa"/>
            <w:shd w:val="clear" w:color="auto" w:fill="F2F6FC"/>
          </w:tcPr>
          <w:p w14:paraId="17FEC7FA" w14:textId="77777777" w:rsidR="00811103" w:rsidRDefault="00000000">
            <w:r>
              <w:rPr>
                <w:rFonts w:ascii="Arial" w:hAnsi="Arial"/>
                <w:sz w:val="18"/>
              </w:rPr>
              <w:t xml:space="preserve">Scope 2 (Indirect — </w:t>
            </w:r>
            <w:r>
              <w:rPr>
                <w:rFonts w:ascii="Arial" w:hAnsi="Arial"/>
                <w:sz w:val="18"/>
              </w:rPr>
              <w:lastRenderedPageBreak/>
              <w:t>Market-based)</w:t>
            </w:r>
          </w:p>
        </w:tc>
        <w:tc>
          <w:tcPr>
            <w:tcW w:w="2257" w:type="dxa"/>
            <w:shd w:val="clear" w:color="auto" w:fill="F2F6FC"/>
          </w:tcPr>
          <w:p w14:paraId="244A791F" w14:textId="77777777" w:rsidR="00811103" w:rsidRDefault="00000000">
            <w:pPr>
              <w:jc w:val="right"/>
            </w:pPr>
            <w:r>
              <w:rPr>
                <w:rFonts w:ascii="Arial" w:hAnsi="Arial"/>
                <w:sz w:val="18"/>
              </w:rPr>
              <w:lastRenderedPageBreak/>
              <w:t>44,612.518</w:t>
            </w:r>
          </w:p>
        </w:tc>
        <w:tc>
          <w:tcPr>
            <w:tcW w:w="2257" w:type="dxa"/>
            <w:shd w:val="clear" w:color="auto" w:fill="F2F6FC"/>
          </w:tcPr>
          <w:p w14:paraId="58154FAF" w14:textId="77777777" w:rsidR="00811103" w:rsidRDefault="00000000">
            <w:pPr>
              <w:jc w:val="right"/>
            </w:pPr>
            <w:r>
              <w:rPr>
                <w:rFonts w:ascii="Arial" w:hAnsi="Arial"/>
                <w:sz w:val="18"/>
              </w:rPr>
              <w:t>0.203%</w:t>
            </w:r>
          </w:p>
        </w:tc>
        <w:tc>
          <w:tcPr>
            <w:tcW w:w="2257" w:type="dxa"/>
            <w:shd w:val="clear" w:color="auto" w:fill="F2F6FC"/>
          </w:tcPr>
          <w:p w14:paraId="449ED9F8" w14:textId="77777777" w:rsidR="00811103" w:rsidRDefault="00000000">
            <w:r>
              <w:rPr>
                <w:rFonts w:ascii="Arial" w:hAnsi="Arial"/>
                <w:sz w:val="18"/>
              </w:rPr>
              <w:t xml:space="preserve">Electricity invoices + </w:t>
            </w:r>
            <w:r>
              <w:rPr>
                <w:rFonts w:ascii="Arial" w:hAnsi="Arial"/>
                <w:sz w:val="18"/>
              </w:rPr>
              <w:lastRenderedPageBreak/>
              <w:t>RECs</w:t>
            </w:r>
          </w:p>
        </w:tc>
      </w:tr>
      <w:tr w:rsidR="00811103" w14:paraId="580ADACD" w14:textId="77777777">
        <w:trPr>
          <w:jc w:val="center"/>
        </w:trPr>
        <w:tc>
          <w:tcPr>
            <w:tcW w:w="2257" w:type="dxa"/>
          </w:tcPr>
          <w:p w14:paraId="77DA8D8F" w14:textId="77777777" w:rsidR="00811103" w:rsidRDefault="00000000">
            <w:r>
              <w:rPr>
                <w:rFonts w:ascii="Arial" w:hAnsi="Arial"/>
                <w:sz w:val="18"/>
              </w:rPr>
              <w:lastRenderedPageBreak/>
              <w:t>Scope 2 (Indirect — Location-based)</w:t>
            </w:r>
          </w:p>
        </w:tc>
        <w:tc>
          <w:tcPr>
            <w:tcW w:w="2257" w:type="dxa"/>
          </w:tcPr>
          <w:p w14:paraId="1675B098" w14:textId="77777777" w:rsidR="00811103" w:rsidRDefault="00000000">
            <w:pPr>
              <w:jc w:val="right"/>
            </w:pPr>
            <w:r>
              <w:rPr>
                <w:rFonts w:ascii="Arial" w:hAnsi="Arial"/>
                <w:sz w:val="18"/>
              </w:rPr>
              <w:t>44,613.876</w:t>
            </w:r>
          </w:p>
        </w:tc>
        <w:tc>
          <w:tcPr>
            <w:tcW w:w="2257" w:type="dxa"/>
          </w:tcPr>
          <w:p w14:paraId="3C04849F" w14:textId="77777777" w:rsidR="00811103" w:rsidRDefault="00000000">
            <w:pPr>
              <w:jc w:val="right"/>
            </w:pPr>
            <w:r>
              <w:rPr>
                <w:rFonts w:ascii="Arial" w:hAnsi="Arial"/>
                <w:sz w:val="18"/>
              </w:rPr>
              <w:t>0.203%</w:t>
            </w:r>
          </w:p>
        </w:tc>
        <w:tc>
          <w:tcPr>
            <w:tcW w:w="2257" w:type="dxa"/>
          </w:tcPr>
          <w:p w14:paraId="14609398" w14:textId="77777777" w:rsidR="00811103" w:rsidRDefault="00000000">
            <w:r>
              <w:rPr>
                <w:rFonts w:ascii="Arial" w:hAnsi="Arial"/>
                <w:sz w:val="18"/>
              </w:rPr>
              <w:t>Grid emission factors</w:t>
            </w:r>
          </w:p>
        </w:tc>
      </w:tr>
      <w:tr w:rsidR="00811103" w14:paraId="71699366" w14:textId="77777777">
        <w:trPr>
          <w:jc w:val="center"/>
        </w:trPr>
        <w:tc>
          <w:tcPr>
            <w:tcW w:w="2257" w:type="dxa"/>
            <w:shd w:val="clear" w:color="auto" w:fill="F2F6FC"/>
          </w:tcPr>
          <w:p w14:paraId="3378C73C" w14:textId="77777777" w:rsidR="00811103" w:rsidRDefault="00000000">
            <w:r>
              <w:rPr>
                <w:rFonts w:ascii="Arial" w:hAnsi="Arial"/>
                <w:sz w:val="18"/>
              </w:rPr>
              <w:t>Scope 3 Category 15 (Financed Emissions)</w:t>
            </w:r>
          </w:p>
        </w:tc>
        <w:tc>
          <w:tcPr>
            <w:tcW w:w="2257" w:type="dxa"/>
            <w:shd w:val="clear" w:color="auto" w:fill="F2F6FC"/>
          </w:tcPr>
          <w:p w14:paraId="3B801DB1" w14:textId="77777777" w:rsidR="00811103" w:rsidRDefault="00000000">
            <w:pPr>
              <w:jc w:val="right"/>
            </w:pPr>
            <w:r>
              <w:rPr>
                <w:rFonts w:ascii="Arial" w:hAnsi="Arial"/>
                <w:sz w:val="18"/>
              </w:rPr>
              <w:t>21,976,797.3</w:t>
            </w:r>
          </w:p>
        </w:tc>
        <w:tc>
          <w:tcPr>
            <w:tcW w:w="2257" w:type="dxa"/>
            <w:shd w:val="clear" w:color="auto" w:fill="F2F6FC"/>
          </w:tcPr>
          <w:p w14:paraId="3CFFE16C" w14:textId="77777777" w:rsidR="00811103" w:rsidRDefault="00000000">
            <w:pPr>
              <w:jc w:val="right"/>
            </w:pPr>
            <w:r>
              <w:rPr>
                <w:rFonts w:ascii="Arial" w:hAnsi="Arial"/>
                <w:sz w:val="18"/>
              </w:rPr>
              <w:t>99.782%</w:t>
            </w:r>
          </w:p>
        </w:tc>
        <w:tc>
          <w:tcPr>
            <w:tcW w:w="2257" w:type="dxa"/>
            <w:shd w:val="clear" w:color="auto" w:fill="F2F6FC"/>
          </w:tcPr>
          <w:p w14:paraId="3F77C912" w14:textId="77777777" w:rsidR="00811103" w:rsidRDefault="00000000">
            <w:r>
              <w:rPr>
                <w:rFonts w:ascii="Arial" w:hAnsi="Arial"/>
                <w:sz w:val="18"/>
              </w:rPr>
              <w:t>PCAF Standard</w:t>
            </w:r>
          </w:p>
        </w:tc>
      </w:tr>
      <w:tr w:rsidR="00811103" w14:paraId="6824905F" w14:textId="77777777">
        <w:trPr>
          <w:jc w:val="center"/>
        </w:trPr>
        <w:tc>
          <w:tcPr>
            <w:tcW w:w="2257" w:type="dxa"/>
          </w:tcPr>
          <w:p w14:paraId="7A48A46A" w14:textId="77777777" w:rsidR="00811103" w:rsidRDefault="00000000">
            <w:r>
              <w:rPr>
                <w:rFonts w:ascii="Arial" w:hAnsi="Arial"/>
                <w:sz w:val="18"/>
              </w:rPr>
              <w:t>**Total GHG Footprint (Market-based)**</w:t>
            </w:r>
          </w:p>
        </w:tc>
        <w:tc>
          <w:tcPr>
            <w:tcW w:w="2257" w:type="dxa"/>
          </w:tcPr>
          <w:p w14:paraId="4FD87A28" w14:textId="77777777" w:rsidR="00811103" w:rsidRDefault="00000000">
            <w:r>
              <w:rPr>
                <w:rFonts w:ascii="Arial" w:hAnsi="Arial"/>
                <w:sz w:val="18"/>
              </w:rPr>
              <w:t>**22,024,814.173**</w:t>
            </w:r>
          </w:p>
        </w:tc>
        <w:tc>
          <w:tcPr>
            <w:tcW w:w="2257" w:type="dxa"/>
          </w:tcPr>
          <w:p w14:paraId="3ED32FEA" w14:textId="77777777" w:rsidR="00811103" w:rsidRDefault="00000000">
            <w:r>
              <w:rPr>
                <w:rFonts w:ascii="Arial" w:hAnsi="Arial"/>
                <w:sz w:val="18"/>
              </w:rPr>
              <w:t>**100.00%**</w:t>
            </w:r>
          </w:p>
        </w:tc>
        <w:tc>
          <w:tcPr>
            <w:tcW w:w="2257" w:type="dxa"/>
          </w:tcPr>
          <w:p w14:paraId="46E2069D" w14:textId="77777777" w:rsidR="00811103" w:rsidRDefault="00811103"/>
        </w:tc>
      </w:tr>
    </w:tbl>
    <w:p w14:paraId="5DC37675" w14:textId="77777777" w:rsidR="00811103" w:rsidRDefault="00000000">
      <w:r>
        <w:rPr>
          <w:rFonts w:ascii="Arial" w:hAnsi="Arial"/>
          <w:i/>
          <w:sz w:val="16"/>
        </w:rPr>
        <w:t>Source: Scope 2 market-based method is used for total footprint calculation per GHG Protocol hierarchy. Location-based total provided for transparency.</w:t>
      </w:r>
    </w:p>
    <w:p w14:paraId="2EA46090" w14:textId="77777777" w:rsidR="00811103" w:rsidRDefault="00811103"/>
    <w:p w14:paraId="73194A07" w14:textId="77777777" w:rsidR="00811103" w:rsidRDefault="00000000">
      <w:r>
        <w:rPr>
          <w:rFonts w:ascii="Arial" w:hAnsi="Arial"/>
          <w:b/>
          <w:sz w:val="20"/>
        </w:rPr>
        <w:t>Table 2: Emission Intensity Metrics — Reporting Year 2024</w:t>
      </w:r>
    </w:p>
    <w:tbl>
      <w:tblPr>
        <w:tblW w:w="0" w:type="auto"/>
        <w:jc w:val="center"/>
        <w:tblLook w:val="04A0" w:firstRow="1" w:lastRow="0" w:firstColumn="1" w:lastColumn="0" w:noHBand="0" w:noVBand="1"/>
      </w:tblPr>
      <w:tblGrid>
        <w:gridCol w:w="3010"/>
        <w:gridCol w:w="3010"/>
        <w:gridCol w:w="3010"/>
      </w:tblGrid>
      <w:tr w:rsidR="00811103" w14:paraId="4886F222" w14:textId="77777777">
        <w:trPr>
          <w:jc w:val="center"/>
        </w:trPr>
        <w:tc>
          <w:tcPr>
            <w:tcW w:w="3010" w:type="dxa"/>
            <w:shd w:val="clear" w:color="auto" w:fill="1B3A6B"/>
          </w:tcPr>
          <w:p w14:paraId="2C39E6F4" w14:textId="77777777" w:rsidR="00811103" w:rsidRDefault="00000000">
            <w:r>
              <w:rPr>
                <w:rFonts w:ascii="Arial" w:hAnsi="Arial"/>
                <w:b/>
                <w:color w:val="FFFFFF"/>
                <w:sz w:val="18"/>
              </w:rPr>
              <w:t>Intensity Metric</w:t>
            </w:r>
          </w:p>
        </w:tc>
        <w:tc>
          <w:tcPr>
            <w:tcW w:w="3010" w:type="dxa"/>
            <w:shd w:val="clear" w:color="auto" w:fill="1B3A6B"/>
          </w:tcPr>
          <w:p w14:paraId="445DF495" w14:textId="77777777" w:rsidR="00811103" w:rsidRDefault="00000000">
            <w:r>
              <w:rPr>
                <w:rFonts w:ascii="Arial" w:hAnsi="Arial"/>
                <w:b/>
                <w:color w:val="FFFFFF"/>
                <w:sz w:val="18"/>
              </w:rPr>
              <w:t>Value</w:t>
            </w:r>
          </w:p>
        </w:tc>
        <w:tc>
          <w:tcPr>
            <w:tcW w:w="3010" w:type="dxa"/>
            <w:shd w:val="clear" w:color="auto" w:fill="1B3A6B"/>
          </w:tcPr>
          <w:p w14:paraId="637CDF14" w14:textId="77777777" w:rsidR="00811103" w:rsidRDefault="00000000">
            <w:r>
              <w:rPr>
                <w:rFonts w:ascii="Arial" w:hAnsi="Arial"/>
                <w:b/>
                <w:color w:val="FFFFFF"/>
                <w:sz w:val="18"/>
              </w:rPr>
              <w:t>Unit</w:t>
            </w:r>
          </w:p>
        </w:tc>
      </w:tr>
      <w:tr w:rsidR="00811103" w14:paraId="4E971418" w14:textId="77777777">
        <w:trPr>
          <w:jc w:val="center"/>
        </w:trPr>
        <w:tc>
          <w:tcPr>
            <w:tcW w:w="3010" w:type="dxa"/>
          </w:tcPr>
          <w:p w14:paraId="7C03E375" w14:textId="77777777" w:rsidR="00811103" w:rsidRDefault="00000000">
            <w:r>
              <w:rPr>
                <w:rFonts w:ascii="Arial" w:hAnsi="Arial"/>
                <w:sz w:val="18"/>
              </w:rPr>
              <w:t>Emissions per Total Assets</w:t>
            </w:r>
          </w:p>
        </w:tc>
        <w:tc>
          <w:tcPr>
            <w:tcW w:w="3010" w:type="dxa"/>
          </w:tcPr>
          <w:p w14:paraId="3C39E8EE" w14:textId="77777777" w:rsidR="00811103" w:rsidRDefault="00000000">
            <w:pPr>
              <w:jc w:val="right"/>
            </w:pPr>
            <w:r>
              <w:rPr>
                <w:rFonts w:ascii="Arial" w:hAnsi="Arial"/>
                <w:sz w:val="18"/>
              </w:rPr>
              <w:t>239.400139</w:t>
            </w:r>
          </w:p>
        </w:tc>
        <w:tc>
          <w:tcPr>
            <w:tcW w:w="3010" w:type="dxa"/>
          </w:tcPr>
          <w:p w14:paraId="14A9BBD2" w14:textId="77777777" w:rsidR="00811103" w:rsidRDefault="00000000">
            <w:r>
              <w:rPr>
                <w:rFonts w:ascii="Arial" w:hAnsi="Arial"/>
                <w:sz w:val="18"/>
              </w:rPr>
              <w:t>tCO2e per IDR billion</w:t>
            </w:r>
          </w:p>
        </w:tc>
      </w:tr>
      <w:tr w:rsidR="00811103" w14:paraId="620B24DF" w14:textId="77777777">
        <w:trPr>
          <w:jc w:val="center"/>
        </w:trPr>
        <w:tc>
          <w:tcPr>
            <w:tcW w:w="3010" w:type="dxa"/>
            <w:shd w:val="clear" w:color="auto" w:fill="F2F6FC"/>
          </w:tcPr>
          <w:p w14:paraId="14EACE63" w14:textId="77777777" w:rsidR="00811103" w:rsidRDefault="00000000">
            <w:r>
              <w:rPr>
                <w:rFonts w:ascii="Arial" w:hAnsi="Arial"/>
                <w:sz w:val="18"/>
              </w:rPr>
              <w:t>Emissions per Employee</w:t>
            </w:r>
          </w:p>
        </w:tc>
        <w:tc>
          <w:tcPr>
            <w:tcW w:w="3010" w:type="dxa"/>
            <w:shd w:val="clear" w:color="auto" w:fill="F2F6FC"/>
          </w:tcPr>
          <w:p w14:paraId="0EFC7480" w14:textId="77777777" w:rsidR="00811103" w:rsidRDefault="00000000">
            <w:pPr>
              <w:jc w:val="right"/>
            </w:pPr>
            <w:r>
              <w:rPr>
                <w:rFonts w:ascii="Arial" w:hAnsi="Arial"/>
                <w:sz w:val="18"/>
              </w:rPr>
              <w:t>1.9209</w:t>
            </w:r>
          </w:p>
        </w:tc>
        <w:tc>
          <w:tcPr>
            <w:tcW w:w="3010" w:type="dxa"/>
            <w:shd w:val="clear" w:color="auto" w:fill="F2F6FC"/>
          </w:tcPr>
          <w:p w14:paraId="060DFF63" w14:textId="77777777" w:rsidR="00811103" w:rsidRDefault="00000000">
            <w:r>
              <w:rPr>
                <w:rFonts w:ascii="Arial" w:hAnsi="Arial"/>
                <w:sz w:val="18"/>
              </w:rPr>
              <w:t>tCO2e per FTE</w:t>
            </w:r>
          </w:p>
        </w:tc>
      </w:tr>
    </w:tbl>
    <w:p w14:paraId="609269C8" w14:textId="77777777" w:rsidR="00811103" w:rsidRDefault="00000000">
      <w:r>
        <w:rPr>
          <w:rFonts w:ascii="Arial" w:hAnsi="Arial"/>
          <w:i/>
          <w:sz w:val="16"/>
        </w:rPr>
        <w:t>Source: Intensity denominators: Total assets from audited financial statements; FTE count as of December 31, 2024.</w:t>
      </w:r>
    </w:p>
    <w:p w14:paraId="6BF117A3" w14:textId="77777777" w:rsidR="00811103" w:rsidRDefault="00811103"/>
    <w:p w14:paraId="1B24BD55" w14:textId="77777777" w:rsidR="00811103" w:rsidRDefault="00811103">
      <w:pPr>
        <w:pBdr>
          <w:bottom w:val="single" w:sz="6" w:space="1" w:color="999999"/>
        </w:pBdr>
        <w:spacing w:after="80"/>
      </w:pPr>
    </w:p>
    <w:p w14:paraId="6B8015C1" w14:textId="77777777" w:rsidR="00811103" w:rsidRDefault="00000000">
      <w:pPr>
        <w:spacing w:after="160"/>
        <w:jc w:val="both"/>
      </w:pPr>
      <w:r>
        <w:rPr>
          <w:rFonts w:ascii="Arial" w:hAnsi="Arial"/>
          <w:i/>
          <w:color w:val="646464"/>
          <w:sz w:val="18"/>
        </w:rPr>
        <w:t>These figures have not been subject to external assurance for the current reporting period.</w:t>
      </w:r>
    </w:p>
    <w:p w14:paraId="2BCF8FF1" w14:textId="77777777" w:rsidR="00811103" w:rsidRDefault="00000000">
      <w:pPr>
        <w:spacing w:after="160"/>
        <w:jc w:val="both"/>
      </w:pPr>
      <w:r>
        <w:rPr>
          <w:rFonts w:ascii="Arial" w:hAnsi="Arial"/>
          <w:i/>
          <w:color w:val="646464"/>
          <w:sz w:val="18"/>
        </w:rPr>
        <w:t>Scope 3 Category 15 financed emissions are calculated using the PCAF Global GHG Accounting and Reporting Standard, applying attribution factors based on the institution's proportional share of borrower financing.</w:t>
      </w:r>
    </w:p>
    <w:p w14:paraId="54D1C9B8" w14:textId="77777777" w:rsidR="00811103" w:rsidRDefault="00000000">
      <w:pPr>
        <w:spacing w:after="160"/>
        <w:jc w:val="both"/>
      </w:pPr>
      <w:r>
        <w:rPr>
          <w:rFonts w:ascii="Arial" w:hAnsi="Arial"/>
          <w:i/>
          <w:color w:val="646464"/>
          <w:sz w:val="18"/>
        </w:rPr>
        <w:t>The market-based Scope 2 method incorporates contractual instruments (renewable energy certificates) per the GHG Protocol Scope 2 Guidance. The location-based method uses grid-average emission factors for the institution's operational jurisdictions.</w:t>
      </w:r>
    </w:p>
    <w:p w14:paraId="0F348864" w14:textId="77777777" w:rsidR="00811103" w:rsidRDefault="00000000">
      <w:pPr>
        <w:spacing w:after="160"/>
        <w:jc w:val="both"/>
      </w:pPr>
      <w:r>
        <w:rPr>
          <w:rFonts w:ascii="Arial" w:hAnsi="Arial"/>
          <w:i/>
          <w:color w:val="646464"/>
          <w:sz w:val="18"/>
        </w:rPr>
        <w:t>Year-over-year comparison is against the 2023 reporting period. The institution has not yet established a formal base year for long-term target setting.</w:t>
      </w:r>
    </w:p>
    <w:p w14:paraId="6D61110F" w14:textId="77777777" w:rsidR="00811103" w:rsidRDefault="00000000">
      <w:pPr>
        <w:spacing w:after="160"/>
        <w:jc w:val="both"/>
      </w:pPr>
      <w:r>
        <w:rPr>
          <w:rFonts w:ascii="Arial" w:hAnsi="Arial"/>
          <w:i/>
          <w:color w:val="646464"/>
          <w:sz w:val="18"/>
        </w:rPr>
        <w:t>PCAF data quality scores range from 1 (highest quality, based on borrower-reported emissions) to 5 (lowest quality, based on economic sector averages). A score of 3.36 indicates predominant use of physical activity-based estimation methods.</w:t>
      </w:r>
    </w:p>
    <w:p w14:paraId="3FD85726" w14:textId="77777777" w:rsidR="00811103" w:rsidRDefault="00000000">
      <w:r>
        <w:br w:type="page"/>
      </w:r>
    </w:p>
    <w:p w14:paraId="69941974" w14:textId="77777777" w:rsidR="00811103" w:rsidRDefault="00000000">
      <w:pPr>
        <w:pStyle w:val="Heading1"/>
        <w:spacing w:after="240"/>
      </w:pPr>
      <w:bookmarkStart w:id="4" w:name="_Toc231991230"/>
      <w:r>
        <w:rPr>
          <w:rFonts w:ascii="Arial" w:hAnsi="Arial"/>
          <w:color w:val="1B3A6B"/>
          <w:sz w:val="36"/>
        </w:rPr>
        <w:lastRenderedPageBreak/>
        <w:t>IFRS S2 Cross-Industry Metric: Direct (Scope 1) GHG Emissions</w:t>
      </w:r>
      <w:bookmarkEnd w:id="4"/>
    </w:p>
    <w:p w14:paraId="71A1705F" w14:textId="77777777" w:rsidR="00811103" w:rsidRDefault="00000000">
      <w:pPr>
        <w:spacing w:after="160"/>
        <w:jc w:val="both"/>
      </w:pPr>
      <w:r>
        <w:rPr>
          <w:rFonts w:ascii="Arial" w:hAnsi="Arial"/>
        </w:rPr>
        <w:t>The institution's direct (Scope 1) greenhouse gas emissions for the reporting period ending 31 December 2024 totaled 3,402.997 tCO₂e. These emissions arise from stationary combustion sources under the institution's operational control, comprising natural gas consumption in building heating and cooling systems, and diesel fuel combustion in backup generators and emergency power systems across the branch network.</w:t>
      </w:r>
    </w:p>
    <w:p w14:paraId="5960E8AB" w14:textId="77777777" w:rsidR="00811103" w:rsidRDefault="00000000">
      <w:pPr>
        <w:spacing w:after="160"/>
        <w:jc w:val="both"/>
      </w:pPr>
      <w:r>
        <w:rPr>
          <w:rFonts w:ascii="Arial" w:hAnsi="Arial"/>
        </w:rPr>
        <w:t>The Scope 1 emission profile consists of two primary sources: natural gas combustion contributed 1,199.7924 tCO₂e (35.3% of total Scope 1), while diesel fuel combustion accounted for 2,203.2044 tCO₂e (64.7% of total Scope 1). The diesel-dominant profile reflects the institution's reliance on backup power generation in regions with grid instability, particularly across facilities in outer island operations where grid reliability remains below 95% uptime.</w:t>
      </w:r>
    </w:p>
    <w:p w14:paraId="75CAC135" w14:textId="77777777" w:rsidR="00811103" w:rsidRDefault="00000000">
      <w:pPr>
        <w:spacing w:after="160"/>
        <w:jc w:val="both"/>
      </w:pPr>
      <w:r>
        <w:rPr>
          <w:rFonts w:ascii="Arial" w:hAnsi="Arial"/>
          <w:i/>
        </w:rPr>
        <w:t>Scope 1 emissions are calculated in accordance with the GHG Protocol Corporate Accounting and Reporting Standard (2015 revision) using the operational control consolidation approach. Emission factors are sourced from Indonesia's Ministry of Energy and Mineral Resources (MEMR) 2023 National Emission Factor Database for stationary combustion. Global warming potential (GWP) values follow the IPCC Sixth Assessment Report (AR6) 100-year time horizon: CO₂ = 1, CH₄ = 29.8, N₂O = 273.0. All three Kyoto Protocol gases (CO₂, CH₄, N₂O) are included in the calculation, with biogenic CO₂ excluded per GHG Protocol requirements.</w:t>
      </w:r>
    </w:p>
    <w:p w14:paraId="7E630D54" w14:textId="77777777" w:rsidR="00811103" w:rsidRDefault="00000000">
      <w:pPr>
        <w:spacing w:after="160"/>
        <w:jc w:val="both"/>
      </w:pPr>
      <w:r>
        <w:rPr>
          <w:rFonts w:ascii="Arial" w:hAnsi="Arial"/>
        </w:rPr>
        <w:t>Scope 1 emissions increased 2.36% year-over-year from 3,324.521 tCO₂e in 2023 to 3,402.997 tCO₂e in 2024. This increase is attributable to the commissioning of three new regional offices in Q2 2024 (facilities FAC-0213, FAC-0214, FAC-0215), which added 287.4 tCO₂e of diesel generator emissions during the construction and stabilization phase. Excluding these new facilities, like-for-like Scope 1 emissions declined 6.3% across the existing facility base, driven by the completion of LED lighting retrofits and HVAC optimization programs initiated in 2023.</w:t>
      </w:r>
    </w:p>
    <w:p w14:paraId="3903521E" w14:textId="77777777" w:rsidR="00811103" w:rsidRDefault="00000000">
      <w:pPr>
        <w:spacing w:after="160"/>
        <w:jc w:val="both"/>
      </w:pPr>
      <w:r>
        <w:rPr>
          <w:rFonts w:ascii="Arial" w:hAnsi="Arial"/>
        </w:rPr>
        <w:t>Compared to the base year (2023), Scope 1 emissions increased 2.36%. The institution has not yet established a formal Scope 1 reduction target aligned with science-based decarbonization pathways. As operational emissions represent a minor component of the institution's total climate footprint (0.02% of combined Scope 1+2+3 emissions), strategic focus remains on financed emissions reduction through portfolio decarbonization and sustainable finance mobilization.</w:t>
      </w:r>
    </w:p>
    <w:p w14:paraId="4F721374" w14:textId="77777777" w:rsidR="00811103" w:rsidRDefault="00000000">
      <w:r>
        <w:rPr>
          <w:rFonts w:ascii="Arial" w:hAnsi="Arial"/>
          <w:b/>
          <w:sz w:val="20"/>
        </w:rPr>
        <w:t>Table 1: Scope 1 GHG Emissions by Source (tCO₂e)</w:t>
      </w:r>
    </w:p>
    <w:tbl>
      <w:tblPr>
        <w:tblW w:w="0" w:type="auto"/>
        <w:jc w:val="center"/>
        <w:tblLook w:val="04A0" w:firstRow="1" w:lastRow="0" w:firstColumn="1" w:lastColumn="0" w:noHBand="0" w:noVBand="1"/>
      </w:tblPr>
      <w:tblGrid>
        <w:gridCol w:w="1806"/>
        <w:gridCol w:w="1806"/>
        <w:gridCol w:w="1806"/>
        <w:gridCol w:w="1806"/>
        <w:gridCol w:w="1806"/>
      </w:tblGrid>
      <w:tr w:rsidR="00811103" w14:paraId="3DDCBD11" w14:textId="77777777">
        <w:trPr>
          <w:jc w:val="center"/>
        </w:trPr>
        <w:tc>
          <w:tcPr>
            <w:tcW w:w="1806" w:type="dxa"/>
            <w:shd w:val="clear" w:color="auto" w:fill="1B3A6B"/>
          </w:tcPr>
          <w:p w14:paraId="666118B6" w14:textId="77777777" w:rsidR="00811103" w:rsidRDefault="00000000">
            <w:r>
              <w:rPr>
                <w:rFonts w:ascii="Arial" w:hAnsi="Arial"/>
                <w:b/>
                <w:color w:val="FFFFFF"/>
                <w:sz w:val="18"/>
              </w:rPr>
              <w:t>Emission Source</w:t>
            </w:r>
          </w:p>
        </w:tc>
        <w:tc>
          <w:tcPr>
            <w:tcW w:w="1806" w:type="dxa"/>
            <w:shd w:val="clear" w:color="auto" w:fill="1B3A6B"/>
          </w:tcPr>
          <w:p w14:paraId="35FDFA93" w14:textId="77777777" w:rsidR="00811103" w:rsidRDefault="00000000">
            <w:r>
              <w:rPr>
                <w:rFonts w:ascii="Arial" w:hAnsi="Arial"/>
                <w:b/>
                <w:color w:val="FFFFFF"/>
                <w:sz w:val="18"/>
              </w:rPr>
              <w:t>2024 (tCO₂e)</w:t>
            </w:r>
          </w:p>
        </w:tc>
        <w:tc>
          <w:tcPr>
            <w:tcW w:w="1806" w:type="dxa"/>
            <w:shd w:val="clear" w:color="auto" w:fill="1B3A6B"/>
          </w:tcPr>
          <w:p w14:paraId="6B82A7ED" w14:textId="77777777" w:rsidR="00811103" w:rsidRDefault="00000000">
            <w:r>
              <w:rPr>
                <w:rFonts w:ascii="Arial" w:hAnsi="Arial"/>
                <w:b/>
                <w:color w:val="FFFFFF"/>
                <w:sz w:val="18"/>
              </w:rPr>
              <w:t>2023 (tCO₂e)</w:t>
            </w:r>
          </w:p>
        </w:tc>
        <w:tc>
          <w:tcPr>
            <w:tcW w:w="1806" w:type="dxa"/>
            <w:shd w:val="clear" w:color="auto" w:fill="1B3A6B"/>
          </w:tcPr>
          <w:p w14:paraId="0E7116BA" w14:textId="77777777" w:rsidR="00811103" w:rsidRDefault="00000000">
            <w:r>
              <w:rPr>
                <w:rFonts w:ascii="Arial" w:hAnsi="Arial"/>
                <w:b/>
                <w:color w:val="FFFFFF"/>
                <w:sz w:val="18"/>
              </w:rPr>
              <w:t>YoY Change (%)</w:t>
            </w:r>
          </w:p>
        </w:tc>
        <w:tc>
          <w:tcPr>
            <w:tcW w:w="1806" w:type="dxa"/>
            <w:shd w:val="clear" w:color="auto" w:fill="1B3A6B"/>
          </w:tcPr>
          <w:p w14:paraId="23819924" w14:textId="77777777" w:rsidR="00811103" w:rsidRDefault="00000000">
            <w:r>
              <w:rPr>
                <w:rFonts w:ascii="Arial" w:hAnsi="Arial"/>
                <w:b/>
                <w:color w:val="FFFFFF"/>
                <w:sz w:val="18"/>
              </w:rPr>
              <w:t>% of Total Scope 1</w:t>
            </w:r>
          </w:p>
        </w:tc>
      </w:tr>
      <w:tr w:rsidR="00811103" w14:paraId="5BF0BB16" w14:textId="77777777">
        <w:trPr>
          <w:jc w:val="center"/>
        </w:trPr>
        <w:tc>
          <w:tcPr>
            <w:tcW w:w="1806" w:type="dxa"/>
          </w:tcPr>
          <w:p w14:paraId="584DF77C" w14:textId="77777777" w:rsidR="00811103" w:rsidRDefault="00000000">
            <w:r>
              <w:rPr>
                <w:rFonts w:ascii="Arial" w:hAnsi="Arial"/>
                <w:sz w:val="18"/>
              </w:rPr>
              <w:t>Natural Gas Combustion</w:t>
            </w:r>
          </w:p>
        </w:tc>
        <w:tc>
          <w:tcPr>
            <w:tcW w:w="1806" w:type="dxa"/>
          </w:tcPr>
          <w:p w14:paraId="421C46BC" w14:textId="77777777" w:rsidR="00811103" w:rsidRDefault="00000000">
            <w:pPr>
              <w:jc w:val="right"/>
            </w:pPr>
            <w:r>
              <w:rPr>
                <w:rFonts w:ascii="Arial" w:hAnsi="Arial"/>
                <w:sz w:val="18"/>
              </w:rPr>
              <w:t>1,199.7924</w:t>
            </w:r>
          </w:p>
        </w:tc>
        <w:tc>
          <w:tcPr>
            <w:tcW w:w="1806" w:type="dxa"/>
          </w:tcPr>
          <w:p w14:paraId="51D26958" w14:textId="77777777" w:rsidR="00811103" w:rsidRDefault="00000000">
            <w:pPr>
              <w:jc w:val="right"/>
            </w:pPr>
            <w:r>
              <w:rPr>
                <w:rFonts w:ascii="Arial" w:hAnsi="Arial"/>
                <w:sz w:val="18"/>
              </w:rPr>
              <w:t>1,199.0321</w:t>
            </w:r>
          </w:p>
        </w:tc>
        <w:tc>
          <w:tcPr>
            <w:tcW w:w="1806" w:type="dxa"/>
          </w:tcPr>
          <w:p w14:paraId="10204703" w14:textId="77777777" w:rsidR="00811103" w:rsidRDefault="00000000">
            <w:pPr>
              <w:jc w:val="right"/>
            </w:pPr>
            <w:r>
              <w:rPr>
                <w:rFonts w:ascii="Arial" w:hAnsi="Arial"/>
                <w:sz w:val="18"/>
              </w:rPr>
              <w:t>+0.06%</w:t>
            </w:r>
          </w:p>
        </w:tc>
        <w:tc>
          <w:tcPr>
            <w:tcW w:w="1806" w:type="dxa"/>
          </w:tcPr>
          <w:p w14:paraId="41510319" w14:textId="77777777" w:rsidR="00811103" w:rsidRDefault="00000000">
            <w:pPr>
              <w:jc w:val="right"/>
            </w:pPr>
            <w:r>
              <w:rPr>
                <w:rFonts w:ascii="Arial" w:hAnsi="Arial"/>
                <w:sz w:val="18"/>
              </w:rPr>
              <w:t>35.3%</w:t>
            </w:r>
          </w:p>
        </w:tc>
      </w:tr>
      <w:tr w:rsidR="00811103" w14:paraId="4DF3CD62" w14:textId="77777777">
        <w:trPr>
          <w:jc w:val="center"/>
        </w:trPr>
        <w:tc>
          <w:tcPr>
            <w:tcW w:w="1806" w:type="dxa"/>
            <w:shd w:val="clear" w:color="auto" w:fill="F2F6FC"/>
          </w:tcPr>
          <w:p w14:paraId="3D460F23" w14:textId="77777777" w:rsidR="00811103" w:rsidRDefault="00000000">
            <w:r>
              <w:rPr>
                <w:rFonts w:ascii="Arial" w:hAnsi="Arial"/>
                <w:sz w:val="18"/>
              </w:rPr>
              <w:t>Diesel Fuel Combustion</w:t>
            </w:r>
          </w:p>
        </w:tc>
        <w:tc>
          <w:tcPr>
            <w:tcW w:w="1806" w:type="dxa"/>
            <w:shd w:val="clear" w:color="auto" w:fill="F2F6FC"/>
          </w:tcPr>
          <w:p w14:paraId="43BF8AE1" w14:textId="77777777" w:rsidR="00811103" w:rsidRDefault="00000000">
            <w:pPr>
              <w:jc w:val="right"/>
            </w:pPr>
            <w:r>
              <w:rPr>
                <w:rFonts w:ascii="Arial" w:hAnsi="Arial"/>
                <w:sz w:val="18"/>
              </w:rPr>
              <w:t>2,203.2044</w:t>
            </w:r>
          </w:p>
        </w:tc>
        <w:tc>
          <w:tcPr>
            <w:tcW w:w="1806" w:type="dxa"/>
            <w:shd w:val="clear" w:color="auto" w:fill="F2F6FC"/>
          </w:tcPr>
          <w:p w14:paraId="263FB96C" w14:textId="77777777" w:rsidR="00811103" w:rsidRDefault="00000000">
            <w:pPr>
              <w:jc w:val="right"/>
            </w:pPr>
            <w:r>
              <w:rPr>
                <w:rFonts w:ascii="Arial" w:hAnsi="Arial"/>
                <w:sz w:val="18"/>
              </w:rPr>
              <w:t>2,125.4888</w:t>
            </w:r>
          </w:p>
        </w:tc>
        <w:tc>
          <w:tcPr>
            <w:tcW w:w="1806" w:type="dxa"/>
            <w:shd w:val="clear" w:color="auto" w:fill="F2F6FC"/>
          </w:tcPr>
          <w:p w14:paraId="75B93C59" w14:textId="77777777" w:rsidR="00811103" w:rsidRDefault="00000000">
            <w:pPr>
              <w:jc w:val="right"/>
            </w:pPr>
            <w:r>
              <w:rPr>
                <w:rFonts w:ascii="Arial" w:hAnsi="Arial"/>
                <w:sz w:val="18"/>
              </w:rPr>
              <w:t>+3.66%</w:t>
            </w:r>
          </w:p>
        </w:tc>
        <w:tc>
          <w:tcPr>
            <w:tcW w:w="1806" w:type="dxa"/>
            <w:shd w:val="clear" w:color="auto" w:fill="F2F6FC"/>
          </w:tcPr>
          <w:p w14:paraId="5E4D138C" w14:textId="77777777" w:rsidR="00811103" w:rsidRDefault="00000000">
            <w:pPr>
              <w:jc w:val="right"/>
            </w:pPr>
            <w:r>
              <w:rPr>
                <w:rFonts w:ascii="Arial" w:hAnsi="Arial"/>
                <w:sz w:val="18"/>
              </w:rPr>
              <w:t>64.7%</w:t>
            </w:r>
          </w:p>
        </w:tc>
      </w:tr>
      <w:tr w:rsidR="00811103" w14:paraId="7041F12D" w14:textId="77777777">
        <w:trPr>
          <w:jc w:val="center"/>
        </w:trPr>
        <w:tc>
          <w:tcPr>
            <w:tcW w:w="1806" w:type="dxa"/>
          </w:tcPr>
          <w:p w14:paraId="1D1AF52E" w14:textId="77777777" w:rsidR="00811103" w:rsidRDefault="00000000">
            <w:r>
              <w:rPr>
                <w:rFonts w:ascii="Arial" w:hAnsi="Arial"/>
                <w:sz w:val="18"/>
              </w:rPr>
              <w:lastRenderedPageBreak/>
              <w:t>**Total Scope 1**</w:t>
            </w:r>
          </w:p>
        </w:tc>
        <w:tc>
          <w:tcPr>
            <w:tcW w:w="1806" w:type="dxa"/>
          </w:tcPr>
          <w:p w14:paraId="2E3CB19D" w14:textId="77777777" w:rsidR="00811103" w:rsidRDefault="00000000">
            <w:r>
              <w:rPr>
                <w:rFonts w:ascii="Arial" w:hAnsi="Arial"/>
                <w:sz w:val="18"/>
              </w:rPr>
              <w:t>**3,402.997**</w:t>
            </w:r>
          </w:p>
        </w:tc>
        <w:tc>
          <w:tcPr>
            <w:tcW w:w="1806" w:type="dxa"/>
          </w:tcPr>
          <w:p w14:paraId="6976ADF2" w14:textId="77777777" w:rsidR="00811103" w:rsidRDefault="00000000">
            <w:r>
              <w:rPr>
                <w:rFonts w:ascii="Arial" w:hAnsi="Arial"/>
                <w:sz w:val="18"/>
              </w:rPr>
              <w:t>**3,324.521**</w:t>
            </w:r>
          </w:p>
        </w:tc>
        <w:tc>
          <w:tcPr>
            <w:tcW w:w="1806" w:type="dxa"/>
          </w:tcPr>
          <w:p w14:paraId="08FC1BEC" w14:textId="77777777" w:rsidR="00811103" w:rsidRDefault="00000000">
            <w:r>
              <w:rPr>
                <w:rFonts w:ascii="Arial" w:hAnsi="Arial"/>
                <w:sz w:val="18"/>
              </w:rPr>
              <w:t>**+2.36%**</w:t>
            </w:r>
          </w:p>
        </w:tc>
        <w:tc>
          <w:tcPr>
            <w:tcW w:w="1806" w:type="dxa"/>
          </w:tcPr>
          <w:p w14:paraId="4AC7DBA4" w14:textId="77777777" w:rsidR="00811103" w:rsidRDefault="00000000">
            <w:r>
              <w:rPr>
                <w:rFonts w:ascii="Arial" w:hAnsi="Arial"/>
                <w:sz w:val="18"/>
              </w:rPr>
              <w:t>**100.0%**</w:t>
            </w:r>
          </w:p>
        </w:tc>
      </w:tr>
    </w:tbl>
    <w:p w14:paraId="2CCE39F1" w14:textId="77777777" w:rsidR="00811103" w:rsidRDefault="00000000">
      <w:r>
        <w:rPr>
          <w:rFonts w:ascii="Arial" w:hAnsi="Arial"/>
          <w:i/>
          <w:sz w:val="16"/>
        </w:rPr>
        <w:t>Source: Source: Internal energy consumption records; emission factors per MEMR 2023 National EF Database; GWP values per IPCC AR6.</w:t>
      </w:r>
    </w:p>
    <w:p w14:paraId="7E91B048" w14:textId="77777777" w:rsidR="00811103" w:rsidRDefault="00811103"/>
    <w:p w14:paraId="3624C347" w14:textId="77777777" w:rsidR="00811103" w:rsidRDefault="00000000">
      <w:r>
        <w:rPr>
          <w:rFonts w:ascii="Arial" w:hAnsi="Arial"/>
          <w:b/>
          <w:sz w:val="20"/>
        </w:rPr>
        <w:t>Table 2: Top 10 Facilities by Scope 1 Emissions (tCO₂e)</w:t>
      </w:r>
    </w:p>
    <w:tbl>
      <w:tblPr>
        <w:tblW w:w="0" w:type="auto"/>
        <w:jc w:val="center"/>
        <w:tblLook w:val="04A0" w:firstRow="1" w:lastRow="0" w:firstColumn="1" w:lastColumn="0" w:noHBand="0" w:noVBand="1"/>
      </w:tblPr>
      <w:tblGrid>
        <w:gridCol w:w="1806"/>
        <w:gridCol w:w="1806"/>
        <w:gridCol w:w="1806"/>
        <w:gridCol w:w="1806"/>
        <w:gridCol w:w="1806"/>
      </w:tblGrid>
      <w:tr w:rsidR="00811103" w14:paraId="3611D36D" w14:textId="77777777">
        <w:trPr>
          <w:jc w:val="center"/>
        </w:trPr>
        <w:tc>
          <w:tcPr>
            <w:tcW w:w="1806" w:type="dxa"/>
            <w:shd w:val="clear" w:color="auto" w:fill="1B3A6B"/>
          </w:tcPr>
          <w:p w14:paraId="3B643DDB" w14:textId="77777777" w:rsidR="00811103" w:rsidRDefault="00000000">
            <w:r>
              <w:rPr>
                <w:rFonts w:ascii="Arial" w:hAnsi="Arial"/>
                <w:b/>
                <w:color w:val="FFFFFF"/>
                <w:sz w:val="18"/>
              </w:rPr>
              <w:t>Facility ID</w:t>
            </w:r>
          </w:p>
        </w:tc>
        <w:tc>
          <w:tcPr>
            <w:tcW w:w="1806" w:type="dxa"/>
            <w:shd w:val="clear" w:color="auto" w:fill="1B3A6B"/>
          </w:tcPr>
          <w:p w14:paraId="0FA5C3D7" w14:textId="77777777" w:rsidR="00811103" w:rsidRDefault="00000000">
            <w:r>
              <w:rPr>
                <w:rFonts w:ascii="Arial" w:hAnsi="Arial"/>
                <w:b/>
                <w:color w:val="FFFFFF"/>
                <w:sz w:val="18"/>
              </w:rPr>
              <w:t>Total Scope 1 (tCO₂e)</w:t>
            </w:r>
          </w:p>
        </w:tc>
        <w:tc>
          <w:tcPr>
            <w:tcW w:w="1806" w:type="dxa"/>
            <w:shd w:val="clear" w:color="auto" w:fill="1B3A6B"/>
          </w:tcPr>
          <w:p w14:paraId="6556DB4E" w14:textId="77777777" w:rsidR="00811103" w:rsidRDefault="00000000">
            <w:r>
              <w:rPr>
                <w:rFonts w:ascii="Arial" w:hAnsi="Arial"/>
                <w:b/>
                <w:color w:val="FFFFFF"/>
                <w:sz w:val="18"/>
              </w:rPr>
              <w:t>Natural Gas (tCO₂e)</w:t>
            </w:r>
          </w:p>
        </w:tc>
        <w:tc>
          <w:tcPr>
            <w:tcW w:w="1806" w:type="dxa"/>
            <w:shd w:val="clear" w:color="auto" w:fill="1B3A6B"/>
          </w:tcPr>
          <w:p w14:paraId="5028351F" w14:textId="77777777" w:rsidR="00811103" w:rsidRDefault="00000000">
            <w:r>
              <w:rPr>
                <w:rFonts w:ascii="Arial" w:hAnsi="Arial"/>
                <w:b/>
                <w:color w:val="FFFFFF"/>
                <w:sz w:val="18"/>
              </w:rPr>
              <w:t>Diesel (tCO₂e)</w:t>
            </w:r>
          </w:p>
        </w:tc>
        <w:tc>
          <w:tcPr>
            <w:tcW w:w="1806" w:type="dxa"/>
            <w:shd w:val="clear" w:color="auto" w:fill="1B3A6B"/>
          </w:tcPr>
          <w:p w14:paraId="318AD4C8" w14:textId="77777777" w:rsidR="00811103" w:rsidRDefault="00000000">
            <w:r>
              <w:rPr>
                <w:rFonts w:ascii="Arial" w:hAnsi="Arial"/>
                <w:b/>
                <w:color w:val="FFFFFF"/>
                <w:sz w:val="18"/>
              </w:rPr>
              <w:t>Data Quality Score</w:t>
            </w:r>
          </w:p>
        </w:tc>
      </w:tr>
      <w:tr w:rsidR="00811103" w14:paraId="5F806450" w14:textId="77777777">
        <w:trPr>
          <w:jc w:val="center"/>
        </w:trPr>
        <w:tc>
          <w:tcPr>
            <w:tcW w:w="1806" w:type="dxa"/>
          </w:tcPr>
          <w:p w14:paraId="64E8BD1C" w14:textId="77777777" w:rsidR="00811103" w:rsidRDefault="00000000">
            <w:r>
              <w:rPr>
                <w:rFonts w:ascii="Arial" w:hAnsi="Arial"/>
                <w:sz w:val="18"/>
              </w:rPr>
              <w:t>FAC-0197</w:t>
            </w:r>
          </w:p>
        </w:tc>
        <w:tc>
          <w:tcPr>
            <w:tcW w:w="1806" w:type="dxa"/>
          </w:tcPr>
          <w:p w14:paraId="4FABC412" w14:textId="77777777" w:rsidR="00811103" w:rsidRDefault="00000000">
            <w:pPr>
              <w:jc w:val="right"/>
            </w:pPr>
            <w:r>
              <w:rPr>
                <w:rFonts w:ascii="Arial" w:hAnsi="Arial"/>
                <w:sz w:val="18"/>
              </w:rPr>
              <w:t>147.7152</w:t>
            </w:r>
          </w:p>
        </w:tc>
        <w:tc>
          <w:tcPr>
            <w:tcW w:w="1806" w:type="dxa"/>
          </w:tcPr>
          <w:p w14:paraId="0B8DCBC5" w14:textId="77777777" w:rsidR="00811103" w:rsidRDefault="00000000">
            <w:pPr>
              <w:jc w:val="right"/>
            </w:pPr>
            <w:r>
              <w:rPr>
                <w:rFonts w:ascii="Arial" w:hAnsi="Arial"/>
                <w:sz w:val="18"/>
              </w:rPr>
              <w:t>65.1748</w:t>
            </w:r>
          </w:p>
        </w:tc>
        <w:tc>
          <w:tcPr>
            <w:tcW w:w="1806" w:type="dxa"/>
          </w:tcPr>
          <w:p w14:paraId="59CF0740" w14:textId="77777777" w:rsidR="00811103" w:rsidRDefault="00000000">
            <w:pPr>
              <w:jc w:val="right"/>
            </w:pPr>
            <w:r>
              <w:rPr>
                <w:rFonts w:ascii="Arial" w:hAnsi="Arial"/>
                <w:sz w:val="18"/>
              </w:rPr>
              <w:t>82.5404</w:t>
            </w:r>
          </w:p>
        </w:tc>
        <w:tc>
          <w:tcPr>
            <w:tcW w:w="1806" w:type="dxa"/>
          </w:tcPr>
          <w:p w14:paraId="76561569" w14:textId="77777777" w:rsidR="00811103" w:rsidRDefault="00000000">
            <w:pPr>
              <w:jc w:val="right"/>
            </w:pPr>
            <w:r>
              <w:rPr>
                <w:rFonts w:ascii="Arial" w:hAnsi="Arial"/>
                <w:sz w:val="18"/>
              </w:rPr>
              <w:t>1</w:t>
            </w:r>
          </w:p>
        </w:tc>
      </w:tr>
      <w:tr w:rsidR="00811103" w14:paraId="6CFB444D" w14:textId="77777777">
        <w:trPr>
          <w:jc w:val="center"/>
        </w:trPr>
        <w:tc>
          <w:tcPr>
            <w:tcW w:w="1806" w:type="dxa"/>
            <w:shd w:val="clear" w:color="auto" w:fill="F2F6FC"/>
          </w:tcPr>
          <w:p w14:paraId="5B9544FA" w14:textId="77777777" w:rsidR="00811103" w:rsidRDefault="00000000">
            <w:r>
              <w:rPr>
                <w:rFonts w:ascii="Arial" w:hAnsi="Arial"/>
                <w:sz w:val="18"/>
              </w:rPr>
              <w:t>FAC-0198</w:t>
            </w:r>
          </w:p>
        </w:tc>
        <w:tc>
          <w:tcPr>
            <w:tcW w:w="1806" w:type="dxa"/>
            <w:shd w:val="clear" w:color="auto" w:fill="F2F6FC"/>
          </w:tcPr>
          <w:p w14:paraId="08840497" w14:textId="77777777" w:rsidR="00811103" w:rsidRDefault="00000000">
            <w:pPr>
              <w:jc w:val="right"/>
            </w:pPr>
            <w:r>
              <w:rPr>
                <w:rFonts w:ascii="Arial" w:hAnsi="Arial"/>
                <w:sz w:val="18"/>
              </w:rPr>
              <w:t>137.8381</w:t>
            </w:r>
          </w:p>
        </w:tc>
        <w:tc>
          <w:tcPr>
            <w:tcW w:w="1806" w:type="dxa"/>
            <w:shd w:val="clear" w:color="auto" w:fill="F2F6FC"/>
          </w:tcPr>
          <w:p w14:paraId="4BB0B932" w14:textId="77777777" w:rsidR="00811103" w:rsidRDefault="00000000">
            <w:pPr>
              <w:jc w:val="right"/>
            </w:pPr>
            <w:r>
              <w:rPr>
                <w:rFonts w:ascii="Arial" w:hAnsi="Arial"/>
                <w:sz w:val="18"/>
              </w:rPr>
              <w:t>54.4460</w:t>
            </w:r>
          </w:p>
        </w:tc>
        <w:tc>
          <w:tcPr>
            <w:tcW w:w="1806" w:type="dxa"/>
            <w:shd w:val="clear" w:color="auto" w:fill="F2F6FC"/>
          </w:tcPr>
          <w:p w14:paraId="55BD90AC" w14:textId="77777777" w:rsidR="00811103" w:rsidRDefault="00000000">
            <w:pPr>
              <w:jc w:val="right"/>
            </w:pPr>
            <w:r>
              <w:rPr>
                <w:rFonts w:ascii="Arial" w:hAnsi="Arial"/>
                <w:sz w:val="18"/>
              </w:rPr>
              <w:t>83.3921</w:t>
            </w:r>
          </w:p>
        </w:tc>
        <w:tc>
          <w:tcPr>
            <w:tcW w:w="1806" w:type="dxa"/>
            <w:shd w:val="clear" w:color="auto" w:fill="F2F6FC"/>
          </w:tcPr>
          <w:p w14:paraId="64640AB2" w14:textId="77777777" w:rsidR="00811103" w:rsidRDefault="00000000">
            <w:pPr>
              <w:jc w:val="right"/>
            </w:pPr>
            <w:r>
              <w:rPr>
                <w:rFonts w:ascii="Arial" w:hAnsi="Arial"/>
                <w:sz w:val="18"/>
              </w:rPr>
              <w:t>1</w:t>
            </w:r>
          </w:p>
        </w:tc>
      </w:tr>
      <w:tr w:rsidR="00811103" w14:paraId="21476DB9" w14:textId="77777777">
        <w:trPr>
          <w:jc w:val="center"/>
        </w:trPr>
        <w:tc>
          <w:tcPr>
            <w:tcW w:w="1806" w:type="dxa"/>
          </w:tcPr>
          <w:p w14:paraId="7E781E8D" w14:textId="77777777" w:rsidR="00811103" w:rsidRDefault="00000000">
            <w:r>
              <w:rPr>
                <w:rFonts w:ascii="Arial" w:hAnsi="Arial"/>
                <w:sz w:val="18"/>
              </w:rPr>
              <w:t>FAC-0200</w:t>
            </w:r>
          </w:p>
        </w:tc>
        <w:tc>
          <w:tcPr>
            <w:tcW w:w="1806" w:type="dxa"/>
          </w:tcPr>
          <w:p w14:paraId="61390CAB" w14:textId="77777777" w:rsidR="00811103" w:rsidRDefault="00000000">
            <w:pPr>
              <w:jc w:val="right"/>
            </w:pPr>
            <w:r>
              <w:rPr>
                <w:rFonts w:ascii="Arial" w:hAnsi="Arial"/>
                <w:sz w:val="18"/>
              </w:rPr>
              <w:t>131.4422</w:t>
            </w:r>
          </w:p>
        </w:tc>
        <w:tc>
          <w:tcPr>
            <w:tcW w:w="1806" w:type="dxa"/>
          </w:tcPr>
          <w:p w14:paraId="64A7E94A" w14:textId="77777777" w:rsidR="00811103" w:rsidRDefault="00000000">
            <w:pPr>
              <w:jc w:val="right"/>
            </w:pPr>
            <w:r>
              <w:rPr>
                <w:rFonts w:ascii="Arial" w:hAnsi="Arial"/>
                <w:sz w:val="18"/>
              </w:rPr>
              <w:t>57.0202</w:t>
            </w:r>
          </w:p>
        </w:tc>
        <w:tc>
          <w:tcPr>
            <w:tcW w:w="1806" w:type="dxa"/>
          </w:tcPr>
          <w:p w14:paraId="18ADAEAD" w14:textId="77777777" w:rsidR="00811103" w:rsidRDefault="00000000">
            <w:pPr>
              <w:jc w:val="right"/>
            </w:pPr>
            <w:r>
              <w:rPr>
                <w:rFonts w:ascii="Arial" w:hAnsi="Arial"/>
                <w:sz w:val="18"/>
              </w:rPr>
              <w:t>74.4220</w:t>
            </w:r>
          </w:p>
        </w:tc>
        <w:tc>
          <w:tcPr>
            <w:tcW w:w="1806" w:type="dxa"/>
          </w:tcPr>
          <w:p w14:paraId="5A12E0D0" w14:textId="77777777" w:rsidR="00811103" w:rsidRDefault="00000000">
            <w:pPr>
              <w:jc w:val="right"/>
            </w:pPr>
            <w:r>
              <w:rPr>
                <w:rFonts w:ascii="Arial" w:hAnsi="Arial"/>
                <w:sz w:val="18"/>
              </w:rPr>
              <w:t>1</w:t>
            </w:r>
          </w:p>
        </w:tc>
      </w:tr>
      <w:tr w:rsidR="00811103" w14:paraId="0EB1F087" w14:textId="77777777">
        <w:trPr>
          <w:jc w:val="center"/>
        </w:trPr>
        <w:tc>
          <w:tcPr>
            <w:tcW w:w="1806" w:type="dxa"/>
            <w:shd w:val="clear" w:color="auto" w:fill="F2F6FC"/>
          </w:tcPr>
          <w:p w14:paraId="4C4903BC" w14:textId="77777777" w:rsidR="00811103" w:rsidRDefault="00000000">
            <w:r>
              <w:rPr>
                <w:rFonts w:ascii="Arial" w:hAnsi="Arial"/>
                <w:sz w:val="18"/>
              </w:rPr>
              <w:t>FAC-0196</w:t>
            </w:r>
          </w:p>
        </w:tc>
        <w:tc>
          <w:tcPr>
            <w:tcW w:w="1806" w:type="dxa"/>
            <w:shd w:val="clear" w:color="auto" w:fill="F2F6FC"/>
          </w:tcPr>
          <w:p w14:paraId="28211F9C" w14:textId="77777777" w:rsidR="00811103" w:rsidRDefault="00000000">
            <w:pPr>
              <w:jc w:val="right"/>
            </w:pPr>
            <w:r>
              <w:rPr>
                <w:rFonts w:ascii="Arial" w:hAnsi="Arial"/>
                <w:sz w:val="18"/>
              </w:rPr>
              <w:t>124.4219</w:t>
            </w:r>
          </w:p>
        </w:tc>
        <w:tc>
          <w:tcPr>
            <w:tcW w:w="1806" w:type="dxa"/>
            <w:shd w:val="clear" w:color="auto" w:fill="F2F6FC"/>
          </w:tcPr>
          <w:p w14:paraId="19C6751F" w14:textId="77777777" w:rsidR="00811103" w:rsidRDefault="00000000">
            <w:pPr>
              <w:jc w:val="right"/>
            </w:pPr>
            <w:r>
              <w:rPr>
                <w:rFonts w:ascii="Arial" w:hAnsi="Arial"/>
                <w:sz w:val="18"/>
              </w:rPr>
              <w:t>51.7527</w:t>
            </w:r>
          </w:p>
        </w:tc>
        <w:tc>
          <w:tcPr>
            <w:tcW w:w="1806" w:type="dxa"/>
            <w:shd w:val="clear" w:color="auto" w:fill="F2F6FC"/>
          </w:tcPr>
          <w:p w14:paraId="6D87EABE" w14:textId="77777777" w:rsidR="00811103" w:rsidRDefault="00000000">
            <w:pPr>
              <w:jc w:val="right"/>
            </w:pPr>
            <w:r>
              <w:rPr>
                <w:rFonts w:ascii="Arial" w:hAnsi="Arial"/>
                <w:sz w:val="18"/>
              </w:rPr>
              <w:t>72.6692</w:t>
            </w:r>
          </w:p>
        </w:tc>
        <w:tc>
          <w:tcPr>
            <w:tcW w:w="1806" w:type="dxa"/>
            <w:shd w:val="clear" w:color="auto" w:fill="F2F6FC"/>
          </w:tcPr>
          <w:p w14:paraId="12457BFA" w14:textId="77777777" w:rsidR="00811103" w:rsidRDefault="00000000">
            <w:pPr>
              <w:jc w:val="right"/>
            </w:pPr>
            <w:r>
              <w:rPr>
                <w:rFonts w:ascii="Arial" w:hAnsi="Arial"/>
                <w:sz w:val="18"/>
              </w:rPr>
              <w:t>1</w:t>
            </w:r>
          </w:p>
        </w:tc>
      </w:tr>
      <w:tr w:rsidR="00811103" w14:paraId="1B5BB08D" w14:textId="77777777">
        <w:trPr>
          <w:jc w:val="center"/>
        </w:trPr>
        <w:tc>
          <w:tcPr>
            <w:tcW w:w="1806" w:type="dxa"/>
          </w:tcPr>
          <w:p w14:paraId="5B652230" w14:textId="77777777" w:rsidR="00811103" w:rsidRDefault="00000000">
            <w:r>
              <w:rPr>
                <w:rFonts w:ascii="Arial" w:hAnsi="Arial"/>
                <w:sz w:val="18"/>
              </w:rPr>
              <w:t>FAC-0199</w:t>
            </w:r>
          </w:p>
        </w:tc>
        <w:tc>
          <w:tcPr>
            <w:tcW w:w="1806" w:type="dxa"/>
          </w:tcPr>
          <w:p w14:paraId="51DD7FA7" w14:textId="77777777" w:rsidR="00811103" w:rsidRDefault="00000000">
            <w:pPr>
              <w:jc w:val="right"/>
            </w:pPr>
            <w:r>
              <w:rPr>
                <w:rFonts w:ascii="Arial" w:hAnsi="Arial"/>
                <w:sz w:val="18"/>
              </w:rPr>
              <w:t>109.4122</w:t>
            </w:r>
          </w:p>
        </w:tc>
        <w:tc>
          <w:tcPr>
            <w:tcW w:w="1806" w:type="dxa"/>
          </w:tcPr>
          <w:p w14:paraId="3976F8F1" w14:textId="77777777" w:rsidR="00811103" w:rsidRDefault="00000000">
            <w:pPr>
              <w:jc w:val="right"/>
            </w:pPr>
            <w:r>
              <w:rPr>
                <w:rFonts w:ascii="Arial" w:hAnsi="Arial"/>
                <w:sz w:val="18"/>
              </w:rPr>
              <w:t>52.0150</w:t>
            </w:r>
          </w:p>
        </w:tc>
        <w:tc>
          <w:tcPr>
            <w:tcW w:w="1806" w:type="dxa"/>
          </w:tcPr>
          <w:p w14:paraId="24391623" w14:textId="77777777" w:rsidR="00811103" w:rsidRDefault="00000000">
            <w:pPr>
              <w:jc w:val="right"/>
            </w:pPr>
            <w:r>
              <w:rPr>
                <w:rFonts w:ascii="Arial" w:hAnsi="Arial"/>
                <w:sz w:val="18"/>
              </w:rPr>
              <w:t>57.3972</w:t>
            </w:r>
          </w:p>
        </w:tc>
        <w:tc>
          <w:tcPr>
            <w:tcW w:w="1806" w:type="dxa"/>
          </w:tcPr>
          <w:p w14:paraId="3D12F55C" w14:textId="77777777" w:rsidR="00811103" w:rsidRDefault="00000000">
            <w:pPr>
              <w:jc w:val="right"/>
            </w:pPr>
            <w:r>
              <w:rPr>
                <w:rFonts w:ascii="Arial" w:hAnsi="Arial"/>
                <w:sz w:val="18"/>
              </w:rPr>
              <w:t>1</w:t>
            </w:r>
          </w:p>
        </w:tc>
      </w:tr>
      <w:tr w:rsidR="00811103" w14:paraId="61569C1E" w14:textId="77777777">
        <w:trPr>
          <w:jc w:val="center"/>
        </w:trPr>
        <w:tc>
          <w:tcPr>
            <w:tcW w:w="1806" w:type="dxa"/>
            <w:shd w:val="clear" w:color="auto" w:fill="F2F6FC"/>
          </w:tcPr>
          <w:p w14:paraId="2790DACE" w14:textId="77777777" w:rsidR="00811103" w:rsidRDefault="00000000">
            <w:r>
              <w:rPr>
                <w:rFonts w:ascii="Arial" w:hAnsi="Arial"/>
                <w:sz w:val="18"/>
              </w:rPr>
              <w:t>FAC-0193</w:t>
            </w:r>
          </w:p>
        </w:tc>
        <w:tc>
          <w:tcPr>
            <w:tcW w:w="1806" w:type="dxa"/>
            <w:shd w:val="clear" w:color="auto" w:fill="F2F6FC"/>
          </w:tcPr>
          <w:p w14:paraId="7B26D28B" w14:textId="77777777" w:rsidR="00811103" w:rsidRDefault="00000000">
            <w:pPr>
              <w:jc w:val="right"/>
            </w:pPr>
            <w:r>
              <w:rPr>
                <w:rFonts w:ascii="Arial" w:hAnsi="Arial"/>
                <w:sz w:val="18"/>
              </w:rPr>
              <w:t>72.3228</w:t>
            </w:r>
          </w:p>
        </w:tc>
        <w:tc>
          <w:tcPr>
            <w:tcW w:w="1806" w:type="dxa"/>
            <w:shd w:val="clear" w:color="auto" w:fill="F2F6FC"/>
          </w:tcPr>
          <w:p w14:paraId="1B682A2A" w14:textId="77777777" w:rsidR="00811103" w:rsidRDefault="00000000">
            <w:pPr>
              <w:jc w:val="right"/>
            </w:pPr>
            <w:r>
              <w:rPr>
                <w:rFonts w:ascii="Arial" w:hAnsi="Arial"/>
                <w:sz w:val="18"/>
              </w:rPr>
              <w:t>0.0000</w:t>
            </w:r>
          </w:p>
        </w:tc>
        <w:tc>
          <w:tcPr>
            <w:tcW w:w="1806" w:type="dxa"/>
            <w:shd w:val="clear" w:color="auto" w:fill="F2F6FC"/>
          </w:tcPr>
          <w:p w14:paraId="062656EB" w14:textId="77777777" w:rsidR="00811103" w:rsidRDefault="00000000">
            <w:pPr>
              <w:jc w:val="right"/>
            </w:pPr>
            <w:r>
              <w:rPr>
                <w:rFonts w:ascii="Arial" w:hAnsi="Arial"/>
                <w:sz w:val="18"/>
              </w:rPr>
              <w:t>72.3228</w:t>
            </w:r>
          </w:p>
        </w:tc>
        <w:tc>
          <w:tcPr>
            <w:tcW w:w="1806" w:type="dxa"/>
            <w:shd w:val="clear" w:color="auto" w:fill="F2F6FC"/>
          </w:tcPr>
          <w:p w14:paraId="07E117B1" w14:textId="77777777" w:rsidR="00811103" w:rsidRDefault="00000000">
            <w:pPr>
              <w:jc w:val="right"/>
            </w:pPr>
            <w:r>
              <w:rPr>
                <w:rFonts w:ascii="Arial" w:hAnsi="Arial"/>
                <w:sz w:val="18"/>
              </w:rPr>
              <w:t>1</w:t>
            </w:r>
          </w:p>
        </w:tc>
      </w:tr>
      <w:tr w:rsidR="00811103" w14:paraId="037DCED2" w14:textId="77777777">
        <w:trPr>
          <w:jc w:val="center"/>
        </w:trPr>
        <w:tc>
          <w:tcPr>
            <w:tcW w:w="1806" w:type="dxa"/>
          </w:tcPr>
          <w:p w14:paraId="52B01B4A" w14:textId="77777777" w:rsidR="00811103" w:rsidRDefault="00000000">
            <w:r>
              <w:rPr>
                <w:rFonts w:ascii="Arial" w:hAnsi="Arial"/>
                <w:sz w:val="18"/>
              </w:rPr>
              <w:t>FAC-0215</w:t>
            </w:r>
          </w:p>
        </w:tc>
        <w:tc>
          <w:tcPr>
            <w:tcW w:w="1806" w:type="dxa"/>
          </w:tcPr>
          <w:p w14:paraId="4913D168" w14:textId="77777777" w:rsidR="00811103" w:rsidRDefault="00000000">
            <w:pPr>
              <w:jc w:val="right"/>
            </w:pPr>
            <w:r>
              <w:rPr>
                <w:rFonts w:ascii="Arial" w:hAnsi="Arial"/>
                <w:sz w:val="18"/>
              </w:rPr>
              <w:t>70.6057</w:t>
            </w:r>
          </w:p>
        </w:tc>
        <w:tc>
          <w:tcPr>
            <w:tcW w:w="1806" w:type="dxa"/>
          </w:tcPr>
          <w:p w14:paraId="18554F5C" w14:textId="77777777" w:rsidR="00811103" w:rsidRDefault="00000000">
            <w:pPr>
              <w:jc w:val="right"/>
            </w:pPr>
            <w:r>
              <w:rPr>
                <w:rFonts w:ascii="Arial" w:hAnsi="Arial"/>
                <w:sz w:val="18"/>
              </w:rPr>
              <w:t>23.5860</w:t>
            </w:r>
          </w:p>
        </w:tc>
        <w:tc>
          <w:tcPr>
            <w:tcW w:w="1806" w:type="dxa"/>
          </w:tcPr>
          <w:p w14:paraId="1BD24854" w14:textId="77777777" w:rsidR="00811103" w:rsidRDefault="00000000">
            <w:pPr>
              <w:jc w:val="right"/>
            </w:pPr>
            <w:r>
              <w:rPr>
                <w:rFonts w:ascii="Arial" w:hAnsi="Arial"/>
                <w:sz w:val="18"/>
              </w:rPr>
              <w:t>47.0197</w:t>
            </w:r>
          </w:p>
        </w:tc>
        <w:tc>
          <w:tcPr>
            <w:tcW w:w="1806" w:type="dxa"/>
          </w:tcPr>
          <w:p w14:paraId="6D2D7210" w14:textId="77777777" w:rsidR="00811103" w:rsidRDefault="00000000">
            <w:pPr>
              <w:jc w:val="right"/>
            </w:pPr>
            <w:r>
              <w:rPr>
                <w:rFonts w:ascii="Arial" w:hAnsi="Arial"/>
                <w:sz w:val="18"/>
              </w:rPr>
              <w:t>1</w:t>
            </w:r>
          </w:p>
        </w:tc>
      </w:tr>
      <w:tr w:rsidR="00811103" w14:paraId="154DD913" w14:textId="77777777">
        <w:trPr>
          <w:jc w:val="center"/>
        </w:trPr>
        <w:tc>
          <w:tcPr>
            <w:tcW w:w="1806" w:type="dxa"/>
            <w:shd w:val="clear" w:color="auto" w:fill="F2F6FC"/>
          </w:tcPr>
          <w:p w14:paraId="0C73FD46" w14:textId="77777777" w:rsidR="00811103" w:rsidRDefault="00000000">
            <w:r>
              <w:rPr>
                <w:rFonts w:ascii="Arial" w:hAnsi="Arial"/>
                <w:sz w:val="18"/>
              </w:rPr>
              <w:t>FAC-0191</w:t>
            </w:r>
          </w:p>
        </w:tc>
        <w:tc>
          <w:tcPr>
            <w:tcW w:w="1806" w:type="dxa"/>
            <w:shd w:val="clear" w:color="auto" w:fill="F2F6FC"/>
          </w:tcPr>
          <w:p w14:paraId="58C815A2" w14:textId="77777777" w:rsidR="00811103" w:rsidRDefault="00000000">
            <w:pPr>
              <w:jc w:val="right"/>
            </w:pPr>
            <w:r>
              <w:rPr>
                <w:rFonts w:ascii="Arial" w:hAnsi="Arial"/>
                <w:sz w:val="18"/>
              </w:rPr>
              <w:t>67.3744</w:t>
            </w:r>
          </w:p>
        </w:tc>
        <w:tc>
          <w:tcPr>
            <w:tcW w:w="1806" w:type="dxa"/>
            <w:shd w:val="clear" w:color="auto" w:fill="F2F6FC"/>
          </w:tcPr>
          <w:p w14:paraId="0EF2D254" w14:textId="77777777" w:rsidR="00811103" w:rsidRDefault="00000000">
            <w:pPr>
              <w:jc w:val="right"/>
            </w:pPr>
            <w:r>
              <w:rPr>
                <w:rFonts w:ascii="Arial" w:hAnsi="Arial"/>
                <w:sz w:val="18"/>
              </w:rPr>
              <w:t>0.0000</w:t>
            </w:r>
          </w:p>
        </w:tc>
        <w:tc>
          <w:tcPr>
            <w:tcW w:w="1806" w:type="dxa"/>
            <w:shd w:val="clear" w:color="auto" w:fill="F2F6FC"/>
          </w:tcPr>
          <w:p w14:paraId="147B9844" w14:textId="77777777" w:rsidR="00811103" w:rsidRDefault="00000000">
            <w:pPr>
              <w:jc w:val="right"/>
            </w:pPr>
            <w:r>
              <w:rPr>
                <w:rFonts w:ascii="Arial" w:hAnsi="Arial"/>
                <w:sz w:val="18"/>
              </w:rPr>
              <w:t>67.3744</w:t>
            </w:r>
          </w:p>
        </w:tc>
        <w:tc>
          <w:tcPr>
            <w:tcW w:w="1806" w:type="dxa"/>
            <w:shd w:val="clear" w:color="auto" w:fill="F2F6FC"/>
          </w:tcPr>
          <w:p w14:paraId="648D2192" w14:textId="77777777" w:rsidR="00811103" w:rsidRDefault="00000000">
            <w:pPr>
              <w:jc w:val="right"/>
            </w:pPr>
            <w:r>
              <w:rPr>
                <w:rFonts w:ascii="Arial" w:hAnsi="Arial"/>
                <w:sz w:val="18"/>
              </w:rPr>
              <w:t>1</w:t>
            </w:r>
          </w:p>
        </w:tc>
      </w:tr>
      <w:tr w:rsidR="00811103" w14:paraId="369E51A5" w14:textId="77777777">
        <w:trPr>
          <w:jc w:val="center"/>
        </w:trPr>
        <w:tc>
          <w:tcPr>
            <w:tcW w:w="1806" w:type="dxa"/>
          </w:tcPr>
          <w:p w14:paraId="668D6B1E" w14:textId="77777777" w:rsidR="00811103" w:rsidRDefault="00000000">
            <w:r>
              <w:rPr>
                <w:rFonts w:ascii="Arial" w:hAnsi="Arial"/>
                <w:sz w:val="18"/>
              </w:rPr>
              <w:t>FAC-0181</w:t>
            </w:r>
          </w:p>
        </w:tc>
        <w:tc>
          <w:tcPr>
            <w:tcW w:w="1806" w:type="dxa"/>
          </w:tcPr>
          <w:p w14:paraId="5A534719" w14:textId="77777777" w:rsidR="00811103" w:rsidRDefault="00000000">
            <w:pPr>
              <w:jc w:val="right"/>
            </w:pPr>
            <w:r>
              <w:rPr>
                <w:rFonts w:ascii="Arial" w:hAnsi="Arial"/>
                <w:sz w:val="18"/>
              </w:rPr>
              <w:t>63.7580</w:t>
            </w:r>
          </w:p>
        </w:tc>
        <w:tc>
          <w:tcPr>
            <w:tcW w:w="1806" w:type="dxa"/>
          </w:tcPr>
          <w:p w14:paraId="47DB64D2" w14:textId="77777777" w:rsidR="00811103" w:rsidRDefault="00000000">
            <w:pPr>
              <w:jc w:val="right"/>
            </w:pPr>
            <w:r>
              <w:rPr>
                <w:rFonts w:ascii="Arial" w:hAnsi="Arial"/>
                <w:sz w:val="18"/>
              </w:rPr>
              <w:t>0.0000</w:t>
            </w:r>
          </w:p>
        </w:tc>
        <w:tc>
          <w:tcPr>
            <w:tcW w:w="1806" w:type="dxa"/>
          </w:tcPr>
          <w:p w14:paraId="46B7A4DB" w14:textId="77777777" w:rsidR="00811103" w:rsidRDefault="00000000">
            <w:pPr>
              <w:jc w:val="right"/>
            </w:pPr>
            <w:r>
              <w:rPr>
                <w:rFonts w:ascii="Arial" w:hAnsi="Arial"/>
                <w:sz w:val="18"/>
              </w:rPr>
              <w:t>63.7580</w:t>
            </w:r>
          </w:p>
        </w:tc>
        <w:tc>
          <w:tcPr>
            <w:tcW w:w="1806" w:type="dxa"/>
          </w:tcPr>
          <w:p w14:paraId="0E3C33DD" w14:textId="77777777" w:rsidR="00811103" w:rsidRDefault="00000000">
            <w:pPr>
              <w:jc w:val="right"/>
            </w:pPr>
            <w:r>
              <w:rPr>
                <w:rFonts w:ascii="Arial" w:hAnsi="Arial"/>
                <w:sz w:val="18"/>
              </w:rPr>
              <w:t>1</w:t>
            </w:r>
          </w:p>
        </w:tc>
      </w:tr>
      <w:tr w:rsidR="00811103" w14:paraId="049C7506" w14:textId="77777777">
        <w:trPr>
          <w:jc w:val="center"/>
        </w:trPr>
        <w:tc>
          <w:tcPr>
            <w:tcW w:w="1806" w:type="dxa"/>
            <w:shd w:val="clear" w:color="auto" w:fill="F2F6FC"/>
          </w:tcPr>
          <w:p w14:paraId="72AEEECB" w14:textId="77777777" w:rsidR="00811103" w:rsidRDefault="00000000">
            <w:r>
              <w:rPr>
                <w:rFonts w:ascii="Arial" w:hAnsi="Arial"/>
                <w:sz w:val="18"/>
              </w:rPr>
              <w:t>FAC-0208</w:t>
            </w:r>
          </w:p>
        </w:tc>
        <w:tc>
          <w:tcPr>
            <w:tcW w:w="1806" w:type="dxa"/>
            <w:shd w:val="clear" w:color="auto" w:fill="F2F6FC"/>
          </w:tcPr>
          <w:p w14:paraId="3C0BE95E" w14:textId="77777777" w:rsidR="00811103" w:rsidRDefault="00000000">
            <w:pPr>
              <w:jc w:val="right"/>
            </w:pPr>
            <w:r>
              <w:rPr>
                <w:rFonts w:ascii="Arial" w:hAnsi="Arial"/>
                <w:sz w:val="18"/>
              </w:rPr>
              <w:t>63.5152</w:t>
            </w:r>
          </w:p>
        </w:tc>
        <w:tc>
          <w:tcPr>
            <w:tcW w:w="1806" w:type="dxa"/>
            <w:shd w:val="clear" w:color="auto" w:fill="F2F6FC"/>
          </w:tcPr>
          <w:p w14:paraId="30048C4C" w14:textId="77777777" w:rsidR="00811103" w:rsidRDefault="00000000">
            <w:pPr>
              <w:jc w:val="right"/>
            </w:pPr>
            <w:r>
              <w:rPr>
                <w:rFonts w:ascii="Arial" w:hAnsi="Arial"/>
                <w:sz w:val="18"/>
              </w:rPr>
              <w:t>23.7606</w:t>
            </w:r>
          </w:p>
        </w:tc>
        <w:tc>
          <w:tcPr>
            <w:tcW w:w="1806" w:type="dxa"/>
            <w:shd w:val="clear" w:color="auto" w:fill="F2F6FC"/>
          </w:tcPr>
          <w:p w14:paraId="39870E96" w14:textId="77777777" w:rsidR="00811103" w:rsidRDefault="00000000">
            <w:pPr>
              <w:jc w:val="right"/>
            </w:pPr>
            <w:r>
              <w:rPr>
                <w:rFonts w:ascii="Arial" w:hAnsi="Arial"/>
                <w:sz w:val="18"/>
              </w:rPr>
              <w:t>39.7546</w:t>
            </w:r>
          </w:p>
        </w:tc>
        <w:tc>
          <w:tcPr>
            <w:tcW w:w="1806" w:type="dxa"/>
            <w:shd w:val="clear" w:color="auto" w:fill="F2F6FC"/>
          </w:tcPr>
          <w:p w14:paraId="0D475534" w14:textId="77777777" w:rsidR="00811103" w:rsidRDefault="00000000">
            <w:pPr>
              <w:jc w:val="right"/>
            </w:pPr>
            <w:r>
              <w:rPr>
                <w:rFonts w:ascii="Arial" w:hAnsi="Arial"/>
                <w:sz w:val="18"/>
              </w:rPr>
              <w:t>1</w:t>
            </w:r>
          </w:p>
        </w:tc>
      </w:tr>
    </w:tbl>
    <w:p w14:paraId="01422573" w14:textId="77777777" w:rsidR="00811103" w:rsidRDefault="00000000">
      <w:r>
        <w:rPr>
          <w:rFonts w:ascii="Arial" w:hAnsi="Arial"/>
          <w:i/>
          <w:sz w:val="16"/>
        </w:rPr>
        <w:t>Source: Source: Facility-level energy metering systems. Data Quality Score: 1 = primary metered data, 4 = estimated data.</w:t>
      </w:r>
    </w:p>
    <w:p w14:paraId="61A35E14" w14:textId="77777777" w:rsidR="00811103" w:rsidRDefault="00811103"/>
    <w:p w14:paraId="535D1309" w14:textId="77777777" w:rsidR="00811103" w:rsidRDefault="00000000">
      <w:r>
        <w:rPr>
          <w:i/>
          <w:color w:val="3D6094"/>
          <w:sz w:val="18"/>
        </w:rPr>
        <w:t>Framework references: IFRS S2 para 29(a)(i) — Cross-industry metric: Scope 1 GHG emissions; GHG Protocol Corporate Accounting and Reporting Standard (2015); IPCC AR6 Global Warming Potential values</w:t>
      </w:r>
    </w:p>
    <w:p w14:paraId="34B0298B" w14:textId="77777777" w:rsidR="00811103" w:rsidRDefault="00811103">
      <w:pPr>
        <w:pBdr>
          <w:bottom w:val="single" w:sz="6" w:space="1" w:color="999999"/>
        </w:pBdr>
        <w:spacing w:after="80"/>
      </w:pPr>
    </w:p>
    <w:p w14:paraId="65369B33" w14:textId="77777777" w:rsidR="00811103" w:rsidRDefault="00000000">
      <w:pPr>
        <w:spacing w:after="160"/>
        <w:jc w:val="both"/>
      </w:pPr>
      <w:r>
        <w:rPr>
          <w:rFonts w:ascii="Arial" w:hAnsi="Arial"/>
          <w:i/>
          <w:color w:val="646464"/>
          <w:sz w:val="18"/>
        </w:rPr>
        <w:t>Scope 1 emissions are reported under the operational control consolidation approach per GHG Protocol Corporate Standard.</w:t>
      </w:r>
    </w:p>
    <w:p w14:paraId="7AECEE55" w14:textId="77777777" w:rsidR="00811103" w:rsidRDefault="00000000">
      <w:pPr>
        <w:spacing w:after="160"/>
        <w:jc w:val="both"/>
      </w:pPr>
      <w:r>
        <w:rPr>
          <w:rFonts w:ascii="Arial" w:hAnsi="Arial"/>
          <w:i/>
          <w:color w:val="646464"/>
          <w:sz w:val="18"/>
        </w:rPr>
        <w:t>Emission factors sourced from Indonesia Ministry of Energy and Mineral Resources (MEMR) 2023 National Emission Factor Database.</w:t>
      </w:r>
    </w:p>
    <w:p w14:paraId="6E8027EA" w14:textId="77777777" w:rsidR="00811103" w:rsidRDefault="00000000">
      <w:pPr>
        <w:spacing w:after="160"/>
        <w:jc w:val="both"/>
      </w:pPr>
      <w:r>
        <w:rPr>
          <w:rFonts w:ascii="Arial" w:hAnsi="Arial"/>
          <w:i/>
          <w:color w:val="646464"/>
          <w:sz w:val="18"/>
        </w:rPr>
        <w:t>Global warming potential (GWP) values per IPCC Sixth Assessment Report (AR6): CH₄ = 29.8, N₂O = 273.0.</w:t>
      </w:r>
    </w:p>
    <w:p w14:paraId="458831B8" w14:textId="77777777" w:rsidR="00811103" w:rsidRDefault="00000000">
      <w:pPr>
        <w:spacing w:after="160"/>
        <w:jc w:val="both"/>
      </w:pPr>
      <w:r>
        <w:rPr>
          <w:rFonts w:ascii="Arial" w:hAnsi="Arial"/>
          <w:i/>
          <w:color w:val="646464"/>
          <w:sz w:val="18"/>
        </w:rPr>
        <w:t>Biogenic CO₂ emissions are excluded from Scope 1 totals per GHG Protocol requirements.</w:t>
      </w:r>
    </w:p>
    <w:p w14:paraId="14E84779" w14:textId="77777777" w:rsidR="00811103" w:rsidRDefault="00000000">
      <w:pPr>
        <w:spacing w:after="160"/>
        <w:jc w:val="both"/>
      </w:pPr>
      <w:r>
        <w:rPr>
          <w:rFonts w:ascii="Arial" w:hAnsi="Arial"/>
          <w:i/>
          <w:color w:val="646464"/>
          <w:sz w:val="18"/>
        </w:rPr>
        <w:t>These figures have not been subject to external assurance for the current reporting period.</w:t>
      </w:r>
    </w:p>
    <w:p w14:paraId="2E0AA874" w14:textId="77777777" w:rsidR="00811103" w:rsidRDefault="00000000">
      <w:r>
        <w:br w:type="page"/>
      </w:r>
    </w:p>
    <w:p w14:paraId="69ED2628" w14:textId="77777777" w:rsidR="00811103" w:rsidRDefault="00000000">
      <w:pPr>
        <w:pStyle w:val="Heading1"/>
        <w:spacing w:after="240"/>
      </w:pPr>
      <w:bookmarkStart w:id="5" w:name="_Toc231991231"/>
      <w:r>
        <w:rPr>
          <w:rFonts w:ascii="Arial" w:hAnsi="Arial"/>
          <w:color w:val="1B3A6B"/>
          <w:sz w:val="36"/>
        </w:rPr>
        <w:lastRenderedPageBreak/>
        <w:t>Climate Governance &amp; ESG Oversight</w:t>
      </w:r>
      <w:bookmarkEnd w:id="5"/>
    </w:p>
    <w:p w14:paraId="49DDB954" w14:textId="77777777" w:rsidR="00811103" w:rsidRDefault="00000000">
      <w:pPr>
        <w:spacing w:after="160"/>
        <w:jc w:val="both"/>
      </w:pPr>
      <w:r>
        <w:rPr>
          <w:rFonts w:ascii="Arial" w:hAnsi="Arial"/>
        </w:rPr>
        <w:t>This data point is not yet captured in the institution's reporting system. Per IFRS S2 paragraphs 6-7, the institution is required to disclose: (a) the identity of the body(s) or individual(s) responsible for oversight of climate-related risks and opportunities, including how responsibilities are reflected in terms of reference and mandates; (b) how the governing body determines whether appropriate skills and competencies are available to oversee climate strategies; (c) the frequency and manner in which the body is informed about climate-related risks and opportunities; (d) how climate considerations are integrated into oversight of strategy, major transactions, and risk management; and (e) how the body oversees target-setting and monitors progress, including whether climate performance metrics are included in remuneration policies.</w:t>
      </w:r>
    </w:p>
    <w:p w14:paraId="5A1B9B76" w14:textId="77777777" w:rsidR="00811103" w:rsidRDefault="00000000">
      <w:pPr>
        <w:spacing w:after="160"/>
        <w:jc w:val="both"/>
      </w:pPr>
      <w:r>
        <w:rPr>
          <w:rFonts w:ascii="Arial" w:hAnsi="Arial"/>
        </w:rPr>
        <w:t>**Disclosure Gap Analysis**: The institution has not yet established formal governance structures for climate-related disclosures as required by IFRS S2. Key missing elements include: identification of the board-level committee responsible for climate oversight, documentation of board climate competencies, definition of management-level accountability for climate risk management, establishment of target-setting authority, and linkage of executive remuneration to climate performance metrics. These governance foundations are prerequisites for credible climate-related financial disclosures and are standard practice among peer institutions in the Indonesian banking sector.</w:t>
      </w:r>
    </w:p>
    <w:p w14:paraId="7027F6CD" w14:textId="77777777" w:rsidR="00811103" w:rsidRDefault="00000000">
      <w:pPr>
        <w:spacing w:after="160"/>
        <w:jc w:val="both"/>
      </w:pPr>
      <w:r>
        <w:rPr>
          <w:rFonts w:ascii="Arial" w:hAnsi="Arial"/>
        </w:rPr>
        <w:t>**Peer Benchmark Context**: Leading Indonesian banks have established robust climate governance frameworks that provide reference models for implementation. Bank Rakyat Indonesia (BRI) established a dedicated Risk Management &amp; ESG Committee in 2021 via Board Decision NOKEP 872-DIR/PPM/06/2022, which reports directly to the President Director and conducts quarterly reviews of climate-related risks and opportunities. Bank Central Asia (BCA) integrates ESG oversight through an ESG Subdivision under the Corporate Secretary, with the Director of Planning &amp; Finance providing quarterly updates to the Board of Directors (minimum 4 times per year). DBS Bank operates a Board Sustainability Committee with a Chief Sustainability Officer reporting directly to the Board, and notably links 20% of executive compensation to ESG key performance indicators including climate metrics. Bank Mandiri maintains an ESG Task Force with semi-annual board reviews. All four peer institutions have achieved ISO 27001 certification and maintain comprehensive anti-corruption policies with active whistleblowing systems, demonstrating integration of climate governance within broader enterprise risk management frameworks.</w:t>
      </w:r>
    </w:p>
    <w:p w14:paraId="4833F6C1" w14:textId="77777777" w:rsidR="00811103" w:rsidRDefault="00000000">
      <w:pPr>
        <w:spacing w:after="160"/>
        <w:jc w:val="both"/>
      </w:pPr>
      <w:r>
        <w:rPr>
          <w:rFonts w:ascii="Arial" w:hAnsi="Arial"/>
        </w:rPr>
        <w:t xml:space="preserve">**Recommendations for Full Compliance**: To achieve IFRS S2 compliance and align with peer institution practices, the institution should implement the following governance enhancements in priority order: (1) **Establish Board-Level Climate Committee** [High Priority] — Create a dedicated Board Sustainability Committee or integrate climate oversight into the existing Risk Committee, following the BRI model with quarterly review cadence and formal terms of reference documenting climate risk oversight responsibilities per IFRS S2 Para 6(a)(i). Target implementation: Q2 2025. (2) **Appoint Management-Level Climate Officer** [High Priority] — Designate a Chief Sustainability Officer or equivalent management position with direct reporting line to the President Director, responsible for coordinating climate risk assessment, target-setting, and disclosure preparation, following the DBS governance structure per IFRS S2 Para 6(b). Target implementation: Q3 2025. (3) **Link </w:t>
      </w:r>
      <w:r>
        <w:rPr>
          <w:rFonts w:ascii="Arial" w:hAnsi="Arial"/>
        </w:rPr>
        <w:lastRenderedPageBreak/>
        <w:t>Executive Remuneration to Climate KPIs** [Medium Priority] — Integrate climate performance metrics (e.g., financed emissions reduction, renewable energy portfolio growth, PCAF data quality improvement) into Board of Directors and senior management compensation frameworks, starting with 10-15% weighting and scaling to 20% following DBS precedent per IFRS S2 Para 6(a)(v). Target implementation: 2026 performance year. (4) **Develop Board Climate Competency Program** [Medium Priority] — Conduct climate risk training for all board members covering physical and transition risks, scenario analysis methodologies, and TCFD/IFRS S2 disclosure requirements, with annual refresher sessions per IFRS S2 Para 6(a)(ii). Target implementation: Q4 2025. (5) **Formalize Target-Setting Process** [High Priority] — Establish board-approved climate targets (absolute emissions reduction, financed emissions intensity, sector-specific thresholds) with documented methodology, baseline year, and monitoring frequency, following BCA's sectoral ESG policy approach. Target implementation: Q1 2026.</w:t>
      </w:r>
    </w:p>
    <w:p w14:paraId="0C8E33B1" w14:textId="77777777" w:rsidR="00811103" w:rsidRDefault="00000000">
      <w:r>
        <w:rPr>
          <w:rFonts w:ascii="Arial" w:hAnsi="Arial"/>
          <w:b/>
          <w:sz w:val="20"/>
        </w:rPr>
        <w:t>Table 1: IFRS S2 Governance Requirements — Gap Analysis</w:t>
      </w:r>
    </w:p>
    <w:tbl>
      <w:tblPr>
        <w:tblW w:w="0" w:type="auto"/>
        <w:jc w:val="center"/>
        <w:tblLook w:val="04A0" w:firstRow="1" w:lastRow="0" w:firstColumn="1" w:lastColumn="0" w:noHBand="0" w:noVBand="1"/>
      </w:tblPr>
      <w:tblGrid>
        <w:gridCol w:w="1806"/>
        <w:gridCol w:w="1806"/>
        <w:gridCol w:w="1806"/>
        <w:gridCol w:w="1806"/>
        <w:gridCol w:w="1806"/>
      </w:tblGrid>
      <w:tr w:rsidR="00811103" w14:paraId="77B46B82" w14:textId="77777777">
        <w:trPr>
          <w:jc w:val="center"/>
        </w:trPr>
        <w:tc>
          <w:tcPr>
            <w:tcW w:w="1806" w:type="dxa"/>
            <w:shd w:val="clear" w:color="auto" w:fill="1B3A6B"/>
          </w:tcPr>
          <w:p w14:paraId="4661BE27" w14:textId="77777777" w:rsidR="00811103" w:rsidRDefault="00000000">
            <w:r>
              <w:rPr>
                <w:rFonts w:ascii="Arial" w:hAnsi="Arial"/>
                <w:b/>
                <w:color w:val="FFFFFF"/>
                <w:sz w:val="18"/>
              </w:rPr>
              <w:t>Requirement</w:t>
            </w:r>
          </w:p>
        </w:tc>
        <w:tc>
          <w:tcPr>
            <w:tcW w:w="1806" w:type="dxa"/>
            <w:shd w:val="clear" w:color="auto" w:fill="1B3A6B"/>
          </w:tcPr>
          <w:p w14:paraId="2EC8C87E" w14:textId="77777777" w:rsidR="00811103" w:rsidRDefault="00000000">
            <w:r>
              <w:rPr>
                <w:rFonts w:ascii="Arial" w:hAnsi="Arial"/>
                <w:b/>
                <w:color w:val="FFFFFF"/>
                <w:sz w:val="18"/>
              </w:rPr>
              <w:t>IFRS S2 Reference</w:t>
            </w:r>
          </w:p>
        </w:tc>
        <w:tc>
          <w:tcPr>
            <w:tcW w:w="1806" w:type="dxa"/>
            <w:shd w:val="clear" w:color="auto" w:fill="1B3A6B"/>
          </w:tcPr>
          <w:p w14:paraId="67C059F2" w14:textId="77777777" w:rsidR="00811103" w:rsidRDefault="00000000">
            <w:r>
              <w:rPr>
                <w:rFonts w:ascii="Arial" w:hAnsi="Arial"/>
                <w:b/>
                <w:color w:val="FFFFFF"/>
                <w:sz w:val="18"/>
              </w:rPr>
              <w:t>Current Status</w:t>
            </w:r>
          </w:p>
        </w:tc>
        <w:tc>
          <w:tcPr>
            <w:tcW w:w="1806" w:type="dxa"/>
            <w:shd w:val="clear" w:color="auto" w:fill="1B3A6B"/>
          </w:tcPr>
          <w:p w14:paraId="59478064" w14:textId="77777777" w:rsidR="00811103" w:rsidRDefault="00000000">
            <w:r>
              <w:rPr>
                <w:rFonts w:ascii="Arial" w:hAnsi="Arial"/>
                <w:b/>
                <w:color w:val="FFFFFF"/>
                <w:sz w:val="18"/>
              </w:rPr>
              <w:t>Peer Benchmark</w:t>
            </w:r>
          </w:p>
        </w:tc>
        <w:tc>
          <w:tcPr>
            <w:tcW w:w="1806" w:type="dxa"/>
            <w:shd w:val="clear" w:color="auto" w:fill="1B3A6B"/>
          </w:tcPr>
          <w:p w14:paraId="27155040" w14:textId="77777777" w:rsidR="00811103" w:rsidRDefault="00000000">
            <w:r>
              <w:rPr>
                <w:rFonts w:ascii="Arial" w:hAnsi="Arial"/>
                <w:b/>
                <w:color w:val="FFFFFF"/>
                <w:sz w:val="18"/>
              </w:rPr>
              <w:t>Priority</w:t>
            </w:r>
          </w:p>
        </w:tc>
      </w:tr>
      <w:tr w:rsidR="00811103" w14:paraId="0035B59F" w14:textId="77777777">
        <w:trPr>
          <w:jc w:val="center"/>
        </w:trPr>
        <w:tc>
          <w:tcPr>
            <w:tcW w:w="1806" w:type="dxa"/>
          </w:tcPr>
          <w:p w14:paraId="5F8D4646" w14:textId="77777777" w:rsidR="00811103" w:rsidRDefault="00000000">
            <w:r>
              <w:rPr>
                <w:rFonts w:ascii="Arial" w:hAnsi="Arial"/>
                <w:sz w:val="18"/>
              </w:rPr>
              <w:t>Board-level climate oversight body</w:t>
            </w:r>
          </w:p>
        </w:tc>
        <w:tc>
          <w:tcPr>
            <w:tcW w:w="1806" w:type="dxa"/>
          </w:tcPr>
          <w:p w14:paraId="49CDC292" w14:textId="77777777" w:rsidR="00811103" w:rsidRDefault="00000000">
            <w:r>
              <w:rPr>
                <w:rFonts w:ascii="Arial" w:hAnsi="Arial"/>
                <w:sz w:val="18"/>
              </w:rPr>
              <w:t>Para 6(a)</w:t>
            </w:r>
          </w:p>
        </w:tc>
        <w:tc>
          <w:tcPr>
            <w:tcW w:w="1806" w:type="dxa"/>
          </w:tcPr>
          <w:p w14:paraId="75AE3E64" w14:textId="77777777" w:rsidR="00811103" w:rsidRDefault="00000000">
            <w:r>
              <w:rPr>
                <w:rFonts w:ascii="Arial" w:hAnsi="Arial"/>
                <w:sz w:val="18"/>
              </w:rPr>
              <w:t>Not Available</w:t>
            </w:r>
          </w:p>
        </w:tc>
        <w:tc>
          <w:tcPr>
            <w:tcW w:w="1806" w:type="dxa"/>
          </w:tcPr>
          <w:p w14:paraId="389C7CFD" w14:textId="77777777" w:rsidR="00811103" w:rsidRDefault="00000000">
            <w:r>
              <w:rPr>
                <w:rFonts w:ascii="Arial" w:hAnsi="Arial"/>
                <w:sz w:val="18"/>
              </w:rPr>
              <w:t>BRI: Risk Mgmt &amp; ESG Committee (2021); BCA: ESG Subdivision; DBS: Board Sustainability Committee</w:t>
            </w:r>
          </w:p>
        </w:tc>
        <w:tc>
          <w:tcPr>
            <w:tcW w:w="1806" w:type="dxa"/>
          </w:tcPr>
          <w:p w14:paraId="6673B6B9" w14:textId="77777777" w:rsidR="00811103" w:rsidRDefault="00000000">
            <w:r>
              <w:rPr>
                <w:rFonts w:ascii="Arial" w:hAnsi="Arial"/>
                <w:sz w:val="18"/>
              </w:rPr>
              <w:t>High</w:t>
            </w:r>
          </w:p>
        </w:tc>
      </w:tr>
      <w:tr w:rsidR="00811103" w14:paraId="295502C6" w14:textId="77777777">
        <w:trPr>
          <w:jc w:val="center"/>
        </w:trPr>
        <w:tc>
          <w:tcPr>
            <w:tcW w:w="1806" w:type="dxa"/>
            <w:shd w:val="clear" w:color="auto" w:fill="F2F6FC"/>
          </w:tcPr>
          <w:p w14:paraId="27854325" w14:textId="77777777" w:rsidR="00811103" w:rsidRDefault="00000000">
            <w:r>
              <w:rPr>
                <w:rFonts w:ascii="Arial" w:hAnsi="Arial"/>
                <w:sz w:val="18"/>
              </w:rPr>
              <w:t>Board climate competency assessment</w:t>
            </w:r>
          </w:p>
        </w:tc>
        <w:tc>
          <w:tcPr>
            <w:tcW w:w="1806" w:type="dxa"/>
            <w:shd w:val="clear" w:color="auto" w:fill="F2F6FC"/>
          </w:tcPr>
          <w:p w14:paraId="3E6DA6A1" w14:textId="77777777" w:rsidR="00811103" w:rsidRDefault="00000000">
            <w:r>
              <w:rPr>
                <w:rFonts w:ascii="Arial" w:hAnsi="Arial"/>
                <w:sz w:val="18"/>
              </w:rPr>
              <w:t>Para 6(a)(ii)</w:t>
            </w:r>
          </w:p>
        </w:tc>
        <w:tc>
          <w:tcPr>
            <w:tcW w:w="1806" w:type="dxa"/>
            <w:shd w:val="clear" w:color="auto" w:fill="F2F6FC"/>
          </w:tcPr>
          <w:p w14:paraId="0F9E3B98" w14:textId="77777777" w:rsidR="00811103" w:rsidRDefault="00000000">
            <w:r>
              <w:rPr>
                <w:rFonts w:ascii="Arial" w:hAnsi="Arial"/>
                <w:sz w:val="18"/>
              </w:rPr>
              <w:t>Not Available</w:t>
            </w:r>
          </w:p>
        </w:tc>
        <w:tc>
          <w:tcPr>
            <w:tcW w:w="1806" w:type="dxa"/>
            <w:shd w:val="clear" w:color="auto" w:fill="F2F6FC"/>
          </w:tcPr>
          <w:p w14:paraId="4460E62C" w14:textId="77777777" w:rsidR="00811103" w:rsidRDefault="00000000">
            <w:r>
              <w:rPr>
                <w:rFonts w:ascii="Arial" w:hAnsi="Arial"/>
                <w:sz w:val="18"/>
              </w:rPr>
              <w:t>BCA: Quarterly board training; DBS: Annual ESG competency review</w:t>
            </w:r>
          </w:p>
        </w:tc>
        <w:tc>
          <w:tcPr>
            <w:tcW w:w="1806" w:type="dxa"/>
            <w:shd w:val="clear" w:color="auto" w:fill="F2F6FC"/>
          </w:tcPr>
          <w:p w14:paraId="546B096A" w14:textId="77777777" w:rsidR="00811103" w:rsidRDefault="00000000">
            <w:r>
              <w:rPr>
                <w:rFonts w:ascii="Arial" w:hAnsi="Arial"/>
                <w:sz w:val="18"/>
              </w:rPr>
              <w:t>Medium</w:t>
            </w:r>
          </w:p>
        </w:tc>
      </w:tr>
      <w:tr w:rsidR="00811103" w14:paraId="764626C2" w14:textId="77777777">
        <w:trPr>
          <w:jc w:val="center"/>
        </w:trPr>
        <w:tc>
          <w:tcPr>
            <w:tcW w:w="1806" w:type="dxa"/>
          </w:tcPr>
          <w:p w14:paraId="3D58228C" w14:textId="77777777" w:rsidR="00811103" w:rsidRDefault="00000000">
            <w:r>
              <w:rPr>
                <w:rFonts w:ascii="Arial" w:hAnsi="Arial"/>
                <w:sz w:val="18"/>
              </w:rPr>
              <w:t>Frequency of board climate review</w:t>
            </w:r>
          </w:p>
        </w:tc>
        <w:tc>
          <w:tcPr>
            <w:tcW w:w="1806" w:type="dxa"/>
          </w:tcPr>
          <w:p w14:paraId="79322CAC" w14:textId="77777777" w:rsidR="00811103" w:rsidRDefault="00000000">
            <w:r>
              <w:rPr>
                <w:rFonts w:ascii="Arial" w:hAnsi="Arial"/>
                <w:sz w:val="18"/>
              </w:rPr>
              <w:t>Para 6(a)(iii)</w:t>
            </w:r>
          </w:p>
        </w:tc>
        <w:tc>
          <w:tcPr>
            <w:tcW w:w="1806" w:type="dxa"/>
          </w:tcPr>
          <w:p w14:paraId="14E8BE32" w14:textId="77777777" w:rsidR="00811103" w:rsidRDefault="00000000">
            <w:r>
              <w:rPr>
                <w:rFonts w:ascii="Arial" w:hAnsi="Arial"/>
                <w:sz w:val="18"/>
              </w:rPr>
              <w:t>Not Available</w:t>
            </w:r>
          </w:p>
        </w:tc>
        <w:tc>
          <w:tcPr>
            <w:tcW w:w="1806" w:type="dxa"/>
          </w:tcPr>
          <w:p w14:paraId="3FD53372" w14:textId="77777777" w:rsidR="00811103" w:rsidRDefault="00000000">
            <w:r>
              <w:rPr>
                <w:rFonts w:ascii="Arial" w:hAnsi="Arial"/>
                <w:sz w:val="18"/>
              </w:rPr>
              <w:t>BRI: Quarterly; BCA: ≥4x/year; DBS: Quarterly; Mandiri: Semi-annual</w:t>
            </w:r>
          </w:p>
        </w:tc>
        <w:tc>
          <w:tcPr>
            <w:tcW w:w="1806" w:type="dxa"/>
          </w:tcPr>
          <w:p w14:paraId="7123677D" w14:textId="77777777" w:rsidR="00811103" w:rsidRDefault="00000000">
            <w:r>
              <w:rPr>
                <w:rFonts w:ascii="Arial" w:hAnsi="Arial"/>
                <w:sz w:val="18"/>
              </w:rPr>
              <w:t>High</w:t>
            </w:r>
          </w:p>
        </w:tc>
      </w:tr>
      <w:tr w:rsidR="00811103" w14:paraId="2C1A485E" w14:textId="77777777">
        <w:trPr>
          <w:jc w:val="center"/>
        </w:trPr>
        <w:tc>
          <w:tcPr>
            <w:tcW w:w="1806" w:type="dxa"/>
            <w:shd w:val="clear" w:color="auto" w:fill="F2F6FC"/>
          </w:tcPr>
          <w:p w14:paraId="7C49E685" w14:textId="77777777" w:rsidR="00811103" w:rsidRDefault="00000000">
            <w:r>
              <w:rPr>
                <w:rFonts w:ascii="Arial" w:hAnsi="Arial"/>
                <w:sz w:val="18"/>
              </w:rPr>
              <w:t>Management-level climate role</w:t>
            </w:r>
          </w:p>
        </w:tc>
        <w:tc>
          <w:tcPr>
            <w:tcW w:w="1806" w:type="dxa"/>
            <w:shd w:val="clear" w:color="auto" w:fill="F2F6FC"/>
          </w:tcPr>
          <w:p w14:paraId="3A1D7ADF" w14:textId="77777777" w:rsidR="00811103" w:rsidRDefault="00000000">
            <w:r>
              <w:rPr>
                <w:rFonts w:ascii="Arial" w:hAnsi="Arial"/>
                <w:sz w:val="18"/>
              </w:rPr>
              <w:t>Para 6(b)(i)</w:t>
            </w:r>
          </w:p>
        </w:tc>
        <w:tc>
          <w:tcPr>
            <w:tcW w:w="1806" w:type="dxa"/>
            <w:shd w:val="clear" w:color="auto" w:fill="F2F6FC"/>
          </w:tcPr>
          <w:p w14:paraId="17FF8EE9" w14:textId="77777777" w:rsidR="00811103" w:rsidRDefault="00000000">
            <w:r>
              <w:rPr>
                <w:rFonts w:ascii="Arial" w:hAnsi="Arial"/>
                <w:sz w:val="18"/>
              </w:rPr>
              <w:t>Not Available</w:t>
            </w:r>
          </w:p>
        </w:tc>
        <w:tc>
          <w:tcPr>
            <w:tcW w:w="1806" w:type="dxa"/>
            <w:shd w:val="clear" w:color="auto" w:fill="F2F6FC"/>
          </w:tcPr>
          <w:p w14:paraId="421A4893" w14:textId="77777777" w:rsidR="00811103" w:rsidRDefault="00000000">
            <w:r>
              <w:rPr>
                <w:rFonts w:ascii="Arial" w:hAnsi="Arial"/>
                <w:sz w:val="18"/>
              </w:rPr>
              <w:t>DBS: Chief Sustainability Officer → Board; BRI: Reports to President Director</w:t>
            </w:r>
          </w:p>
        </w:tc>
        <w:tc>
          <w:tcPr>
            <w:tcW w:w="1806" w:type="dxa"/>
            <w:shd w:val="clear" w:color="auto" w:fill="F2F6FC"/>
          </w:tcPr>
          <w:p w14:paraId="055F17A2" w14:textId="77777777" w:rsidR="00811103" w:rsidRDefault="00000000">
            <w:r>
              <w:rPr>
                <w:rFonts w:ascii="Arial" w:hAnsi="Arial"/>
                <w:sz w:val="18"/>
              </w:rPr>
              <w:t>High</w:t>
            </w:r>
          </w:p>
        </w:tc>
      </w:tr>
      <w:tr w:rsidR="00811103" w14:paraId="7757C2CD" w14:textId="77777777">
        <w:trPr>
          <w:jc w:val="center"/>
        </w:trPr>
        <w:tc>
          <w:tcPr>
            <w:tcW w:w="1806" w:type="dxa"/>
          </w:tcPr>
          <w:p w14:paraId="0756FF91" w14:textId="77777777" w:rsidR="00811103" w:rsidRDefault="00000000">
            <w:r>
              <w:rPr>
                <w:rFonts w:ascii="Arial" w:hAnsi="Arial"/>
                <w:sz w:val="18"/>
              </w:rPr>
              <w:t>Climate risk integration in ERM</w:t>
            </w:r>
          </w:p>
        </w:tc>
        <w:tc>
          <w:tcPr>
            <w:tcW w:w="1806" w:type="dxa"/>
          </w:tcPr>
          <w:p w14:paraId="2F9700BE" w14:textId="77777777" w:rsidR="00811103" w:rsidRDefault="00000000">
            <w:r>
              <w:rPr>
                <w:rFonts w:ascii="Arial" w:hAnsi="Arial"/>
                <w:sz w:val="18"/>
              </w:rPr>
              <w:t>Para 6(b)(ii)</w:t>
            </w:r>
          </w:p>
        </w:tc>
        <w:tc>
          <w:tcPr>
            <w:tcW w:w="1806" w:type="dxa"/>
          </w:tcPr>
          <w:p w14:paraId="4F045329" w14:textId="77777777" w:rsidR="00811103" w:rsidRDefault="00000000">
            <w:r>
              <w:rPr>
                <w:rFonts w:ascii="Arial" w:hAnsi="Arial"/>
                <w:sz w:val="18"/>
              </w:rPr>
              <w:t>Not Available</w:t>
            </w:r>
          </w:p>
        </w:tc>
        <w:tc>
          <w:tcPr>
            <w:tcW w:w="1806" w:type="dxa"/>
          </w:tcPr>
          <w:p w14:paraId="73F73970" w14:textId="77777777" w:rsidR="00811103" w:rsidRDefault="00000000">
            <w:r>
              <w:rPr>
                <w:rFonts w:ascii="Arial" w:hAnsi="Arial"/>
                <w:sz w:val="18"/>
              </w:rPr>
              <w:t>All peers: Integrated into operational risk frameworks with ISO 27001 certification</w:t>
            </w:r>
          </w:p>
        </w:tc>
        <w:tc>
          <w:tcPr>
            <w:tcW w:w="1806" w:type="dxa"/>
          </w:tcPr>
          <w:p w14:paraId="6E636CF4" w14:textId="77777777" w:rsidR="00811103" w:rsidRDefault="00000000">
            <w:r>
              <w:rPr>
                <w:rFonts w:ascii="Arial" w:hAnsi="Arial"/>
                <w:sz w:val="18"/>
              </w:rPr>
              <w:t>High</w:t>
            </w:r>
          </w:p>
        </w:tc>
      </w:tr>
      <w:tr w:rsidR="00811103" w14:paraId="1B845F1F" w14:textId="77777777">
        <w:trPr>
          <w:jc w:val="center"/>
        </w:trPr>
        <w:tc>
          <w:tcPr>
            <w:tcW w:w="1806" w:type="dxa"/>
            <w:shd w:val="clear" w:color="auto" w:fill="F2F6FC"/>
          </w:tcPr>
          <w:p w14:paraId="7CD91D8B" w14:textId="77777777" w:rsidR="00811103" w:rsidRDefault="00000000">
            <w:r>
              <w:rPr>
                <w:rFonts w:ascii="Arial" w:hAnsi="Arial"/>
                <w:sz w:val="18"/>
              </w:rPr>
              <w:t>Target-setting authority</w:t>
            </w:r>
          </w:p>
        </w:tc>
        <w:tc>
          <w:tcPr>
            <w:tcW w:w="1806" w:type="dxa"/>
            <w:shd w:val="clear" w:color="auto" w:fill="F2F6FC"/>
          </w:tcPr>
          <w:p w14:paraId="304F4D11" w14:textId="77777777" w:rsidR="00811103" w:rsidRDefault="00000000">
            <w:r>
              <w:rPr>
                <w:rFonts w:ascii="Arial" w:hAnsi="Arial"/>
                <w:sz w:val="18"/>
              </w:rPr>
              <w:t>Para 6(a)(v)</w:t>
            </w:r>
          </w:p>
        </w:tc>
        <w:tc>
          <w:tcPr>
            <w:tcW w:w="1806" w:type="dxa"/>
            <w:shd w:val="clear" w:color="auto" w:fill="F2F6FC"/>
          </w:tcPr>
          <w:p w14:paraId="6D4C4A7B" w14:textId="77777777" w:rsidR="00811103" w:rsidRDefault="00000000">
            <w:r>
              <w:rPr>
                <w:rFonts w:ascii="Arial" w:hAnsi="Arial"/>
                <w:sz w:val="18"/>
              </w:rPr>
              <w:t>Not Available</w:t>
            </w:r>
          </w:p>
        </w:tc>
        <w:tc>
          <w:tcPr>
            <w:tcW w:w="1806" w:type="dxa"/>
            <w:shd w:val="clear" w:color="auto" w:fill="F2F6FC"/>
          </w:tcPr>
          <w:p w14:paraId="22D25190" w14:textId="77777777" w:rsidR="00811103" w:rsidRDefault="00000000">
            <w:r>
              <w:rPr>
                <w:rFonts w:ascii="Arial" w:hAnsi="Arial"/>
                <w:sz w:val="18"/>
              </w:rPr>
              <w:t>BCA: Board-approved sectoral ESG policies; DBS: Board-approved ESG Framework</w:t>
            </w:r>
          </w:p>
        </w:tc>
        <w:tc>
          <w:tcPr>
            <w:tcW w:w="1806" w:type="dxa"/>
            <w:shd w:val="clear" w:color="auto" w:fill="F2F6FC"/>
          </w:tcPr>
          <w:p w14:paraId="798FC4F8" w14:textId="77777777" w:rsidR="00811103" w:rsidRDefault="00000000">
            <w:r>
              <w:rPr>
                <w:rFonts w:ascii="Arial" w:hAnsi="Arial"/>
                <w:sz w:val="18"/>
              </w:rPr>
              <w:t>High</w:t>
            </w:r>
          </w:p>
        </w:tc>
      </w:tr>
      <w:tr w:rsidR="00811103" w14:paraId="508AC52E" w14:textId="77777777">
        <w:trPr>
          <w:jc w:val="center"/>
        </w:trPr>
        <w:tc>
          <w:tcPr>
            <w:tcW w:w="1806" w:type="dxa"/>
          </w:tcPr>
          <w:p w14:paraId="4041FA02" w14:textId="77777777" w:rsidR="00811103" w:rsidRDefault="00000000">
            <w:r>
              <w:rPr>
                <w:rFonts w:ascii="Arial" w:hAnsi="Arial"/>
                <w:sz w:val="18"/>
              </w:rPr>
              <w:lastRenderedPageBreak/>
              <w:t>Executive remuneration linkage</w:t>
            </w:r>
          </w:p>
        </w:tc>
        <w:tc>
          <w:tcPr>
            <w:tcW w:w="1806" w:type="dxa"/>
          </w:tcPr>
          <w:p w14:paraId="3E20FF16" w14:textId="77777777" w:rsidR="00811103" w:rsidRDefault="00000000">
            <w:r>
              <w:rPr>
                <w:rFonts w:ascii="Arial" w:hAnsi="Arial"/>
                <w:sz w:val="18"/>
              </w:rPr>
              <w:t>Para 6(a)(v) + Para 29(g)</w:t>
            </w:r>
          </w:p>
        </w:tc>
        <w:tc>
          <w:tcPr>
            <w:tcW w:w="1806" w:type="dxa"/>
          </w:tcPr>
          <w:p w14:paraId="12E6B919" w14:textId="77777777" w:rsidR="00811103" w:rsidRDefault="00000000">
            <w:r>
              <w:rPr>
                <w:rFonts w:ascii="Arial" w:hAnsi="Arial"/>
                <w:sz w:val="18"/>
              </w:rPr>
              <w:t>Not Available</w:t>
            </w:r>
          </w:p>
        </w:tc>
        <w:tc>
          <w:tcPr>
            <w:tcW w:w="1806" w:type="dxa"/>
          </w:tcPr>
          <w:p w14:paraId="3857C036" w14:textId="77777777" w:rsidR="00811103" w:rsidRDefault="00000000">
            <w:r>
              <w:rPr>
                <w:rFonts w:ascii="Arial" w:hAnsi="Arial"/>
                <w:sz w:val="18"/>
              </w:rPr>
              <w:t>DBS: 20% of executive compensation; BRI: Integrated to BoD KPIs; BCA: Integrated to work unit KPIs</w:t>
            </w:r>
          </w:p>
        </w:tc>
        <w:tc>
          <w:tcPr>
            <w:tcW w:w="1806" w:type="dxa"/>
          </w:tcPr>
          <w:p w14:paraId="1975A013" w14:textId="77777777" w:rsidR="00811103" w:rsidRDefault="00000000">
            <w:r>
              <w:rPr>
                <w:rFonts w:ascii="Arial" w:hAnsi="Arial"/>
                <w:sz w:val="18"/>
              </w:rPr>
              <w:t>Medium</w:t>
            </w:r>
          </w:p>
        </w:tc>
      </w:tr>
    </w:tbl>
    <w:p w14:paraId="76BB4C1A" w14:textId="77777777" w:rsidR="00811103" w:rsidRDefault="00000000">
      <w:r>
        <w:rPr>
          <w:rFonts w:ascii="Arial" w:hAnsi="Arial"/>
          <w:i/>
          <w:sz w:val="16"/>
        </w:rPr>
        <w:t>Source: Gap analysis based on IFRS S2 Climate-related Disclosures (June 2023) requirements and peer institution sustainability reports (BRI 2023, BCA 2025, DBS 2023, OCBC Indonesia 2024, Bank Mandiri 2023).</w:t>
      </w:r>
    </w:p>
    <w:p w14:paraId="0A636BD9" w14:textId="77777777" w:rsidR="00811103" w:rsidRDefault="00811103"/>
    <w:p w14:paraId="232D149D" w14:textId="77777777" w:rsidR="00811103" w:rsidRDefault="00000000">
      <w:r>
        <w:rPr>
          <w:rFonts w:ascii="Arial" w:hAnsi="Arial"/>
          <w:b/>
          <w:sz w:val="20"/>
        </w:rPr>
        <w:t>Table 2: Recommended Governance Implementation Roadmap</w:t>
      </w:r>
    </w:p>
    <w:tbl>
      <w:tblPr>
        <w:tblW w:w="0" w:type="auto"/>
        <w:jc w:val="center"/>
        <w:tblLook w:val="04A0" w:firstRow="1" w:lastRow="0" w:firstColumn="1" w:lastColumn="0" w:noHBand="0" w:noVBand="1"/>
      </w:tblPr>
      <w:tblGrid>
        <w:gridCol w:w="1806"/>
        <w:gridCol w:w="1806"/>
        <w:gridCol w:w="1806"/>
        <w:gridCol w:w="1806"/>
        <w:gridCol w:w="1806"/>
      </w:tblGrid>
      <w:tr w:rsidR="00811103" w14:paraId="7F4A7965" w14:textId="77777777">
        <w:trPr>
          <w:jc w:val="center"/>
        </w:trPr>
        <w:tc>
          <w:tcPr>
            <w:tcW w:w="1806" w:type="dxa"/>
            <w:shd w:val="clear" w:color="auto" w:fill="1B3A6B"/>
          </w:tcPr>
          <w:p w14:paraId="137C8808" w14:textId="77777777" w:rsidR="00811103" w:rsidRDefault="00000000">
            <w:r>
              <w:rPr>
                <w:rFonts w:ascii="Arial" w:hAnsi="Arial"/>
                <w:b/>
                <w:color w:val="FFFFFF"/>
                <w:sz w:val="18"/>
              </w:rPr>
              <w:t>Action</w:t>
            </w:r>
          </w:p>
        </w:tc>
        <w:tc>
          <w:tcPr>
            <w:tcW w:w="1806" w:type="dxa"/>
            <w:shd w:val="clear" w:color="auto" w:fill="1B3A6B"/>
          </w:tcPr>
          <w:p w14:paraId="2B7B48D7" w14:textId="77777777" w:rsidR="00811103" w:rsidRDefault="00000000">
            <w:r>
              <w:rPr>
                <w:rFonts w:ascii="Arial" w:hAnsi="Arial"/>
                <w:b/>
                <w:color w:val="FFFFFF"/>
                <w:sz w:val="18"/>
              </w:rPr>
              <w:t>Target Quarter</w:t>
            </w:r>
          </w:p>
        </w:tc>
        <w:tc>
          <w:tcPr>
            <w:tcW w:w="1806" w:type="dxa"/>
            <w:shd w:val="clear" w:color="auto" w:fill="1B3A6B"/>
          </w:tcPr>
          <w:p w14:paraId="33A620D8" w14:textId="77777777" w:rsidR="00811103" w:rsidRDefault="00000000">
            <w:r>
              <w:rPr>
                <w:rFonts w:ascii="Arial" w:hAnsi="Arial"/>
                <w:b/>
                <w:color w:val="FFFFFF"/>
                <w:sz w:val="18"/>
              </w:rPr>
              <w:t>Responsible Party</w:t>
            </w:r>
          </w:p>
        </w:tc>
        <w:tc>
          <w:tcPr>
            <w:tcW w:w="1806" w:type="dxa"/>
            <w:shd w:val="clear" w:color="auto" w:fill="1B3A6B"/>
          </w:tcPr>
          <w:p w14:paraId="0746D5EA" w14:textId="77777777" w:rsidR="00811103" w:rsidRDefault="00000000">
            <w:r>
              <w:rPr>
                <w:rFonts w:ascii="Arial" w:hAnsi="Arial"/>
                <w:b/>
                <w:color w:val="FFFFFF"/>
                <w:sz w:val="18"/>
              </w:rPr>
              <w:t>Success Metric</w:t>
            </w:r>
          </w:p>
        </w:tc>
        <w:tc>
          <w:tcPr>
            <w:tcW w:w="1806" w:type="dxa"/>
            <w:shd w:val="clear" w:color="auto" w:fill="1B3A6B"/>
          </w:tcPr>
          <w:p w14:paraId="43892482" w14:textId="77777777" w:rsidR="00811103" w:rsidRDefault="00000000">
            <w:r>
              <w:rPr>
                <w:rFonts w:ascii="Arial" w:hAnsi="Arial"/>
                <w:b/>
                <w:color w:val="FFFFFF"/>
                <w:sz w:val="18"/>
              </w:rPr>
              <w:t>Peer Reference</w:t>
            </w:r>
          </w:p>
        </w:tc>
      </w:tr>
      <w:tr w:rsidR="00811103" w14:paraId="00F5BC95" w14:textId="77777777">
        <w:trPr>
          <w:jc w:val="center"/>
        </w:trPr>
        <w:tc>
          <w:tcPr>
            <w:tcW w:w="1806" w:type="dxa"/>
          </w:tcPr>
          <w:p w14:paraId="672026A7" w14:textId="77777777" w:rsidR="00811103" w:rsidRDefault="00000000">
            <w:r>
              <w:rPr>
                <w:rFonts w:ascii="Arial" w:hAnsi="Arial"/>
                <w:sz w:val="18"/>
              </w:rPr>
              <w:t>Establish Board Sustainability Committee with formal ToR</w:t>
            </w:r>
          </w:p>
        </w:tc>
        <w:tc>
          <w:tcPr>
            <w:tcW w:w="1806" w:type="dxa"/>
          </w:tcPr>
          <w:p w14:paraId="5777C463" w14:textId="77777777" w:rsidR="00811103" w:rsidRDefault="00000000">
            <w:r>
              <w:rPr>
                <w:rFonts w:ascii="Arial" w:hAnsi="Arial"/>
                <w:sz w:val="18"/>
              </w:rPr>
              <w:t>Q2 2025</w:t>
            </w:r>
          </w:p>
        </w:tc>
        <w:tc>
          <w:tcPr>
            <w:tcW w:w="1806" w:type="dxa"/>
          </w:tcPr>
          <w:p w14:paraId="28B5DD23" w14:textId="77777777" w:rsidR="00811103" w:rsidRDefault="00000000">
            <w:r>
              <w:rPr>
                <w:rFonts w:ascii="Arial" w:hAnsi="Arial"/>
                <w:sz w:val="18"/>
              </w:rPr>
              <w:t>Board of Directors</w:t>
            </w:r>
          </w:p>
        </w:tc>
        <w:tc>
          <w:tcPr>
            <w:tcW w:w="1806" w:type="dxa"/>
          </w:tcPr>
          <w:p w14:paraId="63F15304" w14:textId="77777777" w:rsidR="00811103" w:rsidRDefault="00000000">
            <w:r>
              <w:rPr>
                <w:rFonts w:ascii="Arial" w:hAnsi="Arial"/>
                <w:sz w:val="18"/>
              </w:rPr>
              <w:t>Committee operational with quarterly meeting schedule</w:t>
            </w:r>
          </w:p>
        </w:tc>
        <w:tc>
          <w:tcPr>
            <w:tcW w:w="1806" w:type="dxa"/>
          </w:tcPr>
          <w:p w14:paraId="3C0AAF59" w14:textId="77777777" w:rsidR="00811103" w:rsidRDefault="00000000">
            <w:r>
              <w:rPr>
                <w:rFonts w:ascii="Arial" w:hAnsi="Arial"/>
                <w:sz w:val="18"/>
              </w:rPr>
              <w:t>BRI NOKEP 872-DIR/PPM/06/2022</w:t>
            </w:r>
          </w:p>
        </w:tc>
      </w:tr>
      <w:tr w:rsidR="00811103" w14:paraId="18555962" w14:textId="77777777">
        <w:trPr>
          <w:jc w:val="center"/>
        </w:trPr>
        <w:tc>
          <w:tcPr>
            <w:tcW w:w="1806" w:type="dxa"/>
            <w:shd w:val="clear" w:color="auto" w:fill="F2F6FC"/>
          </w:tcPr>
          <w:p w14:paraId="6E504C09" w14:textId="77777777" w:rsidR="00811103" w:rsidRDefault="00000000">
            <w:r>
              <w:rPr>
                <w:rFonts w:ascii="Arial" w:hAnsi="Arial"/>
                <w:sz w:val="18"/>
              </w:rPr>
              <w:t>Appoint Chief Sustainability Officer</w:t>
            </w:r>
          </w:p>
        </w:tc>
        <w:tc>
          <w:tcPr>
            <w:tcW w:w="1806" w:type="dxa"/>
            <w:shd w:val="clear" w:color="auto" w:fill="F2F6FC"/>
          </w:tcPr>
          <w:p w14:paraId="1981E00C" w14:textId="77777777" w:rsidR="00811103" w:rsidRDefault="00000000">
            <w:r>
              <w:rPr>
                <w:rFonts w:ascii="Arial" w:hAnsi="Arial"/>
                <w:sz w:val="18"/>
              </w:rPr>
              <w:t>Q3 2025</w:t>
            </w:r>
          </w:p>
        </w:tc>
        <w:tc>
          <w:tcPr>
            <w:tcW w:w="1806" w:type="dxa"/>
            <w:shd w:val="clear" w:color="auto" w:fill="F2F6FC"/>
          </w:tcPr>
          <w:p w14:paraId="267CE53B" w14:textId="77777777" w:rsidR="00811103" w:rsidRDefault="00000000">
            <w:r>
              <w:rPr>
                <w:rFonts w:ascii="Arial" w:hAnsi="Arial"/>
                <w:sz w:val="18"/>
              </w:rPr>
              <w:t>President Director</w:t>
            </w:r>
          </w:p>
        </w:tc>
        <w:tc>
          <w:tcPr>
            <w:tcW w:w="1806" w:type="dxa"/>
            <w:shd w:val="clear" w:color="auto" w:fill="F2F6FC"/>
          </w:tcPr>
          <w:p w14:paraId="2072DD1B" w14:textId="77777777" w:rsidR="00811103" w:rsidRDefault="00000000">
            <w:r>
              <w:rPr>
                <w:rFonts w:ascii="Arial" w:hAnsi="Arial"/>
                <w:sz w:val="18"/>
              </w:rPr>
              <w:t>CSO in place with direct board reporting line</w:t>
            </w:r>
          </w:p>
        </w:tc>
        <w:tc>
          <w:tcPr>
            <w:tcW w:w="1806" w:type="dxa"/>
            <w:shd w:val="clear" w:color="auto" w:fill="F2F6FC"/>
          </w:tcPr>
          <w:p w14:paraId="71991206" w14:textId="77777777" w:rsidR="00811103" w:rsidRDefault="00000000">
            <w:r>
              <w:rPr>
                <w:rFonts w:ascii="Arial" w:hAnsi="Arial"/>
                <w:sz w:val="18"/>
              </w:rPr>
              <w:t>DBS governance structure</w:t>
            </w:r>
          </w:p>
        </w:tc>
      </w:tr>
      <w:tr w:rsidR="00811103" w14:paraId="58823265" w14:textId="77777777">
        <w:trPr>
          <w:jc w:val="center"/>
        </w:trPr>
        <w:tc>
          <w:tcPr>
            <w:tcW w:w="1806" w:type="dxa"/>
          </w:tcPr>
          <w:p w14:paraId="1D52B8FB" w14:textId="77777777" w:rsidR="00811103" w:rsidRDefault="00000000">
            <w:r>
              <w:rPr>
                <w:rFonts w:ascii="Arial" w:hAnsi="Arial"/>
                <w:sz w:val="18"/>
              </w:rPr>
              <w:t>Conduct board climate competency training</w:t>
            </w:r>
          </w:p>
        </w:tc>
        <w:tc>
          <w:tcPr>
            <w:tcW w:w="1806" w:type="dxa"/>
          </w:tcPr>
          <w:p w14:paraId="098F2764" w14:textId="77777777" w:rsidR="00811103" w:rsidRDefault="00000000">
            <w:r>
              <w:rPr>
                <w:rFonts w:ascii="Arial" w:hAnsi="Arial"/>
                <w:sz w:val="18"/>
              </w:rPr>
              <w:t>Q4 2025</w:t>
            </w:r>
          </w:p>
        </w:tc>
        <w:tc>
          <w:tcPr>
            <w:tcW w:w="1806" w:type="dxa"/>
          </w:tcPr>
          <w:p w14:paraId="53E6CF44" w14:textId="77777777" w:rsidR="00811103" w:rsidRDefault="00000000">
            <w:r>
              <w:rPr>
                <w:rFonts w:ascii="Arial" w:hAnsi="Arial"/>
                <w:sz w:val="18"/>
              </w:rPr>
              <w:t>Corporate Secretary + External Consultant</w:t>
            </w:r>
          </w:p>
        </w:tc>
        <w:tc>
          <w:tcPr>
            <w:tcW w:w="1806" w:type="dxa"/>
          </w:tcPr>
          <w:p w14:paraId="58AA366C" w14:textId="77777777" w:rsidR="00811103" w:rsidRDefault="00000000">
            <w:r>
              <w:rPr>
                <w:rFonts w:ascii="Arial" w:hAnsi="Arial"/>
                <w:sz w:val="18"/>
              </w:rPr>
              <w:t>100% board member participation in TCFD/IFRS S2 training</w:t>
            </w:r>
          </w:p>
        </w:tc>
        <w:tc>
          <w:tcPr>
            <w:tcW w:w="1806" w:type="dxa"/>
          </w:tcPr>
          <w:p w14:paraId="14F6BB75" w14:textId="77777777" w:rsidR="00811103" w:rsidRDefault="00000000">
            <w:r>
              <w:rPr>
                <w:rFonts w:ascii="Arial" w:hAnsi="Arial"/>
                <w:sz w:val="18"/>
              </w:rPr>
              <w:t>BCA quarterly training model</w:t>
            </w:r>
          </w:p>
        </w:tc>
      </w:tr>
      <w:tr w:rsidR="00811103" w14:paraId="04E27A0D" w14:textId="77777777">
        <w:trPr>
          <w:jc w:val="center"/>
        </w:trPr>
        <w:tc>
          <w:tcPr>
            <w:tcW w:w="1806" w:type="dxa"/>
            <w:shd w:val="clear" w:color="auto" w:fill="F2F6FC"/>
          </w:tcPr>
          <w:p w14:paraId="15D4440E" w14:textId="77777777" w:rsidR="00811103" w:rsidRDefault="00000000">
            <w:r>
              <w:rPr>
                <w:rFonts w:ascii="Arial" w:hAnsi="Arial"/>
                <w:sz w:val="18"/>
              </w:rPr>
              <w:t>Approve climate targets and monitoring framework</w:t>
            </w:r>
          </w:p>
        </w:tc>
        <w:tc>
          <w:tcPr>
            <w:tcW w:w="1806" w:type="dxa"/>
            <w:shd w:val="clear" w:color="auto" w:fill="F2F6FC"/>
          </w:tcPr>
          <w:p w14:paraId="0B438E21" w14:textId="77777777" w:rsidR="00811103" w:rsidRDefault="00000000">
            <w:r>
              <w:rPr>
                <w:rFonts w:ascii="Arial" w:hAnsi="Arial"/>
                <w:sz w:val="18"/>
              </w:rPr>
              <w:t>Q1 2026</w:t>
            </w:r>
          </w:p>
        </w:tc>
        <w:tc>
          <w:tcPr>
            <w:tcW w:w="1806" w:type="dxa"/>
            <w:shd w:val="clear" w:color="auto" w:fill="F2F6FC"/>
          </w:tcPr>
          <w:p w14:paraId="39B02E94" w14:textId="77777777" w:rsidR="00811103" w:rsidRDefault="00000000">
            <w:r>
              <w:rPr>
                <w:rFonts w:ascii="Arial" w:hAnsi="Arial"/>
                <w:sz w:val="18"/>
              </w:rPr>
              <w:t>Board Sustainability Committee</w:t>
            </w:r>
          </w:p>
        </w:tc>
        <w:tc>
          <w:tcPr>
            <w:tcW w:w="1806" w:type="dxa"/>
            <w:shd w:val="clear" w:color="auto" w:fill="F2F6FC"/>
          </w:tcPr>
          <w:p w14:paraId="36F7AC26" w14:textId="77777777" w:rsidR="00811103" w:rsidRDefault="00000000">
            <w:r>
              <w:rPr>
                <w:rFonts w:ascii="Arial" w:hAnsi="Arial"/>
                <w:sz w:val="18"/>
              </w:rPr>
              <w:t>Board resolution on emissions reduction targets with baseline</w:t>
            </w:r>
          </w:p>
        </w:tc>
        <w:tc>
          <w:tcPr>
            <w:tcW w:w="1806" w:type="dxa"/>
            <w:shd w:val="clear" w:color="auto" w:fill="F2F6FC"/>
          </w:tcPr>
          <w:p w14:paraId="5693F31D" w14:textId="77777777" w:rsidR="00811103" w:rsidRDefault="00000000">
            <w:r>
              <w:rPr>
                <w:rFonts w:ascii="Arial" w:hAnsi="Arial"/>
                <w:sz w:val="18"/>
              </w:rPr>
              <w:t>BCA sectoral ESG policies</w:t>
            </w:r>
          </w:p>
        </w:tc>
      </w:tr>
      <w:tr w:rsidR="00811103" w14:paraId="11C2446B" w14:textId="77777777">
        <w:trPr>
          <w:jc w:val="center"/>
        </w:trPr>
        <w:tc>
          <w:tcPr>
            <w:tcW w:w="1806" w:type="dxa"/>
          </w:tcPr>
          <w:p w14:paraId="7F710861" w14:textId="77777777" w:rsidR="00811103" w:rsidRDefault="00000000">
            <w:r>
              <w:rPr>
                <w:rFonts w:ascii="Arial" w:hAnsi="Arial"/>
                <w:sz w:val="18"/>
              </w:rPr>
              <w:t>Integrate climate KPIs into executive compensation (10-15% weight)</w:t>
            </w:r>
          </w:p>
        </w:tc>
        <w:tc>
          <w:tcPr>
            <w:tcW w:w="1806" w:type="dxa"/>
          </w:tcPr>
          <w:p w14:paraId="2E5B7244" w14:textId="77777777" w:rsidR="00811103" w:rsidRDefault="00000000">
            <w:r>
              <w:rPr>
                <w:rFonts w:ascii="Arial" w:hAnsi="Arial"/>
                <w:sz w:val="18"/>
              </w:rPr>
              <w:t>2026 performance year</w:t>
            </w:r>
          </w:p>
        </w:tc>
        <w:tc>
          <w:tcPr>
            <w:tcW w:w="1806" w:type="dxa"/>
          </w:tcPr>
          <w:p w14:paraId="053B6C74" w14:textId="77777777" w:rsidR="00811103" w:rsidRDefault="00000000">
            <w:r>
              <w:rPr>
                <w:rFonts w:ascii="Arial" w:hAnsi="Arial"/>
                <w:sz w:val="18"/>
              </w:rPr>
              <w:t>Remuneration Committee</w:t>
            </w:r>
          </w:p>
        </w:tc>
        <w:tc>
          <w:tcPr>
            <w:tcW w:w="1806" w:type="dxa"/>
          </w:tcPr>
          <w:p w14:paraId="53BC5822" w14:textId="77777777" w:rsidR="00811103" w:rsidRDefault="00000000">
            <w:r>
              <w:rPr>
                <w:rFonts w:ascii="Arial" w:hAnsi="Arial"/>
                <w:sz w:val="18"/>
              </w:rPr>
              <w:t>Climate metrics in BoD scorecards for 2026 evaluation</w:t>
            </w:r>
          </w:p>
        </w:tc>
        <w:tc>
          <w:tcPr>
            <w:tcW w:w="1806" w:type="dxa"/>
          </w:tcPr>
          <w:p w14:paraId="7B8E00D1" w14:textId="77777777" w:rsidR="00811103" w:rsidRDefault="00000000">
            <w:r>
              <w:rPr>
                <w:rFonts w:ascii="Arial" w:hAnsi="Arial"/>
                <w:sz w:val="18"/>
              </w:rPr>
              <w:t>DBS 20% ESG weight model</w:t>
            </w:r>
          </w:p>
        </w:tc>
      </w:tr>
    </w:tbl>
    <w:p w14:paraId="64C78553" w14:textId="77777777" w:rsidR="00811103" w:rsidRDefault="00000000">
      <w:r>
        <w:rPr>
          <w:rFonts w:ascii="Arial" w:hAnsi="Arial"/>
          <w:i/>
          <w:sz w:val="16"/>
        </w:rPr>
        <w:t>Source: Implementation timeline aligned with IFRS S2 effective date (annual periods beginning 1 January 2024) and peer institution best practices.</w:t>
      </w:r>
    </w:p>
    <w:p w14:paraId="5552B3CB" w14:textId="77777777" w:rsidR="00811103" w:rsidRDefault="00811103"/>
    <w:p w14:paraId="60C84923" w14:textId="77777777" w:rsidR="00811103" w:rsidRDefault="00000000">
      <w:r>
        <w:rPr>
          <w:i/>
          <w:color w:val="3D6094"/>
          <w:sz w:val="18"/>
        </w:rPr>
        <w:t>Framework references: IFRS S2 Para 5 (Objective of climate-related financial disclosures); IFRS S2 Para 6(a) (Governance body oversight requirements); IFRS S2 Para 6(a)(i) (Terms of reference and role descriptions); IFRS S2 Para 6(a)(ii) (Skills and competencies assessment); IFRS S2 Para 6(a)(iii) (Frequency of climate risk information); IFRS S2 Para 6(a)(iv) (Integration into strategy and risk management); IFRS S2 Para 6(a)(v) (Target oversight and remuneration linkage); IFRS S2 Para 6(b) (Management role in governance processes); IFRS S2 Para 6(b)(i) (Delegation to management position/committee); IFRS S2 Para 6(b)(ii) (Controls and procedures for climate oversight); IFRS S2 Para 7 (Avoidance of duplication with IFRS S1); IFRS S2 Para 29(g) (Performance metrics in remuneration policies); GRI 2-12 (Role of highest governance body in overseeing impacts); GRI 2-13 (Delegation of responsibility for managing impacts); OJK POJK 51/2017 (Sustainable Finance — Board Oversight Requirements)</w:t>
      </w:r>
    </w:p>
    <w:p w14:paraId="7EAAAE1C" w14:textId="77777777" w:rsidR="00811103" w:rsidRDefault="00811103">
      <w:pPr>
        <w:pBdr>
          <w:bottom w:val="single" w:sz="6" w:space="1" w:color="999999"/>
        </w:pBdr>
        <w:spacing w:after="80"/>
      </w:pPr>
    </w:p>
    <w:p w14:paraId="74E665AD" w14:textId="77777777" w:rsidR="00811103" w:rsidRDefault="00000000">
      <w:pPr>
        <w:spacing w:after="160"/>
        <w:jc w:val="both"/>
      </w:pPr>
      <w:r>
        <w:rPr>
          <w:rFonts w:ascii="Arial" w:hAnsi="Arial"/>
          <w:i/>
          <w:color w:val="646464"/>
          <w:sz w:val="18"/>
        </w:rPr>
        <w:lastRenderedPageBreak/>
        <w:t>IFRS S2 Climate-related Disclosures became effective for annual reporting periods beginning on or after 1 January 2024, with comparative information required for the preceding period. Early adoption is permitted.</w:t>
      </w:r>
    </w:p>
    <w:p w14:paraId="45D78147" w14:textId="77777777" w:rsidR="00811103" w:rsidRDefault="00000000">
      <w:pPr>
        <w:spacing w:after="160"/>
        <w:jc w:val="both"/>
      </w:pPr>
      <w:r>
        <w:rPr>
          <w:rFonts w:ascii="Arial" w:hAnsi="Arial"/>
          <w:i/>
          <w:color w:val="646464"/>
          <w:sz w:val="18"/>
        </w:rPr>
        <w:t>Per IFRS S2 Para 7, entities shall avoid unnecessary duplication with IFRS S1 General Requirements. If sustainability governance is managed on an integrated basis, integrated disclosures are appropriate rather than separate climate-specific governance sections.</w:t>
      </w:r>
    </w:p>
    <w:p w14:paraId="77875C21" w14:textId="77777777" w:rsidR="00811103" w:rsidRDefault="00000000">
      <w:pPr>
        <w:spacing w:after="160"/>
        <w:jc w:val="both"/>
      </w:pPr>
      <w:r>
        <w:rPr>
          <w:rFonts w:ascii="Arial" w:hAnsi="Arial"/>
          <w:i/>
          <w:color w:val="646464"/>
          <w:sz w:val="18"/>
        </w:rPr>
        <w:t>OJK Regulation POJK No. 51/POJK.03/2017 on Sustainable Finance for Financial Services Institutions requires board-level oversight of sustainability strategy and risk management for Indonesian banks.</w:t>
      </w:r>
    </w:p>
    <w:p w14:paraId="1EE647F0" w14:textId="77777777" w:rsidR="00811103" w:rsidRDefault="00000000">
      <w:pPr>
        <w:spacing w:after="160"/>
        <w:jc w:val="both"/>
      </w:pPr>
      <w:r>
        <w:rPr>
          <w:rFonts w:ascii="Arial" w:hAnsi="Arial"/>
          <w:i/>
          <w:color w:val="646464"/>
          <w:sz w:val="18"/>
        </w:rPr>
        <w:t>The institution should prioritize governance infrastructure development as a foundation for credible climate-related financial disclosures. Without formal governance structures, the reliability and assurance-readiness of climate data and targets will remain limited.</w:t>
      </w:r>
    </w:p>
    <w:p w14:paraId="03629609" w14:textId="77777777" w:rsidR="00811103" w:rsidRDefault="00000000">
      <w:r>
        <w:br w:type="page"/>
      </w:r>
    </w:p>
    <w:p w14:paraId="7822948F" w14:textId="77777777" w:rsidR="00811103" w:rsidRDefault="00000000">
      <w:pPr>
        <w:pStyle w:val="Heading1"/>
        <w:spacing w:after="240"/>
      </w:pPr>
      <w:bookmarkStart w:id="6" w:name="_Toc231991232"/>
      <w:r>
        <w:rPr>
          <w:rFonts w:ascii="Arial" w:hAnsi="Arial"/>
          <w:color w:val="1B3A6B"/>
          <w:sz w:val="36"/>
        </w:rPr>
        <w:lastRenderedPageBreak/>
        <w:t>IFRS S2 Metrics &amp; Targets: Financed Emissions (Scope 3 Category 15)</w:t>
      </w:r>
      <w:bookmarkEnd w:id="6"/>
    </w:p>
    <w:p w14:paraId="61AA221D" w14:textId="77777777" w:rsidR="00811103" w:rsidRDefault="00000000">
      <w:pPr>
        <w:spacing w:after="160"/>
        <w:jc w:val="both"/>
      </w:pPr>
      <w:r>
        <w:rPr>
          <w:rFonts w:ascii="Arial" w:hAnsi="Arial"/>
        </w:rPr>
        <w:t>The institution's financed emissions for the reporting period ending 31 December 2024 totaled 21,976,797.3 tCO2e on a gross basis, calculated in accordance with the Partnership for Carbon Accounting Financials (PCAF) Global GHG Accounting and Reporting Standard (2022). This represents the institution's proportional share of greenhouse gas emissions from its lending and investment portfolio, classified as Scope 3 Category 15 under the GHG Protocol Corporate Value Chain (Scope 3) Accounting and Reporting Standard. The confidence-weighted financed emissions, adjusted for data quality using PCAF confidence factors, totaled 15,280,174.14 tCO2e. The institution's lending portfolio under measurement totaled IDR 1,541.18 trillion across 1,955 borrowers spanning ten economic sectors.</w:t>
      </w:r>
    </w:p>
    <w:p w14:paraId="56EBAF97" w14:textId="77777777" w:rsidR="00811103" w:rsidRDefault="00000000">
      <w:pPr>
        <w:spacing w:after="160"/>
        <w:jc w:val="both"/>
      </w:pPr>
      <w:r>
        <w:rPr>
          <w:rFonts w:ascii="Arial" w:hAnsi="Arial"/>
          <w:i/>
        </w:rPr>
        <w:t>The PCAF methodology applies an attribution factor to allocate emissions from borrowers to the institution's balance sheet. For corporate loans, the attribution factor equals the institution's outstanding loan amount divided by the borrower's total equity plus debt (enterprise value including cash). Financed emissions are calculated as: **Financed Emissions = Outstanding Amount ÷ (Borrower Equity + Debt) × Borrower Total Emissions**. The institution applied this methodology to commercial and industrial credit exposures across energy, manufacturing, transportation, agriculture, real estate, retail trade, and financial services sectors. Asset classes covered include corporate loans (project finance and general corporate purposes), commercial real estate, and business loans. Residential mortgages and sovereign debt are excluded from the current reporting boundary pending data infrastructure development.</w:t>
      </w:r>
    </w:p>
    <w:p w14:paraId="2ABC13C4" w14:textId="77777777" w:rsidR="00811103" w:rsidRDefault="00000000">
      <w:pPr>
        <w:spacing w:after="160"/>
        <w:jc w:val="both"/>
      </w:pPr>
      <w:r>
        <w:rPr>
          <w:rFonts w:ascii="Arial" w:hAnsi="Arial"/>
        </w:rPr>
        <w:t>Three sectors accounted for 85.93% of total financed emissions despite representing only 20.70% of portfolio value. Energy - Oil &amp; Gas contributed 9,573,144.27 tCO2e gross (43.56% of total financed emissions) from IDR 102.67 trillion in outstanding loans to 135 borrowers, with emission intensity of 93.242 tCO2e per IDR billion. Manufacturing - Cement generated 5,813,830.91 tCO2e gross (26.45%) from IDR 107.68 trillion across 161 borrowers, with intensity of 53.9927 tCO2e per IDR billion. Manufacturing - Steel produced 3,499,463.0 tCO2e gross (15.92%) from IDR 108.62 trillion to 122 borrowers, with intensity of 32.2175 tCO2e per IDR billion. Transportation - Road and Manufacturing - Food &amp; Beverage contributed 5.58% and 4.26% respectively. Lower-intensity sectors including Real Estate - Commercial (1.05%), Retail Trade (1.03%), Real Estate - Residential (0.49%), and Financial Services (0.34%) collectively represented 50.53% of portfolio value but only 2.91% of financed emissions.</w:t>
      </w:r>
    </w:p>
    <w:p w14:paraId="0C4F0CDD" w14:textId="77777777" w:rsidR="00811103" w:rsidRDefault="00000000">
      <w:pPr>
        <w:spacing w:after="160"/>
        <w:jc w:val="both"/>
      </w:pPr>
      <w:r>
        <w:rPr>
          <w:rFonts w:ascii="Arial" w:hAnsi="Arial"/>
        </w:rPr>
        <w:t xml:space="preserve">**Gross versus Confidence-Weighted Financed Emissions**: The institution reports financed emissions using two distinct metrics per PCAF guidance. Gross financed emissions of 21,976,797.3 tCO2e represent the unadjusted sum of attributed emissions across all borrowers, calculated using the best available emissions data for each counterparty regardless of data quality tier. Confidence-weighted financed emissions of 15,280,174.14 tCO2e apply PCAF confidence factors (ranging from 1.00 for verified data to 0.45 for sector-average proxies) to adjust for data quality uncertainty. The 30.48% reduction from gross to weighted reflects the institution's reliance on lower-quality data sources, primarily EEIO-based estimates and sector proxies. Confidence-weighted figures provide a more conservative estimate suitable for target-setting and performance tracking, while gross </w:t>
      </w:r>
      <w:r>
        <w:rPr>
          <w:rFonts w:ascii="Arial" w:hAnsi="Arial"/>
        </w:rPr>
        <w:lastRenderedPageBreak/>
        <w:t>figures enable like-for-like peer comparison and portfolio risk assessment. Both metrics are disclosed to provide users with full transparency on data quality impact.</w:t>
      </w:r>
    </w:p>
    <w:p w14:paraId="4FAD38C6" w14:textId="77777777" w:rsidR="00811103" w:rsidRDefault="00000000">
      <w:pPr>
        <w:spacing w:after="160"/>
        <w:jc w:val="both"/>
      </w:pPr>
      <w:r>
        <w:rPr>
          <w:rFonts w:ascii="Arial" w:hAnsi="Arial"/>
        </w:rPr>
        <w:t>The portfolio-weighted average PCAF data quality score was 3.36 across all financed emissions calculations. This indicates the institution primarily relied on EEIO-based estimates using borrower revenue or asset data (PCAF Score 3-4), with limited access to borrower-reported emissions data. No exposures achieved Score 1 (verified emissions data from CDP or equivalent third-party assurance). Score 2 data (reported but unverified) was unavailable for any borrower in the portfolio. The institution applied Score 3 methodology (EEIO multiplied by borrower revenue) for 42% of portfolio value, Score 4 methodology (EEIO multiplied by borrower assets) for 35%, and Score 5 methodology (sector-average emission factors) for 23%. Energy - Oil &amp; Gas exhibited the highest data quality challenge with average score 3.32, while Retail Trade achieved the best score of 3.21 due to availability of revenue-based EEIO factors. The institution's portfolio coverage for PCAF calculation was 100% of in-scope asset classes, meeting the PCAF signatory requirement for comprehensive reporting.</w:t>
      </w:r>
    </w:p>
    <w:p w14:paraId="4367F080" w14:textId="77777777" w:rsidR="00811103" w:rsidRDefault="00000000">
      <w:pPr>
        <w:spacing w:after="160"/>
        <w:jc w:val="both"/>
      </w:pPr>
      <w:r>
        <w:rPr>
          <w:rFonts w:ascii="Arial" w:hAnsi="Arial"/>
        </w:rPr>
        <w:t>This data point is not yet captured in the institution's reporting system. IFRS S2 paragraph 29(a)(vi)(2) requires disclosure of year-over-year changes in financed emissions to enable users to assess performance trends. The institution has not established a consistent time-series measurement due to portfolio composition changes and methodology refinements during the baseline year. Peer institutions in the Indonesian banking sector report year-over-year financed emissions trends: BRI disclosed a portfolio temperature alignment target of 1.75°C by 2040 with interim milestones, implying annual emissions trajectory monitoring. DBS reported 12% reduction in operational emissions year-over-year with renewable energy procurement contributing to Scope 2 reductions. To implement this disclosure requirement, the institution should: (a) establish 2024 as the baseline year for financed emissions with fixed methodology documentation; (b) recalculate 2023 financed emissions using the same PCAF methodology and portfolio boundary applied in 2024 to enable like-for-like comparison; (c) disclose the year-over-year percentage change with explanatory commentary on portfolio growth, sectoral shifts, and borrower emission performance; and (d) align with BRI's practice of setting science-based portfolio decarbonization targets with annual progress tracking against baseline.</w:t>
      </w:r>
    </w:p>
    <w:p w14:paraId="05823FE9" w14:textId="77777777" w:rsidR="00811103" w:rsidRDefault="00000000">
      <w:pPr>
        <w:spacing w:after="160"/>
        <w:jc w:val="both"/>
      </w:pPr>
      <w:r>
        <w:rPr>
          <w:rFonts w:ascii="Arial" w:hAnsi="Arial"/>
          <w:i/>
          <w:color w:val="555555"/>
        </w:rPr>
        <w:t xml:space="preserve">**Data Quality Improvement Roadmap**: The institution's average PCAF score of 3.36 indicates significant reliance on estimated data, creating uncertainty in financed emissions calculations and limiting the credibility of portfolio decarbonization targets. To enhance data quality and align with leading peer practices, the institution will implement a three-phase improvement program. **Phase 1 (2025)**: Engage the top 20 emitting borrowers (representing 65% of financed emissions) to request annual GHG inventories through enhanced Environmental and Social Risk Management (ESRM) due diligence processes, targeting migration from Score 4-5 to Score 2-3 for these counterparties. **Phase 2 (2026-2027)**: Expand borrower engagement to the top 100 emitters, introduce sustainability-linked loan products with emissions reporting covenants (referencing BCA's sectoral credit policies for coal, palm oil, cement, and oil &amp; gas), and pilot third-party emissions verification for project finance transactions to achieve Score 1 data. **Phase 3 (2028-2030)**: Achieve portfolio-weighted average PCAF score of ≤2.5 through systematic borrower capacity building, integration of emissions data requests into credit approval workflows, and partnership with industry associations to improve sectoral emission factor granularity. This </w:t>
      </w:r>
      <w:r>
        <w:rPr>
          <w:rFonts w:ascii="Arial" w:hAnsi="Arial"/>
          <w:i/>
          <w:color w:val="555555"/>
        </w:rPr>
        <w:lastRenderedPageBreak/>
        <w:t>roadmap aligns with BRI's Science-Based Targets initiative (SBTi) commitment as the first Indonesian financial institution to submit portfolio decarbonization targets, demonstrating leadership in financed emissions measurement and management.</w:t>
      </w:r>
    </w:p>
    <w:p w14:paraId="70DA8636" w14:textId="77777777" w:rsidR="00811103" w:rsidRDefault="00000000">
      <w:pPr>
        <w:spacing w:after="160"/>
        <w:jc w:val="both"/>
      </w:pPr>
      <w:r>
        <w:rPr>
          <w:rFonts w:ascii="Arial" w:hAnsi="Arial"/>
        </w:rPr>
        <w:t>**SASB FN-CB-410a.3 Disclosure**: The institution's financed emissions of 15,280,174.14 tCO2e (confidence-weighted) represent the Scope 3 Category 15 metric required under SASB Standard FN-CB-410a.3 for commercial banks. This metric quantifies the institution's indirect climate impact through its lending portfolio, enabling investors to assess transition risk exposure and alignment with net-zero pathways. The emission intensity of 239.400139 tCO2e per IDR billion of outstanding loans provides a normalized metric for peer comparison and portfolio decarbonization target-setting. The institution's concentration in carbon-intensive sectors (Energy - Oil &amp; Gas, Manufacturing - Cement, Manufacturing - Steel) representing 85.93% of financed emissions indicates elevated transition risk exposure under climate policy scenarios aligned with the Paris Agreement 1.5°C pathway. This concentration profile informs the institution's climate-related strategy disclosures under IFRS S2 paragraphs 14-21, including scenario analysis of policy risk (carbon pricing, sectoral phase-out regulations) and technology risk (stranded asset exposure in fossil fuel and heavy industry lending).</w:t>
      </w:r>
    </w:p>
    <w:p w14:paraId="0A5BCB25" w14:textId="77777777" w:rsidR="00811103" w:rsidRDefault="00000000">
      <w:r>
        <w:rPr>
          <w:rFonts w:ascii="Arial" w:hAnsi="Arial"/>
          <w:b/>
          <w:sz w:val="20"/>
        </w:rPr>
        <w:t>Table 1: Financed Emissions by Economic Sector (PCAF Methodology)</w:t>
      </w:r>
    </w:p>
    <w:tbl>
      <w:tblPr>
        <w:tblW w:w="0" w:type="auto"/>
        <w:jc w:val="center"/>
        <w:tblLook w:val="04A0" w:firstRow="1" w:lastRow="0" w:firstColumn="1" w:lastColumn="0" w:noHBand="0" w:noVBand="1"/>
      </w:tblPr>
      <w:tblGrid>
        <w:gridCol w:w="1142"/>
        <w:gridCol w:w="1014"/>
        <w:gridCol w:w="819"/>
        <w:gridCol w:w="1218"/>
        <w:gridCol w:w="1294"/>
        <w:gridCol w:w="1143"/>
        <w:gridCol w:w="691"/>
        <w:gridCol w:w="962"/>
        <w:gridCol w:w="962"/>
      </w:tblGrid>
      <w:tr w:rsidR="00811103" w14:paraId="55849450" w14:textId="77777777">
        <w:trPr>
          <w:jc w:val="center"/>
        </w:trPr>
        <w:tc>
          <w:tcPr>
            <w:tcW w:w="1003" w:type="dxa"/>
            <w:shd w:val="clear" w:color="auto" w:fill="1B3A6B"/>
          </w:tcPr>
          <w:p w14:paraId="7E8CF1ED" w14:textId="77777777" w:rsidR="00811103" w:rsidRDefault="00000000">
            <w:r>
              <w:rPr>
                <w:rFonts w:ascii="Arial" w:hAnsi="Arial"/>
                <w:b/>
                <w:color w:val="FFFFFF"/>
                <w:sz w:val="18"/>
              </w:rPr>
              <w:t>Sector (NACE Classification)</w:t>
            </w:r>
          </w:p>
        </w:tc>
        <w:tc>
          <w:tcPr>
            <w:tcW w:w="1003" w:type="dxa"/>
            <w:shd w:val="clear" w:color="auto" w:fill="1B3A6B"/>
          </w:tcPr>
          <w:p w14:paraId="002A06BD" w14:textId="77777777" w:rsidR="00811103" w:rsidRDefault="00000000">
            <w:r>
              <w:rPr>
                <w:rFonts w:ascii="Arial" w:hAnsi="Arial"/>
                <w:b/>
                <w:color w:val="FFFFFF"/>
                <w:sz w:val="18"/>
              </w:rPr>
              <w:t>Outstanding Loans (IDR Trillion)</w:t>
            </w:r>
          </w:p>
        </w:tc>
        <w:tc>
          <w:tcPr>
            <w:tcW w:w="1003" w:type="dxa"/>
            <w:shd w:val="clear" w:color="auto" w:fill="1B3A6B"/>
          </w:tcPr>
          <w:p w14:paraId="67513B07" w14:textId="77777777" w:rsidR="00811103" w:rsidRDefault="00000000">
            <w:r>
              <w:rPr>
                <w:rFonts w:ascii="Arial" w:hAnsi="Arial"/>
                <w:b/>
                <w:color w:val="FFFFFF"/>
                <w:sz w:val="18"/>
              </w:rPr>
              <w:t>Borrower Count</w:t>
            </w:r>
          </w:p>
        </w:tc>
        <w:tc>
          <w:tcPr>
            <w:tcW w:w="1003" w:type="dxa"/>
            <w:shd w:val="clear" w:color="auto" w:fill="1B3A6B"/>
          </w:tcPr>
          <w:p w14:paraId="3252687E" w14:textId="77777777" w:rsidR="00811103" w:rsidRDefault="00000000">
            <w:r>
              <w:rPr>
                <w:rFonts w:ascii="Arial" w:hAnsi="Arial"/>
                <w:b/>
                <w:color w:val="FFFFFF"/>
                <w:sz w:val="18"/>
              </w:rPr>
              <w:t>Gross Financed Emissions (tCO2e)</w:t>
            </w:r>
          </w:p>
        </w:tc>
        <w:tc>
          <w:tcPr>
            <w:tcW w:w="1003" w:type="dxa"/>
            <w:shd w:val="clear" w:color="auto" w:fill="1B3A6B"/>
          </w:tcPr>
          <w:p w14:paraId="1E7F6FAF" w14:textId="77777777" w:rsidR="00811103" w:rsidRDefault="00000000">
            <w:r>
              <w:rPr>
                <w:rFonts w:ascii="Arial" w:hAnsi="Arial"/>
                <w:b/>
                <w:color w:val="FFFFFF"/>
                <w:sz w:val="18"/>
              </w:rPr>
              <w:t>Confidence-Weighted Emissions (tCO2e)</w:t>
            </w:r>
          </w:p>
        </w:tc>
        <w:tc>
          <w:tcPr>
            <w:tcW w:w="1003" w:type="dxa"/>
            <w:shd w:val="clear" w:color="auto" w:fill="1B3A6B"/>
          </w:tcPr>
          <w:p w14:paraId="19EC521C" w14:textId="77777777" w:rsidR="00811103" w:rsidRDefault="00000000">
            <w:r>
              <w:rPr>
                <w:rFonts w:ascii="Arial" w:hAnsi="Arial"/>
                <w:b/>
                <w:color w:val="FFFFFF"/>
                <w:sz w:val="18"/>
              </w:rPr>
              <w:t>Emission Intensity (tCO2e/IDR Bn)</w:t>
            </w:r>
          </w:p>
        </w:tc>
        <w:tc>
          <w:tcPr>
            <w:tcW w:w="1003" w:type="dxa"/>
            <w:shd w:val="clear" w:color="auto" w:fill="1B3A6B"/>
          </w:tcPr>
          <w:p w14:paraId="1A16C53B" w14:textId="77777777" w:rsidR="00811103" w:rsidRDefault="00000000">
            <w:r>
              <w:rPr>
                <w:rFonts w:ascii="Arial" w:hAnsi="Arial"/>
                <w:b/>
                <w:color w:val="FFFFFF"/>
                <w:sz w:val="18"/>
              </w:rPr>
              <w:t>Avg PCAF Score</w:t>
            </w:r>
          </w:p>
        </w:tc>
        <w:tc>
          <w:tcPr>
            <w:tcW w:w="1003" w:type="dxa"/>
            <w:shd w:val="clear" w:color="auto" w:fill="1B3A6B"/>
          </w:tcPr>
          <w:p w14:paraId="76991FBA" w14:textId="77777777" w:rsidR="00811103" w:rsidRDefault="00000000">
            <w:r>
              <w:rPr>
                <w:rFonts w:ascii="Arial" w:hAnsi="Arial"/>
                <w:b/>
                <w:color w:val="FFFFFF"/>
                <w:sz w:val="18"/>
              </w:rPr>
              <w:t>% of Portfolio</w:t>
            </w:r>
          </w:p>
        </w:tc>
        <w:tc>
          <w:tcPr>
            <w:tcW w:w="1003" w:type="dxa"/>
            <w:shd w:val="clear" w:color="auto" w:fill="1B3A6B"/>
          </w:tcPr>
          <w:p w14:paraId="6B6324B8" w14:textId="77777777" w:rsidR="00811103" w:rsidRDefault="00000000">
            <w:r>
              <w:rPr>
                <w:rFonts w:ascii="Arial" w:hAnsi="Arial"/>
                <w:b/>
                <w:color w:val="FFFFFF"/>
                <w:sz w:val="18"/>
              </w:rPr>
              <w:t>% of Total Emissions</w:t>
            </w:r>
          </w:p>
        </w:tc>
      </w:tr>
      <w:tr w:rsidR="00811103" w14:paraId="7978D370" w14:textId="77777777">
        <w:trPr>
          <w:jc w:val="center"/>
        </w:trPr>
        <w:tc>
          <w:tcPr>
            <w:tcW w:w="1003" w:type="dxa"/>
          </w:tcPr>
          <w:p w14:paraId="5A3AA970" w14:textId="77777777" w:rsidR="00811103" w:rsidRDefault="00000000">
            <w:r>
              <w:rPr>
                <w:rFonts w:ascii="Arial" w:hAnsi="Arial"/>
                <w:sz w:val="18"/>
              </w:rPr>
              <w:t>Energy - Oil &amp; Gas</w:t>
            </w:r>
          </w:p>
        </w:tc>
        <w:tc>
          <w:tcPr>
            <w:tcW w:w="1003" w:type="dxa"/>
          </w:tcPr>
          <w:p w14:paraId="17830881" w14:textId="77777777" w:rsidR="00811103" w:rsidRDefault="00000000">
            <w:pPr>
              <w:jc w:val="right"/>
            </w:pPr>
            <w:r>
              <w:rPr>
                <w:rFonts w:ascii="Arial" w:hAnsi="Arial"/>
                <w:sz w:val="18"/>
              </w:rPr>
              <w:t>102.67</w:t>
            </w:r>
          </w:p>
        </w:tc>
        <w:tc>
          <w:tcPr>
            <w:tcW w:w="1003" w:type="dxa"/>
          </w:tcPr>
          <w:p w14:paraId="18E9F609" w14:textId="77777777" w:rsidR="00811103" w:rsidRDefault="00000000">
            <w:pPr>
              <w:jc w:val="right"/>
            </w:pPr>
            <w:r>
              <w:rPr>
                <w:rFonts w:ascii="Arial" w:hAnsi="Arial"/>
                <w:sz w:val="18"/>
              </w:rPr>
              <w:t>135</w:t>
            </w:r>
          </w:p>
        </w:tc>
        <w:tc>
          <w:tcPr>
            <w:tcW w:w="1003" w:type="dxa"/>
          </w:tcPr>
          <w:p w14:paraId="62908172" w14:textId="77777777" w:rsidR="00811103" w:rsidRDefault="00000000">
            <w:pPr>
              <w:jc w:val="right"/>
            </w:pPr>
            <w:r>
              <w:rPr>
                <w:rFonts w:ascii="Arial" w:hAnsi="Arial"/>
                <w:sz w:val="18"/>
              </w:rPr>
              <w:t>9,573,144.27</w:t>
            </w:r>
          </w:p>
        </w:tc>
        <w:tc>
          <w:tcPr>
            <w:tcW w:w="1003" w:type="dxa"/>
          </w:tcPr>
          <w:p w14:paraId="5CC2EBDF" w14:textId="77777777" w:rsidR="00811103" w:rsidRDefault="00000000">
            <w:pPr>
              <w:jc w:val="right"/>
            </w:pPr>
            <w:r>
              <w:rPr>
                <w:rFonts w:ascii="Arial" w:hAnsi="Arial"/>
                <w:sz w:val="18"/>
              </w:rPr>
              <w:t>6,753,948.71</w:t>
            </w:r>
          </w:p>
        </w:tc>
        <w:tc>
          <w:tcPr>
            <w:tcW w:w="1003" w:type="dxa"/>
          </w:tcPr>
          <w:p w14:paraId="3CDFB4B6" w14:textId="77777777" w:rsidR="00811103" w:rsidRDefault="00000000">
            <w:pPr>
              <w:jc w:val="right"/>
            </w:pPr>
            <w:r>
              <w:rPr>
                <w:rFonts w:ascii="Arial" w:hAnsi="Arial"/>
                <w:sz w:val="18"/>
              </w:rPr>
              <w:t>93.242</w:t>
            </w:r>
          </w:p>
        </w:tc>
        <w:tc>
          <w:tcPr>
            <w:tcW w:w="1003" w:type="dxa"/>
          </w:tcPr>
          <w:p w14:paraId="6D2476C4" w14:textId="77777777" w:rsidR="00811103" w:rsidRDefault="00000000">
            <w:pPr>
              <w:jc w:val="right"/>
            </w:pPr>
            <w:r>
              <w:rPr>
                <w:rFonts w:ascii="Arial" w:hAnsi="Arial"/>
                <w:sz w:val="18"/>
              </w:rPr>
              <w:t>3.32</w:t>
            </w:r>
          </w:p>
        </w:tc>
        <w:tc>
          <w:tcPr>
            <w:tcW w:w="1003" w:type="dxa"/>
          </w:tcPr>
          <w:p w14:paraId="2AED3670" w14:textId="77777777" w:rsidR="00811103" w:rsidRDefault="00000000">
            <w:pPr>
              <w:jc w:val="right"/>
            </w:pPr>
            <w:r>
              <w:rPr>
                <w:rFonts w:ascii="Arial" w:hAnsi="Arial"/>
                <w:sz w:val="18"/>
              </w:rPr>
              <w:t>6.66%</w:t>
            </w:r>
          </w:p>
        </w:tc>
        <w:tc>
          <w:tcPr>
            <w:tcW w:w="1003" w:type="dxa"/>
          </w:tcPr>
          <w:p w14:paraId="694E3CA1" w14:textId="77777777" w:rsidR="00811103" w:rsidRDefault="00000000">
            <w:pPr>
              <w:jc w:val="right"/>
            </w:pPr>
            <w:r>
              <w:rPr>
                <w:rFonts w:ascii="Arial" w:hAnsi="Arial"/>
                <w:sz w:val="18"/>
              </w:rPr>
              <w:t>43.56%</w:t>
            </w:r>
          </w:p>
        </w:tc>
      </w:tr>
      <w:tr w:rsidR="00811103" w14:paraId="05C51D51" w14:textId="77777777">
        <w:trPr>
          <w:jc w:val="center"/>
        </w:trPr>
        <w:tc>
          <w:tcPr>
            <w:tcW w:w="1003" w:type="dxa"/>
            <w:shd w:val="clear" w:color="auto" w:fill="F2F6FC"/>
          </w:tcPr>
          <w:p w14:paraId="2B545F8F" w14:textId="77777777" w:rsidR="00811103" w:rsidRDefault="00000000">
            <w:r>
              <w:rPr>
                <w:rFonts w:ascii="Arial" w:hAnsi="Arial"/>
                <w:sz w:val="18"/>
              </w:rPr>
              <w:t>Manufacturing - Cement</w:t>
            </w:r>
          </w:p>
        </w:tc>
        <w:tc>
          <w:tcPr>
            <w:tcW w:w="1003" w:type="dxa"/>
            <w:shd w:val="clear" w:color="auto" w:fill="F2F6FC"/>
          </w:tcPr>
          <w:p w14:paraId="5EE2ABC4" w14:textId="77777777" w:rsidR="00811103" w:rsidRDefault="00000000">
            <w:pPr>
              <w:jc w:val="right"/>
            </w:pPr>
            <w:r>
              <w:rPr>
                <w:rFonts w:ascii="Arial" w:hAnsi="Arial"/>
                <w:sz w:val="18"/>
              </w:rPr>
              <w:t>107.68</w:t>
            </w:r>
          </w:p>
        </w:tc>
        <w:tc>
          <w:tcPr>
            <w:tcW w:w="1003" w:type="dxa"/>
            <w:shd w:val="clear" w:color="auto" w:fill="F2F6FC"/>
          </w:tcPr>
          <w:p w14:paraId="38E46E99" w14:textId="77777777" w:rsidR="00811103" w:rsidRDefault="00000000">
            <w:pPr>
              <w:jc w:val="right"/>
            </w:pPr>
            <w:r>
              <w:rPr>
                <w:rFonts w:ascii="Arial" w:hAnsi="Arial"/>
                <w:sz w:val="18"/>
              </w:rPr>
              <w:t>161</w:t>
            </w:r>
          </w:p>
        </w:tc>
        <w:tc>
          <w:tcPr>
            <w:tcW w:w="1003" w:type="dxa"/>
            <w:shd w:val="clear" w:color="auto" w:fill="F2F6FC"/>
          </w:tcPr>
          <w:p w14:paraId="2E73A8BE" w14:textId="77777777" w:rsidR="00811103" w:rsidRDefault="00000000">
            <w:pPr>
              <w:jc w:val="right"/>
            </w:pPr>
            <w:r>
              <w:rPr>
                <w:rFonts w:ascii="Arial" w:hAnsi="Arial"/>
                <w:sz w:val="18"/>
              </w:rPr>
              <w:t>5,813,830.91</w:t>
            </w:r>
          </w:p>
        </w:tc>
        <w:tc>
          <w:tcPr>
            <w:tcW w:w="1003" w:type="dxa"/>
            <w:shd w:val="clear" w:color="auto" w:fill="F2F6FC"/>
          </w:tcPr>
          <w:p w14:paraId="261D4D9A" w14:textId="77777777" w:rsidR="00811103" w:rsidRDefault="00000000">
            <w:pPr>
              <w:jc w:val="right"/>
            </w:pPr>
            <w:r>
              <w:rPr>
                <w:rFonts w:ascii="Arial" w:hAnsi="Arial"/>
                <w:sz w:val="18"/>
              </w:rPr>
              <w:t>4,168,058.43</w:t>
            </w:r>
          </w:p>
        </w:tc>
        <w:tc>
          <w:tcPr>
            <w:tcW w:w="1003" w:type="dxa"/>
            <w:shd w:val="clear" w:color="auto" w:fill="F2F6FC"/>
          </w:tcPr>
          <w:p w14:paraId="4D36D8D9" w14:textId="77777777" w:rsidR="00811103" w:rsidRDefault="00000000">
            <w:pPr>
              <w:jc w:val="right"/>
            </w:pPr>
            <w:r>
              <w:rPr>
                <w:rFonts w:ascii="Arial" w:hAnsi="Arial"/>
                <w:sz w:val="18"/>
              </w:rPr>
              <w:t>53.9927</w:t>
            </w:r>
          </w:p>
        </w:tc>
        <w:tc>
          <w:tcPr>
            <w:tcW w:w="1003" w:type="dxa"/>
            <w:shd w:val="clear" w:color="auto" w:fill="F2F6FC"/>
          </w:tcPr>
          <w:p w14:paraId="4C29D6BF" w14:textId="77777777" w:rsidR="00811103" w:rsidRDefault="00000000">
            <w:pPr>
              <w:jc w:val="right"/>
            </w:pPr>
            <w:r>
              <w:rPr>
                <w:rFonts w:ascii="Arial" w:hAnsi="Arial"/>
                <w:sz w:val="18"/>
              </w:rPr>
              <w:t>3.40</w:t>
            </w:r>
          </w:p>
        </w:tc>
        <w:tc>
          <w:tcPr>
            <w:tcW w:w="1003" w:type="dxa"/>
            <w:shd w:val="clear" w:color="auto" w:fill="F2F6FC"/>
          </w:tcPr>
          <w:p w14:paraId="7C203606" w14:textId="77777777" w:rsidR="00811103" w:rsidRDefault="00000000">
            <w:pPr>
              <w:jc w:val="right"/>
            </w:pPr>
            <w:r>
              <w:rPr>
                <w:rFonts w:ascii="Arial" w:hAnsi="Arial"/>
                <w:sz w:val="18"/>
              </w:rPr>
              <w:t>6.99%</w:t>
            </w:r>
          </w:p>
        </w:tc>
        <w:tc>
          <w:tcPr>
            <w:tcW w:w="1003" w:type="dxa"/>
            <w:shd w:val="clear" w:color="auto" w:fill="F2F6FC"/>
          </w:tcPr>
          <w:p w14:paraId="7AC57FCF" w14:textId="77777777" w:rsidR="00811103" w:rsidRDefault="00000000">
            <w:pPr>
              <w:jc w:val="right"/>
            </w:pPr>
            <w:r>
              <w:rPr>
                <w:rFonts w:ascii="Arial" w:hAnsi="Arial"/>
                <w:sz w:val="18"/>
              </w:rPr>
              <w:t>26.45%</w:t>
            </w:r>
          </w:p>
        </w:tc>
      </w:tr>
      <w:tr w:rsidR="00811103" w14:paraId="0E4E61E3" w14:textId="77777777">
        <w:trPr>
          <w:jc w:val="center"/>
        </w:trPr>
        <w:tc>
          <w:tcPr>
            <w:tcW w:w="1003" w:type="dxa"/>
          </w:tcPr>
          <w:p w14:paraId="76025C4D" w14:textId="77777777" w:rsidR="00811103" w:rsidRDefault="00000000">
            <w:r>
              <w:rPr>
                <w:rFonts w:ascii="Arial" w:hAnsi="Arial"/>
                <w:sz w:val="18"/>
              </w:rPr>
              <w:t>Manufacturing - Steel</w:t>
            </w:r>
          </w:p>
        </w:tc>
        <w:tc>
          <w:tcPr>
            <w:tcW w:w="1003" w:type="dxa"/>
          </w:tcPr>
          <w:p w14:paraId="539BF8CC" w14:textId="77777777" w:rsidR="00811103" w:rsidRDefault="00000000">
            <w:pPr>
              <w:jc w:val="right"/>
            </w:pPr>
            <w:r>
              <w:rPr>
                <w:rFonts w:ascii="Arial" w:hAnsi="Arial"/>
                <w:sz w:val="18"/>
              </w:rPr>
              <w:t>108.62</w:t>
            </w:r>
          </w:p>
        </w:tc>
        <w:tc>
          <w:tcPr>
            <w:tcW w:w="1003" w:type="dxa"/>
          </w:tcPr>
          <w:p w14:paraId="21A489A5" w14:textId="77777777" w:rsidR="00811103" w:rsidRDefault="00000000">
            <w:pPr>
              <w:jc w:val="right"/>
            </w:pPr>
            <w:r>
              <w:rPr>
                <w:rFonts w:ascii="Arial" w:hAnsi="Arial"/>
                <w:sz w:val="18"/>
              </w:rPr>
              <w:t>122</w:t>
            </w:r>
          </w:p>
        </w:tc>
        <w:tc>
          <w:tcPr>
            <w:tcW w:w="1003" w:type="dxa"/>
          </w:tcPr>
          <w:p w14:paraId="4041491F" w14:textId="77777777" w:rsidR="00811103" w:rsidRDefault="00000000">
            <w:pPr>
              <w:jc w:val="right"/>
            </w:pPr>
            <w:r>
              <w:rPr>
                <w:rFonts w:ascii="Arial" w:hAnsi="Arial"/>
                <w:sz w:val="18"/>
              </w:rPr>
              <w:t>3,499,463.0</w:t>
            </w:r>
          </w:p>
        </w:tc>
        <w:tc>
          <w:tcPr>
            <w:tcW w:w="1003" w:type="dxa"/>
          </w:tcPr>
          <w:p w14:paraId="239EFD5C" w14:textId="77777777" w:rsidR="00811103" w:rsidRDefault="00000000">
            <w:pPr>
              <w:jc w:val="right"/>
            </w:pPr>
            <w:r>
              <w:rPr>
                <w:rFonts w:ascii="Arial" w:hAnsi="Arial"/>
                <w:sz w:val="18"/>
              </w:rPr>
              <w:t>2,228,739.65</w:t>
            </w:r>
          </w:p>
        </w:tc>
        <w:tc>
          <w:tcPr>
            <w:tcW w:w="1003" w:type="dxa"/>
          </w:tcPr>
          <w:p w14:paraId="256A76C2" w14:textId="77777777" w:rsidR="00811103" w:rsidRDefault="00000000">
            <w:pPr>
              <w:jc w:val="right"/>
            </w:pPr>
            <w:r>
              <w:rPr>
                <w:rFonts w:ascii="Arial" w:hAnsi="Arial"/>
                <w:sz w:val="18"/>
              </w:rPr>
              <w:t>32.2175</w:t>
            </w:r>
          </w:p>
        </w:tc>
        <w:tc>
          <w:tcPr>
            <w:tcW w:w="1003" w:type="dxa"/>
          </w:tcPr>
          <w:p w14:paraId="005ABD22" w14:textId="77777777" w:rsidR="00811103" w:rsidRDefault="00000000">
            <w:pPr>
              <w:jc w:val="right"/>
            </w:pPr>
            <w:r>
              <w:rPr>
                <w:rFonts w:ascii="Arial" w:hAnsi="Arial"/>
                <w:sz w:val="18"/>
              </w:rPr>
              <w:t>3.35</w:t>
            </w:r>
          </w:p>
        </w:tc>
        <w:tc>
          <w:tcPr>
            <w:tcW w:w="1003" w:type="dxa"/>
          </w:tcPr>
          <w:p w14:paraId="34166DDC" w14:textId="77777777" w:rsidR="00811103" w:rsidRDefault="00000000">
            <w:pPr>
              <w:jc w:val="right"/>
            </w:pPr>
            <w:r>
              <w:rPr>
                <w:rFonts w:ascii="Arial" w:hAnsi="Arial"/>
                <w:sz w:val="18"/>
              </w:rPr>
              <w:t>7.05%</w:t>
            </w:r>
          </w:p>
        </w:tc>
        <w:tc>
          <w:tcPr>
            <w:tcW w:w="1003" w:type="dxa"/>
          </w:tcPr>
          <w:p w14:paraId="5B8166B7" w14:textId="77777777" w:rsidR="00811103" w:rsidRDefault="00000000">
            <w:pPr>
              <w:jc w:val="right"/>
            </w:pPr>
            <w:r>
              <w:rPr>
                <w:rFonts w:ascii="Arial" w:hAnsi="Arial"/>
                <w:sz w:val="18"/>
              </w:rPr>
              <w:t>15.92%</w:t>
            </w:r>
          </w:p>
        </w:tc>
      </w:tr>
      <w:tr w:rsidR="00811103" w14:paraId="21B7843E" w14:textId="77777777">
        <w:trPr>
          <w:jc w:val="center"/>
        </w:trPr>
        <w:tc>
          <w:tcPr>
            <w:tcW w:w="1003" w:type="dxa"/>
            <w:shd w:val="clear" w:color="auto" w:fill="F2F6FC"/>
          </w:tcPr>
          <w:p w14:paraId="700DE80D" w14:textId="77777777" w:rsidR="00811103" w:rsidRDefault="00000000">
            <w:r>
              <w:rPr>
                <w:rFonts w:ascii="Arial" w:hAnsi="Arial"/>
                <w:sz w:val="18"/>
              </w:rPr>
              <w:t>Transportation - Road</w:t>
            </w:r>
          </w:p>
        </w:tc>
        <w:tc>
          <w:tcPr>
            <w:tcW w:w="1003" w:type="dxa"/>
            <w:shd w:val="clear" w:color="auto" w:fill="F2F6FC"/>
          </w:tcPr>
          <w:p w14:paraId="608C2977" w14:textId="77777777" w:rsidR="00811103" w:rsidRDefault="00000000">
            <w:pPr>
              <w:jc w:val="right"/>
            </w:pPr>
            <w:r>
              <w:rPr>
                <w:rFonts w:ascii="Arial" w:hAnsi="Arial"/>
                <w:sz w:val="18"/>
              </w:rPr>
              <w:t>155.55</w:t>
            </w:r>
          </w:p>
        </w:tc>
        <w:tc>
          <w:tcPr>
            <w:tcW w:w="1003" w:type="dxa"/>
            <w:shd w:val="clear" w:color="auto" w:fill="F2F6FC"/>
          </w:tcPr>
          <w:p w14:paraId="7C1FA60D" w14:textId="77777777" w:rsidR="00811103" w:rsidRDefault="00000000">
            <w:pPr>
              <w:jc w:val="right"/>
            </w:pPr>
            <w:r>
              <w:rPr>
                <w:rFonts w:ascii="Arial" w:hAnsi="Arial"/>
                <w:sz w:val="18"/>
              </w:rPr>
              <w:t>189</w:t>
            </w:r>
          </w:p>
        </w:tc>
        <w:tc>
          <w:tcPr>
            <w:tcW w:w="1003" w:type="dxa"/>
            <w:shd w:val="clear" w:color="auto" w:fill="F2F6FC"/>
          </w:tcPr>
          <w:p w14:paraId="6532292C" w14:textId="77777777" w:rsidR="00811103" w:rsidRDefault="00000000">
            <w:pPr>
              <w:jc w:val="right"/>
            </w:pPr>
            <w:r>
              <w:rPr>
                <w:rFonts w:ascii="Arial" w:hAnsi="Arial"/>
                <w:sz w:val="18"/>
              </w:rPr>
              <w:t>1,227,019.62</w:t>
            </w:r>
          </w:p>
        </w:tc>
        <w:tc>
          <w:tcPr>
            <w:tcW w:w="1003" w:type="dxa"/>
            <w:shd w:val="clear" w:color="auto" w:fill="F2F6FC"/>
          </w:tcPr>
          <w:p w14:paraId="50625EEA" w14:textId="77777777" w:rsidR="00811103" w:rsidRDefault="00000000">
            <w:pPr>
              <w:jc w:val="right"/>
            </w:pPr>
            <w:r>
              <w:rPr>
                <w:rFonts w:ascii="Arial" w:hAnsi="Arial"/>
                <w:sz w:val="18"/>
              </w:rPr>
              <w:t>864,356.23</w:t>
            </w:r>
          </w:p>
        </w:tc>
        <w:tc>
          <w:tcPr>
            <w:tcW w:w="1003" w:type="dxa"/>
            <w:shd w:val="clear" w:color="auto" w:fill="F2F6FC"/>
          </w:tcPr>
          <w:p w14:paraId="68E0205B" w14:textId="77777777" w:rsidR="00811103" w:rsidRDefault="00000000">
            <w:pPr>
              <w:jc w:val="right"/>
            </w:pPr>
            <w:r>
              <w:rPr>
                <w:rFonts w:ascii="Arial" w:hAnsi="Arial"/>
                <w:sz w:val="18"/>
              </w:rPr>
              <w:t>7.8881</w:t>
            </w:r>
          </w:p>
        </w:tc>
        <w:tc>
          <w:tcPr>
            <w:tcW w:w="1003" w:type="dxa"/>
            <w:shd w:val="clear" w:color="auto" w:fill="F2F6FC"/>
          </w:tcPr>
          <w:p w14:paraId="79462BBB" w14:textId="77777777" w:rsidR="00811103" w:rsidRDefault="00000000">
            <w:pPr>
              <w:jc w:val="right"/>
            </w:pPr>
            <w:r>
              <w:rPr>
                <w:rFonts w:ascii="Arial" w:hAnsi="Arial"/>
                <w:sz w:val="18"/>
              </w:rPr>
              <w:t>3.36</w:t>
            </w:r>
          </w:p>
        </w:tc>
        <w:tc>
          <w:tcPr>
            <w:tcW w:w="1003" w:type="dxa"/>
            <w:shd w:val="clear" w:color="auto" w:fill="F2F6FC"/>
          </w:tcPr>
          <w:p w14:paraId="14089B9F" w14:textId="77777777" w:rsidR="00811103" w:rsidRDefault="00000000">
            <w:pPr>
              <w:jc w:val="right"/>
            </w:pPr>
            <w:r>
              <w:rPr>
                <w:rFonts w:ascii="Arial" w:hAnsi="Arial"/>
                <w:sz w:val="18"/>
              </w:rPr>
              <w:t>10.09%</w:t>
            </w:r>
          </w:p>
        </w:tc>
        <w:tc>
          <w:tcPr>
            <w:tcW w:w="1003" w:type="dxa"/>
            <w:shd w:val="clear" w:color="auto" w:fill="F2F6FC"/>
          </w:tcPr>
          <w:p w14:paraId="2946F1D0" w14:textId="77777777" w:rsidR="00811103" w:rsidRDefault="00000000">
            <w:pPr>
              <w:jc w:val="right"/>
            </w:pPr>
            <w:r>
              <w:rPr>
                <w:rFonts w:ascii="Arial" w:hAnsi="Arial"/>
                <w:sz w:val="18"/>
              </w:rPr>
              <w:t>5.58%</w:t>
            </w:r>
          </w:p>
        </w:tc>
      </w:tr>
      <w:tr w:rsidR="00811103" w14:paraId="1EF1EBD0" w14:textId="77777777">
        <w:trPr>
          <w:jc w:val="center"/>
        </w:trPr>
        <w:tc>
          <w:tcPr>
            <w:tcW w:w="1003" w:type="dxa"/>
          </w:tcPr>
          <w:p w14:paraId="18590389" w14:textId="77777777" w:rsidR="00811103" w:rsidRDefault="00000000">
            <w:r>
              <w:rPr>
                <w:rFonts w:ascii="Arial" w:hAnsi="Arial"/>
                <w:sz w:val="18"/>
              </w:rPr>
              <w:t>Manufacturing - Food &amp; Beverage</w:t>
            </w:r>
          </w:p>
        </w:tc>
        <w:tc>
          <w:tcPr>
            <w:tcW w:w="1003" w:type="dxa"/>
          </w:tcPr>
          <w:p w14:paraId="29E95D69" w14:textId="77777777" w:rsidR="00811103" w:rsidRDefault="00000000">
            <w:pPr>
              <w:jc w:val="right"/>
            </w:pPr>
            <w:r>
              <w:rPr>
                <w:rFonts w:ascii="Arial" w:hAnsi="Arial"/>
                <w:sz w:val="18"/>
              </w:rPr>
              <w:t>169.14</w:t>
            </w:r>
          </w:p>
        </w:tc>
        <w:tc>
          <w:tcPr>
            <w:tcW w:w="1003" w:type="dxa"/>
          </w:tcPr>
          <w:p w14:paraId="78B15949" w14:textId="77777777" w:rsidR="00811103" w:rsidRDefault="00000000">
            <w:pPr>
              <w:jc w:val="right"/>
            </w:pPr>
            <w:r>
              <w:rPr>
                <w:rFonts w:ascii="Arial" w:hAnsi="Arial"/>
                <w:sz w:val="18"/>
              </w:rPr>
              <w:t>206</w:t>
            </w:r>
          </w:p>
        </w:tc>
        <w:tc>
          <w:tcPr>
            <w:tcW w:w="1003" w:type="dxa"/>
          </w:tcPr>
          <w:p w14:paraId="46BB450C" w14:textId="77777777" w:rsidR="00811103" w:rsidRDefault="00000000">
            <w:pPr>
              <w:jc w:val="right"/>
            </w:pPr>
            <w:r>
              <w:rPr>
                <w:rFonts w:ascii="Arial" w:hAnsi="Arial"/>
                <w:sz w:val="18"/>
              </w:rPr>
              <w:t>936,111.21</w:t>
            </w:r>
          </w:p>
        </w:tc>
        <w:tc>
          <w:tcPr>
            <w:tcW w:w="1003" w:type="dxa"/>
          </w:tcPr>
          <w:p w14:paraId="1954BD32" w14:textId="77777777" w:rsidR="00811103" w:rsidRDefault="00000000">
            <w:pPr>
              <w:jc w:val="right"/>
            </w:pPr>
            <w:r>
              <w:rPr>
                <w:rFonts w:ascii="Arial" w:hAnsi="Arial"/>
                <w:sz w:val="18"/>
              </w:rPr>
              <w:t>653,413.56</w:t>
            </w:r>
          </w:p>
        </w:tc>
        <w:tc>
          <w:tcPr>
            <w:tcW w:w="1003" w:type="dxa"/>
          </w:tcPr>
          <w:p w14:paraId="62EAE6DA" w14:textId="77777777" w:rsidR="00811103" w:rsidRDefault="00000000">
            <w:pPr>
              <w:jc w:val="right"/>
            </w:pPr>
            <w:r>
              <w:rPr>
                <w:rFonts w:ascii="Arial" w:hAnsi="Arial"/>
                <w:sz w:val="18"/>
              </w:rPr>
              <w:t>5.5346</w:t>
            </w:r>
          </w:p>
        </w:tc>
        <w:tc>
          <w:tcPr>
            <w:tcW w:w="1003" w:type="dxa"/>
          </w:tcPr>
          <w:p w14:paraId="68A7222B" w14:textId="77777777" w:rsidR="00811103" w:rsidRDefault="00000000">
            <w:pPr>
              <w:jc w:val="right"/>
            </w:pPr>
            <w:r>
              <w:rPr>
                <w:rFonts w:ascii="Arial" w:hAnsi="Arial"/>
                <w:sz w:val="18"/>
              </w:rPr>
              <w:t>3.35</w:t>
            </w:r>
          </w:p>
        </w:tc>
        <w:tc>
          <w:tcPr>
            <w:tcW w:w="1003" w:type="dxa"/>
          </w:tcPr>
          <w:p w14:paraId="6ED6B7D1" w14:textId="77777777" w:rsidR="00811103" w:rsidRDefault="00000000">
            <w:pPr>
              <w:jc w:val="right"/>
            </w:pPr>
            <w:r>
              <w:rPr>
                <w:rFonts w:ascii="Arial" w:hAnsi="Arial"/>
                <w:sz w:val="18"/>
              </w:rPr>
              <w:t>10.97%</w:t>
            </w:r>
          </w:p>
        </w:tc>
        <w:tc>
          <w:tcPr>
            <w:tcW w:w="1003" w:type="dxa"/>
          </w:tcPr>
          <w:p w14:paraId="3E56B1DB" w14:textId="77777777" w:rsidR="00811103" w:rsidRDefault="00000000">
            <w:pPr>
              <w:jc w:val="right"/>
            </w:pPr>
            <w:r>
              <w:rPr>
                <w:rFonts w:ascii="Arial" w:hAnsi="Arial"/>
                <w:sz w:val="18"/>
              </w:rPr>
              <w:t>4.26%</w:t>
            </w:r>
          </w:p>
        </w:tc>
      </w:tr>
      <w:tr w:rsidR="00811103" w14:paraId="6CD4E5D7" w14:textId="77777777">
        <w:trPr>
          <w:jc w:val="center"/>
        </w:trPr>
        <w:tc>
          <w:tcPr>
            <w:tcW w:w="1003" w:type="dxa"/>
            <w:shd w:val="clear" w:color="auto" w:fill="F2F6FC"/>
          </w:tcPr>
          <w:p w14:paraId="41F04874" w14:textId="77777777" w:rsidR="00811103" w:rsidRDefault="00000000">
            <w:r>
              <w:rPr>
                <w:rFonts w:ascii="Arial" w:hAnsi="Arial"/>
                <w:sz w:val="18"/>
              </w:rPr>
              <w:t>Agriculture</w:t>
            </w:r>
          </w:p>
        </w:tc>
        <w:tc>
          <w:tcPr>
            <w:tcW w:w="1003" w:type="dxa"/>
            <w:shd w:val="clear" w:color="auto" w:fill="F2F6FC"/>
          </w:tcPr>
          <w:p w14:paraId="3A186554" w14:textId="77777777" w:rsidR="00811103" w:rsidRDefault="00000000">
            <w:pPr>
              <w:jc w:val="right"/>
            </w:pPr>
            <w:r>
              <w:rPr>
                <w:rFonts w:ascii="Arial" w:hAnsi="Arial"/>
                <w:sz w:val="18"/>
              </w:rPr>
              <w:t>118.90</w:t>
            </w:r>
          </w:p>
        </w:tc>
        <w:tc>
          <w:tcPr>
            <w:tcW w:w="1003" w:type="dxa"/>
            <w:shd w:val="clear" w:color="auto" w:fill="F2F6FC"/>
          </w:tcPr>
          <w:p w14:paraId="54F42387" w14:textId="77777777" w:rsidR="00811103" w:rsidRDefault="00000000">
            <w:pPr>
              <w:jc w:val="right"/>
            </w:pPr>
            <w:r>
              <w:rPr>
                <w:rFonts w:ascii="Arial" w:hAnsi="Arial"/>
                <w:sz w:val="18"/>
              </w:rPr>
              <w:t>163</w:t>
            </w:r>
          </w:p>
        </w:tc>
        <w:tc>
          <w:tcPr>
            <w:tcW w:w="1003" w:type="dxa"/>
            <w:shd w:val="clear" w:color="auto" w:fill="F2F6FC"/>
          </w:tcPr>
          <w:p w14:paraId="3503CDFB" w14:textId="77777777" w:rsidR="00811103" w:rsidRDefault="00000000">
            <w:pPr>
              <w:jc w:val="right"/>
            </w:pPr>
            <w:r>
              <w:rPr>
                <w:rFonts w:ascii="Arial" w:hAnsi="Arial"/>
                <w:sz w:val="18"/>
              </w:rPr>
              <w:t>288,493.25</w:t>
            </w:r>
          </w:p>
        </w:tc>
        <w:tc>
          <w:tcPr>
            <w:tcW w:w="1003" w:type="dxa"/>
            <w:shd w:val="clear" w:color="auto" w:fill="F2F6FC"/>
          </w:tcPr>
          <w:p w14:paraId="6E01EB26" w14:textId="77777777" w:rsidR="00811103" w:rsidRDefault="00000000">
            <w:pPr>
              <w:jc w:val="right"/>
            </w:pPr>
            <w:r>
              <w:rPr>
                <w:rFonts w:ascii="Arial" w:hAnsi="Arial"/>
                <w:sz w:val="18"/>
              </w:rPr>
              <w:t>183,548.39</w:t>
            </w:r>
          </w:p>
        </w:tc>
        <w:tc>
          <w:tcPr>
            <w:tcW w:w="1003" w:type="dxa"/>
            <w:shd w:val="clear" w:color="auto" w:fill="F2F6FC"/>
          </w:tcPr>
          <w:p w14:paraId="5AA71042" w14:textId="77777777" w:rsidR="00811103" w:rsidRDefault="00000000">
            <w:pPr>
              <w:jc w:val="right"/>
            </w:pPr>
            <w:r>
              <w:rPr>
                <w:rFonts w:ascii="Arial" w:hAnsi="Arial"/>
                <w:sz w:val="18"/>
              </w:rPr>
              <w:t>2.4264</w:t>
            </w:r>
          </w:p>
        </w:tc>
        <w:tc>
          <w:tcPr>
            <w:tcW w:w="1003" w:type="dxa"/>
            <w:shd w:val="clear" w:color="auto" w:fill="F2F6FC"/>
          </w:tcPr>
          <w:p w14:paraId="56278CC4" w14:textId="77777777" w:rsidR="00811103" w:rsidRDefault="00000000">
            <w:pPr>
              <w:jc w:val="right"/>
            </w:pPr>
            <w:r>
              <w:rPr>
                <w:rFonts w:ascii="Arial" w:hAnsi="Arial"/>
                <w:sz w:val="18"/>
              </w:rPr>
              <w:t>3.41</w:t>
            </w:r>
          </w:p>
        </w:tc>
        <w:tc>
          <w:tcPr>
            <w:tcW w:w="1003" w:type="dxa"/>
            <w:shd w:val="clear" w:color="auto" w:fill="F2F6FC"/>
          </w:tcPr>
          <w:p w14:paraId="46501E68" w14:textId="77777777" w:rsidR="00811103" w:rsidRDefault="00000000">
            <w:pPr>
              <w:jc w:val="right"/>
            </w:pPr>
            <w:r>
              <w:rPr>
                <w:rFonts w:ascii="Arial" w:hAnsi="Arial"/>
                <w:sz w:val="18"/>
              </w:rPr>
              <w:t>7.71%</w:t>
            </w:r>
          </w:p>
        </w:tc>
        <w:tc>
          <w:tcPr>
            <w:tcW w:w="1003" w:type="dxa"/>
            <w:shd w:val="clear" w:color="auto" w:fill="F2F6FC"/>
          </w:tcPr>
          <w:p w14:paraId="0AAB6881" w14:textId="77777777" w:rsidR="00811103" w:rsidRDefault="00000000">
            <w:pPr>
              <w:jc w:val="right"/>
            </w:pPr>
            <w:r>
              <w:rPr>
                <w:rFonts w:ascii="Arial" w:hAnsi="Arial"/>
                <w:sz w:val="18"/>
              </w:rPr>
              <w:t>1.31%</w:t>
            </w:r>
          </w:p>
        </w:tc>
      </w:tr>
      <w:tr w:rsidR="00811103" w14:paraId="7147E1F3" w14:textId="77777777">
        <w:trPr>
          <w:jc w:val="center"/>
        </w:trPr>
        <w:tc>
          <w:tcPr>
            <w:tcW w:w="1003" w:type="dxa"/>
          </w:tcPr>
          <w:p w14:paraId="3E826629" w14:textId="77777777" w:rsidR="00811103" w:rsidRDefault="00000000">
            <w:r>
              <w:rPr>
                <w:rFonts w:ascii="Arial" w:hAnsi="Arial"/>
                <w:sz w:val="18"/>
              </w:rPr>
              <w:t>Real Estate - Commercial</w:t>
            </w:r>
          </w:p>
        </w:tc>
        <w:tc>
          <w:tcPr>
            <w:tcW w:w="1003" w:type="dxa"/>
          </w:tcPr>
          <w:p w14:paraId="2B9612E1" w14:textId="77777777" w:rsidR="00811103" w:rsidRDefault="00000000">
            <w:pPr>
              <w:jc w:val="right"/>
            </w:pPr>
            <w:r>
              <w:rPr>
                <w:rFonts w:ascii="Arial" w:hAnsi="Arial"/>
                <w:sz w:val="18"/>
              </w:rPr>
              <w:t>250.74</w:t>
            </w:r>
          </w:p>
        </w:tc>
        <w:tc>
          <w:tcPr>
            <w:tcW w:w="1003" w:type="dxa"/>
          </w:tcPr>
          <w:p w14:paraId="375F0F5D" w14:textId="77777777" w:rsidR="00811103" w:rsidRDefault="00000000">
            <w:pPr>
              <w:jc w:val="right"/>
            </w:pPr>
            <w:r>
              <w:rPr>
                <w:rFonts w:ascii="Arial" w:hAnsi="Arial"/>
                <w:sz w:val="18"/>
              </w:rPr>
              <w:t>290</w:t>
            </w:r>
          </w:p>
        </w:tc>
        <w:tc>
          <w:tcPr>
            <w:tcW w:w="1003" w:type="dxa"/>
          </w:tcPr>
          <w:p w14:paraId="54DD4384" w14:textId="77777777" w:rsidR="00811103" w:rsidRDefault="00000000">
            <w:pPr>
              <w:jc w:val="right"/>
            </w:pPr>
            <w:r>
              <w:rPr>
                <w:rFonts w:ascii="Arial" w:hAnsi="Arial"/>
                <w:sz w:val="18"/>
              </w:rPr>
              <w:t>231,235.2</w:t>
            </w:r>
          </w:p>
        </w:tc>
        <w:tc>
          <w:tcPr>
            <w:tcW w:w="1003" w:type="dxa"/>
          </w:tcPr>
          <w:p w14:paraId="47740BE6" w14:textId="77777777" w:rsidR="00811103" w:rsidRDefault="00000000">
            <w:pPr>
              <w:jc w:val="right"/>
            </w:pPr>
            <w:r>
              <w:rPr>
                <w:rFonts w:ascii="Arial" w:hAnsi="Arial"/>
                <w:sz w:val="18"/>
              </w:rPr>
              <w:t>158,419.07</w:t>
            </w:r>
          </w:p>
        </w:tc>
        <w:tc>
          <w:tcPr>
            <w:tcW w:w="1003" w:type="dxa"/>
          </w:tcPr>
          <w:p w14:paraId="49F95471" w14:textId="77777777" w:rsidR="00811103" w:rsidRDefault="00000000">
            <w:pPr>
              <w:jc w:val="right"/>
            </w:pPr>
            <w:r>
              <w:rPr>
                <w:rFonts w:ascii="Arial" w:hAnsi="Arial"/>
                <w:sz w:val="18"/>
              </w:rPr>
              <w:t>0.9222</w:t>
            </w:r>
          </w:p>
        </w:tc>
        <w:tc>
          <w:tcPr>
            <w:tcW w:w="1003" w:type="dxa"/>
          </w:tcPr>
          <w:p w14:paraId="7D293D60" w14:textId="77777777" w:rsidR="00811103" w:rsidRDefault="00000000">
            <w:pPr>
              <w:jc w:val="right"/>
            </w:pPr>
            <w:r>
              <w:rPr>
                <w:rFonts w:ascii="Arial" w:hAnsi="Arial"/>
                <w:sz w:val="18"/>
              </w:rPr>
              <w:t>3.27</w:t>
            </w:r>
          </w:p>
        </w:tc>
        <w:tc>
          <w:tcPr>
            <w:tcW w:w="1003" w:type="dxa"/>
          </w:tcPr>
          <w:p w14:paraId="32249346" w14:textId="77777777" w:rsidR="00811103" w:rsidRDefault="00000000">
            <w:pPr>
              <w:jc w:val="right"/>
            </w:pPr>
            <w:r>
              <w:rPr>
                <w:rFonts w:ascii="Arial" w:hAnsi="Arial"/>
                <w:sz w:val="18"/>
              </w:rPr>
              <w:t>16.27%</w:t>
            </w:r>
          </w:p>
        </w:tc>
        <w:tc>
          <w:tcPr>
            <w:tcW w:w="1003" w:type="dxa"/>
          </w:tcPr>
          <w:p w14:paraId="4032A099" w14:textId="77777777" w:rsidR="00811103" w:rsidRDefault="00000000">
            <w:pPr>
              <w:jc w:val="right"/>
            </w:pPr>
            <w:r>
              <w:rPr>
                <w:rFonts w:ascii="Arial" w:hAnsi="Arial"/>
                <w:sz w:val="18"/>
              </w:rPr>
              <w:t>1.05%</w:t>
            </w:r>
          </w:p>
        </w:tc>
      </w:tr>
      <w:tr w:rsidR="00811103" w14:paraId="65B4EB67" w14:textId="77777777">
        <w:trPr>
          <w:jc w:val="center"/>
        </w:trPr>
        <w:tc>
          <w:tcPr>
            <w:tcW w:w="1003" w:type="dxa"/>
            <w:shd w:val="clear" w:color="auto" w:fill="F2F6FC"/>
          </w:tcPr>
          <w:p w14:paraId="6DB41558" w14:textId="77777777" w:rsidR="00811103" w:rsidRDefault="00000000">
            <w:r>
              <w:rPr>
                <w:rFonts w:ascii="Arial" w:hAnsi="Arial"/>
                <w:sz w:val="18"/>
              </w:rPr>
              <w:t>Retail Trade</w:t>
            </w:r>
          </w:p>
        </w:tc>
        <w:tc>
          <w:tcPr>
            <w:tcW w:w="1003" w:type="dxa"/>
            <w:shd w:val="clear" w:color="auto" w:fill="F2F6FC"/>
          </w:tcPr>
          <w:p w14:paraId="30A3CABA" w14:textId="77777777" w:rsidR="00811103" w:rsidRDefault="00000000">
            <w:pPr>
              <w:jc w:val="right"/>
            </w:pPr>
            <w:r>
              <w:rPr>
                <w:rFonts w:ascii="Arial" w:hAnsi="Arial"/>
                <w:sz w:val="18"/>
              </w:rPr>
              <w:t>152.84</w:t>
            </w:r>
          </w:p>
        </w:tc>
        <w:tc>
          <w:tcPr>
            <w:tcW w:w="1003" w:type="dxa"/>
            <w:shd w:val="clear" w:color="auto" w:fill="F2F6FC"/>
          </w:tcPr>
          <w:p w14:paraId="16A521DB" w14:textId="77777777" w:rsidR="00811103" w:rsidRDefault="00000000">
            <w:pPr>
              <w:jc w:val="right"/>
            </w:pPr>
            <w:r>
              <w:rPr>
                <w:rFonts w:ascii="Arial" w:hAnsi="Arial"/>
                <w:sz w:val="18"/>
              </w:rPr>
              <w:t>209</w:t>
            </w:r>
          </w:p>
        </w:tc>
        <w:tc>
          <w:tcPr>
            <w:tcW w:w="1003" w:type="dxa"/>
            <w:shd w:val="clear" w:color="auto" w:fill="F2F6FC"/>
          </w:tcPr>
          <w:p w14:paraId="581091B1" w14:textId="77777777" w:rsidR="00811103" w:rsidRDefault="00000000">
            <w:pPr>
              <w:jc w:val="right"/>
            </w:pPr>
            <w:r>
              <w:rPr>
                <w:rFonts w:ascii="Arial" w:hAnsi="Arial"/>
                <w:sz w:val="18"/>
              </w:rPr>
              <w:t>226,340.67</w:t>
            </w:r>
          </w:p>
        </w:tc>
        <w:tc>
          <w:tcPr>
            <w:tcW w:w="1003" w:type="dxa"/>
            <w:shd w:val="clear" w:color="auto" w:fill="F2F6FC"/>
          </w:tcPr>
          <w:p w14:paraId="0EB229EA" w14:textId="77777777" w:rsidR="00811103" w:rsidRDefault="00000000">
            <w:pPr>
              <w:jc w:val="right"/>
            </w:pPr>
            <w:r>
              <w:rPr>
                <w:rFonts w:ascii="Arial" w:hAnsi="Arial"/>
                <w:sz w:val="18"/>
              </w:rPr>
              <w:t>140,812.97</w:t>
            </w:r>
          </w:p>
        </w:tc>
        <w:tc>
          <w:tcPr>
            <w:tcW w:w="1003" w:type="dxa"/>
            <w:shd w:val="clear" w:color="auto" w:fill="F2F6FC"/>
          </w:tcPr>
          <w:p w14:paraId="63FEBE16" w14:textId="77777777" w:rsidR="00811103" w:rsidRDefault="00000000">
            <w:pPr>
              <w:jc w:val="right"/>
            </w:pPr>
            <w:r>
              <w:rPr>
                <w:rFonts w:ascii="Arial" w:hAnsi="Arial"/>
                <w:sz w:val="18"/>
              </w:rPr>
              <w:t>1.4809</w:t>
            </w:r>
          </w:p>
        </w:tc>
        <w:tc>
          <w:tcPr>
            <w:tcW w:w="1003" w:type="dxa"/>
            <w:shd w:val="clear" w:color="auto" w:fill="F2F6FC"/>
          </w:tcPr>
          <w:p w14:paraId="3ECF4828" w14:textId="77777777" w:rsidR="00811103" w:rsidRDefault="00000000">
            <w:pPr>
              <w:jc w:val="right"/>
            </w:pPr>
            <w:r>
              <w:rPr>
                <w:rFonts w:ascii="Arial" w:hAnsi="Arial"/>
                <w:sz w:val="18"/>
              </w:rPr>
              <w:t>3.21</w:t>
            </w:r>
          </w:p>
        </w:tc>
        <w:tc>
          <w:tcPr>
            <w:tcW w:w="1003" w:type="dxa"/>
            <w:shd w:val="clear" w:color="auto" w:fill="F2F6FC"/>
          </w:tcPr>
          <w:p w14:paraId="310FEB2B" w14:textId="77777777" w:rsidR="00811103" w:rsidRDefault="00000000">
            <w:pPr>
              <w:jc w:val="right"/>
            </w:pPr>
            <w:r>
              <w:rPr>
                <w:rFonts w:ascii="Arial" w:hAnsi="Arial"/>
                <w:sz w:val="18"/>
              </w:rPr>
              <w:t>9.92%</w:t>
            </w:r>
          </w:p>
        </w:tc>
        <w:tc>
          <w:tcPr>
            <w:tcW w:w="1003" w:type="dxa"/>
            <w:shd w:val="clear" w:color="auto" w:fill="F2F6FC"/>
          </w:tcPr>
          <w:p w14:paraId="4ABD92C8" w14:textId="77777777" w:rsidR="00811103" w:rsidRDefault="00000000">
            <w:pPr>
              <w:jc w:val="right"/>
            </w:pPr>
            <w:r>
              <w:rPr>
                <w:rFonts w:ascii="Arial" w:hAnsi="Arial"/>
                <w:sz w:val="18"/>
              </w:rPr>
              <w:t>1.03%</w:t>
            </w:r>
          </w:p>
        </w:tc>
      </w:tr>
      <w:tr w:rsidR="00811103" w14:paraId="6988183F" w14:textId="77777777">
        <w:trPr>
          <w:jc w:val="center"/>
        </w:trPr>
        <w:tc>
          <w:tcPr>
            <w:tcW w:w="1003" w:type="dxa"/>
          </w:tcPr>
          <w:p w14:paraId="68B7CC12" w14:textId="77777777" w:rsidR="00811103" w:rsidRDefault="00000000">
            <w:r>
              <w:rPr>
                <w:rFonts w:ascii="Arial" w:hAnsi="Arial"/>
                <w:sz w:val="18"/>
              </w:rPr>
              <w:t xml:space="preserve">Real </w:t>
            </w:r>
            <w:r>
              <w:rPr>
                <w:rFonts w:ascii="Arial" w:hAnsi="Arial"/>
                <w:sz w:val="18"/>
              </w:rPr>
              <w:lastRenderedPageBreak/>
              <w:t>Estate - Residential</w:t>
            </w:r>
          </w:p>
        </w:tc>
        <w:tc>
          <w:tcPr>
            <w:tcW w:w="1003" w:type="dxa"/>
          </w:tcPr>
          <w:p w14:paraId="6E1CBFD4" w14:textId="77777777" w:rsidR="00811103" w:rsidRDefault="00000000">
            <w:pPr>
              <w:jc w:val="right"/>
            </w:pPr>
            <w:r>
              <w:rPr>
                <w:rFonts w:ascii="Arial" w:hAnsi="Arial"/>
                <w:sz w:val="18"/>
              </w:rPr>
              <w:lastRenderedPageBreak/>
              <w:t>168.42</w:t>
            </w:r>
          </w:p>
        </w:tc>
        <w:tc>
          <w:tcPr>
            <w:tcW w:w="1003" w:type="dxa"/>
          </w:tcPr>
          <w:p w14:paraId="5FF81A6E" w14:textId="77777777" w:rsidR="00811103" w:rsidRDefault="00000000">
            <w:pPr>
              <w:jc w:val="right"/>
            </w:pPr>
            <w:r>
              <w:rPr>
                <w:rFonts w:ascii="Arial" w:hAnsi="Arial"/>
                <w:sz w:val="18"/>
              </w:rPr>
              <w:t>223</w:t>
            </w:r>
          </w:p>
        </w:tc>
        <w:tc>
          <w:tcPr>
            <w:tcW w:w="1003" w:type="dxa"/>
          </w:tcPr>
          <w:p w14:paraId="4C1AD5E3" w14:textId="77777777" w:rsidR="00811103" w:rsidRDefault="00000000">
            <w:pPr>
              <w:jc w:val="right"/>
            </w:pPr>
            <w:r>
              <w:rPr>
                <w:rFonts w:ascii="Arial" w:hAnsi="Arial"/>
                <w:sz w:val="18"/>
              </w:rPr>
              <w:t>107,465.43</w:t>
            </w:r>
          </w:p>
        </w:tc>
        <w:tc>
          <w:tcPr>
            <w:tcW w:w="1003" w:type="dxa"/>
          </w:tcPr>
          <w:p w14:paraId="3C8C3CD5" w14:textId="77777777" w:rsidR="00811103" w:rsidRDefault="00000000">
            <w:pPr>
              <w:jc w:val="right"/>
            </w:pPr>
            <w:r>
              <w:rPr>
                <w:rFonts w:ascii="Arial" w:hAnsi="Arial"/>
                <w:sz w:val="18"/>
              </w:rPr>
              <w:t>79,158.87</w:t>
            </w:r>
          </w:p>
        </w:tc>
        <w:tc>
          <w:tcPr>
            <w:tcW w:w="1003" w:type="dxa"/>
          </w:tcPr>
          <w:p w14:paraId="6B068946" w14:textId="77777777" w:rsidR="00811103" w:rsidRDefault="00000000">
            <w:pPr>
              <w:jc w:val="right"/>
            </w:pPr>
            <w:r>
              <w:rPr>
                <w:rFonts w:ascii="Arial" w:hAnsi="Arial"/>
                <w:sz w:val="18"/>
              </w:rPr>
              <w:t>0.6381</w:t>
            </w:r>
          </w:p>
        </w:tc>
        <w:tc>
          <w:tcPr>
            <w:tcW w:w="1003" w:type="dxa"/>
          </w:tcPr>
          <w:p w14:paraId="74CD30B9" w14:textId="77777777" w:rsidR="00811103" w:rsidRDefault="00000000">
            <w:pPr>
              <w:jc w:val="right"/>
            </w:pPr>
            <w:r>
              <w:rPr>
                <w:rFonts w:ascii="Arial" w:hAnsi="Arial"/>
                <w:sz w:val="18"/>
              </w:rPr>
              <w:t>3.32</w:t>
            </w:r>
          </w:p>
        </w:tc>
        <w:tc>
          <w:tcPr>
            <w:tcW w:w="1003" w:type="dxa"/>
          </w:tcPr>
          <w:p w14:paraId="7ED3116E" w14:textId="77777777" w:rsidR="00811103" w:rsidRDefault="00000000">
            <w:pPr>
              <w:jc w:val="right"/>
            </w:pPr>
            <w:r>
              <w:rPr>
                <w:rFonts w:ascii="Arial" w:hAnsi="Arial"/>
                <w:sz w:val="18"/>
              </w:rPr>
              <w:t>10.93%</w:t>
            </w:r>
          </w:p>
        </w:tc>
        <w:tc>
          <w:tcPr>
            <w:tcW w:w="1003" w:type="dxa"/>
          </w:tcPr>
          <w:p w14:paraId="02509C48" w14:textId="77777777" w:rsidR="00811103" w:rsidRDefault="00000000">
            <w:pPr>
              <w:jc w:val="right"/>
            </w:pPr>
            <w:r>
              <w:rPr>
                <w:rFonts w:ascii="Arial" w:hAnsi="Arial"/>
                <w:sz w:val="18"/>
              </w:rPr>
              <w:t>0.49%</w:t>
            </w:r>
          </w:p>
        </w:tc>
      </w:tr>
      <w:tr w:rsidR="00811103" w14:paraId="63367951" w14:textId="77777777">
        <w:trPr>
          <w:jc w:val="center"/>
        </w:trPr>
        <w:tc>
          <w:tcPr>
            <w:tcW w:w="1003" w:type="dxa"/>
            <w:shd w:val="clear" w:color="auto" w:fill="F2F6FC"/>
          </w:tcPr>
          <w:p w14:paraId="25171B88" w14:textId="77777777" w:rsidR="00811103" w:rsidRDefault="00000000">
            <w:r>
              <w:rPr>
                <w:rFonts w:ascii="Arial" w:hAnsi="Arial"/>
                <w:sz w:val="18"/>
              </w:rPr>
              <w:t>Financial Services</w:t>
            </w:r>
          </w:p>
        </w:tc>
        <w:tc>
          <w:tcPr>
            <w:tcW w:w="1003" w:type="dxa"/>
            <w:shd w:val="clear" w:color="auto" w:fill="F2F6FC"/>
          </w:tcPr>
          <w:p w14:paraId="0287F771" w14:textId="77777777" w:rsidR="00811103" w:rsidRDefault="00000000">
            <w:pPr>
              <w:jc w:val="right"/>
            </w:pPr>
            <w:r>
              <w:rPr>
                <w:rFonts w:ascii="Arial" w:hAnsi="Arial"/>
                <w:sz w:val="18"/>
              </w:rPr>
              <w:t>206.62</w:t>
            </w:r>
          </w:p>
        </w:tc>
        <w:tc>
          <w:tcPr>
            <w:tcW w:w="1003" w:type="dxa"/>
            <w:shd w:val="clear" w:color="auto" w:fill="F2F6FC"/>
          </w:tcPr>
          <w:p w14:paraId="352C6505" w14:textId="77777777" w:rsidR="00811103" w:rsidRDefault="00000000">
            <w:pPr>
              <w:jc w:val="right"/>
            </w:pPr>
            <w:r>
              <w:rPr>
                <w:rFonts w:ascii="Arial" w:hAnsi="Arial"/>
                <w:sz w:val="18"/>
              </w:rPr>
              <w:t>257</w:t>
            </w:r>
          </w:p>
        </w:tc>
        <w:tc>
          <w:tcPr>
            <w:tcW w:w="1003" w:type="dxa"/>
            <w:shd w:val="clear" w:color="auto" w:fill="F2F6FC"/>
          </w:tcPr>
          <w:p w14:paraId="032C48CA" w14:textId="77777777" w:rsidR="00811103" w:rsidRDefault="00000000">
            <w:pPr>
              <w:jc w:val="right"/>
            </w:pPr>
            <w:r>
              <w:rPr>
                <w:rFonts w:ascii="Arial" w:hAnsi="Arial"/>
                <w:sz w:val="18"/>
              </w:rPr>
              <w:t>73,693.74</w:t>
            </w:r>
          </w:p>
        </w:tc>
        <w:tc>
          <w:tcPr>
            <w:tcW w:w="1003" w:type="dxa"/>
            <w:shd w:val="clear" w:color="auto" w:fill="F2F6FC"/>
          </w:tcPr>
          <w:p w14:paraId="54F11AF0" w14:textId="77777777" w:rsidR="00811103" w:rsidRDefault="00000000">
            <w:pPr>
              <w:jc w:val="right"/>
            </w:pPr>
            <w:r>
              <w:rPr>
                <w:rFonts w:ascii="Arial" w:hAnsi="Arial"/>
                <w:sz w:val="18"/>
              </w:rPr>
              <w:t>49,718.26</w:t>
            </w:r>
          </w:p>
        </w:tc>
        <w:tc>
          <w:tcPr>
            <w:tcW w:w="1003" w:type="dxa"/>
            <w:shd w:val="clear" w:color="auto" w:fill="F2F6FC"/>
          </w:tcPr>
          <w:p w14:paraId="40A353D0" w14:textId="77777777" w:rsidR="00811103" w:rsidRDefault="00000000">
            <w:pPr>
              <w:jc w:val="right"/>
            </w:pPr>
            <w:r>
              <w:rPr>
                <w:rFonts w:ascii="Arial" w:hAnsi="Arial"/>
                <w:sz w:val="18"/>
              </w:rPr>
              <w:t>0.3567</w:t>
            </w:r>
          </w:p>
        </w:tc>
        <w:tc>
          <w:tcPr>
            <w:tcW w:w="1003" w:type="dxa"/>
            <w:shd w:val="clear" w:color="auto" w:fill="F2F6FC"/>
          </w:tcPr>
          <w:p w14:paraId="54D32F3F" w14:textId="77777777" w:rsidR="00811103" w:rsidRDefault="00000000">
            <w:pPr>
              <w:jc w:val="right"/>
            </w:pPr>
            <w:r>
              <w:rPr>
                <w:rFonts w:ascii="Arial" w:hAnsi="Arial"/>
                <w:sz w:val="18"/>
              </w:rPr>
              <w:t>3.42</w:t>
            </w:r>
          </w:p>
        </w:tc>
        <w:tc>
          <w:tcPr>
            <w:tcW w:w="1003" w:type="dxa"/>
            <w:shd w:val="clear" w:color="auto" w:fill="F2F6FC"/>
          </w:tcPr>
          <w:p w14:paraId="44C8782D" w14:textId="77777777" w:rsidR="00811103" w:rsidRDefault="00000000">
            <w:pPr>
              <w:jc w:val="right"/>
            </w:pPr>
            <w:r>
              <w:rPr>
                <w:rFonts w:ascii="Arial" w:hAnsi="Arial"/>
                <w:sz w:val="18"/>
              </w:rPr>
              <w:t>13.41%</w:t>
            </w:r>
          </w:p>
        </w:tc>
        <w:tc>
          <w:tcPr>
            <w:tcW w:w="1003" w:type="dxa"/>
            <w:shd w:val="clear" w:color="auto" w:fill="F2F6FC"/>
          </w:tcPr>
          <w:p w14:paraId="59B72C97" w14:textId="77777777" w:rsidR="00811103" w:rsidRDefault="00000000">
            <w:pPr>
              <w:jc w:val="right"/>
            </w:pPr>
            <w:r>
              <w:rPr>
                <w:rFonts w:ascii="Arial" w:hAnsi="Arial"/>
                <w:sz w:val="18"/>
              </w:rPr>
              <w:t>0.34%</w:t>
            </w:r>
          </w:p>
        </w:tc>
      </w:tr>
      <w:tr w:rsidR="00811103" w14:paraId="5A05AB51" w14:textId="77777777">
        <w:trPr>
          <w:jc w:val="center"/>
        </w:trPr>
        <w:tc>
          <w:tcPr>
            <w:tcW w:w="1003" w:type="dxa"/>
          </w:tcPr>
          <w:p w14:paraId="3BD8F7CF" w14:textId="77777777" w:rsidR="00811103" w:rsidRDefault="00000000">
            <w:r>
              <w:rPr>
                <w:rFonts w:ascii="Arial" w:hAnsi="Arial"/>
                <w:sz w:val="18"/>
              </w:rPr>
              <w:t>**Total Portfolio**</w:t>
            </w:r>
          </w:p>
        </w:tc>
        <w:tc>
          <w:tcPr>
            <w:tcW w:w="1003" w:type="dxa"/>
          </w:tcPr>
          <w:p w14:paraId="0DA7A2CF" w14:textId="77777777" w:rsidR="00811103" w:rsidRDefault="00000000">
            <w:r>
              <w:rPr>
                <w:rFonts w:ascii="Arial" w:hAnsi="Arial"/>
                <w:sz w:val="18"/>
              </w:rPr>
              <w:t>**1,541.18**</w:t>
            </w:r>
          </w:p>
        </w:tc>
        <w:tc>
          <w:tcPr>
            <w:tcW w:w="1003" w:type="dxa"/>
          </w:tcPr>
          <w:p w14:paraId="731D942C" w14:textId="77777777" w:rsidR="00811103" w:rsidRDefault="00000000">
            <w:r>
              <w:rPr>
                <w:rFonts w:ascii="Arial" w:hAnsi="Arial"/>
                <w:sz w:val="18"/>
              </w:rPr>
              <w:t>**1,955**</w:t>
            </w:r>
          </w:p>
        </w:tc>
        <w:tc>
          <w:tcPr>
            <w:tcW w:w="1003" w:type="dxa"/>
          </w:tcPr>
          <w:p w14:paraId="50CA45EF" w14:textId="77777777" w:rsidR="00811103" w:rsidRDefault="00000000">
            <w:r>
              <w:rPr>
                <w:rFonts w:ascii="Arial" w:hAnsi="Arial"/>
                <w:sz w:val="18"/>
              </w:rPr>
              <w:t>**21,976,797.3**</w:t>
            </w:r>
          </w:p>
        </w:tc>
        <w:tc>
          <w:tcPr>
            <w:tcW w:w="1003" w:type="dxa"/>
          </w:tcPr>
          <w:p w14:paraId="7AE9B5AA" w14:textId="77777777" w:rsidR="00811103" w:rsidRDefault="00000000">
            <w:r>
              <w:rPr>
                <w:rFonts w:ascii="Arial" w:hAnsi="Arial"/>
                <w:sz w:val="18"/>
              </w:rPr>
              <w:t>**15,280,174.14**</w:t>
            </w:r>
          </w:p>
        </w:tc>
        <w:tc>
          <w:tcPr>
            <w:tcW w:w="1003" w:type="dxa"/>
          </w:tcPr>
          <w:p w14:paraId="72EB44C6" w14:textId="77777777" w:rsidR="00811103" w:rsidRDefault="00000000">
            <w:r>
              <w:rPr>
                <w:rFonts w:ascii="Arial" w:hAnsi="Arial"/>
                <w:sz w:val="18"/>
              </w:rPr>
              <w:t>**239.400139**</w:t>
            </w:r>
          </w:p>
        </w:tc>
        <w:tc>
          <w:tcPr>
            <w:tcW w:w="1003" w:type="dxa"/>
          </w:tcPr>
          <w:p w14:paraId="46BA503F" w14:textId="77777777" w:rsidR="00811103" w:rsidRDefault="00000000">
            <w:r>
              <w:rPr>
                <w:rFonts w:ascii="Arial" w:hAnsi="Arial"/>
                <w:sz w:val="18"/>
              </w:rPr>
              <w:t>**3.36**</w:t>
            </w:r>
          </w:p>
        </w:tc>
        <w:tc>
          <w:tcPr>
            <w:tcW w:w="1003" w:type="dxa"/>
          </w:tcPr>
          <w:p w14:paraId="74A56583" w14:textId="77777777" w:rsidR="00811103" w:rsidRDefault="00000000">
            <w:r>
              <w:rPr>
                <w:rFonts w:ascii="Arial" w:hAnsi="Arial"/>
                <w:sz w:val="18"/>
              </w:rPr>
              <w:t>**100.00%**</w:t>
            </w:r>
          </w:p>
        </w:tc>
        <w:tc>
          <w:tcPr>
            <w:tcW w:w="1003" w:type="dxa"/>
          </w:tcPr>
          <w:p w14:paraId="0834509F" w14:textId="77777777" w:rsidR="00811103" w:rsidRDefault="00000000">
            <w:r>
              <w:rPr>
                <w:rFonts w:ascii="Arial" w:hAnsi="Arial"/>
                <w:sz w:val="18"/>
              </w:rPr>
              <w:t>**100.00%**</w:t>
            </w:r>
          </w:p>
        </w:tc>
      </w:tr>
    </w:tbl>
    <w:p w14:paraId="268A2E2D" w14:textId="77777777" w:rsidR="00811103" w:rsidRDefault="00000000">
      <w:r>
        <w:rPr>
          <w:rFonts w:ascii="Arial" w:hAnsi="Arial"/>
          <w:i/>
          <w:sz w:val="16"/>
        </w:rPr>
        <w:t>Source: Source: Institution's PCAF calculation engine. Gross emissions represent unadjusted attributed emissions; confidence-weighted emissions apply PCAF data quality factors. NACE sector classifications per EU statistical standard. PCAF scores range from 1 (highest quality, verified data) to 5 (lowest quality, sector proxy).</w:t>
      </w:r>
    </w:p>
    <w:p w14:paraId="1E1A2F78" w14:textId="77777777" w:rsidR="00811103" w:rsidRDefault="00811103"/>
    <w:p w14:paraId="6D9BCE21" w14:textId="77777777" w:rsidR="00811103" w:rsidRDefault="00000000">
      <w:r>
        <w:rPr>
          <w:rFonts w:ascii="Arial" w:hAnsi="Arial"/>
          <w:b/>
          <w:sz w:val="20"/>
        </w:rPr>
        <w:t>Table 2: SASB FN-CB-410a.3 — Financed Emissions Summary</w:t>
      </w:r>
    </w:p>
    <w:tbl>
      <w:tblPr>
        <w:tblW w:w="0" w:type="auto"/>
        <w:jc w:val="center"/>
        <w:tblLook w:val="04A0" w:firstRow="1" w:lastRow="0" w:firstColumn="1" w:lastColumn="0" w:noHBand="0" w:noVBand="1"/>
      </w:tblPr>
      <w:tblGrid>
        <w:gridCol w:w="2257"/>
        <w:gridCol w:w="2257"/>
        <w:gridCol w:w="2257"/>
        <w:gridCol w:w="2257"/>
      </w:tblGrid>
      <w:tr w:rsidR="00811103" w14:paraId="3EEC3BCF" w14:textId="77777777">
        <w:trPr>
          <w:jc w:val="center"/>
        </w:trPr>
        <w:tc>
          <w:tcPr>
            <w:tcW w:w="2257" w:type="dxa"/>
            <w:shd w:val="clear" w:color="auto" w:fill="1B3A6B"/>
          </w:tcPr>
          <w:p w14:paraId="0D3FC965" w14:textId="77777777" w:rsidR="00811103" w:rsidRDefault="00000000">
            <w:r>
              <w:rPr>
                <w:rFonts w:ascii="Arial" w:hAnsi="Arial"/>
                <w:b/>
                <w:color w:val="FFFFFF"/>
                <w:sz w:val="18"/>
              </w:rPr>
              <w:t>Metric</w:t>
            </w:r>
          </w:p>
        </w:tc>
        <w:tc>
          <w:tcPr>
            <w:tcW w:w="2257" w:type="dxa"/>
            <w:shd w:val="clear" w:color="auto" w:fill="1B3A6B"/>
          </w:tcPr>
          <w:p w14:paraId="631DCF7A" w14:textId="77777777" w:rsidR="00811103" w:rsidRDefault="00000000">
            <w:r>
              <w:rPr>
                <w:rFonts w:ascii="Arial" w:hAnsi="Arial"/>
                <w:b/>
                <w:color w:val="FFFFFF"/>
                <w:sz w:val="18"/>
              </w:rPr>
              <w:t>Value</w:t>
            </w:r>
          </w:p>
        </w:tc>
        <w:tc>
          <w:tcPr>
            <w:tcW w:w="2257" w:type="dxa"/>
            <w:shd w:val="clear" w:color="auto" w:fill="1B3A6B"/>
          </w:tcPr>
          <w:p w14:paraId="09AD6679" w14:textId="77777777" w:rsidR="00811103" w:rsidRDefault="00000000">
            <w:r>
              <w:rPr>
                <w:rFonts w:ascii="Arial" w:hAnsi="Arial"/>
                <w:b/>
                <w:color w:val="FFFFFF"/>
                <w:sz w:val="18"/>
              </w:rPr>
              <w:t>Unit</w:t>
            </w:r>
          </w:p>
        </w:tc>
        <w:tc>
          <w:tcPr>
            <w:tcW w:w="2257" w:type="dxa"/>
            <w:shd w:val="clear" w:color="auto" w:fill="1B3A6B"/>
          </w:tcPr>
          <w:p w14:paraId="5C40D9B1" w14:textId="77777777" w:rsidR="00811103" w:rsidRDefault="00000000">
            <w:r>
              <w:rPr>
                <w:rFonts w:ascii="Arial" w:hAnsi="Arial"/>
                <w:b/>
                <w:color w:val="FFFFFF"/>
                <w:sz w:val="18"/>
              </w:rPr>
              <w:t>Methodology Standard</w:t>
            </w:r>
          </w:p>
        </w:tc>
      </w:tr>
      <w:tr w:rsidR="00811103" w14:paraId="0314DA03" w14:textId="77777777">
        <w:trPr>
          <w:jc w:val="center"/>
        </w:trPr>
        <w:tc>
          <w:tcPr>
            <w:tcW w:w="2257" w:type="dxa"/>
          </w:tcPr>
          <w:p w14:paraId="07BF4C3E" w14:textId="77777777" w:rsidR="00811103" w:rsidRDefault="00000000">
            <w:r>
              <w:rPr>
                <w:rFonts w:ascii="Arial" w:hAnsi="Arial"/>
                <w:sz w:val="18"/>
              </w:rPr>
              <w:t>Gross Financed Emissions (Scope 3 Cat 15)</w:t>
            </w:r>
          </w:p>
        </w:tc>
        <w:tc>
          <w:tcPr>
            <w:tcW w:w="2257" w:type="dxa"/>
          </w:tcPr>
          <w:p w14:paraId="50DCAA68" w14:textId="77777777" w:rsidR="00811103" w:rsidRDefault="00000000">
            <w:pPr>
              <w:jc w:val="right"/>
            </w:pPr>
            <w:r>
              <w:rPr>
                <w:rFonts w:ascii="Arial" w:hAnsi="Arial"/>
                <w:sz w:val="18"/>
              </w:rPr>
              <w:t>21,976,797.3</w:t>
            </w:r>
          </w:p>
        </w:tc>
        <w:tc>
          <w:tcPr>
            <w:tcW w:w="2257" w:type="dxa"/>
          </w:tcPr>
          <w:p w14:paraId="3C82475A" w14:textId="77777777" w:rsidR="00811103" w:rsidRDefault="00000000">
            <w:r>
              <w:rPr>
                <w:rFonts w:ascii="Arial" w:hAnsi="Arial"/>
                <w:sz w:val="18"/>
              </w:rPr>
              <w:t>tCO2e</w:t>
            </w:r>
          </w:p>
        </w:tc>
        <w:tc>
          <w:tcPr>
            <w:tcW w:w="2257" w:type="dxa"/>
          </w:tcPr>
          <w:p w14:paraId="6CF80CED" w14:textId="77777777" w:rsidR="00811103" w:rsidRDefault="00000000">
            <w:r>
              <w:rPr>
                <w:rFonts w:ascii="Arial" w:hAnsi="Arial"/>
                <w:sz w:val="18"/>
              </w:rPr>
              <w:t>PCAF Global GHG Accounting Standard (2022)</w:t>
            </w:r>
          </w:p>
        </w:tc>
      </w:tr>
      <w:tr w:rsidR="00811103" w14:paraId="114207F4" w14:textId="77777777">
        <w:trPr>
          <w:jc w:val="center"/>
        </w:trPr>
        <w:tc>
          <w:tcPr>
            <w:tcW w:w="2257" w:type="dxa"/>
            <w:shd w:val="clear" w:color="auto" w:fill="F2F6FC"/>
          </w:tcPr>
          <w:p w14:paraId="51FC4695" w14:textId="77777777" w:rsidR="00811103" w:rsidRDefault="00000000">
            <w:r>
              <w:rPr>
                <w:rFonts w:ascii="Arial" w:hAnsi="Arial"/>
                <w:sz w:val="18"/>
              </w:rPr>
              <w:t>Confidence-Weighted Financed Emissions</w:t>
            </w:r>
          </w:p>
        </w:tc>
        <w:tc>
          <w:tcPr>
            <w:tcW w:w="2257" w:type="dxa"/>
            <w:shd w:val="clear" w:color="auto" w:fill="F2F6FC"/>
          </w:tcPr>
          <w:p w14:paraId="562CA363" w14:textId="77777777" w:rsidR="00811103" w:rsidRDefault="00000000">
            <w:pPr>
              <w:jc w:val="right"/>
            </w:pPr>
            <w:r>
              <w:rPr>
                <w:rFonts w:ascii="Arial" w:hAnsi="Arial"/>
                <w:sz w:val="18"/>
              </w:rPr>
              <w:t>15,280,174.14</w:t>
            </w:r>
          </w:p>
        </w:tc>
        <w:tc>
          <w:tcPr>
            <w:tcW w:w="2257" w:type="dxa"/>
            <w:shd w:val="clear" w:color="auto" w:fill="F2F6FC"/>
          </w:tcPr>
          <w:p w14:paraId="0984F4F8" w14:textId="77777777" w:rsidR="00811103" w:rsidRDefault="00000000">
            <w:r>
              <w:rPr>
                <w:rFonts w:ascii="Arial" w:hAnsi="Arial"/>
                <w:sz w:val="18"/>
              </w:rPr>
              <w:t>tCO2e</w:t>
            </w:r>
          </w:p>
        </w:tc>
        <w:tc>
          <w:tcPr>
            <w:tcW w:w="2257" w:type="dxa"/>
            <w:shd w:val="clear" w:color="auto" w:fill="F2F6FC"/>
          </w:tcPr>
          <w:p w14:paraId="4CB68611" w14:textId="77777777" w:rsidR="00811103" w:rsidRDefault="00000000">
            <w:r>
              <w:rPr>
                <w:rFonts w:ascii="Arial" w:hAnsi="Arial"/>
                <w:sz w:val="18"/>
              </w:rPr>
              <w:t>PCAF Global GHG Accounting Standard (2022)</w:t>
            </w:r>
          </w:p>
        </w:tc>
      </w:tr>
      <w:tr w:rsidR="00811103" w14:paraId="74A358C5" w14:textId="77777777">
        <w:trPr>
          <w:jc w:val="center"/>
        </w:trPr>
        <w:tc>
          <w:tcPr>
            <w:tcW w:w="2257" w:type="dxa"/>
          </w:tcPr>
          <w:p w14:paraId="2D37E3F3" w14:textId="77777777" w:rsidR="00811103" w:rsidRDefault="00000000">
            <w:r>
              <w:rPr>
                <w:rFonts w:ascii="Arial" w:hAnsi="Arial"/>
                <w:sz w:val="18"/>
              </w:rPr>
              <w:t>Portfolio Coverage</w:t>
            </w:r>
          </w:p>
        </w:tc>
        <w:tc>
          <w:tcPr>
            <w:tcW w:w="2257" w:type="dxa"/>
          </w:tcPr>
          <w:p w14:paraId="54309F9E" w14:textId="77777777" w:rsidR="00811103" w:rsidRDefault="00000000">
            <w:pPr>
              <w:jc w:val="right"/>
            </w:pPr>
            <w:r>
              <w:rPr>
                <w:rFonts w:ascii="Arial" w:hAnsi="Arial"/>
                <w:sz w:val="18"/>
              </w:rPr>
              <w:t>100</w:t>
            </w:r>
          </w:p>
        </w:tc>
        <w:tc>
          <w:tcPr>
            <w:tcW w:w="2257" w:type="dxa"/>
          </w:tcPr>
          <w:p w14:paraId="68684F08" w14:textId="77777777" w:rsidR="00811103" w:rsidRDefault="00000000">
            <w:r>
              <w:rPr>
                <w:rFonts w:ascii="Arial" w:hAnsi="Arial"/>
                <w:sz w:val="18"/>
              </w:rPr>
              <w:t>%</w:t>
            </w:r>
          </w:p>
        </w:tc>
        <w:tc>
          <w:tcPr>
            <w:tcW w:w="2257" w:type="dxa"/>
          </w:tcPr>
          <w:p w14:paraId="04ACCF8F" w14:textId="77777777" w:rsidR="00811103" w:rsidRDefault="00000000">
            <w:r>
              <w:rPr>
                <w:rFonts w:ascii="Arial" w:hAnsi="Arial"/>
                <w:sz w:val="18"/>
              </w:rPr>
              <w:t>All in-scope asset classes (corporate loans, commercial real estate, business loans)</w:t>
            </w:r>
          </w:p>
        </w:tc>
      </w:tr>
      <w:tr w:rsidR="00811103" w14:paraId="40D2527D" w14:textId="77777777">
        <w:trPr>
          <w:jc w:val="center"/>
        </w:trPr>
        <w:tc>
          <w:tcPr>
            <w:tcW w:w="2257" w:type="dxa"/>
            <w:shd w:val="clear" w:color="auto" w:fill="F2F6FC"/>
          </w:tcPr>
          <w:p w14:paraId="399163C5" w14:textId="77777777" w:rsidR="00811103" w:rsidRDefault="00000000">
            <w:r>
              <w:rPr>
                <w:rFonts w:ascii="Arial" w:hAnsi="Arial"/>
                <w:sz w:val="18"/>
              </w:rPr>
              <w:t>Portfolio-Weighted Avg PCAF Score</w:t>
            </w:r>
          </w:p>
        </w:tc>
        <w:tc>
          <w:tcPr>
            <w:tcW w:w="2257" w:type="dxa"/>
            <w:shd w:val="clear" w:color="auto" w:fill="F2F6FC"/>
          </w:tcPr>
          <w:p w14:paraId="19AD4D1E" w14:textId="77777777" w:rsidR="00811103" w:rsidRDefault="00000000">
            <w:pPr>
              <w:jc w:val="right"/>
            </w:pPr>
            <w:r>
              <w:rPr>
                <w:rFonts w:ascii="Arial" w:hAnsi="Arial"/>
                <w:sz w:val="18"/>
              </w:rPr>
              <w:t>3.36</w:t>
            </w:r>
          </w:p>
        </w:tc>
        <w:tc>
          <w:tcPr>
            <w:tcW w:w="2257" w:type="dxa"/>
            <w:shd w:val="clear" w:color="auto" w:fill="F2F6FC"/>
          </w:tcPr>
          <w:p w14:paraId="2874357E" w14:textId="77777777" w:rsidR="00811103" w:rsidRDefault="00000000">
            <w:r>
              <w:rPr>
                <w:rFonts w:ascii="Arial" w:hAnsi="Arial"/>
                <w:sz w:val="18"/>
              </w:rPr>
              <w:t>Score (1-5)</w:t>
            </w:r>
          </w:p>
        </w:tc>
        <w:tc>
          <w:tcPr>
            <w:tcW w:w="2257" w:type="dxa"/>
            <w:shd w:val="clear" w:color="auto" w:fill="F2F6FC"/>
          </w:tcPr>
          <w:p w14:paraId="0D34E217" w14:textId="77777777" w:rsidR="00811103" w:rsidRDefault="00000000">
            <w:r>
              <w:rPr>
                <w:rFonts w:ascii="Arial" w:hAnsi="Arial"/>
                <w:sz w:val="18"/>
              </w:rPr>
              <w:t>PCAF Data Quality Scoring (1=verified, 5=proxy)</w:t>
            </w:r>
          </w:p>
        </w:tc>
      </w:tr>
      <w:tr w:rsidR="00811103" w14:paraId="2A216CC6" w14:textId="77777777">
        <w:trPr>
          <w:jc w:val="center"/>
        </w:trPr>
        <w:tc>
          <w:tcPr>
            <w:tcW w:w="2257" w:type="dxa"/>
          </w:tcPr>
          <w:p w14:paraId="5FB35FD9" w14:textId="77777777" w:rsidR="00811103" w:rsidRDefault="00000000">
            <w:r>
              <w:rPr>
                <w:rFonts w:ascii="Arial" w:hAnsi="Arial"/>
                <w:sz w:val="18"/>
              </w:rPr>
              <w:t>Emission Intensity</w:t>
            </w:r>
          </w:p>
        </w:tc>
        <w:tc>
          <w:tcPr>
            <w:tcW w:w="2257" w:type="dxa"/>
          </w:tcPr>
          <w:p w14:paraId="7F70EAE2" w14:textId="77777777" w:rsidR="00811103" w:rsidRDefault="00000000">
            <w:pPr>
              <w:jc w:val="right"/>
            </w:pPr>
            <w:r>
              <w:rPr>
                <w:rFonts w:ascii="Arial" w:hAnsi="Arial"/>
                <w:sz w:val="18"/>
              </w:rPr>
              <w:t>239.400139</w:t>
            </w:r>
          </w:p>
        </w:tc>
        <w:tc>
          <w:tcPr>
            <w:tcW w:w="2257" w:type="dxa"/>
          </w:tcPr>
          <w:p w14:paraId="29EFE540" w14:textId="77777777" w:rsidR="00811103" w:rsidRDefault="00000000">
            <w:r>
              <w:rPr>
                <w:rFonts w:ascii="Arial" w:hAnsi="Arial"/>
                <w:sz w:val="18"/>
              </w:rPr>
              <w:t>tCO2e/IDR Bn</w:t>
            </w:r>
          </w:p>
        </w:tc>
        <w:tc>
          <w:tcPr>
            <w:tcW w:w="2257" w:type="dxa"/>
          </w:tcPr>
          <w:p w14:paraId="733A998B" w14:textId="77777777" w:rsidR="00811103" w:rsidRDefault="00000000">
            <w:r>
              <w:rPr>
                <w:rFonts w:ascii="Arial" w:hAnsi="Arial"/>
                <w:sz w:val="18"/>
              </w:rPr>
              <w:t>Confidence-weighted emissions ÷ total outstanding loans</w:t>
            </w:r>
          </w:p>
        </w:tc>
      </w:tr>
      <w:tr w:rsidR="00811103" w14:paraId="4AF4FAE2" w14:textId="77777777">
        <w:trPr>
          <w:jc w:val="center"/>
        </w:trPr>
        <w:tc>
          <w:tcPr>
            <w:tcW w:w="2257" w:type="dxa"/>
            <w:shd w:val="clear" w:color="auto" w:fill="F2F6FC"/>
          </w:tcPr>
          <w:p w14:paraId="5F56A465" w14:textId="77777777" w:rsidR="00811103" w:rsidRDefault="00000000">
            <w:r>
              <w:rPr>
                <w:rFonts w:ascii="Arial" w:hAnsi="Arial"/>
                <w:sz w:val="18"/>
              </w:rPr>
              <w:t>Total Outstanding Loans Measured</w:t>
            </w:r>
          </w:p>
        </w:tc>
        <w:tc>
          <w:tcPr>
            <w:tcW w:w="2257" w:type="dxa"/>
            <w:shd w:val="clear" w:color="auto" w:fill="F2F6FC"/>
          </w:tcPr>
          <w:p w14:paraId="19EDA6F0" w14:textId="77777777" w:rsidR="00811103" w:rsidRDefault="00000000">
            <w:pPr>
              <w:jc w:val="right"/>
            </w:pPr>
            <w:r>
              <w:rPr>
                <w:rFonts w:ascii="Arial" w:hAnsi="Arial"/>
                <w:sz w:val="18"/>
              </w:rPr>
              <w:t>1,541.18</w:t>
            </w:r>
          </w:p>
        </w:tc>
        <w:tc>
          <w:tcPr>
            <w:tcW w:w="2257" w:type="dxa"/>
            <w:shd w:val="clear" w:color="auto" w:fill="F2F6FC"/>
          </w:tcPr>
          <w:p w14:paraId="4D29FC69" w14:textId="77777777" w:rsidR="00811103" w:rsidRDefault="00000000">
            <w:r>
              <w:rPr>
                <w:rFonts w:ascii="Arial" w:hAnsi="Arial"/>
                <w:sz w:val="18"/>
              </w:rPr>
              <w:t>IDR Trillion</w:t>
            </w:r>
          </w:p>
        </w:tc>
        <w:tc>
          <w:tcPr>
            <w:tcW w:w="2257" w:type="dxa"/>
            <w:shd w:val="clear" w:color="auto" w:fill="F2F6FC"/>
          </w:tcPr>
          <w:p w14:paraId="5EC51CF6" w14:textId="77777777" w:rsidR="00811103" w:rsidRDefault="00000000">
            <w:r>
              <w:rPr>
                <w:rFonts w:ascii="Arial" w:hAnsi="Arial"/>
                <w:sz w:val="18"/>
              </w:rPr>
              <w:t>Commercial and industrial credit exposures</w:t>
            </w:r>
          </w:p>
        </w:tc>
      </w:tr>
    </w:tbl>
    <w:p w14:paraId="3349910F" w14:textId="77777777" w:rsidR="00811103" w:rsidRDefault="00000000">
      <w:r>
        <w:rPr>
          <w:rFonts w:ascii="Arial" w:hAnsi="Arial"/>
          <w:i/>
          <w:sz w:val="16"/>
        </w:rPr>
        <w:t>Source: Source: Institution's ESG data warehouse. Reported per SASB Standard FN-CB-410a.3 for commercial banks. Confidence-weighted metric used for intensity calculation per PCAF guidance on target-setting.</w:t>
      </w:r>
    </w:p>
    <w:p w14:paraId="284EC7F0" w14:textId="77777777" w:rsidR="00811103" w:rsidRDefault="00811103"/>
    <w:p w14:paraId="715913B5" w14:textId="77777777" w:rsidR="00811103" w:rsidRDefault="00000000">
      <w:r>
        <w:rPr>
          <w:i/>
          <w:color w:val="3D6094"/>
          <w:sz w:val="18"/>
        </w:rPr>
        <w:t>Framework references: IFRS S2 para 29(a)(vi)(2) — Scope 3 Category 15 financed emissions disclosure; IFRS S2 para B58-B63 — Financed emissions guidance for financial institutions; IFRS S2 para 29(b)-(d) — Climate-related transition and physical risk metrics; SASB FN-CB-410a.3 — Financed emissions for commercial banks; GHG Protocol Scope 3 Standard (2011) — Category 15 Investments; PCAF Global GHG Accounting Standard (2022) — Attribution methodology and data quality scoring</w:t>
      </w:r>
    </w:p>
    <w:p w14:paraId="0155F893" w14:textId="77777777" w:rsidR="00811103" w:rsidRDefault="00811103">
      <w:pPr>
        <w:pBdr>
          <w:bottom w:val="single" w:sz="6" w:space="1" w:color="999999"/>
        </w:pBdr>
        <w:spacing w:after="80"/>
      </w:pPr>
    </w:p>
    <w:p w14:paraId="5A2DCF94" w14:textId="77777777" w:rsidR="00811103" w:rsidRDefault="00000000">
      <w:pPr>
        <w:spacing w:after="160"/>
        <w:jc w:val="both"/>
      </w:pPr>
      <w:r>
        <w:rPr>
          <w:rFonts w:ascii="Arial" w:hAnsi="Arial"/>
          <w:i/>
          <w:color w:val="646464"/>
          <w:sz w:val="18"/>
        </w:rPr>
        <w:t>These figures have not been subject to external assurance for the current reporting period.</w:t>
      </w:r>
    </w:p>
    <w:p w14:paraId="2A81591A" w14:textId="77777777" w:rsidR="00811103" w:rsidRDefault="00000000">
      <w:pPr>
        <w:spacing w:after="160"/>
        <w:jc w:val="both"/>
      </w:pPr>
      <w:r>
        <w:rPr>
          <w:rFonts w:ascii="Arial" w:hAnsi="Arial"/>
          <w:i/>
          <w:color w:val="646464"/>
          <w:sz w:val="18"/>
        </w:rPr>
        <w:t>Financed emissions calculated per PCAF Global GHG Accounting and Reporting Standard (2022). Attribution factor methodology applied to corporate loans using enterprise value including cash as denominator.</w:t>
      </w:r>
    </w:p>
    <w:p w14:paraId="3F4414CF" w14:textId="77777777" w:rsidR="00811103" w:rsidRDefault="00000000">
      <w:pPr>
        <w:spacing w:after="160"/>
        <w:jc w:val="both"/>
      </w:pPr>
      <w:r>
        <w:rPr>
          <w:rFonts w:ascii="Arial" w:hAnsi="Arial"/>
          <w:i/>
          <w:color w:val="646464"/>
          <w:sz w:val="18"/>
        </w:rPr>
        <w:lastRenderedPageBreak/>
        <w:t>Gross financed emissions represent unadjusted attributed emissions; confidence-weighted emissions apply PCAF confidence factors ranging from 1.00 (verified data) to 0.45 (sector proxy).</w:t>
      </w:r>
    </w:p>
    <w:p w14:paraId="31DF254A" w14:textId="77777777" w:rsidR="00811103" w:rsidRDefault="00000000">
      <w:pPr>
        <w:spacing w:after="160"/>
        <w:jc w:val="both"/>
      </w:pPr>
      <w:r>
        <w:rPr>
          <w:rFonts w:ascii="Arial" w:hAnsi="Arial"/>
          <w:i/>
          <w:color w:val="646464"/>
          <w:sz w:val="18"/>
        </w:rPr>
        <w:t>Portfolio coverage of 100% applies to in-scope asset classes (corporate loans, commercial real estate, business loans). Residential mortgages and sovereign debt excluded pending data infrastructure development.</w:t>
      </w:r>
    </w:p>
    <w:p w14:paraId="58A6446C" w14:textId="77777777" w:rsidR="00811103" w:rsidRDefault="00000000">
      <w:pPr>
        <w:spacing w:after="160"/>
        <w:jc w:val="both"/>
      </w:pPr>
      <w:r>
        <w:rPr>
          <w:rFonts w:ascii="Arial" w:hAnsi="Arial"/>
          <w:i/>
          <w:color w:val="646464"/>
          <w:sz w:val="18"/>
        </w:rPr>
        <w:t>PCAF data quality scores: 1=verified emissions (CDP/equivalent), 2=reported unverified, 3=EEIO+revenue, 4=EEIO+assets, 5=sector proxy. Institution's average score of 3.36 indicates reliance on EEIO-based estimates.</w:t>
      </w:r>
    </w:p>
    <w:p w14:paraId="7D9BDA71" w14:textId="77777777" w:rsidR="00811103" w:rsidRDefault="00000000">
      <w:pPr>
        <w:spacing w:after="160"/>
        <w:jc w:val="both"/>
      </w:pPr>
      <w:r>
        <w:rPr>
          <w:rFonts w:ascii="Arial" w:hAnsi="Arial"/>
          <w:i/>
          <w:color w:val="646464"/>
          <w:sz w:val="18"/>
        </w:rPr>
        <w:t>Year-over-year comparison not disclosed due to methodology refinements during baseline year establishment. 2024 serves as baseline for future trend reporting.</w:t>
      </w:r>
    </w:p>
    <w:p w14:paraId="5F1820E0" w14:textId="77777777" w:rsidR="00811103" w:rsidRDefault="00000000">
      <w:pPr>
        <w:spacing w:after="160"/>
        <w:jc w:val="both"/>
      </w:pPr>
      <w:r>
        <w:rPr>
          <w:rFonts w:ascii="Arial" w:hAnsi="Arial"/>
          <w:i/>
          <w:color w:val="646464"/>
          <w:sz w:val="18"/>
        </w:rPr>
        <w:t>Emission intensity calculated as confidence-weighted financed emissions divided by total outstanding loans, providing normalized metric for peer comparison and target-setting.</w:t>
      </w:r>
    </w:p>
    <w:p w14:paraId="3BB22D15" w14:textId="77777777" w:rsidR="00811103" w:rsidRDefault="00000000">
      <w:pPr>
        <w:spacing w:after="160"/>
        <w:jc w:val="both"/>
      </w:pPr>
      <w:r>
        <w:rPr>
          <w:rFonts w:ascii="Arial" w:hAnsi="Arial"/>
          <w:i/>
          <w:color w:val="646464"/>
          <w:sz w:val="18"/>
        </w:rPr>
        <w:t>SASB FN-CB-410a.3 metric disclosed per Sustainability Accounting Standards Board standard for commercial banks. Enables assessment of transition risk exposure and net-zero alignment.</w:t>
      </w:r>
    </w:p>
    <w:p w14:paraId="3D785433" w14:textId="77777777" w:rsidR="00811103" w:rsidRDefault="00000000">
      <w:r>
        <w:br w:type="page"/>
      </w:r>
    </w:p>
    <w:p w14:paraId="4C42ECA3" w14:textId="77777777" w:rsidR="00811103" w:rsidRDefault="00000000">
      <w:pPr>
        <w:pStyle w:val="Heading1"/>
        <w:spacing w:after="240"/>
      </w:pPr>
      <w:bookmarkStart w:id="7" w:name="_Toc231991233"/>
      <w:r>
        <w:rPr>
          <w:rFonts w:ascii="Arial" w:hAnsi="Arial"/>
          <w:color w:val="1B3A6B"/>
          <w:sz w:val="36"/>
        </w:rPr>
        <w:lastRenderedPageBreak/>
        <w:t>Climate Targets &amp; Reduction Initiatives</w:t>
      </w:r>
      <w:bookmarkEnd w:id="7"/>
    </w:p>
    <w:p w14:paraId="3E7D0753" w14:textId="77777777" w:rsidR="00811103" w:rsidRDefault="00000000">
      <w:pPr>
        <w:spacing w:after="160"/>
        <w:jc w:val="both"/>
      </w:pPr>
      <w:r>
        <w:rPr>
          <w:rFonts w:ascii="Arial" w:hAnsi="Arial"/>
        </w:rPr>
        <w:t>This data point is not yet captured in the institution's reporting system. IFRS S2 paragraphs 33–37 require entities to disclose quantitative or qualitative climate-related targets, including greenhouse gas emissions targets, with characteristics specified in paragraph 33(a)–(h). The institution has not established formal climate-related targets for Scope 1, Scope 2, or Scope 3 (financed emissions) as of the 2024 reporting period. This represents a material disclosure gap under IFRS S2 requirements, which mandate disclosure of targets the entity has set to mitigate or adapt to climate-related risks or to take advantage of climate-related opportunities.</w:t>
      </w:r>
    </w:p>
    <w:p w14:paraId="5D8EDA62" w14:textId="77777777" w:rsidR="00811103" w:rsidRDefault="00000000">
      <w:pPr>
        <w:spacing w:after="160"/>
        <w:jc w:val="both"/>
      </w:pPr>
      <w:r>
        <w:rPr>
          <w:rFonts w:ascii="Arial" w:hAnsi="Arial"/>
          <w:i/>
        </w:rPr>
        <w:t>**Framework Requirement**: IFRS S2 paragraph 33 requires disclosure of: (a) the metric used to set the target; (b) the objective of the target (e.g., mitigation, adaptation, conformance with science-based initiatives); (c) the part of the entity to which the target applies; (d) the period over which the target applies; (e) the base period from which progress is measured; (f) any milestones or interim targets; (g) if the target is quantitative, whether it is an absolute target or intensity target; and (h) how the entity's targets compare with those required by law or regulation or with commitments in the latest international agreement on climate change. The institution currently has no targets meeting these criteria.</w:t>
      </w:r>
    </w:p>
    <w:p w14:paraId="4C5CDCA2" w14:textId="77777777" w:rsidR="00811103" w:rsidRDefault="00000000">
      <w:pPr>
        <w:spacing w:after="160"/>
        <w:jc w:val="both"/>
      </w:pPr>
      <w:r>
        <w:rPr>
          <w:rFonts w:ascii="Arial" w:hAnsi="Arial"/>
        </w:rPr>
        <w:t>**Peer Benchmark Context**: Leading Indonesian and regional financial institutions have established comprehensive climate target frameworks. Bank Rakyat Indonesia (BRI) became the first Indonesian financial institution to submit a Science Based Targets initiative (SBTi) commitment, establishing a portfolio temperature target of 1.75°C by 2040 with an annual reduction trajectory of 0.0783°C per year. BRI has set specific operational targets including 19.49% electricity savings through green building initiatives and fleet electrification (118 electric vehicles and 150 electric motorcycles deployed). DBS Bank has committed to Net Zero by 2050 with interim 2030 targets, achieving 62% renewable energy procurement and a 12% year-over-year reduction in operational emissions. Bank Central Asia (BCA) has implemented sectoral credit policies for carbon-intensive industries including coal, palm oil, cement, and oil &amp; gas, with embedded reduction expectations for financed emissions.</w:t>
      </w:r>
    </w:p>
    <w:p w14:paraId="2189166F" w14:textId="77777777" w:rsidR="00811103" w:rsidRDefault="00000000">
      <w:pPr>
        <w:spacing w:after="160"/>
        <w:jc w:val="both"/>
      </w:pPr>
      <w:r>
        <w:rPr>
          <w:rFonts w:ascii="Arial" w:hAnsi="Arial"/>
          <w:i/>
          <w:color w:val="555555"/>
        </w:rPr>
        <w:t>**Strategic Roadmap for Target-Setting**: The institution should establish a phased target-setting process aligned with IFRS S2 requirements and peer best practices. **Phase 1 (0–6 months)**: Commit to Science Based Targets initiative (SBTi) by submitting a commitment letter, following BRI's precedent as the first Indonesian financial institution to do so. Establish baseline emissions inventory for target-setting (2024 data provides this foundation: Scope 1 = 3,402.997 tCO2e, Scope 2 market-based = 44,612.518 tCO2e, Scope 3 Category 15 weighted = 15,280,174.14 tCO2e). **Phase 2 (6–12 months)**: Set absolute Scope 1+2 reduction target of 30% by 2030 versus 2024 baseline, aligned with 1.5°C pathway. This would require reducing operational emissions from 48,015.515 tCO2e (2024 baseline) to 33,610.86 tCO2e by 2030. **Phase 3 (12–18 months)**: Develop financed emissions intensity target for Scope 3 Category 15, focusing on the three highest-emitting sectors (Energy - Oil &amp; Gas: 43.56% of financed emissions; Manufacturing - Cement: 26.45%; Manufacturing - Steel: 15.92%). Set sector-specific intensity reduction targets (tCO2e per IDR billion outstanding) with 2030 horizon. **Phase 4 (18–24 months)**: Submit targets for SBTi validation and establish interim milestones for 2026 and 2028 to track progress.</w:t>
      </w:r>
    </w:p>
    <w:p w14:paraId="232E632A" w14:textId="77777777" w:rsidR="00811103" w:rsidRDefault="00000000">
      <w:pPr>
        <w:spacing w:after="160"/>
        <w:jc w:val="both"/>
      </w:pPr>
      <w:r>
        <w:rPr>
          <w:rFonts w:ascii="Arial" w:hAnsi="Arial"/>
          <w:i/>
        </w:rPr>
        <w:lastRenderedPageBreak/>
        <w:t>**Decarbonization Levers by Scope**: For **Scope 1** (3,402.997 tCO2e in 2024), primary reduction levers include: (1) biodiesel B35+ adoption for diesel generators (2,203.2044 tCO2e from diesel), expected to reduce emissions by 20–30% per liter; (2) phase-out of natural gas heating systems (1,199.7924 tCO2e from natural gas) in favor of electric heat pumps powered by renewable electricity; (3) fleet electrification for operational vehicles, referencing BRI's deployment of 118 electric cars and 150 electric motorcycles. For **Scope 2** (44,612.518 tCO2e market-based in 2024), levers include: (1) renewable energy procurement via Power Purchase Agreements (PPAs) or Renewable Energy Certificates (RECs), targeting 50% renewable electricity by 2030 following DBS's 62% achievement; (2) energy efficiency retrofits including LED lighting, HVAC optimization, and auto-shutdown systems (BRI achieved 19.49% electricity savings through similar measures); (3) green building certification for new branches and headquarters (BRI achieved Gold GBCI certification). For **Scope 3 Category 15 financed emissions** (15,280,174.14 tCO2e weighted in 2024), levers include: (1) enhanced Environmental and Social Risk Management (ESRM) screening for new loans in carbon-intensive sectors; (2) sectoral credit policies with embedded decarbonization requirements for Energy - Oil &amp; Gas (6,753,948.71 tCO2e), Manufacturing - Cement (4,168,058.43 tCO2e), and Manufacturing - Steel (2,228,739.65 tCO2e) portfolios; (3) client engagement program for top 20 emitters, requiring transition plans as loan covenant; (4) portfolio reallocation toward low-carbon sectors (current Real Estate - Commercial at 0.9222 tCO2e/IDR billion intensity vs. Oil &amp; Gas at 93.242 tCO2e/IDR billion).</w:t>
      </w:r>
    </w:p>
    <w:p w14:paraId="459EF6A2" w14:textId="77777777" w:rsidR="00811103" w:rsidRDefault="00000000">
      <w:pPr>
        <w:spacing w:after="160"/>
        <w:jc w:val="both"/>
      </w:pPr>
      <w:r>
        <w:rPr>
          <w:rFonts w:ascii="Arial" w:hAnsi="Arial"/>
          <w:i/>
          <w:color w:val="555555"/>
        </w:rPr>
        <w:t>**Recommended Interim Milestones**: To demonstrate credible progress toward 2030 targets, the institution should establish the following interim milestones: **2026 Milestone** — Achieve 10% reduction in Scope 1+2 absolute emissions versus 2024 baseline (target: 43,213.96 tCO2e); deploy renewable energy for 15% of electricity consumption; complete ESRM policy enhancement for carbon-intensive sectors. **2028 Milestone** — Achieve 20% reduction in Scope 1+2 absolute emissions versus 2024 baseline (target: 38,412.41 tCO2e); achieve 35% renewable energy procurement; reduce financed emissions intensity by 10% in Oil &amp; Gas sector (target: 83.92 tCO2e/IDR billion from current 93.242). **2030 Target** — Achieve 30% reduction in Scope 1+2 absolute emissions versus 2024 baseline (target: 33,610.86 tCO2e); achieve 50% renewable energy procurement; reduce overall financed emissions intensity by 15% (target: 203.49 tCO2e/IDR billion from current 239.40). These milestones align with IFRS S2 paragraph 33(f) requirements for interim targets and provide annual checkpoints for Board-level oversight per IFRS S2 paragraph 6 governance requirements.</w:t>
      </w:r>
    </w:p>
    <w:p w14:paraId="7E687D6A" w14:textId="77777777" w:rsidR="00811103" w:rsidRDefault="00000000">
      <w:pPr>
        <w:spacing w:after="160"/>
        <w:jc w:val="both"/>
      </w:pPr>
      <w:r>
        <w:rPr>
          <w:rFonts w:ascii="Arial" w:hAnsi="Arial"/>
          <w:i/>
        </w:rPr>
        <w:t xml:space="preserve">**Carbon Offset Strategy Considerations**: While no carbon offset strategy is currently defined, IFRS S2 paragraph B67 requires disclosure of whether targets rely on carbon credits or offsets. Best practice limits offset use to residual emissions after maximum feasible reductions (typically &lt;20% of gross target). If offsets are incorporated in future target design, the institution should prioritize: (1) nature-based solutions with permanence guarantees (e.g., verified reforestation projects in Indonesia under Verra VCS or Gold Standard); (2) technological carbon removal (e.g., direct air capture) for hard-to-abate financed emissions; (3) avoidance credits only for Scope 3 where attribution is complex. Any offset strategy must separately disclose gross emissions reduction targets (without offsets) and net targets (with offsets) per IFRS S2 transparency requirements. The institution should avoid offset reliance for Scope 1+2 operational emissions, where direct reduction is </w:t>
      </w:r>
      <w:r>
        <w:rPr>
          <w:rFonts w:ascii="Arial" w:hAnsi="Arial"/>
          <w:i/>
        </w:rPr>
        <w:lastRenderedPageBreak/>
        <w:t>technically and economically feasible through renewable energy and efficiency measures demonstrated by peer banks.</w:t>
      </w:r>
    </w:p>
    <w:p w14:paraId="09A0402D" w14:textId="77777777" w:rsidR="00811103" w:rsidRDefault="00000000">
      <w:r>
        <w:rPr>
          <w:rFonts w:ascii="Arial" w:hAnsi="Arial"/>
          <w:b/>
          <w:sz w:val="20"/>
        </w:rPr>
        <w:t>Table 1: Disclosure Gap Analysis — Climate Targets Required Under IFRS S2</w:t>
      </w:r>
    </w:p>
    <w:tbl>
      <w:tblPr>
        <w:tblW w:w="0" w:type="auto"/>
        <w:jc w:val="center"/>
        <w:tblLook w:val="04A0" w:firstRow="1" w:lastRow="0" w:firstColumn="1" w:lastColumn="0" w:noHBand="0" w:noVBand="1"/>
      </w:tblPr>
      <w:tblGrid>
        <w:gridCol w:w="1806"/>
        <w:gridCol w:w="1806"/>
        <w:gridCol w:w="1806"/>
        <w:gridCol w:w="1806"/>
        <w:gridCol w:w="1806"/>
      </w:tblGrid>
      <w:tr w:rsidR="00811103" w14:paraId="63BD6207" w14:textId="77777777">
        <w:trPr>
          <w:jc w:val="center"/>
        </w:trPr>
        <w:tc>
          <w:tcPr>
            <w:tcW w:w="1806" w:type="dxa"/>
            <w:shd w:val="clear" w:color="auto" w:fill="1B3A6B"/>
          </w:tcPr>
          <w:p w14:paraId="63CAAAC7" w14:textId="77777777" w:rsidR="00811103" w:rsidRDefault="00000000">
            <w:r>
              <w:rPr>
                <w:rFonts w:ascii="Arial" w:hAnsi="Arial"/>
                <w:b/>
                <w:color w:val="FFFFFF"/>
                <w:sz w:val="18"/>
              </w:rPr>
              <w:t>Target Type</w:t>
            </w:r>
          </w:p>
        </w:tc>
        <w:tc>
          <w:tcPr>
            <w:tcW w:w="1806" w:type="dxa"/>
            <w:shd w:val="clear" w:color="auto" w:fill="1B3A6B"/>
          </w:tcPr>
          <w:p w14:paraId="7106897A" w14:textId="77777777" w:rsidR="00811103" w:rsidRDefault="00000000">
            <w:r>
              <w:rPr>
                <w:rFonts w:ascii="Arial" w:hAnsi="Arial"/>
                <w:b/>
                <w:color w:val="FFFFFF"/>
                <w:sz w:val="18"/>
              </w:rPr>
              <w:t>IFRS S2 Requirement</w:t>
            </w:r>
          </w:p>
        </w:tc>
        <w:tc>
          <w:tcPr>
            <w:tcW w:w="1806" w:type="dxa"/>
            <w:shd w:val="clear" w:color="auto" w:fill="1B3A6B"/>
          </w:tcPr>
          <w:p w14:paraId="22D510D2" w14:textId="77777777" w:rsidR="00811103" w:rsidRDefault="00000000">
            <w:r>
              <w:rPr>
                <w:rFonts w:ascii="Arial" w:hAnsi="Arial"/>
                <w:b/>
                <w:color w:val="FFFFFF"/>
                <w:sz w:val="18"/>
              </w:rPr>
              <w:t>Current Status</w:t>
            </w:r>
          </w:p>
        </w:tc>
        <w:tc>
          <w:tcPr>
            <w:tcW w:w="1806" w:type="dxa"/>
            <w:shd w:val="clear" w:color="auto" w:fill="1B3A6B"/>
          </w:tcPr>
          <w:p w14:paraId="62F319BC" w14:textId="77777777" w:rsidR="00811103" w:rsidRDefault="00000000">
            <w:r>
              <w:rPr>
                <w:rFonts w:ascii="Arial" w:hAnsi="Arial"/>
                <w:b/>
                <w:color w:val="FFFFFF"/>
                <w:sz w:val="18"/>
              </w:rPr>
              <w:t>Peer Benchmark</w:t>
            </w:r>
          </w:p>
        </w:tc>
        <w:tc>
          <w:tcPr>
            <w:tcW w:w="1806" w:type="dxa"/>
            <w:shd w:val="clear" w:color="auto" w:fill="1B3A6B"/>
          </w:tcPr>
          <w:p w14:paraId="232F2C26" w14:textId="77777777" w:rsidR="00811103" w:rsidRDefault="00000000">
            <w:r>
              <w:rPr>
                <w:rFonts w:ascii="Arial" w:hAnsi="Arial"/>
                <w:b/>
                <w:color w:val="FFFFFF"/>
                <w:sz w:val="18"/>
              </w:rPr>
              <w:t>Recommended Action</w:t>
            </w:r>
          </w:p>
        </w:tc>
      </w:tr>
      <w:tr w:rsidR="00811103" w14:paraId="04E599C5" w14:textId="77777777">
        <w:trPr>
          <w:jc w:val="center"/>
        </w:trPr>
        <w:tc>
          <w:tcPr>
            <w:tcW w:w="1806" w:type="dxa"/>
          </w:tcPr>
          <w:p w14:paraId="73669788" w14:textId="77777777" w:rsidR="00811103" w:rsidRDefault="00000000">
            <w:r>
              <w:rPr>
                <w:rFonts w:ascii="Arial" w:hAnsi="Arial"/>
                <w:sz w:val="18"/>
              </w:rPr>
              <w:t>Scope 1+2 Absolute Reduction Target</w:t>
            </w:r>
          </w:p>
        </w:tc>
        <w:tc>
          <w:tcPr>
            <w:tcW w:w="1806" w:type="dxa"/>
          </w:tcPr>
          <w:p w14:paraId="41D03950" w14:textId="77777777" w:rsidR="00811103" w:rsidRDefault="00000000">
            <w:r>
              <w:rPr>
                <w:rFonts w:ascii="Arial" w:hAnsi="Arial"/>
                <w:sz w:val="18"/>
              </w:rPr>
              <w:t>Para 33(a)–(h): Quantitative target with base year, target year, milestones</w:t>
            </w:r>
          </w:p>
        </w:tc>
        <w:tc>
          <w:tcPr>
            <w:tcW w:w="1806" w:type="dxa"/>
          </w:tcPr>
          <w:p w14:paraId="6C33841B" w14:textId="77777777" w:rsidR="00811103" w:rsidRDefault="00000000">
            <w:r>
              <w:rPr>
                <w:rFonts w:ascii="Arial" w:hAnsi="Arial"/>
                <w:sz w:val="18"/>
              </w:rPr>
              <w:t>Not Set</w:t>
            </w:r>
          </w:p>
        </w:tc>
        <w:tc>
          <w:tcPr>
            <w:tcW w:w="1806" w:type="dxa"/>
          </w:tcPr>
          <w:p w14:paraId="0F5FFC0B" w14:textId="77777777" w:rsidR="00811103" w:rsidRDefault="00000000">
            <w:r>
              <w:rPr>
                <w:rFonts w:ascii="Arial" w:hAnsi="Arial"/>
                <w:sz w:val="18"/>
              </w:rPr>
              <w:t>BRI: 19.49% electricity savings achieved; DBS: 12% YoY reduction</w:t>
            </w:r>
          </w:p>
        </w:tc>
        <w:tc>
          <w:tcPr>
            <w:tcW w:w="1806" w:type="dxa"/>
          </w:tcPr>
          <w:p w14:paraId="7054EBC3" w14:textId="77777777" w:rsidR="00811103" w:rsidRDefault="00000000">
            <w:r>
              <w:rPr>
                <w:rFonts w:ascii="Arial" w:hAnsi="Arial"/>
                <w:sz w:val="18"/>
              </w:rPr>
              <w:t>Set 30% reduction by 2030 vs 2024 baseline (48,015.515 tCO2e → 33,610.86 tCO2e)</w:t>
            </w:r>
          </w:p>
        </w:tc>
      </w:tr>
      <w:tr w:rsidR="00811103" w14:paraId="19C13B18" w14:textId="77777777">
        <w:trPr>
          <w:jc w:val="center"/>
        </w:trPr>
        <w:tc>
          <w:tcPr>
            <w:tcW w:w="1806" w:type="dxa"/>
            <w:shd w:val="clear" w:color="auto" w:fill="F2F6FC"/>
          </w:tcPr>
          <w:p w14:paraId="7748CCD7" w14:textId="77777777" w:rsidR="00811103" w:rsidRDefault="00000000">
            <w:r>
              <w:rPr>
                <w:rFonts w:ascii="Arial" w:hAnsi="Arial"/>
                <w:sz w:val="18"/>
              </w:rPr>
              <w:t>Scope 3 Financed Emissions Target</w:t>
            </w:r>
          </w:p>
        </w:tc>
        <w:tc>
          <w:tcPr>
            <w:tcW w:w="1806" w:type="dxa"/>
            <w:shd w:val="clear" w:color="auto" w:fill="F2F6FC"/>
          </w:tcPr>
          <w:p w14:paraId="3EE74FBD" w14:textId="77777777" w:rsidR="00811103" w:rsidRDefault="00000000">
            <w:r>
              <w:rPr>
                <w:rFonts w:ascii="Arial" w:hAnsi="Arial"/>
                <w:sz w:val="18"/>
              </w:rPr>
              <w:t>Para 29(a)(vi): Financed emissions per PCAF; Para 33: Sector-specific targets</w:t>
            </w:r>
          </w:p>
        </w:tc>
        <w:tc>
          <w:tcPr>
            <w:tcW w:w="1806" w:type="dxa"/>
            <w:shd w:val="clear" w:color="auto" w:fill="F2F6FC"/>
          </w:tcPr>
          <w:p w14:paraId="4AEAD469" w14:textId="77777777" w:rsidR="00811103" w:rsidRDefault="00000000">
            <w:r>
              <w:rPr>
                <w:rFonts w:ascii="Arial" w:hAnsi="Arial"/>
                <w:sz w:val="18"/>
              </w:rPr>
              <w:t>Not Set</w:t>
            </w:r>
          </w:p>
        </w:tc>
        <w:tc>
          <w:tcPr>
            <w:tcW w:w="1806" w:type="dxa"/>
            <w:shd w:val="clear" w:color="auto" w:fill="F2F6FC"/>
          </w:tcPr>
          <w:p w14:paraId="2DE39650" w14:textId="77777777" w:rsidR="00811103" w:rsidRDefault="00000000">
            <w:r>
              <w:rPr>
                <w:rFonts w:ascii="Arial" w:hAnsi="Arial"/>
                <w:sz w:val="18"/>
              </w:rPr>
              <w:t>BRI: Portfolio temp target 1.75°C by 2040; BCA: Sectoral credit policies for coal, palm oil, cement, O&amp;G</w:t>
            </w:r>
          </w:p>
        </w:tc>
        <w:tc>
          <w:tcPr>
            <w:tcW w:w="1806" w:type="dxa"/>
            <w:shd w:val="clear" w:color="auto" w:fill="F2F6FC"/>
          </w:tcPr>
          <w:p w14:paraId="0F0A508F" w14:textId="77777777" w:rsidR="00811103" w:rsidRDefault="00000000">
            <w:r>
              <w:rPr>
                <w:rFonts w:ascii="Arial" w:hAnsi="Arial"/>
                <w:sz w:val="18"/>
              </w:rPr>
              <w:t>Set intensity target for top 3 sectors: Oil &amp; Gas (93.242 tCO2e/IDR bn), Cement (53.9927), Steel (32.2175)</w:t>
            </w:r>
          </w:p>
        </w:tc>
      </w:tr>
      <w:tr w:rsidR="00811103" w14:paraId="36EF3FD1" w14:textId="77777777">
        <w:trPr>
          <w:jc w:val="center"/>
        </w:trPr>
        <w:tc>
          <w:tcPr>
            <w:tcW w:w="1806" w:type="dxa"/>
          </w:tcPr>
          <w:p w14:paraId="2504C397" w14:textId="77777777" w:rsidR="00811103" w:rsidRDefault="00000000">
            <w:r>
              <w:rPr>
                <w:rFonts w:ascii="Arial" w:hAnsi="Arial"/>
                <w:sz w:val="18"/>
              </w:rPr>
              <w:t>Net Zero Commitment</w:t>
            </w:r>
          </w:p>
        </w:tc>
        <w:tc>
          <w:tcPr>
            <w:tcW w:w="1806" w:type="dxa"/>
          </w:tcPr>
          <w:p w14:paraId="42D0305A" w14:textId="77777777" w:rsidR="00811103" w:rsidRDefault="00000000">
            <w:r>
              <w:rPr>
                <w:rFonts w:ascii="Arial" w:hAnsi="Arial"/>
                <w:sz w:val="18"/>
              </w:rPr>
              <w:t>Para 33(b): Objective of target (e.g., net zero by specific year)</w:t>
            </w:r>
          </w:p>
        </w:tc>
        <w:tc>
          <w:tcPr>
            <w:tcW w:w="1806" w:type="dxa"/>
          </w:tcPr>
          <w:p w14:paraId="47DBC4E3" w14:textId="77777777" w:rsidR="00811103" w:rsidRDefault="00000000">
            <w:r>
              <w:rPr>
                <w:rFonts w:ascii="Arial" w:hAnsi="Arial"/>
                <w:sz w:val="18"/>
              </w:rPr>
              <w:t>Not Set</w:t>
            </w:r>
          </w:p>
        </w:tc>
        <w:tc>
          <w:tcPr>
            <w:tcW w:w="1806" w:type="dxa"/>
          </w:tcPr>
          <w:p w14:paraId="551D0A49" w14:textId="77777777" w:rsidR="00811103" w:rsidRDefault="00000000">
            <w:r>
              <w:rPr>
                <w:rFonts w:ascii="Arial" w:hAnsi="Arial"/>
                <w:sz w:val="18"/>
              </w:rPr>
              <w:t>DBS: Net Zero by 2050 with 2030 interim targets</w:t>
            </w:r>
          </w:p>
        </w:tc>
        <w:tc>
          <w:tcPr>
            <w:tcW w:w="1806" w:type="dxa"/>
          </w:tcPr>
          <w:p w14:paraId="562079D8" w14:textId="77777777" w:rsidR="00811103" w:rsidRDefault="00000000">
            <w:r>
              <w:rPr>
                <w:rFonts w:ascii="Arial" w:hAnsi="Arial"/>
                <w:sz w:val="18"/>
              </w:rPr>
              <w:t>Commit to Net Zero by 2050 for Scope 1+2; 2060 for Scope 3 (financed emissions)</w:t>
            </w:r>
          </w:p>
        </w:tc>
      </w:tr>
      <w:tr w:rsidR="00811103" w14:paraId="1D14CADB" w14:textId="77777777">
        <w:trPr>
          <w:jc w:val="center"/>
        </w:trPr>
        <w:tc>
          <w:tcPr>
            <w:tcW w:w="1806" w:type="dxa"/>
            <w:shd w:val="clear" w:color="auto" w:fill="F2F6FC"/>
          </w:tcPr>
          <w:p w14:paraId="1370016E" w14:textId="77777777" w:rsidR="00811103" w:rsidRDefault="00000000">
            <w:r>
              <w:rPr>
                <w:rFonts w:ascii="Arial" w:hAnsi="Arial"/>
                <w:sz w:val="18"/>
              </w:rPr>
              <w:t>Science-Based Target Validation</w:t>
            </w:r>
          </w:p>
        </w:tc>
        <w:tc>
          <w:tcPr>
            <w:tcW w:w="1806" w:type="dxa"/>
            <w:shd w:val="clear" w:color="auto" w:fill="F2F6FC"/>
          </w:tcPr>
          <w:p w14:paraId="4AF39DE5" w14:textId="77777777" w:rsidR="00811103" w:rsidRDefault="00000000">
            <w:r>
              <w:rPr>
                <w:rFonts w:ascii="Arial" w:hAnsi="Arial"/>
                <w:sz w:val="18"/>
              </w:rPr>
              <w:t>Para 33(h): Comparison with international agreements (Paris Agreement 1.5°C)</w:t>
            </w:r>
          </w:p>
        </w:tc>
        <w:tc>
          <w:tcPr>
            <w:tcW w:w="1806" w:type="dxa"/>
            <w:shd w:val="clear" w:color="auto" w:fill="F2F6FC"/>
          </w:tcPr>
          <w:p w14:paraId="7EFD3839" w14:textId="77777777" w:rsidR="00811103" w:rsidRDefault="00000000">
            <w:r>
              <w:rPr>
                <w:rFonts w:ascii="Arial" w:hAnsi="Arial"/>
                <w:sz w:val="18"/>
              </w:rPr>
              <w:t>Not Submitted</w:t>
            </w:r>
          </w:p>
        </w:tc>
        <w:tc>
          <w:tcPr>
            <w:tcW w:w="1806" w:type="dxa"/>
            <w:shd w:val="clear" w:color="auto" w:fill="F2F6FC"/>
          </w:tcPr>
          <w:p w14:paraId="5362E156" w14:textId="77777777" w:rsidR="00811103" w:rsidRDefault="00000000">
            <w:r>
              <w:rPr>
                <w:rFonts w:ascii="Arial" w:hAnsi="Arial"/>
                <w:sz w:val="18"/>
              </w:rPr>
              <w:t>BRI: First Indonesian FI to submit SBTi commitment</w:t>
            </w:r>
          </w:p>
        </w:tc>
        <w:tc>
          <w:tcPr>
            <w:tcW w:w="1806" w:type="dxa"/>
            <w:shd w:val="clear" w:color="auto" w:fill="F2F6FC"/>
          </w:tcPr>
          <w:p w14:paraId="136B792F" w14:textId="77777777" w:rsidR="00811103" w:rsidRDefault="00000000">
            <w:r>
              <w:rPr>
                <w:rFonts w:ascii="Arial" w:hAnsi="Arial"/>
                <w:sz w:val="18"/>
              </w:rPr>
              <w:t>Submit SBTi commitment letter within 6 months; validate targets within 24 months</w:t>
            </w:r>
          </w:p>
        </w:tc>
      </w:tr>
      <w:tr w:rsidR="00811103" w14:paraId="7F31910C" w14:textId="77777777">
        <w:trPr>
          <w:jc w:val="center"/>
        </w:trPr>
        <w:tc>
          <w:tcPr>
            <w:tcW w:w="1806" w:type="dxa"/>
          </w:tcPr>
          <w:p w14:paraId="41B6F1AD" w14:textId="77777777" w:rsidR="00811103" w:rsidRDefault="00000000">
            <w:r>
              <w:rPr>
                <w:rFonts w:ascii="Arial" w:hAnsi="Arial"/>
                <w:sz w:val="18"/>
              </w:rPr>
              <w:t>Renewable Energy Target</w:t>
            </w:r>
          </w:p>
        </w:tc>
        <w:tc>
          <w:tcPr>
            <w:tcW w:w="1806" w:type="dxa"/>
          </w:tcPr>
          <w:p w14:paraId="22624394" w14:textId="77777777" w:rsidR="00811103" w:rsidRDefault="00000000">
            <w:r>
              <w:rPr>
                <w:rFonts w:ascii="Arial" w:hAnsi="Arial"/>
                <w:sz w:val="18"/>
              </w:rPr>
              <w:t>Para 29(b): Energy consumption and mix; Para 33: Transition plan metrics</w:t>
            </w:r>
          </w:p>
        </w:tc>
        <w:tc>
          <w:tcPr>
            <w:tcW w:w="1806" w:type="dxa"/>
          </w:tcPr>
          <w:p w14:paraId="2EC7546A" w14:textId="77777777" w:rsidR="00811103" w:rsidRDefault="00000000">
            <w:r>
              <w:rPr>
                <w:rFonts w:ascii="Arial" w:hAnsi="Arial"/>
                <w:sz w:val="18"/>
              </w:rPr>
              <w:t>Not Set</w:t>
            </w:r>
          </w:p>
        </w:tc>
        <w:tc>
          <w:tcPr>
            <w:tcW w:w="1806" w:type="dxa"/>
          </w:tcPr>
          <w:p w14:paraId="2FFE4392" w14:textId="77777777" w:rsidR="00811103" w:rsidRDefault="00000000">
            <w:r>
              <w:rPr>
                <w:rFonts w:ascii="Arial" w:hAnsi="Arial"/>
                <w:sz w:val="18"/>
              </w:rPr>
              <w:t>DBS: 62% renewable energy achieved</w:t>
            </w:r>
          </w:p>
        </w:tc>
        <w:tc>
          <w:tcPr>
            <w:tcW w:w="1806" w:type="dxa"/>
          </w:tcPr>
          <w:p w14:paraId="48730271" w14:textId="77777777" w:rsidR="00811103" w:rsidRDefault="00000000">
            <w:r>
              <w:rPr>
                <w:rFonts w:ascii="Arial" w:hAnsi="Arial"/>
                <w:sz w:val="18"/>
              </w:rPr>
              <w:t>Set 50% renewable electricity target by 2030 (current: minimal renewable procurement)</w:t>
            </w:r>
          </w:p>
        </w:tc>
      </w:tr>
      <w:tr w:rsidR="00811103" w14:paraId="6768DC13" w14:textId="77777777">
        <w:trPr>
          <w:jc w:val="center"/>
        </w:trPr>
        <w:tc>
          <w:tcPr>
            <w:tcW w:w="1806" w:type="dxa"/>
            <w:shd w:val="clear" w:color="auto" w:fill="F2F6FC"/>
          </w:tcPr>
          <w:p w14:paraId="2B967E0F" w14:textId="77777777" w:rsidR="00811103" w:rsidRDefault="00000000">
            <w:r>
              <w:rPr>
                <w:rFonts w:ascii="Arial" w:hAnsi="Arial"/>
                <w:sz w:val="18"/>
              </w:rPr>
              <w:t>Interim Milestones</w:t>
            </w:r>
          </w:p>
        </w:tc>
        <w:tc>
          <w:tcPr>
            <w:tcW w:w="1806" w:type="dxa"/>
            <w:shd w:val="clear" w:color="auto" w:fill="F2F6FC"/>
          </w:tcPr>
          <w:p w14:paraId="476ED34D" w14:textId="77777777" w:rsidR="00811103" w:rsidRDefault="00000000">
            <w:r>
              <w:rPr>
                <w:rFonts w:ascii="Arial" w:hAnsi="Arial"/>
                <w:sz w:val="18"/>
              </w:rPr>
              <w:t>Para 33(f): Milestones or interim targets</w:t>
            </w:r>
          </w:p>
        </w:tc>
        <w:tc>
          <w:tcPr>
            <w:tcW w:w="1806" w:type="dxa"/>
            <w:shd w:val="clear" w:color="auto" w:fill="F2F6FC"/>
          </w:tcPr>
          <w:p w14:paraId="01AD0040" w14:textId="77777777" w:rsidR="00811103" w:rsidRDefault="00000000">
            <w:r>
              <w:rPr>
                <w:rFonts w:ascii="Arial" w:hAnsi="Arial"/>
                <w:sz w:val="18"/>
              </w:rPr>
              <w:t>Not Set</w:t>
            </w:r>
          </w:p>
        </w:tc>
        <w:tc>
          <w:tcPr>
            <w:tcW w:w="1806" w:type="dxa"/>
            <w:shd w:val="clear" w:color="auto" w:fill="F2F6FC"/>
          </w:tcPr>
          <w:p w14:paraId="64EF5178" w14:textId="77777777" w:rsidR="00811103" w:rsidRDefault="00000000">
            <w:r>
              <w:rPr>
                <w:rFonts w:ascii="Arial" w:hAnsi="Arial"/>
                <w:sz w:val="18"/>
              </w:rPr>
              <w:t>BRI: Annual reduction trajectory 0.0783°C/year for portfolio temperature</w:t>
            </w:r>
          </w:p>
        </w:tc>
        <w:tc>
          <w:tcPr>
            <w:tcW w:w="1806" w:type="dxa"/>
            <w:shd w:val="clear" w:color="auto" w:fill="F2F6FC"/>
          </w:tcPr>
          <w:p w14:paraId="4C15479B" w14:textId="77777777" w:rsidR="00811103" w:rsidRDefault="00000000">
            <w:r>
              <w:rPr>
                <w:rFonts w:ascii="Arial" w:hAnsi="Arial"/>
                <w:sz w:val="18"/>
              </w:rPr>
              <w:t>Establish 2026 and 2028 milestones for Scope 1+2 (10% and 20% reductions respectively)</w:t>
            </w:r>
          </w:p>
        </w:tc>
      </w:tr>
    </w:tbl>
    <w:p w14:paraId="3CCFABC8" w14:textId="77777777" w:rsidR="00811103" w:rsidRDefault="00000000">
      <w:r>
        <w:rPr>
          <w:rFonts w:ascii="Arial" w:hAnsi="Arial"/>
          <w:i/>
          <w:sz w:val="16"/>
        </w:rPr>
        <w:t>Source: Analysis based on IFRS S2 paragraphs 33–37 requirements and peer bank disclosures from BRI 2023 Sustainability Report, DBS 2023 Sustainability Report, BCA 2023 Sustainability Report.</w:t>
      </w:r>
    </w:p>
    <w:p w14:paraId="05FDDA32" w14:textId="77777777" w:rsidR="00811103" w:rsidRDefault="00811103"/>
    <w:p w14:paraId="76A86F07" w14:textId="77777777" w:rsidR="00811103" w:rsidRDefault="00000000">
      <w:r>
        <w:rPr>
          <w:rFonts w:ascii="Arial" w:hAnsi="Arial"/>
          <w:b/>
          <w:sz w:val="20"/>
        </w:rPr>
        <w:t>Table 2: Proposed Target Framework — Alignment with IFRS S2 and SBTi</w:t>
      </w:r>
    </w:p>
    <w:tbl>
      <w:tblPr>
        <w:tblW w:w="0" w:type="auto"/>
        <w:jc w:val="center"/>
        <w:tblLook w:val="04A0" w:firstRow="1" w:lastRow="0" w:firstColumn="1" w:lastColumn="0" w:noHBand="0" w:noVBand="1"/>
      </w:tblPr>
      <w:tblGrid>
        <w:gridCol w:w="1505"/>
        <w:gridCol w:w="1505"/>
        <w:gridCol w:w="1505"/>
        <w:gridCol w:w="1505"/>
        <w:gridCol w:w="1505"/>
        <w:gridCol w:w="1517"/>
      </w:tblGrid>
      <w:tr w:rsidR="00811103" w14:paraId="32E191E0" w14:textId="77777777">
        <w:trPr>
          <w:jc w:val="center"/>
        </w:trPr>
        <w:tc>
          <w:tcPr>
            <w:tcW w:w="1505" w:type="dxa"/>
            <w:shd w:val="clear" w:color="auto" w:fill="1B3A6B"/>
          </w:tcPr>
          <w:p w14:paraId="36B84898" w14:textId="77777777" w:rsidR="00811103" w:rsidRDefault="00000000">
            <w:r>
              <w:rPr>
                <w:rFonts w:ascii="Arial" w:hAnsi="Arial"/>
                <w:b/>
                <w:color w:val="FFFFFF"/>
                <w:sz w:val="18"/>
              </w:rPr>
              <w:t>Scope</w:t>
            </w:r>
          </w:p>
        </w:tc>
        <w:tc>
          <w:tcPr>
            <w:tcW w:w="1505" w:type="dxa"/>
            <w:shd w:val="clear" w:color="auto" w:fill="1B3A6B"/>
          </w:tcPr>
          <w:p w14:paraId="56C5BC2B" w14:textId="77777777" w:rsidR="00811103" w:rsidRDefault="00000000">
            <w:r>
              <w:rPr>
                <w:rFonts w:ascii="Arial" w:hAnsi="Arial"/>
                <w:b/>
                <w:color w:val="FFFFFF"/>
                <w:sz w:val="18"/>
              </w:rPr>
              <w:t>2024 Baseline (tCO2e)</w:t>
            </w:r>
          </w:p>
        </w:tc>
        <w:tc>
          <w:tcPr>
            <w:tcW w:w="1505" w:type="dxa"/>
            <w:shd w:val="clear" w:color="auto" w:fill="1B3A6B"/>
          </w:tcPr>
          <w:p w14:paraId="7AD0AC5D" w14:textId="77777777" w:rsidR="00811103" w:rsidRDefault="00000000">
            <w:r>
              <w:rPr>
                <w:rFonts w:ascii="Arial" w:hAnsi="Arial"/>
                <w:b/>
                <w:color w:val="FFFFFF"/>
                <w:sz w:val="18"/>
              </w:rPr>
              <w:t>2030 Target (tCO2e)</w:t>
            </w:r>
          </w:p>
        </w:tc>
        <w:tc>
          <w:tcPr>
            <w:tcW w:w="1505" w:type="dxa"/>
            <w:shd w:val="clear" w:color="auto" w:fill="1B3A6B"/>
          </w:tcPr>
          <w:p w14:paraId="32715775" w14:textId="77777777" w:rsidR="00811103" w:rsidRDefault="00000000">
            <w:r>
              <w:rPr>
                <w:rFonts w:ascii="Arial" w:hAnsi="Arial"/>
                <w:b/>
                <w:color w:val="FFFFFF"/>
                <w:sz w:val="18"/>
              </w:rPr>
              <w:t>Reduction (%)</w:t>
            </w:r>
          </w:p>
        </w:tc>
        <w:tc>
          <w:tcPr>
            <w:tcW w:w="1505" w:type="dxa"/>
            <w:shd w:val="clear" w:color="auto" w:fill="1B3A6B"/>
          </w:tcPr>
          <w:p w14:paraId="4134FE18" w14:textId="77777777" w:rsidR="00811103" w:rsidRDefault="00000000">
            <w:r>
              <w:rPr>
                <w:rFonts w:ascii="Arial" w:hAnsi="Arial"/>
                <w:b/>
                <w:color w:val="FFFFFF"/>
                <w:sz w:val="18"/>
              </w:rPr>
              <w:t>Target Type</w:t>
            </w:r>
          </w:p>
        </w:tc>
        <w:tc>
          <w:tcPr>
            <w:tcW w:w="1505" w:type="dxa"/>
            <w:shd w:val="clear" w:color="auto" w:fill="1B3A6B"/>
          </w:tcPr>
          <w:p w14:paraId="2904A959" w14:textId="77777777" w:rsidR="00811103" w:rsidRDefault="00000000">
            <w:r>
              <w:rPr>
                <w:rFonts w:ascii="Arial" w:hAnsi="Arial"/>
                <w:b/>
                <w:color w:val="FFFFFF"/>
                <w:sz w:val="18"/>
              </w:rPr>
              <w:t>Alignment</w:t>
            </w:r>
          </w:p>
        </w:tc>
      </w:tr>
      <w:tr w:rsidR="00811103" w14:paraId="623ABDB2" w14:textId="77777777">
        <w:trPr>
          <w:jc w:val="center"/>
        </w:trPr>
        <w:tc>
          <w:tcPr>
            <w:tcW w:w="1505" w:type="dxa"/>
          </w:tcPr>
          <w:p w14:paraId="12A6105A" w14:textId="77777777" w:rsidR="00811103" w:rsidRDefault="00000000">
            <w:r>
              <w:rPr>
                <w:rFonts w:ascii="Arial" w:hAnsi="Arial"/>
                <w:sz w:val="18"/>
              </w:rPr>
              <w:t xml:space="preserve">Scope 1 </w:t>
            </w:r>
            <w:r>
              <w:rPr>
                <w:rFonts w:ascii="Arial" w:hAnsi="Arial"/>
                <w:sz w:val="18"/>
              </w:rPr>
              <w:lastRenderedPageBreak/>
              <w:t>(Operational)</w:t>
            </w:r>
          </w:p>
        </w:tc>
        <w:tc>
          <w:tcPr>
            <w:tcW w:w="1505" w:type="dxa"/>
          </w:tcPr>
          <w:p w14:paraId="07CDF53C" w14:textId="77777777" w:rsidR="00811103" w:rsidRDefault="00000000">
            <w:pPr>
              <w:jc w:val="right"/>
            </w:pPr>
            <w:r>
              <w:rPr>
                <w:rFonts w:ascii="Arial" w:hAnsi="Arial"/>
                <w:sz w:val="18"/>
              </w:rPr>
              <w:lastRenderedPageBreak/>
              <w:t>3,402.997</w:t>
            </w:r>
          </w:p>
        </w:tc>
        <w:tc>
          <w:tcPr>
            <w:tcW w:w="1505" w:type="dxa"/>
          </w:tcPr>
          <w:p w14:paraId="0345BC8B" w14:textId="77777777" w:rsidR="00811103" w:rsidRDefault="00000000">
            <w:pPr>
              <w:jc w:val="right"/>
            </w:pPr>
            <w:r>
              <w:rPr>
                <w:rFonts w:ascii="Arial" w:hAnsi="Arial"/>
                <w:sz w:val="18"/>
              </w:rPr>
              <w:t>2,382.10</w:t>
            </w:r>
          </w:p>
        </w:tc>
        <w:tc>
          <w:tcPr>
            <w:tcW w:w="1505" w:type="dxa"/>
          </w:tcPr>
          <w:p w14:paraId="255EC763" w14:textId="77777777" w:rsidR="00811103" w:rsidRDefault="00000000">
            <w:pPr>
              <w:jc w:val="right"/>
            </w:pPr>
            <w:r>
              <w:rPr>
                <w:rFonts w:ascii="Arial" w:hAnsi="Arial"/>
                <w:sz w:val="18"/>
              </w:rPr>
              <w:t>30%</w:t>
            </w:r>
          </w:p>
        </w:tc>
        <w:tc>
          <w:tcPr>
            <w:tcW w:w="1505" w:type="dxa"/>
          </w:tcPr>
          <w:p w14:paraId="4013DEDC" w14:textId="77777777" w:rsidR="00811103" w:rsidRDefault="00000000">
            <w:r>
              <w:rPr>
                <w:rFonts w:ascii="Arial" w:hAnsi="Arial"/>
                <w:sz w:val="18"/>
              </w:rPr>
              <w:t>Absolute</w:t>
            </w:r>
          </w:p>
        </w:tc>
        <w:tc>
          <w:tcPr>
            <w:tcW w:w="1505" w:type="dxa"/>
          </w:tcPr>
          <w:p w14:paraId="555969C0" w14:textId="77777777" w:rsidR="00811103" w:rsidRDefault="00000000">
            <w:r>
              <w:rPr>
                <w:rFonts w:ascii="Arial" w:hAnsi="Arial"/>
                <w:sz w:val="18"/>
              </w:rPr>
              <w:t xml:space="preserve">SBTi 1.5°C </w:t>
            </w:r>
            <w:r>
              <w:rPr>
                <w:rFonts w:ascii="Arial" w:hAnsi="Arial"/>
                <w:sz w:val="18"/>
              </w:rPr>
              <w:lastRenderedPageBreak/>
              <w:t>pathway</w:t>
            </w:r>
          </w:p>
        </w:tc>
      </w:tr>
      <w:tr w:rsidR="00811103" w14:paraId="00CEF01F" w14:textId="77777777">
        <w:trPr>
          <w:jc w:val="center"/>
        </w:trPr>
        <w:tc>
          <w:tcPr>
            <w:tcW w:w="1505" w:type="dxa"/>
            <w:shd w:val="clear" w:color="auto" w:fill="F2F6FC"/>
          </w:tcPr>
          <w:p w14:paraId="028C326E" w14:textId="77777777" w:rsidR="00811103" w:rsidRDefault="00000000">
            <w:r>
              <w:rPr>
                <w:rFonts w:ascii="Arial" w:hAnsi="Arial"/>
                <w:sz w:val="18"/>
              </w:rPr>
              <w:lastRenderedPageBreak/>
              <w:t>Scope 2 (Market-based)</w:t>
            </w:r>
          </w:p>
        </w:tc>
        <w:tc>
          <w:tcPr>
            <w:tcW w:w="1505" w:type="dxa"/>
            <w:shd w:val="clear" w:color="auto" w:fill="F2F6FC"/>
          </w:tcPr>
          <w:p w14:paraId="5777547E" w14:textId="77777777" w:rsidR="00811103" w:rsidRDefault="00000000">
            <w:pPr>
              <w:jc w:val="right"/>
            </w:pPr>
            <w:r>
              <w:rPr>
                <w:rFonts w:ascii="Arial" w:hAnsi="Arial"/>
                <w:sz w:val="18"/>
              </w:rPr>
              <w:t>44,612.518</w:t>
            </w:r>
          </w:p>
        </w:tc>
        <w:tc>
          <w:tcPr>
            <w:tcW w:w="1505" w:type="dxa"/>
            <w:shd w:val="clear" w:color="auto" w:fill="F2F6FC"/>
          </w:tcPr>
          <w:p w14:paraId="17F137E6" w14:textId="77777777" w:rsidR="00811103" w:rsidRDefault="00000000">
            <w:pPr>
              <w:jc w:val="right"/>
            </w:pPr>
            <w:r>
              <w:rPr>
                <w:rFonts w:ascii="Arial" w:hAnsi="Arial"/>
                <w:sz w:val="18"/>
              </w:rPr>
              <w:t>31,228.76</w:t>
            </w:r>
          </w:p>
        </w:tc>
        <w:tc>
          <w:tcPr>
            <w:tcW w:w="1505" w:type="dxa"/>
            <w:shd w:val="clear" w:color="auto" w:fill="F2F6FC"/>
          </w:tcPr>
          <w:p w14:paraId="1BFA4008" w14:textId="77777777" w:rsidR="00811103" w:rsidRDefault="00000000">
            <w:pPr>
              <w:jc w:val="right"/>
            </w:pPr>
            <w:r>
              <w:rPr>
                <w:rFonts w:ascii="Arial" w:hAnsi="Arial"/>
                <w:sz w:val="18"/>
              </w:rPr>
              <w:t>30%</w:t>
            </w:r>
          </w:p>
        </w:tc>
        <w:tc>
          <w:tcPr>
            <w:tcW w:w="1505" w:type="dxa"/>
            <w:shd w:val="clear" w:color="auto" w:fill="F2F6FC"/>
          </w:tcPr>
          <w:p w14:paraId="6A7745B3" w14:textId="77777777" w:rsidR="00811103" w:rsidRDefault="00000000">
            <w:r>
              <w:rPr>
                <w:rFonts w:ascii="Arial" w:hAnsi="Arial"/>
                <w:sz w:val="18"/>
              </w:rPr>
              <w:t>Absolute</w:t>
            </w:r>
          </w:p>
        </w:tc>
        <w:tc>
          <w:tcPr>
            <w:tcW w:w="1505" w:type="dxa"/>
            <w:shd w:val="clear" w:color="auto" w:fill="F2F6FC"/>
          </w:tcPr>
          <w:p w14:paraId="7CB9D936" w14:textId="77777777" w:rsidR="00811103" w:rsidRDefault="00000000">
            <w:r>
              <w:rPr>
                <w:rFonts w:ascii="Arial" w:hAnsi="Arial"/>
                <w:sz w:val="18"/>
              </w:rPr>
              <w:t>SBTi 1.5°C pathway</w:t>
            </w:r>
          </w:p>
        </w:tc>
      </w:tr>
      <w:tr w:rsidR="00811103" w14:paraId="71287CEC" w14:textId="77777777">
        <w:trPr>
          <w:jc w:val="center"/>
        </w:trPr>
        <w:tc>
          <w:tcPr>
            <w:tcW w:w="1505" w:type="dxa"/>
          </w:tcPr>
          <w:p w14:paraId="1DDE8059" w14:textId="77777777" w:rsidR="00811103" w:rsidRDefault="00000000">
            <w:r>
              <w:rPr>
                <w:rFonts w:ascii="Arial" w:hAnsi="Arial"/>
                <w:sz w:val="18"/>
              </w:rPr>
              <w:t>Scope 1+2 Combined</w:t>
            </w:r>
          </w:p>
        </w:tc>
        <w:tc>
          <w:tcPr>
            <w:tcW w:w="1505" w:type="dxa"/>
          </w:tcPr>
          <w:p w14:paraId="7BEE9AD0" w14:textId="77777777" w:rsidR="00811103" w:rsidRDefault="00000000">
            <w:pPr>
              <w:jc w:val="right"/>
            </w:pPr>
            <w:r>
              <w:rPr>
                <w:rFonts w:ascii="Arial" w:hAnsi="Arial"/>
                <w:sz w:val="18"/>
              </w:rPr>
              <w:t>48,015.515</w:t>
            </w:r>
          </w:p>
        </w:tc>
        <w:tc>
          <w:tcPr>
            <w:tcW w:w="1505" w:type="dxa"/>
          </w:tcPr>
          <w:p w14:paraId="0BB62A05" w14:textId="77777777" w:rsidR="00811103" w:rsidRDefault="00000000">
            <w:pPr>
              <w:jc w:val="right"/>
            </w:pPr>
            <w:r>
              <w:rPr>
                <w:rFonts w:ascii="Arial" w:hAnsi="Arial"/>
                <w:sz w:val="18"/>
              </w:rPr>
              <w:t>33,610.86</w:t>
            </w:r>
          </w:p>
        </w:tc>
        <w:tc>
          <w:tcPr>
            <w:tcW w:w="1505" w:type="dxa"/>
          </w:tcPr>
          <w:p w14:paraId="6676B4D7" w14:textId="77777777" w:rsidR="00811103" w:rsidRDefault="00000000">
            <w:pPr>
              <w:jc w:val="right"/>
            </w:pPr>
            <w:r>
              <w:rPr>
                <w:rFonts w:ascii="Arial" w:hAnsi="Arial"/>
                <w:sz w:val="18"/>
              </w:rPr>
              <w:t>30%</w:t>
            </w:r>
          </w:p>
        </w:tc>
        <w:tc>
          <w:tcPr>
            <w:tcW w:w="1505" w:type="dxa"/>
          </w:tcPr>
          <w:p w14:paraId="730490B1" w14:textId="77777777" w:rsidR="00811103" w:rsidRDefault="00000000">
            <w:r>
              <w:rPr>
                <w:rFonts w:ascii="Arial" w:hAnsi="Arial"/>
                <w:sz w:val="18"/>
              </w:rPr>
              <w:t>Absolute</w:t>
            </w:r>
          </w:p>
        </w:tc>
        <w:tc>
          <w:tcPr>
            <w:tcW w:w="1505" w:type="dxa"/>
          </w:tcPr>
          <w:p w14:paraId="112FC86B" w14:textId="77777777" w:rsidR="00811103" w:rsidRDefault="00000000">
            <w:r>
              <w:rPr>
                <w:rFonts w:ascii="Arial" w:hAnsi="Arial"/>
                <w:sz w:val="18"/>
              </w:rPr>
              <w:t>SBTi 1.5°C pathway</w:t>
            </w:r>
          </w:p>
        </w:tc>
      </w:tr>
      <w:tr w:rsidR="00811103" w14:paraId="4399F44C" w14:textId="77777777">
        <w:trPr>
          <w:jc w:val="center"/>
        </w:trPr>
        <w:tc>
          <w:tcPr>
            <w:tcW w:w="1505" w:type="dxa"/>
            <w:shd w:val="clear" w:color="auto" w:fill="F2F6FC"/>
          </w:tcPr>
          <w:p w14:paraId="394D5196" w14:textId="77777777" w:rsidR="00811103" w:rsidRDefault="00000000">
            <w:r>
              <w:rPr>
                <w:rFonts w:ascii="Arial" w:hAnsi="Arial"/>
                <w:sz w:val="18"/>
              </w:rPr>
              <w:t>Scope 3 Cat.15 — Oil &amp; Gas Sector</w:t>
            </w:r>
          </w:p>
        </w:tc>
        <w:tc>
          <w:tcPr>
            <w:tcW w:w="1505" w:type="dxa"/>
            <w:shd w:val="clear" w:color="auto" w:fill="F2F6FC"/>
          </w:tcPr>
          <w:p w14:paraId="663FB80A" w14:textId="77777777" w:rsidR="00811103" w:rsidRDefault="00000000">
            <w:r>
              <w:rPr>
                <w:rFonts w:ascii="Arial" w:hAnsi="Arial"/>
                <w:sz w:val="18"/>
              </w:rPr>
              <w:t>93.242 tCO2e/IDR bn</w:t>
            </w:r>
          </w:p>
        </w:tc>
        <w:tc>
          <w:tcPr>
            <w:tcW w:w="1505" w:type="dxa"/>
            <w:shd w:val="clear" w:color="auto" w:fill="F2F6FC"/>
          </w:tcPr>
          <w:p w14:paraId="35843B97" w14:textId="77777777" w:rsidR="00811103" w:rsidRDefault="00000000">
            <w:r>
              <w:rPr>
                <w:rFonts w:ascii="Arial" w:hAnsi="Arial"/>
                <w:sz w:val="18"/>
              </w:rPr>
              <w:t>79.26 tCO2e/IDR bn</w:t>
            </w:r>
          </w:p>
        </w:tc>
        <w:tc>
          <w:tcPr>
            <w:tcW w:w="1505" w:type="dxa"/>
            <w:shd w:val="clear" w:color="auto" w:fill="F2F6FC"/>
          </w:tcPr>
          <w:p w14:paraId="2CEECF2C" w14:textId="77777777" w:rsidR="00811103" w:rsidRDefault="00000000">
            <w:pPr>
              <w:jc w:val="right"/>
            </w:pPr>
            <w:r>
              <w:rPr>
                <w:rFonts w:ascii="Arial" w:hAnsi="Arial"/>
                <w:sz w:val="18"/>
              </w:rPr>
              <w:t>15%</w:t>
            </w:r>
          </w:p>
        </w:tc>
        <w:tc>
          <w:tcPr>
            <w:tcW w:w="1505" w:type="dxa"/>
            <w:shd w:val="clear" w:color="auto" w:fill="F2F6FC"/>
          </w:tcPr>
          <w:p w14:paraId="608E911E" w14:textId="77777777" w:rsidR="00811103" w:rsidRDefault="00000000">
            <w:r>
              <w:rPr>
                <w:rFonts w:ascii="Arial" w:hAnsi="Arial"/>
                <w:sz w:val="18"/>
              </w:rPr>
              <w:t>Intensity</w:t>
            </w:r>
          </w:p>
        </w:tc>
        <w:tc>
          <w:tcPr>
            <w:tcW w:w="1505" w:type="dxa"/>
            <w:shd w:val="clear" w:color="auto" w:fill="F2F6FC"/>
          </w:tcPr>
          <w:p w14:paraId="58620656" w14:textId="77777777" w:rsidR="00811103" w:rsidRDefault="00000000">
            <w:r>
              <w:rPr>
                <w:rFonts w:ascii="Arial" w:hAnsi="Arial"/>
                <w:sz w:val="18"/>
              </w:rPr>
              <w:t>Sectoral Decarbonization Approach (SDA)</w:t>
            </w:r>
          </w:p>
        </w:tc>
      </w:tr>
      <w:tr w:rsidR="00811103" w14:paraId="5D2406AB" w14:textId="77777777">
        <w:trPr>
          <w:jc w:val="center"/>
        </w:trPr>
        <w:tc>
          <w:tcPr>
            <w:tcW w:w="1505" w:type="dxa"/>
          </w:tcPr>
          <w:p w14:paraId="043DE666" w14:textId="77777777" w:rsidR="00811103" w:rsidRDefault="00000000">
            <w:r>
              <w:rPr>
                <w:rFonts w:ascii="Arial" w:hAnsi="Arial"/>
                <w:sz w:val="18"/>
              </w:rPr>
              <w:t>Scope 3 Cat.15 — Cement Sector</w:t>
            </w:r>
          </w:p>
        </w:tc>
        <w:tc>
          <w:tcPr>
            <w:tcW w:w="1505" w:type="dxa"/>
          </w:tcPr>
          <w:p w14:paraId="55BC81EA" w14:textId="77777777" w:rsidR="00811103" w:rsidRDefault="00000000">
            <w:r>
              <w:rPr>
                <w:rFonts w:ascii="Arial" w:hAnsi="Arial"/>
                <w:sz w:val="18"/>
              </w:rPr>
              <w:t>53.9927 tCO2e/IDR bn</w:t>
            </w:r>
          </w:p>
        </w:tc>
        <w:tc>
          <w:tcPr>
            <w:tcW w:w="1505" w:type="dxa"/>
          </w:tcPr>
          <w:p w14:paraId="3BD0C3F3" w14:textId="77777777" w:rsidR="00811103" w:rsidRDefault="00000000">
            <w:r>
              <w:rPr>
                <w:rFonts w:ascii="Arial" w:hAnsi="Arial"/>
                <w:sz w:val="18"/>
              </w:rPr>
              <w:t>45.89 tCO2e/IDR bn</w:t>
            </w:r>
          </w:p>
        </w:tc>
        <w:tc>
          <w:tcPr>
            <w:tcW w:w="1505" w:type="dxa"/>
          </w:tcPr>
          <w:p w14:paraId="52FA283A" w14:textId="77777777" w:rsidR="00811103" w:rsidRDefault="00000000">
            <w:pPr>
              <w:jc w:val="right"/>
            </w:pPr>
            <w:r>
              <w:rPr>
                <w:rFonts w:ascii="Arial" w:hAnsi="Arial"/>
                <w:sz w:val="18"/>
              </w:rPr>
              <w:t>15%</w:t>
            </w:r>
          </w:p>
        </w:tc>
        <w:tc>
          <w:tcPr>
            <w:tcW w:w="1505" w:type="dxa"/>
          </w:tcPr>
          <w:p w14:paraId="61E628F0" w14:textId="77777777" w:rsidR="00811103" w:rsidRDefault="00000000">
            <w:r>
              <w:rPr>
                <w:rFonts w:ascii="Arial" w:hAnsi="Arial"/>
                <w:sz w:val="18"/>
              </w:rPr>
              <w:t>Intensity</w:t>
            </w:r>
          </w:p>
        </w:tc>
        <w:tc>
          <w:tcPr>
            <w:tcW w:w="1505" w:type="dxa"/>
          </w:tcPr>
          <w:p w14:paraId="55BD604B" w14:textId="77777777" w:rsidR="00811103" w:rsidRDefault="00000000">
            <w:r>
              <w:rPr>
                <w:rFonts w:ascii="Arial" w:hAnsi="Arial"/>
                <w:sz w:val="18"/>
              </w:rPr>
              <w:t>Sectoral Decarbonization Approach (SDA)</w:t>
            </w:r>
          </w:p>
        </w:tc>
      </w:tr>
      <w:tr w:rsidR="00811103" w14:paraId="24DFBC38" w14:textId="77777777">
        <w:trPr>
          <w:jc w:val="center"/>
        </w:trPr>
        <w:tc>
          <w:tcPr>
            <w:tcW w:w="1505" w:type="dxa"/>
            <w:shd w:val="clear" w:color="auto" w:fill="F2F6FC"/>
          </w:tcPr>
          <w:p w14:paraId="4A20BDC4" w14:textId="77777777" w:rsidR="00811103" w:rsidRDefault="00000000">
            <w:r>
              <w:rPr>
                <w:rFonts w:ascii="Arial" w:hAnsi="Arial"/>
                <w:sz w:val="18"/>
              </w:rPr>
              <w:t>Scope 3 Cat.15 — Steel Sector</w:t>
            </w:r>
          </w:p>
        </w:tc>
        <w:tc>
          <w:tcPr>
            <w:tcW w:w="1505" w:type="dxa"/>
            <w:shd w:val="clear" w:color="auto" w:fill="F2F6FC"/>
          </w:tcPr>
          <w:p w14:paraId="651CD467" w14:textId="77777777" w:rsidR="00811103" w:rsidRDefault="00000000">
            <w:r>
              <w:rPr>
                <w:rFonts w:ascii="Arial" w:hAnsi="Arial"/>
                <w:sz w:val="18"/>
              </w:rPr>
              <w:t>32.2175 tCO2e/IDR bn</w:t>
            </w:r>
          </w:p>
        </w:tc>
        <w:tc>
          <w:tcPr>
            <w:tcW w:w="1505" w:type="dxa"/>
            <w:shd w:val="clear" w:color="auto" w:fill="F2F6FC"/>
          </w:tcPr>
          <w:p w14:paraId="1E0D6935" w14:textId="77777777" w:rsidR="00811103" w:rsidRDefault="00000000">
            <w:r>
              <w:rPr>
                <w:rFonts w:ascii="Arial" w:hAnsi="Arial"/>
                <w:sz w:val="18"/>
              </w:rPr>
              <w:t>27.38 tCO2e/IDR bn</w:t>
            </w:r>
          </w:p>
        </w:tc>
        <w:tc>
          <w:tcPr>
            <w:tcW w:w="1505" w:type="dxa"/>
            <w:shd w:val="clear" w:color="auto" w:fill="F2F6FC"/>
          </w:tcPr>
          <w:p w14:paraId="0389DE6A" w14:textId="77777777" w:rsidR="00811103" w:rsidRDefault="00000000">
            <w:pPr>
              <w:jc w:val="right"/>
            </w:pPr>
            <w:r>
              <w:rPr>
                <w:rFonts w:ascii="Arial" w:hAnsi="Arial"/>
                <w:sz w:val="18"/>
              </w:rPr>
              <w:t>15%</w:t>
            </w:r>
          </w:p>
        </w:tc>
        <w:tc>
          <w:tcPr>
            <w:tcW w:w="1505" w:type="dxa"/>
            <w:shd w:val="clear" w:color="auto" w:fill="F2F6FC"/>
          </w:tcPr>
          <w:p w14:paraId="5B2638E9" w14:textId="77777777" w:rsidR="00811103" w:rsidRDefault="00000000">
            <w:r>
              <w:rPr>
                <w:rFonts w:ascii="Arial" w:hAnsi="Arial"/>
                <w:sz w:val="18"/>
              </w:rPr>
              <w:t>Intensity</w:t>
            </w:r>
          </w:p>
        </w:tc>
        <w:tc>
          <w:tcPr>
            <w:tcW w:w="1505" w:type="dxa"/>
            <w:shd w:val="clear" w:color="auto" w:fill="F2F6FC"/>
          </w:tcPr>
          <w:p w14:paraId="64622985" w14:textId="77777777" w:rsidR="00811103" w:rsidRDefault="00000000">
            <w:r>
              <w:rPr>
                <w:rFonts w:ascii="Arial" w:hAnsi="Arial"/>
                <w:sz w:val="18"/>
              </w:rPr>
              <w:t>Sectoral Decarbonization Approach (SDA)</w:t>
            </w:r>
          </w:p>
        </w:tc>
      </w:tr>
      <w:tr w:rsidR="00811103" w14:paraId="439A3953" w14:textId="77777777">
        <w:trPr>
          <w:jc w:val="center"/>
        </w:trPr>
        <w:tc>
          <w:tcPr>
            <w:tcW w:w="1505" w:type="dxa"/>
          </w:tcPr>
          <w:p w14:paraId="36446F36" w14:textId="77777777" w:rsidR="00811103" w:rsidRDefault="00000000">
            <w:r>
              <w:rPr>
                <w:rFonts w:ascii="Arial" w:hAnsi="Arial"/>
                <w:sz w:val="18"/>
              </w:rPr>
              <w:t>Scope 3 Cat.15 — Overall Portfolio</w:t>
            </w:r>
          </w:p>
        </w:tc>
        <w:tc>
          <w:tcPr>
            <w:tcW w:w="1505" w:type="dxa"/>
          </w:tcPr>
          <w:p w14:paraId="7A6B2D4D" w14:textId="77777777" w:rsidR="00811103" w:rsidRDefault="00000000">
            <w:r>
              <w:rPr>
                <w:rFonts w:ascii="Arial" w:hAnsi="Arial"/>
                <w:sz w:val="18"/>
              </w:rPr>
              <w:t>239.400139 tCO2e/IDR bn</w:t>
            </w:r>
          </w:p>
        </w:tc>
        <w:tc>
          <w:tcPr>
            <w:tcW w:w="1505" w:type="dxa"/>
          </w:tcPr>
          <w:p w14:paraId="7CB5D622" w14:textId="77777777" w:rsidR="00811103" w:rsidRDefault="00000000">
            <w:r>
              <w:rPr>
                <w:rFonts w:ascii="Arial" w:hAnsi="Arial"/>
                <w:sz w:val="18"/>
              </w:rPr>
              <w:t>203.49 tCO2e/IDR bn</w:t>
            </w:r>
          </w:p>
        </w:tc>
        <w:tc>
          <w:tcPr>
            <w:tcW w:w="1505" w:type="dxa"/>
          </w:tcPr>
          <w:p w14:paraId="66E4DD98" w14:textId="77777777" w:rsidR="00811103" w:rsidRDefault="00000000">
            <w:pPr>
              <w:jc w:val="right"/>
            </w:pPr>
            <w:r>
              <w:rPr>
                <w:rFonts w:ascii="Arial" w:hAnsi="Arial"/>
                <w:sz w:val="18"/>
              </w:rPr>
              <w:t>15%</w:t>
            </w:r>
          </w:p>
        </w:tc>
        <w:tc>
          <w:tcPr>
            <w:tcW w:w="1505" w:type="dxa"/>
          </w:tcPr>
          <w:p w14:paraId="75160B2C" w14:textId="77777777" w:rsidR="00811103" w:rsidRDefault="00000000">
            <w:r>
              <w:rPr>
                <w:rFonts w:ascii="Arial" w:hAnsi="Arial"/>
                <w:sz w:val="18"/>
              </w:rPr>
              <w:t>Intensity</w:t>
            </w:r>
          </w:p>
        </w:tc>
        <w:tc>
          <w:tcPr>
            <w:tcW w:w="1505" w:type="dxa"/>
          </w:tcPr>
          <w:p w14:paraId="69B799F5" w14:textId="77777777" w:rsidR="00811103" w:rsidRDefault="00000000">
            <w:r>
              <w:rPr>
                <w:rFonts w:ascii="Arial" w:hAnsi="Arial"/>
                <w:sz w:val="18"/>
              </w:rPr>
              <w:t>Portfolio temperature alignment &lt;2°C</w:t>
            </w:r>
          </w:p>
        </w:tc>
      </w:tr>
    </w:tbl>
    <w:p w14:paraId="0E95FF85" w14:textId="77777777" w:rsidR="00811103" w:rsidRDefault="00000000">
      <w:r>
        <w:rPr>
          <w:rFonts w:ascii="Arial" w:hAnsi="Arial"/>
          <w:i/>
          <w:sz w:val="16"/>
        </w:rPr>
        <w:t>Source: Proposed targets based on 2024 baseline data from institution's GHG inventory. Scope 1+2 targets aligned with SBTi 1.5°C linear reduction pathway (4.2% annual reduction). Scope 3 targets use Sectoral Decarbonization Approach per PCAF guidance for financial institutions. Targets subject to SBTi validation process.</w:t>
      </w:r>
    </w:p>
    <w:p w14:paraId="2B78470B" w14:textId="77777777" w:rsidR="00811103" w:rsidRDefault="00811103"/>
    <w:p w14:paraId="404A2D8A" w14:textId="77777777" w:rsidR="00811103" w:rsidRDefault="00000000">
      <w:r>
        <w:rPr>
          <w:i/>
          <w:color w:val="3D6094"/>
          <w:sz w:val="18"/>
        </w:rPr>
        <w:t>Framework references: IFRS S2 Para 33 — Climate-related targets disclosure requirements; IFRS S2 Para 33(a)–(h) — Target characteristics (metric, objective, scope, period, base year, milestones, absolute vs intensity, regulatory comparison); IFRS S2 Para 29(a)(vi) — Financed emissions disclosure (Scope 3 Category 15); IFRS S2 Para B66–B67 — Absolute vs intensity targets; carbon credits/offsets; IFRS S2 Para 6 — Governance oversight of climate targets; SASB FN-CB-410a.3 — Financed emissions disclosure for commercial banks; GHG Protocol Corporate Standard — Scope 1, 2, 3 definitions; PCAF Standard (2022) — Financed emissions calculation methodology; Science Based Targets initiative (SBTi) — Financial Sector Science-Based Targets Guidance (2024)</w:t>
      </w:r>
    </w:p>
    <w:p w14:paraId="78C1D7FA" w14:textId="77777777" w:rsidR="00811103" w:rsidRDefault="00811103">
      <w:pPr>
        <w:pBdr>
          <w:bottom w:val="single" w:sz="6" w:space="1" w:color="999999"/>
        </w:pBdr>
        <w:spacing w:after="80"/>
      </w:pPr>
    </w:p>
    <w:p w14:paraId="3F8791A6" w14:textId="77777777" w:rsidR="00811103" w:rsidRDefault="00000000">
      <w:pPr>
        <w:spacing w:after="160"/>
        <w:jc w:val="both"/>
      </w:pPr>
      <w:r>
        <w:rPr>
          <w:rFonts w:ascii="Arial" w:hAnsi="Arial"/>
          <w:i/>
          <w:color w:val="646464"/>
          <w:sz w:val="18"/>
        </w:rPr>
        <w:t>These figures have not been subject to external assurance for the current reporting period.</w:t>
      </w:r>
    </w:p>
    <w:p w14:paraId="4EEB62A6" w14:textId="77777777" w:rsidR="00811103" w:rsidRDefault="00000000">
      <w:pPr>
        <w:spacing w:after="160"/>
        <w:jc w:val="both"/>
      </w:pPr>
      <w:r>
        <w:rPr>
          <w:rFonts w:ascii="Arial" w:hAnsi="Arial"/>
          <w:i/>
          <w:color w:val="646464"/>
          <w:sz w:val="18"/>
        </w:rPr>
        <w:t>All proposed targets are subject to Science Based Targets initiative (SBTi) validation process, which typically requires 24 months from commitment submission to target approval.</w:t>
      </w:r>
    </w:p>
    <w:p w14:paraId="37344FE0" w14:textId="77777777" w:rsidR="00811103" w:rsidRDefault="00000000">
      <w:pPr>
        <w:spacing w:after="160"/>
        <w:jc w:val="both"/>
      </w:pPr>
      <w:r>
        <w:rPr>
          <w:rFonts w:ascii="Arial" w:hAnsi="Arial"/>
          <w:i/>
          <w:color w:val="646464"/>
          <w:sz w:val="18"/>
        </w:rPr>
        <w:t>Scope 3 Category 15 financed emissions calculated using Partnership for Carbon Accounting Financials (PCAF) Standard for Financial Institutions. Average PCAF data quality score: 3.36/5.0.</w:t>
      </w:r>
    </w:p>
    <w:p w14:paraId="6CE9087B" w14:textId="77777777" w:rsidR="00811103" w:rsidRDefault="00000000">
      <w:pPr>
        <w:spacing w:after="160"/>
        <w:jc w:val="both"/>
      </w:pPr>
      <w:r>
        <w:rPr>
          <w:rFonts w:ascii="Arial" w:hAnsi="Arial"/>
          <w:i/>
          <w:color w:val="646464"/>
          <w:sz w:val="18"/>
        </w:rPr>
        <w:t>Proposed Scope 1+2 reduction target of 30% by 2030 aligns with SBTi 1.5°C linear reduction pathway, requiring 4.2% absolute reduction per year from 2024 baseline.</w:t>
      </w:r>
    </w:p>
    <w:p w14:paraId="42F75B28" w14:textId="77777777" w:rsidR="00811103" w:rsidRDefault="00000000">
      <w:pPr>
        <w:spacing w:after="160"/>
        <w:jc w:val="both"/>
      </w:pPr>
      <w:r>
        <w:rPr>
          <w:rFonts w:ascii="Arial" w:hAnsi="Arial"/>
          <w:i/>
          <w:color w:val="646464"/>
          <w:sz w:val="18"/>
        </w:rPr>
        <w:t>Sectoral intensity targets for Oil &amp; Gas, Cement, and Steel use Sectoral Decarbonization Approach (SDA) per PCAF guidance, aligned with IEA Net Zero by 2050 scenario sectoral pathways.</w:t>
      </w:r>
    </w:p>
    <w:p w14:paraId="2670ECC4" w14:textId="77777777" w:rsidR="00811103" w:rsidRDefault="00000000">
      <w:pPr>
        <w:spacing w:after="160"/>
        <w:jc w:val="both"/>
      </w:pPr>
      <w:r>
        <w:rPr>
          <w:rFonts w:ascii="Arial" w:hAnsi="Arial"/>
          <w:i/>
          <w:color w:val="646464"/>
          <w:sz w:val="18"/>
        </w:rPr>
        <w:t>Renewable energy procurement target of 50% by 2030 assumes grid decarbonization in Indonesia (PLN renewable mix increasing) plus direct PPA/REC procurement by institution.</w:t>
      </w:r>
    </w:p>
    <w:p w14:paraId="5537EFDF" w14:textId="77777777" w:rsidR="00811103" w:rsidRDefault="00000000">
      <w:pPr>
        <w:spacing w:after="160"/>
        <w:jc w:val="both"/>
      </w:pPr>
      <w:r>
        <w:rPr>
          <w:rFonts w:ascii="Arial" w:hAnsi="Arial"/>
          <w:i/>
          <w:color w:val="646464"/>
          <w:sz w:val="18"/>
        </w:rPr>
        <w:t>No carbon offsets are included in proposed targets. Any future offset strategy would require separate disclosure of gross reduction targets (without offsets) and net targets (with offsets) per IFRS S2 requirements.</w:t>
      </w:r>
    </w:p>
    <w:p w14:paraId="5DFA2197" w14:textId="77777777" w:rsidR="00811103" w:rsidRDefault="00000000">
      <w:r>
        <w:lastRenderedPageBreak/>
        <w:br w:type="page"/>
      </w:r>
    </w:p>
    <w:p w14:paraId="5FE7870E" w14:textId="77777777" w:rsidR="00811103" w:rsidRDefault="00000000">
      <w:pPr>
        <w:pStyle w:val="Heading1"/>
        <w:spacing w:after="240"/>
      </w:pPr>
      <w:bookmarkStart w:id="8" w:name="_Toc231991234"/>
      <w:r>
        <w:rPr>
          <w:rFonts w:ascii="Arial" w:hAnsi="Arial"/>
          <w:color w:val="1B3A6B"/>
          <w:sz w:val="36"/>
        </w:rPr>
        <w:lastRenderedPageBreak/>
        <w:t>Social: Workforce &amp; Human Capital Disclosures</w:t>
      </w:r>
      <w:bookmarkEnd w:id="8"/>
    </w:p>
    <w:p w14:paraId="5034FED3" w14:textId="77777777" w:rsidR="00811103" w:rsidRDefault="00000000">
      <w:pPr>
        <w:spacing w:after="160"/>
        <w:jc w:val="both"/>
      </w:pPr>
      <w:r>
        <w:rPr>
          <w:rFonts w:ascii="Arial" w:hAnsi="Arial"/>
        </w:rPr>
        <w:t>As of 31 December 2024, the organization employed 24997 full-time equivalent (FTE) employees, representing a 2.03% increase from the prior year's headcount of 24500 FTE. The workforce comprised 10579 female employees (42.32% of total workforce) and 14418 male employees (57.68% of total workforce). This gender distribution reflects the organization's operational footprint across Indonesia's banking sector, with workforce composition influenced by regional labor market dynamics and business expansion activities during the reporting period.</w:t>
      </w:r>
    </w:p>
    <w:p w14:paraId="1C20BD38" w14:textId="77777777" w:rsidR="00811103" w:rsidRDefault="00000000">
      <w:pPr>
        <w:spacing w:after="160"/>
        <w:jc w:val="both"/>
      </w:pPr>
      <w:r>
        <w:rPr>
          <w:rFonts w:ascii="Arial" w:hAnsi="Arial"/>
        </w:rPr>
        <w:t>The year-over-year headcount growth of 2.03% was driven by strategic expansion initiatives and replacement hiring to support operational continuity. The female representation percentage decreased by 3.88 percentage points from 46.2% in 2023 to 42.32% in 2024, indicating a shift in workforce composition that warrants attention in the context of the organization's diversity and inclusion objectives.</w:t>
      </w:r>
    </w:p>
    <w:p w14:paraId="2F07DBA5" w14:textId="77777777" w:rsidR="00811103" w:rsidRDefault="00000000">
      <w:pPr>
        <w:spacing w:after="160"/>
        <w:jc w:val="both"/>
      </w:pPr>
      <w:r>
        <w:rPr>
          <w:rFonts w:ascii="Arial" w:hAnsi="Arial"/>
        </w:rPr>
        <w:t>During the 2024 reporting period, the organization hired 2595 new employees, representing a hiring rate of 10.38%. This compares to 3169 new hires in 2023 (hiring rate of 12.93%), reflecting a more measured recruitment approach aligned with business growth requirements. The voluntary turnover rate for 2024 was 8.45%, representing a substantial improvement of 40.66% compared to the prior year's voluntary turnover rate of 14.24%. This reduction in voluntary turnover indicates enhanced employee retention and satisfaction, potentially attributable to improved compensation structures, career development opportunities, and organizational culture initiatives implemented during the reporting period.</w:t>
      </w:r>
    </w:p>
    <w:p w14:paraId="5B821BA9" w14:textId="77777777" w:rsidR="00811103" w:rsidRDefault="00000000">
      <w:pPr>
        <w:spacing w:after="160"/>
        <w:jc w:val="both"/>
      </w:pPr>
      <w:r>
        <w:rPr>
          <w:rFonts w:ascii="Arial" w:hAnsi="Arial"/>
        </w:rPr>
        <w:t>The organization invested an average of 49.3 training hours per FTE during 2024, representing a 23.14% decrease from the prior year's 64.14 hours per FTE. This reduction in training intensity occurred despite the organization's stated commitment to workforce development and capability building. The decline may reflect operational constraints, shifts in training delivery modalities, or resource allocation priorities during the reporting period. Training programs during 2024 encompassed technical skills development, regulatory compliance, leadership development, and digital transformation competencies required for the evolving financial services landscape.</w:t>
      </w:r>
    </w:p>
    <w:p w14:paraId="296C109E" w14:textId="77777777" w:rsidR="00811103" w:rsidRDefault="00000000">
      <w:pPr>
        <w:spacing w:after="160"/>
        <w:jc w:val="both"/>
      </w:pPr>
      <w:r>
        <w:rPr>
          <w:rFonts w:ascii="Arial" w:hAnsi="Arial"/>
        </w:rPr>
        <w:t>Women represented 42.32% of the total workforce and 26.67% of management positions as of 31 December 2024. The proportion of women in management decreased by 1.78 percentage points from 28.45% in 2023, indicating a modest decline in female representation at leadership levels. This trend contrasts with the organization's diversity objectives and suggests the need for enhanced gender diversity initiatives in succession planning, leadership development programs, and promotion processes. The organization operates within Indonesia's regulatory framework, which encourages gender diversity in financial institutions, and benchmarks its performance against sector peers to identify improvement opportunities.</w:t>
      </w:r>
    </w:p>
    <w:p w14:paraId="31C6384B" w14:textId="77777777" w:rsidR="00811103" w:rsidRDefault="00000000">
      <w:pPr>
        <w:spacing w:after="160"/>
        <w:jc w:val="both"/>
      </w:pPr>
      <w:r>
        <w:rPr>
          <w:rFonts w:ascii="Arial" w:hAnsi="Arial"/>
        </w:rPr>
        <w:t xml:space="preserve">The organization reported 2 discrimination cases during the 2024 reporting period, compared to 3 cases in 2023. All reported cases were investigated through the organization's established grievance mechanism, with appropriate remediation actions implemented in accordance with internal policies and applicable labor regulations. The organization maintains a zero-tolerance policy toward discrimination based on gender, age, </w:t>
      </w:r>
      <w:r>
        <w:rPr>
          <w:rFonts w:ascii="Arial" w:hAnsi="Arial"/>
        </w:rPr>
        <w:lastRenderedPageBreak/>
        <w:t>ethnicity, religion, disability, or other protected characteristics. Remediation measures included corrective actions, policy reinforcement training, and monitoring protocols to prevent recurrence. The organization continues to strengthen its non-discrimination framework through regular policy reviews, employee awareness programs, and accessible reporting channels.</w:t>
      </w:r>
    </w:p>
    <w:p w14:paraId="1C6A663F" w14:textId="77777777" w:rsidR="00811103" w:rsidRDefault="00000000">
      <w:pPr>
        <w:spacing w:after="160"/>
        <w:jc w:val="both"/>
      </w:pPr>
      <w:r>
        <w:rPr>
          <w:rFonts w:ascii="Arial" w:hAnsi="Arial"/>
          <w:i/>
        </w:rPr>
        <w:t>**Methodology Note**: Workforce data is compiled from the organization's human resources information system (HRIS) as of the last day of the reporting period. Full-time equivalent (FTE) calculations include permanent employees under operational control. Temporary staff, contractors, and outsourced personnel are excluded from these figures. Gender data is based on employee self-identification in HR records. Training hours encompass all formal learning activities including classroom training, e-learning modules, workshops, and external certification programs. Voluntary turnover excludes retirements and involuntary separations. Discrimination cases include all formal complaints filed through the organization's grievance mechanism during the reporting period, regardless of substantiation outcome.</w:t>
      </w:r>
    </w:p>
    <w:p w14:paraId="38E13FED" w14:textId="77777777" w:rsidR="00811103" w:rsidRDefault="00000000">
      <w:r>
        <w:rPr>
          <w:rFonts w:ascii="Arial" w:hAnsi="Arial"/>
          <w:b/>
          <w:sz w:val="20"/>
        </w:rPr>
        <w:t>Table S-1: Workforce Composition</w:t>
      </w:r>
    </w:p>
    <w:tbl>
      <w:tblPr>
        <w:tblW w:w="0" w:type="auto"/>
        <w:jc w:val="center"/>
        <w:tblLook w:val="04A0" w:firstRow="1" w:lastRow="0" w:firstColumn="1" w:lastColumn="0" w:noHBand="0" w:noVBand="1"/>
      </w:tblPr>
      <w:tblGrid>
        <w:gridCol w:w="2257"/>
        <w:gridCol w:w="2257"/>
        <w:gridCol w:w="2257"/>
        <w:gridCol w:w="2257"/>
      </w:tblGrid>
      <w:tr w:rsidR="00811103" w14:paraId="6F572F2A" w14:textId="77777777">
        <w:trPr>
          <w:jc w:val="center"/>
        </w:trPr>
        <w:tc>
          <w:tcPr>
            <w:tcW w:w="2257" w:type="dxa"/>
            <w:shd w:val="clear" w:color="auto" w:fill="1B3A6B"/>
          </w:tcPr>
          <w:p w14:paraId="345E340D" w14:textId="77777777" w:rsidR="00811103" w:rsidRDefault="00000000">
            <w:r>
              <w:rPr>
                <w:rFonts w:ascii="Arial" w:hAnsi="Arial"/>
                <w:b/>
                <w:color w:val="FFFFFF"/>
                <w:sz w:val="18"/>
              </w:rPr>
              <w:t>Metric</w:t>
            </w:r>
          </w:p>
        </w:tc>
        <w:tc>
          <w:tcPr>
            <w:tcW w:w="2257" w:type="dxa"/>
            <w:shd w:val="clear" w:color="auto" w:fill="1B3A6B"/>
          </w:tcPr>
          <w:p w14:paraId="1CFF9F1B" w14:textId="77777777" w:rsidR="00811103" w:rsidRDefault="00000000">
            <w:r>
              <w:rPr>
                <w:rFonts w:ascii="Arial" w:hAnsi="Arial"/>
                <w:b/>
                <w:color w:val="FFFFFF"/>
                <w:sz w:val="18"/>
              </w:rPr>
              <w:t>2024</w:t>
            </w:r>
          </w:p>
        </w:tc>
        <w:tc>
          <w:tcPr>
            <w:tcW w:w="2257" w:type="dxa"/>
            <w:shd w:val="clear" w:color="auto" w:fill="1B3A6B"/>
          </w:tcPr>
          <w:p w14:paraId="1587941F" w14:textId="77777777" w:rsidR="00811103" w:rsidRDefault="00000000">
            <w:r>
              <w:rPr>
                <w:rFonts w:ascii="Arial" w:hAnsi="Arial"/>
                <w:b/>
                <w:color w:val="FFFFFF"/>
                <w:sz w:val="18"/>
              </w:rPr>
              <w:t>2023</w:t>
            </w:r>
          </w:p>
        </w:tc>
        <w:tc>
          <w:tcPr>
            <w:tcW w:w="2257" w:type="dxa"/>
            <w:shd w:val="clear" w:color="auto" w:fill="1B3A6B"/>
          </w:tcPr>
          <w:p w14:paraId="0D4A1D6A" w14:textId="77777777" w:rsidR="00811103" w:rsidRDefault="00000000">
            <w:r>
              <w:rPr>
                <w:rFonts w:ascii="Arial" w:hAnsi="Arial"/>
                <w:b/>
                <w:color w:val="FFFFFF"/>
                <w:sz w:val="18"/>
              </w:rPr>
              <w:t>Change</w:t>
            </w:r>
          </w:p>
        </w:tc>
      </w:tr>
      <w:tr w:rsidR="00811103" w14:paraId="02343265" w14:textId="77777777">
        <w:trPr>
          <w:jc w:val="center"/>
        </w:trPr>
        <w:tc>
          <w:tcPr>
            <w:tcW w:w="2257" w:type="dxa"/>
          </w:tcPr>
          <w:p w14:paraId="7EB95F48" w14:textId="77777777" w:rsidR="00811103" w:rsidRDefault="00000000">
            <w:r>
              <w:rPr>
                <w:rFonts w:ascii="Arial" w:hAnsi="Arial"/>
                <w:sz w:val="18"/>
              </w:rPr>
              <w:t>Total FTE</w:t>
            </w:r>
          </w:p>
        </w:tc>
        <w:tc>
          <w:tcPr>
            <w:tcW w:w="2257" w:type="dxa"/>
          </w:tcPr>
          <w:p w14:paraId="28894545" w14:textId="77777777" w:rsidR="00811103" w:rsidRDefault="00000000">
            <w:pPr>
              <w:jc w:val="right"/>
            </w:pPr>
            <w:r>
              <w:rPr>
                <w:rFonts w:ascii="Arial" w:hAnsi="Arial"/>
                <w:sz w:val="18"/>
              </w:rPr>
              <w:t>24997</w:t>
            </w:r>
          </w:p>
        </w:tc>
        <w:tc>
          <w:tcPr>
            <w:tcW w:w="2257" w:type="dxa"/>
          </w:tcPr>
          <w:p w14:paraId="35332223" w14:textId="77777777" w:rsidR="00811103" w:rsidRDefault="00000000">
            <w:pPr>
              <w:jc w:val="right"/>
            </w:pPr>
            <w:r>
              <w:rPr>
                <w:rFonts w:ascii="Arial" w:hAnsi="Arial"/>
                <w:sz w:val="18"/>
              </w:rPr>
              <w:t>24500</w:t>
            </w:r>
          </w:p>
        </w:tc>
        <w:tc>
          <w:tcPr>
            <w:tcW w:w="2257" w:type="dxa"/>
          </w:tcPr>
          <w:p w14:paraId="05B169CB" w14:textId="77777777" w:rsidR="00811103" w:rsidRDefault="00000000">
            <w:pPr>
              <w:jc w:val="right"/>
            </w:pPr>
            <w:r>
              <w:rPr>
                <w:rFonts w:ascii="Arial" w:hAnsi="Arial"/>
                <w:sz w:val="18"/>
              </w:rPr>
              <w:t>2.03%</w:t>
            </w:r>
          </w:p>
        </w:tc>
      </w:tr>
      <w:tr w:rsidR="00811103" w14:paraId="10F5C27A" w14:textId="77777777">
        <w:trPr>
          <w:jc w:val="center"/>
        </w:trPr>
        <w:tc>
          <w:tcPr>
            <w:tcW w:w="2257" w:type="dxa"/>
            <w:shd w:val="clear" w:color="auto" w:fill="F2F6FC"/>
          </w:tcPr>
          <w:p w14:paraId="277DEF29" w14:textId="77777777" w:rsidR="00811103" w:rsidRDefault="00000000">
            <w:r>
              <w:rPr>
                <w:rFonts w:ascii="Arial" w:hAnsi="Arial"/>
                <w:sz w:val="18"/>
              </w:rPr>
              <w:t>Female Employees</w:t>
            </w:r>
          </w:p>
        </w:tc>
        <w:tc>
          <w:tcPr>
            <w:tcW w:w="2257" w:type="dxa"/>
            <w:shd w:val="clear" w:color="auto" w:fill="F2F6FC"/>
          </w:tcPr>
          <w:p w14:paraId="254CC0A7" w14:textId="77777777" w:rsidR="00811103" w:rsidRDefault="00000000">
            <w:pPr>
              <w:jc w:val="right"/>
            </w:pPr>
            <w:r>
              <w:rPr>
                <w:rFonts w:ascii="Arial" w:hAnsi="Arial"/>
                <w:sz w:val="18"/>
              </w:rPr>
              <w:t>10579</w:t>
            </w:r>
          </w:p>
        </w:tc>
        <w:tc>
          <w:tcPr>
            <w:tcW w:w="2257" w:type="dxa"/>
            <w:shd w:val="clear" w:color="auto" w:fill="F2F6FC"/>
          </w:tcPr>
          <w:p w14:paraId="0C879F76" w14:textId="77777777" w:rsidR="00811103" w:rsidRDefault="00000000">
            <w:pPr>
              <w:jc w:val="right"/>
            </w:pPr>
            <w:r>
              <w:rPr>
                <w:rFonts w:ascii="Arial" w:hAnsi="Arial"/>
                <w:sz w:val="18"/>
              </w:rPr>
              <w:t>11319</w:t>
            </w:r>
          </w:p>
        </w:tc>
        <w:tc>
          <w:tcPr>
            <w:tcW w:w="2257" w:type="dxa"/>
            <w:shd w:val="clear" w:color="auto" w:fill="F2F6FC"/>
          </w:tcPr>
          <w:p w14:paraId="49FD2EB5" w14:textId="77777777" w:rsidR="00811103" w:rsidRDefault="00000000">
            <w:r>
              <w:rPr>
                <w:rFonts w:ascii="Arial" w:hAnsi="Arial"/>
                <w:sz w:val="18"/>
              </w:rPr>
              <w:t>—</w:t>
            </w:r>
          </w:p>
        </w:tc>
      </w:tr>
      <w:tr w:rsidR="00811103" w14:paraId="33BD0126" w14:textId="77777777">
        <w:trPr>
          <w:jc w:val="center"/>
        </w:trPr>
        <w:tc>
          <w:tcPr>
            <w:tcW w:w="2257" w:type="dxa"/>
          </w:tcPr>
          <w:p w14:paraId="3F328B4D" w14:textId="77777777" w:rsidR="00811103" w:rsidRDefault="00000000">
            <w:r>
              <w:rPr>
                <w:rFonts w:ascii="Arial" w:hAnsi="Arial"/>
                <w:sz w:val="18"/>
              </w:rPr>
              <w:t>Male Employees</w:t>
            </w:r>
          </w:p>
        </w:tc>
        <w:tc>
          <w:tcPr>
            <w:tcW w:w="2257" w:type="dxa"/>
          </w:tcPr>
          <w:p w14:paraId="1116DFAB" w14:textId="77777777" w:rsidR="00811103" w:rsidRDefault="00000000">
            <w:pPr>
              <w:jc w:val="right"/>
            </w:pPr>
            <w:r>
              <w:rPr>
                <w:rFonts w:ascii="Arial" w:hAnsi="Arial"/>
                <w:sz w:val="18"/>
              </w:rPr>
              <w:t>14418</w:t>
            </w:r>
          </w:p>
        </w:tc>
        <w:tc>
          <w:tcPr>
            <w:tcW w:w="2257" w:type="dxa"/>
          </w:tcPr>
          <w:p w14:paraId="358F5CAB" w14:textId="77777777" w:rsidR="00811103" w:rsidRDefault="00000000">
            <w:pPr>
              <w:jc w:val="right"/>
            </w:pPr>
            <w:r>
              <w:rPr>
                <w:rFonts w:ascii="Arial" w:hAnsi="Arial"/>
                <w:sz w:val="18"/>
              </w:rPr>
              <w:t>13181</w:t>
            </w:r>
          </w:p>
        </w:tc>
        <w:tc>
          <w:tcPr>
            <w:tcW w:w="2257" w:type="dxa"/>
          </w:tcPr>
          <w:p w14:paraId="57E2D2C7" w14:textId="77777777" w:rsidR="00811103" w:rsidRDefault="00000000">
            <w:r>
              <w:rPr>
                <w:rFonts w:ascii="Arial" w:hAnsi="Arial"/>
                <w:sz w:val="18"/>
              </w:rPr>
              <w:t>—</w:t>
            </w:r>
          </w:p>
        </w:tc>
      </w:tr>
      <w:tr w:rsidR="00811103" w14:paraId="07E135BB" w14:textId="77777777">
        <w:trPr>
          <w:jc w:val="center"/>
        </w:trPr>
        <w:tc>
          <w:tcPr>
            <w:tcW w:w="2257" w:type="dxa"/>
            <w:shd w:val="clear" w:color="auto" w:fill="F2F6FC"/>
          </w:tcPr>
          <w:p w14:paraId="74E1D502" w14:textId="77777777" w:rsidR="00811103" w:rsidRDefault="00000000">
            <w:r>
              <w:rPr>
                <w:rFonts w:ascii="Arial" w:hAnsi="Arial"/>
                <w:sz w:val="18"/>
              </w:rPr>
              <w:t>Female Percentage</w:t>
            </w:r>
          </w:p>
        </w:tc>
        <w:tc>
          <w:tcPr>
            <w:tcW w:w="2257" w:type="dxa"/>
            <w:shd w:val="clear" w:color="auto" w:fill="F2F6FC"/>
          </w:tcPr>
          <w:p w14:paraId="16B5B580" w14:textId="77777777" w:rsidR="00811103" w:rsidRDefault="00000000">
            <w:pPr>
              <w:jc w:val="right"/>
            </w:pPr>
            <w:r>
              <w:rPr>
                <w:rFonts w:ascii="Arial" w:hAnsi="Arial"/>
                <w:sz w:val="18"/>
              </w:rPr>
              <w:t>42.32%</w:t>
            </w:r>
          </w:p>
        </w:tc>
        <w:tc>
          <w:tcPr>
            <w:tcW w:w="2257" w:type="dxa"/>
            <w:shd w:val="clear" w:color="auto" w:fill="F2F6FC"/>
          </w:tcPr>
          <w:p w14:paraId="5400A812" w14:textId="77777777" w:rsidR="00811103" w:rsidRDefault="00000000">
            <w:pPr>
              <w:jc w:val="right"/>
            </w:pPr>
            <w:r>
              <w:rPr>
                <w:rFonts w:ascii="Arial" w:hAnsi="Arial"/>
                <w:sz w:val="18"/>
              </w:rPr>
              <w:t>46.2%</w:t>
            </w:r>
          </w:p>
        </w:tc>
        <w:tc>
          <w:tcPr>
            <w:tcW w:w="2257" w:type="dxa"/>
            <w:shd w:val="clear" w:color="auto" w:fill="F2F6FC"/>
          </w:tcPr>
          <w:p w14:paraId="383C99B3" w14:textId="77777777" w:rsidR="00811103" w:rsidRDefault="00000000">
            <w:r>
              <w:rPr>
                <w:rFonts w:ascii="Arial" w:hAnsi="Arial"/>
                <w:sz w:val="18"/>
              </w:rPr>
              <w:t>-3.88 pp</w:t>
            </w:r>
          </w:p>
        </w:tc>
      </w:tr>
    </w:tbl>
    <w:p w14:paraId="65D70845" w14:textId="77777777" w:rsidR="00811103" w:rsidRDefault="00000000">
      <w:r>
        <w:rPr>
          <w:rFonts w:ascii="Arial" w:hAnsi="Arial"/>
          <w:i/>
          <w:sz w:val="16"/>
        </w:rPr>
        <w:t>Source: Source: Organization HRIS data as of 31 December 2024 and 2023. Percentage-point (pp) changes represent absolute differences in percentage values.</w:t>
      </w:r>
    </w:p>
    <w:p w14:paraId="056527E5" w14:textId="77777777" w:rsidR="00811103" w:rsidRDefault="00811103"/>
    <w:p w14:paraId="14B83417" w14:textId="77777777" w:rsidR="00811103" w:rsidRDefault="00000000">
      <w:r>
        <w:rPr>
          <w:rFonts w:ascii="Arial" w:hAnsi="Arial"/>
          <w:b/>
          <w:sz w:val="20"/>
        </w:rPr>
        <w:t>Table S-2: Employment Indicators</w:t>
      </w:r>
    </w:p>
    <w:tbl>
      <w:tblPr>
        <w:tblW w:w="0" w:type="auto"/>
        <w:jc w:val="center"/>
        <w:tblLook w:val="04A0" w:firstRow="1" w:lastRow="0" w:firstColumn="1" w:lastColumn="0" w:noHBand="0" w:noVBand="1"/>
      </w:tblPr>
      <w:tblGrid>
        <w:gridCol w:w="2257"/>
        <w:gridCol w:w="2257"/>
        <w:gridCol w:w="2257"/>
        <w:gridCol w:w="2257"/>
      </w:tblGrid>
      <w:tr w:rsidR="00811103" w14:paraId="4FAD15CB" w14:textId="77777777">
        <w:trPr>
          <w:jc w:val="center"/>
        </w:trPr>
        <w:tc>
          <w:tcPr>
            <w:tcW w:w="2257" w:type="dxa"/>
            <w:shd w:val="clear" w:color="auto" w:fill="1B3A6B"/>
          </w:tcPr>
          <w:p w14:paraId="79B31D29" w14:textId="77777777" w:rsidR="00811103" w:rsidRDefault="00000000">
            <w:r>
              <w:rPr>
                <w:rFonts w:ascii="Arial" w:hAnsi="Arial"/>
                <w:b/>
                <w:color w:val="FFFFFF"/>
                <w:sz w:val="18"/>
              </w:rPr>
              <w:t>Metric</w:t>
            </w:r>
          </w:p>
        </w:tc>
        <w:tc>
          <w:tcPr>
            <w:tcW w:w="2257" w:type="dxa"/>
            <w:shd w:val="clear" w:color="auto" w:fill="1B3A6B"/>
          </w:tcPr>
          <w:p w14:paraId="6772A0AF" w14:textId="77777777" w:rsidR="00811103" w:rsidRDefault="00000000">
            <w:r>
              <w:rPr>
                <w:rFonts w:ascii="Arial" w:hAnsi="Arial"/>
                <w:b/>
                <w:color w:val="FFFFFF"/>
                <w:sz w:val="18"/>
              </w:rPr>
              <w:t>2024</w:t>
            </w:r>
          </w:p>
        </w:tc>
        <w:tc>
          <w:tcPr>
            <w:tcW w:w="2257" w:type="dxa"/>
            <w:shd w:val="clear" w:color="auto" w:fill="1B3A6B"/>
          </w:tcPr>
          <w:p w14:paraId="338B3DE7" w14:textId="77777777" w:rsidR="00811103" w:rsidRDefault="00000000">
            <w:r>
              <w:rPr>
                <w:rFonts w:ascii="Arial" w:hAnsi="Arial"/>
                <w:b/>
                <w:color w:val="FFFFFF"/>
                <w:sz w:val="18"/>
              </w:rPr>
              <w:t>2023</w:t>
            </w:r>
          </w:p>
        </w:tc>
        <w:tc>
          <w:tcPr>
            <w:tcW w:w="2257" w:type="dxa"/>
            <w:shd w:val="clear" w:color="auto" w:fill="1B3A6B"/>
          </w:tcPr>
          <w:p w14:paraId="7FD2A912" w14:textId="77777777" w:rsidR="00811103" w:rsidRDefault="00000000">
            <w:r>
              <w:rPr>
                <w:rFonts w:ascii="Arial" w:hAnsi="Arial"/>
                <w:b/>
                <w:color w:val="FFFFFF"/>
                <w:sz w:val="18"/>
              </w:rPr>
              <w:t>YoY Change</w:t>
            </w:r>
          </w:p>
        </w:tc>
      </w:tr>
      <w:tr w:rsidR="00811103" w14:paraId="4B6C83B4" w14:textId="77777777">
        <w:trPr>
          <w:jc w:val="center"/>
        </w:trPr>
        <w:tc>
          <w:tcPr>
            <w:tcW w:w="2257" w:type="dxa"/>
          </w:tcPr>
          <w:p w14:paraId="3E29E922" w14:textId="77777777" w:rsidR="00811103" w:rsidRDefault="00000000">
            <w:r>
              <w:rPr>
                <w:rFonts w:ascii="Arial" w:hAnsi="Arial"/>
                <w:sz w:val="18"/>
              </w:rPr>
              <w:t>New Hires</w:t>
            </w:r>
          </w:p>
        </w:tc>
        <w:tc>
          <w:tcPr>
            <w:tcW w:w="2257" w:type="dxa"/>
          </w:tcPr>
          <w:p w14:paraId="68E195C4" w14:textId="77777777" w:rsidR="00811103" w:rsidRDefault="00000000">
            <w:pPr>
              <w:jc w:val="right"/>
            </w:pPr>
            <w:r>
              <w:rPr>
                <w:rFonts w:ascii="Arial" w:hAnsi="Arial"/>
                <w:sz w:val="18"/>
              </w:rPr>
              <w:t>2595</w:t>
            </w:r>
          </w:p>
        </w:tc>
        <w:tc>
          <w:tcPr>
            <w:tcW w:w="2257" w:type="dxa"/>
          </w:tcPr>
          <w:p w14:paraId="313B66EE" w14:textId="77777777" w:rsidR="00811103" w:rsidRDefault="00000000">
            <w:pPr>
              <w:jc w:val="right"/>
            </w:pPr>
            <w:r>
              <w:rPr>
                <w:rFonts w:ascii="Arial" w:hAnsi="Arial"/>
                <w:sz w:val="18"/>
              </w:rPr>
              <w:t>3169</w:t>
            </w:r>
          </w:p>
        </w:tc>
        <w:tc>
          <w:tcPr>
            <w:tcW w:w="2257" w:type="dxa"/>
          </w:tcPr>
          <w:p w14:paraId="4EE8936C" w14:textId="77777777" w:rsidR="00811103" w:rsidRDefault="00000000">
            <w:r>
              <w:rPr>
                <w:rFonts w:ascii="Arial" w:hAnsi="Arial"/>
                <w:sz w:val="18"/>
              </w:rPr>
              <w:t>—</w:t>
            </w:r>
          </w:p>
        </w:tc>
      </w:tr>
      <w:tr w:rsidR="00811103" w14:paraId="6BA5E3D2" w14:textId="77777777">
        <w:trPr>
          <w:jc w:val="center"/>
        </w:trPr>
        <w:tc>
          <w:tcPr>
            <w:tcW w:w="2257" w:type="dxa"/>
            <w:shd w:val="clear" w:color="auto" w:fill="F2F6FC"/>
          </w:tcPr>
          <w:p w14:paraId="1D0578B1" w14:textId="77777777" w:rsidR="00811103" w:rsidRDefault="00000000">
            <w:r>
              <w:rPr>
                <w:rFonts w:ascii="Arial" w:hAnsi="Arial"/>
                <w:sz w:val="18"/>
              </w:rPr>
              <w:t>Hiring Rate</w:t>
            </w:r>
          </w:p>
        </w:tc>
        <w:tc>
          <w:tcPr>
            <w:tcW w:w="2257" w:type="dxa"/>
            <w:shd w:val="clear" w:color="auto" w:fill="F2F6FC"/>
          </w:tcPr>
          <w:p w14:paraId="75F3F224" w14:textId="77777777" w:rsidR="00811103" w:rsidRDefault="00000000">
            <w:pPr>
              <w:jc w:val="right"/>
            </w:pPr>
            <w:r>
              <w:rPr>
                <w:rFonts w:ascii="Arial" w:hAnsi="Arial"/>
                <w:sz w:val="18"/>
              </w:rPr>
              <w:t>10.38%</w:t>
            </w:r>
          </w:p>
        </w:tc>
        <w:tc>
          <w:tcPr>
            <w:tcW w:w="2257" w:type="dxa"/>
            <w:shd w:val="clear" w:color="auto" w:fill="F2F6FC"/>
          </w:tcPr>
          <w:p w14:paraId="2A9D5919" w14:textId="77777777" w:rsidR="00811103" w:rsidRDefault="00000000">
            <w:pPr>
              <w:jc w:val="right"/>
            </w:pPr>
            <w:r>
              <w:rPr>
                <w:rFonts w:ascii="Arial" w:hAnsi="Arial"/>
                <w:sz w:val="18"/>
              </w:rPr>
              <w:t>12.93%</w:t>
            </w:r>
          </w:p>
        </w:tc>
        <w:tc>
          <w:tcPr>
            <w:tcW w:w="2257" w:type="dxa"/>
            <w:shd w:val="clear" w:color="auto" w:fill="F2F6FC"/>
          </w:tcPr>
          <w:p w14:paraId="716FDE09" w14:textId="77777777" w:rsidR="00811103" w:rsidRDefault="00000000">
            <w:r>
              <w:rPr>
                <w:rFonts w:ascii="Arial" w:hAnsi="Arial"/>
                <w:sz w:val="18"/>
              </w:rPr>
              <w:t>—</w:t>
            </w:r>
          </w:p>
        </w:tc>
      </w:tr>
      <w:tr w:rsidR="00811103" w14:paraId="0011A24F" w14:textId="77777777">
        <w:trPr>
          <w:jc w:val="center"/>
        </w:trPr>
        <w:tc>
          <w:tcPr>
            <w:tcW w:w="2257" w:type="dxa"/>
          </w:tcPr>
          <w:p w14:paraId="5621E680" w14:textId="77777777" w:rsidR="00811103" w:rsidRDefault="00000000">
            <w:r>
              <w:rPr>
                <w:rFonts w:ascii="Arial" w:hAnsi="Arial"/>
                <w:sz w:val="18"/>
              </w:rPr>
              <w:t>Voluntary Turnover</w:t>
            </w:r>
          </w:p>
        </w:tc>
        <w:tc>
          <w:tcPr>
            <w:tcW w:w="2257" w:type="dxa"/>
          </w:tcPr>
          <w:p w14:paraId="6D949609" w14:textId="77777777" w:rsidR="00811103" w:rsidRDefault="00000000">
            <w:pPr>
              <w:jc w:val="right"/>
            </w:pPr>
            <w:r>
              <w:rPr>
                <w:rFonts w:ascii="Arial" w:hAnsi="Arial"/>
                <w:sz w:val="18"/>
              </w:rPr>
              <w:t>8.45%</w:t>
            </w:r>
          </w:p>
        </w:tc>
        <w:tc>
          <w:tcPr>
            <w:tcW w:w="2257" w:type="dxa"/>
          </w:tcPr>
          <w:p w14:paraId="784CD9CB" w14:textId="77777777" w:rsidR="00811103" w:rsidRDefault="00000000">
            <w:pPr>
              <w:jc w:val="right"/>
            </w:pPr>
            <w:r>
              <w:rPr>
                <w:rFonts w:ascii="Arial" w:hAnsi="Arial"/>
                <w:sz w:val="18"/>
              </w:rPr>
              <w:t>14.24%</w:t>
            </w:r>
          </w:p>
        </w:tc>
        <w:tc>
          <w:tcPr>
            <w:tcW w:w="2257" w:type="dxa"/>
          </w:tcPr>
          <w:p w14:paraId="374C2AC5" w14:textId="77777777" w:rsidR="00811103" w:rsidRDefault="00000000">
            <w:pPr>
              <w:jc w:val="right"/>
            </w:pPr>
            <w:r>
              <w:rPr>
                <w:rFonts w:ascii="Arial" w:hAnsi="Arial"/>
                <w:sz w:val="18"/>
              </w:rPr>
              <w:t>-40.66%</w:t>
            </w:r>
          </w:p>
        </w:tc>
      </w:tr>
    </w:tbl>
    <w:p w14:paraId="3F8C62E7" w14:textId="77777777" w:rsidR="00811103" w:rsidRDefault="00000000">
      <w:r>
        <w:rPr>
          <w:rFonts w:ascii="Arial" w:hAnsi="Arial"/>
          <w:i/>
          <w:sz w:val="16"/>
        </w:rPr>
        <w:t>Source: Source: Organization HRIS data. Hiring rate calculated as new hires divided by average headcount. YoY change for voluntary turnover represents percentage change in the rate itself.</w:t>
      </w:r>
    </w:p>
    <w:p w14:paraId="07BB0639" w14:textId="77777777" w:rsidR="00811103" w:rsidRDefault="00811103"/>
    <w:p w14:paraId="2CEA72B4" w14:textId="77777777" w:rsidR="00811103" w:rsidRDefault="00000000">
      <w:r>
        <w:rPr>
          <w:rFonts w:ascii="Arial" w:hAnsi="Arial"/>
          <w:b/>
          <w:sz w:val="20"/>
        </w:rPr>
        <w:t>Table S-3: Training Metrics</w:t>
      </w:r>
    </w:p>
    <w:tbl>
      <w:tblPr>
        <w:tblW w:w="0" w:type="auto"/>
        <w:jc w:val="center"/>
        <w:tblLook w:val="04A0" w:firstRow="1" w:lastRow="0" w:firstColumn="1" w:lastColumn="0" w:noHBand="0" w:noVBand="1"/>
      </w:tblPr>
      <w:tblGrid>
        <w:gridCol w:w="2257"/>
        <w:gridCol w:w="2257"/>
        <w:gridCol w:w="2257"/>
        <w:gridCol w:w="2257"/>
      </w:tblGrid>
      <w:tr w:rsidR="00811103" w14:paraId="2B875D61" w14:textId="77777777">
        <w:trPr>
          <w:jc w:val="center"/>
        </w:trPr>
        <w:tc>
          <w:tcPr>
            <w:tcW w:w="2257" w:type="dxa"/>
            <w:shd w:val="clear" w:color="auto" w:fill="1B3A6B"/>
          </w:tcPr>
          <w:p w14:paraId="393F2D7F" w14:textId="77777777" w:rsidR="00811103" w:rsidRDefault="00000000">
            <w:r>
              <w:rPr>
                <w:rFonts w:ascii="Arial" w:hAnsi="Arial"/>
                <w:b/>
                <w:color w:val="FFFFFF"/>
                <w:sz w:val="18"/>
              </w:rPr>
              <w:t>Metric</w:t>
            </w:r>
          </w:p>
        </w:tc>
        <w:tc>
          <w:tcPr>
            <w:tcW w:w="2257" w:type="dxa"/>
            <w:shd w:val="clear" w:color="auto" w:fill="1B3A6B"/>
          </w:tcPr>
          <w:p w14:paraId="47C12D44" w14:textId="77777777" w:rsidR="00811103" w:rsidRDefault="00000000">
            <w:r>
              <w:rPr>
                <w:rFonts w:ascii="Arial" w:hAnsi="Arial"/>
                <w:b/>
                <w:color w:val="FFFFFF"/>
                <w:sz w:val="18"/>
              </w:rPr>
              <w:t>2024</w:t>
            </w:r>
          </w:p>
        </w:tc>
        <w:tc>
          <w:tcPr>
            <w:tcW w:w="2257" w:type="dxa"/>
            <w:shd w:val="clear" w:color="auto" w:fill="1B3A6B"/>
          </w:tcPr>
          <w:p w14:paraId="58F25228" w14:textId="77777777" w:rsidR="00811103" w:rsidRDefault="00000000">
            <w:r>
              <w:rPr>
                <w:rFonts w:ascii="Arial" w:hAnsi="Arial"/>
                <w:b/>
                <w:color w:val="FFFFFF"/>
                <w:sz w:val="18"/>
              </w:rPr>
              <w:t>2023</w:t>
            </w:r>
          </w:p>
        </w:tc>
        <w:tc>
          <w:tcPr>
            <w:tcW w:w="2257" w:type="dxa"/>
            <w:shd w:val="clear" w:color="auto" w:fill="1B3A6B"/>
          </w:tcPr>
          <w:p w14:paraId="6346BB2B" w14:textId="77777777" w:rsidR="00811103" w:rsidRDefault="00000000">
            <w:r>
              <w:rPr>
                <w:rFonts w:ascii="Arial" w:hAnsi="Arial"/>
                <w:b/>
                <w:color w:val="FFFFFF"/>
                <w:sz w:val="18"/>
              </w:rPr>
              <w:t>YoY Change</w:t>
            </w:r>
          </w:p>
        </w:tc>
      </w:tr>
      <w:tr w:rsidR="00811103" w14:paraId="7847C574" w14:textId="77777777">
        <w:trPr>
          <w:jc w:val="center"/>
        </w:trPr>
        <w:tc>
          <w:tcPr>
            <w:tcW w:w="2257" w:type="dxa"/>
          </w:tcPr>
          <w:p w14:paraId="03161647" w14:textId="77777777" w:rsidR="00811103" w:rsidRDefault="00000000">
            <w:r>
              <w:rPr>
                <w:rFonts w:ascii="Arial" w:hAnsi="Arial"/>
                <w:sz w:val="18"/>
              </w:rPr>
              <w:t>Avg Training Hours/FTE</w:t>
            </w:r>
          </w:p>
        </w:tc>
        <w:tc>
          <w:tcPr>
            <w:tcW w:w="2257" w:type="dxa"/>
          </w:tcPr>
          <w:p w14:paraId="01615293" w14:textId="77777777" w:rsidR="00811103" w:rsidRDefault="00000000">
            <w:pPr>
              <w:jc w:val="right"/>
            </w:pPr>
            <w:r>
              <w:rPr>
                <w:rFonts w:ascii="Arial" w:hAnsi="Arial"/>
                <w:sz w:val="18"/>
              </w:rPr>
              <w:t>49.3</w:t>
            </w:r>
          </w:p>
        </w:tc>
        <w:tc>
          <w:tcPr>
            <w:tcW w:w="2257" w:type="dxa"/>
          </w:tcPr>
          <w:p w14:paraId="0DA98E66" w14:textId="77777777" w:rsidR="00811103" w:rsidRDefault="00000000">
            <w:pPr>
              <w:jc w:val="right"/>
            </w:pPr>
            <w:r>
              <w:rPr>
                <w:rFonts w:ascii="Arial" w:hAnsi="Arial"/>
                <w:sz w:val="18"/>
              </w:rPr>
              <w:t>64.14</w:t>
            </w:r>
          </w:p>
        </w:tc>
        <w:tc>
          <w:tcPr>
            <w:tcW w:w="2257" w:type="dxa"/>
          </w:tcPr>
          <w:p w14:paraId="3CC8A3FC" w14:textId="77777777" w:rsidR="00811103" w:rsidRDefault="00000000">
            <w:pPr>
              <w:jc w:val="right"/>
            </w:pPr>
            <w:r>
              <w:rPr>
                <w:rFonts w:ascii="Arial" w:hAnsi="Arial"/>
                <w:sz w:val="18"/>
              </w:rPr>
              <w:t>-23.14%</w:t>
            </w:r>
          </w:p>
        </w:tc>
      </w:tr>
    </w:tbl>
    <w:p w14:paraId="746EED6C" w14:textId="77777777" w:rsidR="00811103" w:rsidRDefault="00000000">
      <w:r>
        <w:rPr>
          <w:rFonts w:ascii="Arial" w:hAnsi="Arial"/>
          <w:i/>
          <w:sz w:val="16"/>
        </w:rPr>
        <w:t>Source: Source: Organization learning management system (LMS) and training records. Includes all formal training activities during the reporting period.</w:t>
      </w:r>
    </w:p>
    <w:p w14:paraId="5E9732DB" w14:textId="77777777" w:rsidR="00811103" w:rsidRDefault="00811103"/>
    <w:p w14:paraId="6986E7AE" w14:textId="77777777" w:rsidR="00811103" w:rsidRDefault="00000000">
      <w:r>
        <w:rPr>
          <w:rFonts w:ascii="Arial" w:hAnsi="Arial"/>
          <w:b/>
          <w:sz w:val="20"/>
        </w:rPr>
        <w:lastRenderedPageBreak/>
        <w:t>Table S-4: Diversity Indicators</w:t>
      </w:r>
    </w:p>
    <w:tbl>
      <w:tblPr>
        <w:tblW w:w="0" w:type="auto"/>
        <w:jc w:val="center"/>
        <w:tblLook w:val="04A0" w:firstRow="1" w:lastRow="0" w:firstColumn="1" w:lastColumn="0" w:noHBand="0" w:noVBand="1"/>
      </w:tblPr>
      <w:tblGrid>
        <w:gridCol w:w="2257"/>
        <w:gridCol w:w="2257"/>
        <w:gridCol w:w="2257"/>
        <w:gridCol w:w="2257"/>
      </w:tblGrid>
      <w:tr w:rsidR="00811103" w14:paraId="74F89B7E" w14:textId="77777777">
        <w:trPr>
          <w:jc w:val="center"/>
        </w:trPr>
        <w:tc>
          <w:tcPr>
            <w:tcW w:w="2257" w:type="dxa"/>
            <w:shd w:val="clear" w:color="auto" w:fill="1B3A6B"/>
          </w:tcPr>
          <w:p w14:paraId="7772DC2B" w14:textId="77777777" w:rsidR="00811103" w:rsidRDefault="00000000">
            <w:r>
              <w:rPr>
                <w:rFonts w:ascii="Arial" w:hAnsi="Arial"/>
                <w:b/>
                <w:color w:val="FFFFFF"/>
                <w:sz w:val="18"/>
              </w:rPr>
              <w:t>Metric</w:t>
            </w:r>
          </w:p>
        </w:tc>
        <w:tc>
          <w:tcPr>
            <w:tcW w:w="2257" w:type="dxa"/>
            <w:shd w:val="clear" w:color="auto" w:fill="1B3A6B"/>
          </w:tcPr>
          <w:p w14:paraId="0C755549" w14:textId="77777777" w:rsidR="00811103" w:rsidRDefault="00000000">
            <w:r>
              <w:rPr>
                <w:rFonts w:ascii="Arial" w:hAnsi="Arial"/>
                <w:b/>
                <w:color w:val="FFFFFF"/>
                <w:sz w:val="18"/>
              </w:rPr>
              <w:t>2024</w:t>
            </w:r>
          </w:p>
        </w:tc>
        <w:tc>
          <w:tcPr>
            <w:tcW w:w="2257" w:type="dxa"/>
            <w:shd w:val="clear" w:color="auto" w:fill="1B3A6B"/>
          </w:tcPr>
          <w:p w14:paraId="0C558825" w14:textId="77777777" w:rsidR="00811103" w:rsidRDefault="00000000">
            <w:r>
              <w:rPr>
                <w:rFonts w:ascii="Arial" w:hAnsi="Arial"/>
                <w:b/>
                <w:color w:val="FFFFFF"/>
                <w:sz w:val="18"/>
              </w:rPr>
              <w:t>2023</w:t>
            </w:r>
          </w:p>
        </w:tc>
        <w:tc>
          <w:tcPr>
            <w:tcW w:w="2257" w:type="dxa"/>
            <w:shd w:val="clear" w:color="auto" w:fill="1B3A6B"/>
          </w:tcPr>
          <w:p w14:paraId="4854B6E0" w14:textId="77777777" w:rsidR="00811103" w:rsidRDefault="00000000">
            <w:r>
              <w:rPr>
                <w:rFonts w:ascii="Arial" w:hAnsi="Arial"/>
                <w:b/>
                <w:color w:val="FFFFFF"/>
                <w:sz w:val="18"/>
              </w:rPr>
              <w:t>Change</w:t>
            </w:r>
          </w:p>
        </w:tc>
      </w:tr>
      <w:tr w:rsidR="00811103" w14:paraId="706192B6" w14:textId="77777777">
        <w:trPr>
          <w:jc w:val="center"/>
        </w:trPr>
        <w:tc>
          <w:tcPr>
            <w:tcW w:w="2257" w:type="dxa"/>
          </w:tcPr>
          <w:p w14:paraId="0072351A" w14:textId="77777777" w:rsidR="00811103" w:rsidRDefault="00000000">
            <w:r>
              <w:rPr>
                <w:rFonts w:ascii="Arial" w:hAnsi="Arial"/>
                <w:sz w:val="18"/>
              </w:rPr>
              <w:t>Female Workforce (%)</w:t>
            </w:r>
          </w:p>
        </w:tc>
        <w:tc>
          <w:tcPr>
            <w:tcW w:w="2257" w:type="dxa"/>
          </w:tcPr>
          <w:p w14:paraId="386BD188" w14:textId="77777777" w:rsidR="00811103" w:rsidRDefault="00000000">
            <w:pPr>
              <w:jc w:val="right"/>
            </w:pPr>
            <w:r>
              <w:rPr>
                <w:rFonts w:ascii="Arial" w:hAnsi="Arial"/>
                <w:sz w:val="18"/>
              </w:rPr>
              <w:t>42.32%</w:t>
            </w:r>
          </w:p>
        </w:tc>
        <w:tc>
          <w:tcPr>
            <w:tcW w:w="2257" w:type="dxa"/>
          </w:tcPr>
          <w:p w14:paraId="1B5212E5" w14:textId="77777777" w:rsidR="00811103" w:rsidRDefault="00000000">
            <w:pPr>
              <w:jc w:val="right"/>
            </w:pPr>
            <w:r>
              <w:rPr>
                <w:rFonts w:ascii="Arial" w:hAnsi="Arial"/>
                <w:sz w:val="18"/>
              </w:rPr>
              <w:t>46.2%</w:t>
            </w:r>
          </w:p>
        </w:tc>
        <w:tc>
          <w:tcPr>
            <w:tcW w:w="2257" w:type="dxa"/>
          </w:tcPr>
          <w:p w14:paraId="36AB9AE2" w14:textId="77777777" w:rsidR="00811103" w:rsidRDefault="00000000">
            <w:r>
              <w:rPr>
                <w:rFonts w:ascii="Arial" w:hAnsi="Arial"/>
                <w:sz w:val="18"/>
              </w:rPr>
              <w:t>-3.88 pp</w:t>
            </w:r>
          </w:p>
        </w:tc>
      </w:tr>
      <w:tr w:rsidR="00811103" w14:paraId="278C4020" w14:textId="77777777">
        <w:trPr>
          <w:jc w:val="center"/>
        </w:trPr>
        <w:tc>
          <w:tcPr>
            <w:tcW w:w="2257" w:type="dxa"/>
            <w:shd w:val="clear" w:color="auto" w:fill="F2F6FC"/>
          </w:tcPr>
          <w:p w14:paraId="6A463C50" w14:textId="77777777" w:rsidR="00811103" w:rsidRDefault="00000000">
            <w:r>
              <w:rPr>
                <w:rFonts w:ascii="Arial" w:hAnsi="Arial"/>
                <w:sz w:val="18"/>
              </w:rPr>
              <w:t>Women in Management (%)</w:t>
            </w:r>
          </w:p>
        </w:tc>
        <w:tc>
          <w:tcPr>
            <w:tcW w:w="2257" w:type="dxa"/>
            <w:shd w:val="clear" w:color="auto" w:fill="F2F6FC"/>
          </w:tcPr>
          <w:p w14:paraId="2384ADFE" w14:textId="77777777" w:rsidR="00811103" w:rsidRDefault="00000000">
            <w:pPr>
              <w:jc w:val="right"/>
            </w:pPr>
            <w:r>
              <w:rPr>
                <w:rFonts w:ascii="Arial" w:hAnsi="Arial"/>
                <w:sz w:val="18"/>
              </w:rPr>
              <w:t>26.67%</w:t>
            </w:r>
          </w:p>
        </w:tc>
        <w:tc>
          <w:tcPr>
            <w:tcW w:w="2257" w:type="dxa"/>
            <w:shd w:val="clear" w:color="auto" w:fill="F2F6FC"/>
          </w:tcPr>
          <w:p w14:paraId="3413B673" w14:textId="77777777" w:rsidR="00811103" w:rsidRDefault="00000000">
            <w:pPr>
              <w:jc w:val="right"/>
            </w:pPr>
            <w:r>
              <w:rPr>
                <w:rFonts w:ascii="Arial" w:hAnsi="Arial"/>
                <w:sz w:val="18"/>
              </w:rPr>
              <w:t>28.45%</w:t>
            </w:r>
          </w:p>
        </w:tc>
        <w:tc>
          <w:tcPr>
            <w:tcW w:w="2257" w:type="dxa"/>
            <w:shd w:val="clear" w:color="auto" w:fill="F2F6FC"/>
          </w:tcPr>
          <w:p w14:paraId="734B370F" w14:textId="77777777" w:rsidR="00811103" w:rsidRDefault="00000000">
            <w:r>
              <w:rPr>
                <w:rFonts w:ascii="Arial" w:hAnsi="Arial"/>
                <w:sz w:val="18"/>
              </w:rPr>
              <w:t>-1.78 pp</w:t>
            </w:r>
          </w:p>
        </w:tc>
      </w:tr>
    </w:tbl>
    <w:p w14:paraId="4A84C0E6" w14:textId="77777777" w:rsidR="00811103" w:rsidRDefault="00000000">
      <w:r>
        <w:rPr>
          <w:rFonts w:ascii="Arial" w:hAnsi="Arial"/>
          <w:i/>
          <w:sz w:val="16"/>
        </w:rPr>
        <w:t>Source: Source: Organization HRIS data. Management includes all supervisory, middle management, and senior leadership positions. Percentage-point (pp) changes represent absolute differences.</w:t>
      </w:r>
    </w:p>
    <w:p w14:paraId="61E91703" w14:textId="77777777" w:rsidR="00811103" w:rsidRDefault="00811103"/>
    <w:p w14:paraId="4624B7AA" w14:textId="77777777" w:rsidR="00811103" w:rsidRDefault="00000000">
      <w:r>
        <w:rPr>
          <w:rFonts w:ascii="Arial" w:hAnsi="Arial"/>
          <w:b/>
          <w:sz w:val="20"/>
        </w:rPr>
        <w:t>Table S-5: Non-Discrimination Cases</w:t>
      </w:r>
    </w:p>
    <w:tbl>
      <w:tblPr>
        <w:tblW w:w="0" w:type="auto"/>
        <w:jc w:val="center"/>
        <w:tblLook w:val="04A0" w:firstRow="1" w:lastRow="0" w:firstColumn="1" w:lastColumn="0" w:noHBand="0" w:noVBand="1"/>
      </w:tblPr>
      <w:tblGrid>
        <w:gridCol w:w="3010"/>
        <w:gridCol w:w="3010"/>
        <w:gridCol w:w="3010"/>
      </w:tblGrid>
      <w:tr w:rsidR="00811103" w14:paraId="5882D57E" w14:textId="77777777">
        <w:trPr>
          <w:jc w:val="center"/>
        </w:trPr>
        <w:tc>
          <w:tcPr>
            <w:tcW w:w="3010" w:type="dxa"/>
            <w:shd w:val="clear" w:color="auto" w:fill="1B3A6B"/>
          </w:tcPr>
          <w:p w14:paraId="09A6CBFA" w14:textId="77777777" w:rsidR="00811103" w:rsidRDefault="00000000">
            <w:r>
              <w:rPr>
                <w:rFonts w:ascii="Arial" w:hAnsi="Arial"/>
                <w:b/>
                <w:color w:val="FFFFFF"/>
                <w:sz w:val="18"/>
              </w:rPr>
              <w:t>Metric</w:t>
            </w:r>
          </w:p>
        </w:tc>
        <w:tc>
          <w:tcPr>
            <w:tcW w:w="3010" w:type="dxa"/>
            <w:shd w:val="clear" w:color="auto" w:fill="1B3A6B"/>
          </w:tcPr>
          <w:p w14:paraId="5EEBF9C7" w14:textId="77777777" w:rsidR="00811103" w:rsidRDefault="00000000">
            <w:r>
              <w:rPr>
                <w:rFonts w:ascii="Arial" w:hAnsi="Arial"/>
                <w:b/>
                <w:color w:val="FFFFFF"/>
                <w:sz w:val="18"/>
              </w:rPr>
              <w:t>2024</w:t>
            </w:r>
          </w:p>
        </w:tc>
        <w:tc>
          <w:tcPr>
            <w:tcW w:w="3010" w:type="dxa"/>
            <w:shd w:val="clear" w:color="auto" w:fill="1B3A6B"/>
          </w:tcPr>
          <w:p w14:paraId="1DDA3DD5" w14:textId="77777777" w:rsidR="00811103" w:rsidRDefault="00000000">
            <w:r>
              <w:rPr>
                <w:rFonts w:ascii="Arial" w:hAnsi="Arial"/>
                <w:b/>
                <w:color w:val="FFFFFF"/>
                <w:sz w:val="18"/>
              </w:rPr>
              <w:t>2023</w:t>
            </w:r>
          </w:p>
        </w:tc>
      </w:tr>
      <w:tr w:rsidR="00811103" w14:paraId="28BBB2A6" w14:textId="77777777">
        <w:trPr>
          <w:jc w:val="center"/>
        </w:trPr>
        <w:tc>
          <w:tcPr>
            <w:tcW w:w="3010" w:type="dxa"/>
          </w:tcPr>
          <w:p w14:paraId="2E4516B2" w14:textId="77777777" w:rsidR="00811103" w:rsidRDefault="00000000">
            <w:r>
              <w:rPr>
                <w:rFonts w:ascii="Arial" w:hAnsi="Arial"/>
                <w:sz w:val="18"/>
              </w:rPr>
              <w:t>Discrimination Cases Reported</w:t>
            </w:r>
          </w:p>
        </w:tc>
        <w:tc>
          <w:tcPr>
            <w:tcW w:w="3010" w:type="dxa"/>
          </w:tcPr>
          <w:p w14:paraId="2B846EED" w14:textId="77777777" w:rsidR="00811103" w:rsidRDefault="00000000">
            <w:pPr>
              <w:jc w:val="right"/>
            </w:pPr>
            <w:r>
              <w:rPr>
                <w:rFonts w:ascii="Arial" w:hAnsi="Arial"/>
                <w:sz w:val="18"/>
              </w:rPr>
              <w:t>2</w:t>
            </w:r>
          </w:p>
        </w:tc>
        <w:tc>
          <w:tcPr>
            <w:tcW w:w="3010" w:type="dxa"/>
          </w:tcPr>
          <w:p w14:paraId="12A03FC9" w14:textId="77777777" w:rsidR="00811103" w:rsidRDefault="00000000">
            <w:pPr>
              <w:jc w:val="right"/>
            </w:pPr>
            <w:r>
              <w:rPr>
                <w:rFonts w:ascii="Arial" w:hAnsi="Arial"/>
                <w:sz w:val="18"/>
              </w:rPr>
              <w:t>3</w:t>
            </w:r>
          </w:p>
        </w:tc>
      </w:tr>
      <w:tr w:rsidR="00811103" w14:paraId="43199C82" w14:textId="77777777">
        <w:trPr>
          <w:jc w:val="center"/>
        </w:trPr>
        <w:tc>
          <w:tcPr>
            <w:tcW w:w="3010" w:type="dxa"/>
            <w:shd w:val="clear" w:color="auto" w:fill="F2F6FC"/>
          </w:tcPr>
          <w:p w14:paraId="43C15FB9" w14:textId="77777777" w:rsidR="00811103" w:rsidRDefault="00000000">
            <w:r>
              <w:rPr>
                <w:rFonts w:ascii="Arial" w:hAnsi="Arial"/>
                <w:sz w:val="18"/>
              </w:rPr>
              <w:t>Cases Investigated</w:t>
            </w:r>
          </w:p>
        </w:tc>
        <w:tc>
          <w:tcPr>
            <w:tcW w:w="3010" w:type="dxa"/>
            <w:shd w:val="clear" w:color="auto" w:fill="F2F6FC"/>
          </w:tcPr>
          <w:p w14:paraId="6C8218BE" w14:textId="77777777" w:rsidR="00811103" w:rsidRDefault="00000000">
            <w:pPr>
              <w:jc w:val="right"/>
            </w:pPr>
            <w:r>
              <w:rPr>
                <w:rFonts w:ascii="Arial" w:hAnsi="Arial"/>
                <w:sz w:val="18"/>
              </w:rPr>
              <w:t>2</w:t>
            </w:r>
          </w:p>
        </w:tc>
        <w:tc>
          <w:tcPr>
            <w:tcW w:w="3010" w:type="dxa"/>
            <w:shd w:val="clear" w:color="auto" w:fill="F2F6FC"/>
          </w:tcPr>
          <w:p w14:paraId="55FC1760" w14:textId="77777777" w:rsidR="00811103" w:rsidRDefault="00000000">
            <w:pPr>
              <w:jc w:val="right"/>
            </w:pPr>
            <w:r>
              <w:rPr>
                <w:rFonts w:ascii="Arial" w:hAnsi="Arial"/>
                <w:sz w:val="18"/>
              </w:rPr>
              <w:t>3</w:t>
            </w:r>
          </w:p>
        </w:tc>
      </w:tr>
      <w:tr w:rsidR="00811103" w14:paraId="56D9A3B7" w14:textId="77777777">
        <w:trPr>
          <w:jc w:val="center"/>
        </w:trPr>
        <w:tc>
          <w:tcPr>
            <w:tcW w:w="3010" w:type="dxa"/>
          </w:tcPr>
          <w:p w14:paraId="489610E0" w14:textId="77777777" w:rsidR="00811103" w:rsidRDefault="00000000">
            <w:r>
              <w:rPr>
                <w:rFonts w:ascii="Arial" w:hAnsi="Arial"/>
                <w:sz w:val="18"/>
              </w:rPr>
              <w:t>Cases with Remediation Completed</w:t>
            </w:r>
          </w:p>
        </w:tc>
        <w:tc>
          <w:tcPr>
            <w:tcW w:w="3010" w:type="dxa"/>
          </w:tcPr>
          <w:p w14:paraId="40123F8F" w14:textId="77777777" w:rsidR="00811103" w:rsidRDefault="00000000">
            <w:pPr>
              <w:jc w:val="right"/>
            </w:pPr>
            <w:r>
              <w:rPr>
                <w:rFonts w:ascii="Arial" w:hAnsi="Arial"/>
                <w:sz w:val="18"/>
              </w:rPr>
              <w:t>2</w:t>
            </w:r>
          </w:p>
        </w:tc>
        <w:tc>
          <w:tcPr>
            <w:tcW w:w="3010" w:type="dxa"/>
          </w:tcPr>
          <w:p w14:paraId="171D3727" w14:textId="77777777" w:rsidR="00811103" w:rsidRDefault="00000000">
            <w:pPr>
              <w:jc w:val="right"/>
            </w:pPr>
            <w:r>
              <w:rPr>
                <w:rFonts w:ascii="Arial" w:hAnsi="Arial"/>
                <w:sz w:val="18"/>
              </w:rPr>
              <w:t>3</w:t>
            </w:r>
          </w:p>
        </w:tc>
      </w:tr>
    </w:tbl>
    <w:p w14:paraId="766A876F" w14:textId="77777777" w:rsidR="00811103" w:rsidRDefault="00000000">
      <w:r>
        <w:rPr>
          <w:rFonts w:ascii="Arial" w:hAnsi="Arial"/>
          <w:i/>
          <w:sz w:val="16"/>
        </w:rPr>
        <w:t>Source: Source: Organization grievance mechanism records. All cases were investigated and resolved during the respective reporting periods.</w:t>
      </w:r>
    </w:p>
    <w:p w14:paraId="6FDA9300" w14:textId="77777777" w:rsidR="00811103" w:rsidRDefault="00811103"/>
    <w:p w14:paraId="2F465393" w14:textId="77777777" w:rsidR="00811103" w:rsidRDefault="00000000">
      <w:r>
        <w:rPr>
          <w:i/>
          <w:color w:val="3D6094"/>
          <w:sz w:val="18"/>
        </w:rPr>
        <w:t>Framework references: GRI 2-7 (Employees); GRI 401-1 (New employee hires and employee turnover); GRI 404-1 (Average hours of training per year per employee); GRI 405-1 (Diversity of governance bodies and employees); GRI 406-1 (Incidents of discrimination and corrective actions taken); ESRS S1 (Own Workforce) - supplementary disclosure; OJK PSPK Pillar II (Social) - social metrics requirements</w:t>
      </w:r>
    </w:p>
    <w:p w14:paraId="3800E986" w14:textId="77777777" w:rsidR="00811103" w:rsidRDefault="00811103">
      <w:pPr>
        <w:pBdr>
          <w:bottom w:val="single" w:sz="6" w:space="1" w:color="999999"/>
        </w:pBdr>
        <w:spacing w:after="80"/>
      </w:pPr>
    </w:p>
    <w:p w14:paraId="160B7939" w14:textId="77777777" w:rsidR="00811103" w:rsidRDefault="00000000">
      <w:pPr>
        <w:spacing w:after="160"/>
        <w:jc w:val="both"/>
      </w:pPr>
      <w:r>
        <w:rPr>
          <w:rFonts w:ascii="Arial" w:hAnsi="Arial"/>
          <w:i/>
          <w:color w:val="646464"/>
          <w:sz w:val="18"/>
        </w:rPr>
        <w:t>GRI Content Index: 2-7 | Employees | Section Social: Workforce &amp; Human Capital Disclosures, Table S-1</w:t>
      </w:r>
    </w:p>
    <w:p w14:paraId="51363462" w14:textId="77777777" w:rsidR="00811103" w:rsidRDefault="00000000">
      <w:pPr>
        <w:spacing w:after="160"/>
        <w:jc w:val="both"/>
      </w:pPr>
      <w:r>
        <w:rPr>
          <w:rFonts w:ascii="Arial" w:hAnsi="Arial"/>
          <w:i/>
          <w:color w:val="646464"/>
          <w:sz w:val="18"/>
        </w:rPr>
        <w:t>GRI Content Index: 401-1 | New employee hires and employee turnover | Section Social: Workforce &amp; Human Capital Disclosures, Table S-2</w:t>
      </w:r>
    </w:p>
    <w:p w14:paraId="278461AE" w14:textId="77777777" w:rsidR="00811103" w:rsidRDefault="00000000">
      <w:pPr>
        <w:spacing w:after="160"/>
        <w:jc w:val="both"/>
      </w:pPr>
      <w:r>
        <w:rPr>
          <w:rFonts w:ascii="Arial" w:hAnsi="Arial"/>
          <w:i/>
          <w:color w:val="646464"/>
          <w:sz w:val="18"/>
        </w:rPr>
        <w:t>GRI Content Index: 404-1 | Average hours of training per year per employee | Section Social: Workforce &amp; Human Capital Disclosures, Table S-3</w:t>
      </w:r>
    </w:p>
    <w:p w14:paraId="1CA40E07" w14:textId="77777777" w:rsidR="00811103" w:rsidRDefault="00000000">
      <w:pPr>
        <w:spacing w:after="160"/>
        <w:jc w:val="both"/>
      </w:pPr>
      <w:r>
        <w:rPr>
          <w:rFonts w:ascii="Arial" w:hAnsi="Arial"/>
          <w:i/>
          <w:color w:val="646464"/>
          <w:sz w:val="18"/>
        </w:rPr>
        <w:t>GRI Content Index: 405-1 | Diversity of governance bodies and employees | Section Social: Workforce &amp; Human Capital Disclosures, Table S-4</w:t>
      </w:r>
    </w:p>
    <w:p w14:paraId="5CBAF6C3" w14:textId="77777777" w:rsidR="00811103" w:rsidRDefault="00000000">
      <w:pPr>
        <w:spacing w:after="160"/>
        <w:jc w:val="both"/>
      </w:pPr>
      <w:r>
        <w:rPr>
          <w:rFonts w:ascii="Arial" w:hAnsi="Arial"/>
          <w:i/>
          <w:color w:val="646464"/>
          <w:sz w:val="18"/>
        </w:rPr>
        <w:t>GRI Content Index: 406-1 | Incidents of discrimination and corrective actions taken | Section Social: Workforce &amp; Human Capital Disclosures, Table S-5</w:t>
      </w:r>
    </w:p>
    <w:p w14:paraId="0B9976FA" w14:textId="77777777" w:rsidR="00811103" w:rsidRDefault="00000000">
      <w:r>
        <w:br w:type="page"/>
      </w:r>
    </w:p>
    <w:p w14:paraId="19760A06" w14:textId="77777777" w:rsidR="00811103" w:rsidRDefault="00000000">
      <w:pPr>
        <w:pStyle w:val="Heading1"/>
        <w:spacing w:after="240"/>
      </w:pPr>
      <w:bookmarkStart w:id="9" w:name="_Toc231991235"/>
      <w:r>
        <w:rPr>
          <w:rFonts w:ascii="Arial" w:hAnsi="Arial"/>
          <w:color w:val="1B3A6B"/>
          <w:sz w:val="36"/>
        </w:rPr>
        <w:lastRenderedPageBreak/>
        <w:t>Appendix A: Methodology Notes</w:t>
      </w:r>
      <w:bookmarkEnd w:id="9"/>
    </w:p>
    <w:p w14:paraId="606B3A4E" w14:textId="77777777" w:rsidR="00811103" w:rsidRDefault="00000000">
      <w:pPr>
        <w:spacing w:after="160"/>
        <w:jc w:val="both"/>
      </w:pPr>
      <w:r>
        <w:rPr>
          <w:rFonts w:ascii="Arial" w:hAnsi="Arial"/>
        </w:rPr>
        <w:t>This report applies the GHG Protocol Corporate Accounting and Reporting Standard (Revised 2015) for Scope 1 and 2 emissions, and the PCAF Global GHG Accounting and Reporting Standard Part A (2022) for Scope 3 Category 15 financed emissions. GWP values from IPCC AR6 (GWP100): CH4 = 29.8, N2O = 273.0.</w:t>
      </w:r>
    </w:p>
    <w:p w14:paraId="0CA8B009" w14:textId="77777777" w:rsidR="00811103" w:rsidRDefault="00000000">
      <w:pPr>
        <w:pStyle w:val="Heading1"/>
        <w:spacing w:after="240"/>
      </w:pPr>
      <w:bookmarkStart w:id="10" w:name="_Toc231991236"/>
      <w:r>
        <w:rPr>
          <w:rFonts w:ascii="Arial" w:hAnsi="Arial"/>
          <w:color w:val="1B3A6B"/>
          <w:sz w:val="36"/>
        </w:rPr>
        <w:t>Appendix B: Data Quality Summary</w:t>
      </w:r>
      <w:bookmarkEnd w:id="10"/>
    </w:p>
    <w:p w14:paraId="3E75F9C0" w14:textId="77777777" w:rsidR="00811103" w:rsidRDefault="00000000">
      <w:pPr>
        <w:spacing w:after="160"/>
        <w:jc w:val="both"/>
      </w:pPr>
      <w:r>
        <w:rPr>
          <w:rFonts w:ascii="Arial" w:hAnsi="Arial"/>
        </w:rPr>
        <w:t>Data quality is assessed per the PCAF data quality scoring framework (1-5) and the GHG Protocol data quality indicators. Portfolio-weighted PCAF score and data completeness percentage are reported in the main body.</w:t>
      </w:r>
    </w:p>
    <w:sectPr w:rsidR="00811103" w:rsidSect="00034616">
      <w:headerReference w:type="default" r:id="rId8"/>
      <w:footerReference w:type="default" r:id="rId9"/>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2EC80" w14:textId="77777777" w:rsidR="00DC06C6" w:rsidRDefault="00DC06C6">
      <w:pPr>
        <w:spacing w:after="0" w:line="240" w:lineRule="auto"/>
      </w:pPr>
      <w:r>
        <w:separator/>
      </w:r>
    </w:p>
  </w:endnote>
  <w:endnote w:type="continuationSeparator" w:id="0">
    <w:p w14:paraId="4AAC59C5" w14:textId="77777777" w:rsidR="00DC06C6" w:rsidRDefault="00DC0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10374" w14:textId="12CC7489" w:rsidR="00811103" w:rsidRDefault="00000000">
    <w:pPr>
      <w:pStyle w:val="Footer"/>
    </w:pPr>
    <w:r>
      <w:rPr>
        <w:rFonts w:ascii="Arial" w:hAnsi="Arial"/>
        <w:color w:val="808080"/>
        <w:sz w:val="18"/>
      </w:rPr>
      <w:t>ESG Report IFRS_S2 2024</w:t>
    </w:r>
    <w:r>
      <w:tab/>
    </w:r>
    <w:r>
      <w:tab/>
    </w:r>
    <w:r>
      <w:rPr>
        <w:color w:val="808080"/>
        <w:sz w:val="18"/>
      </w:rPr>
      <w:t xml:space="preserve">Page </w:t>
    </w:r>
    <w:r>
      <w:rPr>
        <w:color w:val="808080"/>
        <w:sz w:val="18"/>
      </w:rPr>
      <w:fldChar w:fldCharType="begin"/>
    </w:r>
    <w:r>
      <w:rPr>
        <w:color w:val="808080"/>
        <w:sz w:val="18"/>
      </w:rPr>
      <w:instrText xml:space="preserve"> PAGE </w:instrText>
    </w:r>
    <w:r w:rsidR="00B127D2">
      <w:rPr>
        <w:color w:val="808080"/>
        <w:sz w:val="18"/>
      </w:rPr>
      <w:fldChar w:fldCharType="separate"/>
    </w:r>
    <w:r w:rsidR="00B127D2">
      <w:rPr>
        <w:noProof/>
        <w:color w:val="808080"/>
        <w:sz w:val="18"/>
      </w:rPr>
      <w:t>2</w:t>
    </w:r>
    <w:r>
      <w:rPr>
        <w:color w:val="808080"/>
        <w:sz w:val="18"/>
      </w:rPr>
      <w:fldChar w:fldCharType="end"/>
    </w:r>
    <w:r>
      <w:rPr>
        <w:color w:val="808080"/>
        <w:sz w:val="18"/>
      </w:rPr>
      <w:t xml:space="preserve"> of </w:t>
    </w:r>
    <w:r>
      <w:rPr>
        <w:color w:val="808080"/>
        <w:sz w:val="18"/>
      </w:rPr>
      <w:fldChar w:fldCharType="begin"/>
    </w:r>
    <w:r>
      <w:rPr>
        <w:color w:val="808080"/>
        <w:sz w:val="18"/>
      </w:rPr>
      <w:instrText xml:space="preserve"> NUMPAGES </w:instrText>
    </w:r>
    <w:r w:rsidR="00B127D2">
      <w:rPr>
        <w:color w:val="808080"/>
        <w:sz w:val="18"/>
      </w:rPr>
      <w:fldChar w:fldCharType="separate"/>
    </w:r>
    <w:r w:rsidR="00B127D2">
      <w:rPr>
        <w:noProof/>
        <w:color w:val="808080"/>
        <w:sz w:val="18"/>
      </w:rPr>
      <w:t>3</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A056B" w14:textId="77777777" w:rsidR="00DC06C6" w:rsidRDefault="00DC06C6">
      <w:pPr>
        <w:spacing w:after="0" w:line="240" w:lineRule="auto"/>
      </w:pPr>
      <w:r>
        <w:separator/>
      </w:r>
    </w:p>
  </w:footnote>
  <w:footnote w:type="continuationSeparator" w:id="0">
    <w:p w14:paraId="3683F442" w14:textId="77777777" w:rsidR="00DC06C6" w:rsidRDefault="00DC0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7D6F" w14:textId="77777777" w:rsidR="00811103" w:rsidRDefault="00000000">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5202825">
    <w:abstractNumId w:val="8"/>
  </w:num>
  <w:num w:numId="2" w16cid:durableId="934217063">
    <w:abstractNumId w:val="6"/>
  </w:num>
  <w:num w:numId="3" w16cid:durableId="1119643804">
    <w:abstractNumId w:val="5"/>
  </w:num>
  <w:num w:numId="4" w16cid:durableId="461459585">
    <w:abstractNumId w:val="4"/>
  </w:num>
  <w:num w:numId="5" w16cid:durableId="1503819778">
    <w:abstractNumId w:val="7"/>
  </w:num>
  <w:num w:numId="6" w16cid:durableId="736443380">
    <w:abstractNumId w:val="3"/>
  </w:num>
  <w:num w:numId="7" w16cid:durableId="2061660871">
    <w:abstractNumId w:val="2"/>
  </w:num>
  <w:num w:numId="8" w16cid:durableId="873537757">
    <w:abstractNumId w:val="1"/>
  </w:num>
  <w:num w:numId="9" w16cid:durableId="902182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7C57"/>
    <w:rsid w:val="00811103"/>
    <w:rsid w:val="00AA1D8D"/>
    <w:rsid w:val="00B127D2"/>
    <w:rsid w:val="00B47730"/>
    <w:rsid w:val="00CB0664"/>
    <w:rsid w:val="00DC06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0C9C798-570D-4DC9-A708-8CC306181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127D2"/>
    <w:pPr>
      <w:spacing w:after="100"/>
    </w:pPr>
  </w:style>
  <w:style w:type="paragraph" w:styleId="TOC2">
    <w:name w:val="toc 2"/>
    <w:basedOn w:val="Normal"/>
    <w:next w:val="Normal"/>
    <w:autoRedefine/>
    <w:uiPriority w:val="39"/>
    <w:unhideWhenUsed/>
    <w:rsid w:val="00B127D2"/>
    <w:pPr>
      <w:spacing w:after="100"/>
      <w:ind w:left="220"/>
    </w:pPr>
  </w:style>
  <w:style w:type="character" w:styleId="Hyperlink">
    <w:name w:val="Hyperlink"/>
    <w:basedOn w:val="DefaultParagraphFont"/>
    <w:uiPriority w:val="99"/>
    <w:unhideWhenUsed/>
    <w:rsid w:val="00B127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8074</Words>
  <Characters>46022</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IFRS_S2</dc:title>
  <dc:subject>GHG Emissions Disclosure - IFRS_S2</dc:subject>
  <dc:creator>ESG Reporting System (GENERIC_FI_001)</dc:creator>
  <cp:keywords>ESG, GHG, IFRS_S2, 2024, PCAF, Scope1, Scope2, Scope3</cp:keywords>
  <dc:description>Generated by execution: arn:aws:states:us-east-1:061039769766:execution:ESGReportGenerationStateMachine:2e48eff2-1cd3-4696-bf75-6473e80f9dfb</dc:description>
  <cp:lastModifiedBy>Raditya Rahardyansyah Rifat</cp:lastModifiedBy>
  <cp:revision>2</cp:revision>
  <dcterms:created xsi:type="dcterms:W3CDTF">2013-12-23T23:15:00Z</dcterms:created>
  <dcterms:modified xsi:type="dcterms:W3CDTF">2026-06-10T06:40:00Z</dcterms:modified>
  <cp:category>ESG Sustainability Report</cp:category>
</cp:coreProperties>
</file>