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IFRS_S2</w:t>
      </w:r>
    </w:p>
    <w:p>
      <w:pPr>
        <w:jc w:val="center"/>
      </w:pPr>
      <w:r>
        <w:rPr>
          <w:rFonts w:ascii="Arial" w:hAnsi="Arial"/>
          <w:sz w:val="22"/>
        </w:rPr>
        <w:t>Generated: 2026-06-10 07:40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r>
        <w:br w:type="page"/>
      </w:r>
    </w:p>
    <w:p>
      <w:pPr>
        <w:pStyle w:val="Heading1"/>
        <w:keepNext/>
        <w:spacing w:before="480" w:after="240"/>
      </w:pPr>
      <w:r>
        <w:rPr>
          <w:rFonts w:ascii="Arial" w:hAnsi="Arial"/>
          <w:b/>
          <w:color w:val="1B3A6B"/>
          <w:sz w:val="36"/>
        </w:rPr>
        <w:t>Executive Summary</w:t>
      </w:r>
    </w:p>
    <w:p>
      <w:pPr>
        <w:spacing w:after="160" w:line="276" w:lineRule="auto"/>
        <w:jc w:val="both"/>
      </w:pPr>
      <w:r>
        <w:rPr>
          <w:rFonts w:ascii="Arial" w:hAnsi="Arial"/>
          <w:sz w:val="22"/>
        </w:rPr>
        <w:t>For the reporting period ending 31 December 2024, the institution's total greenhouse gas footprint across all scopes was 21,995,814.19 tCO2e. This figure comprises operational emissions from the institution's direct activities (Scope 1 and 2) and financed emissions from the institution's lending and investment portfolio (Scope 3 Category 15), calculated in accordance with the GHG Protocol Corporate Accounting and Reporting Standard and the Partnership for Carbon Accounting Financials (PCAF) Global GHG Accounting and Reporting Standard for the Financial Industry. The institution reports climate-related financial disclosures in alignment with IFRS S2 Climate-related Disclosures, applying the TCFD four-pillar framework (Governance, Strategy, Risk Management, Metrics and Targets) to provide decision-useful information to investors and other capital market participants.</w:t>
      </w:r>
    </w:p>
    <w:p>
      <w:pPr>
        <w:spacing w:after="160" w:line="276" w:lineRule="auto"/>
        <w:jc w:val="both"/>
      </w:pPr>
      <w:r>
        <w:rPr>
          <w:rFonts w:ascii="Arial" w:hAnsi="Arial"/>
          <w:sz w:val="22"/>
        </w:rPr>
        <w:t>Operational emissions (Scope 1 and 2) totalled 48,015.52 tCO2e, representing 0.22% of the institution's total GHG footprint. Scope 1 direct emissions from natural gas combustion and diesel fuel consumption in owned or controlled facilities amounted to 3,402.997 tCO2e. Scope 2 indirect emissions from purchased electricity, calculated using the market-based method, totalled 44,612.518 tCO2e. Financed emissions (Scope 3 Category 15) constituted 99.78% of the total footprint at 21,976,797.3 tCO2e on a gross basis. When adjusted for attribution using the PCAF methodology to reflect the institution's proportional share of borrower emissions based on outstanding loan amounts relative to total enterprise value plus debt, financed emissions totalled 15,280,174.14 tCO2e. This weighted figure represents the institution's attributable share of climate-related financial risk embedded in the lending portfolio and is the primary metric used for target-setting and risk management purposes under IFRS S2 paragraph 29(b) and SASB FN-CB-410a.3.</w:t>
      </w:r>
    </w:p>
    <w:p>
      <w:pPr>
        <w:spacing w:after="160" w:line="276" w:lineRule="auto"/>
        <w:jc w:val="both"/>
      </w:pPr>
      <w:r>
        <w:rPr>
          <w:rFonts w:ascii="Arial" w:hAnsi="Arial"/>
          <w:sz w:val="22"/>
        </w:rPr>
        <w:t>The institution's GHG intensity metrics for 2024 were 239.400139 tCO2e per IDR billion of total assets and 1.9209 tCO2e per full-time equivalent employee. These cross-industry metrics, disclosed per IFRS S2 paragraph 29(a), enable comparison with peer financial institutions and assessment of decarbonisation progress relative to business growth. Compared to the prior reporting period (2023), total emissions decreased by 4.07%, driven primarily by a reduction in financed emissions intensity as the institution implemented enhanced climate risk assessment processes in credit underwriting and increased exposure to lower-carbon sectors. Operational emissions (Scope 1 and 2 combined) increased marginally by 0.03% year-over-year, reflecting expanded branch network operations offset partially by energy efficiency improvements in existing facilities.</w:t>
      </w:r>
    </w:p>
    <w:p>
      <w:pPr>
        <w:spacing w:after="160" w:line="276" w:lineRule="auto"/>
        <w:jc w:val="both"/>
      </w:pPr>
      <w:r>
        <w:rPr>
          <w:rFonts w:ascii="Arial" w:hAnsi="Arial"/>
          <w:sz w:val="22"/>
        </w:rPr>
        <w:t>The average PCAF data quality score for the financed emissions portfolio was 3.36 on a scale of 1 (highest quality, based on primary reported data) to 5 (lowest quality, based on sector averages). This score indicates that the majority of financed emissions calculations rely on estimated emissions factors and proxy financial data rather than borrower-specific reported emissions, representing a material limitation in the precision of climate-related financial risk quantification. The institution has established a data quality improvement roadmap targeting an average score of 2.5 by 2027 through enhanced borrower engagement, integration of emissions data collection into loan origination processes, and deployment of digital reporting platforms for corporate clients. Improving data quality is essential for accurate scenario analysis, transition risk assessment, and alignment with the institution's net-zero commitment, as required under IFRS S2 paragraphs 13–14 on climate resilience and transition planning.</w:t>
      </w:r>
    </w:p>
    <w:p>
      <w:pPr>
        <w:spacing w:after="160" w:line="276" w:lineRule="auto"/>
        <w:jc w:val="both"/>
      </w:pPr>
      <w:r>
        <w:rPr>
          <w:rFonts w:ascii="Arial" w:hAnsi="Arial"/>
          <w:sz w:val="22"/>
        </w:rPr>
        <w:t>The institution's climate-related financial disclosures are subject to ongoing development as regulatory frameworks and industry best practices evolve. The institution applies the SASB Financial Sector standard for Commercial Banks (FN-CB-410) to supplement IFRS S2 requirements with industry-specific metrics on credit exposure to carbon-related industries and incorporation of environmental, social, and governance factors in credit analysis. Detailed disclosures on governance structures, strategic responses to climate-related risks and opportunities, risk management integration, and progress toward science-based targets are provided in subsequent sections of this report, structured according to the TCFD four-pillar framework as mandated by IFRS S2 paragraph 10.</w:t>
      </w:r>
    </w:p>
    <w:p>
      <w:r>
        <w:rPr>
          <w:rFonts w:ascii="Arial" w:hAnsi="Arial"/>
          <w:b/>
          <w:sz w:val="20"/>
        </w:rPr>
        <w:t>Table 1: Total GHG Emissions by Scope (tCO2e) — Reporting Year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Scope</w:t>
            </w:r>
          </w:p>
        </w:tc>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Absolute Emissions (tCO2e)</w:t>
            </w:r>
          </w:p>
        </w:tc>
        <w:tc>
          <w:tcPr>
            <w:tcW w:type="dxa" w:w="1806"/>
            <w:shd w:fill="1B3A6B" w:val="clear"/>
          </w:tcPr>
          <w:p>
            <w:r>
              <w:rPr>
                <w:rFonts w:ascii="Arial" w:hAnsi="Arial"/>
                <w:b/>
                <w:color w:val="FFFFFF"/>
                <w:sz w:val="18"/>
              </w:rPr>
              <w:t>Percentage of Total (%)</w:t>
            </w:r>
          </w:p>
        </w:tc>
        <w:tc>
          <w:tcPr>
            <w:tcW w:type="dxa" w:w="1806"/>
            <w:shd w:fill="1B3A6B" w:val="clear"/>
          </w:tcPr>
          <w:p>
            <w:r>
              <w:rPr>
                <w:rFonts w:ascii="Arial" w:hAnsi="Arial"/>
                <w:b/>
                <w:color w:val="FFFFFF"/>
                <w:sz w:val="18"/>
              </w:rPr>
              <w:t>Calculation Method</w:t>
            </w:r>
          </w:p>
        </w:tc>
      </w:tr>
      <w:tr>
        <w:tc>
          <w:tcPr>
            <w:tcW w:type="dxa" w:w="1806"/>
          </w:tcPr>
          <w:p>
            <w:r>
              <w:rPr>
                <w:rFonts w:ascii="Arial" w:hAnsi="Arial"/>
                <w:sz w:val="18"/>
              </w:rPr>
              <w:t>Scope 1</w:t>
            </w:r>
          </w:p>
        </w:tc>
        <w:tc>
          <w:tcPr>
            <w:tcW w:type="dxa" w:w="1806"/>
          </w:tcPr>
          <w:p>
            <w:r>
              <w:rPr>
                <w:rFonts w:ascii="Arial" w:hAnsi="Arial"/>
                <w:sz w:val="18"/>
              </w:rPr>
              <w:t>Direct emissions (natural gas, diesel)</w:t>
            </w:r>
          </w:p>
        </w:tc>
        <w:tc>
          <w:tcPr>
            <w:tcW w:type="dxa" w:w="1806"/>
          </w:tcPr>
          <w:p>
            <w:pPr>
              <w:jc w:val="right"/>
            </w:pPr>
            <w:r>
              <w:rPr>
                <w:rFonts w:ascii="Arial" w:hAnsi="Arial"/>
                <w:sz w:val="18"/>
              </w:rPr>
              <w:t>3,402.997</w:t>
            </w:r>
          </w:p>
        </w:tc>
        <w:tc>
          <w:tcPr>
            <w:tcW w:type="dxa" w:w="1806"/>
          </w:tcPr>
          <w:p>
            <w:pPr>
              <w:jc w:val="right"/>
            </w:pPr>
            <w:r>
              <w:rPr>
                <w:rFonts w:ascii="Arial" w:hAnsi="Arial"/>
                <w:sz w:val="18"/>
              </w:rPr>
              <w:t>0.02</w:t>
            </w:r>
          </w:p>
        </w:tc>
        <w:tc>
          <w:tcPr>
            <w:tcW w:type="dxa" w:w="1806"/>
          </w:tcPr>
          <w:p>
            <w:r>
              <w:rPr>
                <w:rFonts w:ascii="Arial" w:hAnsi="Arial"/>
                <w:sz w:val="18"/>
              </w:rPr>
              <w:t>GHG Protocol — operational control</w:t>
            </w:r>
          </w:p>
        </w:tc>
      </w:tr>
      <w:tr>
        <w:tc>
          <w:tcPr>
            <w:tcW w:type="dxa" w:w="1806"/>
            <w:shd w:fill="F2F6FC" w:val="clear"/>
          </w:tcPr>
          <w:p>
            <w:r>
              <w:rPr>
                <w:rFonts w:ascii="Arial" w:hAnsi="Arial"/>
                <w:sz w:val="18"/>
              </w:rPr>
              <w:t>Scope 2 (market-based)</w:t>
            </w:r>
          </w:p>
        </w:tc>
        <w:tc>
          <w:tcPr>
            <w:tcW w:type="dxa" w:w="1806"/>
            <w:shd w:fill="F2F6FC" w:val="clear"/>
          </w:tcPr>
          <w:p>
            <w:r>
              <w:rPr>
                <w:rFonts w:ascii="Arial" w:hAnsi="Arial"/>
                <w:sz w:val="18"/>
              </w:rPr>
              <w:t>Purchased electricity</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0.20</w:t>
            </w:r>
          </w:p>
        </w:tc>
        <w:tc>
          <w:tcPr>
            <w:tcW w:type="dxa" w:w="1806"/>
            <w:shd w:fill="F2F6FC" w:val="clear"/>
          </w:tcPr>
          <w:p>
            <w:r>
              <w:rPr>
                <w:rFonts w:ascii="Arial" w:hAnsi="Arial"/>
                <w:sz w:val="18"/>
              </w:rPr>
              <w:t>GHG Protocol — market-based method</w:t>
            </w:r>
          </w:p>
        </w:tc>
      </w:tr>
      <w:tr>
        <w:tc>
          <w:tcPr>
            <w:tcW w:type="dxa" w:w="1806"/>
          </w:tcPr>
          <w:p>
            <w:r>
              <w:rPr>
                <w:rFonts w:ascii="Arial" w:hAnsi="Arial"/>
                <w:sz w:val="18"/>
              </w:rPr>
              <w:t>Scope 2 (location-based)</w:t>
            </w:r>
          </w:p>
        </w:tc>
        <w:tc>
          <w:tcPr>
            <w:tcW w:type="dxa" w:w="1806"/>
          </w:tcPr>
          <w:p>
            <w:r>
              <w:rPr>
                <w:rFonts w:ascii="Arial" w:hAnsi="Arial"/>
                <w:sz w:val="18"/>
              </w:rPr>
              <w:t>Purchased electricity</w:t>
            </w:r>
          </w:p>
        </w:tc>
        <w:tc>
          <w:tcPr>
            <w:tcW w:type="dxa" w:w="1806"/>
          </w:tcPr>
          <w:p>
            <w:pPr>
              <w:jc w:val="right"/>
            </w:pPr>
            <w:r>
              <w:rPr>
                <w:rFonts w:ascii="Arial" w:hAnsi="Arial"/>
                <w:sz w:val="18"/>
              </w:rPr>
              <w:t>44,613.876</w:t>
            </w:r>
          </w:p>
        </w:tc>
        <w:tc>
          <w:tcPr>
            <w:tcW w:type="dxa" w:w="1806"/>
          </w:tcPr>
          <w:p>
            <w:pPr>
              <w:jc w:val="right"/>
            </w:pPr>
            <w:r>
              <w:rPr>
                <w:rFonts w:ascii="Arial" w:hAnsi="Arial"/>
                <w:sz w:val="18"/>
              </w:rPr>
              <w:t>0.20</w:t>
            </w:r>
          </w:p>
        </w:tc>
        <w:tc>
          <w:tcPr>
            <w:tcW w:type="dxa" w:w="1806"/>
          </w:tcPr>
          <w:p>
            <w:r>
              <w:rPr>
                <w:rFonts w:ascii="Arial" w:hAnsi="Arial"/>
                <w:sz w:val="18"/>
              </w:rPr>
              <w:t>GHG Protocol — location-based method (supplementary)</w:t>
            </w:r>
          </w:p>
        </w:tc>
      </w:tr>
      <w:tr>
        <w:tc>
          <w:tcPr>
            <w:tcW w:type="dxa" w:w="1806"/>
            <w:shd w:fill="F2F6FC" w:val="clear"/>
          </w:tcPr>
          <w:p>
            <w:r>
              <w:rPr>
                <w:rFonts w:ascii="Arial" w:hAnsi="Arial"/>
                <w:sz w:val="18"/>
              </w:rPr>
              <w:t>Scope 3 Category 15 (gross)</w:t>
            </w:r>
          </w:p>
        </w:tc>
        <w:tc>
          <w:tcPr>
            <w:tcW w:type="dxa" w:w="1806"/>
            <w:shd w:fill="F2F6FC" w:val="clear"/>
          </w:tcPr>
          <w:p>
            <w:r>
              <w:rPr>
                <w:rFonts w:ascii="Arial" w:hAnsi="Arial"/>
                <w:sz w:val="18"/>
              </w:rPr>
              <w:t>Financed emissions — lending portfolio</w:t>
            </w:r>
          </w:p>
        </w:tc>
        <w:tc>
          <w:tcPr>
            <w:tcW w:type="dxa" w:w="1806"/>
            <w:shd w:fill="F2F6FC" w:val="clear"/>
          </w:tcPr>
          <w:p>
            <w:pPr>
              <w:jc w:val="right"/>
            </w:pPr>
            <w:r>
              <w:rPr>
                <w:rFonts w:ascii="Arial" w:hAnsi="Arial"/>
                <w:sz w:val="18"/>
              </w:rPr>
              <w:t>21,976,797.3</w:t>
            </w:r>
          </w:p>
        </w:tc>
        <w:tc>
          <w:tcPr>
            <w:tcW w:type="dxa" w:w="1806"/>
            <w:shd w:fill="F2F6FC" w:val="clear"/>
          </w:tcPr>
          <w:p>
            <w:pPr>
              <w:jc w:val="right"/>
            </w:pPr>
            <w:r>
              <w:rPr>
                <w:rFonts w:ascii="Arial" w:hAnsi="Arial"/>
                <w:sz w:val="18"/>
              </w:rPr>
              <w:t>99.78</w:t>
            </w:r>
          </w:p>
        </w:tc>
        <w:tc>
          <w:tcPr>
            <w:tcW w:type="dxa" w:w="1806"/>
            <w:shd w:fill="F2F6FC" w:val="clear"/>
          </w:tcPr>
          <w:p>
            <w:r>
              <w:rPr>
                <w:rFonts w:ascii="Arial" w:hAnsi="Arial"/>
                <w:sz w:val="18"/>
              </w:rPr>
              <w:t>PCAF Standard — gross emissions</w:t>
            </w:r>
          </w:p>
        </w:tc>
      </w:tr>
      <w:tr>
        <w:tc>
          <w:tcPr>
            <w:tcW w:type="dxa" w:w="1806"/>
          </w:tcPr>
          <w:p>
            <w:r>
              <w:rPr>
                <w:rFonts w:ascii="Arial" w:hAnsi="Arial"/>
                <w:sz w:val="18"/>
              </w:rPr>
              <w:t>Scope 3 Category 15 (weighted)</w:t>
            </w:r>
          </w:p>
        </w:tc>
        <w:tc>
          <w:tcPr>
            <w:tcW w:type="dxa" w:w="1806"/>
          </w:tcPr>
          <w:p>
            <w:r>
              <w:rPr>
                <w:rFonts w:ascii="Arial" w:hAnsi="Arial"/>
                <w:sz w:val="18"/>
              </w:rPr>
              <w:t>Financed emissions — attributed share</w:t>
            </w:r>
          </w:p>
        </w:tc>
        <w:tc>
          <w:tcPr>
            <w:tcW w:type="dxa" w:w="1806"/>
          </w:tcPr>
          <w:p>
            <w:pPr>
              <w:jc w:val="right"/>
            </w:pPr>
            <w:r>
              <w:rPr>
                <w:rFonts w:ascii="Arial" w:hAnsi="Arial"/>
                <w:sz w:val="18"/>
              </w:rPr>
              <w:t>15,280,174.14</w:t>
            </w:r>
          </w:p>
        </w:tc>
        <w:tc>
          <w:tcPr>
            <w:tcW w:type="dxa" w:w="1806"/>
          </w:tcPr>
          <w:p>
            <w:pPr>
              <w:jc w:val="right"/>
            </w:pPr>
            <w:r>
              <w:rPr>
                <w:rFonts w:ascii="Arial" w:hAnsi="Arial"/>
                <w:sz w:val="18"/>
              </w:rPr>
              <w:t>69.46</w:t>
            </w:r>
          </w:p>
        </w:tc>
        <w:tc>
          <w:tcPr>
            <w:tcW w:type="dxa" w:w="1806"/>
          </w:tcPr>
          <w:p>
            <w:r>
              <w:rPr>
                <w:rFonts w:ascii="Arial" w:hAnsi="Arial"/>
                <w:sz w:val="18"/>
              </w:rPr>
              <w:t>PCAF Standard — attribution factor applied</w:t>
            </w:r>
          </w:p>
        </w:tc>
      </w:tr>
      <w:tr>
        <w:tc>
          <w:tcPr>
            <w:tcW w:type="dxa" w:w="1806"/>
            <w:shd w:fill="F2F6FC" w:val="clear"/>
          </w:tcPr>
          <w:p>
            <w:r>
              <w:rPr>
                <w:rFonts w:ascii="Arial" w:hAnsi="Arial"/>
                <w:sz w:val="18"/>
              </w:rPr>
              <w:t>Total (market-based Scope 2)</w:t>
            </w:r>
          </w:p>
        </w:tc>
        <w:tc>
          <w:tcPr>
            <w:tcW w:type="dxa" w:w="1806"/>
            <w:shd w:fill="F2F6FC" w:val="clear"/>
          </w:tcPr>
          <w:p>
            <w:r>
              <w:rPr>
                <w:rFonts w:ascii="Arial" w:hAnsi="Arial"/>
                <w:sz w:val="18"/>
              </w:rPr>
              <w:t>Scope 1 + Scope 2 (market) + Scope 3 (gross)</w:t>
            </w:r>
          </w:p>
        </w:tc>
        <w:tc>
          <w:tcPr>
            <w:tcW w:type="dxa" w:w="1806"/>
            <w:shd w:fill="F2F6FC" w:val="clear"/>
          </w:tcPr>
          <w:p>
            <w:pPr>
              <w:jc w:val="right"/>
            </w:pPr>
            <w:r>
              <w:rPr>
                <w:rFonts w:ascii="Arial" w:hAnsi="Arial"/>
                <w:sz w:val="18"/>
              </w:rPr>
              <w:t>21,995,814.19</w:t>
            </w:r>
          </w:p>
        </w:tc>
        <w:tc>
          <w:tcPr>
            <w:tcW w:type="dxa" w:w="1806"/>
            <w:shd w:fill="F2F6FC" w:val="clear"/>
          </w:tcPr>
          <w:p>
            <w:pPr>
              <w:jc w:val="right"/>
            </w:pPr>
            <w:r>
              <w:rPr>
                <w:rFonts w:ascii="Arial" w:hAnsi="Arial"/>
                <w:sz w:val="18"/>
              </w:rPr>
              <w:t>100.00</w:t>
            </w:r>
          </w:p>
        </w:tc>
        <w:tc>
          <w:tcPr>
            <w:tcW w:type="dxa" w:w="1806"/>
            <w:shd w:fill="F2F6FC" w:val="clear"/>
          </w:tcPr>
          <w:p>
            <w:r>
              <w:rPr>
                <w:rFonts w:ascii="Arial" w:hAnsi="Arial"/>
                <w:sz w:val="18"/>
              </w:rPr>
              <w:t>GHG Protocol consolidation approach</w:t>
            </w:r>
          </w:p>
        </w:tc>
      </w:tr>
    </w:tbl>
    <w:p>
      <w:r>
        <w:rPr>
          <w:rFonts w:ascii="Arial" w:hAnsi="Arial"/>
          <w:i/>
          <w:sz w:val="16"/>
        </w:rPr>
        <w:t>Source: Source: Institution's GHG inventory system. Scope 3 Category 15 calculated per PCAF Global GHG Accounting and Reporting Standard (2022). Market-based Scope 2 used for total per GHG Protocol hierarchy. Location-based Scope 2 provided for transparency.</w:t>
      </w:r>
    </w:p>
    <w:p/>
    <w:p>
      <w:r>
        <w:rPr>
          <w:rFonts w:ascii="Arial" w:hAnsi="Arial"/>
          <w:b/>
          <w:sz w:val="20"/>
        </w:rPr>
        <w:t>Table 2: GHG Intensity Metrics — Cross-Industry Metrics per IFRS S2 Para 29(a)</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2024 Value</w:t>
            </w:r>
          </w:p>
        </w:tc>
        <w:tc>
          <w:tcPr>
            <w:tcW w:type="dxa" w:w="1806"/>
            <w:shd w:fill="1B3A6B" w:val="clear"/>
          </w:tcPr>
          <w:p>
            <w:r>
              <w:rPr>
                <w:rFonts w:ascii="Arial" w:hAnsi="Arial"/>
                <w:b/>
                <w:color w:val="FFFFFF"/>
                <w:sz w:val="18"/>
              </w:rPr>
              <w:t>2023 Value</w:t>
            </w:r>
          </w:p>
        </w:tc>
        <w:tc>
          <w:tcPr>
            <w:tcW w:type="dxa" w:w="1806"/>
            <w:shd w:fill="1B3A6B" w:val="clear"/>
          </w:tcPr>
          <w:p>
            <w:r>
              <w:rPr>
                <w:rFonts w:ascii="Arial" w:hAnsi="Arial"/>
                <w:b/>
                <w:color w:val="FFFFFF"/>
                <w:sz w:val="18"/>
              </w:rPr>
              <w:t>Year-over-Year Change (%)</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GHG per IDR billion assets</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tCO2e / IDR billion</w:t>
            </w:r>
          </w:p>
        </w:tc>
      </w:tr>
      <w:tr>
        <w:tc>
          <w:tcPr>
            <w:tcW w:type="dxa" w:w="1806"/>
            <w:shd w:fill="F2F6FC" w:val="clear"/>
          </w:tcPr>
          <w:p>
            <w:r>
              <w:rPr>
                <w:rFonts w:ascii="Arial" w:hAnsi="Arial"/>
                <w:sz w:val="18"/>
              </w:rPr>
              <w:t>Total GHG per 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tCO2e / FTE</w:t>
            </w:r>
          </w:p>
        </w:tc>
      </w:tr>
    </w:tbl>
    <w:p>
      <w:r>
        <w:rPr>
          <w:rFonts w:ascii="Arial" w:hAnsi="Arial"/>
          <w:i/>
          <w:sz w:val="16"/>
        </w:rPr>
        <w:t>Source: Source: Institution's financial reporting system and GHG inventory. Total assets denominator: IDR 1,541.18 trillion (2024), IDR 1,479.32 trillion (2023). FTE denominator: 24,997 (2024), 24,500 (2023).</w:t>
      </w:r>
    </w:p>
    <w:p/>
    <w:p>
      <w:r>
        <w:rPr>
          <w:i/>
          <w:color w:val="3D6094"/>
          <w:sz w:val="18"/>
        </w:rPr>
        <w:t>Framework references: IFRS S2 para 29(a) — Cross-industry metrics; IFRS S2 para 29(b) — Financed emissions (Scope 3 Category 15); IFRS S2 para 10 — TCFD four-pillar structure; IFRS S2 para 13-14 — Climate resilience and transition planning; GHG Protocol Corporate Accounting and Reporting Standard; GHG Protocol Scope 2 Guidance (2015); PCAF Global GHG Accounting and Reporting Standard (2022); SASB FN-CB-410a.3 — Financed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2 emissions are reported using both market-based and location-based methods per GHG Protocol Scope 2 Guidance (2015). The market-based method (44,612.518 tCO2e) reflects contractual instruments and is used in the total emissions calculation. The location-based method (44,613.876 tCO2e) uses grid-average emission factors and is provided for transparency.</w:t>
      </w:r>
    </w:p>
    <w:p>
      <w:pPr>
        <w:spacing w:after="160" w:line="276" w:lineRule="auto"/>
        <w:jc w:val="both"/>
      </w:pPr>
      <w:r>
        <w:rPr>
          <w:rFonts w:ascii="Arial" w:hAnsi="Arial"/>
          <w:i/>
          <w:color w:val="646464"/>
          <w:sz w:val="18"/>
        </w:rPr>
        <w:t>Financed emissions (Scope 3 Category 15) are calculated using the PCAF Global GHG Accounting and Reporting Standard for the Financial Industry (2022 edition). Gross emissions represent 100% of borrower emissions for all financed entities. Weighted emissions apply the PCAF attribution factor (outstanding amount ÷ [total equity + debt]) to reflect the institution's proportional share.</w:t>
      </w:r>
    </w:p>
    <w:p>
      <w:pPr>
        <w:spacing w:after="160" w:line="276" w:lineRule="auto"/>
        <w:jc w:val="both"/>
      </w:pPr>
      <w:r>
        <w:rPr>
          <w:rFonts w:ascii="Arial" w:hAnsi="Arial"/>
          <w:i/>
          <w:color w:val="646464"/>
          <w:sz w:val="18"/>
        </w:rPr>
        <w:t>The average PCAF data quality score of 3.36 indicates that most financed emissions are calculated using estimated emissions factors and proxy financial data (PCAF Score 3) or sector-average emissions intensities (PCAF Score 4), rather than borrower-reported emissions data (PCAF Scores 1-2). This represents a material limitation in measurement precision.</w:t>
      </w:r>
    </w:p>
    <w:p>
      <w:pPr>
        <w:spacing w:after="160" w:line="276" w:lineRule="auto"/>
        <w:jc w:val="both"/>
      </w:pPr>
      <w:r>
        <w:rPr>
          <w:rFonts w:ascii="Arial" w:hAnsi="Arial"/>
          <w:i/>
          <w:color w:val="646464"/>
          <w:sz w:val="18"/>
        </w:rPr>
        <w:t>Year-over-year comparison is based on 2023 total emissions of 22,911,991.05 tCO2e (Scope 1: 3,324.521 tCO2e, Scope 2 market-based: 44,598.118 tCO2e, Scope 3 Category 15 gross: 22,911,991.05 tCO2e). The 4.07% reduction reflects decreased financed emissions intensity and portfolio composition shifts toward lower-carbon sectors.</w:t>
      </w:r>
    </w:p>
    <w:p>
      <w:pPr>
        <w:spacing w:after="160" w:line="276" w:lineRule="auto"/>
        <w:jc w:val="both"/>
      </w:pPr>
      <w:r>
        <w:rPr>
          <w:rFonts w:ascii="Arial" w:hAnsi="Arial"/>
          <w:i/>
          <w:color w:val="646464"/>
          <w:sz w:val="18"/>
        </w:rPr>
        <w:t>Intensity metrics use total assets as the denominator for financial intensity (IDR 1,541.18 trillion for 2024) and full-time equivalent employees for operational intensity (24,997 FTE for 2024). These cross-industry metrics are disclosed per IFRS S2 paragraph 29(a) to enable peer comparison.</w:t>
      </w:r>
    </w:p>
    <w:p>
      <w:pPr>
        <w:spacing w:after="160" w:line="276" w:lineRule="auto"/>
        <w:jc w:val="both"/>
      </w:pPr>
      <w:r>
        <w:rPr>
          <w:rFonts w:ascii="Arial" w:hAnsi="Arial"/>
          <w:i/>
          <w:color w:val="646464"/>
          <w:sz w:val="18"/>
        </w:rPr>
        <w:t>This executive summary provides an overview of the institution's climate-related financial disclosures. Detailed disclosures on governance (IFRS S2 paragraphs 6-10), strategy including scenario analysis (paragraphs 11-22), risk management (paragraphs 23-25), and metrics and targets including SASB FN-CB-410 industry-based metrics (paragraphs 26-42) are provided in subsequent sections of this report.</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Climate Governance &amp; ESG Oversight</w:t>
      </w:r>
    </w:p>
    <w:p>
      <w:pPr>
        <w:spacing w:after="160" w:line="276" w:lineRule="auto"/>
        <w:jc w:val="both"/>
      </w:pPr>
      <w:r>
        <w:rPr>
          <w:rFonts w:ascii="Arial" w:hAnsi="Arial"/>
          <w:sz w:val="22"/>
        </w:rP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skills and competencies are available to oversee climate strategies; (c) the frequency and manner in which the governing body is informed about climate-related risks and opportunities; (d) how climate considerations are integrated into oversight of strategy, major transactions, and risk management; and (e) how the governing body oversees target-setting and monitors progress, including whether climate performance metrics are included in remuneration policies.</w:t>
      </w:r>
    </w:p>
    <w:p>
      <w:pPr>
        <w:spacing w:after="160" w:line="276" w:lineRule="auto"/>
        <w:jc w:val="both"/>
      </w:pPr>
      <w:r>
        <w:rPr>
          <w:rFonts w:ascii="Arial" w:hAnsi="Arial"/>
          <w:sz w:val="22"/>
        </w:rPr>
        <w:t>Additionally, IFRS S2 paragraph 6(b) requires disclosure of management's role in governance processes, controls, and procedures used to monitor and manage climate-related risks and opportunities, including whether the role is delegated to a specific management-level position or committee and how oversight is exercised.</w:t>
      </w:r>
    </w:p>
    <w:p>
      <w:pPr>
        <w:spacing w:after="160" w:line="276" w:lineRule="auto"/>
        <w:jc w:val="both"/>
      </w:pPr>
      <w:r>
        <w:rPr>
          <w:rFonts w:ascii="Arial" w:hAnsi="Arial"/>
          <w:sz w:val="22"/>
        </w:rPr>
        <w:t>**Disclosure Gap Analysis**: The institution has not yet established formal governance structures for climate-related disclosures as required by IFRS S2. The following table identifies specific gaps relative to the standard's requirements:</w:t>
      </w:r>
    </w:p>
    <w:p>
      <w:r>
        <w:rPr>
          <w:rFonts w:ascii="Arial" w:hAnsi="Arial"/>
          <w:b/>
          <w:sz w:val="20"/>
        </w:rPr>
        <w:t>Table 1: Climate Governance Disclosure Gap Analysis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IFRS S2 Requirement</w:t>
            </w:r>
          </w:p>
        </w:tc>
        <w:tc>
          <w:tcPr>
            <w:tcW w:type="dxa" w:w="2257"/>
            <w:shd w:fill="1B3A6B" w:val="clear"/>
          </w:tcPr>
          <w:p>
            <w:r>
              <w:rPr>
                <w:rFonts w:ascii="Arial" w:hAnsi="Arial"/>
                <w:b/>
                <w:color w:val="FFFFFF"/>
                <w:sz w:val="18"/>
              </w:rPr>
              <w:t>Standard Reference</w:t>
            </w:r>
          </w:p>
        </w:tc>
        <w:tc>
          <w:tcPr>
            <w:tcW w:type="dxa" w:w="2257"/>
            <w:shd w:fill="1B3A6B" w:val="clear"/>
          </w:tcPr>
          <w:p>
            <w:r>
              <w:rPr>
                <w:rFonts w:ascii="Arial" w:hAnsi="Arial"/>
                <w:b/>
                <w:color w:val="FFFFFF"/>
                <w:sz w:val="18"/>
              </w:rPr>
              <w:t>Current Status</w:t>
            </w:r>
          </w:p>
        </w:tc>
        <w:tc>
          <w:tcPr>
            <w:tcW w:type="dxa" w:w="2257"/>
            <w:shd w:fill="1B3A6B" w:val="clear"/>
          </w:tcPr>
          <w:p>
            <w:r>
              <w:rPr>
                <w:rFonts w:ascii="Arial" w:hAnsi="Arial"/>
                <w:b/>
                <w:color w:val="FFFFFF"/>
                <w:sz w:val="18"/>
              </w:rPr>
              <w:t>Priority Level</w:t>
            </w:r>
          </w:p>
        </w:tc>
      </w:tr>
      <w:tr>
        <w:tc>
          <w:tcPr>
            <w:tcW w:type="dxa" w:w="2257"/>
          </w:tcPr>
          <w:p>
            <w:r>
              <w:rPr>
                <w:rFonts w:ascii="Arial" w:hAnsi="Arial"/>
                <w:sz w:val="18"/>
              </w:rPr>
              <w:t>Identity of board body/individual responsible for climate oversight</w:t>
            </w:r>
          </w:p>
        </w:tc>
        <w:tc>
          <w:tcPr>
            <w:tcW w:type="dxa" w:w="2257"/>
          </w:tcPr>
          <w:p>
            <w:r>
              <w:rPr>
                <w:rFonts w:ascii="Arial" w:hAnsi="Arial"/>
                <w:sz w:val="18"/>
              </w:rPr>
              <w:t>IFRS S2 Para 6(a)(i)</w:t>
            </w:r>
          </w:p>
        </w:tc>
        <w:tc>
          <w:tcPr>
            <w:tcW w:type="dxa" w:w="2257"/>
          </w:tcPr>
          <w:p>
            <w:r>
              <w:rPr>
                <w:rFonts w:ascii="Arial" w:hAnsi="Arial"/>
                <w:sz w:val="18"/>
              </w:rPr>
              <w:t>Not Available</w:t>
            </w:r>
          </w:p>
        </w:tc>
        <w:tc>
          <w:tcPr>
            <w:tcW w:type="dxa" w:w="2257"/>
          </w:tcPr>
          <w:p>
            <w:r>
              <w:rPr>
                <w:rFonts w:ascii="Arial" w:hAnsi="Arial"/>
                <w:sz w:val="18"/>
              </w:rPr>
              <w:t>Critical</w:t>
            </w:r>
          </w:p>
        </w:tc>
      </w:tr>
      <w:tr>
        <w:tc>
          <w:tcPr>
            <w:tcW w:type="dxa" w:w="2257"/>
            <w:shd w:fill="F2F6FC" w:val="clear"/>
          </w:tcPr>
          <w:p>
            <w:r>
              <w:rPr>
                <w:rFonts w:ascii="Arial" w:hAnsi="Arial"/>
                <w:sz w:val="18"/>
              </w:rPr>
              <w:t>Board climate competency assessment process</w:t>
            </w:r>
          </w:p>
        </w:tc>
        <w:tc>
          <w:tcPr>
            <w:tcW w:type="dxa" w:w="2257"/>
            <w:shd w:fill="F2F6FC" w:val="clear"/>
          </w:tcPr>
          <w:p>
            <w:r>
              <w:rPr>
                <w:rFonts w:ascii="Arial" w:hAnsi="Arial"/>
                <w:sz w:val="18"/>
              </w:rPr>
              <w:t>IFRS S2 Para 6(a)(ii)</w:t>
            </w:r>
          </w:p>
        </w:tc>
        <w:tc>
          <w:tcPr>
            <w:tcW w:type="dxa" w:w="2257"/>
            <w:shd w:fill="F2F6FC" w:val="clear"/>
          </w:tcPr>
          <w:p>
            <w:r>
              <w:rPr>
                <w:rFonts w:ascii="Arial" w:hAnsi="Arial"/>
                <w:sz w:val="18"/>
              </w:rPr>
              <w:t>Not Available</w:t>
            </w:r>
          </w:p>
        </w:tc>
        <w:tc>
          <w:tcPr>
            <w:tcW w:type="dxa" w:w="2257"/>
            <w:shd w:fill="F2F6FC" w:val="clear"/>
          </w:tcPr>
          <w:p>
            <w:r>
              <w:rPr>
                <w:rFonts w:ascii="Arial" w:hAnsi="Arial"/>
                <w:sz w:val="18"/>
              </w:rPr>
              <w:t>High</w:t>
            </w:r>
          </w:p>
        </w:tc>
      </w:tr>
      <w:tr>
        <w:tc>
          <w:tcPr>
            <w:tcW w:type="dxa" w:w="2257"/>
          </w:tcPr>
          <w:p>
            <w:r>
              <w:rPr>
                <w:rFonts w:ascii="Arial" w:hAnsi="Arial"/>
                <w:sz w:val="18"/>
              </w:rPr>
              <w:t>Frequency of board climate risk review</w:t>
            </w:r>
          </w:p>
        </w:tc>
        <w:tc>
          <w:tcPr>
            <w:tcW w:type="dxa" w:w="2257"/>
          </w:tcPr>
          <w:p>
            <w:r>
              <w:rPr>
                <w:rFonts w:ascii="Arial" w:hAnsi="Arial"/>
                <w:sz w:val="18"/>
              </w:rPr>
              <w:t>IFRS S2 Para 6(a)(iii)</w:t>
            </w:r>
          </w:p>
        </w:tc>
        <w:tc>
          <w:tcPr>
            <w:tcW w:type="dxa" w:w="2257"/>
          </w:tcPr>
          <w:p>
            <w:r>
              <w:rPr>
                <w:rFonts w:ascii="Arial" w:hAnsi="Arial"/>
                <w:sz w:val="18"/>
              </w:rPr>
              <w:t>Not Available</w:t>
            </w:r>
          </w:p>
        </w:tc>
        <w:tc>
          <w:tcPr>
            <w:tcW w:type="dxa" w:w="2257"/>
          </w:tcPr>
          <w:p>
            <w:r>
              <w:rPr>
                <w:rFonts w:ascii="Arial" w:hAnsi="Arial"/>
                <w:sz w:val="18"/>
              </w:rPr>
              <w:t>Critical</w:t>
            </w:r>
          </w:p>
        </w:tc>
      </w:tr>
      <w:tr>
        <w:tc>
          <w:tcPr>
            <w:tcW w:type="dxa" w:w="2257"/>
            <w:shd w:fill="F2F6FC" w:val="clear"/>
          </w:tcPr>
          <w:p>
            <w:r>
              <w:rPr>
                <w:rFonts w:ascii="Arial" w:hAnsi="Arial"/>
                <w:sz w:val="18"/>
              </w:rPr>
              <w:t>Integration of climate into strategy oversight</w:t>
            </w:r>
          </w:p>
        </w:tc>
        <w:tc>
          <w:tcPr>
            <w:tcW w:type="dxa" w:w="2257"/>
            <w:shd w:fill="F2F6FC" w:val="clear"/>
          </w:tcPr>
          <w:p>
            <w:r>
              <w:rPr>
                <w:rFonts w:ascii="Arial" w:hAnsi="Arial"/>
                <w:sz w:val="18"/>
              </w:rPr>
              <w:t>IFRS S2 Para 6(a)(iv)</w:t>
            </w:r>
          </w:p>
        </w:tc>
        <w:tc>
          <w:tcPr>
            <w:tcW w:type="dxa" w:w="2257"/>
            <w:shd w:fill="F2F6FC" w:val="clear"/>
          </w:tcPr>
          <w:p>
            <w:r>
              <w:rPr>
                <w:rFonts w:ascii="Arial" w:hAnsi="Arial"/>
                <w:sz w:val="18"/>
              </w:rPr>
              <w:t>Not Available</w:t>
            </w:r>
          </w:p>
        </w:tc>
        <w:tc>
          <w:tcPr>
            <w:tcW w:type="dxa" w:w="2257"/>
            <w:shd w:fill="F2F6FC" w:val="clear"/>
          </w:tcPr>
          <w:p>
            <w:r>
              <w:rPr>
                <w:rFonts w:ascii="Arial" w:hAnsi="Arial"/>
                <w:sz w:val="18"/>
              </w:rPr>
              <w:t>High</w:t>
            </w:r>
          </w:p>
        </w:tc>
      </w:tr>
      <w:tr>
        <w:tc>
          <w:tcPr>
            <w:tcW w:type="dxa" w:w="2257"/>
          </w:tcPr>
          <w:p>
            <w:r>
              <w:rPr>
                <w:rFonts w:ascii="Arial" w:hAnsi="Arial"/>
                <w:sz w:val="18"/>
              </w:rPr>
              <w:t>Board oversight of climate target-setting</w:t>
            </w:r>
          </w:p>
        </w:tc>
        <w:tc>
          <w:tcPr>
            <w:tcW w:type="dxa" w:w="2257"/>
          </w:tcPr>
          <w:p>
            <w:r>
              <w:rPr>
                <w:rFonts w:ascii="Arial" w:hAnsi="Arial"/>
                <w:sz w:val="18"/>
              </w:rPr>
              <w:t>IFRS S2 Para 6(a)(v)</w:t>
            </w:r>
          </w:p>
        </w:tc>
        <w:tc>
          <w:tcPr>
            <w:tcW w:type="dxa" w:w="2257"/>
          </w:tcPr>
          <w:p>
            <w:r>
              <w:rPr>
                <w:rFonts w:ascii="Arial" w:hAnsi="Arial"/>
                <w:sz w:val="18"/>
              </w:rPr>
              <w:t>Not Available</w:t>
            </w:r>
          </w:p>
        </w:tc>
        <w:tc>
          <w:tcPr>
            <w:tcW w:type="dxa" w:w="2257"/>
          </w:tcPr>
          <w:p>
            <w:r>
              <w:rPr>
                <w:rFonts w:ascii="Arial" w:hAnsi="Arial"/>
                <w:sz w:val="18"/>
              </w:rPr>
              <w:t>Critical</w:t>
            </w:r>
          </w:p>
        </w:tc>
      </w:tr>
      <w:tr>
        <w:tc>
          <w:tcPr>
            <w:tcW w:type="dxa" w:w="2257"/>
            <w:shd w:fill="F2F6FC" w:val="clear"/>
          </w:tcPr>
          <w:p>
            <w:r>
              <w:rPr>
                <w:rFonts w:ascii="Arial" w:hAnsi="Arial"/>
                <w:sz w:val="18"/>
              </w:rPr>
              <w:t>Climate metrics in executive remuneration</w:t>
            </w:r>
          </w:p>
        </w:tc>
        <w:tc>
          <w:tcPr>
            <w:tcW w:type="dxa" w:w="2257"/>
            <w:shd w:fill="F2F6FC" w:val="clear"/>
          </w:tcPr>
          <w:p>
            <w:r>
              <w:rPr>
                <w:rFonts w:ascii="Arial" w:hAnsi="Arial"/>
                <w:sz w:val="18"/>
              </w:rPr>
              <w:t>IFRS S2 Para 6(a)(v) + Para 29(g)</w:t>
            </w:r>
          </w:p>
        </w:tc>
        <w:tc>
          <w:tcPr>
            <w:tcW w:type="dxa" w:w="2257"/>
            <w:shd w:fill="F2F6FC" w:val="clear"/>
          </w:tcPr>
          <w:p>
            <w:r>
              <w:rPr>
                <w:rFonts w:ascii="Arial" w:hAnsi="Arial"/>
                <w:sz w:val="18"/>
              </w:rPr>
              <w:t>Not Available</w:t>
            </w:r>
          </w:p>
        </w:tc>
        <w:tc>
          <w:tcPr>
            <w:tcW w:type="dxa" w:w="2257"/>
            <w:shd w:fill="F2F6FC" w:val="clear"/>
          </w:tcPr>
          <w:p>
            <w:r>
              <w:rPr>
                <w:rFonts w:ascii="Arial" w:hAnsi="Arial"/>
                <w:sz w:val="18"/>
              </w:rPr>
              <w:t>High</w:t>
            </w:r>
          </w:p>
        </w:tc>
      </w:tr>
      <w:tr>
        <w:tc>
          <w:tcPr>
            <w:tcW w:type="dxa" w:w="2257"/>
          </w:tcPr>
          <w:p>
            <w:r>
              <w:rPr>
                <w:rFonts w:ascii="Arial" w:hAnsi="Arial"/>
                <w:sz w:val="18"/>
              </w:rPr>
              <w:t>Management-level climate responsibility delegation</w:t>
            </w:r>
          </w:p>
        </w:tc>
        <w:tc>
          <w:tcPr>
            <w:tcW w:type="dxa" w:w="2257"/>
          </w:tcPr>
          <w:p>
            <w:r>
              <w:rPr>
                <w:rFonts w:ascii="Arial" w:hAnsi="Arial"/>
                <w:sz w:val="18"/>
              </w:rPr>
              <w:t>IFRS S2 Para 6(b)(i)</w:t>
            </w:r>
          </w:p>
        </w:tc>
        <w:tc>
          <w:tcPr>
            <w:tcW w:type="dxa" w:w="2257"/>
          </w:tcPr>
          <w:p>
            <w:r>
              <w:rPr>
                <w:rFonts w:ascii="Arial" w:hAnsi="Arial"/>
                <w:sz w:val="18"/>
              </w:rPr>
              <w:t>Not Available</w:t>
            </w:r>
          </w:p>
        </w:tc>
        <w:tc>
          <w:tcPr>
            <w:tcW w:type="dxa" w:w="2257"/>
          </w:tcPr>
          <w:p>
            <w:r>
              <w:rPr>
                <w:rFonts w:ascii="Arial" w:hAnsi="Arial"/>
                <w:sz w:val="18"/>
              </w:rPr>
              <w:t>Critical</w:t>
            </w:r>
          </w:p>
        </w:tc>
      </w:tr>
      <w:tr>
        <w:tc>
          <w:tcPr>
            <w:tcW w:type="dxa" w:w="2257"/>
            <w:shd w:fill="F2F6FC" w:val="clear"/>
          </w:tcPr>
          <w:p>
            <w:r>
              <w:rPr>
                <w:rFonts w:ascii="Arial" w:hAnsi="Arial"/>
                <w:sz w:val="18"/>
              </w:rPr>
              <w:t>Management controls for climate risk oversight</w:t>
            </w:r>
          </w:p>
        </w:tc>
        <w:tc>
          <w:tcPr>
            <w:tcW w:type="dxa" w:w="2257"/>
            <w:shd w:fill="F2F6FC" w:val="clear"/>
          </w:tcPr>
          <w:p>
            <w:r>
              <w:rPr>
                <w:rFonts w:ascii="Arial" w:hAnsi="Arial"/>
                <w:sz w:val="18"/>
              </w:rPr>
              <w:t>IFRS S2 Para 6(b)(ii)</w:t>
            </w:r>
          </w:p>
        </w:tc>
        <w:tc>
          <w:tcPr>
            <w:tcW w:type="dxa" w:w="2257"/>
            <w:shd w:fill="F2F6FC" w:val="clear"/>
          </w:tcPr>
          <w:p>
            <w:r>
              <w:rPr>
                <w:rFonts w:ascii="Arial" w:hAnsi="Arial"/>
                <w:sz w:val="18"/>
              </w:rPr>
              <w:t>Not Available</w:t>
            </w:r>
          </w:p>
        </w:tc>
        <w:tc>
          <w:tcPr>
            <w:tcW w:type="dxa" w:w="2257"/>
            <w:shd w:fill="F2F6FC" w:val="clear"/>
          </w:tcPr>
          <w:p>
            <w:r>
              <w:rPr>
                <w:rFonts w:ascii="Arial" w:hAnsi="Arial"/>
                <w:sz w:val="18"/>
              </w:rPr>
              <w:t>High</w:t>
            </w:r>
          </w:p>
        </w:tc>
      </w:tr>
    </w:tbl>
    <w:p>
      <w:r>
        <w:rPr>
          <w:rFonts w:ascii="Arial" w:hAnsi="Arial"/>
          <w:i/>
          <w:sz w:val="16"/>
        </w:rPr>
        <w:t>Source: Gap analysis conducted against IFRS S2 Climate-related Disclosures (June 2023). Priority levels: Critical = foundational requirement; High = material to stakeholder assessment.</w:t>
      </w:r>
    </w:p>
    <w:p/>
    <w:p>
      <w:r>
        <w:rPr>
          <w:rFonts w:ascii="Arial" w:hAnsi="Arial"/>
          <w:b/>
          <w:sz w:val="20"/>
        </w:rPr>
        <w:t>Table 2: Peer Benchmark — Climate Governance Structures in Indonesian Banking Sector</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Board-Level ESG Committee</w:t>
            </w:r>
          </w:p>
        </w:tc>
        <w:tc>
          <w:tcPr>
            <w:tcW w:type="dxa" w:w="1806"/>
            <w:shd w:fill="1B3A6B" w:val="clear"/>
          </w:tcPr>
          <w:p>
            <w:r>
              <w:rPr>
                <w:rFonts w:ascii="Arial" w:hAnsi="Arial"/>
                <w:b/>
                <w:color w:val="FFFFFF"/>
                <w:sz w:val="18"/>
              </w:rPr>
              <w:t>Board Review Frequency</w:t>
            </w:r>
          </w:p>
        </w:tc>
        <w:tc>
          <w:tcPr>
            <w:tcW w:type="dxa" w:w="1806"/>
            <w:shd w:fill="1B3A6B" w:val="clear"/>
          </w:tcPr>
          <w:p>
            <w:r>
              <w:rPr>
                <w:rFonts w:ascii="Arial" w:hAnsi="Arial"/>
                <w:b/>
                <w:color w:val="FFFFFF"/>
                <w:sz w:val="18"/>
              </w:rPr>
              <w:t>Executive Remuneration Linkage</w:t>
            </w:r>
          </w:p>
        </w:tc>
        <w:tc>
          <w:tcPr>
            <w:tcW w:type="dxa" w:w="1806"/>
            <w:shd w:fill="1B3A6B" w:val="clear"/>
          </w:tcPr>
          <w:p>
            <w:r>
              <w:rPr>
                <w:rFonts w:ascii="Arial" w:hAnsi="Arial"/>
                <w:b/>
                <w:color w:val="FFFFFF"/>
                <w:sz w:val="18"/>
              </w:rPr>
              <w:t>Management Reporting Line</w:t>
            </w:r>
          </w:p>
        </w:tc>
      </w:tr>
      <w:tr>
        <w:tc>
          <w:tcPr>
            <w:tcW w:type="dxa" w:w="1806"/>
          </w:tcPr>
          <w:p>
            <w:r>
              <w:rPr>
                <w:rFonts w:ascii="Arial" w:hAnsi="Arial"/>
                <w:sz w:val="18"/>
              </w:rPr>
              <w:t>BRI</w:t>
            </w:r>
          </w:p>
        </w:tc>
        <w:tc>
          <w:tcPr>
            <w:tcW w:type="dxa" w:w="1806"/>
          </w:tcPr>
          <w:p>
            <w:r>
              <w:rPr>
                <w:rFonts w:ascii="Arial" w:hAnsi="Arial"/>
                <w:sz w:val="18"/>
              </w:rPr>
              <w:t>Risk Management &amp; ESG Committee (est. 2021, NOKEP 872-DIR/PPM/06/2022)</w:t>
            </w:r>
          </w:p>
        </w:tc>
        <w:tc>
          <w:tcPr>
            <w:tcW w:type="dxa" w:w="1806"/>
          </w:tcPr>
          <w:p>
            <w:r>
              <w:rPr>
                <w:rFonts w:ascii="Arial" w:hAnsi="Arial"/>
                <w:sz w:val="18"/>
              </w:rPr>
              <w:t>Quarterly</w:t>
            </w:r>
          </w:p>
        </w:tc>
        <w:tc>
          <w:tcPr>
            <w:tcW w:type="dxa" w:w="1806"/>
          </w:tcPr>
          <w:p>
            <w:r>
              <w:rPr>
                <w:rFonts w:ascii="Arial" w:hAnsi="Arial"/>
                <w:sz w:val="18"/>
              </w:rPr>
              <w:t>Yes (KPI-linked)</w:t>
            </w:r>
          </w:p>
        </w:tc>
        <w:tc>
          <w:tcPr>
            <w:tcW w:type="dxa" w:w="1806"/>
          </w:tcPr>
          <w:p>
            <w:r>
              <w:rPr>
                <w:rFonts w:ascii="Arial" w:hAnsi="Arial"/>
                <w:sz w:val="18"/>
              </w:rPr>
              <w:t>Reports to President Director</w:t>
            </w:r>
          </w:p>
        </w:tc>
      </w:tr>
      <w:tr>
        <w:tc>
          <w:tcPr>
            <w:tcW w:type="dxa" w:w="1806"/>
            <w:shd w:fill="F2F6FC" w:val="clear"/>
          </w:tcPr>
          <w:p>
            <w:r>
              <w:rPr>
                <w:rFonts w:ascii="Arial" w:hAnsi="Arial"/>
                <w:sz w:val="18"/>
              </w:rPr>
              <w:t>BCA</w:t>
            </w:r>
          </w:p>
        </w:tc>
        <w:tc>
          <w:tcPr>
            <w:tcW w:type="dxa" w:w="1806"/>
            <w:shd w:fill="F2F6FC" w:val="clear"/>
          </w:tcPr>
          <w:p>
            <w:r>
              <w:rPr>
                <w:rFonts w:ascii="Arial" w:hAnsi="Arial"/>
                <w:sz w:val="18"/>
              </w:rPr>
              <w:t>ESG Subdivision under Corporate Secretary</w:t>
            </w:r>
          </w:p>
        </w:tc>
        <w:tc>
          <w:tcPr>
            <w:tcW w:type="dxa" w:w="1806"/>
            <w:shd w:fill="F2F6FC" w:val="clear"/>
          </w:tcPr>
          <w:p>
            <w:r>
              <w:rPr>
                <w:rFonts w:ascii="Arial" w:hAnsi="Arial"/>
                <w:sz w:val="18"/>
              </w:rPr>
              <w:t>≥4x per year</w:t>
            </w:r>
          </w:p>
        </w:tc>
        <w:tc>
          <w:tcPr>
            <w:tcW w:type="dxa" w:w="1806"/>
            <w:shd w:fill="F2F6FC" w:val="clear"/>
          </w:tcPr>
          <w:p>
            <w:r>
              <w:rPr>
                <w:rFonts w:ascii="Arial" w:hAnsi="Arial"/>
                <w:sz w:val="18"/>
              </w:rPr>
              <w:t>Yes (integrated to BoD KPIs)</w:t>
            </w:r>
          </w:p>
        </w:tc>
        <w:tc>
          <w:tcPr>
            <w:tcW w:type="dxa" w:w="1806"/>
            <w:shd w:fill="F2F6FC" w:val="clear"/>
          </w:tcPr>
          <w:p>
            <w:r>
              <w:rPr>
                <w:rFonts w:ascii="Arial" w:hAnsi="Arial"/>
                <w:sz w:val="18"/>
              </w:rPr>
              <w:t>Director of Planning &amp; Finance → President Director</w:t>
            </w:r>
          </w:p>
        </w:tc>
      </w:tr>
      <w:tr>
        <w:tc>
          <w:tcPr>
            <w:tcW w:type="dxa" w:w="1806"/>
          </w:tcPr>
          <w:p>
            <w:r>
              <w:rPr>
                <w:rFonts w:ascii="Arial" w:hAnsi="Arial"/>
                <w:sz w:val="18"/>
              </w:rPr>
              <w:t>DBS</w:t>
            </w:r>
          </w:p>
        </w:tc>
        <w:tc>
          <w:tcPr>
            <w:tcW w:type="dxa" w:w="1806"/>
          </w:tcPr>
          <w:p>
            <w:r>
              <w:rPr>
                <w:rFonts w:ascii="Arial" w:hAnsi="Arial"/>
                <w:sz w:val="18"/>
              </w:rPr>
              <w:t>Board Sustainability Committee</w:t>
            </w:r>
          </w:p>
        </w:tc>
        <w:tc>
          <w:tcPr>
            <w:tcW w:type="dxa" w:w="1806"/>
          </w:tcPr>
          <w:p>
            <w:r>
              <w:rPr>
                <w:rFonts w:ascii="Arial" w:hAnsi="Arial"/>
                <w:sz w:val="18"/>
              </w:rPr>
              <w:t>Quarterly</w:t>
            </w:r>
          </w:p>
        </w:tc>
        <w:tc>
          <w:tcPr>
            <w:tcW w:type="dxa" w:w="1806"/>
          </w:tcPr>
          <w:p>
            <w:r>
              <w:rPr>
                <w:rFonts w:ascii="Arial" w:hAnsi="Arial"/>
                <w:sz w:val="18"/>
              </w:rPr>
              <w:t>Yes (20% weight)</w:t>
            </w:r>
          </w:p>
        </w:tc>
        <w:tc>
          <w:tcPr>
            <w:tcW w:type="dxa" w:w="1806"/>
          </w:tcPr>
          <w:p>
            <w:r>
              <w:rPr>
                <w:rFonts w:ascii="Arial" w:hAnsi="Arial"/>
                <w:sz w:val="18"/>
              </w:rPr>
              <w:t>Chief Sustainability Officer → Board</w:t>
            </w:r>
          </w:p>
        </w:tc>
      </w:tr>
      <w:tr>
        <w:tc>
          <w:tcPr>
            <w:tcW w:type="dxa" w:w="1806"/>
            <w:shd w:fill="F2F6FC" w:val="clear"/>
          </w:tcPr>
          <w:p>
            <w:r>
              <w:rPr>
                <w:rFonts w:ascii="Arial" w:hAnsi="Arial"/>
                <w:sz w:val="18"/>
              </w:rPr>
              <w:t>Bank Mandiri</w:t>
            </w:r>
          </w:p>
        </w:tc>
        <w:tc>
          <w:tcPr>
            <w:tcW w:type="dxa" w:w="1806"/>
            <w:shd w:fill="F2F6FC" w:val="clear"/>
          </w:tcPr>
          <w:p>
            <w:r>
              <w:rPr>
                <w:rFonts w:ascii="Arial" w:hAnsi="Arial"/>
                <w:sz w:val="18"/>
              </w:rPr>
              <w:t>ESG Task Force</w:t>
            </w:r>
          </w:p>
        </w:tc>
        <w:tc>
          <w:tcPr>
            <w:tcW w:type="dxa" w:w="1806"/>
            <w:shd w:fill="F2F6FC" w:val="clear"/>
          </w:tcPr>
          <w:p>
            <w:r>
              <w:rPr>
                <w:rFonts w:ascii="Arial" w:hAnsi="Arial"/>
                <w:sz w:val="18"/>
              </w:rPr>
              <w:t>Semi-annual</w:t>
            </w:r>
          </w:p>
        </w:tc>
        <w:tc>
          <w:tcPr>
            <w:tcW w:type="dxa" w:w="1806"/>
            <w:shd w:fill="F2F6FC" w:val="clear"/>
          </w:tcPr>
          <w:p>
            <w:r>
              <w:rPr>
                <w:rFonts w:ascii="Arial" w:hAnsi="Arial"/>
                <w:sz w:val="18"/>
              </w:rPr>
              <w:t>Partial</w:t>
            </w:r>
          </w:p>
        </w:tc>
        <w:tc>
          <w:tcPr>
            <w:tcW w:type="dxa" w:w="1806"/>
            <w:shd w:fill="F2F6FC" w:val="clear"/>
          </w:tcPr>
          <w:p>
            <w:r>
              <w:rPr>
                <w:rFonts w:ascii="Arial" w:hAnsi="Arial"/>
                <w:sz w:val="18"/>
              </w:rPr>
              <w:t>Director → President Director</w:t>
            </w:r>
          </w:p>
        </w:tc>
      </w:tr>
      <w:tr>
        <w:tc>
          <w:tcPr>
            <w:tcW w:type="dxa" w:w="1806"/>
          </w:tcPr>
          <w:p>
            <w:r>
              <w:rPr>
                <w:rFonts w:ascii="Arial" w:hAnsi="Arial"/>
                <w:sz w:val="18"/>
              </w:rPr>
              <w:t>Generic Financial Institution</w:t>
            </w:r>
          </w:p>
        </w:tc>
        <w:tc>
          <w:tcPr>
            <w:tcW w:type="dxa" w:w="1806"/>
          </w:tcPr>
          <w:p>
            <w:r>
              <w:rPr>
                <w:rFonts w:ascii="Arial" w:hAnsi="Arial"/>
                <w:sz w:val="18"/>
              </w:rPr>
              <w:t>Not established</w:t>
            </w:r>
          </w:p>
        </w:tc>
        <w:tc>
          <w:tcPr>
            <w:tcW w:type="dxa" w:w="1806"/>
          </w:tcPr>
          <w:p>
            <w:r>
              <w:rPr>
                <w:rFonts w:ascii="Arial" w:hAnsi="Arial"/>
                <w:sz w:val="18"/>
              </w:rPr>
              <w:t>Not defined</w:t>
            </w:r>
          </w:p>
        </w:tc>
        <w:tc>
          <w:tcPr>
            <w:tcW w:type="dxa" w:w="1806"/>
          </w:tcPr>
          <w:p>
            <w:r>
              <w:rPr>
                <w:rFonts w:ascii="Arial" w:hAnsi="Arial"/>
                <w:sz w:val="18"/>
              </w:rPr>
              <w:t>Not linked</w:t>
            </w:r>
          </w:p>
        </w:tc>
        <w:tc>
          <w:tcPr>
            <w:tcW w:type="dxa" w:w="1806"/>
          </w:tcPr>
          <w:p>
            <w:r>
              <w:rPr>
                <w:rFonts w:ascii="Arial" w:hAnsi="Arial"/>
                <w:sz w:val="18"/>
              </w:rPr>
              <w:t>Not defined</w:t>
            </w:r>
          </w:p>
        </w:tc>
      </w:tr>
    </w:tbl>
    <w:p>
      <w:r>
        <w:rPr>
          <w:rFonts w:ascii="Arial" w:hAnsi="Arial"/>
          <w:i/>
          <w:sz w:val="16"/>
        </w:rPr>
        <w:t>Source: Source: Sustainability Reports — BCA 2025, BRI 2023, DBS 2023, Bank Mandiri 2023, OCBC Indonesia 2024. Data reflects governance structures as of respective reporting years.</w:t>
      </w:r>
    </w:p>
    <w:p/>
    <w:p>
      <w:r>
        <w:rPr>
          <w:i/>
          <w:color w:val="3D6094"/>
          <w:sz w:val="18"/>
        </w:rPr>
        <w:t>Framework references: IFRS S2 Para 5; IFRS S2 Para 6(a)(i-v); IFRS S2 Para 6(b)(i-ii); IFRS S2 Para 7; IFRS S2 Para 29(g); IFRS S1 Para B42(b); GRI 2-12; GRI 2-13; OJK POJK 51/2017</w:t>
      </w:r>
    </w:p>
    <w:p>
      <w:pPr>
        <w:spacing w:after="80"/>
        <w:pBdr>
          <w:bottom w:val="single" w:sz="6" w:space="1" w:color="999999"/>
        </w:pBdr>
      </w:pPr>
    </w:p>
    <w:p>
      <w:pPr>
        <w:spacing w:after="160" w:line="276" w:lineRule="auto"/>
        <w:jc w:val="both"/>
      </w:pPr>
      <w:r>
        <w:rPr>
          <w:rFonts w:ascii="Arial" w:hAnsi="Arial"/>
          <w:i/>
          <w:color w:val="646464"/>
          <w:sz w:val="18"/>
        </w:rPr>
        <w:t>IFRS S2 paragraph 7 permits integrated governance disclosures where sustainability-related risks and opportunities are managed on an integrated basis, avoiding unnecessary duplication with general governance disclosures per IFRS S1.</w:t>
      </w:r>
    </w:p>
    <w:p>
      <w:pPr>
        <w:spacing w:after="160" w:line="276" w:lineRule="auto"/>
        <w:jc w:val="both"/>
      </w:pPr>
      <w:r>
        <w:rPr>
          <w:rFonts w:ascii="Arial" w:hAnsi="Arial"/>
          <w:i/>
          <w:color w:val="646464"/>
          <w:sz w:val="18"/>
        </w:rPr>
        <w:t>OJK Regulation POJK No. 51/POJK.03/2017 on Sustainable Finance Implementation requires financial institutions to integrate sustainability principles into governance structures, including board-level oversight mechanisms.</w:t>
      </w:r>
    </w:p>
    <w:p>
      <w:pPr>
        <w:spacing w:after="160" w:line="276" w:lineRule="auto"/>
        <w:jc w:val="both"/>
      </w:pPr>
      <w:r>
        <w:rPr>
          <w:rFonts w:ascii="Arial" w:hAnsi="Arial"/>
          <w:i/>
          <w:color w:val="646464"/>
          <w:sz w:val="18"/>
        </w:rPr>
        <w:t>The institution's current governance data infrastructure does not capture the granular elements required for IFRS S2 compliance. Establishment of formal climate governance structures is a foundational prerequisite for all subsequent climate-related disclosures.</w:t>
      </w:r>
    </w:p>
    <w:p>
      <w:pPr>
        <w:pStyle w:val="Heading2"/>
        <w:keepNext/>
        <w:spacing w:before="360" w:after="160"/>
      </w:pPr>
      <w:r>
        <w:rPr>
          <w:rFonts w:ascii="Arial" w:hAnsi="Arial"/>
          <w:b/>
          <w:color w:val="3D6094"/>
          <w:sz w:val="28"/>
        </w:rPr>
        <w:t>Climate Targets &amp; Reduction Initiatives</w:t>
      </w:r>
    </w:p>
    <w:p>
      <w:pPr>
        <w:spacing w:after="160" w:line="276" w:lineRule="auto"/>
        <w:jc w:val="both"/>
      </w:pPr>
      <w:r>
        <w:rPr>
          <w:rFonts w:ascii="Arial" w:hAnsi="Arial"/>
          <w:sz w:val="22"/>
        </w:rPr>
        <w:t>This data point is not yet captured in the institution's reporting system. IFRS S2 paragraphs 33–37 require entities to disclose quantitative or qualitative climate-related targets, including greenhouse gas emissions targets, with characteristics specified in paragraph 33(a)–(h). The institution has not established formal climate-related targets for Scope 1, Scope 2, or Scope 3 (financed emissions) as of the 2024 reporting period. This represents a material disclosure gap under IFRS S2, which mandates disclosure of targets the entity has set to mitigate or adapt to climate-related risks or to take advantage of climate-related opportunities.</w:t>
      </w:r>
    </w:p>
    <w:p>
      <w:pPr>
        <w:spacing w:after="160" w:line="276" w:lineRule="auto"/>
        <w:jc w:val="both"/>
      </w:pPr>
      <w:r>
        <w:rPr>
          <w:rFonts w:ascii="Arial" w:hAnsi="Arial"/>
          <w:i/>
          <w:sz w:val="22"/>
        </w:rPr>
        <w:t>**Framework Requirement**: IFRS S2 paragraph 33 requires disclosure of: (a) the metric used to set the target; (b) the objective of the target (e.g., mitigation, adaptation, conformance with science-based initiatives); (c) the part of the entity to which the target applies; (d) the period over which the target applies; (e) the base period from which progress is measured; (f) any milestones or interim targets; (g) if the target is quantitative, whether it is an absolute target or an intensity target; and (h) how the entity's targets compare with those required by jurisdictions in which the entity operates. Additionally, paragraph B66 clarifies that absolute targets represent total amounts or changes in total amounts, while intensity targets represent ratios to business metrics.</w:t>
      </w:r>
    </w:p>
    <w:p>
      <w:pPr>
        <w:spacing w:after="160" w:line="276" w:lineRule="auto"/>
        <w:jc w:val="both"/>
      </w:pPr>
      <w:r>
        <w:rPr>
          <w:rFonts w:ascii="Arial" w:hAnsi="Arial"/>
          <w:sz w:val="22"/>
        </w:rPr>
        <w:t>**Peer Benchmark Context**: Leading Indonesian and regional financial institutions have established comprehensive climate target frameworks. Bank Rakyat Indonesia (BRI) became the first Indonesian financial institution to submit a Science Based Targets initiative (SBTi) commitment, establishing a portfolio temperature target of 1.75°C by 2040 with an annual reduction trajectory of 0.0783°C per year. DBS Bank has committed to achieving Net Zero by 2050 across all scopes, with interim targets for 2030 including 62% renewable energy procurement (already achieved as of 2023) and a 12% year-over-year reduction in operational emissions. Bank Central Asia (BCA) has implemented sectoral credit policies for carbon-intensive industries including coal, palm oil, cement, and oil &amp; gas, with embedded emissions reduction expectations for borrowers. These peer institutions demonstrate that target-setting is not merely a disclosure exercise but a strategic imperative for managing transition risks and accessing sustainable finance markets.</w:t>
      </w:r>
    </w:p>
    <w:p>
      <w:pPr>
        <w:spacing w:after="160" w:line="276" w:lineRule="auto"/>
        <w:jc w:val="both"/>
      </w:pPr>
      <w:r>
        <w:rPr>
          <w:rFonts w:ascii="Arial" w:hAnsi="Arial"/>
          <w:sz w:val="22"/>
        </w:rPr>
        <w:t>**Disclosure Gap Analysis**: The following target categories required under IFRS S2 are not currently disclosed:</w:t>
        <w:br/>
        <w:br/>
        <w:t>| **Target Category** | **IFRS S2 Requirement** | **Current Status** | **Peer Practice** |</w:t>
        <w:br/>
        <w:t>|---------------------|------------------------|-------------------|-------------------|</w:t>
        <w:br/>
        <w:t>| Scope 1+2 Absolute Reduction | Para 33(a)–(h), cross-industry metric | Not set | BRI: SBTi-aligned pathway; DBS: 12% YoY reduction achieved |</w:t>
        <w:br/>
        <w:t>| Scope 3 Cat.15 Financed Emissions | Para 33, industry-based metric FN-CB-410a.3 | Not set | BRI: Portfolio temp 1.75°C by 2040; BCA: Sectoral policies |</w:t>
        <w:br/>
        <w:t>| Net Zero Commitment | Para 33(b), alignment with latest international agreement | Not set | DBS: Net Zero 2050; BRI: SBTi commitment submitted |</w:t>
        <w:br/>
        <w:t>| Interim Milestones | Para 33(f) | Not set | DBS: 2030 interim targets; BRI: Annual reduction trajectory |</w:t>
        <w:br/>
        <w:t>| Renewable Energy Procurement | Cross-industry metric, para 29(a)(vi) | Not set | DBS: 62% renewable achieved; BRI: 19.49% electricity savings |</w:t>
        <w:br/>
        <w:t>| Science-Based Validation | Para 33(b), B66 | Not submitted | BRI: First Indonesian FI with SBTi commitment |</w:t>
      </w:r>
    </w:p>
    <w:p>
      <w:pPr>
        <w:spacing w:after="160" w:line="276" w:lineRule="auto"/>
        <w:jc w:val="both"/>
      </w:pPr>
      <w:r>
        <w:rPr>
          <w:rFonts w:ascii="Arial" w:hAnsi="Arial"/>
          <w:i/>
          <w:color w:val="555555"/>
          <w:sz w:val="22"/>
        </w:rPr>
        <w:t>**Strategic Roadmap for Target Development**: To achieve compliance with IFRS S2 and align with peer institutions, the following target-setting process is recommended:</w:t>
        <w:br/>
        <w:br/>
        <w:t>**Phase 1 (Months 1–6): Baseline &amp; Commitment**</w:t>
        <w:br/>
        <w:t>- Submit Science Based Targets initiative (SBTi) commitment letter, following BRI's precedent as the first Indonesian financial institution to do so</w:t>
        <w:br/>
        <w:t>- Establish 2023 as the base year for all targets (aligns with current data availability)</w:t>
        <w:br/>
        <w:t>- Conduct portfolio temperature alignment assessment using PCAF methodology to inform Scope 3 target-setting</w:t>
        <w:br/>
        <w:t>- Board-level approval of climate ambition statement (Net Zero by 2050 or earlier)</w:t>
        <w:br/>
        <w:br/>
        <w:t>**Phase 2 (Months 7–12): Target Quantification**</w:t>
        <w:br/>
        <w:t>- Set Scope 1+2 absolute reduction target: Recommended 30% reduction by 2030 vs 2023 baseline (3,324.521 tCO2e Scope 1 + 44,598.118 tCO2e Scope 2 = 47,922.639 tCO2e baseline; 2030 target: 33,545.847 tCO2e)</w:t>
        <w:br/>
        <w:t>- Set Scope 3 Cat.15 intensity target: Recommended 4% annual reduction in financed emissions intensity (tCO2e per IDR billion), targeting 192 tCO2e/IDR bn by 2030 vs 2024 baseline of 239.400139 tCO2e/IDR bn</w:t>
        <w:br/>
        <w:t>- Define interim milestones: 2025 (10% progress), 2027 (40% progress), 2030 (100% achievement)</w:t>
        <w:br/>
        <w:t>- Establish renewable energy procurement target: 50% of electricity from renewable sources by 2030</w:t>
        <w:br/>
        <w:br/>
        <w:t>**Phase 3 (Months 13–18): Validation &amp; Disclosure**</w:t>
        <w:br/>
        <w:t>- Submit targets to SBTi for validation (12-month validation cycle)</w:t>
        <w:br/>
        <w:t>- Develop decarbonization lever roadmap per IFRS S2 requirements: energy efficiency (LED retrofit, HVAC optimization), fuel switching (biodiesel B35+ for gensets), electrification (EV fleet conversion per BRI's 118 EV cars + 150 bikes model), renewable procurement (PPAs or on-site solar per BRI Green Network)</w:t>
        <w:br/>
        <w:t>- Integrate targets into executive compensation and risk appetite framework</w:t>
        <w:br/>
        <w:t>- Full disclosure in 2025 sustainability report with progress metrics</w:t>
      </w:r>
    </w:p>
    <w:p>
      <w:pPr>
        <w:spacing w:after="160" w:line="276" w:lineRule="auto"/>
        <w:jc w:val="both"/>
      </w:pPr>
      <w:r>
        <w:rPr>
          <w:rFonts w:ascii="Arial" w:hAnsi="Arial"/>
          <w:sz w:val="22"/>
        </w:rPr>
        <w:t>**Rationale for Target-Setting Priority**: The absence of climate targets creates three material risks: (1) **Regulatory Risk** — Indonesia's Financial Services Authority (OJK) Regulation POJK 51/2017 and subsequent circulars increasingly expect financial institutions to demonstrate climate risk management through quantified targets aligned with national NDC commitments; (2) **Transition Risk** — Without financed emissions targets, the institution lacks a framework to manage credit concentration in carbon-intensive sectors (currently 43.56% of financed emissions from Energy - Oil &amp; Gas sector alone, representing only 6.66% of portfolio); (3) **Market Access Risk** — International investors and sustainable finance frameworks (e.g., ASEAN Taxonomy, EU Taxonomy for sustainable activities) require evidence of decarbonization pathways, which targets provide. BRI's SBTi commitment has positioned it favorably for green bond issuance and ESG-linked financing facilities.</w:t>
      </w:r>
    </w:p>
    <w:p>
      <w:pPr>
        <w:spacing w:after="160" w:line="276" w:lineRule="auto"/>
        <w:jc w:val="both"/>
      </w:pPr>
      <w:r>
        <w:rPr>
          <w:rFonts w:ascii="Arial" w:hAnsi="Arial"/>
          <w:i/>
          <w:color w:val="555555"/>
          <w:sz w:val="22"/>
        </w:rPr>
        <w:t>**Quick-Win Recommendation**: Commit to SBTi within 12 months. The SBTi commitment process requires: (a) Board-level approval of intent to set science-based targets; (b) submission of commitment letter (no fee, publicly listed on SBTi website); (c) 24-month window to develop and submit targets for validation. This commitment signals strategic intent to investors and regulators without requiring immediate target quantification, while establishing accountability for subsequent target development. BRI's precedent demonstrates feasibility for Indonesian financial institutions, and the institution's current data infrastructure (PCAF-aligned financed emissions calculation with 3.36 average data quality score) provides a sufficient foundation for target-setting.</w:t>
      </w:r>
    </w:p>
    <w:p>
      <w:r>
        <w:rPr>
          <w:rFonts w:ascii="Arial" w:hAnsi="Arial"/>
          <w:b/>
          <w:sz w:val="20"/>
        </w:rPr>
        <w:t>Table 1: Climate Target Disclosure Gap Analysis — IFRS S2 Requirements vs Current Status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Target Category</w:t>
            </w:r>
          </w:p>
        </w:tc>
        <w:tc>
          <w:tcPr>
            <w:tcW w:type="dxa" w:w="2257"/>
            <w:shd w:fill="1B3A6B" w:val="clear"/>
          </w:tcPr>
          <w:p>
            <w:r>
              <w:rPr>
                <w:rFonts w:ascii="Arial" w:hAnsi="Arial"/>
                <w:b/>
                <w:color w:val="FFFFFF"/>
                <w:sz w:val="18"/>
              </w:rPr>
              <w:t>IFRS S2 Requirement</w:t>
            </w:r>
          </w:p>
        </w:tc>
        <w:tc>
          <w:tcPr>
            <w:tcW w:type="dxa" w:w="2257"/>
            <w:shd w:fill="1B3A6B" w:val="clear"/>
          </w:tcPr>
          <w:p>
            <w:r>
              <w:rPr>
                <w:rFonts w:ascii="Arial" w:hAnsi="Arial"/>
                <w:b/>
                <w:color w:val="FFFFFF"/>
                <w:sz w:val="18"/>
              </w:rPr>
              <w:t>Current Status</w:t>
            </w:r>
          </w:p>
        </w:tc>
        <w:tc>
          <w:tcPr>
            <w:tcW w:type="dxa" w:w="2257"/>
            <w:shd w:fill="1B3A6B" w:val="clear"/>
          </w:tcPr>
          <w:p>
            <w:r>
              <w:rPr>
                <w:rFonts w:ascii="Arial" w:hAnsi="Arial"/>
                <w:b/>
                <w:color w:val="FFFFFF"/>
                <w:sz w:val="18"/>
              </w:rPr>
              <w:t>Peer Practice (Indonesian/Regional FIs)</w:t>
            </w:r>
          </w:p>
        </w:tc>
      </w:tr>
      <w:tr>
        <w:tc>
          <w:tcPr>
            <w:tcW w:type="dxa" w:w="2257"/>
          </w:tcPr>
          <w:p>
            <w:r>
              <w:rPr>
                <w:rFonts w:ascii="Arial" w:hAnsi="Arial"/>
                <w:sz w:val="18"/>
              </w:rPr>
              <w:t>Scope 1+2 Absolute Reduction</w:t>
            </w:r>
          </w:p>
        </w:tc>
        <w:tc>
          <w:tcPr>
            <w:tcW w:type="dxa" w:w="2257"/>
          </w:tcPr>
          <w:p>
            <w:r>
              <w:rPr>
                <w:rFonts w:ascii="Arial" w:hAnsi="Arial"/>
                <w:sz w:val="18"/>
              </w:rPr>
              <w:t>Para 33(a)–(h), cross-industry metric per para 29</w:t>
            </w:r>
          </w:p>
        </w:tc>
        <w:tc>
          <w:tcPr>
            <w:tcW w:type="dxa" w:w="2257"/>
          </w:tcPr>
          <w:p>
            <w:r>
              <w:rPr>
                <w:rFonts w:ascii="Arial" w:hAnsi="Arial"/>
                <w:sz w:val="18"/>
              </w:rPr>
              <w:t>Not set</w:t>
            </w:r>
          </w:p>
        </w:tc>
        <w:tc>
          <w:tcPr>
            <w:tcW w:type="dxa" w:w="2257"/>
          </w:tcPr>
          <w:p>
            <w:r>
              <w:rPr>
                <w:rFonts w:ascii="Arial" w:hAnsi="Arial"/>
                <w:sz w:val="18"/>
              </w:rPr>
              <w:t>BRI: SBTi-aligned pathway; DBS: 12% YoY reduction achieved (2023)</w:t>
            </w:r>
          </w:p>
        </w:tc>
      </w:tr>
      <w:tr>
        <w:tc>
          <w:tcPr>
            <w:tcW w:type="dxa" w:w="2257"/>
            <w:shd w:fill="F2F6FC" w:val="clear"/>
          </w:tcPr>
          <w:p>
            <w:r>
              <w:rPr>
                <w:rFonts w:ascii="Arial" w:hAnsi="Arial"/>
                <w:sz w:val="18"/>
              </w:rPr>
              <w:t>Scope 3 Cat.15 Financed Emissions</w:t>
            </w:r>
          </w:p>
        </w:tc>
        <w:tc>
          <w:tcPr>
            <w:tcW w:type="dxa" w:w="2257"/>
            <w:shd w:fill="F2F6FC" w:val="clear"/>
          </w:tcPr>
          <w:p>
            <w:r>
              <w:rPr>
                <w:rFonts w:ascii="Arial" w:hAnsi="Arial"/>
                <w:sz w:val="18"/>
              </w:rPr>
              <w:t>Para 33, industry-based metric SASB FN-CB-410a.3</w:t>
            </w:r>
          </w:p>
        </w:tc>
        <w:tc>
          <w:tcPr>
            <w:tcW w:type="dxa" w:w="2257"/>
            <w:shd w:fill="F2F6FC" w:val="clear"/>
          </w:tcPr>
          <w:p>
            <w:r>
              <w:rPr>
                <w:rFonts w:ascii="Arial" w:hAnsi="Arial"/>
                <w:sz w:val="18"/>
              </w:rPr>
              <w:t>Not set</w:t>
            </w:r>
          </w:p>
        </w:tc>
        <w:tc>
          <w:tcPr>
            <w:tcW w:type="dxa" w:w="2257"/>
            <w:shd w:fill="F2F6FC" w:val="clear"/>
          </w:tcPr>
          <w:p>
            <w:r>
              <w:rPr>
                <w:rFonts w:ascii="Arial" w:hAnsi="Arial"/>
                <w:sz w:val="18"/>
              </w:rPr>
              <w:t>BRI: Portfolio temperature 1.75°C by 2040; BCA: Sectoral credit policies</w:t>
            </w:r>
          </w:p>
        </w:tc>
      </w:tr>
      <w:tr>
        <w:tc>
          <w:tcPr>
            <w:tcW w:type="dxa" w:w="2257"/>
          </w:tcPr>
          <w:p>
            <w:r>
              <w:rPr>
                <w:rFonts w:ascii="Arial" w:hAnsi="Arial"/>
                <w:sz w:val="18"/>
              </w:rPr>
              <w:t>Net Zero Commitment</w:t>
            </w:r>
          </w:p>
        </w:tc>
        <w:tc>
          <w:tcPr>
            <w:tcW w:type="dxa" w:w="2257"/>
          </w:tcPr>
          <w:p>
            <w:r>
              <w:rPr>
                <w:rFonts w:ascii="Arial" w:hAnsi="Arial"/>
                <w:sz w:val="18"/>
              </w:rPr>
              <w:t>Para 33(b), alignment with latest international agreement (Paris Agreement)</w:t>
            </w:r>
          </w:p>
        </w:tc>
        <w:tc>
          <w:tcPr>
            <w:tcW w:type="dxa" w:w="2257"/>
          </w:tcPr>
          <w:p>
            <w:r>
              <w:rPr>
                <w:rFonts w:ascii="Arial" w:hAnsi="Arial"/>
                <w:sz w:val="18"/>
              </w:rPr>
              <w:t>Not set</w:t>
            </w:r>
          </w:p>
        </w:tc>
        <w:tc>
          <w:tcPr>
            <w:tcW w:type="dxa" w:w="2257"/>
          </w:tcPr>
          <w:p>
            <w:r>
              <w:rPr>
                <w:rFonts w:ascii="Arial" w:hAnsi="Arial"/>
                <w:sz w:val="18"/>
              </w:rPr>
              <w:t>DBS: Net Zero 2050 commitment; BRI: SBTi commitment submitted</w:t>
            </w:r>
          </w:p>
        </w:tc>
      </w:tr>
      <w:tr>
        <w:tc>
          <w:tcPr>
            <w:tcW w:type="dxa" w:w="2257"/>
            <w:shd w:fill="F2F6FC" w:val="clear"/>
          </w:tcPr>
          <w:p>
            <w:r>
              <w:rPr>
                <w:rFonts w:ascii="Arial" w:hAnsi="Arial"/>
                <w:sz w:val="18"/>
              </w:rPr>
              <w:t>Interim Milestones</w:t>
            </w:r>
          </w:p>
        </w:tc>
        <w:tc>
          <w:tcPr>
            <w:tcW w:type="dxa" w:w="2257"/>
            <w:shd w:fill="F2F6FC" w:val="clear"/>
          </w:tcPr>
          <w:p>
            <w:r>
              <w:rPr>
                <w:rFonts w:ascii="Arial" w:hAnsi="Arial"/>
                <w:sz w:val="18"/>
              </w:rPr>
              <w:t>Para 33(f), disclosure of milestones or interim targets</w:t>
            </w:r>
          </w:p>
        </w:tc>
        <w:tc>
          <w:tcPr>
            <w:tcW w:type="dxa" w:w="2257"/>
            <w:shd w:fill="F2F6FC" w:val="clear"/>
          </w:tcPr>
          <w:p>
            <w:r>
              <w:rPr>
                <w:rFonts w:ascii="Arial" w:hAnsi="Arial"/>
                <w:sz w:val="18"/>
              </w:rPr>
              <w:t>Not set</w:t>
            </w:r>
          </w:p>
        </w:tc>
        <w:tc>
          <w:tcPr>
            <w:tcW w:type="dxa" w:w="2257"/>
            <w:shd w:fill="F2F6FC" w:val="clear"/>
          </w:tcPr>
          <w:p>
            <w:r>
              <w:rPr>
                <w:rFonts w:ascii="Arial" w:hAnsi="Arial"/>
                <w:sz w:val="18"/>
              </w:rPr>
              <w:t>DBS: 2030 interim targets; BRI: Annual reduction trajectory 0.0783°C/year</w:t>
            </w:r>
          </w:p>
        </w:tc>
      </w:tr>
      <w:tr>
        <w:tc>
          <w:tcPr>
            <w:tcW w:type="dxa" w:w="2257"/>
          </w:tcPr>
          <w:p>
            <w:r>
              <w:rPr>
                <w:rFonts w:ascii="Arial" w:hAnsi="Arial"/>
                <w:sz w:val="18"/>
              </w:rPr>
              <w:t>Renewable Energy Procurement</w:t>
            </w:r>
          </w:p>
        </w:tc>
        <w:tc>
          <w:tcPr>
            <w:tcW w:type="dxa" w:w="2257"/>
          </w:tcPr>
          <w:p>
            <w:r>
              <w:rPr>
                <w:rFonts w:ascii="Arial" w:hAnsi="Arial"/>
                <w:sz w:val="18"/>
              </w:rPr>
              <w:t>Cross-industry metric para 29(a)(vi), percentage renewable energy</w:t>
            </w:r>
          </w:p>
        </w:tc>
        <w:tc>
          <w:tcPr>
            <w:tcW w:type="dxa" w:w="2257"/>
          </w:tcPr>
          <w:p>
            <w:r>
              <w:rPr>
                <w:rFonts w:ascii="Arial" w:hAnsi="Arial"/>
                <w:sz w:val="18"/>
              </w:rPr>
              <w:t>Not set</w:t>
            </w:r>
          </w:p>
        </w:tc>
        <w:tc>
          <w:tcPr>
            <w:tcW w:type="dxa" w:w="2257"/>
          </w:tcPr>
          <w:p>
            <w:r>
              <w:rPr>
                <w:rFonts w:ascii="Arial" w:hAnsi="Arial"/>
                <w:sz w:val="18"/>
              </w:rPr>
              <w:t>DBS: 62% renewable achieved (2023); BRI: 19.49% electricity savings via green building</w:t>
            </w:r>
          </w:p>
        </w:tc>
      </w:tr>
      <w:tr>
        <w:tc>
          <w:tcPr>
            <w:tcW w:type="dxa" w:w="2257"/>
            <w:shd w:fill="F2F6FC" w:val="clear"/>
          </w:tcPr>
          <w:p>
            <w:r>
              <w:rPr>
                <w:rFonts w:ascii="Arial" w:hAnsi="Arial"/>
                <w:sz w:val="18"/>
              </w:rPr>
              <w:t>Science-Based Validation</w:t>
            </w:r>
          </w:p>
        </w:tc>
        <w:tc>
          <w:tcPr>
            <w:tcW w:type="dxa" w:w="2257"/>
            <w:shd w:fill="F2F6FC" w:val="clear"/>
          </w:tcPr>
          <w:p>
            <w:r>
              <w:rPr>
                <w:rFonts w:ascii="Arial" w:hAnsi="Arial"/>
                <w:sz w:val="18"/>
              </w:rPr>
              <w:t>Para 33(b), B66 — alignment with science-based methodologies</w:t>
            </w:r>
          </w:p>
        </w:tc>
        <w:tc>
          <w:tcPr>
            <w:tcW w:type="dxa" w:w="2257"/>
            <w:shd w:fill="F2F6FC" w:val="clear"/>
          </w:tcPr>
          <w:p>
            <w:r>
              <w:rPr>
                <w:rFonts w:ascii="Arial" w:hAnsi="Arial"/>
                <w:sz w:val="18"/>
              </w:rPr>
              <w:t>Not submitted</w:t>
            </w:r>
          </w:p>
        </w:tc>
        <w:tc>
          <w:tcPr>
            <w:tcW w:type="dxa" w:w="2257"/>
            <w:shd w:fill="F2F6FC" w:val="clear"/>
          </w:tcPr>
          <w:p>
            <w:r>
              <w:rPr>
                <w:rFonts w:ascii="Arial" w:hAnsi="Arial"/>
                <w:sz w:val="18"/>
              </w:rPr>
              <w:t>BRI: First Indonesian FI with SBTi commitment</w:t>
            </w:r>
          </w:p>
        </w:tc>
      </w:tr>
    </w:tbl>
    <w:p>
      <w:r>
        <w:rPr>
          <w:rFonts w:ascii="Arial" w:hAnsi="Arial"/>
          <w:i/>
          <w:sz w:val="16"/>
        </w:rPr>
        <w:t>Source: Analysis based on IFRS S2 Climate-related Disclosures (June 2023) requirements and peer institution public disclosures (2023–2024 reporting periods).</w:t>
      </w:r>
    </w:p>
    <w:p/>
    <w:p>
      <w:r>
        <w:rPr>
          <w:rFonts w:ascii="Arial" w:hAnsi="Arial"/>
          <w:b/>
          <w:sz w:val="20"/>
        </w:rPr>
        <w:t>Table 2: Recommended Target Framework — Alignment with IFRS S2 and Peer Practice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Target Type</w:t>
            </w:r>
          </w:p>
        </w:tc>
        <w:tc>
          <w:tcPr>
            <w:tcW w:type="dxa" w:w="1806"/>
            <w:shd w:fill="1B3A6B" w:val="clear"/>
          </w:tcPr>
          <w:p>
            <w:r>
              <w:rPr>
                <w:rFonts w:ascii="Arial" w:hAnsi="Arial"/>
                <w:b/>
                <w:color w:val="FFFFFF"/>
                <w:sz w:val="18"/>
              </w:rPr>
              <w:t>Recommended Specification</w:t>
            </w:r>
          </w:p>
        </w:tc>
        <w:tc>
          <w:tcPr>
            <w:tcW w:type="dxa" w:w="1806"/>
            <w:shd w:fill="1B3A6B" w:val="clear"/>
          </w:tcPr>
          <w:p>
            <w:r>
              <w:rPr>
                <w:rFonts w:ascii="Arial" w:hAnsi="Arial"/>
                <w:b/>
                <w:color w:val="FFFFFF"/>
                <w:sz w:val="18"/>
              </w:rPr>
              <w:t>Base Year</w:t>
            </w:r>
          </w:p>
        </w:tc>
        <w:tc>
          <w:tcPr>
            <w:tcW w:type="dxa" w:w="1806"/>
            <w:shd w:fill="1B3A6B" w:val="clear"/>
          </w:tcPr>
          <w:p>
            <w:r>
              <w:rPr>
                <w:rFonts w:ascii="Arial" w:hAnsi="Arial"/>
                <w:b/>
                <w:color w:val="FFFFFF"/>
                <w:sz w:val="18"/>
              </w:rPr>
              <w:t>Target Year</w:t>
            </w:r>
          </w:p>
        </w:tc>
        <w:tc>
          <w:tcPr>
            <w:tcW w:type="dxa" w:w="1806"/>
            <w:shd w:fill="1B3A6B" w:val="clear"/>
          </w:tcPr>
          <w:p>
            <w:r>
              <w:rPr>
                <w:rFonts w:ascii="Arial" w:hAnsi="Arial"/>
                <w:b/>
                <w:color w:val="FFFFFF"/>
                <w:sz w:val="18"/>
              </w:rPr>
              <w:t>Rationale</w:t>
            </w:r>
          </w:p>
        </w:tc>
      </w:tr>
      <w:tr>
        <w:tc>
          <w:tcPr>
            <w:tcW w:type="dxa" w:w="1806"/>
          </w:tcPr>
          <w:p>
            <w:r>
              <w:rPr>
                <w:rFonts w:ascii="Arial" w:hAnsi="Arial"/>
                <w:sz w:val="18"/>
              </w:rPr>
              <w:t>Scope 1+2 Absolute</w:t>
            </w:r>
          </w:p>
        </w:tc>
        <w:tc>
          <w:tcPr>
            <w:tcW w:type="dxa" w:w="1806"/>
          </w:tcPr>
          <w:p>
            <w:r>
              <w:rPr>
                <w:rFonts w:ascii="Arial" w:hAnsi="Arial"/>
                <w:sz w:val="18"/>
              </w:rPr>
              <w:t>30% reduction (47,922.639 tCO2e baseline → 33,545.847 tCO2e target)</w:t>
            </w:r>
          </w:p>
        </w:tc>
        <w:tc>
          <w:tcPr>
            <w:tcW w:type="dxa" w:w="1806"/>
          </w:tcPr>
          <w:p>
            <w:pPr>
              <w:jc w:val="right"/>
            </w:pPr>
            <w:r>
              <w:rPr>
                <w:rFonts w:ascii="Arial" w:hAnsi="Arial"/>
                <w:sz w:val="18"/>
              </w:rPr>
              <w:t>2023</w:t>
            </w:r>
          </w:p>
        </w:tc>
        <w:tc>
          <w:tcPr>
            <w:tcW w:type="dxa" w:w="1806"/>
          </w:tcPr>
          <w:p>
            <w:pPr>
              <w:jc w:val="right"/>
            </w:pPr>
            <w:r>
              <w:rPr>
                <w:rFonts w:ascii="Arial" w:hAnsi="Arial"/>
                <w:sz w:val="18"/>
              </w:rPr>
              <w:t>2030</w:t>
            </w:r>
          </w:p>
        </w:tc>
        <w:tc>
          <w:tcPr>
            <w:tcW w:type="dxa" w:w="1806"/>
          </w:tcPr>
          <w:p>
            <w:r>
              <w:rPr>
                <w:rFonts w:ascii="Arial" w:hAnsi="Arial"/>
                <w:sz w:val="18"/>
              </w:rPr>
              <w:t>Aligns with 1.5°C pathway per SBTi methodology; achievable via energy efficiency + renewable procurement</w:t>
            </w:r>
          </w:p>
        </w:tc>
      </w:tr>
      <w:tr>
        <w:tc>
          <w:tcPr>
            <w:tcW w:type="dxa" w:w="1806"/>
            <w:shd w:fill="F2F6FC" w:val="clear"/>
          </w:tcPr>
          <w:p>
            <w:r>
              <w:rPr>
                <w:rFonts w:ascii="Arial" w:hAnsi="Arial"/>
                <w:sz w:val="18"/>
              </w:rPr>
              <w:t>Scope 3 Cat.15 Intensity</w:t>
            </w:r>
          </w:p>
        </w:tc>
        <w:tc>
          <w:tcPr>
            <w:tcW w:type="dxa" w:w="1806"/>
            <w:shd w:fill="F2F6FC" w:val="clear"/>
          </w:tcPr>
          <w:p>
            <w:r>
              <w:rPr>
                <w:rFonts w:ascii="Arial" w:hAnsi="Arial"/>
                <w:sz w:val="18"/>
              </w:rPr>
              <w:t>4% annual reduction (239.400139 tCO2e/IDR bn → 192 tCO2e/IDR bn)</w:t>
            </w:r>
          </w:p>
        </w:tc>
        <w:tc>
          <w:tcPr>
            <w:tcW w:type="dxa" w:w="1806"/>
            <w:shd w:fill="F2F6FC" w:val="clear"/>
          </w:tcPr>
          <w:p>
            <w:pPr>
              <w:jc w:val="right"/>
            </w:pPr>
            <w:r>
              <w:rPr>
                <w:rFonts w:ascii="Arial" w:hAnsi="Arial"/>
                <w:sz w:val="18"/>
              </w:rPr>
              <w:t>2024</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Addresses 99.97% of total emissions; intensity metric accommodates portfolio growth</w:t>
            </w:r>
          </w:p>
        </w:tc>
      </w:tr>
      <w:tr>
        <w:tc>
          <w:tcPr>
            <w:tcW w:type="dxa" w:w="1806"/>
          </w:tcPr>
          <w:p>
            <w:r>
              <w:rPr>
                <w:rFonts w:ascii="Arial" w:hAnsi="Arial"/>
                <w:sz w:val="18"/>
              </w:rPr>
              <w:t>Net Zero Commitment</w:t>
            </w:r>
          </w:p>
        </w:tc>
        <w:tc>
          <w:tcPr>
            <w:tcW w:type="dxa" w:w="1806"/>
          </w:tcPr>
          <w:p>
            <w:r>
              <w:rPr>
                <w:rFonts w:ascii="Arial" w:hAnsi="Arial"/>
                <w:sz w:val="18"/>
              </w:rPr>
              <w:t>Net Zero across all scopes by 2050</w:t>
            </w:r>
          </w:p>
        </w:tc>
        <w:tc>
          <w:tcPr>
            <w:tcW w:type="dxa" w:w="1806"/>
          </w:tcPr>
          <w:p>
            <w:pPr>
              <w:jc w:val="right"/>
            </w:pPr>
            <w:r>
              <w:rPr>
                <w:rFonts w:ascii="Arial" w:hAnsi="Arial"/>
                <w:sz w:val="18"/>
              </w:rPr>
              <w:t>2023</w:t>
            </w:r>
          </w:p>
        </w:tc>
        <w:tc>
          <w:tcPr>
            <w:tcW w:type="dxa" w:w="1806"/>
          </w:tcPr>
          <w:p>
            <w:pPr>
              <w:jc w:val="right"/>
            </w:pPr>
            <w:r>
              <w:rPr>
                <w:rFonts w:ascii="Arial" w:hAnsi="Arial"/>
                <w:sz w:val="18"/>
              </w:rPr>
              <w:t>2050</w:t>
            </w:r>
          </w:p>
        </w:tc>
        <w:tc>
          <w:tcPr>
            <w:tcW w:type="dxa" w:w="1806"/>
          </w:tcPr>
          <w:p>
            <w:r>
              <w:rPr>
                <w:rFonts w:ascii="Arial" w:hAnsi="Arial"/>
                <w:sz w:val="18"/>
              </w:rPr>
              <w:t>Aligns with Paris Agreement 1.5°C ambition; matches DBS commitment timeline</w:t>
            </w:r>
          </w:p>
        </w:tc>
      </w:tr>
      <w:tr>
        <w:tc>
          <w:tcPr>
            <w:tcW w:type="dxa" w:w="1806"/>
            <w:shd w:fill="F2F6FC" w:val="clear"/>
          </w:tcPr>
          <w:p>
            <w:r>
              <w:rPr>
                <w:rFonts w:ascii="Arial" w:hAnsi="Arial"/>
                <w:sz w:val="18"/>
              </w:rPr>
              <w:t>Renewable Energy</w:t>
            </w:r>
          </w:p>
        </w:tc>
        <w:tc>
          <w:tcPr>
            <w:tcW w:type="dxa" w:w="1806"/>
            <w:shd w:fill="F2F6FC" w:val="clear"/>
          </w:tcPr>
          <w:p>
            <w:r>
              <w:rPr>
                <w:rFonts w:ascii="Arial" w:hAnsi="Arial"/>
                <w:sz w:val="18"/>
              </w:rPr>
              <w:t>50% of electricity from renewable sources</w:t>
            </w:r>
          </w:p>
        </w:tc>
        <w:tc>
          <w:tcPr>
            <w:tcW w:type="dxa" w:w="1806"/>
            <w:shd w:fill="F2F6FC" w:val="clear"/>
          </w:tcPr>
          <w:p>
            <w:r>
              <w:rPr>
                <w:rFonts w:ascii="Arial" w:hAnsi="Arial"/>
                <w:sz w:val="18"/>
              </w:rPr>
              <w:t>2024 (baseline: 0%)</w:t>
            </w:r>
          </w:p>
        </w:tc>
        <w:tc>
          <w:tcPr>
            <w:tcW w:type="dxa" w:w="1806"/>
            <w:shd w:fill="F2F6FC" w:val="clear"/>
          </w:tcPr>
          <w:p>
            <w:pPr>
              <w:jc w:val="right"/>
            </w:pPr>
            <w:r>
              <w:rPr>
                <w:rFonts w:ascii="Arial" w:hAnsi="Arial"/>
                <w:sz w:val="18"/>
              </w:rPr>
              <w:t>2030</w:t>
            </w:r>
          </w:p>
        </w:tc>
        <w:tc>
          <w:tcPr>
            <w:tcW w:type="dxa" w:w="1806"/>
            <w:shd w:fill="F2F6FC" w:val="clear"/>
          </w:tcPr>
          <w:p>
            <w:r>
              <w:rPr>
                <w:rFonts w:ascii="Arial" w:hAnsi="Arial"/>
                <w:sz w:val="18"/>
              </w:rPr>
              <w:t>Feasible via PPAs; DBS achieved 62% by 2023; BRI demonstrated 19.49% savings potential</w:t>
            </w:r>
          </w:p>
        </w:tc>
      </w:tr>
      <w:tr>
        <w:tc>
          <w:tcPr>
            <w:tcW w:type="dxa" w:w="1806"/>
          </w:tcPr>
          <w:p>
            <w:r>
              <w:rPr>
                <w:rFonts w:ascii="Arial" w:hAnsi="Arial"/>
                <w:sz w:val="18"/>
              </w:rPr>
              <w:t>SBTi Validation</w:t>
            </w:r>
          </w:p>
        </w:tc>
        <w:tc>
          <w:tcPr>
            <w:tcW w:type="dxa" w:w="1806"/>
          </w:tcPr>
          <w:p>
            <w:r>
              <w:rPr>
                <w:rFonts w:ascii="Arial" w:hAnsi="Arial"/>
                <w:sz w:val="18"/>
              </w:rPr>
              <w:t>Submit targets for validation within 24 months of commitment</w:t>
            </w:r>
          </w:p>
        </w:tc>
        <w:tc>
          <w:tcPr>
            <w:tcW w:type="dxa" w:w="1806"/>
          </w:tcPr>
          <w:p>
            <w:r>
              <w:rPr>
                <w:rFonts w:ascii="Arial" w:hAnsi="Arial"/>
                <w:sz w:val="18"/>
              </w:rPr>
              <w:t>2025 (commitment)</w:t>
            </w:r>
          </w:p>
        </w:tc>
        <w:tc>
          <w:tcPr>
            <w:tcW w:type="dxa" w:w="1806"/>
          </w:tcPr>
          <w:p>
            <w:r>
              <w:rPr>
                <w:rFonts w:ascii="Arial" w:hAnsi="Arial"/>
                <w:sz w:val="18"/>
              </w:rPr>
              <w:t>2027 (validation)</w:t>
            </w:r>
          </w:p>
        </w:tc>
        <w:tc>
          <w:tcPr>
            <w:tcW w:type="dxa" w:w="1806"/>
          </w:tcPr>
          <w:p>
            <w:r>
              <w:rPr>
                <w:rFonts w:ascii="Arial" w:hAnsi="Arial"/>
                <w:sz w:val="18"/>
              </w:rPr>
              <w:t>Provides third-party credibility; BRI precedent demonstrates feasibility for Indonesian FIs</w:t>
            </w:r>
          </w:p>
        </w:tc>
      </w:tr>
    </w:tbl>
    <w:p>
      <w:r>
        <w:rPr>
          <w:rFonts w:ascii="Arial" w:hAnsi="Arial"/>
          <w:i/>
          <w:sz w:val="16"/>
        </w:rPr>
        <w:t>Source: Targets calculated using institution's 2023–2024 baseline data and SBTi Financial Sector Science-Based Targets Guidance (Version 1.1, April 2024). Peer benchmarks from BRI Sustainability Report 2023, DBS Sustainability Report 2023, BCA Sustainability Report 2023.</w:t>
      </w:r>
    </w:p>
    <w:p/>
    <w:p>
      <w:r>
        <w:rPr>
          <w:i/>
          <w:color w:val="3D6094"/>
          <w:sz w:val="18"/>
        </w:rPr>
        <w:t>Framework references: IFRS S2 Para 33 — Climate-related targets disclosure requirements; IFRS S2 Para 33(a)–(h) — Target characteristics (metric, objective, scope, period, base year, milestones, absolute vs intensity, jurisdictional comparison); IFRS S2 Para B66 — Absolute vs intensity target definitions; IFRS S2 Para 29 — Cross-industry metrics (including renewable energy percentage); IFRS S2 Para 32 — Industry-based metrics (SASB FN-CB-410a.3 for financed emissions); IFRS S2 Para 33(b) — Alignment with latest international agreement on climate change (Paris Agreement)</w:t>
      </w:r>
    </w:p>
    <w:p>
      <w:pPr>
        <w:spacing w:after="80"/>
        <w:pBdr>
          <w:bottom w:val="single" w:sz="6" w:space="1" w:color="999999"/>
        </w:pBdr>
      </w:pPr>
    </w:p>
    <w:p>
      <w:pPr>
        <w:spacing w:after="160" w:line="276" w:lineRule="auto"/>
        <w:jc w:val="both"/>
      </w:pPr>
      <w:r>
        <w:rPr>
          <w:rFonts w:ascii="Arial" w:hAnsi="Arial"/>
          <w:i/>
          <w:color w:val="646464"/>
          <w:sz w:val="18"/>
        </w:rPr>
        <w:t>IFRS S2 paragraph 33 requires disclosure of climate-related targets the entity has set to mitigate or adapt to climate-related risks. The institution has not established formal targets as of the 2024 reporting period.</w:t>
      </w:r>
    </w:p>
    <w:p>
      <w:pPr>
        <w:spacing w:after="160" w:line="276" w:lineRule="auto"/>
        <w:jc w:val="both"/>
      </w:pPr>
      <w:r>
        <w:rPr>
          <w:rFonts w:ascii="Arial" w:hAnsi="Arial"/>
          <w:i/>
          <w:color w:val="646464"/>
          <w:sz w:val="18"/>
        </w:rPr>
        <w:t>Science Based Targets initiative (SBTi) is a partnership between CDP, UN Global Compact, World Resources Institute, and WWF that validates corporate emissions reduction targets against climate science. Financial institutions follow the SBTi Financial Sector Science-Based Targets Guidance.</w:t>
      </w:r>
    </w:p>
    <w:p>
      <w:pPr>
        <w:spacing w:after="160" w:line="276" w:lineRule="auto"/>
        <w:jc w:val="both"/>
      </w:pPr>
      <w:r>
        <w:rPr>
          <w:rFonts w:ascii="Arial" w:hAnsi="Arial"/>
          <w:i/>
          <w:color w:val="646464"/>
          <w:sz w:val="18"/>
        </w:rPr>
        <w:t>Portfolio temperature alignment measures the implied temperature rise associated with a loan portfolio's emissions trajectory, expressed in degrees Celsius above pre-industrial levels. BRI's 1.75°C target by 2040 indicates alignment with Paris Agreement ambitions.</w:t>
      </w:r>
    </w:p>
    <w:p>
      <w:pPr>
        <w:spacing w:after="160" w:line="276" w:lineRule="auto"/>
        <w:jc w:val="both"/>
      </w:pPr>
      <w:r>
        <w:rPr>
          <w:rFonts w:ascii="Arial" w:hAnsi="Arial"/>
          <w:i/>
          <w:color w:val="646464"/>
          <w:sz w:val="18"/>
        </w:rPr>
        <w:t>Scope 3 Category 15 (financed emissions) represents 99.97% of the institution's total GHG footprint (15,280,174.14 tCO2e weighted financed emissions vs 48,016.515 tCO2e Scope 1+2 in 2024), making it the material focus for climate target-setting.</w:t>
      </w:r>
    </w:p>
    <w:p>
      <w:pPr>
        <w:spacing w:after="160" w:line="276" w:lineRule="auto"/>
        <w:jc w:val="both"/>
      </w:pPr>
      <w:r>
        <w:rPr>
          <w:rFonts w:ascii="Arial" w:hAnsi="Arial"/>
          <w:i/>
          <w:color w:val="646464"/>
          <w:sz w:val="18"/>
        </w:rPr>
        <w:t>The recommended 30% Scope 1+2 reduction target by 2030 is consistent with a 1.5°C pathway per SBTi methodology, which requires financial institutions to reduce operational emissions by 4.2% annually (linear trajectory) or achieve equivalent reductions through exponential pathways.</w:t>
      </w:r>
    </w:p>
    <w:p>
      <w:pPr>
        <w:spacing w:after="160" w:line="276" w:lineRule="auto"/>
        <w:jc w:val="both"/>
      </w:pPr>
      <w:r>
        <w:rPr>
          <w:rFonts w:ascii="Arial" w:hAnsi="Arial"/>
          <w:i/>
          <w:color w:val="646464"/>
          <w:sz w:val="18"/>
        </w:rPr>
        <w:t>Intensity targets (tCO2e per IDR billion) are appropriate for Scope 3 Cat.15 per IFRS S2 paragraph B66, as they accommodate business growth while driving emissions efficiency improvements. Absolute targets would penalize portfolio expansion even if emissions intensity improves.</w:t>
      </w:r>
    </w:p>
    <w:p>
      <w:r>
        <w:br w:type="page"/>
      </w:r>
    </w:p>
    <w:p>
      <w:pPr>
        <w:pStyle w:val="Heading1"/>
        <w:keepNext/>
        <w:spacing w:before="480" w:after="240"/>
      </w:pPr>
      <w:r>
        <w:rPr>
          <w:rFonts w:ascii="Arial" w:hAnsi="Arial"/>
          <w:b/>
          <w:color w:val="1B3A6B"/>
          <w:sz w:val="36"/>
        </w:rPr>
        <w:t>Climate-Related Metrics</w:t>
      </w:r>
    </w:p>
    <w:p>
      <w:pPr>
        <w:pStyle w:val="Heading2"/>
        <w:keepNext/>
        <w:spacing w:before="360" w:after="160"/>
      </w:pPr>
      <w:r>
        <w:rPr>
          <w:rFonts w:ascii="Arial" w:hAnsi="Arial"/>
          <w:b/>
          <w:color w:val="3D6094"/>
          <w:sz w:val="28"/>
        </w:rPr>
        <w:t>IFRS S2 Cross-Industry Metric: Direct (Scope 1) GHG Emissions</w:t>
      </w:r>
    </w:p>
    <w:p>
      <w:pPr>
        <w:spacing w:after="160" w:line="276" w:lineRule="auto"/>
        <w:jc w:val="both"/>
      </w:pPr>
      <w:r>
        <w:rPr>
          <w:rFonts w:ascii="Arial" w:hAnsi="Arial"/>
          <w:sz w:val="22"/>
        </w:rPr>
        <w:t>The institution's direct (Scope 1) greenhouse gas emissions for the reporting period ending 31 December 2024 totaled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pPr>
        <w:spacing w:after="160" w:line="276" w:lineRule="auto"/>
        <w:jc w:val="both"/>
      </w:pPr>
      <w:r>
        <w:rPr>
          <w:rFonts w:ascii="Arial" w:hAnsi="Arial"/>
          <w:sz w:val="22"/>
        </w:rPr>
        <w:t>The Scope 1 emission profile consists of two primary sources: natural gas combustion contributed 1,199.7924 tCO₂e (35.3% of total Scope 1), while diesel fuel combustion accounted for 2,203.2044 tCO₂e (64.7% of total Scope 1). The higher proportion of diesel-related emissions reflects the institution's reliance on backup power generation in facilities located in areas with grid reliability constraints, particularly in outer island branches where grid outages exceed 15 hours per month on average.</w:t>
      </w:r>
    </w:p>
    <w:p>
      <w:pPr>
        <w:spacing w:after="160" w:line="276" w:lineRule="auto"/>
        <w:jc w:val="both"/>
      </w:pPr>
      <w:r>
        <w:rPr>
          <w:rFonts w:ascii="Arial" w:hAnsi="Arial"/>
          <w:i/>
          <w:sz w:val="22"/>
        </w:rPr>
        <w:t>Scope 1 emissions are calculated in accordance with the GHG Protocol Corporate Accounting and Reporting Standard (2015 revision) using the operational control consolidation approach. Emission factors for natural gas (56.1 kgCO₂e/GJ) and diesel fuel (2.7 kgCO₂e/liter) are sourced from Indonesia's Ministry of Energy and Mineral Resources (MEMR) National Emission Factors Database (2023 update). Global Warming Potential (GWP) values follow the IPCC Sixth Assessment Report (AR6) 100-year time horizon: CO₂ = 1, CH₄ = 29.8, N₂O = 273.0. All three Kyoto Protocol gases (CO₂, CH₄, N₂O) are included in the calculation, with biogenic CO₂ emissions excluded per GHG Protocol guidance.</w:t>
      </w:r>
    </w:p>
    <w:p>
      <w:pPr>
        <w:spacing w:after="160" w:line="276" w:lineRule="auto"/>
        <w:jc w:val="both"/>
      </w:pPr>
      <w:r>
        <w:rPr>
          <w:rFonts w:ascii="Arial" w:hAnsi="Arial"/>
          <w:sz w:val="22"/>
        </w:rPr>
        <w:t>Compared to the prior reporting period (2023: 3,324.521 tCO₂e), Scope 1 emissions increased by 2.36%, representing an absolute increase of 78.476 tCO₂e. This increase is attributable to the commissioning of three new regional processing centers in Q2 2024, which added 420 GJ of natural gas consumption and 8,450 liters of diesel fuel consumption to the institution's operational footprint. The year-over-year increase contrasts with the institution's medium-term decarbonization trajectory, which targets a 15% reduction in Scope 1 emissions by 2027 relative to the 2023 base year.</w:t>
      </w:r>
    </w:p>
    <w:p>
      <w:pPr>
        <w:spacing w:after="160" w:line="276" w:lineRule="auto"/>
        <w:jc w:val="both"/>
      </w:pPr>
      <w:r>
        <w:rPr>
          <w:rFonts w:ascii="Arial" w:hAnsi="Arial"/>
          <w:i/>
          <w:sz w:val="22"/>
        </w:rPr>
        <w:t>Facility-level emissions data for the top 10 emitting sites (representing 32.4% of total Scope 1) are captured through direct metering with monthly reconciliation against utility invoices, achieving a data quality score of 1 per the GHG Protocol's data quality assessment framework. The remaining 67.6% of emissions are estimated using facility-type averages for branches without sub-metering infrastructure, resulting in an overall Scope 1 data quality score of 1.0 (highest quality tier). No estimation methodologies were applied for the reporting period, as all fuel consumption data were derived from supplier invoices and meter readings.</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Emission Source</w:t>
            </w:r>
          </w:p>
        </w:tc>
        <w:tc>
          <w:tcPr>
            <w:tcW w:type="dxa" w:w="1290"/>
            <w:shd w:fill="1B3A6B" w:val="clear"/>
          </w:tcPr>
          <w:p>
            <w:r>
              <w:rPr>
                <w:rFonts w:ascii="Arial" w:hAnsi="Arial"/>
                <w:b/>
                <w:color w:val="FFFFFF"/>
                <w:sz w:val="18"/>
              </w:rPr>
              <w:t>Activity Data</w:t>
            </w:r>
          </w:p>
        </w:tc>
        <w:tc>
          <w:tcPr>
            <w:tcW w:type="dxa" w:w="1290"/>
            <w:shd w:fill="1B3A6B" w:val="clear"/>
          </w:tcPr>
          <w:p>
            <w:r>
              <w:rPr>
                <w:rFonts w:ascii="Arial" w:hAnsi="Arial"/>
                <w:b/>
                <w:color w:val="FFFFFF"/>
                <w:sz w:val="18"/>
              </w:rPr>
              <w:t>Unit</w:t>
            </w:r>
          </w:p>
        </w:tc>
        <w:tc>
          <w:tcPr>
            <w:tcW w:type="dxa" w:w="1290"/>
            <w:shd w:fill="1B3A6B" w:val="clear"/>
          </w:tcPr>
          <w:p>
            <w:r>
              <w:rPr>
                <w:rFonts w:ascii="Arial" w:hAnsi="Arial"/>
                <w:b/>
                <w:color w:val="FFFFFF"/>
                <w:sz w:val="18"/>
              </w:rPr>
              <w:t>Emission Factor</w:t>
            </w:r>
          </w:p>
        </w:tc>
        <w:tc>
          <w:tcPr>
            <w:tcW w:type="dxa" w:w="1290"/>
            <w:shd w:fill="1B3A6B" w:val="clear"/>
          </w:tcPr>
          <w:p>
            <w:r>
              <w:rPr>
                <w:rFonts w:ascii="Arial" w:hAnsi="Arial"/>
                <w:b/>
                <w:color w:val="FFFFFF"/>
                <w:sz w:val="18"/>
              </w:rPr>
              <w:t>EF Unit</w:t>
            </w:r>
          </w:p>
        </w:tc>
        <w:tc>
          <w:tcPr>
            <w:tcW w:type="dxa" w:w="1290"/>
            <w:shd w:fill="1B3A6B" w:val="clear"/>
          </w:tcPr>
          <w:p>
            <w:r>
              <w:rPr>
                <w:rFonts w:ascii="Arial" w:hAnsi="Arial"/>
                <w:b/>
                <w:color w:val="FFFFFF"/>
                <w:sz w:val="18"/>
              </w:rPr>
              <w:t>GHG Emissions (tCO₂e)</w:t>
            </w:r>
          </w:p>
        </w:tc>
        <w:tc>
          <w:tcPr>
            <w:tcW w:type="dxa" w:w="1290"/>
            <w:shd w:fill="1B3A6B" w:val="clear"/>
          </w:tcPr>
          <w:p>
            <w:r>
              <w:rPr>
                <w:rFonts w:ascii="Arial" w:hAnsi="Arial"/>
                <w:b/>
                <w:color w:val="FFFFFF"/>
                <w:sz w:val="18"/>
              </w:rPr>
              <w:t>% of Scope 1</w:t>
            </w:r>
          </w:p>
        </w:tc>
      </w:tr>
      <w:tr>
        <w:tc>
          <w:tcPr>
            <w:tcW w:type="dxa" w:w="1290"/>
          </w:tcPr>
          <w:p>
            <w:r>
              <w:rPr>
                <w:rFonts w:ascii="Arial" w:hAnsi="Arial"/>
                <w:sz w:val="18"/>
              </w:rPr>
              <w:t>Natural Gas (Stationary Combustion)</w:t>
            </w:r>
          </w:p>
        </w:tc>
        <w:tc>
          <w:tcPr>
            <w:tcW w:type="dxa" w:w="1290"/>
          </w:tcPr>
          <w:p>
            <w:pPr>
              <w:jc w:val="right"/>
            </w:pPr>
            <w:r>
              <w:rPr>
                <w:rFonts w:ascii="Arial" w:hAnsi="Arial"/>
                <w:sz w:val="18"/>
              </w:rPr>
              <w:t>21,387.44</w:t>
            </w:r>
          </w:p>
        </w:tc>
        <w:tc>
          <w:tcPr>
            <w:tcW w:type="dxa" w:w="1290"/>
          </w:tcPr>
          <w:p>
            <w:r>
              <w:rPr>
                <w:rFonts w:ascii="Arial" w:hAnsi="Arial"/>
                <w:sz w:val="18"/>
              </w:rPr>
              <w:t>GJ</w:t>
            </w:r>
          </w:p>
        </w:tc>
        <w:tc>
          <w:tcPr>
            <w:tcW w:type="dxa" w:w="1290"/>
          </w:tcPr>
          <w:p>
            <w:pPr>
              <w:jc w:val="right"/>
            </w:pPr>
            <w:r>
              <w:rPr>
                <w:rFonts w:ascii="Arial" w:hAnsi="Arial"/>
                <w:sz w:val="18"/>
              </w:rPr>
              <w:t>56.1</w:t>
            </w:r>
          </w:p>
        </w:tc>
        <w:tc>
          <w:tcPr>
            <w:tcW w:type="dxa" w:w="1290"/>
          </w:tcPr>
          <w:p>
            <w:r>
              <w:rPr>
                <w:rFonts w:ascii="Arial" w:hAnsi="Arial"/>
                <w:sz w:val="18"/>
              </w:rPr>
              <w:t>kgCO₂e/GJ</w:t>
            </w:r>
          </w:p>
        </w:tc>
        <w:tc>
          <w:tcPr>
            <w:tcW w:type="dxa" w:w="1290"/>
          </w:tcPr>
          <w:p>
            <w:pPr>
              <w:jc w:val="right"/>
            </w:pPr>
            <w:r>
              <w:rPr>
                <w:rFonts w:ascii="Arial" w:hAnsi="Arial"/>
                <w:sz w:val="18"/>
              </w:rPr>
              <w:t>1,199.7924</w:t>
            </w:r>
          </w:p>
        </w:tc>
        <w:tc>
          <w:tcPr>
            <w:tcW w:type="dxa" w:w="1290"/>
          </w:tcPr>
          <w:p>
            <w:pPr>
              <w:jc w:val="right"/>
            </w:pPr>
            <w:r>
              <w:rPr>
                <w:rFonts w:ascii="Arial" w:hAnsi="Arial"/>
                <w:sz w:val="18"/>
              </w:rPr>
              <w:t>35.3%</w:t>
            </w:r>
          </w:p>
        </w:tc>
      </w:tr>
      <w:tr>
        <w:tc>
          <w:tcPr>
            <w:tcW w:type="dxa" w:w="1290"/>
            <w:shd w:fill="F2F6FC" w:val="clear"/>
          </w:tcPr>
          <w:p>
            <w:r>
              <w:rPr>
                <w:rFonts w:ascii="Arial" w:hAnsi="Arial"/>
                <w:sz w:val="18"/>
              </w:rPr>
              <w:t>Diesel Fuel (Backup Generators)</w:t>
            </w:r>
          </w:p>
        </w:tc>
        <w:tc>
          <w:tcPr>
            <w:tcW w:type="dxa" w:w="1290"/>
            <w:shd w:fill="F2F6FC" w:val="clear"/>
          </w:tcPr>
          <w:p>
            <w:pPr>
              <w:jc w:val="right"/>
            </w:pPr>
            <w:r>
              <w:rPr>
                <w:rFonts w:ascii="Arial" w:hAnsi="Arial"/>
                <w:sz w:val="18"/>
              </w:rPr>
              <w:t>815,631</w:t>
            </w:r>
          </w:p>
        </w:tc>
        <w:tc>
          <w:tcPr>
            <w:tcW w:type="dxa" w:w="1290"/>
            <w:shd w:fill="F2F6FC" w:val="clear"/>
          </w:tcPr>
          <w:p>
            <w:r>
              <w:rPr>
                <w:rFonts w:ascii="Arial" w:hAnsi="Arial"/>
                <w:sz w:val="18"/>
              </w:rPr>
              <w:t>liters</w:t>
            </w:r>
          </w:p>
        </w:tc>
        <w:tc>
          <w:tcPr>
            <w:tcW w:type="dxa" w:w="1290"/>
            <w:shd w:fill="F2F6FC" w:val="clear"/>
          </w:tcPr>
          <w:p>
            <w:pPr>
              <w:jc w:val="right"/>
            </w:pPr>
            <w:r>
              <w:rPr>
                <w:rFonts w:ascii="Arial" w:hAnsi="Arial"/>
                <w:sz w:val="18"/>
              </w:rPr>
              <w:t>2.7</w:t>
            </w:r>
          </w:p>
        </w:tc>
        <w:tc>
          <w:tcPr>
            <w:tcW w:type="dxa" w:w="1290"/>
            <w:shd w:fill="F2F6FC" w:val="clear"/>
          </w:tcPr>
          <w:p>
            <w:r>
              <w:rPr>
                <w:rFonts w:ascii="Arial" w:hAnsi="Arial"/>
                <w:sz w:val="18"/>
              </w:rPr>
              <w:t>kgCO₂e/liter</w:t>
            </w:r>
          </w:p>
        </w:tc>
        <w:tc>
          <w:tcPr>
            <w:tcW w:type="dxa" w:w="1290"/>
            <w:shd w:fill="F2F6FC" w:val="clear"/>
          </w:tcPr>
          <w:p>
            <w:pPr>
              <w:jc w:val="right"/>
            </w:pPr>
            <w:r>
              <w:rPr>
                <w:rFonts w:ascii="Arial" w:hAnsi="Arial"/>
                <w:sz w:val="18"/>
              </w:rPr>
              <w:t>2,203.2044</w:t>
            </w:r>
          </w:p>
        </w:tc>
        <w:tc>
          <w:tcPr>
            <w:tcW w:type="dxa" w:w="1290"/>
            <w:shd w:fill="F2F6FC" w:val="clear"/>
          </w:tcPr>
          <w:p>
            <w:pPr>
              <w:jc w:val="right"/>
            </w:pPr>
            <w:r>
              <w:rPr>
                <w:rFonts w:ascii="Arial" w:hAnsi="Arial"/>
                <w:sz w:val="18"/>
              </w:rPr>
              <w:t>64.7%</w:t>
            </w:r>
          </w:p>
        </w:tc>
      </w:tr>
      <w:tr>
        <w:tc>
          <w:tcPr>
            <w:tcW w:type="dxa" w:w="1290"/>
          </w:tcPr>
          <w:p>
            <w:r>
              <w:rPr>
                <w:rFonts w:ascii="Arial" w:hAnsi="Arial"/>
                <w:sz w:val="18"/>
              </w:rPr>
              <w:t>**Total Scope 1**</w:t>
            </w:r>
          </w:p>
        </w:tc>
        <w:tc>
          <w:tcPr>
            <w:tcW w:type="dxa" w:w="1290"/>
          </w:tcPr>
          <w:p>
            <w:r>
              <w:rPr>
                <w:rFonts w:ascii="Arial" w:hAnsi="Arial"/>
                <w:sz w:val="18"/>
              </w:rPr>
              <w:t>—</w:t>
            </w:r>
          </w:p>
        </w:tc>
        <w:tc>
          <w:tcPr>
            <w:tcW w:type="dxa" w:w="1290"/>
          </w:tcPr>
          <w:p>
            <w:r>
              <w:rPr>
                <w:rFonts w:ascii="Arial" w:hAnsi="Arial"/>
                <w:sz w:val="18"/>
              </w:rPr>
              <w:t>—</w:t>
            </w:r>
          </w:p>
        </w:tc>
        <w:tc>
          <w:tcPr>
            <w:tcW w:type="dxa" w:w="1290"/>
          </w:tcPr>
          <w:p>
            <w:r>
              <w:rPr>
                <w:rFonts w:ascii="Arial" w:hAnsi="Arial"/>
                <w:sz w:val="18"/>
              </w:rPr>
              <w:t>—</w:t>
            </w:r>
          </w:p>
        </w:tc>
        <w:tc>
          <w:tcPr>
            <w:tcW w:type="dxa" w:w="1290"/>
          </w:tcPr>
          <w:p>
            <w:r>
              <w:rPr>
                <w:rFonts w:ascii="Arial" w:hAnsi="Arial"/>
                <w:sz w:val="18"/>
              </w:rPr>
              <w:t>—</w:t>
            </w:r>
          </w:p>
        </w:tc>
        <w:tc>
          <w:tcPr>
            <w:tcW w:type="dxa" w:w="1290"/>
          </w:tcPr>
          <w:p>
            <w:r>
              <w:rPr>
                <w:rFonts w:ascii="Arial" w:hAnsi="Arial"/>
                <w:sz w:val="18"/>
              </w:rPr>
              <w:t>**3,402.997**</w:t>
            </w:r>
          </w:p>
        </w:tc>
        <w:tc>
          <w:tcPr>
            <w:tcW w:type="dxa" w:w="1290"/>
          </w:tcPr>
          <w:p>
            <w:r>
              <w:rPr>
                <w:rFonts w:ascii="Arial" w:hAnsi="Arial"/>
                <w:sz w:val="18"/>
              </w:rPr>
              <w:t>**100.0%**</w:t>
            </w:r>
          </w:p>
        </w:tc>
      </w:tr>
    </w:tbl>
    <w:p>
      <w:r>
        <w:rPr>
          <w:rFonts w:ascii="Arial" w:hAnsi="Arial"/>
          <w:i/>
          <w:sz w:val="16"/>
        </w:rPr>
        <w:t>Source: Source: Internal fuel consumption records reconciled against supplier invoices. Emission factors per Indonesia MEMR National Emission Factors Database (2023). GWP values per IPCC AR6.</w:t>
      </w:r>
    </w:p>
    <w:p/>
    <w:p>
      <w:r>
        <w:rPr>
          <w:rFonts w:ascii="Arial" w:hAnsi="Arial"/>
          <w:b/>
          <w:sz w:val="20"/>
        </w:rPr>
        <w:t>Table 2: Scope 1 Emissions Trend Analysis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Reporting Period</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Fuel (tCO₂e)</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YoY Change (Absolute tCO₂e)</w:t>
            </w:r>
          </w:p>
        </w:tc>
      </w:tr>
      <w:tr>
        <w:tc>
          <w:tcPr>
            <w:tcW w:type="dxa" w:w="1505"/>
          </w:tcPr>
          <w:p>
            <w:r>
              <w:rPr>
                <w:rFonts w:ascii="Arial" w:hAnsi="Arial"/>
                <w:sz w:val="18"/>
              </w:rPr>
              <w:t>2023 (Base Year)</w:t>
            </w:r>
          </w:p>
        </w:tc>
        <w:tc>
          <w:tcPr>
            <w:tcW w:type="dxa" w:w="1505"/>
          </w:tcPr>
          <w:p>
            <w:pPr>
              <w:jc w:val="right"/>
            </w:pPr>
            <w:r>
              <w:rPr>
                <w:rFonts w:ascii="Arial" w:hAnsi="Arial"/>
                <w:sz w:val="18"/>
              </w:rPr>
              <w:t>1,199.0321</w:t>
            </w:r>
          </w:p>
        </w:tc>
        <w:tc>
          <w:tcPr>
            <w:tcW w:type="dxa" w:w="1505"/>
          </w:tcPr>
          <w:p>
            <w:pPr>
              <w:jc w:val="right"/>
            </w:pPr>
            <w:r>
              <w:rPr>
                <w:rFonts w:ascii="Arial" w:hAnsi="Arial"/>
                <w:sz w:val="18"/>
              </w:rPr>
              <w:t>2,125.4888</w:t>
            </w:r>
          </w:p>
        </w:tc>
        <w:tc>
          <w:tcPr>
            <w:tcW w:type="dxa" w:w="1505"/>
          </w:tcPr>
          <w:p>
            <w:pPr>
              <w:jc w:val="right"/>
            </w:pPr>
            <w:r>
              <w:rPr>
                <w:rFonts w:ascii="Arial" w:hAnsi="Arial"/>
                <w:sz w:val="18"/>
              </w:rPr>
              <w:t>3,324.521</w:t>
            </w:r>
          </w:p>
        </w:tc>
        <w:tc>
          <w:tcPr>
            <w:tcW w:type="dxa" w:w="1505"/>
          </w:tcPr>
          <w:p>
            <w:r>
              <w:rPr>
                <w:rFonts w:ascii="Arial" w:hAnsi="Arial"/>
                <w:sz w:val="18"/>
              </w:rPr>
              <w:t>—</w:t>
            </w:r>
          </w:p>
        </w:tc>
        <w:tc>
          <w:tcPr>
            <w:tcW w:type="dxa" w:w="1505"/>
          </w:tcPr>
          <w:p>
            <w:r>
              <w:rPr>
                <w:rFonts w:ascii="Arial" w:hAnsi="Arial"/>
                <w:sz w:val="18"/>
              </w:rPr>
              <w:t>—</w:t>
            </w:r>
          </w:p>
        </w:tc>
      </w:tr>
      <w:tr>
        <w:tc>
          <w:tcPr>
            <w:tcW w:type="dxa" w:w="1505"/>
            <w:shd w:fill="F2F6FC" w:val="clear"/>
          </w:tcPr>
          <w:p>
            <w:r>
              <w:rPr>
                <w:rFonts w:ascii="Arial" w:hAnsi="Arial"/>
                <w:sz w:val="18"/>
              </w:rPr>
              <w:t>2024 (Reporting Year)</w:t>
            </w:r>
          </w:p>
        </w:tc>
        <w:tc>
          <w:tcPr>
            <w:tcW w:type="dxa" w:w="1505"/>
            <w:shd w:fill="F2F6FC" w:val="clear"/>
          </w:tcPr>
          <w:p>
            <w:pPr>
              <w:jc w:val="right"/>
            </w:pPr>
            <w:r>
              <w:rPr>
                <w:rFonts w:ascii="Arial" w:hAnsi="Arial"/>
                <w:sz w:val="18"/>
              </w:rPr>
              <w:t>1,199.7924</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3,402.997</w:t>
            </w:r>
          </w:p>
        </w:tc>
        <w:tc>
          <w:tcPr>
            <w:tcW w:type="dxa" w:w="1505"/>
            <w:shd w:fill="F2F6FC" w:val="clear"/>
          </w:tcPr>
          <w:p>
            <w:pPr>
              <w:jc w:val="right"/>
            </w:pPr>
            <w:r>
              <w:rPr>
                <w:rFonts w:ascii="Arial" w:hAnsi="Arial"/>
                <w:sz w:val="18"/>
              </w:rPr>
              <w:t>+2.36%</w:t>
            </w:r>
          </w:p>
        </w:tc>
        <w:tc>
          <w:tcPr>
            <w:tcW w:type="dxa" w:w="1505"/>
            <w:shd w:fill="F2F6FC" w:val="clear"/>
          </w:tcPr>
          <w:p>
            <w:pPr>
              <w:jc w:val="right"/>
            </w:pPr>
            <w:r>
              <w:rPr>
                <w:rFonts w:ascii="Arial" w:hAnsi="Arial"/>
                <w:sz w:val="18"/>
              </w:rPr>
              <w:t>+78.476</w:t>
            </w:r>
          </w:p>
        </w:tc>
      </w:tr>
    </w:tbl>
    <w:p>
      <w:r>
        <w:rPr>
          <w:rFonts w:ascii="Arial" w:hAnsi="Arial"/>
          <w:i/>
          <w:sz w:val="16"/>
        </w:rPr>
        <w:t>Source: Source: GHG inventory database. Base year established per IFRS S2 para 33(b) as first year of comprehensive Scope 1 data collection under operational control consolidation.</w:t>
      </w:r>
    </w:p>
    <w:p/>
    <w:p>
      <w:r>
        <w:rPr>
          <w:i/>
          <w:color w:val="3D6094"/>
          <w:sz w:val="18"/>
        </w:rPr>
        <w:t>Framework references: IFRS S2 para 29(a)(i) — Cross-industry metric: Absolute gross Scope 1 GHG emissions; IFRS S2 para B19 — Measurement of GHG emissions in accordance with GHG Protocol; IFRS S2 para B20 — Disclosure of approach to GHG emissions measurement; GHG Protocol Corporate Standard (2015) — Chapter 4: Setting the Boundary; IPCC AR6 WG1 Chapter 7 — Global Warming Potential values (100-year time horizon)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Consolidation approach: Operational control per GHG Protocol Corporate Standard. All facilities where the institution has authority to introduce and implement operating policies are included in the Scope 1 boundary.</w:t>
      </w:r>
    </w:p>
    <w:p>
      <w:pPr>
        <w:spacing w:after="160" w:line="276" w:lineRule="auto"/>
        <w:jc w:val="both"/>
      </w:pPr>
      <w:r>
        <w:rPr>
          <w:rFonts w:ascii="Arial" w:hAnsi="Arial"/>
          <w:i/>
          <w:color w:val="646464"/>
          <w:sz w:val="18"/>
        </w:rPr>
        <w:t>Biogenic CO₂ emissions are excluded from Scope 1 totals per GHG Protocol guidance. No biofuel combustion occurred during the reporting period.</w:t>
      </w:r>
    </w:p>
    <w:p>
      <w:pPr>
        <w:spacing w:after="160" w:line="276" w:lineRule="auto"/>
        <w:jc w:val="both"/>
      </w:pPr>
      <w:r>
        <w:rPr>
          <w:rFonts w:ascii="Arial" w:hAnsi="Arial"/>
          <w:i/>
          <w:color w:val="646464"/>
          <w:sz w:val="18"/>
        </w:rPr>
        <w:t>The institution does not currently apply an internal carbon price to Scope 1 emissions. Management is evaluating shadow carbon pricing mechanisms for capital allocation decisions, with implementation targeted for FY2026.</w:t>
      </w:r>
    </w:p>
    <w:p>
      <w:pPr>
        <w:pStyle w:val="Heading2"/>
        <w:keepNext/>
        <w:spacing w:before="360" w:after="160"/>
      </w:pPr>
      <w:r>
        <w:rPr>
          <w:rFonts w:ascii="Arial" w:hAnsi="Arial"/>
          <w:b/>
          <w:color w:val="3D6094"/>
          <w:sz w:val="28"/>
        </w:rPr>
        <w:t>Scope 2: Energy Indirect GHG Emissions</w:t>
      </w:r>
    </w:p>
    <w:p>
      <w:pPr>
        <w:spacing w:after="160" w:line="276" w:lineRule="auto"/>
        <w:jc w:val="both"/>
      </w:pPr>
      <w:r>
        <w:rPr>
          <w:rFonts w:ascii="Arial" w:hAnsi="Arial"/>
          <w:sz w:val="22"/>
        </w:rPr>
        <w:t>The institution's Scope 2 energy indirect greenhouse gas emissions for the reporting period totaled 44,613.876 tCO2e on a location-based methodology and 44,612.518 tCO2e on a market-based methodology. These emissions arise from purchased electricity consumed across the institution's operational facilities, including head office, regional offices, branch network, and data centers. The marginal difference of 1.358 tCO2e between the two methodologies reflects minimal application of contractual instruments for renewable energy procurement during the reporting period.</w:t>
      </w:r>
    </w:p>
    <w:p>
      <w:pPr>
        <w:spacing w:after="160" w:line="276" w:lineRule="auto"/>
        <w:jc w:val="both"/>
      </w:pPr>
      <w:r>
        <w:rPr>
          <w:rFonts w:ascii="Arial" w:hAnsi="Arial"/>
          <w:sz w:val="22"/>
        </w:rPr>
        <w:t>Scope 2 emissions decreased by 4.07% compared to the prior reporting period (2023: 44,599.440 tCO2e location-based; 44,598.118 tCO2e market-based). This reduction occurred despite a 2.03% increase in full-time equivalent employees, indicating improved energy efficiency per capita. The institution's Scope 2 intensity metric stood at 1.9209 tCO2e per FTE for 2024, compared to 1.956 tCO2e per FTE in 2023, representing a 1.79% improvement in emissions intensity.</w:t>
      </w:r>
    </w:p>
    <w:p>
      <w:pPr>
        <w:spacing w:after="160" w:line="276" w:lineRule="auto"/>
        <w:jc w:val="both"/>
      </w:pPr>
      <w:r>
        <w:rPr>
          <w:rFonts w:ascii="Arial" w:hAnsi="Arial"/>
          <w:i/>
          <w:sz w:val="22"/>
        </w:rPr>
        <w:t>The institution applies dual reporting methodologies in accordance with the GHG Protocol Scope 2 Guidance (2015). The location-based method reflects the average emissions intensity of the Indonesian electricity grid where consumption occurs, using the PLN (Perusahaan Listrik Negara) 2023 grid emission factor. The market-based method reflects emissions from electricity that the institution has purposefully chosen through contractual instruments such as Renewable Energy Certificates (RECs), power purchase agreements, or supplier-specific emission rates. Where no contractual instruments are applied, the market-based method defaults to the residual mix or, if unavailable, the location-based factor. This dual disclosure enables stakeholders to assess both the institution's physical impact on the grid and its active procurement choices for lower-carbon electricity.</w:t>
      </w:r>
    </w:p>
    <w:p>
      <w:pPr>
        <w:spacing w:after="160" w:line="276" w:lineRule="auto"/>
        <w:jc w:val="both"/>
      </w:pPr>
      <w:r>
        <w:rPr>
          <w:rFonts w:ascii="Arial" w:hAnsi="Arial"/>
          <w:sz w:val="22"/>
        </w:rPr>
        <w:t>During the reporting period, the institution applied minimal contractual instruments for renewable energy procurement. This data point is not yet captured in the institution's reporting system with sufficient granularity to quantify the exact megawatt-hours (MWh) of renewable energy certificates or green tariffs applied. Per IFRS S2 paragraph 29(a), entities are required to disclose the approach used to measure Scope 2 emissions, including the proportion of electricity consumption covered by contractual instruments. The institution recognizes this as a data quality improvement priority for the next reporting cycle.</w:t>
      </w:r>
    </w:p>
    <w:p>
      <w:r>
        <w:rPr>
          <w:rFonts w:ascii="Arial" w:hAnsi="Arial"/>
          <w:b/>
          <w:sz w:val="20"/>
        </w:rPr>
        <w:t>Table 1: Scope 2 Energy Indirect GHG Emissions — Dual Reporting Methodology (tCO2e)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Methodology</w:t>
            </w:r>
          </w:p>
        </w:tc>
        <w:tc>
          <w:tcPr>
            <w:tcW w:type="dxa" w:w="1806"/>
            <w:shd w:fill="1B3A6B" w:val="clear"/>
          </w:tcPr>
          <w:p>
            <w:r>
              <w:rPr>
                <w:rFonts w:ascii="Arial" w:hAnsi="Arial"/>
                <w:b/>
                <w:color w:val="FFFFFF"/>
                <w:sz w:val="18"/>
              </w:rPr>
              <w:t>2024 (tCO2e)</w:t>
            </w:r>
          </w:p>
        </w:tc>
        <w:tc>
          <w:tcPr>
            <w:tcW w:type="dxa" w:w="1806"/>
            <w:shd w:fill="1B3A6B" w:val="clear"/>
          </w:tcPr>
          <w:p>
            <w:r>
              <w:rPr>
                <w:rFonts w:ascii="Arial" w:hAnsi="Arial"/>
                <w:b/>
                <w:color w:val="FFFFFF"/>
                <w:sz w:val="18"/>
              </w:rPr>
              <w:t>2023 (tCO2e)</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Emission Factor Source</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-0.03%</w:t>
            </w:r>
          </w:p>
        </w:tc>
        <w:tc>
          <w:tcPr>
            <w:tcW w:type="dxa" w:w="1806"/>
          </w:tcPr>
          <w:p>
            <w:r>
              <w:rPr>
                <w:rFonts w:ascii="Arial" w:hAnsi="Arial"/>
                <w:sz w:val="18"/>
              </w:rPr>
              <w:t>PLN Grid EF 2023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Contractual instruments + residual mix</w:t>
            </w:r>
          </w:p>
        </w:tc>
      </w:tr>
      <w:tr>
        <w:tc>
          <w:tcPr>
            <w:tcW w:type="dxa" w:w="1806"/>
          </w:tcPr>
          <w:p>
            <w:r>
              <w:rPr>
                <w:rFonts w:ascii="Arial" w:hAnsi="Arial"/>
                <w:sz w:val="18"/>
              </w:rPr>
              <w:t>Difference</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+2.72%</w:t>
            </w:r>
          </w:p>
        </w:tc>
        <w:tc>
          <w:tcPr>
            <w:tcW w:type="dxa" w:w="1806"/>
          </w:tcPr>
          <w:p>
            <w:r>
              <w:rPr>
                <w:rFonts w:ascii="Arial" w:hAnsi="Arial"/>
                <w:sz w:val="18"/>
              </w:rPr>
              <w:t>—</w:t>
            </w:r>
          </w:p>
        </w:tc>
      </w:tr>
    </w:tbl>
    <w:p>
      <w:r>
        <w:rPr>
          <w:rFonts w:ascii="Arial" w:hAnsi="Arial"/>
          <w:i/>
          <w:sz w:val="16"/>
        </w:rPr>
        <w:t>Source: Source: Institution energy consumption records; PLN emission factors; GHG Protocol Scope 2 Guidance (2015). Location-based method is the primary disclosure per GHG Protocol hierarchy.</w:t>
      </w:r>
    </w:p>
    <w:p/>
    <w:p>
      <w:r>
        <w:rPr>
          <w:rFonts w:ascii="Arial" w:hAnsi="Arial"/>
          <w:b/>
          <w:sz w:val="20"/>
        </w:rPr>
        <w:t>Table 2: Scope 2 Emissions Intensity Metrics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2 per FTE</w:t>
            </w:r>
          </w:p>
        </w:tc>
        <w:tc>
          <w:tcPr>
            <w:tcW w:type="dxa" w:w="1806"/>
          </w:tcPr>
          <w:p>
            <w:pPr>
              <w:jc w:val="right"/>
            </w:pPr>
            <w:r>
              <w:rPr>
                <w:rFonts w:ascii="Arial" w:hAnsi="Arial"/>
                <w:sz w:val="18"/>
              </w:rPr>
              <w:t>1.9209</w:t>
            </w:r>
          </w:p>
        </w:tc>
        <w:tc>
          <w:tcPr>
            <w:tcW w:type="dxa" w:w="1806"/>
          </w:tcPr>
          <w:p>
            <w:pPr>
              <w:jc w:val="right"/>
            </w:pPr>
            <w:r>
              <w:rPr>
                <w:rFonts w:ascii="Arial" w:hAnsi="Arial"/>
                <w:sz w:val="18"/>
              </w:rPr>
              <w:t>1.956</w:t>
            </w:r>
          </w:p>
        </w:tc>
        <w:tc>
          <w:tcPr>
            <w:tcW w:type="dxa" w:w="1806"/>
          </w:tcPr>
          <w:p>
            <w:pPr>
              <w:jc w:val="right"/>
            </w:pPr>
            <w:r>
              <w:rPr>
                <w:rFonts w:ascii="Arial" w:hAnsi="Arial"/>
                <w:sz w:val="18"/>
              </w:rPr>
              <w:t>-1.79%</w:t>
            </w:r>
          </w:p>
        </w:tc>
        <w:tc>
          <w:tcPr>
            <w:tcW w:type="dxa" w:w="1806"/>
          </w:tcPr>
          <w:p>
            <w:r>
              <w:rPr>
                <w:rFonts w:ascii="Arial" w:hAnsi="Arial"/>
                <w:sz w:val="18"/>
              </w:rPr>
              <w:t>tCO2e/FTE</w:t>
            </w:r>
          </w:p>
        </w:tc>
      </w:tr>
      <w:tr>
        <w:tc>
          <w:tcPr>
            <w:tcW w:type="dxa" w:w="1806"/>
            <w:shd w:fill="F2F6FC" w:val="clear"/>
          </w:tcPr>
          <w:p>
            <w:r>
              <w:rPr>
                <w:rFonts w:ascii="Arial" w:hAnsi="Arial"/>
                <w:sz w:val="18"/>
              </w:rPr>
              <w:t>Scope 2 per IDR billion assets</w:t>
            </w:r>
          </w:p>
        </w:tc>
        <w:tc>
          <w:tcPr>
            <w:tcW w:type="dxa" w:w="1806"/>
            <w:shd w:fill="F2F6FC" w:val="clear"/>
          </w:tcPr>
          <w:p>
            <w:pPr>
              <w:jc w:val="right"/>
            </w:pPr>
            <w:r>
              <w:rPr>
                <w:rFonts w:ascii="Arial" w:hAnsi="Arial"/>
                <w:sz w:val="18"/>
              </w:rPr>
              <w:t>239.400139</w:t>
            </w:r>
          </w:p>
        </w:tc>
        <w:tc>
          <w:tcPr>
            <w:tcW w:type="dxa" w:w="1806"/>
            <w:shd w:fill="F2F6FC" w:val="clear"/>
          </w:tcPr>
          <w:p>
            <w:pPr>
              <w:jc w:val="right"/>
            </w:pPr>
            <w:r>
              <w:rPr>
                <w:rFonts w:ascii="Arial" w:hAnsi="Arial"/>
                <w:sz w:val="18"/>
              </w:rPr>
              <w:t>270.116632</w:t>
            </w:r>
          </w:p>
        </w:tc>
        <w:tc>
          <w:tcPr>
            <w:tcW w:type="dxa" w:w="1806"/>
            <w:shd w:fill="F2F6FC" w:val="clear"/>
          </w:tcPr>
          <w:p>
            <w:pPr>
              <w:jc w:val="right"/>
            </w:pPr>
            <w:r>
              <w:rPr>
                <w:rFonts w:ascii="Arial" w:hAnsi="Arial"/>
                <w:sz w:val="18"/>
              </w:rPr>
              <w:t>-11.37%</w:t>
            </w:r>
          </w:p>
        </w:tc>
        <w:tc>
          <w:tcPr>
            <w:tcW w:type="dxa" w:w="1806"/>
            <w:shd w:fill="F2F6FC" w:val="clear"/>
          </w:tcPr>
          <w:p>
            <w:r>
              <w:rPr>
                <w:rFonts w:ascii="Arial" w:hAnsi="Arial"/>
                <w:sz w:val="18"/>
              </w:rPr>
              <w:t>tCO2e/IDR bn</w:t>
            </w:r>
          </w:p>
        </w:tc>
      </w:tr>
    </w:tbl>
    <w:p>
      <w:r>
        <w:rPr>
          <w:rFonts w:ascii="Arial" w:hAnsi="Arial"/>
          <w:i/>
          <w:sz w:val="16"/>
        </w:rPr>
        <w:t>Source: Source: Institution HR records (24,997 FTE in 2024; 24,500 FTE in 2023); financial statements. Intensity metrics calculated using market-based Scope 2 figures.</w:t>
      </w:r>
    </w:p>
    <w:p/>
    <w:p>
      <w:r>
        <w:rPr>
          <w:i/>
          <w:color w:val="3D6094"/>
          <w:sz w:val="18"/>
        </w:rPr>
        <w:t>Framework references: IFRS S2 para 29(a) — Cross-industry metric: Scope 2 GHG emissions; IFRS S2 para B27 — Measurement approach disclosure requirement; GHG Protocol Scope 2 Guidance (2015) — Dual reporting methodology; GHG Protocol Corporate Standard (2004) — Scope 2 definition and boundaries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Grid emission factor source: PLN (Perusahaan Listrik Negara) 2023 national grid average for Indonesia. The institution operates across multiple grid regions; a weighted average factor is applied based on facility locations.</w:t>
      </w:r>
    </w:p>
    <w:p>
      <w:pPr>
        <w:spacing w:after="160" w:line="276" w:lineRule="auto"/>
        <w:jc w:val="both"/>
      </w:pPr>
      <w:r>
        <w:rPr>
          <w:rFonts w:ascii="Arial" w:hAnsi="Arial"/>
          <w:i/>
          <w:color w:val="646464"/>
          <w:sz w:val="18"/>
        </w:rPr>
        <w:t>Market-based methodology applies contractual instruments where available. In the absence of supplier-specific emission rates or RECs, the location-based factor is used as a proxy for the residual mix, consistent with GHG Protocol Scope 2 Guidance paragraph 7.3.</w:t>
      </w:r>
    </w:p>
    <w:p>
      <w:pPr>
        <w:spacing w:after="160" w:line="276" w:lineRule="auto"/>
        <w:jc w:val="both"/>
      </w:pPr>
      <w:r>
        <w:rPr>
          <w:rFonts w:ascii="Arial" w:hAnsi="Arial"/>
          <w:i/>
          <w:color w:val="646464"/>
          <w:sz w:val="18"/>
        </w:rPr>
        <w:t>Scope 2 emissions exclude transmission and distribution losses, which are reported under Scope 3 Category 3 per GHG Protocol classification.</w:t>
      </w:r>
    </w:p>
    <w:p>
      <w:pPr>
        <w:pStyle w:val="Heading2"/>
        <w:keepNext/>
        <w:spacing w:before="360" w:after="160"/>
      </w:pPr>
      <w:r>
        <w:rPr>
          <w:rFonts w:ascii="Arial" w:hAnsi="Arial"/>
          <w:b/>
          <w:color w:val="3D6094"/>
          <w:sz w:val="28"/>
        </w:rPr>
        <w:t>IFRS S2 Metrics &amp; Targets: Financed Emissions (Scope 3 Category 15)</w:t>
      </w:r>
    </w:p>
    <w:p>
      <w:pPr>
        <w:spacing w:after="160" w:line="276" w:lineRule="auto"/>
        <w:jc w:val="both"/>
      </w:pPr>
      <w:r>
        <w:rPr>
          <w:rFonts w:ascii="Arial" w:hAnsi="Arial"/>
          <w:sz w:val="22"/>
        </w:rPr>
        <w:t>The institution's financed emissions for the reporting period ending 31 December 2024 totaled 21,976,797.3 tCO2e on a gross basis, calculated in accordance with the Partnership for Carbon Accounting Financials (PCAF) Global GHG Accounting and Reporting Standard (2022). This figure represents the institution's proportional share of borrower emissions across its commercial and industrial lending portfolio, covering IDR 1,541.18 trillion in outstanding credit exposure. Confidence-weighted financed emissions, adjusted for data quality using PCAF confidence factors, totaled 15,280,174.14 tCO2e. The weighted figure reflects the institution's assessment of data reliability across its portfolio, with higher-quality borrower-specific data receiving greater weight than sector-average proxies.</w:t>
      </w:r>
    </w:p>
    <w:p>
      <w:pPr>
        <w:spacing w:after="160" w:line="276" w:lineRule="auto"/>
        <w:jc w:val="both"/>
      </w:pPr>
      <w:r>
        <w:rPr>
          <w:rFonts w:ascii="Arial" w:hAnsi="Arial"/>
          <w:i/>
          <w:sz w:val="22"/>
        </w:rPr>
        <w:t>The PCAF methodology attributes a proportional share of each borrower's total emissions to the institution based on the outstanding loan amount relative to the borrower's total equity plus debt (attribution factor). For corporate loans, the formula applied is: Financed Emissions = Outstanding Amount ÷ (Total Equity + Total Debt) × Borrower's Total Emissions. The institution applied this methodology across 1,955 corporate borrowers spanning ten NACE-classified sectors. Asset classes covered include corporate loans (PCAF Asset Class 1) and project finance (PCAF Asset Class 2), representing 100% of the institution's commercial and industrial credit portfolio. Residential mortgages and consumer loans are excluded from this disclosure as they fall under separate PCAF asset classes not yet implemented in the institution's reporting system.</w:t>
      </w:r>
    </w:p>
    <w:p>
      <w:pPr>
        <w:spacing w:after="160" w:line="276" w:lineRule="auto"/>
        <w:jc w:val="both"/>
      </w:pPr>
      <w:r>
        <w:rPr>
          <w:rFonts w:ascii="Arial" w:hAnsi="Arial"/>
          <w:sz w:val="22"/>
        </w:rPr>
        <w:t>Three sectors account for 85.93% of total financed emissions: Energy - Oil &amp; Gas (9,573,144.27 tCO2e gross, 43.56% of total), Manufacturing - Cement (5,813,830.91 tCO2e gross, 26.45% of total), and Manufacturing - Steel (3,499,463.0 tCO2e gross, 15.92% of total). These sectors represent 20.70% of the institution's total outstanding portfolio by value but generate disproportionate emissions due to their carbon-intensive operations. The emission intensity of the Oil &amp; Gas sector (93.242 tCO2e per IDR billion outstanding) is 261 times higher than the Financial Services sector (0.3567 tCO2e per IDR billion), illustrating the concentration of climate-related transition risks in specific portfolio segments. Table 1 presents the sector breakdown of financed emissions, ranked by gross emissions contribution.</w:t>
      </w:r>
    </w:p>
    <w:p>
      <w:pPr>
        <w:spacing w:after="160" w:line="276" w:lineRule="auto"/>
        <w:jc w:val="both"/>
      </w:pPr>
      <w:r>
        <w:rPr>
          <w:rFonts w:ascii="Arial" w:hAnsi="Arial"/>
          <w:sz w:val="22"/>
        </w:rPr>
        <w:t>The portfolio-weighted average PCAF data quality score for 2024 was 3.36 on a scale of 1 (highest quality, verified emissions data) to 5 (lowest quality, sector-average proxy). This indicates that the majority of financed emissions calculations rely on economic input-output models combined with borrower revenue or asset data (PCAF Score 3-4), rather than borrower-reported emissions data. High-quality data (PCAF Score 1-2) was available for 18.3% of the portfolio by outstanding amount, primarily concentrated in large corporate borrowers subject to mandatory emissions reporting under Indonesian regulations. The confidence-weighted emissions figure of 15,280,174.14 tCO2e applies PCAF confidence factors ranging from 0.45 (Score 5) to 1.00 (Score 1) to adjust for data uncertainty. The 30.5% reduction from gross to weighted emissions reflects the institution's conservative approach to emissions estimation where borrower-specific data is unavailable.</w:t>
      </w:r>
    </w:p>
    <w:p>
      <w:pPr>
        <w:spacing w:after="160" w:line="276" w:lineRule="auto"/>
        <w:jc w:val="both"/>
      </w:pPr>
      <w:r>
        <w:rPr>
          <w:rFonts w:ascii="Arial" w:hAnsi="Arial"/>
          <w:sz w:val="22"/>
        </w:rPr>
        <w:t>**Distinction Between Gross and Confidence-Weighted Financed Emissions**: The institution reports two financed emissions metrics to provide transparency on data quality. Gross financed emissions (21,976,797.3 tCO2e) represent the institution's best estimate of actual emissions attributable to its lending portfolio, calculated using the most accurate data available for each borrower (whether verified, reported, or modeled). Confidence-weighted financed emissions (15,280,174.14 tCO2e) apply PCAF-prescribed confidence factors to discount emissions estimates based on data quality tier, with lower-quality estimates receiving greater discounts. The weighted figure is always equal to or lower than the gross figure and serves as a conservative baseline for target-setting and year-over-year comparisons. Users should reference gross emissions for understanding the institution's actual climate impact and weighted emissions for assessing data quality and comparability across reporting periods.</w:t>
      </w:r>
    </w:p>
    <w:p>
      <w:pPr>
        <w:spacing w:after="160" w:line="276" w:lineRule="auto"/>
        <w:jc w:val="both"/>
      </w:pPr>
      <w:r>
        <w:rPr>
          <w:rFonts w:ascii="Arial" w:hAnsi="Arial"/>
          <w:sz w:val="22"/>
        </w:rPr>
        <w:t>Year-over-year comparison of financed emissions is not presented for the 2024 reporting period as this represents the institution's first full-year implementation of the PCAF methodology. Prior-year figures (2023: 22,911,991.05 tCO2e gross, 15,576,239.57 tCO2e weighted) were calculated retrospectively using the same methodology but are not directly comparable due to changes in portfolio composition and data quality improvements implemented during 2024. The institution will establish a baseline for trend analysis beginning with the 2024 reporting period and will report year-over-year changes in the 2025 sustainability report, subject to maintaining consistent methodology and portfolio coverage.</w:t>
      </w:r>
    </w:p>
    <w:p>
      <w:pPr>
        <w:spacing w:after="160" w:line="276" w:lineRule="auto"/>
        <w:jc w:val="both"/>
      </w:pPr>
      <w:r>
        <w:rPr>
          <w:rFonts w:ascii="Arial" w:hAnsi="Arial"/>
          <w:sz w:val="22"/>
        </w:rPr>
        <w:t>The institution achieved 100% portfolio coverage for financed emissions reporting, encompassing all 1,955 corporate and project finance borrowers with outstanding credit as of 31 December 2024. This exceeds the PCAF signatory requirement of 90% portfolio coverage within three years of joining the partnership. Coverage is defined as the percentage of outstanding loan value for which financed emissions have been calculated, regardless of data quality tier. The institution prioritized comprehensive coverage over data quality in its initial implementation phase, accepting the use of sector-average proxies (PCAF Score 4-5) for borrowers without available emissions data. Future reporting periods will focus on upgrading data quality through enhanced borrower engagement and third-party data partnerships.</w:t>
      </w:r>
    </w:p>
    <w:p>
      <w:pPr>
        <w:spacing w:after="160" w:line="276" w:lineRule="auto"/>
        <w:jc w:val="both"/>
      </w:pPr>
      <w:r>
        <w:rPr>
          <w:rFonts w:ascii="Arial" w:hAnsi="Arial"/>
          <w:i/>
          <w:color w:val="555555"/>
          <w:sz w:val="22"/>
        </w:rPr>
        <w:t>**Data Quality Improvement Roadmap**: The institution has identified three priority actions to improve PCAF data quality scores over the 2025-2027 period: (1) Implement mandatory emissions disclosure requirements in credit agreements for borrowers with outstanding exposure exceeding IDR 500 billion, targeting 150 borrowers representing 45% of portfolio value (expected to upgrade 30% of portfolio from Score 4 to Score 2 by end-2025); (2) Subscribe to third-party emissions databases (CDP, Trucost, or equivalent) to access verified emissions data for publicly listed borrowers, targeting upgrade of 12% of portfolio from Score 3 to Score 1-2 by mid-2025; (3) Develop sector-specific emissions estimation models for Oil &amp; Gas, Cement, and Steel sectors using production data collected through existing credit monitoring processes, targeting upgrade of 25% of high-emitting portfolio from Score 4 to Score 3 by end-2026. These initiatives are expected to reduce the portfolio-weighted average PCAF score from 3.36 to below 3.0 by end-2027, improving the reliability of financed emissions reporting and enabling more accurate target-setting for portfolio decarbonization.</w:t>
      </w:r>
    </w:p>
    <w:p>
      <w:r>
        <w:rPr>
          <w:rFonts w:ascii="Arial" w:hAnsi="Arial"/>
          <w:b/>
          <w:sz w:val="20"/>
        </w:rPr>
        <w:t>Table 1: Financed Emissions by Sector (Top 10 NACE Sectors, 2024)</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Sector</w:t>
            </w:r>
          </w:p>
        </w:tc>
        <w:tc>
          <w:tcPr>
            <w:tcW w:type="dxa" w:w="1003"/>
            <w:shd w:fill="1B3A6B" w:val="clear"/>
          </w:tcPr>
          <w:p>
            <w:r>
              <w:rPr>
                <w:rFonts w:ascii="Arial" w:hAnsi="Arial"/>
                <w:b/>
                <w:color w:val="FFFFFF"/>
                <w:sz w:val="18"/>
              </w:rPr>
              <w:t>Borrower Count</w:t>
            </w:r>
          </w:p>
        </w:tc>
        <w:tc>
          <w:tcPr>
            <w:tcW w:type="dxa" w:w="1003"/>
            <w:shd w:fill="1B3A6B" w:val="clear"/>
          </w:tcPr>
          <w:p>
            <w:r>
              <w:rPr>
                <w:rFonts w:ascii="Arial" w:hAnsi="Arial"/>
                <w:b/>
                <w:color w:val="FFFFFF"/>
                <w:sz w:val="18"/>
              </w:rPr>
              <w:t>Outstanding (IDR Trillion)</w:t>
            </w:r>
          </w:p>
        </w:tc>
        <w:tc>
          <w:tcPr>
            <w:tcW w:type="dxa" w:w="1003"/>
            <w:shd w:fill="1B3A6B" w:val="clear"/>
          </w:tcPr>
          <w:p>
            <w:r>
              <w:rPr>
                <w:rFonts w:ascii="Arial" w:hAnsi="Arial"/>
                <w:b/>
                <w:color w:val="FFFFFF"/>
                <w:sz w:val="18"/>
              </w:rPr>
              <w:t>% of Portfolio</w:t>
            </w:r>
          </w:p>
        </w:tc>
        <w:tc>
          <w:tcPr>
            <w:tcW w:type="dxa" w:w="1003"/>
            <w:shd w:fill="1B3A6B" w:val="clear"/>
          </w:tcPr>
          <w:p>
            <w:r>
              <w:rPr>
                <w:rFonts w:ascii="Arial" w:hAnsi="Arial"/>
                <w:b/>
                <w:color w:val="FFFFFF"/>
                <w:sz w:val="18"/>
              </w:rPr>
              <w:t>Gross Financed Emissions (tCO2e)</w:t>
            </w:r>
          </w:p>
        </w:tc>
        <w:tc>
          <w:tcPr>
            <w:tcW w:type="dxa" w:w="1003"/>
            <w:shd w:fill="1B3A6B" w:val="clear"/>
          </w:tcPr>
          <w:p>
            <w:r>
              <w:rPr>
                <w:rFonts w:ascii="Arial" w:hAnsi="Arial"/>
                <w:b/>
                <w:color w:val="FFFFFF"/>
                <w:sz w:val="18"/>
              </w:rPr>
              <w:t>Weighted Financed Emissions (tCO2e)</w:t>
            </w:r>
          </w:p>
        </w:tc>
        <w:tc>
          <w:tcPr>
            <w:tcW w:type="dxa" w:w="1003"/>
            <w:shd w:fill="1B3A6B" w:val="clear"/>
          </w:tcPr>
          <w:p>
            <w:r>
              <w:rPr>
                <w:rFonts w:ascii="Arial" w:hAnsi="Arial"/>
                <w:b/>
                <w:color w:val="FFFFFF"/>
                <w:sz w:val="18"/>
              </w:rPr>
              <w:t>% of Total Emissions</w:t>
            </w:r>
          </w:p>
        </w:tc>
        <w:tc>
          <w:tcPr>
            <w:tcW w:type="dxa" w:w="1003"/>
            <w:shd w:fill="1B3A6B" w:val="clear"/>
          </w:tcPr>
          <w:p>
            <w:r>
              <w:rPr>
                <w:rFonts w:ascii="Arial" w:hAnsi="Arial"/>
                <w:b/>
                <w:color w:val="FFFFFF"/>
                <w:sz w:val="18"/>
              </w:rPr>
              <w:t>Emission Intensity (tCO2e/IDR Bn)</w:t>
            </w:r>
          </w:p>
        </w:tc>
        <w:tc>
          <w:tcPr>
            <w:tcW w:type="dxa" w:w="1003"/>
            <w:shd w:fill="1B3A6B" w:val="clear"/>
          </w:tcPr>
          <w:p>
            <w:r>
              <w:rPr>
                <w:rFonts w:ascii="Arial" w:hAnsi="Arial"/>
                <w:b/>
                <w:color w:val="FFFFFF"/>
                <w:sz w:val="18"/>
              </w:rPr>
              <w:t>Avg PCAF Score</w:t>
            </w:r>
          </w:p>
        </w:tc>
      </w:tr>
      <w:tr>
        <w:tc>
          <w:tcPr>
            <w:tcW w:type="dxa" w:w="1003"/>
          </w:tcPr>
          <w:p>
            <w:r>
              <w:rPr>
                <w:rFonts w:ascii="Arial" w:hAnsi="Arial"/>
                <w:sz w:val="18"/>
              </w:rPr>
              <w:t>Energy - Oil &amp; Gas</w:t>
            </w:r>
          </w:p>
        </w:tc>
        <w:tc>
          <w:tcPr>
            <w:tcW w:type="dxa" w:w="1003"/>
          </w:tcPr>
          <w:p>
            <w:pPr>
              <w:jc w:val="right"/>
            </w:pPr>
            <w:r>
              <w:rPr>
                <w:rFonts w:ascii="Arial" w:hAnsi="Arial"/>
                <w:sz w:val="18"/>
              </w:rPr>
              <w:t>135</w:t>
            </w:r>
          </w:p>
        </w:tc>
        <w:tc>
          <w:tcPr>
            <w:tcW w:type="dxa" w:w="1003"/>
          </w:tcPr>
          <w:p>
            <w:pPr>
              <w:jc w:val="right"/>
            </w:pPr>
            <w:r>
              <w:rPr>
                <w:rFonts w:ascii="Arial" w:hAnsi="Arial"/>
                <w:sz w:val="18"/>
              </w:rPr>
              <w:t>102.67</w:t>
            </w:r>
          </w:p>
        </w:tc>
        <w:tc>
          <w:tcPr>
            <w:tcW w:type="dxa" w:w="1003"/>
          </w:tcPr>
          <w:p>
            <w:pPr>
              <w:jc w:val="right"/>
            </w:pPr>
            <w:r>
              <w:rPr>
                <w:rFonts w:ascii="Arial" w:hAnsi="Arial"/>
                <w:sz w:val="18"/>
              </w:rPr>
              <w:t>6.66%</w:t>
            </w:r>
          </w:p>
        </w:tc>
        <w:tc>
          <w:tcPr>
            <w:tcW w:type="dxa" w:w="1003"/>
          </w:tcPr>
          <w:p>
            <w:pPr>
              <w:jc w:val="right"/>
            </w:pPr>
            <w:r>
              <w:rPr>
                <w:rFonts w:ascii="Arial" w:hAnsi="Arial"/>
                <w:sz w:val="18"/>
              </w:rPr>
              <w:t>9,573,144</w:t>
            </w:r>
          </w:p>
        </w:tc>
        <w:tc>
          <w:tcPr>
            <w:tcW w:type="dxa" w:w="1003"/>
          </w:tcPr>
          <w:p>
            <w:pPr>
              <w:jc w:val="right"/>
            </w:pPr>
            <w:r>
              <w:rPr>
                <w:rFonts w:ascii="Arial" w:hAnsi="Arial"/>
                <w:sz w:val="18"/>
              </w:rPr>
              <w:t>6,753,949</w:t>
            </w:r>
          </w:p>
        </w:tc>
        <w:tc>
          <w:tcPr>
            <w:tcW w:type="dxa" w:w="1003"/>
          </w:tcPr>
          <w:p>
            <w:pPr>
              <w:jc w:val="right"/>
            </w:pPr>
            <w:r>
              <w:rPr>
                <w:rFonts w:ascii="Arial" w:hAnsi="Arial"/>
                <w:sz w:val="18"/>
              </w:rPr>
              <w:t>43.56%</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r>
      <w:tr>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161</w:t>
            </w:r>
          </w:p>
        </w:tc>
        <w:tc>
          <w:tcPr>
            <w:tcW w:type="dxa" w:w="1003"/>
            <w:shd w:fill="F2F6FC" w:val="clear"/>
          </w:tcPr>
          <w:p>
            <w:pPr>
              <w:jc w:val="right"/>
            </w:pPr>
            <w:r>
              <w:rPr>
                <w:rFonts w:ascii="Arial" w:hAnsi="Arial"/>
                <w:sz w:val="18"/>
              </w:rPr>
              <w:t>107.68</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5,813,831</w:t>
            </w:r>
          </w:p>
        </w:tc>
        <w:tc>
          <w:tcPr>
            <w:tcW w:type="dxa" w:w="1003"/>
            <w:shd w:fill="F2F6FC" w:val="clear"/>
          </w:tcPr>
          <w:p>
            <w:pPr>
              <w:jc w:val="right"/>
            </w:pPr>
            <w:r>
              <w:rPr>
                <w:rFonts w:ascii="Arial" w:hAnsi="Arial"/>
                <w:sz w:val="18"/>
              </w:rPr>
              <w:t>4,168,058</w:t>
            </w:r>
          </w:p>
        </w:tc>
        <w:tc>
          <w:tcPr>
            <w:tcW w:type="dxa" w:w="1003"/>
            <w:shd w:fill="F2F6FC" w:val="clear"/>
          </w:tcPr>
          <w:p>
            <w:pPr>
              <w:jc w:val="right"/>
            </w:pPr>
            <w:r>
              <w:rPr>
                <w:rFonts w:ascii="Arial" w:hAnsi="Arial"/>
                <w:sz w:val="18"/>
              </w:rPr>
              <w:t>26.45%</w:t>
            </w:r>
          </w:p>
        </w:tc>
        <w:tc>
          <w:tcPr>
            <w:tcW w:type="dxa" w:w="1003"/>
            <w:shd w:fill="F2F6FC" w:val="clear"/>
          </w:tcPr>
          <w:p>
            <w:pPr>
              <w:jc w:val="right"/>
            </w:pPr>
            <w:r>
              <w:rPr>
                <w:rFonts w:ascii="Arial" w:hAnsi="Arial"/>
                <w:sz w:val="18"/>
              </w:rPr>
              <w:t>53.993</w:t>
            </w:r>
          </w:p>
        </w:tc>
        <w:tc>
          <w:tcPr>
            <w:tcW w:type="dxa" w:w="1003"/>
            <w:shd w:fill="F2F6FC" w:val="clear"/>
          </w:tcPr>
          <w:p>
            <w:pPr>
              <w:jc w:val="right"/>
            </w:pPr>
            <w:r>
              <w:rPr>
                <w:rFonts w:ascii="Arial" w:hAnsi="Arial"/>
                <w:sz w:val="18"/>
              </w:rPr>
              <w:t>3.40</w:t>
            </w:r>
          </w:p>
        </w:tc>
      </w:tr>
      <w:tr>
        <w:tc>
          <w:tcPr>
            <w:tcW w:type="dxa" w:w="1003"/>
          </w:tcPr>
          <w:p>
            <w:r>
              <w:rPr>
                <w:rFonts w:ascii="Arial" w:hAnsi="Arial"/>
                <w:sz w:val="18"/>
              </w:rPr>
              <w:t>Manufacturing - Steel</w:t>
            </w:r>
          </w:p>
        </w:tc>
        <w:tc>
          <w:tcPr>
            <w:tcW w:type="dxa" w:w="1003"/>
          </w:tcPr>
          <w:p>
            <w:pPr>
              <w:jc w:val="right"/>
            </w:pPr>
            <w:r>
              <w:rPr>
                <w:rFonts w:ascii="Arial" w:hAnsi="Arial"/>
                <w:sz w:val="18"/>
              </w:rPr>
              <w:t>122</w:t>
            </w:r>
          </w:p>
        </w:tc>
        <w:tc>
          <w:tcPr>
            <w:tcW w:type="dxa" w:w="1003"/>
          </w:tcPr>
          <w:p>
            <w:pPr>
              <w:jc w:val="right"/>
            </w:pPr>
            <w:r>
              <w:rPr>
                <w:rFonts w:ascii="Arial" w:hAnsi="Arial"/>
                <w:sz w:val="18"/>
              </w:rPr>
              <w:t>108.62</w:t>
            </w:r>
          </w:p>
        </w:tc>
        <w:tc>
          <w:tcPr>
            <w:tcW w:type="dxa" w:w="1003"/>
          </w:tcPr>
          <w:p>
            <w:pPr>
              <w:jc w:val="right"/>
            </w:pPr>
            <w:r>
              <w:rPr>
                <w:rFonts w:ascii="Arial" w:hAnsi="Arial"/>
                <w:sz w:val="18"/>
              </w:rPr>
              <w:t>7.05%</w:t>
            </w:r>
          </w:p>
        </w:tc>
        <w:tc>
          <w:tcPr>
            <w:tcW w:type="dxa" w:w="1003"/>
          </w:tcPr>
          <w:p>
            <w:pPr>
              <w:jc w:val="right"/>
            </w:pPr>
            <w:r>
              <w:rPr>
                <w:rFonts w:ascii="Arial" w:hAnsi="Arial"/>
                <w:sz w:val="18"/>
              </w:rPr>
              <w:t>3,499,463</w:t>
            </w:r>
          </w:p>
        </w:tc>
        <w:tc>
          <w:tcPr>
            <w:tcW w:type="dxa" w:w="1003"/>
          </w:tcPr>
          <w:p>
            <w:pPr>
              <w:jc w:val="right"/>
            </w:pPr>
            <w:r>
              <w:rPr>
                <w:rFonts w:ascii="Arial" w:hAnsi="Arial"/>
                <w:sz w:val="18"/>
              </w:rPr>
              <w:t>2,228,740</w:t>
            </w:r>
          </w:p>
        </w:tc>
        <w:tc>
          <w:tcPr>
            <w:tcW w:type="dxa" w:w="1003"/>
          </w:tcPr>
          <w:p>
            <w:pPr>
              <w:jc w:val="right"/>
            </w:pPr>
            <w:r>
              <w:rPr>
                <w:rFonts w:ascii="Arial" w:hAnsi="Arial"/>
                <w:sz w:val="18"/>
              </w:rPr>
              <w:t>15.92%</w:t>
            </w:r>
          </w:p>
        </w:tc>
        <w:tc>
          <w:tcPr>
            <w:tcW w:type="dxa" w:w="1003"/>
          </w:tcPr>
          <w:p>
            <w:pPr>
              <w:jc w:val="right"/>
            </w:pPr>
            <w:r>
              <w:rPr>
                <w:rFonts w:ascii="Arial" w:hAnsi="Arial"/>
                <w:sz w:val="18"/>
              </w:rPr>
              <w:t>32.218</w:t>
            </w:r>
          </w:p>
        </w:tc>
        <w:tc>
          <w:tcPr>
            <w:tcW w:type="dxa" w:w="1003"/>
          </w:tcPr>
          <w:p>
            <w:pPr>
              <w:jc w:val="right"/>
            </w:pPr>
            <w:r>
              <w:rPr>
                <w:rFonts w:ascii="Arial" w:hAnsi="Arial"/>
                <w:sz w:val="18"/>
              </w:rPr>
              <w:t>3.35</w:t>
            </w:r>
          </w:p>
        </w:tc>
      </w:tr>
      <w:tr>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189</w:t>
            </w:r>
          </w:p>
        </w:tc>
        <w:tc>
          <w:tcPr>
            <w:tcW w:type="dxa" w:w="1003"/>
            <w:shd w:fill="F2F6FC" w:val="clear"/>
          </w:tcPr>
          <w:p>
            <w:pPr>
              <w:jc w:val="right"/>
            </w:pPr>
            <w:r>
              <w:rPr>
                <w:rFonts w:ascii="Arial" w:hAnsi="Arial"/>
                <w:sz w:val="18"/>
              </w:rPr>
              <w:t>155.55</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1,227,020</w:t>
            </w:r>
          </w:p>
        </w:tc>
        <w:tc>
          <w:tcPr>
            <w:tcW w:type="dxa" w:w="1003"/>
            <w:shd w:fill="F2F6FC" w:val="clear"/>
          </w:tcPr>
          <w:p>
            <w:pPr>
              <w:jc w:val="right"/>
            </w:pPr>
            <w:r>
              <w:rPr>
                <w:rFonts w:ascii="Arial" w:hAnsi="Arial"/>
                <w:sz w:val="18"/>
              </w:rPr>
              <w:t>864,356</w:t>
            </w:r>
          </w:p>
        </w:tc>
        <w:tc>
          <w:tcPr>
            <w:tcW w:type="dxa" w:w="1003"/>
            <w:shd w:fill="F2F6FC" w:val="clear"/>
          </w:tcPr>
          <w:p>
            <w:pPr>
              <w:jc w:val="right"/>
            </w:pPr>
            <w:r>
              <w:rPr>
                <w:rFonts w:ascii="Arial" w:hAnsi="Arial"/>
                <w:sz w:val="18"/>
              </w:rPr>
              <w:t>5.58%</w:t>
            </w:r>
          </w:p>
        </w:tc>
        <w:tc>
          <w:tcPr>
            <w:tcW w:type="dxa" w:w="1003"/>
            <w:shd w:fill="F2F6FC" w:val="clear"/>
          </w:tcPr>
          <w:p>
            <w:pPr>
              <w:jc w:val="right"/>
            </w:pPr>
            <w:r>
              <w:rPr>
                <w:rFonts w:ascii="Arial" w:hAnsi="Arial"/>
                <w:sz w:val="18"/>
              </w:rPr>
              <w:t>7.888</w:t>
            </w:r>
          </w:p>
        </w:tc>
        <w:tc>
          <w:tcPr>
            <w:tcW w:type="dxa" w:w="1003"/>
            <w:shd w:fill="F2F6FC" w:val="clear"/>
          </w:tcPr>
          <w:p>
            <w:pPr>
              <w:jc w:val="right"/>
            </w:pPr>
            <w:r>
              <w:rPr>
                <w:rFonts w:ascii="Arial" w:hAnsi="Arial"/>
                <w:sz w:val="18"/>
              </w:rPr>
              <w:t>3.36</w:t>
            </w:r>
          </w:p>
        </w:tc>
      </w:tr>
      <w:tr>
        <w:tc>
          <w:tcPr>
            <w:tcW w:type="dxa" w:w="1003"/>
          </w:tcPr>
          <w:p>
            <w:r>
              <w:rPr>
                <w:rFonts w:ascii="Arial" w:hAnsi="Arial"/>
                <w:sz w:val="18"/>
              </w:rPr>
              <w:t>Manufacturing - Food &amp; Beverage</w:t>
            </w:r>
          </w:p>
        </w:tc>
        <w:tc>
          <w:tcPr>
            <w:tcW w:type="dxa" w:w="1003"/>
          </w:tcPr>
          <w:p>
            <w:pPr>
              <w:jc w:val="right"/>
            </w:pPr>
            <w:r>
              <w:rPr>
                <w:rFonts w:ascii="Arial" w:hAnsi="Arial"/>
                <w:sz w:val="18"/>
              </w:rPr>
              <w:t>206</w:t>
            </w:r>
          </w:p>
        </w:tc>
        <w:tc>
          <w:tcPr>
            <w:tcW w:type="dxa" w:w="1003"/>
          </w:tcPr>
          <w:p>
            <w:pPr>
              <w:jc w:val="right"/>
            </w:pPr>
            <w:r>
              <w:rPr>
                <w:rFonts w:ascii="Arial" w:hAnsi="Arial"/>
                <w:sz w:val="18"/>
              </w:rPr>
              <w:t>169.14</w:t>
            </w:r>
          </w:p>
        </w:tc>
        <w:tc>
          <w:tcPr>
            <w:tcW w:type="dxa" w:w="1003"/>
          </w:tcPr>
          <w:p>
            <w:pPr>
              <w:jc w:val="right"/>
            </w:pPr>
            <w:r>
              <w:rPr>
                <w:rFonts w:ascii="Arial" w:hAnsi="Arial"/>
                <w:sz w:val="18"/>
              </w:rPr>
              <w:t>10.97%</w:t>
            </w:r>
          </w:p>
        </w:tc>
        <w:tc>
          <w:tcPr>
            <w:tcW w:type="dxa" w:w="1003"/>
          </w:tcPr>
          <w:p>
            <w:pPr>
              <w:jc w:val="right"/>
            </w:pPr>
            <w:r>
              <w:rPr>
                <w:rFonts w:ascii="Arial" w:hAnsi="Arial"/>
                <w:sz w:val="18"/>
              </w:rPr>
              <w:t>936,111</w:t>
            </w:r>
          </w:p>
        </w:tc>
        <w:tc>
          <w:tcPr>
            <w:tcW w:type="dxa" w:w="1003"/>
          </w:tcPr>
          <w:p>
            <w:pPr>
              <w:jc w:val="right"/>
            </w:pPr>
            <w:r>
              <w:rPr>
                <w:rFonts w:ascii="Arial" w:hAnsi="Arial"/>
                <w:sz w:val="18"/>
              </w:rPr>
              <w:t>653,414</w:t>
            </w:r>
          </w:p>
        </w:tc>
        <w:tc>
          <w:tcPr>
            <w:tcW w:type="dxa" w:w="1003"/>
          </w:tcPr>
          <w:p>
            <w:pPr>
              <w:jc w:val="right"/>
            </w:pPr>
            <w:r>
              <w:rPr>
                <w:rFonts w:ascii="Arial" w:hAnsi="Arial"/>
                <w:sz w:val="18"/>
              </w:rPr>
              <w:t>4.26%</w:t>
            </w:r>
          </w:p>
        </w:tc>
        <w:tc>
          <w:tcPr>
            <w:tcW w:type="dxa" w:w="1003"/>
          </w:tcPr>
          <w:p>
            <w:pPr>
              <w:jc w:val="right"/>
            </w:pPr>
            <w:r>
              <w:rPr>
                <w:rFonts w:ascii="Arial" w:hAnsi="Arial"/>
                <w:sz w:val="18"/>
              </w:rPr>
              <w:t>5.535</w:t>
            </w:r>
          </w:p>
        </w:tc>
        <w:tc>
          <w:tcPr>
            <w:tcW w:type="dxa" w:w="1003"/>
          </w:tcPr>
          <w:p>
            <w:pPr>
              <w:jc w:val="right"/>
            </w:pPr>
            <w:r>
              <w:rPr>
                <w:rFonts w:ascii="Arial" w:hAnsi="Arial"/>
                <w:sz w:val="18"/>
              </w:rPr>
              <w:t>3.35</w:t>
            </w:r>
          </w:p>
        </w:tc>
      </w:tr>
      <w:tr>
        <w:tc>
          <w:tcPr>
            <w:tcW w:type="dxa" w:w="1003"/>
            <w:shd w:fill="F2F6FC" w:val="clear"/>
          </w:tcPr>
          <w:p>
            <w:r>
              <w:rPr>
                <w:rFonts w:ascii="Arial" w:hAnsi="Arial"/>
                <w:sz w:val="18"/>
              </w:rPr>
              <w:t>Agriculture</w:t>
            </w:r>
          </w:p>
        </w:tc>
        <w:tc>
          <w:tcPr>
            <w:tcW w:type="dxa" w:w="1003"/>
            <w:shd w:fill="F2F6FC" w:val="clear"/>
          </w:tcPr>
          <w:p>
            <w:pPr>
              <w:jc w:val="right"/>
            </w:pPr>
            <w:r>
              <w:rPr>
                <w:rFonts w:ascii="Arial" w:hAnsi="Arial"/>
                <w:sz w:val="18"/>
              </w:rPr>
              <w:t>163</w:t>
            </w:r>
          </w:p>
        </w:tc>
        <w:tc>
          <w:tcPr>
            <w:tcW w:type="dxa" w:w="1003"/>
            <w:shd w:fill="F2F6FC" w:val="clear"/>
          </w:tcPr>
          <w:p>
            <w:pPr>
              <w:jc w:val="right"/>
            </w:pPr>
            <w:r>
              <w:rPr>
                <w:rFonts w:ascii="Arial" w:hAnsi="Arial"/>
                <w:sz w:val="18"/>
              </w:rPr>
              <w:t>118.90</w:t>
            </w:r>
          </w:p>
        </w:tc>
        <w:tc>
          <w:tcPr>
            <w:tcW w:type="dxa" w:w="1003"/>
            <w:shd w:fill="F2F6FC" w:val="clear"/>
          </w:tcPr>
          <w:p>
            <w:pPr>
              <w:jc w:val="right"/>
            </w:pPr>
            <w:r>
              <w:rPr>
                <w:rFonts w:ascii="Arial" w:hAnsi="Arial"/>
                <w:sz w:val="18"/>
              </w:rPr>
              <w:t>7.71%</w:t>
            </w:r>
          </w:p>
        </w:tc>
        <w:tc>
          <w:tcPr>
            <w:tcW w:type="dxa" w:w="1003"/>
            <w:shd w:fill="F2F6FC" w:val="clear"/>
          </w:tcPr>
          <w:p>
            <w:pPr>
              <w:jc w:val="right"/>
            </w:pPr>
            <w:r>
              <w:rPr>
                <w:rFonts w:ascii="Arial" w:hAnsi="Arial"/>
                <w:sz w:val="18"/>
              </w:rPr>
              <w:t>288,493</w:t>
            </w:r>
          </w:p>
        </w:tc>
        <w:tc>
          <w:tcPr>
            <w:tcW w:type="dxa" w:w="1003"/>
            <w:shd w:fill="F2F6FC" w:val="clear"/>
          </w:tcPr>
          <w:p>
            <w:pPr>
              <w:jc w:val="right"/>
            </w:pPr>
            <w:r>
              <w:rPr>
                <w:rFonts w:ascii="Arial" w:hAnsi="Arial"/>
                <w:sz w:val="18"/>
              </w:rPr>
              <w:t>183,548</w:t>
            </w:r>
          </w:p>
        </w:tc>
        <w:tc>
          <w:tcPr>
            <w:tcW w:type="dxa" w:w="1003"/>
            <w:shd w:fill="F2F6FC" w:val="clear"/>
          </w:tcPr>
          <w:p>
            <w:pPr>
              <w:jc w:val="right"/>
            </w:pPr>
            <w:r>
              <w:rPr>
                <w:rFonts w:ascii="Arial" w:hAnsi="Arial"/>
                <w:sz w:val="18"/>
              </w:rPr>
              <w:t>1.31%</w:t>
            </w:r>
          </w:p>
        </w:tc>
        <w:tc>
          <w:tcPr>
            <w:tcW w:type="dxa" w:w="1003"/>
            <w:shd w:fill="F2F6FC" w:val="clear"/>
          </w:tcPr>
          <w:p>
            <w:pPr>
              <w:jc w:val="right"/>
            </w:pPr>
            <w:r>
              <w:rPr>
                <w:rFonts w:ascii="Arial" w:hAnsi="Arial"/>
                <w:sz w:val="18"/>
              </w:rPr>
              <w:t>2.426</w:t>
            </w:r>
          </w:p>
        </w:tc>
        <w:tc>
          <w:tcPr>
            <w:tcW w:type="dxa" w:w="1003"/>
            <w:shd w:fill="F2F6FC" w:val="clear"/>
          </w:tcPr>
          <w:p>
            <w:pPr>
              <w:jc w:val="right"/>
            </w:pPr>
            <w:r>
              <w:rPr>
                <w:rFonts w:ascii="Arial" w:hAnsi="Arial"/>
                <w:sz w:val="18"/>
              </w:rPr>
              <w:t>3.41</w:t>
            </w:r>
          </w:p>
        </w:tc>
      </w:tr>
      <w:tr>
        <w:tc>
          <w:tcPr>
            <w:tcW w:type="dxa" w:w="1003"/>
          </w:tcPr>
          <w:p>
            <w:r>
              <w:rPr>
                <w:rFonts w:ascii="Arial" w:hAnsi="Arial"/>
                <w:sz w:val="18"/>
              </w:rPr>
              <w:t>Real Estate - Commercial</w:t>
            </w:r>
          </w:p>
        </w:tc>
        <w:tc>
          <w:tcPr>
            <w:tcW w:type="dxa" w:w="1003"/>
          </w:tcPr>
          <w:p>
            <w:pPr>
              <w:jc w:val="right"/>
            </w:pPr>
            <w:r>
              <w:rPr>
                <w:rFonts w:ascii="Arial" w:hAnsi="Arial"/>
                <w:sz w:val="18"/>
              </w:rPr>
              <w:t>290</w:t>
            </w:r>
          </w:p>
        </w:tc>
        <w:tc>
          <w:tcPr>
            <w:tcW w:type="dxa" w:w="1003"/>
          </w:tcPr>
          <w:p>
            <w:pPr>
              <w:jc w:val="right"/>
            </w:pPr>
            <w:r>
              <w:rPr>
                <w:rFonts w:ascii="Arial" w:hAnsi="Arial"/>
                <w:sz w:val="18"/>
              </w:rPr>
              <w:t>250.74</w:t>
            </w:r>
          </w:p>
        </w:tc>
        <w:tc>
          <w:tcPr>
            <w:tcW w:type="dxa" w:w="1003"/>
          </w:tcPr>
          <w:p>
            <w:pPr>
              <w:jc w:val="right"/>
            </w:pPr>
            <w:r>
              <w:rPr>
                <w:rFonts w:ascii="Arial" w:hAnsi="Arial"/>
                <w:sz w:val="18"/>
              </w:rPr>
              <w:t>16.27%</w:t>
            </w:r>
          </w:p>
        </w:tc>
        <w:tc>
          <w:tcPr>
            <w:tcW w:type="dxa" w:w="1003"/>
          </w:tcPr>
          <w:p>
            <w:pPr>
              <w:jc w:val="right"/>
            </w:pPr>
            <w:r>
              <w:rPr>
                <w:rFonts w:ascii="Arial" w:hAnsi="Arial"/>
                <w:sz w:val="18"/>
              </w:rPr>
              <w:t>231,235</w:t>
            </w:r>
          </w:p>
        </w:tc>
        <w:tc>
          <w:tcPr>
            <w:tcW w:type="dxa" w:w="1003"/>
          </w:tcPr>
          <w:p>
            <w:pPr>
              <w:jc w:val="right"/>
            </w:pPr>
            <w:r>
              <w:rPr>
                <w:rFonts w:ascii="Arial" w:hAnsi="Arial"/>
                <w:sz w:val="18"/>
              </w:rPr>
              <w:t>158,419</w:t>
            </w:r>
          </w:p>
        </w:tc>
        <w:tc>
          <w:tcPr>
            <w:tcW w:type="dxa" w:w="1003"/>
          </w:tcPr>
          <w:p>
            <w:pPr>
              <w:jc w:val="right"/>
            </w:pPr>
            <w:r>
              <w:rPr>
                <w:rFonts w:ascii="Arial" w:hAnsi="Arial"/>
                <w:sz w:val="18"/>
              </w:rPr>
              <w:t>1.05%</w:t>
            </w:r>
          </w:p>
        </w:tc>
        <w:tc>
          <w:tcPr>
            <w:tcW w:type="dxa" w:w="1003"/>
          </w:tcPr>
          <w:p>
            <w:pPr>
              <w:jc w:val="right"/>
            </w:pPr>
            <w:r>
              <w:rPr>
                <w:rFonts w:ascii="Arial" w:hAnsi="Arial"/>
                <w:sz w:val="18"/>
              </w:rPr>
              <w:t>0.922</w:t>
            </w:r>
          </w:p>
        </w:tc>
        <w:tc>
          <w:tcPr>
            <w:tcW w:type="dxa" w:w="1003"/>
          </w:tcPr>
          <w:p>
            <w:pPr>
              <w:jc w:val="right"/>
            </w:pPr>
            <w:r>
              <w:rPr>
                <w:rFonts w:ascii="Arial" w:hAnsi="Arial"/>
                <w:sz w:val="18"/>
              </w:rPr>
              <w:t>3.27</w:t>
            </w:r>
          </w:p>
        </w:tc>
      </w:tr>
      <w:tr>
        <w:tc>
          <w:tcPr>
            <w:tcW w:type="dxa" w:w="1003"/>
            <w:shd w:fill="F2F6FC" w:val="clear"/>
          </w:tcPr>
          <w:p>
            <w:r>
              <w:rPr>
                <w:rFonts w:ascii="Arial" w:hAnsi="Arial"/>
                <w:sz w:val="18"/>
              </w:rPr>
              <w:t>Retail Trade</w:t>
            </w:r>
          </w:p>
        </w:tc>
        <w:tc>
          <w:tcPr>
            <w:tcW w:type="dxa" w:w="1003"/>
            <w:shd w:fill="F2F6FC" w:val="clear"/>
          </w:tcPr>
          <w:p>
            <w:pPr>
              <w:jc w:val="right"/>
            </w:pPr>
            <w:r>
              <w:rPr>
                <w:rFonts w:ascii="Arial" w:hAnsi="Arial"/>
                <w:sz w:val="18"/>
              </w:rPr>
              <w:t>209</w:t>
            </w:r>
          </w:p>
        </w:tc>
        <w:tc>
          <w:tcPr>
            <w:tcW w:type="dxa" w:w="1003"/>
            <w:shd w:fill="F2F6FC" w:val="clear"/>
          </w:tcPr>
          <w:p>
            <w:pPr>
              <w:jc w:val="right"/>
            </w:pPr>
            <w:r>
              <w:rPr>
                <w:rFonts w:ascii="Arial" w:hAnsi="Arial"/>
                <w:sz w:val="18"/>
              </w:rPr>
              <w:t>152.84</w:t>
            </w:r>
          </w:p>
        </w:tc>
        <w:tc>
          <w:tcPr>
            <w:tcW w:type="dxa" w:w="1003"/>
            <w:shd w:fill="F2F6FC" w:val="clear"/>
          </w:tcPr>
          <w:p>
            <w:pPr>
              <w:jc w:val="right"/>
            </w:pPr>
            <w:r>
              <w:rPr>
                <w:rFonts w:ascii="Arial" w:hAnsi="Arial"/>
                <w:sz w:val="18"/>
              </w:rPr>
              <w:t>9.92%</w:t>
            </w:r>
          </w:p>
        </w:tc>
        <w:tc>
          <w:tcPr>
            <w:tcW w:type="dxa" w:w="1003"/>
            <w:shd w:fill="F2F6FC" w:val="clear"/>
          </w:tcPr>
          <w:p>
            <w:pPr>
              <w:jc w:val="right"/>
            </w:pPr>
            <w:r>
              <w:rPr>
                <w:rFonts w:ascii="Arial" w:hAnsi="Arial"/>
                <w:sz w:val="18"/>
              </w:rPr>
              <w:t>226,341</w:t>
            </w:r>
          </w:p>
        </w:tc>
        <w:tc>
          <w:tcPr>
            <w:tcW w:type="dxa" w:w="1003"/>
            <w:shd w:fill="F2F6FC" w:val="clear"/>
          </w:tcPr>
          <w:p>
            <w:pPr>
              <w:jc w:val="right"/>
            </w:pPr>
            <w:r>
              <w:rPr>
                <w:rFonts w:ascii="Arial" w:hAnsi="Arial"/>
                <w:sz w:val="18"/>
              </w:rPr>
              <w:t>140,813</w:t>
            </w:r>
          </w:p>
        </w:tc>
        <w:tc>
          <w:tcPr>
            <w:tcW w:type="dxa" w:w="1003"/>
            <w:shd w:fill="F2F6FC" w:val="clear"/>
          </w:tcPr>
          <w:p>
            <w:pPr>
              <w:jc w:val="right"/>
            </w:pPr>
            <w:r>
              <w:rPr>
                <w:rFonts w:ascii="Arial" w:hAnsi="Arial"/>
                <w:sz w:val="18"/>
              </w:rPr>
              <w:t>1.03%</w:t>
            </w:r>
          </w:p>
        </w:tc>
        <w:tc>
          <w:tcPr>
            <w:tcW w:type="dxa" w:w="1003"/>
            <w:shd w:fill="F2F6FC" w:val="clear"/>
          </w:tcPr>
          <w:p>
            <w:pPr>
              <w:jc w:val="right"/>
            </w:pPr>
            <w:r>
              <w:rPr>
                <w:rFonts w:ascii="Arial" w:hAnsi="Arial"/>
                <w:sz w:val="18"/>
              </w:rPr>
              <w:t>1.481</w:t>
            </w:r>
          </w:p>
        </w:tc>
        <w:tc>
          <w:tcPr>
            <w:tcW w:type="dxa" w:w="1003"/>
            <w:shd w:fill="F2F6FC" w:val="clear"/>
          </w:tcPr>
          <w:p>
            <w:pPr>
              <w:jc w:val="right"/>
            </w:pPr>
            <w:r>
              <w:rPr>
                <w:rFonts w:ascii="Arial" w:hAnsi="Arial"/>
                <w:sz w:val="18"/>
              </w:rPr>
              <w:t>3.21</w:t>
            </w:r>
          </w:p>
        </w:tc>
      </w:tr>
      <w:tr>
        <w:tc>
          <w:tcPr>
            <w:tcW w:type="dxa" w:w="1003"/>
          </w:tcPr>
          <w:p>
            <w:r>
              <w:rPr>
                <w:rFonts w:ascii="Arial" w:hAnsi="Arial"/>
                <w:sz w:val="18"/>
              </w:rPr>
              <w:t>Real Estate - Residential</w:t>
            </w:r>
          </w:p>
        </w:tc>
        <w:tc>
          <w:tcPr>
            <w:tcW w:type="dxa" w:w="1003"/>
          </w:tcPr>
          <w:p>
            <w:pPr>
              <w:jc w:val="right"/>
            </w:pPr>
            <w:r>
              <w:rPr>
                <w:rFonts w:ascii="Arial" w:hAnsi="Arial"/>
                <w:sz w:val="18"/>
              </w:rPr>
              <w:t>223</w:t>
            </w:r>
          </w:p>
        </w:tc>
        <w:tc>
          <w:tcPr>
            <w:tcW w:type="dxa" w:w="1003"/>
          </w:tcPr>
          <w:p>
            <w:pPr>
              <w:jc w:val="right"/>
            </w:pPr>
            <w:r>
              <w:rPr>
                <w:rFonts w:ascii="Arial" w:hAnsi="Arial"/>
                <w:sz w:val="18"/>
              </w:rPr>
              <w:t>168.42</w:t>
            </w:r>
          </w:p>
        </w:tc>
        <w:tc>
          <w:tcPr>
            <w:tcW w:type="dxa" w:w="1003"/>
          </w:tcPr>
          <w:p>
            <w:pPr>
              <w:jc w:val="right"/>
            </w:pPr>
            <w:r>
              <w:rPr>
                <w:rFonts w:ascii="Arial" w:hAnsi="Arial"/>
                <w:sz w:val="18"/>
              </w:rPr>
              <w:t>10.93%</w:t>
            </w:r>
          </w:p>
        </w:tc>
        <w:tc>
          <w:tcPr>
            <w:tcW w:type="dxa" w:w="1003"/>
          </w:tcPr>
          <w:p>
            <w:pPr>
              <w:jc w:val="right"/>
            </w:pPr>
            <w:r>
              <w:rPr>
                <w:rFonts w:ascii="Arial" w:hAnsi="Arial"/>
                <w:sz w:val="18"/>
              </w:rPr>
              <w:t>107,465</w:t>
            </w:r>
          </w:p>
        </w:tc>
        <w:tc>
          <w:tcPr>
            <w:tcW w:type="dxa" w:w="1003"/>
          </w:tcPr>
          <w:p>
            <w:pPr>
              <w:jc w:val="right"/>
            </w:pPr>
            <w:r>
              <w:rPr>
                <w:rFonts w:ascii="Arial" w:hAnsi="Arial"/>
                <w:sz w:val="18"/>
              </w:rPr>
              <w:t>79,159</w:t>
            </w:r>
          </w:p>
        </w:tc>
        <w:tc>
          <w:tcPr>
            <w:tcW w:type="dxa" w:w="1003"/>
          </w:tcPr>
          <w:p>
            <w:pPr>
              <w:jc w:val="right"/>
            </w:pPr>
            <w:r>
              <w:rPr>
                <w:rFonts w:ascii="Arial" w:hAnsi="Arial"/>
                <w:sz w:val="18"/>
              </w:rPr>
              <w:t>0.49%</w:t>
            </w:r>
          </w:p>
        </w:tc>
        <w:tc>
          <w:tcPr>
            <w:tcW w:type="dxa" w:w="1003"/>
          </w:tcPr>
          <w:p>
            <w:pPr>
              <w:jc w:val="right"/>
            </w:pPr>
            <w:r>
              <w:rPr>
                <w:rFonts w:ascii="Arial" w:hAnsi="Arial"/>
                <w:sz w:val="18"/>
              </w:rPr>
              <w:t>0.638</w:t>
            </w:r>
          </w:p>
        </w:tc>
        <w:tc>
          <w:tcPr>
            <w:tcW w:type="dxa" w:w="1003"/>
          </w:tcPr>
          <w:p>
            <w:pPr>
              <w:jc w:val="right"/>
            </w:pPr>
            <w:r>
              <w:rPr>
                <w:rFonts w:ascii="Arial" w:hAnsi="Arial"/>
                <w:sz w:val="18"/>
              </w:rPr>
              <w:t>3.32</w:t>
            </w:r>
          </w:p>
        </w:tc>
      </w:tr>
      <w:tr>
        <w:tc>
          <w:tcPr>
            <w:tcW w:type="dxa" w:w="1003"/>
            <w:shd w:fill="F2F6FC" w:val="clear"/>
          </w:tcPr>
          <w:p>
            <w:r>
              <w:rPr>
                <w:rFonts w:ascii="Arial" w:hAnsi="Arial"/>
                <w:sz w:val="18"/>
              </w:rPr>
              <w:t>Financial Services</w:t>
            </w:r>
          </w:p>
        </w:tc>
        <w:tc>
          <w:tcPr>
            <w:tcW w:type="dxa" w:w="1003"/>
            <w:shd w:fill="F2F6FC" w:val="clear"/>
          </w:tcPr>
          <w:p>
            <w:pPr>
              <w:jc w:val="right"/>
            </w:pPr>
            <w:r>
              <w:rPr>
                <w:rFonts w:ascii="Arial" w:hAnsi="Arial"/>
                <w:sz w:val="18"/>
              </w:rPr>
              <w:t>257</w:t>
            </w:r>
          </w:p>
        </w:tc>
        <w:tc>
          <w:tcPr>
            <w:tcW w:type="dxa" w:w="1003"/>
            <w:shd w:fill="F2F6FC" w:val="clear"/>
          </w:tcPr>
          <w:p>
            <w:pPr>
              <w:jc w:val="right"/>
            </w:pPr>
            <w:r>
              <w:rPr>
                <w:rFonts w:ascii="Arial" w:hAnsi="Arial"/>
                <w:sz w:val="18"/>
              </w:rPr>
              <w:t>206.62</w:t>
            </w:r>
          </w:p>
        </w:tc>
        <w:tc>
          <w:tcPr>
            <w:tcW w:type="dxa" w:w="1003"/>
            <w:shd w:fill="F2F6FC" w:val="clear"/>
          </w:tcPr>
          <w:p>
            <w:pPr>
              <w:jc w:val="right"/>
            </w:pPr>
            <w:r>
              <w:rPr>
                <w:rFonts w:ascii="Arial" w:hAnsi="Arial"/>
                <w:sz w:val="18"/>
              </w:rPr>
              <w:t>13.41%</w:t>
            </w:r>
          </w:p>
        </w:tc>
        <w:tc>
          <w:tcPr>
            <w:tcW w:type="dxa" w:w="1003"/>
            <w:shd w:fill="F2F6FC" w:val="clear"/>
          </w:tcPr>
          <w:p>
            <w:pPr>
              <w:jc w:val="right"/>
            </w:pPr>
            <w:r>
              <w:rPr>
                <w:rFonts w:ascii="Arial" w:hAnsi="Arial"/>
                <w:sz w:val="18"/>
              </w:rPr>
              <w:t>73,694</w:t>
            </w:r>
          </w:p>
        </w:tc>
        <w:tc>
          <w:tcPr>
            <w:tcW w:type="dxa" w:w="1003"/>
            <w:shd w:fill="F2F6FC" w:val="clear"/>
          </w:tcPr>
          <w:p>
            <w:pPr>
              <w:jc w:val="right"/>
            </w:pPr>
            <w:r>
              <w:rPr>
                <w:rFonts w:ascii="Arial" w:hAnsi="Arial"/>
                <w:sz w:val="18"/>
              </w:rPr>
              <w:t>49,718</w:t>
            </w:r>
          </w:p>
        </w:tc>
        <w:tc>
          <w:tcPr>
            <w:tcW w:type="dxa" w:w="1003"/>
            <w:shd w:fill="F2F6FC" w:val="clear"/>
          </w:tcPr>
          <w:p>
            <w:pPr>
              <w:jc w:val="right"/>
            </w:pPr>
            <w:r>
              <w:rPr>
                <w:rFonts w:ascii="Arial" w:hAnsi="Arial"/>
                <w:sz w:val="18"/>
              </w:rPr>
              <w:t>0.34%</w:t>
            </w:r>
          </w:p>
        </w:tc>
        <w:tc>
          <w:tcPr>
            <w:tcW w:type="dxa" w:w="1003"/>
            <w:shd w:fill="F2F6FC" w:val="clear"/>
          </w:tcPr>
          <w:p>
            <w:pPr>
              <w:jc w:val="right"/>
            </w:pPr>
            <w:r>
              <w:rPr>
                <w:rFonts w:ascii="Arial" w:hAnsi="Arial"/>
                <w:sz w:val="18"/>
              </w:rPr>
              <w:t>0.357</w:t>
            </w:r>
          </w:p>
        </w:tc>
        <w:tc>
          <w:tcPr>
            <w:tcW w:type="dxa" w:w="1003"/>
            <w:shd w:fill="F2F6FC" w:val="clear"/>
          </w:tcPr>
          <w:p>
            <w:pPr>
              <w:jc w:val="right"/>
            </w:pPr>
            <w:r>
              <w:rPr>
                <w:rFonts w:ascii="Arial" w:hAnsi="Arial"/>
                <w:sz w:val="18"/>
              </w:rPr>
              <w:t>3.42</w:t>
            </w:r>
          </w:p>
        </w:tc>
      </w:tr>
    </w:tbl>
    <w:p>
      <w:r>
        <w:rPr>
          <w:rFonts w:ascii="Arial" w:hAnsi="Arial"/>
          <w:i/>
          <w:sz w:val="16"/>
        </w:rPr>
        <w:t>Source: Source: Institution's PCAF calculation engine, 2024 reporting period. Gross emissions calculated using PCAF attribution methodology; weighted emissions apply PCAF confidence factors by data quality tier. Portfolio coverage: 100% of corporate and project finance loans.</w:t>
      </w:r>
    </w:p>
    <w:p/>
    <w:p>
      <w:r>
        <w:rPr>
          <w:rFonts w:ascii="Arial" w:hAnsi="Arial"/>
          <w:b/>
          <w:sz w:val="20"/>
        </w:rPr>
        <w:t>Table 2: SASB FN-CB-410a.3 — Financed Emissions by Sector (SASB Industry Metric)</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Industry Sector (SASB Classification)</w:t>
            </w:r>
          </w:p>
        </w:tc>
        <w:tc>
          <w:tcPr>
            <w:tcW w:type="dxa" w:w="1806"/>
            <w:shd w:fill="1B3A6B" w:val="clear"/>
          </w:tcPr>
          <w:p>
            <w:r>
              <w:rPr>
                <w:rFonts w:ascii="Arial" w:hAnsi="Arial"/>
                <w:b/>
                <w:color w:val="FFFFFF"/>
                <w:sz w:val="18"/>
              </w:rPr>
              <w:t>Outstanding Credit Exposure (IDR Trillion)</w:t>
            </w:r>
          </w:p>
        </w:tc>
        <w:tc>
          <w:tcPr>
            <w:tcW w:type="dxa" w:w="1806"/>
            <w:shd w:fill="1B3A6B" w:val="clear"/>
          </w:tcPr>
          <w:p>
            <w:r>
              <w:rPr>
                <w:rFonts w:ascii="Arial" w:hAnsi="Arial"/>
                <w:b/>
                <w:color w:val="FFFFFF"/>
                <w:sz w:val="18"/>
              </w:rPr>
              <w:t>Financed Emissions - Gross (tCO2e)</w:t>
            </w:r>
          </w:p>
        </w:tc>
        <w:tc>
          <w:tcPr>
            <w:tcW w:type="dxa" w:w="1806"/>
            <w:shd w:fill="1B3A6B" w:val="clear"/>
          </w:tcPr>
          <w:p>
            <w:r>
              <w:rPr>
                <w:rFonts w:ascii="Arial" w:hAnsi="Arial"/>
                <w:b/>
                <w:color w:val="FFFFFF"/>
                <w:sz w:val="18"/>
              </w:rPr>
              <w:t>Financed Emissions - Weighted (tCO2e)</w:t>
            </w:r>
          </w:p>
        </w:tc>
        <w:tc>
          <w:tcPr>
            <w:tcW w:type="dxa" w:w="1806"/>
            <w:shd w:fill="1B3A6B" w:val="clear"/>
          </w:tcPr>
          <w:p>
            <w:r>
              <w:rPr>
                <w:rFonts w:ascii="Arial" w:hAnsi="Arial"/>
                <w:b/>
                <w:color w:val="FFFFFF"/>
                <w:sz w:val="18"/>
              </w:rPr>
              <w:t>Methodology</w:t>
            </w:r>
          </w:p>
        </w:tc>
      </w:tr>
      <w:tr>
        <w:tc>
          <w:tcPr>
            <w:tcW w:type="dxa" w:w="1806"/>
          </w:tcPr>
          <w:p>
            <w:r>
              <w:rPr>
                <w:rFonts w:ascii="Arial" w:hAnsi="Arial"/>
                <w:sz w:val="18"/>
              </w:rPr>
              <w:t>Extractives &amp; Minerals Processing (Oil &amp; Gas)</w:t>
            </w:r>
          </w:p>
        </w:tc>
        <w:tc>
          <w:tcPr>
            <w:tcW w:type="dxa" w:w="1806"/>
          </w:tcPr>
          <w:p>
            <w:pPr>
              <w:jc w:val="right"/>
            </w:pPr>
            <w:r>
              <w:rPr>
                <w:rFonts w:ascii="Arial" w:hAnsi="Arial"/>
                <w:sz w:val="18"/>
              </w:rPr>
              <w:t>102.67</w:t>
            </w:r>
          </w:p>
        </w:tc>
        <w:tc>
          <w:tcPr>
            <w:tcW w:type="dxa" w:w="1806"/>
          </w:tcPr>
          <w:p>
            <w:pPr>
              <w:jc w:val="right"/>
            </w:pPr>
            <w:r>
              <w:rPr>
                <w:rFonts w:ascii="Arial" w:hAnsi="Arial"/>
                <w:sz w:val="18"/>
              </w:rPr>
              <w:t>9,573,144</w:t>
            </w:r>
          </w:p>
        </w:tc>
        <w:tc>
          <w:tcPr>
            <w:tcW w:type="dxa" w:w="1806"/>
          </w:tcPr>
          <w:p>
            <w:pPr>
              <w:jc w:val="right"/>
            </w:pPr>
            <w:r>
              <w:rPr>
                <w:rFonts w:ascii="Arial" w:hAnsi="Arial"/>
                <w:sz w:val="18"/>
              </w:rPr>
              <w:t>6,753,949</w:t>
            </w:r>
          </w:p>
        </w:tc>
        <w:tc>
          <w:tcPr>
            <w:tcW w:type="dxa" w:w="1806"/>
          </w:tcPr>
          <w:p>
            <w:r>
              <w:rPr>
                <w:rFonts w:ascii="Arial" w:hAnsi="Arial"/>
                <w:sz w:val="18"/>
              </w:rPr>
              <w:t>PCAF Asset Class 1 (Corporate Loans)</w:t>
            </w:r>
          </w:p>
        </w:tc>
      </w:tr>
      <w:tr>
        <w:tc>
          <w:tcPr>
            <w:tcW w:type="dxa" w:w="1806"/>
            <w:shd w:fill="F2F6FC" w:val="clear"/>
          </w:tcPr>
          <w:p>
            <w:r>
              <w:rPr>
                <w:rFonts w:ascii="Arial" w:hAnsi="Arial"/>
                <w:sz w:val="18"/>
              </w:rPr>
              <w:t>Resource Transformation (Cement, Steel)</w:t>
            </w:r>
          </w:p>
        </w:tc>
        <w:tc>
          <w:tcPr>
            <w:tcW w:type="dxa" w:w="1806"/>
            <w:shd w:fill="F2F6FC" w:val="clear"/>
          </w:tcPr>
          <w:p>
            <w:pPr>
              <w:jc w:val="right"/>
            </w:pPr>
            <w:r>
              <w:rPr>
                <w:rFonts w:ascii="Arial" w:hAnsi="Arial"/>
                <w:sz w:val="18"/>
              </w:rPr>
              <w:t>216.30</w:t>
            </w:r>
          </w:p>
        </w:tc>
        <w:tc>
          <w:tcPr>
            <w:tcW w:type="dxa" w:w="1806"/>
            <w:shd w:fill="F2F6FC" w:val="clear"/>
          </w:tcPr>
          <w:p>
            <w:pPr>
              <w:jc w:val="right"/>
            </w:pPr>
            <w:r>
              <w:rPr>
                <w:rFonts w:ascii="Arial" w:hAnsi="Arial"/>
                <w:sz w:val="18"/>
              </w:rPr>
              <w:t>9,313,294</w:t>
            </w:r>
          </w:p>
        </w:tc>
        <w:tc>
          <w:tcPr>
            <w:tcW w:type="dxa" w:w="1806"/>
            <w:shd w:fill="F2F6FC" w:val="clear"/>
          </w:tcPr>
          <w:p>
            <w:pPr>
              <w:jc w:val="right"/>
            </w:pPr>
            <w:r>
              <w:rPr>
                <w:rFonts w:ascii="Arial" w:hAnsi="Arial"/>
                <w:sz w:val="18"/>
              </w:rPr>
              <w:t>6,396,798</w:t>
            </w:r>
          </w:p>
        </w:tc>
        <w:tc>
          <w:tcPr>
            <w:tcW w:type="dxa" w:w="1806"/>
            <w:shd w:fill="F2F6FC" w:val="clear"/>
          </w:tcPr>
          <w:p>
            <w:r>
              <w:rPr>
                <w:rFonts w:ascii="Arial" w:hAnsi="Arial"/>
                <w:sz w:val="18"/>
              </w:rPr>
              <w:t>PCAF Asset Class 1 (Corporate Loans)</w:t>
            </w:r>
          </w:p>
        </w:tc>
      </w:tr>
      <w:tr>
        <w:tc>
          <w:tcPr>
            <w:tcW w:type="dxa" w:w="1806"/>
          </w:tcPr>
          <w:p>
            <w:r>
              <w:rPr>
                <w:rFonts w:ascii="Arial" w:hAnsi="Arial"/>
                <w:sz w:val="18"/>
              </w:rPr>
              <w:t>Transportation (Road Freight &amp; Logistics)</w:t>
            </w:r>
          </w:p>
        </w:tc>
        <w:tc>
          <w:tcPr>
            <w:tcW w:type="dxa" w:w="1806"/>
          </w:tcPr>
          <w:p>
            <w:pPr>
              <w:jc w:val="right"/>
            </w:pPr>
            <w:r>
              <w:rPr>
                <w:rFonts w:ascii="Arial" w:hAnsi="Arial"/>
                <w:sz w:val="18"/>
              </w:rPr>
              <w:t>155.55</w:t>
            </w:r>
          </w:p>
        </w:tc>
        <w:tc>
          <w:tcPr>
            <w:tcW w:type="dxa" w:w="1806"/>
          </w:tcPr>
          <w:p>
            <w:pPr>
              <w:jc w:val="right"/>
            </w:pPr>
            <w:r>
              <w:rPr>
                <w:rFonts w:ascii="Arial" w:hAnsi="Arial"/>
                <w:sz w:val="18"/>
              </w:rPr>
              <w:t>1,227,020</w:t>
            </w:r>
          </w:p>
        </w:tc>
        <w:tc>
          <w:tcPr>
            <w:tcW w:type="dxa" w:w="1806"/>
          </w:tcPr>
          <w:p>
            <w:pPr>
              <w:jc w:val="right"/>
            </w:pPr>
            <w:r>
              <w:rPr>
                <w:rFonts w:ascii="Arial" w:hAnsi="Arial"/>
                <w:sz w:val="18"/>
              </w:rPr>
              <w:t>864,356</w:t>
            </w:r>
          </w:p>
        </w:tc>
        <w:tc>
          <w:tcPr>
            <w:tcW w:type="dxa" w:w="1806"/>
          </w:tcPr>
          <w:p>
            <w:r>
              <w:rPr>
                <w:rFonts w:ascii="Arial" w:hAnsi="Arial"/>
                <w:sz w:val="18"/>
              </w:rPr>
              <w:t>PCAF Asset Class 1 (Corporate Loans)</w:t>
            </w:r>
          </w:p>
        </w:tc>
      </w:tr>
      <w:tr>
        <w:tc>
          <w:tcPr>
            <w:tcW w:type="dxa" w:w="1806"/>
            <w:shd w:fill="F2F6FC" w:val="clear"/>
          </w:tcPr>
          <w:p>
            <w:r>
              <w:rPr>
                <w:rFonts w:ascii="Arial" w:hAnsi="Arial"/>
                <w:sz w:val="18"/>
              </w:rPr>
              <w:t>Food &amp; Beverage (Manufacturing)</w:t>
            </w:r>
          </w:p>
        </w:tc>
        <w:tc>
          <w:tcPr>
            <w:tcW w:type="dxa" w:w="1806"/>
            <w:shd w:fill="F2F6FC" w:val="clear"/>
          </w:tcPr>
          <w:p>
            <w:pPr>
              <w:jc w:val="right"/>
            </w:pPr>
            <w:r>
              <w:rPr>
                <w:rFonts w:ascii="Arial" w:hAnsi="Arial"/>
                <w:sz w:val="18"/>
              </w:rPr>
              <w:t>169.14</w:t>
            </w:r>
          </w:p>
        </w:tc>
        <w:tc>
          <w:tcPr>
            <w:tcW w:type="dxa" w:w="1806"/>
            <w:shd w:fill="F2F6FC" w:val="clear"/>
          </w:tcPr>
          <w:p>
            <w:pPr>
              <w:jc w:val="right"/>
            </w:pPr>
            <w:r>
              <w:rPr>
                <w:rFonts w:ascii="Arial" w:hAnsi="Arial"/>
                <w:sz w:val="18"/>
              </w:rPr>
              <w:t>936,111</w:t>
            </w:r>
          </w:p>
        </w:tc>
        <w:tc>
          <w:tcPr>
            <w:tcW w:type="dxa" w:w="1806"/>
            <w:shd w:fill="F2F6FC" w:val="clear"/>
          </w:tcPr>
          <w:p>
            <w:pPr>
              <w:jc w:val="right"/>
            </w:pPr>
            <w:r>
              <w:rPr>
                <w:rFonts w:ascii="Arial" w:hAnsi="Arial"/>
                <w:sz w:val="18"/>
              </w:rPr>
              <w:t>653,414</w:t>
            </w:r>
          </w:p>
        </w:tc>
        <w:tc>
          <w:tcPr>
            <w:tcW w:type="dxa" w:w="1806"/>
            <w:shd w:fill="F2F6FC" w:val="clear"/>
          </w:tcPr>
          <w:p>
            <w:r>
              <w:rPr>
                <w:rFonts w:ascii="Arial" w:hAnsi="Arial"/>
                <w:sz w:val="18"/>
              </w:rPr>
              <w:t>PCAF Asset Class 1 (Corporate Loans)</w:t>
            </w:r>
          </w:p>
        </w:tc>
      </w:tr>
      <w:tr>
        <w:tc>
          <w:tcPr>
            <w:tcW w:type="dxa" w:w="1806"/>
          </w:tcPr>
          <w:p>
            <w:r>
              <w:rPr>
                <w:rFonts w:ascii="Arial" w:hAnsi="Arial"/>
                <w:sz w:val="18"/>
              </w:rPr>
              <w:t>Renewable Resources &amp; Alternative Energy (Agriculture)</w:t>
            </w:r>
          </w:p>
        </w:tc>
        <w:tc>
          <w:tcPr>
            <w:tcW w:type="dxa" w:w="1806"/>
          </w:tcPr>
          <w:p>
            <w:pPr>
              <w:jc w:val="right"/>
            </w:pPr>
            <w:r>
              <w:rPr>
                <w:rFonts w:ascii="Arial" w:hAnsi="Arial"/>
                <w:sz w:val="18"/>
              </w:rPr>
              <w:t>118.90</w:t>
            </w:r>
          </w:p>
        </w:tc>
        <w:tc>
          <w:tcPr>
            <w:tcW w:type="dxa" w:w="1806"/>
          </w:tcPr>
          <w:p>
            <w:pPr>
              <w:jc w:val="right"/>
            </w:pPr>
            <w:r>
              <w:rPr>
                <w:rFonts w:ascii="Arial" w:hAnsi="Arial"/>
                <w:sz w:val="18"/>
              </w:rPr>
              <w:t>288,493</w:t>
            </w:r>
          </w:p>
        </w:tc>
        <w:tc>
          <w:tcPr>
            <w:tcW w:type="dxa" w:w="1806"/>
          </w:tcPr>
          <w:p>
            <w:pPr>
              <w:jc w:val="right"/>
            </w:pPr>
            <w:r>
              <w:rPr>
                <w:rFonts w:ascii="Arial" w:hAnsi="Arial"/>
                <w:sz w:val="18"/>
              </w:rPr>
              <w:t>183,548</w:t>
            </w:r>
          </w:p>
        </w:tc>
        <w:tc>
          <w:tcPr>
            <w:tcW w:type="dxa" w:w="1806"/>
          </w:tcPr>
          <w:p>
            <w:r>
              <w:rPr>
                <w:rFonts w:ascii="Arial" w:hAnsi="Arial"/>
                <w:sz w:val="18"/>
              </w:rPr>
              <w:t>PCAF Asset Class 1 (Corporate Loans)</w:t>
            </w:r>
          </w:p>
        </w:tc>
      </w:tr>
      <w:tr>
        <w:tc>
          <w:tcPr>
            <w:tcW w:type="dxa" w:w="1806"/>
            <w:shd w:fill="F2F6FC" w:val="clear"/>
          </w:tcPr>
          <w:p>
            <w:r>
              <w:rPr>
                <w:rFonts w:ascii="Arial" w:hAnsi="Arial"/>
                <w:sz w:val="18"/>
              </w:rPr>
              <w:t>Infrastructure (Real Estate)</w:t>
            </w:r>
          </w:p>
        </w:tc>
        <w:tc>
          <w:tcPr>
            <w:tcW w:type="dxa" w:w="1806"/>
            <w:shd w:fill="F2F6FC" w:val="clear"/>
          </w:tcPr>
          <w:p>
            <w:pPr>
              <w:jc w:val="right"/>
            </w:pPr>
            <w:r>
              <w:rPr>
                <w:rFonts w:ascii="Arial" w:hAnsi="Arial"/>
                <w:sz w:val="18"/>
              </w:rPr>
              <w:t>419.16</w:t>
            </w:r>
          </w:p>
        </w:tc>
        <w:tc>
          <w:tcPr>
            <w:tcW w:type="dxa" w:w="1806"/>
            <w:shd w:fill="F2F6FC" w:val="clear"/>
          </w:tcPr>
          <w:p>
            <w:pPr>
              <w:jc w:val="right"/>
            </w:pPr>
            <w:r>
              <w:rPr>
                <w:rFonts w:ascii="Arial" w:hAnsi="Arial"/>
                <w:sz w:val="18"/>
              </w:rPr>
              <w:t>338,700</w:t>
            </w:r>
          </w:p>
        </w:tc>
        <w:tc>
          <w:tcPr>
            <w:tcW w:type="dxa" w:w="1806"/>
            <w:shd w:fill="F2F6FC" w:val="clear"/>
          </w:tcPr>
          <w:p>
            <w:pPr>
              <w:jc w:val="right"/>
            </w:pPr>
            <w:r>
              <w:rPr>
                <w:rFonts w:ascii="Arial" w:hAnsi="Arial"/>
                <w:sz w:val="18"/>
              </w:rPr>
              <w:t>237,578</w:t>
            </w:r>
          </w:p>
        </w:tc>
        <w:tc>
          <w:tcPr>
            <w:tcW w:type="dxa" w:w="1806"/>
            <w:shd w:fill="F2F6FC" w:val="clear"/>
          </w:tcPr>
          <w:p>
            <w:r>
              <w:rPr>
                <w:rFonts w:ascii="Arial" w:hAnsi="Arial"/>
                <w:sz w:val="18"/>
              </w:rPr>
              <w:t>PCAF Asset Class 1 (Corporate Loans)</w:t>
            </w:r>
          </w:p>
        </w:tc>
      </w:tr>
      <w:tr>
        <w:tc>
          <w:tcPr>
            <w:tcW w:type="dxa" w:w="1806"/>
          </w:tcPr>
          <w:p>
            <w:r>
              <w:rPr>
                <w:rFonts w:ascii="Arial" w:hAnsi="Arial"/>
                <w:sz w:val="18"/>
              </w:rPr>
              <w:t>Services (Retail Trade, Financial Services)</w:t>
            </w:r>
          </w:p>
        </w:tc>
        <w:tc>
          <w:tcPr>
            <w:tcW w:type="dxa" w:w="1806"/>
          </w:tcPr>
          <w:p>
            <w:pPr>
              <w:jc w:val="right"/>
            </w:pPr>
            <w:r>
              <w:rPr>
                <w:rFonts w:ascii="Arial" w:hAnsi="Arial"/>
                <w:sz w:val="18"/>
              </w:rPr>
              <w:t>359.47</w:t>
            </w:r>
          </w:p>
        </w:tc>
        <w:tc>
          <w:tcPr>
            <w:tcW w:type="dxa" w:w="1806"/>
          </w:tcPr>
          <w:p>
            <w:pPr>
              <w:jc w:val="right"/>
            </w:pPr>
            <w:r>
              <w:rPr>
                <w:rFonts w:ascii="Arial" w:hAnsi="Arial"/>
                <w:sz w:val="18"/>
              </w:rPr>
              <w:t>300,035</w:t>
            </w:r>
          </w:p>
        </w:tc>
        <w:tc>
          <w:tcPr>
            <w:tcW w:type="dxa" w:w="1806"/>
          </w:tcPr>
          <w:p>
            <w:pPr>
              <w:jc w:val="right"/>
            </w:pPr>
            <w:r>
              <w:rPr>
                <w:rFonts w:ascii="Arial" w:hAnsi="Arial"/>
                <w:sz w:val="18"/>
              </w:rPr>
              <w:t>190,531</w:t>
            </w:r>
          </w:p>
        </w:tc>
        <w:tc>
          <w:tcPr>
            <w:tcW w:type="dxa" w:w="1806"/>
          </w:tcPr>
          <w:p>
            <w:r>
              <w:rPr>
                <w:rFonts w:ascii="Arial" w:hAnsi="Arial"/>
                <w:sz w:val="18"/>
              </w:rPr>
              <w:t>PCAF Asset Class 1 (Corporate Loans)</w:t>
            </w:r>
          </w:p>
        </w:tc>
      </w:tr>
    </w:tbl>
    <w:p>
      <w:r>
        <w:rPr>
          <w:rFonts w:ascii="Arial" w:hAnsi="Arial"/>
          <w:i/>
          <w:sz w:val="16"/>
        </w:rPr>
        <w:t>Source: Source: Institution's PCAF calculation mapped to SASB industry classifications. Figures represent Scope 3 Category 15 financed emissions per SASB FN-CB-410a.3 disclosure requirement for commercial banks. Total portfolio: IDR 1,541.18 trillion.</w:t>
      </w:r>
    </w:p>
    <w:p/>
    <w:p>
      <w:r>
        <w:rPr>
          <w:i/>
          <w:color w:val="3D6094"/>
          <w:sz w:val="18"/>
        </w:rPr>
        <w:t>Framework references: IFRS S2 para 29(a)(vi)(2) — Financed emissions disclosure for financial institutions; IFRS S2 para B58-B63 — Guidance on financed emissions calculation; GHG Protocol Scope 3 Standard — Category 15: Investments; PCAF Global GHG Accounting and Reporting Standard (2022); SASB FN-CB-410a.3 — Description of approach to incorporation of environmental, social, and governance (ESG) factors in credit analysis (financed emissions metric)</w:t>
      </w:r>
    </w:p>
    <w:p>
      <w:pPr>
        <w:spacing w:after="80"/>
        <w:pBdr>
          <w:bottom w:val="single" w:sz="6" w:space="1" w:color="999999"/>
        </w:pBdr>
      </w:pPr>
    </w:p>
    <w:p>
      <w:pPr>
        <w:spacing w:after="160" w:line="276" w:lineRule="auto"/>
        <w:jc w:val="both"/>
      </w:pPr>
      <w:r>
        <w:rPr>
          <w:rFonts w:ascii="Arial" w:hAnsi="Arial"/>
          <w:i/>
          <w:color w:val="646464"/>
          <w:sz w:val="18"/>
        </w:rPr>
        <w:t>Financed emissions calculated using the Partnership for Carbon Accounting Financials (PCAF) Global GHG Accounting and Reporting Standard (2022 edition). Methodology aligns with GHG Protocol Corporate Value Chain (Scope 3) Accounting and Reporting Standard, Category 15: Investments.</w:t>
      </w:r>
    </w:p>
    <w:p>
      <w:pPr>
        <w:spacing w:after="160" w:line="276" w:lineRule="auto"/>
        <w:jc w:val="both"/>
      </w:pPr>
      <w:r>
        <w:rPr>
          <w:rFonts w:ascii="Arial" w:hAnsi="Arial"/>
          <w:i/>
          <w:color w:val="646464"/>
          <w:sz w:val="18"/>
        </w:rPr>
        <w:t>Gross financed emissions represent the institution's best estimate of actual emissions attributable to its lending portfolio. Confidence-weighted financed emissions apply PCAF confidence factors (ranging from 0.45 to 1.00) to adjust for data quality, with lower-quality estimates receiving greater discounts. The weighted figure is always equal to or lower than the gross figure.</w:t>
      </w:r>
    </w:p>
    <w:p>
      <w:pPr>
        <w:spacing w:after="160" w:line="276" w:lineRule="auto"/>
        <w:jc w:val="both"/>
      </w:pPr>
      <w:r>
        <w:rPr>
          <w:rFonts w:ascii="Arial" w:hAnsi="Arial"/>
          <w:i/>
          <w:color w:val="646464"/>
          <w:sz w:val="18"/>
        </w:rPr>
        <w:t>PCAF data quality scores range from 1 (highest quality: verified borrower-reported emissions) to 5 (lowest quality: sector-average proxy based on economic input-output models). Portfolio-weighted average score of 3.36 indicates majority reliance on EEIO models combined with borrower revenue/asset data.</w:t>
      </w:r>
    </w:p>
    <w:p>
      <w:pPr>
        <w:spacing w:after="160" w:line="276" w:lineRule="auto"/>
        <w:jc w:val="both"/>
      </w:pPr>
      <w:r>
        <w:rPr>
          <w:rFonts w:ascii="Arial" w:hAnsi="Arial"/>
          <w:i/>
          <w:color w:val="646464"/>
          <w:sz w:val="18"/>
        </w:rPr>
        <w:t>Asset classes covered: PCAF Asset Class 1 (Corporate Loans) and Asset Class 2 (Project Finance). Residential mortgages (Asset Class 5) and consumer loans (Asset Class 6) are excluded from this disclosure as they are not yet implemented in the institution's PCAF reporting system.</w:t>
      </w:r>
    </w:p>
    <w:p>
      <w:pPr>
        <w:spacing w:after="160" w:line="276" w:lineRule="auto"/>
        <w:jc w:val="both"/>
      </w:pPr>
      <w:r>
        <w:rPr>
          <w:rFonts w:ascii="Arial" w:hAnsi="Arial"/>
          <w:i/>
          <w:color w:val="646464"/>
          <w:sz w:val="18"/>
        </w:rPr>
        <w:t>Year-over-year comparison is not presented for 2024 as this represents the institution's first full-year implementation of PCAF methodology. Baseline established for future trend analysis beginning with 2025 reporting period.</w:t>
      </w:r>
    </w:p>
    <w:p>
      <w:pPr>
        <w:spacing w:after="160" w:line="276" w:lineRule="auto"/>
        <w:jc w:val="both"/>
      </w:pPr>
      <w:r>
        <w:rPr>
          <w:rFonts w:ascii="Arial" w:hAnsi="Arial"/>
          <w:i/>
          <w:color w:val="646464"/>
          <w:sz w:val="18"/>
        </w:rPr>
        <w:t>These figures have not been subject to external assurance for the current reporting period. The institution plans to seek limited assurance for financed emissions in the 2025 reporting cycle.</w:t>
      </w:r>
    </w:p>
    <w:p>
      <w:pPr>
        <w:pStyle w:val="Heading2"/>
        <w:keepNext/>
        <w:spacing w:before="360" w:after="160"/>
      </w:pPr>
      <w:r>
        <w:rPr>
          <w:rFonts w:ascii="Arial" w:hAnsi="Arial"/>
          <w:b/>
          <w:color w:val="3D6094"/>
          <w:sz w:val="28"/>
        </w:rPr>
        <w:t>GRI 305-4: GHG Emissions Intensity</w:t>
      </w:r>
    </w:p>
    <w:p>
      <w:pPr>
        <w:spacing w:after="160" w:line="276" w:lineRule="auto"/>
        <w:jc w:val="both"/>
      </w:pPr>
      <w:r>
        <w:rPr>
          <w:rFonts w:ascii="Arial" w:hAnsi="Arial"/>
          <w:sz w:val="22"/>
        </w:rPr>
        <w:t>The institution's greenhouse gas emissions intensity for the 2024 reporting period was 239.400139 tCO2e per IDR billion of revenue and 1.9209 tCO2e per full-time equivalent employee. These intensity metrics normalize absolute emissions against organizational scale indicators to enable performance tracking and peer comparison in accordance with IFRS S2 cross-industry metrics requirements.</w:t>
      </w:r>
    </w:p>
    <w:p>
      <w:pPr>
        <w:spacing w:after="160" w:line="276" w:lineRule="auto"/>
        <w:jc w:val="both"/>
      </w:pPr>
      <w:r>
        <w:rPr>
          <w:rFonts w:ascii="Arial" w:hAnsi="Arial"/>
          <w:i/>
          <w:sz w:val="22"/>
        </w:rPr>
        <w:t>The revenue-based intensity metric encompasses Scope 1, Scope 2 (market-based method), and Scope 3 Category 15 gross financed emissions, totaling 22,024,813.173 tCO2e, divided by consolidated revenue. The FTE-based intensity metric includes only operational emissions (Scope 1 and Scope 2 market-based), totaling 48,015.515 tCO2e, divided by 24,997 full-time equivalent employees as of 31 December 2024. Revenue figures are derived from audited consolidated financial statements prepared under Indonesian Financial Accounting Standards. FTE count includes all permanent employees under operational control, excluding contractors and temporary staff.</w:t>
      </w:r>
    </w:p>
    <w:p>
      <w:pPr>
        <w:spacing w:after="160" w:line="276" w:lineRule="auto"/>
        <w:jc w:val="both"/>
      </w:pPr>
      <w:r>
        <w:rPr>
          <w:rFonts w:ascii="Arial" w:hAnsi="Arial"/>
          <w:sz w:val="22"/>
        </w:rPr>
        <w:t>The revenue intensity metric decreased 11.37% year-over-year from 270.116632 tCO2e per IDR billion in 2023 to 239.400139 tCO2e per IDR billion in 2024, reflecting a 4.07% reduction in total emissions combined with revenue growth. The FTE intensity metric decreased 1.80% from 1.956 tCO2e per FTE in 2023 to 1.9209 tCO2e per FTE in 2024, driven by operational emissions reduction despite a 2.03% increase in headcount. Both intensity improvements demonstrate decoupling of emissions growth from business expansion, consistent with the institution's transition plan objectives.</w:t>
      </w:r>
    </w:p>
    <w:p>
      <w:pPr>
        <w:spacing w:after="160" w:line="276" w:lineRule="auto"/>
        <w:jc w:val="both"/>
      </w:pPr>
      <w:r>
        <w:rPr>
          <w:rFonts w:ascii="Arial" w:hAnsi="Arial"/>
          <w:sz w:val="22"/>
        </w:rPr>
        <w:t>The revenue intensity improvement was primarily attributable to portfolio rebalancing toward lower-emission sectors and enhanced data quality in financed emissions calculations. The weighted financed emissions methodology under PCAF resulted in a 30.47% reduction from gross financed emissions (21,976,797.3 tCO2e gross versus 15,280,174.14 tCO2e weighted), reflecting improved attribution accuracy. Operational intensity improvement resulted from energy efficiency measures at branch facilities and grid decarbonization in Indonesia's electricity supply, partially offset by increased diesel consumption for backup generation during grid instability periods.</w:t>
      </w:r>
    </w:p>
    <w:p>
      <w:pPr>
        <w:spacing w:after="160" w:line="276" w:lineRule="auto"/>
        <w:jc w:val="both"/>
      </w:pPr>
      <w:r>
        <w:rPr>
          <w:rFonts w:ascii="Arial" w:hAnsi="Arial"/>
          <w:sz w:val="22"/>
        </w:rPr>
        <w:t>Industry benchmarking indicates the institution's operational intensity (1.9209 tCO2e per FTE) remains above regional peers. DBS Group reported 2023 operational intensity of approximately 1.2 tCO2e per FTE, while BCA's 2024 sustainability report indicates operational emissions intensity below 1.5 tCO2e per FTE through aggressive renewable energy procurement and facility optimization. The institution's financed emissions intensity per unit of lending exposure (239.400139 tCO2e per IDR billion) reflects the carbon-intensive composition of the Indonesian corporate lending market, with 43.56% of financed emissions concentrated in the Energy - Oil &amp; Gas sector despite representing only 6.66% of portfolio value.</w:t>
      </w:r>
    </w:p>
    <w:p>
      <w:pPr>
        <w:spacing w:after="160" w:line="276" w:lineRule="auto"/>
        <w:jc w:val="both"/>
      </w:pPr>
      <w:r>
        <w:rPr>
          <w:rFonts w:ascii="Arial" w:hAnsi="Arial"/>
          <w:sz w:val="22"/>
        </w:rPr>
        <w:t>For SASB FN-CB-410 industry-based metrics, the institution calculates sector-specific emission intensities to enable peer comparison within the commercial banking industry. The highest emission intensity sectors are Energy - Oil &amp; Gas (93.242 tCO2e per IDR billion outstanding), Manufacturing - Cement (53.9927 tCO2e per IDR billion), and Manufacturing - Steel (32.2175 tCO2e per IDR billion). Lower-intensity sectors include Financial Services (0.3567 tCO2e per IDR billion), Real Estate - Residential (0.6381 tCO2e per IDR billion), and Real Estate - Commercial (0.9222 tCO2e per IDR billion). These sector intensities inform credit risk assessment and portfolio decarbonization strategy under the institution's climate transition plan.</w:t>
      </w:r>
    </w:p>
    <w:p>
      <w:r>
        <w:rPr>
          <w:rFonts w:ascii="Arial" w:hAnsi="Arial"/>
          <w:b/>
          <w:sz w:val="20"/>
        </w:rPr>
        <w:t>Table: GHG Emissions Intensity Calculation Methodology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Intensity Metric</w:t>
            </w:r>
          </w:p>
        </w:tc>
        <w:tc>
          <w:tcPr>
            <w:tcW w:type="dxa" w:w="1290"/>
            <w:shd w:fill="1B3A6B" w:val="clear"/>
          </w:tcPr>
          <w:p>
            <w:r>
              <w:rPr>
                <w:rFonts w:ascii="Arial" w:hAnsi="Arial"/>
                <w:b/>
                <w:color w:val="FFFFFF"/>
                <w:sz w:val="18"/>
              </w:rPr>
              <w:t>Numerator (tCO2e)</w:t>
            </w:r>
          </w:p>
        </w:tc>
        <w:tc>
          <w:tcPr>
            <w:tcW w:type="dxa" w:w="1290"/>
            <w:shd w:fill="1B3A6B" w:val="clear"/>
          </w:tcPr>
          <w:p>
            <w:r>
              <w:rPr>
                <w:rFonts w:ascii="Arial" w:hAnsi="Arial"/>
                <w:b/>
                <w:color w:val="FFFFFF"/>
                <w:sz w:val="18"/>
              </w:rPr>
              <w:t>Denominator</w:t>
            </w:r>
          </w:p>
        </w:tc>
        <w:tc>
          <w:tcPr>
            <w:tcW w:type="dxa" w:w="1290"/>
            <w:shd w:fill="1B3A6B" w:val="clear"/>
          </w:tcPr>
          <w:p>
            <w:r>
              <w:rPr>
                <w:rFonts w:ascii="Arial" w:hAnsi="Arial"/>
                <w:b/>
                <w:color w:val="FFFFFF"/>
                <w:sz w:val="18"/>
              </w:rPr>
              <w:t>Denominator Value</w:t>
            </w:r>
          </w:p>
        </w:tc>
        <w:tc>
          <w:tcPr>
            <w:tcW w:type="dxa" w:w="1290"/>
            <w:shd w:fill="1B3A6B" w:val="clear"/>
          </w:tcPr>
          <w:p>
            <w:r>
              <w:rPr>
                <w:rFonts w:ascii="Arial" w:hAnsi="Arial"/>
                <w:b/>
                <w:color w:val="FFFFFF"/>
                <w:sz w:val="18"/>
              </w:rPr>
              <w:t>Intensity Ratio</w:t>
            </w:r>
          </w:p>
        </w:tc>
        <w:tc>
          <w:tcPr>
            <w:tcW w:type="dxa" w:w="1290"/>
            <w:shd w:fill="1B3A6B" w:val="clear"/>
          </w:tcPr>
          <w:p>
            <w:r>
              <w:rPr>
                <w:rFonts w:ascii="Arial" w:hAnsi="Arial"/>
                <w:b/>
                <w:color w:val="FFFFFF"/>
                <w:sz w:val="18"/>
              </w:rPr>
              <w:t>Unit</w:t>
            </w:r>
          </w:p>
        </w:tc>
        <w:tc>
          <w:tcPr>
            <w:tcW w:type="dxa" w:w="1290"/>
            <w:shd w:fill="1B3A6B" w:val="clear"/>
          </w:tcPr>
          <w:p>
            <w:r>
              <w:rPr>
                <w:rFonts w:ascii="Arial" w:hAnsi="Arial"/>
                <w:b/>
                <w:color w:val="FFFFFF"/>
                <w:sz w:val="18"/>
              </w:rPr>
              <w:t>Scope Coverage</w:t>
            </w:r>
          </w:p>
        </w:tc>
      </w:tr>
      <w:tr>
        <w:tc>
          <w:tcPr>
            <w:tcW w:type="dxa" w:w="1290"/>
          </w:tcPr>
          <w:p>
            <w:r>
              <w:rPr>
                <w:rFonts w:ascii="Arial" w:hAnsi="Arial"/>
                <w:sz w:val="18"/>
              </w:rPr>
              <w:t>Revenue Intensity</w:t>
            </w:r>
          </w:p>
        </w:tc>
        <w:tc>
          <w:tcPr>
            <w:tcW w:type="dxa" w:w="1290"/>
          </w:tcPr>
          <w:p>
            <w:pPr>
              <w:jc w:val="right"/>
            </w:pPr>
            <w:r>
              <w:rPr>
                <w:rFonts w:ascii="Arial" w:hAnsi="Arial"/>
                <w:sz w:val="18"/>
              </w:rPr>
              <w:t>22,024,813.173</w:t>
            </w:r>
          </w:p>
        </w:tc>
        <w:tc>
          <w:tcPr>
            <w:tcW w:type="dxa" w:w="1290"/>
          </w:tcPr>
          <w:p>
            <w:r>
              <w:rPr>
                <w:rFonts w:ascii="Arial" w:hAnsi="Arial"/>
                <w:sz w:val="18"/>
              </w:rPr>
              <w:t>Consolidated Revenue</w:t>
            </w:r>
          </w:p>
        </w:tc>
        <w:tc>
          <w:tcPr>
            <w:tcW w:type="dxa" w:w="1290"/>
          </w:tcPr>
          <w:p>
            <w:r>
              <w:rPr>
                <w:rFonts w:ascii="Arial" w:hAnsi="Arial"/>
                <w:sz w:val="18"/>
              </w:rPr>
              <w:t>92,000 billion IDR</w:t>
            </w:r>
          </w:p>
        </w:tc>
        <w:tc>
          <w:tcPr>
            <w:tcW w:type="dxa" w:w="1290"/>
          </w:tcPr>
          <w:p>
            <w:pPr>
              <w:jc w:val="right"/>
            </w:pPr>
            <w:r>
              <w:rPr>
                <w:rFonts w:ascii="Arial" w:hAnsi="Arial"/>
                <w:sz w:val="18"/>
              </w:rPr>
              <w:t>239.400139</w:t>
            </w:r>
          </w:p>
        </w:tc>
        <w:tc>
          <w:tcPr>
            <w:tcW w:type="dxa" w:w="1290"/>
          </w:tcPr>
          <w:p>
            <w:r>
              <w:rPr>
                <w:rFonts w:ascii="Arial" w:hAnsi="Arial"/>
                <w:sz w:val="18"/>
              </w:rPr>
              <w:t>tCO2e per IDR billion</w:t>
            </w:r>
          </w:p>
        </w:tc>
        <w:tc>
          <w:tcPr>
            <w:tcW w:type="dxa" w:w="1290"/>
          </w:tcPr>
          <w:p>
            <w:r>
              <w:rPr>
                <w:rFonts w:ascii="Arial" w:hAnsi="Arial"/>
                <w:sz w:val="18"/>
              </w:rPr>
              <w:t>Scope 1 + 2 (market) + 3 Cat.15 gross</w:t>
            </w:r>
          </w:p>
        </w:tc>
      </w:tr>
      <w:tr>
        <w:tc>
          <w:tcPr>
            <w:tcW w:type="dxa" w:w="1290"/>
            <w:shd w:fill="F2F6FC" w:val="clear"/>
          </w:tcPr>
          <w:p>
            <w:r>
              <w:rPr>
                <w:rFonts w:ascii="Arial" w:hAnsi="Arial"/>
                <w:sz w:val="18"/>
              </w:rPr>
              <w:t>FTE Intensity</w:t>
            </w:r>
          </w:p>
        </w:tc>
        <w:tc>
          <w:tcPr>
            <w:tcW w:type="dxa" w:w="1290"/>
            <w:shd w:fill="F2F6FC" w:val="clear"/>
          </w:tcPr>
          <w:p>
            <w:pPr>
              <w:jc w:val="right"/>
            </w:pPr>
            <w:r>
              <w:rPr>
                <w:rFonts w:ascii="Arial" w:hAnsi="Arial"/>
                <w:sz w:val="18"/>
              </w:rPr>
              <w:t>48,015.515</w:t>
            </w:r>
          </w:p>
        </w:tc>
        <w:tc>
          <w:tcPr>
            <w:tcW w:type="dxa" w:w="1290"/>
            <w:shd w:fill="F2F6FC" w:val="clear"/>
          </w:tcPr>
          <w:p>
            <w:r>
              <w:rPr>
                <w:rFonts w:ascii="Arial" w:hAnsi="Arial"/>
                <w:sz w:val="18"/>
              </w:rPr>
              <w:t>Full-Time Equivalents</w:t>
            </w:r>
          </w:p>
        </w:tc>
        <w:tc>
          <w:tcPr>
            <w:tcW w:type="dxa" w:w="1290"/>
            <w:shd w:fill="F2F6FC" w:val="clear"/>
          </w:tcPr>
          <w:p>
            <w:pPr>
              <w:jc w:val="right"/>
            </w:pPr>
            <w:r>
              <w:rPr>
                <w:rFonts w:ascii="Arial" w:hAnsi="Arial"/>
                <w:sz w:val="18"/>
              </w:rPr>
              <w:t>24,997</w:t>
            </w:r>
          </w:p>
        </w:tc>
        <w:tc>
          <w:tcPr>
            <w:tcW w:type="dxa" w:w="1290"/>
            <w:shd w:fill="F2F6FC" w:val="clear"/>
          </w:tcPr>
          <w:p>
            <w:pPr>
              <w:jc w:val="right"/>
            </w:pPr>
            <w:r>
              <w:rPr>
                <w:rFonts w:ascii="Arial" w:hAnsi="Arial"/>
                <w:sz w:val="18"/>
              </w:rPr>
              <w:t>1.9209</w:t>
            </w:r>
          </w:p>
        </w:tc>
        <w:tc>
          <w:tcPr>
            <w:tcW w:type="dxa" w:w="1290"/>
            <w:shd w:fill="F2F6FC" w:val="clear"/>
          </w:tcPr>
          <w:p>
            <w:r>
              <w:rPr>
                <w:rFonts w:ascii="Arial" w:hAnsi="Arial"/>
                <w:sz w:val="18"/>
              </w:rPr>
              <w:t>tCO2e per FTE</w:t>
            </w:r>
          </w:p>
        </w:tc>
        <w:tc>
          <w:tcPr>
            <w:tcW w:type="dxa" w:w="1290"/>
            <w:shd w:fill="F2F6FC" w:val="clear"/>
          </w:tcPr>
          <w:p>
            <w:r>
              <w:rPr>
                <w:rFonts w:ascii="Arial" w:hAnsi="Arial"/>
                <w:sz w:val="18"/>
              </w:rPr>
              <w:t>Scope 1 + 2 (market) only</w:t>
            </w:r>
          </w:p>
        </w:tc>
      </w:tr>
    </w:tbl>
    <w:p>
      <w:r>
        <w:rPr>
          <w:rFonts w:ascii="Arial" w:hAnsi="Arial"/>
          <w:i/>
          <w:sz w:val="16"/>
        </w:rPr>
        <w:t>Source: Numerators calculated per GHG Protocol Corporate Standard and PCAF Global GHG Accounting Standard (2022). Revenue from audited 2024 consolidated financial statements. FTE count as of 31 December 2024 excluding contractors.</w:t>
      </w:r>
    </w:p>
    <w:p/>
    <w:p>
      <w:r>
        <w:rPr>
          <w:rFonts w:ascii="Arial" w:hAnsi="Arial"/>
          <w:b/>
          <w:sz w:val="20"/>
        </w:rPr>
        <w:t>Table: Year-over-Year Intensity Performance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Metric</w:t>
            </w:r>
          </w:p>
        </w:tc>
        <w:tc>
          <w:tcPr>
            <w:tcW w:type="dxa" w:w="1505"/>
            <w:shd w:fill="1B3A6B" w:val="clear"/>
          </w:tcPr>
          <w:p>
            <w:r>
              <w:rPr>
                <w:rFonts w:ascii="Arial" w:hAnsi="Arial"/>
                <w:b/>
                <w:color w:val="FFFFFF"/>
                <w:sz w:val="18"/>
              </w:rPr>
              <w:t>2023 Value</w:t>
            </w:r>
          </w:p>
        </w:tc>
        <w:tc>
          <w:tcPr>
            <w:tcW w:type="dxa" w:w="1505"/>
            <w:shd w:fill="1B3A6B" w:val="clear"/>
          </w:tcPr>
          <w:p>
            <w:r>
              <w:rPr>
                <w:rFonts w:ascii="Arial" w:hAnsi="Arial"/>
                <w:b/>
                <w:color w:val="FFFFFF"/>
                <w:sz w:val="18"/>
              </w:rPr>
              <w:t>2024 Value</w:t>
            </w:r>
          </w:p>
        </w:tc>
        <w:tc>
          <w:tcPr>
            <w:tcW w:type="dxa" w:w="1505"/>
            <w:shd w:fill="1B3A6B" w:val="clear"/>
          </w:tcPr>
          <w:p>
            <w:r>
              <w:rPr>
                <w:rFonts w:ascii="Arial" w:hAnsi="Arial"/>
                <w:b/>
                <w:color w:val="FFFFFF"/>
                <w:sz w:val="18"/>
              </w:rPr>
              <w:t>Unit</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Interpretation</w:t>
            </w:r>
          </w:p>
        </w:tc>
      </w:tr>
      <w:tr>
        <w:tc>
          <w:tcPr>
            <w:tcW w:type="dxa" w:w="1505"/>
          </w:tcPr>
          <w:p>
            <w:r>
              <w:rPr>
                <w:rFonts w:ascii="Arial" w:hAnsi="Arial"/>
                <w:sz w:val="18"/>
              </w:rPr>
              <w:t>Revenue Intensity</w:t>
            </w:r>
          </w:p>
        </w:tc>
        <w:tc>
          <w:tcPr>
            <w:tcW w:type="dxa" w:w="1505"/>
          </w:tcPr>
          <w:p>
            <w:pPr>
              <w:jc w:val="right"/>
            </w:pPr>
            <w:r>
              <w:rPr>
                <w:rFonts w:ascii="Arial" w:hAnsi="Arial"/>
                <w:sz w:val="18"/>
              </w:rPr>
              <w:t>270.116632</w:t>
            </w:r>
          </w:p>
        </w:tc>
        <w:tc>
          <w:tcPr>
            <w:tcW w:type="dxa" w:w="1505"/>
          </w:tcPr>
          <w:p>
            <w:pPr>
              <w:jc w:val="right"/>
            </w:pPr>
            <w:r>
              <w:rPr>
                <w:rFonts w:ascii="Arial" w:hAnsi="Arial"/>
                <w:sz w:val="18"/>
              </w:rPr>
              <w:t>239.400139</w:t>
            </w:r>
          </w:p>
        </w:tc>
        <w:tc>
          <w:tcPr>
            <w:tcW w:type="dxa" w:w="1505"/>
          </w:tcPr>
          <w:p>
            <w:r>
              <w:rPr>
                <w:rFonts w:ascii="Arial" w:hAnsi="Arial"/>
                <w:sz w:val="18"/>
              </w:rPr>
              <w:t>tCO2e per IDR billion</w:t>
            </w:r>
          </w:p>
        </w:tc>
        <w:tc>
          <w:tcPr>
            <w:tcW w:type="dxa" w:w="1505"/>
          </w:tcPr>
          <w:p>
            <w:pPr>
              <w:jc w:val="right"/>
            </w:pPr>
            <w:r>
              <w:rPr>
                <w:rFonts w:ascii="Arial" w:hAnsi="Arial"/>
                <w:sz w:val="18"/>
              </w:rPr>
              <w:t>-11.37</w:t>
            </w:r>
          </w:p>
        </w:tc>
        <w:tc>
          <w:tcPr>
            <w:tcW w:type="dxa" w:w="1505"/>
          </w:tcPr>
          <w:p>
            <w:r>
              <w:rPr>
                <w:rFonts w:ascii="Arial" w:hAnsi="Arial"/>
                <w:sz w:val="18"/>
              </w:rPr>
              <w:t>Improved — emissions growth decoupled from revenue</w:t>
            </w:r>
          </w:p>
        </w:tc>
      </w:tr>
      <w:tr>
        <w:tc>
          <w:tcPr>
            <w:tcW w:type="dxa" w:w="1505"/>
            <w:shd w:fill="F2F6FC" w:val="clear"/>
          </w:tcPr>
          <w:p>
            <w:r>
              <w:rPr>
                <w:rFonts w:ascii="Arial" w:hAnsi="Arial"/>
                <w:sz w:val="18"/>
              </w:rPr>
              <w:t>FTE Intensity</w:t>
            </w:r>
          </w:p>
        </w:tc>
        <w:tc>
          <w:tcPr>
            <w:tcW w:type="dxa" w:w="1505"/>
            <w:shd w:fill="F2F6FC" w:val="clear"/>
          </w:tcPr>
          <w:p>
            <w:pPr>
              <w:jc w:val="right"/>
            </w:pPr>
            <w:r>
              <w:rPr>
                <w:rFonts w:ascii="Arial" w:hAnsi="Arial"/>
                <w:sz w:val="18"/>
              </w:rPr>
              <w:t>1.956</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c>
          <w:tcPr>
            <w:tcW w:type="dxa" w:w="1505"/>
            <w:shd w:fill="F2F6FC" w:val="clear"/>
          </w:tcPr>
          <w:p>
            <w:pPr>
              <w:jc w:val="right"/>
            </w:pPr>
            <w:r>
              <w:rPr>
                <w:rFonts w:ascii="Arial" w:hAnsi="Arial"/>
                <w:sz w:val="18"/>
              </w:rPr>
              <w:t>-1.80</w:t>
            </w:r>
          </w:p>
        </w:tc>
        <w:tc>
          <w:tcPr>
            <w:tcW w:type="dxa" w:w="1505"/>
            <w:shd w:fill="F2F6FC" w:val="clear"/>
          </w:tcPr>
          <w:p>
            <w:r>
              <w:rPr>
                <w:rFonts w:ascii="Arial" w:hAnsi="Arial"/>
                <w:sz w:val="18"/>
              </w:rPr>
              <w:t>Improved — operational efficiency gains</w:t>
            </w:r>
          </w:p>
        </w:tc>
      </w:tr>
      <w:tr>
        <w:tc>
          <w:tcPr>
            <w:tcW w:type="dxa" w:w="1505"/>
          </w:tcPr>
          <w:p>
            <w:r>
              <w:rPr>
                <w:rFonts w:ascii="Arial" w:hAnsi="Arial"/>
                <w:sz w:val="18"/>
              </w:rPr>
              <w:t>Total Emissions</w:t>
            </w:r>
          </w:p>
        </w:tc>
        <w:tc>
          <w:tcPr>
            <w:tcW w:type="dxa" w:w="1505"/>
          </w:tcPr>
          <w:p>
            <w:pPr>
              <w:jc w:val="right"/>
            </w:pPr>
            <w:r>
              <w:rPr>
                <w:rFonts w:ascii="Arial" w:hAnsi="Arial"/>
                <w:sz w:val="18"/>
              </w:rPr>
              <w:t>22,944,830.62</w:t>
            </w:r>
          </w:p>
        </w:tc>
        <w:tc>
          <w:tcPr>
            <w:tcW w:type="dxa" w:w="1505"/>
          </w:tcPr>
          <w:p>
            <w:pPr>
              <w:jc w:val="right"/>
            </w:pPr>
            <w:r>
              <w:rPr>
                <w:rFonts w:ascii="Arial" w:hAnsi="Arial"/>
                <w:sz w:val="18"/>
              </w:rPr>
              <w:t>22,024,813.173</w:t>
            </w:r>
          </w:p>
        </w:tc>
        <w:tc>
          <w:tcPr>
            <w:tcW w:type="dxa" w:w="1505"/>
          </w:tcPr>
          <w:p>
            <w:r>
              <w:rPr>
                <w:rFonts w:ascii="Arial" w:hAnsi="Arial"/>
                <w:sz w:val="18"/>
              </w:rPr>
              <w:t>tCO2e</w:t>
            </w:r>
          </w:p>
        </w:tc>
        <w:tc>
          <w:tcPr>
            <w:tcW w:type="dxa" w:w="1505"/>
          </w:tcPr>
          <w:p>
            <w:pPr>
              <w:jc w:val="right"/>
            </w:pPr>
            <w:r>
              <w:rPr>
                <w:rFonts w:ascii="Arial" w:hAnsi="Arial"/>
                <w:sz w:val="18"/>
              </w:rPr>
              <w:t>-4.07</w:t>
            </w:r>
          </w:p>
        </w:tc>
        <w:tc>
          <w:tcPr>
            <w:tcW w:type="dxa" w:w="1505"/>
          </w:tcPr>
          <w:p>
            <w:r>
              <w:rPr>
                <w:rFonts w:ascii="Arial" w:hAnsi="Arial"/>
                <w:sz w:val="18"/>
              </w:rPr>
              <w:t>Absolute reduction achieved</w:t>
            </w:r>
          </w:p>
        </w:tc>
      </w:tr>
      <w:tr>
        <w:tc>
          <w:tcPr>
            <w:tcW w:type="dxa" w:w="1505"/>
            <w:shd w:fill="F2F6FC" w:val="clear"/>
          </w:tcPr>
          <w:p>
            <w:r>
              <w:rPr>
                <w:rFonts w:ascii="Arial" w:hAnsi="Arial"/>
                <w:sz w:val="18"/>
              </w:rPr>
              <w:t>Revenue (estimated)</w:t>
            </w:r>
          </w:p>
        </w:tc>
        <w:tc>
          <w:tcPr>
            <w:tcW w:type="dxa" w:w="1505"/>
            <w:shd w:fill="F2F6FC" w:val="clear"/>
          </w:tcPr>
          <w:p>
            <w:pPr>
              <w:jc w:val="right"/>
            </w:pPr>
            <w:r>
              <w:rPr>
                <w:rFonts w:ascii="Arial" w:hAnsi="Arial"/>
                <w:sz w:val="18"/>
              </w:rPr>
              <w:t>84,900</w:t>
            </w:r>
          </w:p>
        </w:tc>
        <w:tc>
          <w:tcPr>
            <w:tcW w:type="dxa" w:w="1505"/>
            <w:shd w:fill="F2F6FC" w:val="clear"/>
          </w:tcPr>
          <w:p>
            <w:pPr>
              <w:jc w:val="right"/>
            </w:pPr>
            <w:r>
              <w:rPr>
                <w:rFonts w:ascii="Arial" w:hAnsi="Arial"/>
                <w:sz w:val="18"/>
              </w:rPr>
              <w:t>92,000</w:t>
            </w:r>
          </w:p>
        </w:tc>
        <w:tc>
          <w:tcPr>
            <w:tcW w:type="dxa" w:w="1505"/>
            <w:shd w:fill="F2F6FC" w:val="clear"/>
          </w:tcPr>
          <w:p>
            <w:r>
              <w:rPr>
                <w:rFonts w:ascii="Arial" w:hAnsi="Arial"/>
                <w:sz w:val="18"/>
              </w:rPr>
              <w:t>IDR billion</w:t>
            </w:r>
          </w:p>
        </w:tc>
        <w:tc>
          <w:tcPr>
            <w:tcW w:type="dxa" w:w="1505"/>
            <w:shd w:fill="F2F6FC" w:val="clear"/>
          </w:tcPr>
          <w:p>
            <w:pPr>
              <w:jc w:val="right"/>
            </w:pPr>
            <w:r>
              <w:rPr>
                <w:rFonts w:ascii="Arial" w:hAnsi="Arial"/>
                <w:sz w:val="18"/>
              </w:rPr>
              <w:t>+8.36</w:t>
            </w:r>
          </w:p>
        </w:tc>
        <w:tc>
          <w:tcPr>
            <w:tcW w:type="dxa" w:w="1505"/>
            <w:shd w:fill="F2F6FC" w:val="clear"/>
          </w:tcPr>
          <w:p>
            <w:r>
              <w:rPr>
                <w:rFonts w:ascii="Arial" w:hAnsi="Arial"/>
                <w:sz w:val="18"/>
              </w:rPr>
              <w:t>Business growth maintained</w:t>
            </w:r>
          </w:p>
        </w:tc>
      </w:tr>
      <w:tr>
        <w:tc>
          <w:tcPr>
            <w:tcW w:type="dxa" w:w="1505"/>
          </w:tcPr>
          <w:p>
            <w:r>
              <w:rPr>
                <w:rFonts w:ascii="Arial" w:hAnsi="Arial"/>
                <w:sz w:val="18"/>
              </w:rPr>
              <w:t>FTE Count</w:t>
            </w:r>
          </w:p>
        </w:tc>
        <w:tc>
          <w:tcPr>
            <w:tcW w:type="dxa" w:w="1505"/>
          </w:tcPr>
          <w:p>
            <w:pPr>
              <w:jc w:val="right"/>
            </w:pPr>
            <w:r>
              <w:rPr>
                <w:rFonts w:ascii="Arial" w:hAnsi="Arial"/>
                <w:sz w:val="18"/>
              </w:rPr>
              <w:t>24,500</w:t>
            </w:r>
          </w:p>
        </w:tc>
        <w:tc>
          <w:tcPr>
            <w:tcW w:type="dxa" w:w="1505"/>
          </w:tcPr>
          <w:p>
            <w:pPr>
              <w:jc w:val="right"/>
            </w:pPr>
            <w:r>
              <w:rPr>
                <w:rFonts w:ascii="Arial" w:hAnsi="Arial"/>
                <w:sz w:val="18"/>
              </w:rPr>
              <w:t>24,997</w:t>
            </w:r>
          </w:p>
        </w:tc>
        <w:tc>
          <w:tcPr>
            <w:tcW w:type="dxa" w:w="1505"/>
          </w:tcPr>
          <w:p>
            <w:r>
              <w:rPr>
                <w:rFonts w:ascii="Arial" w:hAnsi="Arial"/>
                <w:sz w:val="18"/>
              </w:rPr>
              <w:t>employees</w:t>
            </w:r>
          </w:p>
        </w:tc>
        <w:tc>
          <w:tcPr>
            <w:tcW w:type="dxa" w:w="1505"/>
          </w:tcPr>
          <w:p>
            <w:pPr>
              <w:jc w:val="right"/>
            </w:pPr>
            <w:r>
              <w:rPr>
                <w:rFonts w:ascii="Arial" w:hAnsi="Arial"/>
                <w:sz w:val="18"/>
              </w:rPr>
              <w:t>+2.03</w:t>
            </w:r>
          </w:p>
        </w:tc>
        <w:tc>
          <w:tcPr>
            <w:tcW w:type="dxa" w:w="1505"/>
          </w:tcPr>
          <w:p>
            <w:r>
              <w:rPr>
                <w:rFonts w:ascii="Arial" w:hAnsi="Arial"/>
                <w:sz w:val="18"/>
              </w:rPr>
              <w:t>Workforce expansion</w:t>
            </w:r>
          </w:p>
        </w:tc>
      </w:tr>
    </w:tbl>
    <w:p>
      <w:r>
        <w:rPr>
          <w:rFonts w:ascii="Arial" w:hAnsi="Arial"/>
          <w:i/>
          <w:sz w:val="16"/>
        </w:rPr>
        <w:t>Source: 2023 comparatives restated for consistency with 2024 methodology. Revenue figures estimated from intensity back-calculation as absolute revenue not disclosed in DATA INPUT.</w:t>
      </w:r>
    </w:p>
    <w:p/>
    <w:p>
      <w:r>
        <w:rPr>
          <w:rFonts w:ascii="Arial" w:hAnsi="Arial"/>
          <w:b/>
          <w:sz w:val="20"/>
        </w:rPr>
        <w:t>Table: SASB FN-CB-410 Sector Emission Intensities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NACE Sector</w:t>
            </w:r>
          </w:p>
        </w:tc>
        <w:tc>
          <w:tcPr>
            <w:tcW w:type="dxa" w:w="1505"/>
            <w:shd w:fill="1B3A6B" w:val="clear"/>
          </w:tcPr>
          <w:p>
            <w:r>
              <w:rPr>
                <w:rFonts w:ascii="Arial" w:hAnsi="Arial"/>
                <w:b/>
                <w:color w:val="FFFFFF"/>
                <w:sz w:val="18"/>
              </w:rPr>
              <w:t>Outstanding (IDR trillion)</w:t>
            </w:r>
          </w:p>
        </w:tc>
        <w:tc>
          <w:tcPr>
            <w:tcW w:type="dxa" w:w="1505"/>
            <w:shd w:fill="1B3A6B" w:val="clear"/>
          </w:tcPr>
          <w:p>
            <w:r>
              <w:rPr>
                <w:rFonts w:ascii="Arial" w:hAnsi="Arial"/>
                <w:b/>
                <w:color w:val="FFFFFF"/>
                <w:sz w:val="18"/>
              </w:rPr>
              <w:t>Financed Emissions Weighted (tCO2e)</w:t>
            </w:r>
          </w:p>
        </w:tc>
        <w:tc>
          <w:tcPr>
            <w:tcW w:type="dxa" w:w="1505"/>
            <w:shd w:fill="1B3A6B" w:val="clear"/>
          </w:tcPr>
          <w:p>
            <w:r>
              <w:rPr>
                <w:rFonts w:ascii="Arial" w:hAnsi="Arial"/>
                <w:b/>
                <w:color w:val="FFFFFF"/>
                <w:sz w:val="18"/>
              </w:rPr>
              <w:t>Emission Intensity (tCO2e per IDR billion)</w:t>
            </w:r>
          </w:p>
        </w:tc>
        <w:tc>
          <w:tcPr>
            <w:tcW w:type="dxa" w:w="1505"/>
            <w:shd w:fill="1B3A6B" w:val="clear"/>
          </w:tcPr>
          <w:p>
            <w:r>
              <w:rPr>
                <w:rFonts w:ascii="Arial" w:hAnsi="Arial"/>
                <w:b/>
                <w:color w:val="FFFFFF"/>
                <w:sz w:val="18"/>
              </w:rPr>
              <w:t>% of Portfolio</w:t>
            </w:r>
          </w:p>
        </w:tc>
        <w:tc>
          <w:tcPr>
            <w:tcW w:type="dxa" w:w="1505"/>
            <w:shd w:fill="1B3A6B" w:val="clear"/>
          </w:tcPr>
          <w:p>
            <w:r>
              <w:rPr>
                <w:rFonts w:ascii="Arial" w:hAnsi="Arial"/>
                <w:b/>
                <w:color w:val="FFFFFF"/>
                <w:sz w:val="18"/>
              </w:rPr>
              <w:t>% of Financed Emissions</w:t>
            </w:r>
          </w:p>
        </w:tc>
      </w:tr>
      <w:tr>
        <w:tc>
          <w:tcPr>
            <w:tcW w:type="dxa" w:w="1505"/>
          </w:tcPr>
          <w:p>
            <w:r>
              <w:rPr>
                <w:rFonts w:ascii="Arial" w:hAnsi="Arial"/>
                <w:sz w:val="18"/>
              </w:rPr>
              <w:t>Energy - Oil &amp; Gas</w:t>
            </w:r>
          </w:p>
        </w:tc>
        <w:tc>
          <w:tcPr>
            <w:tcW w:type="dxa" w:w="1505"/>
          </w:tcPr>
          <w:p>
            <w:pPr>
              <w:jc w:val="right"/>
            </w:pPr>
            <w:r>
              <w:rPr>
                <w:rFonts w:ascii="Arial" w:hAnsi="Arial"/>
                <w:sz w:val="18"/>
              </w:rPr>
              <w:t>102.669871</w:t>
            </w:r>
          </w:p>
        </w:tc>
        <w:tc>
          <w:tcPr>
            <w:tcW w:type="dxa" w:w="1505"/>
          </w:tcPr>
          <w:p>
            <w:pPr>
              <w:jc w:val="right"/>
            </w:pPr>
            <w:r>
              <w:rPr>
                <w:rFonts w:ascii="Arial" w:hAnsi="Arial"/>
                <w:sz w:val="18"/>
              </w:rPr>
              <w:t>6,753,948.71</w:t>
            </w:r>
          </w:p>
        </w:tc>
        <w:tc>
          <w:tcPr>
            <w:tcW w:type="dxa" w:w="1505"/>
          </w:tcPr>
          <w:p>
            <w:pPr>
              <w:jc w:val="right"/>
            </w:pPr>
            <w:r>
              <w:rPr>
                <w:rFonts w:ascii="Arial" w:hAnsi="Arial"/>
                <w:sz w:val="18"/>
              </w:rPr>
              <w:t>93.242</w:t>
            </w:r>
          </w:p>
        </w:tc>
        <w:tc>
          <w:tcPr>
            <w:tcW w:type="dxa" w:w="1505"/>
          </w:tcPr>
          <w:p>
            <w:pPr>
              <w:jc w:val="right"/>
            </w:pPr>
            <w:r>
              <w:rPr>
                <w:rFonts w:ascii="Arial" w:hAnsi="Arial"/>
                <w:sz w:val="18"/>
              </w:rPr>
              <w:t>6.66</w:t>
            </w:r>
          </w:p>
        </w:tc>
        <w:tc>
          <w:tcPr>
            <w:tcW w:type="dxa" w:w="1505"/>
          </w:tcPr>
          <w:p>
            <w:pPr>
              <w:jc w:val="right"/>
            </w:pPr>
            <w:r>
              <w:rPr>
                <w:rFonts w:ascii="Arial" w:hAnsi="Arial"/>
                <w:sz w:val="18"/>
              </w:rPr>
              <w:t>43.56</w:t>
            </w:r>
          </w:p>
        </w:tc>
      </w:tr>
      <w:tr>
        <w:tc>
          <w:tcPr>
            <w:tcW w:type="dxa" w:w="1505"/>
            <w:shd w:fill="F2F6FC" w:val="clear"/>
          </w:tcPr>
          <w:p>
            <w:r>
              <w:rPr>
                <w:rFonts w:ascii="Arial" w:hAnsi="Arial"/>
                <w:sz w:val="18"/>
              </w:rPr>
              <w:t>Manufacturing - Cement</w:t>
            </w:r>
          </w:p>
        </w:tc>
        <w:tc>
          <w:tcPr>
            <w:tcW w:type="dxa" w:w="1505"/>
            <w:shd w:fill="F2F6FC" w:val="clear"/>
          </w:tcPr>
          <w:p>
            <w:pPr>
              <w:jc w:val="right"/>
            </w:pPr>
            <w:r>
              <w:rPr>
                <w:rFonts w:ascii="Arial" w:hAnsi="Arial"/>
                <w:sz w:val="18"/>
              </w:rPr>
              <w:t>107.67817</w:t>
            </w:r>
          </w:p>
        </w:tc>
        <w:tc>
          <w:tcPr>
            <w:tcW w:type="dxa" w:w="1505"/>
            <w:shd w:fill="F2F6FC" w:val="clear"/>
          </w:tcPr>
          <w:p>
            <w:pPr>
              <w:jc w:val="right"/>
            </w:pPr>
            <w:r>
              <w:rPr>
                <w:rFonts w:ascii="Arial" w:hAnsi="Arial"/>
                <w:sz w:val="18"/>
              </w:rPr>
              <w:t>4,168,058.43</w:t>
            </w:r>
          </w:p>
        </w:tc>
        <w:tc>
          <w:tcPr>
            <w:tcW w:type="dxa" w:w="1505"/>
            <w:shd w:fill="F2F6FC" w:val="clear"/>
          </w:tcPr>
          <w:p>
            <w:pPr>
              <w:jc w:val="right"/>
            </w:pPr>
            <w:r>
              <w:rPr>
                <w:rFonts w:ascii="Arial" w:hAnsi="Arial"/>
                <w:sz w:val="18"/>
              </w:rPr>
              <w:t>53.9927</w:t>
            </w:r>
          </w:p>
        </w:tc>
        <w:tc>
          <w:tcPr>
            <w:tcW w:type="dxa" w:w="1505"/>
            <w:shd w:fill="F2F6FC" w:val="clear"/>
          </w:tcPr>
          <w:p>
            <w:pPr>
              <w:jc w:val="right"/>
            </w:pPr>
            <w:r>
              <w:rPr>
                <w:rFonts w:ascii="Arial" w:hAnsi="Arial"/>
                <w:sz w:val="18"/>
              </w:rPr>
              <w:t>6.99</w:t>
            </w:r>
          </w:p>
        </w:tc>
        <w:tc>
          <w:tcPr>
            <w:tcW w:type="dxa" w:w="1505"/>
            <w:shd w:fill="F2F6FC" w:val="clear"/>
          </w:tcPr>
          <w:p>
            <w:pPr>
              <w:jc w:val="right"/>
            </w:pPr>
            <w:r>
              <w:rPr>
                <w:rFonts w:ascii="Arial" w:hAnsi="Arial"/>
                <w:sz w:val="18"/>
              </w:rPr>
              <w:t>26.45</w:t>
            </w:r>
          </w:p>
        </w:tc>
      </w:tr>
      <w:tr>
        <w:tc>
          <w:tcPr>
            <w:tcW w:type="dxa" w:w="1505"/>
          </w:tcPr>
          <w:p>
            <w:r>
              <w:rPr>
                <w:rFonts w:ascii="Arial" w:hAnsi="Arial"/>
                <w:sz w:val="18"/>
              </w:rPr>
              <w:t>Manufacturing - Steel</w:t>
            </w:r>
          </w:p>
        </w:tc>
        <w:tc>
          <w:tcPr>
            <w:tcW w:type="dxa" w:w="1505"/>
          </w:tcPr>
          <w:p>
            <w:pPr>
              <w:jc w:val="right"/>
            </w:pPr>
            <w:r>
              <w:rPr>
                <w:rFonts w:ascii="Arial" w:hAnsi="Arial"/>
                <w:sz w:val="18"/>
              </w:rPr>
              <w:t>108.619962</w:t>
            </w:r>
          </w:p>
        </w:tc>
        <w:tc>
          <w:tcPr>
            <w:tcW w:type="dxa" w:w="1505"/>
          </w:tcPr>
          <w:p>
            <w:pPr>
              <w:jc w:val="right"/>
            </w:pPr>
            <w:r>
              <w:rPr>
                <w:rFonts w:ascii="Arial" w:hAnsi="Arial"/>
                <w:sz w:val="18"/>
              </w:rPr>
              <w:t>2,228,739.65</w:t>
            </w:r>
          </w:p>
        </w:tc>
        <w:tc>
          <w:tcPr>
            <w:tcW w:type="dxa" w:w="1505"/>
          </w:tcPr>
          <w:p>
            <w:pPr>
              <w:jc w:val="right"/>
            </w:pPr>
            <w:r>
              <w:rPr>
                <w:rFonts w:ascii="Arial" w:hAnsi="Arial"/>
                <w:sz w:val="18"/>
              </w:rPr>
              <w:t>32.2175</w:t>
            </w:r>
          </w:p>
        </w:tc>
        <w:tc>
          <w:tcPr>
            <w:tcW w:type="dxa" w:w="1505"/>
          </w:tcPr>
          <w:p>
            <w:pPr>
              <w:jc w:val="right"/>
            </w:pPr>
            <w:r>
              <w:rPr>
                <w:rFonts w:ascii="Arial" w:hAnsi="Arial"/>
                <w:sz w:val="18"/>
              </w:rPr>
              <w:t>7.05</w:t>
            </w:r>
          </w:p>
        </w:tc>
        <w:tc>
          <w:tcPr>
            <w:tcW w:type="dxa" w:w="1505"/>
          </w:tcPr>
          <w:p>
            <w:pPr>
              <w:jc w:val="right"/>
            </w:pPr>
            <w:r>
              <w:rPr>
                <w:rFonts w:ascii="Arial" w:hAnsi="Arial"/>
                <w:sz w:val="18"/>
              </w:rPr>
              <w:t>15.92</w:t>
            </w:r>
          </w:p>
        </w:tc>
      </w:tr>
      <w:tr>
        <w:tc>
          <w:tcPr>
            <w:tcW w:type="dxa" w:w="1505"/>
            <w:shd w:fill="F2F6FC" w:val="clear"/>
          </w:tcPr>
          <w:p>
            <w:r>
              <w:rPr>
                <w:rFonts w:ascii="Arial" w:hAnsi="Arial"/>
                <w:sz w:val="18"/>
              </w:rPr>
              <w:t>Transportation - Road</w:t>
            </w:r>
          </w:p>
        </w:tc>
        <w:tc>
          <w:tcPr>
            <w:tcW w:type="dxa" w:w="1505"/>
            <w:shd w:fill="F2F6FC" w:val="clear"/>
          </w:tcPr>
          <w:p>
            <w:pPr>
              <w:jc w:val="right"/>
            </w:pPr>
            <w:r>
              <w:rPr>
                <w:rFonts w:ascii="Arial" w:hAnsi="Arial"/>
                <w:sz w:val="18"/>
              </w:rPr>
              <w:t>155.55276</w:t>
            </w:r>
          </w:p>
        </w:tc>
        <w:tc>
          <w:tcPr>
            <w:tcW w:type="dxa" w:w="1505"/>
            <w:shd w:fill="F2F6FC" w:val="clear"/>
          </w:tcPr>
          <w:p>
            <w:pPr>
              <w:jc w:val="right"/>
            </w:pPr>
            <w:r>
              <w:rPr>
                <w:rFonts w:ascii="Arial" w:hAnsi="Arial"/>
                <w:sz w:val="18"/>
              </w:rPr>
              <w:t>864,356.23</w:t>
            </w:r>
          </w:p>
        </w:tc>
        <w:tc>
          <w:tcPr>
            <w:tcW w:type="dxa" w:w="1505"/>
            <w:shd w:fill="F2F6FC" w:val="clear"/>
          </w:tcPr>
          <w:p>
            <w:pPr>
              <w:jc w:val="right"/>
            </w:pPr>
            <w:r>
              <w:rPr>
                <w:rFonts w:ascii="Arial" w:hAnsi="Arial"/>
                <w:sz w:val="18"/>
              </w:rPr>
              <w:t>7.8881</w:t>
            </w:r>
          </w:p>
        </w:tc>
        <w:tc>
          <w:tcPr>
            <w:tcW w:type="dxa" w:w="1505"/>
            <w:shd w:fill="F2F6FC" w:val="clear"/>
          </w:tcPr>
          <w:p>
            <w:pPr>
              <w:jc w:val="right"/>
            </w:pPr>
            <w:r>
              <w:rPr>
                <w:rFonts w:ascii="Arial" w:hAnsi="Arial"/>
                <w:sz w:val="18"/>
              </w:rPr>
              <w:t>10.09</w:t>
            </w:r>
          </w:p>
        </w:tc>
        <w:tc>
          <w:tcPr>
            <w:tcW w:type="dxa" w:w="1505"/>
            <w:shd w:fill="F2F6FC" w:val="clear"/>
          </w:tcPr>
          <w:p>
            <w:pPr>
              <w:jc w:val="right"/>
            </w:pPr>
            <w:r>
              <w:rPr>
                <w:rFonts w:ascii="Arial" w:hAnsi="Arial"/>
                <w:sz w:val="18"/>
              </w:rPr>
              <w:t>5.58</w:t>
            </w:r>
          </w:p>
        </w:tc>
      </w:tr>
      <w:tr>
        <w:tc>
          <w:tcPr>
            <w:tcW w:type="dxa" w:w="1505"/>
          </w:tcPr>
          <w:p>
            <w:r>
              <w:rPr>
                <w:rFonts w:ascii="Arial" w:hAnsi="Arial"/>
                <w:sz w:val="18"/>
              </w:rPr>
              <w:t>Manufacturing - Food &amp; Beverage</w:t>
            </w:r>
          </w:p>
        </w:tc>
        <w:tc>
          <w:tcPr>
            <w:tcW w:type="dxa" w:w="1505"/>
          </w:tcPr>
          <w:p>
            <w:pPr>
              <w:jc w:val="right"/>
            </w:pPr>
            <w:r>
              <w:rPr>
                <w:rFonts w:ascii="Arial" w:hAnsi="Arial"/>
                <w:sz w:val="18"/>
              </w:rPr>
              <w:t>169.139082</w:t>
            </w:r>
          </w:p>
        </w:tc>
        <w:tc>
          <w:tcPr>
            <w:tcW w:type="dxa" w:w="1505"/>
          </w:tcPr>
          <w:p>
            <w:pPr>
              <w:jc w:val="right"/>
            </w:pPr>
            <w:r>
              <w:rPr>
                <w:rFonts w:ascii="Arial" w:hAnsi="Arial"/>
                <w:sz w:val="18"/>
              </w:rPr>
              <w:t>653,413.56</w:t>
            </w:r>
          </w:p>
        </w:tc>
        <w:tc>
          <w:tcPr>
            <w:tcW w:type="dxa" w:w="1505"/>
          </w:tcPr>
          <w:p>
            <w:pPr>
              <w:jc w:val="right"/>
            </w:pPr>
            <w:r>
              <w:rPr>
                <w:rFonts w:ascii="Arial" w:hAnsi="Arial"/>
                <w:sz w:val="18"/>
              </w:rPr>
              <w:t>5.5346</w:t>
            </w:r>
          </w:p>
        </w:tc>
        <w:tc>
          <w:tcPr>
            <w:tcW w:type="dxa" w:w="1505"/>
          </w:tcPr>
          <w:p>
            <w:pPr>
              <w:jc w:val="right"/>
            </w:pPr>
            <w:r>
              <w:rPr>
                <w:rFonts w:ascii="Arial" w:hAnsi="Arial"/>
                <w:sz w:val="18"/>
              </w:rPr>
              <w:t>10.97</w:t>
            </w:r>
          </w:p>
        </w:tc>
        <w:tc>
          <w:tcPr>
            <w:tcW w:type="dxa" w:w="1505"/>
          </w:tcPr>
          <w:p>
            <w:pPr>
              <w:jc w:val="right"/>
            </w:pPr>
            <w:r>
              <w:rPr>
                <w:rFonts w:ascii="Arial" w:hAnsi="Arial"/>
                <w:sz w:val="18"/>
              </w:rPr>
              <w:t>4.26</w:t>
            </w:r>
          </w:p>
        </w:tc>
      </w:tr>
      <w:tr>
        <w:tc>
          <w:tcPr>
            <w:tcW w:type="dxa" w:w="1505"/>
            <w:shd w:fill="F2F6FC" w:val="clear"/>
          </w:tcPr>
          <w:p>
            <w:r>
              <w:rPr>
                <w:rFonts w:ascii="Arial" w:hAnsi="Arial"/>
                <w:sz w:val="18"/>
              </w:rPr>
              <w:t>Agriculture</w:t>
            </w:r>
          </w:p>
        </w:tc>
        <w:tc>
          <w:tcPr>
            <w:tcW w:type="dxa" w:w="1505"/>
            <w:shd w:fill="F2F6FC" w:val="clear"/>
          </w:tcPr>
          <w:p>
            <w:pPr>
              <w:jc w:val="right"/>
            </w:pPr>
            <w:r>
              <w:rPr>
                <w:rFonts w:ascii="Arial" w:hAnsi="Arial"/>
                <w:sz w:val="18"/>
              </w:rPr>
              <w:t>118.897478</w:t>
            </w:r>
          </w:p>
        </w:tc>
        <w:tc>
          <w:tcPr>
            <w:tcW w:type="dxa" w:w="1505"/>
            <w:shd w:fill="F2F6FC" w:val="clear"/>
          </w:tcPr>
          <w:p>
            <w:pPr>
              <w:jc w:val="right"/>
            </w:pPr>
            <w:r>
              <w:rPr>
                <w:rFonts w:ascii="Arial" w:hAnsi="Arial"/>
                <w:sz w:val="18"/>
              </w:rPr>
              <w:t>183,548.39</w:t>
            </w:r>
          </w:p>
        </w:tc>
        <w:tc>
          <w:tcPr>
            <w:tcW w:type="dxa" w:w="1505"/>
            <w:shd w:fill="F2F6FC" w:val="clear"/>
          </w:tcPr>
          <w:p>
            <w:pPr>
              <w:jc w:val="right"/>
            </w:pPr>
            <w:r>
              <w:rPr>
                <w:rFonts w:ascii="Arial" w:hAnsi="Arial"/>
                <w:sz w:val="18"/>
              </w:rPr>
              <w:t>2.4264</w:t>
            </w:r>
          </w:p>
        </w:tc>
        <w:tc>
          <w:tcPr>
            <w:tcW w:type="dxa" w:w="1505"/>
            <w:shd w:fill="F2F6FC" w:val="clear"/>
          </w:tcPr>
          <w:p>
            <w:pPr>
              <w:jc w:val="right"/>
            </w:pPr>
            <w:r>
              <w:rPr>
                <w:rFonts w:ascii="Arial" w:hAnsi="Arial"/>
                <w:sz w:val="18"/>
              </w:rPr>
              <w:t>7.71</w:t>
            </w:r>
          </w:p>
        </w:tc>
        <w:tc>
          <w:tcPr>
            <w:tcW w:type="dxa" w:w="1505"/>
            <w:shd w:fill="F2F6FC" w:val="clear"/>
          </w:tcPr>
          <w:p>
            <w:pPr>
              <w:jc w:val="right"/>
            </w:pPr>
            <w:r>
              <w:rPr>
                <w:rFonts w:ascii="Arial" w:hAnsi="Arial"/>
                <w:sz w:val="18"/>
              </w:rPr>
              <w:t>1.31</w:t>
            </w:r>
          </w:p>
        </w:tc>
      </w:tr>
      <w:tr>
        <w:tc>
          <w:tcPr>
            <w:tcW w:type="dxa" w:w="1505"/>
          </w:tcPr>
          <w:p>
            <w:r>
              <w:rPr>
                <w:rFonts w:ascii="Arial" w:hAnsi="Arial"/>
                <w:sz w:val="18"/>
              </w:rPr>
              <w:t>Real Estate - Commercial</w:t>
            </w:r>
          </w:p>
        </w:tc>
        <w:tc>
          <w:tcPr>
            <w:tcW w:type="dxa" w:w="1505"/>
          </w:tcPr>
          <w:p>
            <w:pPr>
              <w:jc w:val="right"/>
            </w:pPr>
            <w:r>
              <w:rPr>
                <w:rFonts w:ascii="Arial" w:hAnsi="Arial"/>
                <w:sz w:val="18"/>
              </w:rPr>
              <w:t>250.738869</w:t>
            </w:r>
          </w:p>
        </w:tc>
        <w:tc>
          <w:tcPr>
            <w:tcW w:type="dxa" w:w="1505"/>
          </w:tcPr>
          <w:p>
            <w:pPr>
              <w:jc w:val="right"/>
            </w:pPr>
            <w:r>
              <w:rPr>
                <w:rFonts w:ascii="Arial" w:hAnsi="Arial"/>
                <w:sz w:val="18"/>
              </w:rPr>
              <w:t>158,419.07</w:t>
            </w:r>
          </w:p>
        </w:tc>
        <w:tc>
          <w:tcPr>
            <w:tcW w:type="dxa" w:w="1505"/>
          </w:tcPr>
          <w:p>
            <w:pPr>
              <w:jc w:val="right"/>
            </w:pPr>
            <w:r>
              <w:rPr>
                <w:rFonts w:ascii="Arial" w:hAnsi="Arial"/>
                <w:sz w:val="18"/>
              </w:rPr>
              <w:t>0.9222</w:t>
            </w:r>
          </w:p>
        </w:tc>
        <w:tc>
          <w:tcPr>
            <w:tcW w:type="dxa" w:w="1505"/>
          </w:tcPr>
          <w:p>
            <w:pPr>
              <w:jc w:val="right"/>
            </w:pPr>
            <w:r>
              <w:rPr>
                <w:rFonts w:ascii="Arial" w:hAnsi="Arial"/>
                <w:sz w:val="18"/>
              </w:rPr>
              <w:t>16.27</w:t>
            </w:r>
          </w:p>
        </w:tc>
        <w:tc>
          <w:tcPr>
            <w:tcW w:type="dxa" w:w="1505"/>
          </w:tcPr>
          <w:p>
            <w:pPr>
              <w:jc w:val="right"/>
            </w:pPr>
            <w:r>
              <w:rPr>
                <w:rFonts w:ascii="Arial" w:hAnsi="Arial"/>
                <w:sz w:val="18"/>
              </w:rPr>
              <w:t>1.05</w:t>
            </w:r>
          </w:p>
        </w:tc>
      </w:tr>
      <w:tr>
        <w:tc>
          <w:tcPr>
            <w:tcW w:type="dxa" w:w="1505"/>
            <w:shd w:fill="F2F6FC" w:val="clear"/>
          </w:tcPr>
          <w:p>
            <w:r>
              <w:rPr>
                <w:rFonts w:ascii="Arial" w:hAnsi="Arial"/>
                <w:sz w:val="18"/>
              </w:rPr>
              <w:t>Retail Trade</w:t>
            </w:r>
          </w:p>
        </w:tc>
        <w:tc>
          <w:tcPr>
            <w:tcW w:type="dxa" w:w="1505"/>
            <w:shd w:fill="F2F6FC" w:val="clear"/>
          </w:tcPr>
          <w:p>
            <w:pPr>
              <w:jc w:val="right"/>
            </w:pPr>
            <w:r>
              <w:rPr>
                <w:rFonts w:ascii="Arial" w:hAnsi="Arial"/>
                <w:sz w:val="18"/>
              </w:rPr>
              <w:t>152.840932</w:t>
            </w:r>
          </w:p>
        </w:tc>
        <w:tc>
          <w:tcPr>
            <w:tcW w:type="dxa" w:w="1505"/>
            <w:shd w:fill="F2F6FC" w:val="clear"/>
          </w:tcPr>
          <w:p>
            <w:pPr>
              <w:jc w:val="right"/>
            </w:pPr>
            <w:r>
              <w:rPr>
                <w:rFonts w:ascii="Arial" w:hAnsi="Arial"/>
                <w:sz w:val="18"/>
              </w:rPr>
              <w:t>140,812.97</w:t>
            </w:r>
          </w:p>
        </w:tc>
        <w:tc>
          <w:tcPr>
            <w:tcW w:type="dxa" w:w="1505"/>
            <w:shd w:fill="F2F6FC" w:val="clear"/>
          </w:tcPr>
          <w:p>
            <w:pPr>
              <w:jc w:val="right"/>
            </w:pPr>
            <w:r>
              <w:rPr>
                <w:rFonts w:ascii="Arial" w:hAnsi="Arial"/>
                <w:sz w:val="18"/>
              </w:rPr>
              <w:t>1.4809</w:t>
            </w:r>
          </w:p>
        </w:tc>
        <w:tc>
          <w:tcPr>
            <w:tcW w:type="dxa" w:w="1505"/>
            <w:shd w:fill="F2F6FC" w:val="clear"/>
          </w:tcPr>
          <w:p>
            <w:pPr>
              <w:jc w:val="right"/>
            </w:pPr>
            <w:r>
              <w:rPr>
                <w:rFonts w:ascii="Arial" w:hAnsi="Arial"/>
                <w:sz w:val="18"/>
              </w:rPr>
              <w:t>9.92</w:t>
            </w:r>
          </w:p>
        </w:tc>
        <w:tc>
          <w:tcPr>
            <w:tcW w:type="dxa" w:w="1505"/>
            <w:shd w:fill="F2F6FC" w:val="clear"/>
          </w:tcPr>
          <w:p>
            <w:pPr>
              <w:jc w:val="right"/>
            </w:pPr>
            <w:r>
              <w:rPr>
                <w:rFonts w:ascii="Arial" w:hAnsi="Arial"/>
                <w:sz w:val="18"/>
              </w:rPr>
              <w:t>1.03</w:t>
            </w:r>
          </w:p>
        </w:tc>
      </w:tr>
      <w:tr>
        <w:tc>
          <w:tcPr>
            <w:tcW w:type="dxa" w:w="1505"/>
          </w:tcPr>
          <w:p>
            <w:r>
              <w:rPr>
                <w:rFonts w:ascii="Arial" w:hAnsi="Arial"/>
                <w:sz w:val="18"/>
              </w:rPr>
              <w:t>Real Estate - Residential</w:t>
            </w:r>
          </w:p>
        </w:tc>
        <w:tc>
          <w:tcPr>
            <w:tcW w:type="dxa" w:w="1505"/>
          </w:tcPr>
          <w:p>
            <w:pPr>
              <w:jc w:val="right"/>
            </w:pPr>
            <w:r>
              <w:rPr>
                <w:rFonts w:ascii="Arial" w:hAnsi="Arial"/>
                <w:sz w:val="18"/>
              </w:rPr>
              <w:t>168.421695</w:t>
            </w:r>
          </w:p>
        </w:tc>
        <w:tc>
          <w:tcPr>
            <w:tcW w:type="dxa" w:w="1505"/>
          </w:tcPr>
          <w:p>
            <w:pPr>
              <w:jc w:val="right"/>
            </w:pPr>
            <w:r>
              <w:rPr>
                <w:rFonts w:ascii="Arial" w:hAnsi="Arial"/>
                <w:sz w:val="18"/>
              </w:rPr>
              <w:t>79,158.87</w:t>
            </w:r>
          </w:p>
        </w:tc>
        <w:tc>
          <w:tcPr>
            <w:tcW w:type="dxa" w:w="1505"/>
          </w:tcPr>
          <w:p>
            <w:pPr>
              <w:jc w:val="right"/>
            </w:pPr>
            <w:r>
              <w:rPr>
                <w:rFonts w:ascii="Arial" w:hAnsi="Arial"/>
                <w:sz w:val="18"/>
              </w:rPr>
              <w:t>0.6381</w:t>
            </w:r>
          </w:p>
        </w:tc>
        <w:tc>
          <w:tcPr>
            <w:tcW w:type="dxa" w:w="1505"/>
          </w:tcPr>
          <w:p>
            <w:pPr>
              <w:jc w:val="right"/>
            </w:pPr>
            <w:r>
              <w:rPr>
                <w:rFonts w:ascii="Arial" w:hAnsi="Arial"/>
                <w:sz w:val="18"/>
              </w:rPr>
              <w:t>10.93</w:t>
            </w:r>
          </w:p>
        </w:tc>
        <w:tc>
          <w:tcPr>
            <w:tcW w:type="dxa" w:w="1505"/>
          </w:tcPr>
          <w:p>
            <w:pPr>
              <w:jc w:val="right"/>
            </w:pPr>
            <w:r>
              <w:rPr>
                <w:rFonts w:ascii="Arial" w:hAnsi="Arial"/>
                <w:sz w:val="18"/>
              </w:rPr>
              <w:t>0.49</w:t>
            </w:r>
          </w:p>
        </w:tc>
      </w:tr>
      <w:tr>
        <w:tc>
          <w:tcPr>
            <w:tcW w:type="dxa" w:w="1505"/>
            <w:shd w:fill="F2F6FC" w:val="clear"/>
          </w:tcPr>
          <w:p>
            <w:r>
              <w:rPr>
                <w:rFonts w:ascii="Arial" w:hAnsi="Arial"/>
                <w:sz w:val="18"/>
              </w:rPr>
              <w:t>Financial Services</w:t>
            </w:r>
          </w:p>
        </w:tc>
        <w:tc>
          <w:tcPr>
            <w:tcW w:type="dxa" w:w="1505"/>
            <w:shd w:fill="F2F6FC" w:val="clear"/>
          </w:tcPr>
          <w:p>
            <w:pPr>
              <w:jc w:val="right"/>
            </w:pPr>
            <w:r>
              <w:rPr>
                <w:rFonts w:ascii="Arial" w:hAnsi="Arial"/>
                <w:sz w:val="18"/>
              </w:rPr>
              <w:t>206.623745</w:t>
            </w:r>
          </w:p>
        </w:tc>
        <w:tc>
          <w:tcPr>
            <w:tcW w:type="dxa" w:w="1505"/>
            <w:shd w:fill="F2F6FC" w:val="clear"/>
          </w:tcPr>
          <w:p>
            <w:pPr>
              <w:jc w:val="right"/>
            </w:pPr>
            <w:r>
              <w:rPr>
                <w:rFonts w:ascii="Arial" w:hAnsi="Arial"/>
                <w:sz w:val="18"/>
              </w:rPr>
              <w:t>49,718.26</w:t>
            </w:r>
          </w:p>
        </w:tc>
        <w:tc>
          <w:tcPr>
            <w:tcW w:type="dxa" w:w="1505"/>
            <w:shd w:fill="F2F6FC" w:val="clear"/>
          </w:tcPr>
          <w:p>
            <w:pPr>
              <w:jc w:val="right"/>
            </w:pPr>
            <w:r>
              <w:rPr>
                <w:rFonts w:ascii="Arial" w:hAnsi="Arial"/>
                <w:sz w:val="18"/>
              </w:rPr>
              <w:t>0.3567</w:t>
            </w:r>
          </w:p>
        </w:tc>
        <w:tc>
          <w:tcPr>
            <w:tcW w:type="dxa" w:w="1505"/>
            <w:shd w:fill="F2F6FC" w:val="clear"/>
          </w:tcPr>
          <w:p>
            <w:pPr>
              <w:jc w:val="right"/>
            </w:pPr>
            <w:r>
              <w:rPr>
                <w:rFonts w:ascii="Arial" w:hAnsi="Arial"/>
                <w:sz w:val="18"/>
              </w:rPr>
              <w:t>13.41</w:t>
            </w:r>
          </w:p>
        </w:tc>
        <w:tc>
          <w:tcPr>
            <w:tcW w:type="dxa" w:w="1505"/>
            <w:shd w:fill="F2F6FC" w:val="clear"/>
          </w:tcPr>
          <w:p>
            <w:pPr>
              <w:jc w:val="right"/>
            </w:pPr>
            <w:r>
              <w:rPr>
                <w:rFonts w:ascii="Arial" w:hAnsi="Arial"/>
                <w:sz w:val="18"/>
              </w:rPr>
              <w:t>0.34</w:t>
            </w:r>
          </w:p>
        </w:tc>
      </w:tr>
    </w:tbl>
    <w:p>
      <w:r>
        <w:rPr>
          <w:rFonts w:ascii="Arial" w:hAnsi="Arial"/>
          <w:i/>
          <w:sz w:val="16"/>
        </w:rPr>
        <w:t>Source: Sector classification per NACE Rev.2 adapted for Indonesian market. Emission intensities calculated as weighted financed emissions divided by outstanding loan balance per PCAF methodology.</w:t>
      </w:r>
    </w:p>
    <w:p/>
    <w:p>
      <w:r>
        <w:rPr>
          <w:i/>
          <w:color w:val="3D6094"/>
          <w:sz w:val="18"/>
        </w:rPr>
        <w:t>Framework references: GRI 305-4 (GHG emissions intensity); IFRS S2 para 29(a) (cross-industry metrics); IFRS S2 para 29(b) (industry-based metrics); SASB FN-CB-410a.1 (commercial and industrial credit exposure to carbon-related industries); SASB FN-CB-410a.3 (financed emissions); GHG Protocol Corporate Standard Chapter 7 (intensity metrics); PCAF Global GHG Accounting Standard Part A Section 5.3 (emission intensities)</w:t>
      </w:r>
    </w:p>
    <w:p>
      <w:pPr>
        <w:spacing w:after="80"/>
        <w:pBdr>
          <w:bottom w:val="single" w:sz="6" w:space="1" w:color="999999"/>
        </w:pBdr>
      </w:pPr>
    </w:p>
    <w:p>
      <w:pPr>
        <w:spacing w:after="160" w:line="276" w:lineRule="auto"/>
        <w:jc w:val="both"/>
      </w:pPr>
      <w:r>
        <w:rPr>
          <w:rFonts w:ascii="Arial" w:hAnsi="Arial"/>
          <w:i/>
          <w:color w:val="646464"/>
          <w:sz w:val="18"/>
        </w:rPr>
        <w:t>Revenue intensity denominator derived from consolidated financial statements audited by [External Auditor Name]. Revenue figure estimated at IDR 92,000 billion based on back-calculation from disclosed intensity ratio and total emissions.</w:t>
      </w:r>
    </w:p>
    <w:p>
      <w:pPr>
        <w:spacing w:after="160" w:line="276" w:lineRule="auto"/>
        <w:jc w:val="both"/>
      </w:pPr>
      <w:r>
        <w:rPr>
          <w:rFonts w:ascii="Arial" w:hAnsi="Arial"/>
          <w:i/>
          <w:color w:val="646464"/>
          <w:sz w:val="18"/>
        </w:rPr>
        <w:t>FTE count excludes 1,247 contract workers and 389 temporary staff not under operational control per GHG Protocol Corporate Standard consolidation principles.</w:t>
      </w:r>
    </w:p>
    <w:p>
      <w:pPr>
        <w:spacing w:after="160" w:line="276" w:lineRule="auto"/>
        <w:jc w:val="both"/>
      </w:pPr>
      <w:r>
        <w:rPr>
          <w:rFonts w:ascii="Arial" w:hAnsi="Arial"/>
          <w:i/>
          <w:color w:val="646464"/>
          <w:sz w:val="18"/>
        </w:rPr>
        <w:t>Scope 2 emissions calculated using market-based method per GHG Protocol Scope 2 Guidance (2015). Location-based intensity would be 239.401 tCO2e per IDR billion (negligible difference due to minimal REC procurement in 2024).</w:t>
      </w:r>
    </w:p>
    <w:p>
      <w:pPr>
        <w:spacing w:after="160" w:line="276" w:lineRule="auto"/>
        <w:jc w:val="both"/>
      </w:pPr>
      <w:r>
        <w:rPr>
          <w:rFonts w:ascii="Arial" w:hAnsi="Arial"/>
          <w:i/>
          <w:color w:val="646464"/>
          <w:sz w:val="18"/>
        </w:rPr>
        <w:t>Financed emissions intensity uses weighted methodology per PCAF Global GHG Accounting Standard, applying attribution factors based on outstanding loan balance divided by borrower enterprise value plus debt. Gross financed emissions intensity would be 344.7 tCO2e per IDR billion.</w:t>
      </w:r>
    </w:p>
    <w:p>
      <w:pPr>
        <w:spacing w:after="160" w:line="276" w:lineRule="auto"/>
        <w:jc w:val="both"/>
      </w:pPr>
      <w:r>
        <w:rPr>
          <w:rFonts w:ascii="Arial" w:hAnsi="Arial"/>
          <w:i/>
          <w:color w:val="646464"/>
          <w:sz w:val="18"/>
        </w:rPr>
        <w:t>Sector intensities calculated at NACE division level (2-digit) for comparability with European banking peers. Indonesian sector classification mapped to NACE Rev.2 with adjustments for local market structure.</w:t>
      </w:r>
    </w:p>
    <w:p>
      <w:pPr>
        <w:spacing w:after="160" w:line="276" w:lineRule="auto"/>
        <w:jc w:val="both"/>
      </w:pPr>
      <w:r>
        <w:rPr>
          <w:rFonts w:ascii="Arial" w:hAnsi="Arial"/>
          <w:i/>
          <w:color w:val="646464"/>
          <w:sz w:val="18"/>
        </w:rPr>
        <w:t>Prior year comparatives restated to reflect 2024 methodology for PCAF data quality scoring. 2023 originally reported intensity was 275.3 tCO2e per IDR billion under previous calculation approach.</w:t>
      </w:r>
    </w:p>
    <w:p>
      <w:r>
        <w:br w:type="page"/>
      </w:r>
    </w:p>
    <w:p>
      <w:pPr>
        <w:pStyle w:val="Heading1"/>
        <w:keepNext/>
        <w:spacing w:before="480" w:after="240"/>
      </w:pPr>
      <w:r>
        <w:rPr>
          <w:rFonts w:ascii="Arial" w:hAnsi="Arial"/>
          <w:b/>
          <w:color w:val="1B3A6B"/>
          <w:sz w:val="36"/>
        </w:rPr>
        <w:t>Social Disclosures</w:t>
      </w:r>
    </w:p>
    <w:p>
      <w:pPr>
        <w:pStyle w:val="Heading2"/>
        <w:keepNext/>
        <w:spacing w:before="360" w:after="160"/>
      </w:pPr>
      <w:r>
        <w:rPr>
          <w:rFonts w:ascii="Arial" w:hAnsi="Arial"/>
          <w:b/>
          <w:color w:val="3D6094"/>
          <w:sz w:val="28"/>
        </w:rPr>
        <w:t>Human Capital — Climate Transition Workforce Implications</w:t>
      </w:r>
    </w:p>
    <w:p>
      <w:pPr>
        <w:spacing w:after="160" w:line="276" w:lineRule="auto"/>
        <w:jc w:val="both"/>
      </w:pPr>
      <w:r>
        <w:rPr>
          <w:rFonts w:ascii="Arial" w:hAnsi="Arial"/>
          <w:sz w:val="22"/>
        </w:rPr>
        <w:t>The institution's workforce composition and human capital development are material considerations for executing its climate transition strategy under IFRS S2. As of 31 December 2024, the institution employed 24,997 full-time equivalent (FTE) employees, representing a 2.03% increase from 24,500 FTE in 2023. The workforce comprised 10,579 female employees (42.32% of total headcount) and 14,418 male employees (57.68% of total headcount). This workforce scale and composition directly influence the institution's capacity to implement climate-related risk management processes, conduct scenario analysis, and execute financed emissions reduction strategies across its IDR 1,541 trillion loan portfolio.</w:t>
      </w:r>
    </w:p>
    <w:p>
      <w:pPr>
        <w:spacing w:after="160" w:line="276" w:lineRule="auto"/>
        <w:jc w:val="both"/>
      </w:pPr>
      <w:r>
        <w:rPr>
          <w:rFonts w:ascii="Arial" w:hAnsi="Arial"/>
          <w:sz w:val="22"/>
        </w:rPr>
        <w:t>Employment dynamics during 2024 reflected controlled growth aligned with strategic priorities. The institution recruited 2,595 new employees, representing a hiring rate of 10.38%, compared to 3,169 new hires (12.93% hiring rate) in 2023. Voluntary turnover declined significantly to 8.45% in 2024 from 14.24% in 2023, representing a 40.66% year-over-year reduction in turnover rate. This improved retention supports continuity in climate risk assessment capabilities and institutional knowledge retention for PCAF methodology application and sector-specific financed emissions analysis.</w:t>
      </w:r>
    </w:p>
    <w:p>
      <w:pPr>
        <w:spacing w:after="160" w:line="276" w:lineRule="auto"/>
        <w:jc w:val="both"/>
      </w:pPr>
      <w:r>
        <w:rPr>
          <w:rFonts w:ascii="Arial" w:hAnsi="Arial"/>
          <w:sz w:val="22"/>
        </w:rPr>
        <w:t>Training investment per employee declined 23.14% year-over-year, with average training hours per FTE decreasing to 49.3 hours in 2024 from 64.14 hours in 2023. This reduction occurred during a period when the institution's climate-related disclosure obligations expanded under IFRS S2 adoption and financed emissions measurement requirements intensified. The training hours metric is relevant to IFRS S2 Strategy disclosures (S2.14) regarding the institution's capacity to identify and assess climate-related risks and opportunities, particularly for credit analysts evaluating transition risks in carbon-intensive sectors (Energy - Oil &amp; Gas: 43.56% of financed emissions; Manufacturing - Cement: 26.45% of financed emissions).</w:t>
      </w:r>
    </w:p>
    <w:p>
      <w:pPr>
        <w:spacing w:after="160" w:line="276" w:lineRule="auto"/>
        <w:jc w:val="both"/>
      </w:pPr>
      <w:r>
        <w:rPr>
          <w:rFonts w:ascii="Arial" w:hAnsi="Arial"/>
          <w:sz w:val="22"/>
        </w:rPr>
        <w:t>Gender diversity metrics showed mixed trends relevant to governance oversight of climate-related matters (IFRS S2.6-S2.10). Overall female workforce representation declined 3.88 percentage points to 42.32% in 2024 from 46.20% in 2023. Women in management positions represented 26.67% of management roles in 2024, a decline of 1.78 percentage points from 28.45% in 2023. These trends warrant monitoring in the context of the institution's governing body composition and management-level climate risk oversight responsibilities, particularly as the institution implements its PCAF-aligned financed emissions measurement across ten economic sectors and develops sector-specific transition risk assessment frameworks.</w:t>
      </w:r>
    </w:p>
    <w:p>
      <w:pPr>
        <w:spacing w:after="160" w:line="276" w:lineRule="auto"/>
        <w:jc w:val="both"/>
      </w:pPr>
      <w:r>
        <w:rPr>
          <w:rFonts w:ascii="Arial" w:hAnsi="Arial"/>
          <w:sz w:val="22"/>
        </w:rPr>
        <w:t>The institution reported 2 discrimination cases during 2024, compared to 3 cases in 2023. All reported cases were investigated and remediated in accordance with the institution's human rights policy and grievance mechanisms. The institution maintains zero tolerance for discrimination and provides multiple confidential reporting channels for employees. This disclosure satisfies supplementary social information relevant to the institution's broader sustainability governance framework, though discrimination metrics are not directly material to IFRS S2 climate-related disclosure requirements.</w:t>
      </w:r>
    </w:p>
    <w:p>
      <w:pPr>
        <w:spacing w:after="160" w:line="276" w:lineRule="auto"/>
        <w:jc w:val="both"/>
      </w:pPr>
      <w:r>
        <w:rPr>
          <w:rFonts w:ascii="Arial" w:hAnsi="Arial"/>
          <w:i/>
          <w:color w:val="555555"/>
          <w:sz w:val="22"/>
        </w:rPr>
        <w:t>**Climate Transition Workforce Readiness Assessment**: The institution's workforce development strategy requires recalibration to support IFRS S2 implementation and climate transition execution. Key capability gaps include: (1) limited climate scenario analysis expertise for 1.5°C and 2.0°C pathway modeling; (2) insufficient PCAF Data Quality Score improvement capacity (current average: 3.36/5.0 across portfolio); (3) inadequate sector-specific transition risk assessment skills for high-emission sectors (Energy - Oil &amp; Gas: IDR 102.67 trillion exposure; Manufacturing - Cement: IDR 107.68 trillion exposure); and (4) nascent physical risk assessment capabilities for geographic exposure analysis. The 23.14% reduction in training hours per FTE during 2024 occurred precisely when climate competency development should have intensified to support the institution's first IFRS S2 reporting cycle and Science-Based Targets initiative (SBTi) pathway development.</w:t>
      </w:r>
    </w:p>
    <w:p>
      <w:r>
        <w:rPr>
          <w:rFonts w:ascii="Arial" w:hAnsi="Arial"/>
          <w:b/>
          <w:sz w:val="20"/>
        </w:rPr>
        <w:t>Table S1: Workforce Composition and Employment Indicators (2023-2024)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Year-over-Year Change</w:t>
            </w:r>
          </w:p>
        </w:tc>
      </w:tr>
      <w:tr>
        <w:tc>
          <w:tcPr>
            <w:tcW w:type="dxa" w:w="2257"/>
          </w:tcPr>
          <w:p>
            <w:r>
              <w:rPr>
                <w:rFonts w:ascii="Arial" w:hAnsi="Arial"/>
                <w:sz w:val="18"/>
              </w:rPr>
              <w:t>Total FTE Employees</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pPr>
              <w:jc w:val="right"/>
            </w:pPr>
            <w:r>
              <w:rPr>
                <w:rFonts w:ascii="Arial" w:hAnsi="Arial"/>
                <w:sz w:val="18"/>
              </w:rPr>
              <w:t>+2.03%</w:t>
            </w:r>
          </w:p>
        </w:tc>
      </w:tr>
      <w:tr>
        <w:tc>
          <w:tcPr>
            <w:tcW w:type="dxa" w:w="2257"/>
            <w:shd w:fill="F2F6FC" w:val="clear"/>
          </w:tcPr>
          <w:p>
            <w:r>
              <w:rPr>
                <w:rFonts w:ascii="Arial" w:hAnsi="Arial"/>
                <w:sz w:val="18"/>
              </w:rPr>
              <w:t>Female Employees (headcount)</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w:t>
            </w:r>
          </w:p>
        </w:tc>
      </w:tr>
      <w:tr>
        <w:tc>
          <w:tcPr>
            <w:tcW w:type="dxa" w:w="2257"/>
          </w:tcPr>
          <w:p>
            <w:r>
              <w:rPr>
                <w:rFonts w:ascii="Arial" w:hAnsi="Arial"/>
                <w:sz w:val="18"/>
              </w:rPr>
              <w:t>Male Employees (headcount)</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w:t>
            </w:r>
          </w:p>
        </w:tc>
      </w:tr>
      <w:tr>
        <w:tc>
          <w:tcPr>
            <w:tcW w:type="dxa" w:w="2257"/>
            <w:shd w:fill="F2F6FC" w:val="clear"/>
          </w:tcPr>
          <w:p>
            <w:r>
              <w:rPr>
                <w:rFonts w:ascii="Arial" w:hAnsi="Arial"/>
                <w:sz w:val="18"/>
              </w:rPr>
              <w:t>Female Workforce Percentage</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46.20%</w:t>
            </w:r>
          </w:p>
        </w:tc>
        <w:tc>
          <w:tcPr>
            <w:tcW w:type="dxa" w:w="2257"/>
            <w:shd w:fill="F2F6FC" w:val="clear"/>
          </w:tcPr>
          <w:p>
            <w:r>
              <w:rPr>
                <w:rFonts w:ascii="Arial" w:hAnsi="Arial"/>
                <w:sz w:val="18"/>
              </w:rPr>
              <w:t>-3.88 pp</w:t>
            </w:r>
          </w:p>
        </w:tc>
      </w:tr>
      <w:tr>
        <w:tc>
          <w:tcPr>
            <w:tcW w:type="dxa" w:w="2257"/>
          </w:tcPr>
          <w:p>
            <w:r>
              <w:rPr>
                <w:rFonts w:ascii="Arial" w:hAnsi="Arial"/>
                <w:sz w:val="18"/>
              </w:rPr>
              <w:t>Women in Management</w:t>
            </w:r>
          </w:p>
        </w:tc>
        <w:tc>
          <w:tcPr>
            <w:tcW w:type="dxa" w:w="2257"/>
          </w:tcPr>
          <w:p>
            <w:pPr>
              <w:jc w:val="right"/>
            </w:pPr>
            <w:r>
              <w:rPr>
                <w:rFonts w:ascii="Arial" w:hAnsi="Arial"/>
                <w:sz w:val="18"/>
              </w:rPr>
              <w:t>26.67%</w:t>
            </w:r>
          </w:p>
        </w:tc>
        <w:tc>
          <w:tcPr>
            <w:tcW w:type="dxa" w:w="2257"/>
          </w:tcPr>
          <w:p>
            <w:pPr>
              <w:jc w:val="right"/>
            </w:pPr>
            <w:r>
              <w:rPr>
                <w:rFonts w:ascii="Arial" w:hAnsi="Arial"/>
                <w:sz w:val="18"/>
              </w:rPr>
              <w:t>28.45%</w:t>
            </w:r>
          </w:p>
        </w:tc>
        <w:tc>
          <w:tcPr>
            <w:tcW w:type="dxa" w:w="2257"/>
          </w:tcPr>
          <w:p>
            <w:r>
              <w:rPr>
                <w:rFonts w:ascii="Arial" w:hAnsi="Arial"/>
                <w:sz w:val="18"/>
              </w:rPr>
              <w:t>-1.78 pp</w:t>
            </w:r>
          </w:p>
        </w:tc>
      </w:tr>
      <w:tr>
        <w:tc>
          <w:tcPr>
            <w:tcW w:type="dxa" w:w="2257"/>
            <w:shd w:fill="F2F6FC" w:val="clear"/>
          </w:tcPr>
          <w:p>
            <w:r>
              <w:rPr>
                <w:rFonts w:ascii="Arial" w:hAnsi="Arial"/>
                <w:sz w:val="18"/>
              </w:rPr>
              <w:t>New Hires</w:t>
            </w:r>
          </w:p>
        </w:tc>
        <w:tc>
          <w:tcPr>
            <w:tcW w:type="dxa" w:w="2257"/>
            <w:shd w:fill="F2F6FC" w:val="clear"/>
          </w:tcPr>
          <w:p>
            <w:pPr>
              <w:jc w:val="right"/>
            </w:pPr>
            <w:r>
              <w:rPr>
                <w:rFonts w:ascii="Arial" w:hAnsi="Arial"/>
                <w:sz w:val="18"/>
              </w:rPr>
              <w:t>2,595</w:t>
            </w:r>
          </w:p>
        </w:tc>
        <w:tc>
          <w:tcPr>
            <w:tcW w:type="dxa" w:w="2257"/>
            <w:shd w:fill="F2F6FC" w:val="clear"/>
          </w:tcPr>
          <w:p>
            <w:pPr>
              <w:jc w:val="right"/>
            </w:pPr>
            <w:r>
              <w:rPr>
                <w:rFonts w:ascii="Arial" w:hAnsi="Arial"/>
                <w:sz w:val="18"/>
              </w:rPr>
              <w:t>3,169</w:t>
            </w:r>
          </w:p>
        </w:tc>
        <w:tc>
          <w:tcPr>
            <w:tcW w:type="dxa" w:w="2257"/>
            <w:shd w:fill="F2F6FC" w:val="clear"/>
          </w:tcPr>
          <w:p>
            <w:r>
              <w:rPr>
                <w:rFonts w:ascii="Arial" w:hAnsi="Arial"/>
                <w:sz w:val="18"/>
              </w:rPr>
              <w:t>—</w:t>
            </w:r>
          </w:p>
        </w:tc>
      </w:tr>
      <w:tr>
        <w:tc>
          <w:tcPr>
            <w:tcW w:type="dxa" w:w="2257"/>
          </w:tcPr>
          <w:p>
            <w:r>
              <w:rPr>
                <w:rFonts w:ascii="Arial" w:hAnsi="Arial"/>
                <w:sz w:val="18"/>
              </w:rPr>
              <w:t>Hiring Rate</w:t>
            </w:r>
          </w:p>
        </w:tc>
        <w:tc>
          <w:tcPr>
            <w:tcW w:type="dxa" w:w="2257"/>
          </w:tcPr>
          <w:p>
            <w:pPr>
              <w:jc w:val="right"/>
            </w:pPr>
            <w:r>
              <w:rPr>
                <w:rFonts w:ascii="Arial" w:hAnsi="Arial"/>
                <w:sz w:val="18"/>
              </w:rPr>
              <w:t>10.38%</w:t>
            </w:r>
          </w:p>
        </w:tc>
        <w:tc>
          <w:tcPr>
            <w:tcW w:type="dxa" w:w="2257"/>
          </w:tcPr>
          <w:p>
            <w:pPr>
              <w:jc w:val="right"/>
            </w:pPr>
            <w:r>
              <w:rPr>
                <w:rFonts w:ascii="Arial" w:hAnsi="Arial"/>
                <w:sz w:val="18"/>
              </w:rPr>
              <w:t>12.93%</w:t>
            </w:r>
          </w:p>
        </w:tc>
        <w:tc>
          <w:tcPr>
            <w:tcW w:type="dxa" w:w="2257"/>
          </w:tcPr>
          <w:p>
            <w:r>
              <w:rPr>
                <w:rFonts w:ascii="Arial" w:hAnsi="Arial"/>
                <w:sz w:val="18"/>
              </w:rPr>
              <w:t>—</w:t>
            </w:r>
          </w:p>
        </w:tc>
      </w:tr>
      <w:tr>
        <w:tc>
          <w:tcPr>
            <w:tcW w:type="dxa" w:w="2257"/>
            <w:shd w:fill="F2F6FC" w:val="clear"/>
          </w:tcPr>
          <w:p>
            <w:r>
              <w:rPr>
                <w:rFonts w:ascii="Arial" w:hAnsi="Arial"/>
                <w:sz w:val="18"/>
              </w:rPr>
              <w:t>Voluntary Turnover Rate</w:t>
            </w:r>
          </w:p>
        </w:tc>
        <w:tc>
          <w:tcPr>
            <w:tcW w:type="dxa" w:w="2257"/>
            <w:shd w:fill="F2F6FC" w:val="clear"/>
          </w:tcPr>
          <w:p>
            <w:pPr>
              <w:jc w:val="right"/>
            </w:pPr>
            <w:r>
              <w:rPr>
                <w:rFonts w:ascii="Arial" w:hAnsi="Arial"/>
                <w:sz w:val="18"/>
              </w:rPr>
              <w:t>8.45%</w:t>
            </w:r>
          </w:p>
        </w:tc>
        <w:tc>
          <w:tcPr>
            <w:tcW w:type="dxa" w:w="2257"/>
            <w:shd w:fill="F2F6FC" w:val="clear"/>
          </w:tcPr>
          <w:p>
            <w:pPr>
              <w:jc w:val="right"/>
            </w:pPr>
            <w:r>
              <w:rPr>
                <w:rFonts w:ascii="Arial" w:hAnsi="Arial"/>
                <w:sz w:val="18"/>
              </w:rPr>
              <w:t>14.24%</w:t>
            </w:r>
          </w:p>
        </w:tc>
        <w:tc>
          <w:tcPr>
            <w:tcW w:type="dxa" w:w="2257"/>
            <w:shd w:fill="F2F6FC" w:val="clear"/>
          </w:tcPr>
          <w:p>
            <w:pPr>
              <w:jc w:val="right"/>
            </w:pPr>
            <w:r>
              <w:rPr>
                <w:rFonts w:ascii="Arial" w:hAnsi="Arial"/>
                <w:sz w:val="18"/>
              </w:rPr>
              <w:t>-40.66%</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pPr>
              <w:jc w:val="right"/>
            </w:pPr>
            <w:r>
              <w:rPr>
                <w:rFonts w:ascii="Arial" w:hAnsi="Arial"/>
                <w:sz w:val="18"/>
              </w:rPr>
              <w:t>-23.14%</w:t>
            </w:r>
          </w:p>
        </w:tc>
      </w:tr>
      <w:tr>
        <w:tc>
          <w:tcPr>
            <w:tcW w:type="dxa" w:w="2257"/>
            <w:shd w:fill="F2F6FC" w:val="clear"/>
          </w:tcPr>
          <w:p>
            <w:r>
              <w:rPr>
                <w:rFonts w:ascii="Arial" w:hAnsi="Arial"/>
                <w:sz w:val="18"/>
              </w:rPr>
              <w:t>Discrimination Cases Reported</w:t>
            </w:r>
          </w:p>
        </w:tc>
        <w:tc>
          <w:tcPr>
            <w:tcW w:type="dxa" w:w="2257"/>
            <w:shd w:fill="F2F6FC" w:val="clear"/>
          </w:tcPr>
          <w:p>
            <w:pPr>
              <w:jc w:val="right"/>
            </w:pPr>
            <w:r>
              <w:rPr>
                <w:rFonts w:ascii="Arial" w:hAnsi="Arial"/>
                <w:sz w:val="18"/>
              </w:rPr>
              <w:t>2</w:t>
            </w:r>
          </w:p>
        </w:tc>
        <w:tc>
          <w:tcPr>
            <w:tcW w:type="dxa" w:w="2257"/>
            <w:shd w:fill="F2F6FC" w:val="clear"/>
          </w:tcPr>
          <w:p>
            <w:pPr>
              <w:jc w:val="right"/>
            </w:pPr>
            <w:r>
              <w:rPr>
                <w:rFonts w:ascii="Arial" w:hAnsi="Arial"/>
                <w:sz w:val="18"/>
              </w:rPr>
              <w:t>3</w:t>
            </w:r>
          </w:p>
        </w:tc>
        <w:tc>
          <w:tcPr>
            <w:tcW w:type="dxa" w:w="2257"/>
            <w:shd w:fill="F2F6FC" w:val="clear"/>
          </w:tcPr>
          <w:p>
            <w:r>
              <w:rPr>
                <w:rFonts w:ascii="Arial" w:hAnsi="Arial"/>
                <w:sz w:val="18"/>
              </w:rPr>
              <w:t>—</w:t>
            </w:r>
          </w:p>
        </w:tc>
      </w:tr>
    </w:tbl>
    <w:p>
      <w:r>
        <w:rPr>
          <w:rFonts w:ascii="Arial" w:hAnsi="Arial"/>
          <w:i/>
          <w:sz w:val="16"/>
        </w:rPr>
        <w:t>Source: Source: Institution HR systems. Workforce data as of 31 December for respective years. Training hours represent completed formal training programs. Discrimination cases include all reports received through formal grievance mechanisms, regardless of substantiation outcome.</w:t>
      </w:r>
    </w:p>
    <w:p/>
    <w:p>
      <w:r>
        <w:rPr>
          <w:rFonts w:ascii="Arial" w:hAnsi="Arial"/>
          <w:b/>
          <w:sz w:val="20"/>
        </w:rPr>
        <w:t>Table S2: Climate Transition Workforce Capability Requirements (IFRS S2 Context)</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Capability Domain</w:t>
            </w:r>
          </w:p>
        </w:tc>
        <w:tc>
          <w:tcPr>
            <w:tcW w:type="dxa" w:w="2257"/>
            <w:shd w:fill="1B3A6B" w:val="clear"/>
          </w:tcPr>
          <w:p>
            <w:r>
              <w:rPr>
                <w:rFonts w:ascii="Arial" w:hAnsi="Arial"/>
                <w:b/>
                <w:color w:val="FFFFFF"/>
                <w:sz w:val="18"/>
              </w:rPr>
              <w:t>Current State (2024)</w:t>
            </w:r>
          </w:p>
        </w:tc>
        <w:tc>
          <w:tcPr>
            <w:tcW w:type="dxa" w:w="2257"/>
            <w:shd w:fill="1B3A6B" w:val="clear"/>
          </w:tcPr>
          <w:p>
            <w:r>
              <w:rPr>
                <w:rFonts w:ascii="Arial" w:hAnsi="Arial"/>
                <w:b/>
                <w:color w:val="FFFFFF"/>
                <w:sz w:val="18"/>
              </w:rPr>
              <w:t>IFRS S2 Requirement</w:t>
            </w:r>
          </w:p>
        </w:tc>
        <w:tc>
          <w:tcPr>
            <w:tcW w:type="dxa" w:w="2257"/>
            <w:shd w:fill="1B3A6B" w:val="clear"/>
          </w:tcPr>
          <w:p>
            <w:r>
              <w:rPr>
                <w:rFonts w:ascii="Arial" w:hAnsi="Arial"/>
                <w:b/>
                <w:color w:val="FFFFFF"/>
                <w:sz w:val="18"/>
              </w:rPr>
              <w:t>Gap Assessment</w:t>
            </w:r>
          </w:p>
        </w:tc>
      </w:tr>
      <w:tr>
        <w:tc>
          <w:tcPr>
            <w:tcW w:type="dxa" w:w="2257"/>
          </w:tcPr>
          <w:p>
            <w:r>
              <w:rPr>
                <w:rFonts w:ascii="Arial" w:hAnsi="Arial"/>
                <w:sz w:val="18"/>
              </w:rPr>
              <w:t>Climate Scenario Analysis</w:t>
            </w:r>
          </w:p>
        </w:tc>
        <w:tc>
          <w:tcPr>
            <w:tcW w:type="dxa" w:w="2257"/>
          </w:tcPr>
          <w:p>
            <w:r>
              <w:rPr>
                <w:rFonts w:ascii="Arial" w:hAnsi="Arial"/>
                <w:sz w:val="18"/>
              </w:rPr>
              <w:t>Limited expertise; external consultant-dependent</w:t>
            </w:r>
          </w:p>
        </w:tc>
        <w:tc>
          <w:tcPr>
            <w:tcW w:type="dxa" w:w="2257"/>
          </w:tcPr>
          <w:p>
            <w:r>
              <w:rPr>
                <w:rFonts w:ascii="Arial" w:hAnsi="Arial"/>
                <w:sz w:val="18"/>
              </w:rPr>
              <w:t>S2.16: 1.5°C and 2.0°C pathway analysis</w:t>
            </w:r>
          </w:p>
        </w:tc>
        <w:tc>
          <w:tcPr>
            <w:tcW w:type="dxa" w:w="2257"/>
          </w:tcPr>
          <w:p>
            <w:r>
              <w:rPr>
                <w:rFonts w:ascii="Arial" w:hAnsi="Arial"/>
                <w:sz w:val="18"/>
              </w:rPr>
              <w:t>High — requires dedicated internal team</w:t>
            </w:r>
          </w:p>
        </w:tc>
      </w:tr>
      <w:tr>
        <w:tc>
          <w:tcPr>
            <w:tcW w:type="dxa" w:w="2257"/>
            <w:shd w:fill="F2F6FC" w:val="clear"/>
          </w:tcPr>
          <w:p>
            <w:r>
              <w:rPr>
                <w:rFonts w:ascii="Arial" w:hAnsi="Arial"/>
                <w:sz w:val="18"/>
              </w:rPr>
              <w:t>PCAF Data Quality Improvement</w:t>
            </w:r>
          </w:p>
        </w:tc>
        <w:tc>
          <w:tcPr>
            <w:tcW w:type="dxa" w:w="2257"/>
            <w:shd w:fill="F2F6FC" w:val="clear"/>
          </w:tcPr>
          <w:p>
            <w:r>
              <w:rPr>
                <w:rFonts w:ascii="Arial" w:hAnsi="Arial"/>
                <w:sz w:val="18"/>
              </w:rPr>
              <w:t>Average DQ Score: 3.36/5.0</w:t>
            </w:r>
          </w:p>
        </w:tc>
        <w:tc>
          <w:tcPr>
            <w:tcW w:type="dxa" w:w="2257"/>
            <w:shd w:fill="F2F6FC" w:val="clear"/>
          </w:tcPr>
          <w:p>
            <w:r>
              <w:rPr>
                <w:rFonts w:ascii="Arial" w:hAnsi="Arial"/>
                <w:sz w:val="18"/>
              </w:rPr>
              <w:t>S2.29(b): Improve financed emissions data quality</w:t>
            </w:r>
          </w:p>
        </w:tc>
        <w:tc>
          <w:tcPr>
            <w:tcW w:type="dxa" w:w="2257"/>
            <w:shd w:fill="F2F6FC" w:val="clear"/>
          </w:tcPr>
          <w:p>
            <w:r>
              <w:rPr>
                <w:rFonts w:ascii="Arial" w:hAnsi="Arial"/>
                <w:sz w:val="18"/>
              </w:rPr>
              <w:t>Medium — systematic borrower engagement needed</w:t>
            </w:r>
          </w:p>
        </w:tc>
      </w:tr>
      <w:tr>
        <w:tc>
          <w:tcPr>
            <w:tcW w:type="dxa" w:w="2257"/>
          </w:tcPr>
          <w:p>
            <w:r>
              <w:rPr>
                <w:rFonts w:ascii="Arial" w:hAnsi="Arial"/>
                <w:sz w:val="18"/>
              </w:rPr>
              <w:t>Sector Transition Risk Assessment</w:t>
            </w:r>
          </w:p>
        </w:tc>
        <w:tc>
          <w:tcPr>
            <w:tcW w:type="dxa" w:w="2257"/>
          </w:tcPr>
          <w:p>
            <w:r>
              <w:rPr>
                <w:rFonts w:ascii="Arial" w:hAnsi="Arial"/>
                <w:sz w:val="18"/>
              </w:rPr>
              <w:t>Generic ESG screening only</w:t>
            </w:r>
          </w:p>
        </w:tc>
        <w:tc>
          <w:tcPr>
            <w:tcW w:type="dxa" w:w="2257"/>
          </w:tcPr>
          <w:p>
            <w:r>
              <w:rPr>
                <w:rFonts w:ascii="Arial" w:hAnsi="Arial"/>
                <w:sz w:val="18"/>
              </w:rPr>
              <w:t>S2.14(a): Sector-specific risk identification</w:t>
            </w:r>
          </w:p>
        </w:tc>
        <w:tc>
          <w:tcPr>
            <w:tcW w:type="dxa" w:w="2257"/>
          </w:tcPr>
          <w:p>
            <w:r>
              <w:rPr>
                <w:rFonts w:ascii="Arial" w:hAnsi="Arial"/>
                <w:sz w:val="18"/>
              </w:rPr>
              <w:t>High — 10 sectors require specialized analysts</w:t>
            </w:r>
          </w:p>
        </w:tc>
      </w:tr>
      <w:tr>
        <w:tc>
          <w:tcPr>
            <w:tcW w:type="dxa" w:w="2257"/>
            <w:shd w:fill="F2F6FC" w:val="clear"/>
          </w:tcPr>
          <w:p>
            <w:r>
              <w:rPr>
                <w:rFonts w:ascii="Arial" w:hAnsi="Arial"/>
                <w:sz w:val="18"/>
              </w:rPr>
              <w:t>Physical Risk Geographic Analysis</w:t>
            </w:r>
          </w:p>
        </w:tc>
        <w:tc>
          <w:tcPr>
            <w:tcW w:type="dxa" w:w="2257"/>
            <w:shd w:fill="F2F6FC" w:val="clear"/>
          </w:tcPr>
          <w:p>
            <w:r>
              <w:rPr>
                <w:rFonts w:ascii="Arial" w:hAnsi="Arial"/>
                <w:sz w:val="18"/>
              </w:rPr>
              <w:t>Nascent capability</w:t>
            </w:r>
          </w:p>
        </w:tc>
        <w:tc>
          <w:tcPr>
            <w:tcW w:type="dxa" w:w="2257"/>
            <w:shd w:fill="F2F6FC" w:val="clear"/>
          </w:tcPr>
          <w:p>
            <w:r>
              <w:rPr>
                <w:rFonts w:ascii="Arial" w:hAnsi="Arial"/>
                <w:sz w:val="18"/>
              </w:rPr>
              <w:t>S2.15: Acute and chronic physical risk assessment</w:t>
            </w:r>
          </w:p>
        </w:tc>
        <w:tc>
          <w:tcPr>
            <w:tcW w:type="dxa" w:w="2257"/>
            <w:shd w:fill="F2F6FC" w:val="clear"/>
          </w:tcPr>
          <w:p>
            <w:r>
              <w:rPr>
                <w:rFonts w:ascii="Arial" w:hAnsi="Arial"/>
                <w:sz w:val="18"/>
              </w:rPr>
              <w:t>High — climate science expertise required</w:t>
            </w:r>
          </w:p>
        </w:tc>
      </w:tr>
      <w:tr>
        <w:tc>
          <w:tcPr>
            <w:tcW w:type="dxa" w:w="2257"/>
          </w:tcPr>
          <w:p>
            <w:r>
              <w:rPr>
                <w:rFonts w:ascii="Arial" w:hAnsi="Arial"/>
                <w:sz w:val="18"/>
              </w:rPr>
              <w:t>Governance Oversight Training</w:t>
            </w:r>
          </w:p>
        </w:tc>
        <w:tc>
          <w:tcPr>
            <w:tcW w:type="dxa" w:w="2257"/>
          </w:tcPr>
          <w:p>
            <w:r>
              <w:rPr>
                <w:rFonts w:ascii="Arial" w:hAnsi="Arial"/>
                <w:sz w:val="18"/>
              </w:rPr>
              <w:t>Board-level climate training: not disclosed</w:t>
            </w:r>
          </w:p>
        </w:tc>
        <w:tc>
          <w:tcPr>
            <w:tcW w:type="dxa" w:w="2257"/>
          </w:tcPr>
          <w:p>
            <w:r>
              <w:rPr>
                <w:rFonts w:ascii="Arial" w:hAnsi="Arial"/>
                <w:sz w:val="18"/>
              </w:rPr>
              <w:t>S2.6-S2.10: Governing body climate competency</w:t>
            </w:r>
          </w:p>
        </w:tc>
        <w:tc>
          <w:tcPr>
            <w:tcW w:type="dxa" w:w="2257"/>
          </w:tcPr>
          <w:p>
            <w:r>
              <w:rPr>
                <w:rFonts w:ascii="Arial" w:hAnsi="Arial"/>
                <w:sz w:val="18"/>
              </w:rPr>
              <w:t>Medium — structured board development program needed</w:t>
            </w:r>
          </w:p>
        </w:tc>
      </w:tr>
    </w:tbl>
    <w:p>
      <w:r>
        <w:rPr>
          <w:rFonts w:ascii="Arial" w:hAnsi="Arial"/>
          <w:i/>
          <w:sz w:val="16"/>
        </w:rPr>
        <w:t>Source: Gap assessment based on IFRS S2 requirements cross-referenced with institution's current workforce capabilities. 'High' gap indicates capability does not exist or is insufficient for compliance; 'Medium' gap indicates partial capability requiring enhancement.</w:t>
      </w:r>
    </w:p>
    <w:p/>
    <w:p>
      <w:r>
        <w:rPr>
          <w:i/>
          <w:color w:val="3D6094"/>
          <w:sz w:val="18"/>
        </w:rPr>
        <w:t>Framework references: IFRS S2.6-S2.10 (Governance — governing body oversight and management processes); IFRS S2.14 (Strategy — processes to identify climate-related risks); IFRS S2.16 (Strategy — scenario analysis capability requirements); IFRS S2.23-S2.25 (Risk Management — climate risk assessment processes); IFRS S2.29(b) (Metrics — financed emissions data quality); GRI 2-7 (Employees — supplementary reference); GRI 401-1 (New employee hires and employee turnover — supplementary reference); GRI 404-1 (Average hours of training per year per employee — supplementary reference); GRI 405-1 (Diversity of governance bodies and employees — supplementary reference); GRI 406-1 (Incidents of discrimination and corrective actions taken — supplementary reference)</w:t>
      </w:r>
    </w:p>
    <w:p>
      <w:pPr>
        <w:spacing w:after="80"/>
        <w:pBdr>
          <w:bottom w:val="single" w:sz="6" w:space="1" w:color="999999"/>
        </w:pBdr>
      </w:pPr>
    </w:p>
    <w:p>
      <w:pPr>
        <w:spacing w:after="160" w:line="276" w:lineRule="auto"/>
        <w:jc w:val="both"/>
      </w:pPr>
      <w:r>
        <w:rPr>
          <w:rFonts w:ascii="Arial" w:hAnsi="Arial"/>
          <w:i/>
          <w:color w:val="646464"/>
          <w:sz w:val="18"/>
        </w:rPr>
        <w:t>Human capital disclosures are provided as supplementary context to IFRS S2 climate-related disclosures. IFRS S2 does not mandate social metrics disclosure; however, workforce capabilities are material to the institution's capacity to implement climate risk management processes (S2.23-S2.25) and achieve climate-related targets (S2.33-S2.37).</w:t>
      </w:r>
    </w:p>
    <w:p>
      <w:pPr>
        <w:spacing w:after="160" w:line="276" w:lineRule="auto"/>
        <w:jc w:val="both"/>
      </w:pPr>
      <w:r>
        <w:rPr>
          <w:rFonts w:ascii="Arial" w:hAnsi="Arial"/>
          <w:i/>
          <w:color w:val="646464"/>
          <w:sz w:val="18"/>
        </w:rPr>
        <w:t>Training hours metric includes all formal training programs completed during the reporting period. The 23.14% year-over-year decline occurred during a period of expanding climate disclosure obligations and financed emissions measurement requirements.</w:t>
      </w:r>
    </w:p>
    <w:p>
      <w:pPr>
        <w:spacing w:after="160" w:line="276" w:lineRule="auto"/>
        <w:jc w:val="both"/>
      </w:pPr>
      <w:r>
        <w:rPr>
          <w:rFonts w:ascii="Arial" w:hAnsi="Arial"/>
          <w:i/>
          <w:color w:val="646464"/>
          <w:sz w:val="18"/>
        </w:rPr>
        <w:t>Gender diversity metrics are reported at consolidated entity level covering all operations under operational control. Management category includes all employees at Assistant Vice President level and above.</w:t>
      </w:r>
    </w:p>
    <w:p>
      <w:pPr>
        <w:spacing w:after="160" w:line="276" w:lineRule="auto"/>
        <w:jc w:val="both"/>
      </w:pPr>
      <w:r>
        <w:rPr>
          <w:rFonts w:ascii="Arial" w:hAnsi="Arial"/>
          <w:i/>
          <w:color w:val="646464"/>
          <w:sz w:val="18"/>
        </w:rPr>
        <w:t>Discrimination cases represent all reports received through formal grievance mechanisms during the reporting period. All cases were investigated and remediated in accordance with the institution's human rights policy. Case details are confidential to protect employee privacy.</w:t>
      </w:r>
    </w:p>
    <w:p>
      <w:pPr>
        <w:spacing w:after="160" w:line="276" w:lineRule="auto"/>
        <w:jc w:val="both"/>
      </w:pPr>
      <w:r>
        <w:rPr>
          <w:rFonts w:ascii="Arial" w:hAnsi="Arial"/>
          <w:i/>
          <w:color w:val="646464"/>
          <w:sz w:val="18"/>
        </w:rPr>
        <w:t>Workforce data as of 31 December 2024. FTE calculation methodology is consistent with prior year reporting.</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IFRS_S2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IFRS_S2</dc:title>
  <dc:subject>GHG Emissions Disclosure - IFRS_S2</dc:subject>
  <dc:creator>ESG Reporting System (GENERIC_FI_001)</dc:creator>
  <cp:keywords>ESG, GHG, IFRS_S2, 2024, PCAF, Scope1, Scope2, Scope3</cp:keywords>
  <dc:description>Generated by execution: arn:aws:states:us-east-1:061039769766:execution:ESGReportGenerationStateMachine:f2ac9f2e-ae0c-4988-9a77-1da1a13e916a</dc:description>
  <cp:lastModifiedBy/>
  <cp:revision>1</cp:revision>
  <dcterms:created xsi:type="dcterms:W3CDTF">2013-12-23T23:15:00Z</dcterms:created>
  <dcterms:modified xsi:type="dcterms:W3CDTF">2013-12-23T23:15:00Z</dcterms:modified>
  <cp:category>ESG Sustainability Report</cp:category>
</cp:coreProperties>
</file>