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IFRS_S2</w:t>
      </w:r>
    </w:p>
    <w:p>
      <w:pPr>
        <w:jc w:val="center"/>
      </w:pPr>
      <w:r>
        <w:rPr>
          <w:rFonts w:ascii="Arial" w:hAnsi="Arial"/>
          <w:sz w:val="22"/>
        </w:rPr>
        <w:t>Generated: 2026-06-12 16:53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separate"/>
      </w:r>
      <w:r>
        <w:rPr>
          <w:i/>
          <w:color w:val="999999"/>
        </w:rPr>
        <w:t>Table of Contents — Update this field (Ctrl+A → F9)</w:t>
      </w:r>
      <w:r>
        <w:fldChar w:fldCharType="end"/>
      </w:r>
    </w:p>
    <w:p>
      <w:r>
        <w:br w:type="page"/>
      </w:r>
    </w:p>
    <w:p>
      <w:r>
        <w:br w:type="page"/>
      </w:r>
    </w:p>
    <w:p>
      <w:pPr>
        <w:pStyle w:val="Heading1"/>
        <w:keepNext/>
        <w:spacing w:before="480" w:after="240"/>
      </w:pPr>
      <w:r>
        <w:rPr>
          <w:rFonts w:ascii="Arial" w:hAnsi="Arial"/>
          <w:b/>
          <w:color w:val="1B3A6B"/>
          <w:sz w:val="36"/>
        </w:rPr>
        <w:t>Executive Summary</w:t>
      </w:r>
    </w:p>
    <w:p>
      <w:pPr>
        <w:pStyle w:val="Heading2"/>
        <w:keepNext/>
        <w:spacing w:before="360" w:after="160"/>
      </w:pPr>
      <w:r>
        <w:rPr>
          <w:rFonts w:ascii="Arial" w:hAnsi="Arial"/>
          <w:b/>
          <w:color w:val="3D6094"/>
          <w:sz w:val="28"/>
        </w:rPr>
        <w:t>Strategic Brief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22024814.173</w:t>
            </w:r>
            <w:r>
              <w:rPr>
                <w:color w:val="757575"/>
                <w:sz w:val="18"/>
              </w:rPr>
              <w:t xml:space="preserve"> tCO₂e</w:t>
            </w:r>
          </w:p>
        </w:tc>
        <w:tc>
          <w:tcPr>
            <w:tcW w:type="dxa" w:w="2257"/>
            <w:shd w:fill="F2F6FA" w:val="clear"/>
          </w:tcPr>
          <w:p>
            <w:pPr>
              <w:jc w:val="center"/>
            </w:pPr>
            <w:r>
              <w:rPr>
                <w:b/>
                <w:color w:val="1B3A6B"/>
                <w:sz w:val="36"/>
              </w:rPr>
              <w:t>239.400139</w:t>
            </w:r>
            <w:r>
              <w:rPr>
                <w:color w:val="757575"/>
                <w:sz w:val="18"/>
              </w:rPr>
              <w:t xml:space="preserve"> tCO₂e/IDR Bn</w:t>
            </w:r>
          </w:p>
        </w:tc>
        <w:tc>
          <w:tcPr>
            <w:tcW w:type="dxa" w:w="2257"/>
            <w:shd w:fill="F2F6FA" w:val="clear"/>
          </w:tcPr>
          <w:p>
            <w:pPr>
              <w:jc w:val="center"/>
            </w:pPr>
            <w:r>
              <w:rPr>
                <w:b/>
                <w:color w:val="1B3A6B"/>
                <w:sz w:val="36"/>
              </w:rPr>
              <w:t>3.36</w:t>
            </w:r>
            <w:r>
              <w:rPr>
                <w:color w:val="757575"/>
                <w:sz w:val="18"/>
              </w:rPr>
              <w:t xml:space="preserve"> score (1-5)</w:t>
            </w:r>
          </w:p>
        </w:tc>
        <w:tc>
          <w:tcPr>
            <w:tcW w:type="dxa" w:w="2257"/>
            <w:shd w:fill="F2F6FA" w:val="clear"/>
          </w:tcPr>
          <w:p>
            <w:pPr>
              <w:jc w:val="center"/>
            </w:pPr>
            <w:r>
              <w:rPr>
                <w:b/>
                <w:color w:val="1B3A6B"/>
                <w:sz w:val="36"/>
              </w:rPr>
              <w:t>100.0</w:t>
            </w:r>
            <w:r>
              <w:rPr>
                <w:color w:val="757575"/>
                <w:sz w:val="18"/>
              </w:rPr>
              <w:t xml:space="preserve"> %</w:t>
            </w:r>
          </w:p>
        </w:tc>
      </w:tr>
      <w:tr>
        <w:tc>
          <w:tcPr>
            <w:tcW w:type="dxa" w:w="2257"/>
            <w:shd w:fill="F2F6FA" w:val="clear"/>
          </w:tcPr>
          <w:p>
            <w:pPr>
              <w:jc w:val="center"/>
            </w:pPr>
            <w:r>
              <w:rPr>
                <w:color w:val="757575"/>
                <w:sz w:val="16"/>
              </w:rPr>
              <w:t>Total GHG Emissions (Scope 1+2+3)</w:t>
            </w:r>
          </w:p>
        </w:tc>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Financed Emissions Coverage</w:t>
            </w:r>
          </w:p>
        </w:tc>
      </w:tr>
    </w:tbl>
    <w:p/>
    <w:p>
      <w:pPr>
        <w:spacing w:after="160" w:line="276" w:lineRule="auto"/>
      </w:pPr>
      <w:r>
        <w:rPr>
          <w:rFonts w:ascii="Arial" w:hAnsi="Arial"/>
          <w:sz w:val="22"/>
        </w:rPr>
        <w:t>The institution's total greenhouse gas footprint for 2024 stands at 22,024,814.173 tCO₂e across all scopes, representing a 4.07% reduction from the prior year baseline of 22,959,859.188 tCO₂e. This decrease was primarily driven by strategic portfolio rebalancing in the Energy - Oil &amp; Gas sector, which reduced financed emissions by an estimated 296,065 tCO₂e despite maintaining sector exposure at 6.66% of total lending. Revenue intensity improved significantly to 239.400139 tCO₂e per IDR billion, down 11.37% year-over-year, indicating decoupling of emissions growth from business expansion. The Board must prioritize three immediate actions: (1) accelerate borrower engagement in the top three emitting sectors representing 85.93% of financed emissions, (2) establish science-based interim targets for 2030 aligned with 1.5°C pathways per IFRS S2 requirements, and (3) upgrade PCAF data quality from current score of 3.36 to below 3.0 through direct borrower data collection programs.</w:t>
      </w:r>
    </w:p>
    <w:p/>
    <w:p>
      <w:r>
        <w:rPr>
          <w:b/>
          <w:color w:val="2E7D32"/>
          <w:sz w:val="24"/>
        </w:rPr>
        <w:t>⚡ Priority Actions</w:t>
      </w:r>
    </w:p>
    <w:p>
      <w:r>
        <w:rPr>
          <w:b/>
          <w:sz w:val="22"/>
        </w:rPr>
        <w:t>🔴 1. Establish sector-specific decarbonization targets for Energy - Oil &amp; Gas (43.56% of financed emissions), Manufacturing - Cement (26.45%), and Manufacturing - Steel (15.92%) — Required for IFRS S2 para 33-36 compliance and investor credibility (Q2 2025)</w:t>
      </w:r>
    </w:p>
    <w:p>
      <w:r>
        <w:rPr>
          <w:b/>
          <w:sz w:val="22"/>
        </w:rPr>
        <w:t>🔴 2. Launch borrower engagement program targeting 135 oil &amp; gas clients and 161 cement clients to collect Scope 1+2 emissions data — Will reduce PCAF score from 3.36 to &lt;3.0 and narrow 30.47% confidence gap between gross and weighted financed emissions (Q3 2025)</w:t>
      </w:r>
    </w:p>
    <w:p>
      <w:r>
        <w:rPr>
          <w:b/>
          <w:sz w:val="22"/>
        </w:rPr>
        <w:t>🟡 3. Conduct 1.5°C and 2°C scenario analysis per IFRS S2 para 22 using NGFS scenarios — Quantify transition risk exposure in IDR terms for credit risk integration (Q4 2025)</w:t>
      </w:r>
    </w:p>
    <w:p/>
    <w:p>
      <w:pPr>
        <w:spacing w:after="160" w:line="276" w:lineRule="auto"/>
      </w:pPr>
      <w:r>
        <w:rPr>
          <w:rFonts w:ascii="Arial" w:hAnsi="Arial"/>
          <w:sz w:val="22"/>
        </w:rPr>
        <w:t>Forward-looking statement: Subject to regulatory developments and market conditions, the institution projects continued emissions intensity reduction through 2026 as renewable energy financing scales and high-carbon sector exposure decreases per the 2024-2028 Sustainable Finance Action Plan. Achievement depends on borrower cooperation in emissions data disclosure, stability of Indonesia's coal phase-out timeline, and availability of transition finance instruments. Peer institutions in Southeast Asia have demonstrated 15-20% intensity reductions over 3-year periods through similar portfolio strategies, providing a reference trajectory for the institution's decarbonization pathway.</w:t>
      </w:r>
    </w:p>
    <w:p>
      <w:r>
        <w:rPr>
          <w:rFonts w:ascii="Arial" w:hAnsi="Arial"/>
          <w:b/>
          <w:sz w:val="20"/>
        </w:rPr>
        <w:t>Table 2: ESG Scorecard</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Dimension</w:t>
            </w:r>
          </w:p>
        </w:tc>
        <w:tc>
          <w:tcPr>
            <w:tcW w:type="dxa" w:w="3010"/>
            <w:shd w:fill="1B3A6B" w:val="clear"/>
          </w:tcPr>
          <w:p>
            <w:r>
              <w:rPr>
                <w:rFonts w:ascii="Arial" w:hAnsi="Arial"/>
                <w:b/>
                <w:color w:val="FFFFFF"/>
                <w:sz w:val="18"/>
              </w:rPr>
              <w:t>Rating</w:t>
            </w:r>
          </w:p>
        </w:tc>
        <w:tc>
          <w:tcPr>
            <w:tcW w:type="dxa" w:w="3010"/>
            <w:shd w:fill="1B3A6B" w:val="clear"/>
          </w:tcPr>
          <w:p>
            <w:r>
              <w:rPr>
                <w:rFonts w:ascii="Arial" w:hAnsi="Arial"/>
                <w:b/>
                <w:color w:val="FFFFFF"/>
                <w:sz w:val="18"/>
              </w:rPr>
              <w:t>Key Driver</w:t>
            </w:r>
          </w:p>
        </w:tc>
      </w:tr>
      <w:tr>
        <w:tc>
          <w:tcPr>
            <w:tcW w:type="dxa" w:w="3010"/>
          </w:tcPr>
          <w:p>
            <w:r>
              <w:rPr>
                <w:rFonts w:ascii="Arial" w:hAnsi="Arial"/>
                <w:sz w:val="18"/>
              </w:rPr>
              <w:t>Environmental</w:t>
            </w:r>
          </w:p>
        </w:tc>
        <w:tc>
          <w:tcPr>
            <w:tcW w:type="dxa" w:w="3010"/>
          </w:tcPr>
          <w:p>
            <w:r>
              <w:rPr>
                <w:rFonts w:ascii="Arial" w:hAnsi="Arial"/>
                <w:sz w:val="18"/>
              </w:rPr>
              <w:t>🟢</w:t>
            </w:r>
          </w:p>
        </w:tc>
        <w:tc>
          <w:tcPr>
            <w:tcW w:type="dxa" w:w="3010"/>
          </w:tcPr>
          <w:p>
            <w:r>
              <w:rPr>
                <w:rFonts w:ascii="Arial" w:hAnsi="Arial"/>
                <w:sz w:val="18"/>
              </w:rPr>
              <w:t>Total emissions decreased 4.07% YoY; intensity improved 11.37%</w:t>
            </w:r>
          </w:p>
        </w:tc>
      </w:tr>
      <w:tr>
        <w:tc>
          <w:tcPr>
            <w:tcW w:type="dxa" w:w="3010"/>
            <w:shd w:fill="F2F6FC" w:val="clear"/>
          </w:tcPr>
          <w:p>
            <w:r>
              <w:rPr>
                <w:rFonts w:ascii="Arial" w:hAnsi="Arial"/>
                <w:sz w:val="18"/>
              </w:rPr>
              <w:t>Social</w:t>
            </w:r>
          </w:p>
        </w:tc>
        <w:tc>
          <w:tcPr>
            <w:tcW w:type="dxa" w:w="3010"/>
            <w:shd w:fill="F2F6FC" w:val="clear"/>
          </w:tcPr>
          <w:p>
            <w:r>
              <w:rPr>
                <w:rFonts w:ascii="Arial" w:hAnsi="Arial"/>
                <w:sz w:val="18"/>
              </w:rPr>
              <w:t>🟡</w:t>
            </w:r>
          </w:p>
        </w:tc>
        <w:tc>
          <w:tcPr>
            <w:tcW w:type="dxa" w:w="3010"/>
            <w:shd w:fill="F2F6FC" w:val="clear"/>
          </w:tcPr>
          <w:p>
            <w:r>
              <w:rPr>
                <w:rFonts w:ascii="Arial" w:hAnsi="Arial"/>
                <w:sz w:val="18"/>
              </w:rPr>
              <w:t>Female representation 42.32% (above 40% threshold) but training hours 49.3 (above 30hr threshold); management gender gap widened</w:t>
            </w:r>
          </w:p>
        </w:tc>
      </w:tr>
      <w:tr>
        <w:tc>
          <w:tcPr>
            <w:tcW w:type="dxa" w:w="3010"/>
          </w:tcPr>
          <w:p>
            <w:r>
              <w:rPr>
                <w:rFonts w:ascii="Arial" w:hAnsi="Arial"/>
                <w:sz w:val="18"/>
              </w:rPr>
              <w:t>Governance</w:t>
            </w:r>
          </w:p>
        </w:tc>
        <w:tc>
          <w:tcPr>
            <w:tcW w:type="dxa" w:w="3010"/>
          </w:tcPr>
          <w:p>
            <w:r>
              <w:rPr>
                <w:rFonts w:ascii="Arial" w:hAnsi="Arial"/>
                <w:sz w:val="18"/>
              </w:rPr>
              <w:t>🟡</w:t>
            </w:r>
          </w:p>
        </w:tc>
        <w:tc>
          <w:tcPr>
            <w:tcW w:type="dxa" w:w="3010"/>
          </w:tcPr>
          <w:p>
            <w:r>
              <w:rPr>
                <w:rFonts w:ascii="Arial" w:hAnsi="Arial"/>
                <w:sz w:val="18"/>
              </w:rPr>
              <w:t>Climate governance structure established; transition plan and science-based targets not yet disclosed per IFRS S2 requirements</w:t>
            </w:r>
          </w:p>
        </w:tc>
      </w:tr>
    </w:tbl>
    <w:p>
      <w:r>
        <w:rPr>
          <w:rFonts w:ascii="Arial" w:hAnsi="Arial"/>
          <w:i/>
          <w:sz w:val="16"/>
        </w:rPr>
        <w:t>Source: Ratings derived from quantitative thresholds applied to reported metrics</w:t>
      </w:r>
    </w:p>
    <w:p/>
    <w:p>
      <w:r>
        <w:rPr>
          <w:rFonts w:ascii="Arial" w:hAnsi="Arial"/>
          <w:b/>
          <w:sz w:val="20"/>
        </w:rPr>
        <w:t>Table 4: Risk &amp; Opportunity Matrix</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r>
          </w:p>
        </w:tc>
        <w:tc>
          <w:tcPr>
            <w:tcW w:type="dxa" w:w="3010"/>
            <w:shd w:fill="1B3A6B" w:val="clear"/>
          </w:tcPr>
          <w:p>
            <w:r>
              <w:rPr>
                <w:rFonts w:ascii="Arial" w:hAnsi="Arial"/>
                <w:b/>
                <w:color w:val="FFFFFF"/>
                <w:sz w:val="18"/>
              </w:rPr>
              <w:t>Short-term (1-2 years)</w:t>
            </w:r>
          </w:p>
        </w:tc>
        <w:tc>
          <w:tcPr>
            <w:tcW w:type="dxa" w:w="3010"/>
            <w:shd w:fill="1B3A6B" w:val="clear"/>
          </w:tcPr>
          <w:p>
            <w:r>
              <w:rPr>
                <w:rFonts w:ascii="Arial" w:hAnsi="Arial"/>
                <w:b/>
                <w:color w:val="FFFFFF"/>
                <w:sz w:val="18"/>
              </w:rPr>
              <w:t>Medium-term (3-5 years)</w:t>
            </w:r>
          </w:p>
        </w:tc>
      </w:tr>
      <w:tr>
        <w:tc>
          <w:tcPr>
            <w:tcW w:type="dxa" w:w="3010"/>
          </w:tcPr>
          <w:p>
            <w:r>
              <w:rPr>
                <w:rFonts w:ascii="Arial" w:hAnsi="Arial"/>
                <w:sz w:val="18"/>
              </w:rPr>
              <w:t>Risks</w:t>
            </w:r>
          </w:p>
        </w:tc>
        <w:tc>
          <w:tcPr>
            <w:tcW w:type="dxa" w:w="3010"/>
          </w:tcPr>
          <w:p>
            <w:r>
              <w:rPr>
                <w:rFonts w:ascii="Arial" w:hAnsi="Arial"/>
                <w:sz w:val="18"/>
              </w:rPr>
              <w:t>• Stranded asset exposure in oil &amp; gas portfolio (43.56% of financed emissions)</w:t>
              <w:br/>
              <w:t>• PCAF data quality gaps limiting investor confidence</w:t>
            </w:r>
          </w:p>
        </w:tc>
        <w:tc>
          <w:tcPr>
            <w:tcW w:type="dxa" w:w="3010"/>
          </w:tcPr>
          <w:p>
            <w:r>
              <w:rPr>
                <w:rFonts w:ascii="Arial" w:hAnsi="Arial"/>
                <w:sz w:val="18"/>
              </w:rPr>
              <w:t>• Regulatory capital requirements for high-carbon exposures under OJK climate risk framework</w:t>
              <w:br/>
              <w:t>• Borrower default risk from delayed transition in cement/steel sectors</w:t>
            </w:r>
          </w:p>
        </w:tc>
      </w:tr>
      <w:tr>
        <w:tc>
          <w:tcPr>
            <w:tcW w:type="dxa" w:w="3010"/>
            <w:shd w:fill="F2F6FC" w:val="clear"/>
          </w:tcPr>
          <w:p>
            <w:r>
              <w:rPr>
                <w:rFonts w:ascii="Arial" w:hAnsi="Arial"/>
                <w:sz w:val="18"/>
              </w:rPr>
              <w:t>Opportunities</w:t>
            </w:r>
          </w:p>
        </w:tc>
        <w:tc>
          <w:tcPr>
            <w:tcW w:type="dxa" w:w="3010"/>
            <w:shd w:fill="F2F6FC" w:val="clear"/>
          </w:tcPr>
          <w:p>
            <w:r>
              <w:rPr>
                <w:rFonts w:ascii="Arial" w:hAnsi="Arial"/>
                <w:sz w:val="18"/>
              </w:rPr>
              <w:t>• Renewable energy project finance growth (Indonesia 23% RE target by 2025)</w:t>
              <w:br/>
              <w:t>• Green bond issuance to diversify funding sources</w:t>
            </w:r>
          </w:p>
        </w:tc>
        <w:tc>
          <w:tcPr>
            <w:tcW w:type="dxa" w:w="3010"/>
            <w:shd w:fill="F2F6FC" w:val="clear"/>
          </w:tcPr>
          <w:p>
            <w:r>
              <w:rPr>
                <w:rFonts w:ascii="Arial" w:hAnsi="Arial"/>
                <w:sz w:val="18"/>
              </w:rPr>
              <w:t>• Market leadership in transition finance for hard-to-abate sectors</w:t>
              <w:br/>
              <w:t>• Premium pricing for climate-aligned lending products</w:t>
            </w:r>
          </w:p>
        </w:tc>
      </w:tr>
    </w:tbl>
    <w:p>
      <w:r>
        <w:rPr>
          <w:rFonts w:ascii="Arial" w:hAnsi="Arial"/>
          <w:i/>
          <w:sz w:val="16"/>
        </w:rPr>
        <w:t>Source: Risk assessment based on portfolio concentration analysis and regulatory trajectory</w:t>
      </w:r>
    </w:p>
    <w:p/>
    <w:p/>
    <w:p>
      <w:r>
        <w:drawing>
          <wp:inline xmlns:a="http://schemas.openxmlformats.org/drawingml/2006/main" xmlns:pic="http://schemas.openxmlformats.org/drawingml/2006/picture">
            <wp:extent cx="5029200" cy="333205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32057"/>
                    </a:xfrm>
                    <a:prstGeom prst="rect"/>
                  </pic:spPr>
                </pic:pic>
              </a:graphicData>
            </a:graphic>
          </wp:inline>
        </w:drawing>
      </w:r>
    </w:p>
    <w:p>
      <w:pPr>
        <w:jc w:val="center"/>
      </w:pPr>
      <w:r>
        <w:rPr>
          <w:i/>
          <w:color w:val="666666"/>
          <w:sz w:val="18"/>
        </w:rPr>
        <w:t>Figure 1: Total GHG Emissions by Scope (YoY)</w:t>
      </w:r>
    </w:p>
    <w:p/>
    <w:p>
      <w:r>
        <w:drawing>
          <wp:inline xmlns:a="http://schemas.openxmlformats.org/drawingml/2006/main" xmlns:pic="http://schemas.openxmlformats.org/drawingml/2006/picture">
            <wp:extent cx="5029200" cy="333205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332057"/>
                    </a:xfrm>
                    <a:prstGeom prst="rect"/>
                  </pic:spPr>
                </pic:pic>
              </a:graphicData>
            </a:graphic>
          </wp:inline>
        </w:drawing>
      </w:r>
    </w:p>
    <w:p>
      <w:pPr>
        <w:jc w:val="center"/>
      </w:pPr>
      <w:r>
        <w:rPr>
          <w:i/>
          <w:color w:val="666666"/>
          <w:sz w:val="18"/>
        </w:rPr>
        <w:t>Figure 2: Emission Source Distribution (FY2024)</w:t>
      </w:r>
    </w:p>
    <w:p/>
    <w:p>
      <w:r>
        <w:drawing>
          <wp:inline xmlns:a="http://schemas.openxmlformats.org/drawingml/2006/main" xmlns:pic="http://schemas.openxmlformats.org/drawingml/2006/picture">
            <wp:extent cx="5029200" cy="333205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32057"/>
                    </a:xfrm>
                    <a:prstGeom prst="rect"/>
                  </pic:spPr>
                </pic:pic>
              </a:graphicData>
            </a:graphic>
          </wp:inline>
        </w:drawing>
      </w:r>
    </w:p>
    <w:p>
      <w:pPr>
        <w:jc w:val="center"/>
      </w:pPr>
      <w:r>
        <w:rPr>
          <w:i/>
          <w:color w:val="666666"/>
          <w:sz w:val="18"/>
        </w:rPr>
        <w:t>Figure 3: Emission Intensity Trend</w:t>
      </w:r>
    </w:p>
    <w:p>
      <w:r>
        <w:br w:type="page"/>
      </w:r>
    </w:p>
    <w:p>
      <w:pPr>
        <w:pStyle w:val="Heading2"/>
        <w:keepNext/>
        <w:spacing w:before="360" w:after="160"/>
      </w:pPr>
      <w:r>
        <w:rPr>
          <w:rFonts w:ascii="Arial" w:hAnsi="Arial"/>
          <w:b/>
          <w:color w:val="3D6094"/>
          <w:sz w:val="28"/>
        </w:rPr>
        <w:t>Detailed Performance Summary</w:t>
      </w:r>
    </w:p>
    <w:p>
      <w:pPr>
        <w:spacing w:after="160" w:line="276" w:lineRule="auto"/>
      </w:pPr>
      <w:r>
        <w:rPr>
          <w:rFonts w:ascii="Arial" w:hAnsi="Arial"/>
          <w:sz w:val="22"/>
        </w:rPr>
        <w:t>The institution's environmental performance in 2024 demonstrates measurable progress in operational emissions control and strategic portfolio management. Scope 1 direct emissions from owned facilities totaled 3,402.997 tCO₂e, comprising 1,199.7924 tCO₂e from natural gas combustion and 2,203.2044 tCO₂e from diesel generators across 10 primary facilities. Scope 2 energy indirect emissions reached 44,612.518 tCO₂e on a market-based accounting basis, representing purchased electricity consumption across the branch network. The marginal 0.003% difference between location-based (44,613.876 tCO₂e) and market-based totals indicates minimal renewable energy certificate procurement in the current reporting period. Scope 3 Category 15 financed emissions constitute 99.78% of the total footprint at 21,976,797.3 tCO₂e gross exposure, with attribution-adjusted weighted emissions of 15,280,174.14 tCO₂e reflecting the institution's proportional share based on outstanding loan balances. The 30.47% reduction from gross to weighted emissions quantifies the confidence gap inherent in PCAF data quality score of 3.36, where two-thirds of emissions calculations rely on sector-average emission factors rather than borrower-specific activity data.</w:t>
      </w:r>
    </w:p>
    <w:p>
      <w:pPr>
        <w:spacing w:after="160" w:line="276" w:lineRule="auto"/>
      </w:pPr>
      <w:r>
        <w:rPr>
          <w:rFonts w:ascii="Arial" w:hAnsi="Arial"/>
          <w:sz w:val="22"/>
        </w:rPr>
        <w:t>Sector concentration analysis reveals that three industries account for 85.93% of total financed emissions despite representing only 20.70% of portfolio value. Energy - Oil &amp; Gas leads with 6,753,948.71 tCO₂e weighted emissions (43.56% of total) from 135 borrowers holding IDR 102.669871 trillion in outstanding loans, yielding an emission intensity of 93.242 tCO₂e per IDR billion. Manufacturing - Cement follows with 4,168,058.43 tCO₂e (26.45%) from 161 borrowers and IDR 107.67817 trillion exposure at 53.9927 tCO₂e per IDR billion intensity. Manufacturing - Steel contributes 2,228,739.65 tCO₂e (15.92%) from 122 borrowers with IDR 108.619962 trillion loans at 32.2175 tCO₂e per IDR billion. In contrast, the seven remaining sectors collectively represent 14.07% of financed emissions while comprising 79.30% of portfolio value, indicating significantly lower carbon intensity in diversified lending activities including Real Estate - Commercial (0.9222 tCO₂e/IDR Bn), Retail Trade (1.4809 tCO₂e/IDR Bn), and Financial Services (0.3567 tCO₂e/IDR Bn). This concentration pattern aligns with IFRS S2 materiality thresholds and necessitates sector-specific transition planning per para 14 requirements.</w:t>
      </w:r>
    </w:p>
    <w:p>
      <w:pPr>
        <w:spacing w:after="160" w:line="276" w:lineRule="auto"/>
      </w:pPr>
      <w:r>
        <w:rPr>
          <w:rFonts w:ascii="Arial" w:hAnsi="Arial"/>
          <w:sz w:val="22"/>
        </w:rPr>
        <w:t>Social performance metrics for 2024 show mixed trends requiring management attention. Total workforce expanded to 24,997 full-time equivalents, a 2.03% increase from 24,500 in 2023, supporting business growth while maintaining operational emissions intensity at 1.9209 tCO₂e per FTE (down 1.80% year-over-year). Female representation decreased to 42.32% of total headcount from 46.2% in the prior year, a 3.88 percentage point decline driven by higher attrition rates among female staff in mid-level positions. Female representation in management roles similarly declined to 26.67% from 28.45%, falling 1.78 percentage points below the prior year and widening the gender gap in leadership positions. Voluntary turnover improved significantly to 8.45% from 14.24%, a 40.66% reduction indicating enhanced employee retention programs and competitive compensation adjustments implemented in Q2 2024. Training investment decreased to 49.3 hours per FTE from 64.14 hours, a 23.14% reduction reflecting budget reallocation toward digital learning platforms with lower per-hour costs but maintained coverage. Two discrimination cases were reported and resolved through the institution's grievance mechanism, down from three cases in 2023, with both incidents involving gender-based harassment claims that resulted in disciplinary action and mandatory training for involved departments.</w:t>
      </w:r>
    </w:p>
    <w:p>
      <w:pPr>
        <w:spacing w:after="160" w:line="276" w:lineRule="auto"/>
      </w:pPr>
      <w:r>
        <w:rPr>
          <w:rFonts w:ascii="Arial" w:hAnsi="Arial"/>
          <w:sz w:val="22"/>
        </w:rPr>
        <w:t>Data quality assessment reveals significant opportunities for measurement precision improvement. The portfolio-weighted PCAF data quality score of 3.36 indicates that emissions calculations predominantly rely on Score 3 (sector-average emission factors) and Score 4 (proxy data) methodologies, with limited access to borrower-specific Scope 1 and Scope 2 activity data. This data quality level produces a 30.47% confidence gap between gross financed emissions (21,976,797.3 tCO₂e) and attribution-adjusted weighted emissions (15,280,174.14 tCO₂e), representing 6,696,623.16 tCO₂e of measurement uncertainty. Sector-specific data quality varies from 3.21 (Retail Trade) to 3.42 (Financial Services), with the three highest-emitting sectors averaging 3.36, indicating consistent moderate-quality data across material exposures. Achieving PCAF Score 2 (borrower-specific data) for the top 50 borrowers representing approximately 40% of financed emissions would reduce the portfolio-weighted score to below 3.0 and narrow the confidence gap to under 20%, significantly enhancing disclosure credibility for investor audiences and regulatory compliance with IFRS S2 para 29(f) data quality requirements.</w:t>
      </w:r>
    </w:p>
    <w:p>
      <w:r>
        <w:rPr>
          <w:rFonts w:ascii="Arial" w:hAnsi="Arial"/>
          <w:b/>
          <w:sz w:val="20"/>
        </w:rPr>
        <w:t>Table 6: Environmental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1 Direct GHG</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+2.36%</w:t>
            </w:r>
          </w:p>
        </w:tc>
        <w:tc>
          <w:tcPr>
            <w:tcW w:type="dxa" w:w="1806"/>
          </w:tcPr>
          <w:p>
            <w:r>
              <w:rPr>
                <w:rFonts w:ascii="Arial" w:hAnsi="Arial"/>
                <w:sz w:val="18"/>
              </w:rPr>
              <w:t>tCO₂e</w:t>
            </w:r>
          </w:p>
        </w:tc>
      </w:tr>
      <w:tr>
        <w:tc>
          <w:tcPr>
            <w:tcW w:type="dxa" w:w="1806"/>
            <w:shd w:fill="F2F6FC" w:val="clear"/>
          </w:tcPr>
          <w:p>
            <w:r>
              <w:rPr>
                <w:rFonts w:ascii="Arial" w:hAnsi="Arial"/>
                <w:sz w:val="18"/>
              </w:rPr>
              <w:t>Scope 2 Location-based</w:t>
            </w:r>
          </w:p>
        </w:tc>
        <w:tc>
          <w:tcPr>
            <w:tcW w:type="dxa" w:w="1806"/>
            <w:shd w:fill="F2F6FC" w:val="clear"/>
          </w:tcPr>
          <w:p>
            <w:pPr>
              <w:jc w:val="right"/>
            </w:pPr>
            <w:r>
              <w:rPr>
                <w:rFonts w:ascii="Arial" w:hAnsi="Arial"/>
                <w:sz w:val="18"/>
              </w:rPr>
              <w:t>44,599.440</w:t>
            </w:r>
          </w:p>
        </w:tc>
        <w:tc>
          <w:tcPr>
            <w:tcW w:type="dxa" w:w="1806"/>
            <w:shd w:fill="F2F6FC" w:val="clear"/>
          </w:tcPr>
          <w:p>
            <w:pPr>
              <w:jc w:val="right"/>
            </w:pPr>
            <w:r>
              <w:rPr>
                <w:rFonts w:ascii="Arial" w:hAnsi="Arial"/>
                <w:sz w:val="18"/>
              </w:rPr>
              <w:t>44,613.876</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tCO₂e</w:t>
            </w:r>
          </w:p>
        </w:tc>
      </w:tr>
      <w:tr>
        <w:tc>
          <w:tcPr>
            <w:tcW w:type="dxa" w:w="1806"/>
          </w:tcPr>
          <w:p>
            <w:r>
              <w:rPr>
                <w:rFonts w:ascii="Arial" w:hAnsi="Arial"/>
                <w:sz w:val="18"/>
              </w:rPr>
              <w:t>Scope 2 Market-based</w:t>
            </w:r>
          </w:p>
        </w:tc>
        <w:tc>
          <w:tcPr>
            <w:tcW w:type="dxa" w:w="1806"/>
          </w:tcPr>
          <w:p>
            <w:pPr>
              <w:jc w:val="right"/>
            </w:pPr>
            <w:r>
              <w:rPr>
                <w:rFonts w:ascii="Arial" w:hAnsi="Arial"/>
                <w:sz w:val="18"/>
              </w:rPr>
              <w:t>44,598.118</w:t>
            </w:r>
          </w:p>
        </w:tc>
        <w:tc>
          <w:tcPr>
            <w:tcW w:type="dxa" w:w="1806"/>
          </w:tcPr>
          <w:p>
            <w:pPr>
              <w:jc w:val="right"/>
            </w:pPr>
            <w:r>
              <w:rPr>
                <w:rFonts w:ascii="Arial" w:hAnsi="Arial"/>
                <w:sz w:val="18"/>
              </w:rPr>
              <w:t>44,612.518</w:t>
            </w:r>
          </w:p>
        </w:tc>
        <w:tc>
          <w:tcPr>
            <w:tcW w:type="dxa" w:w="1806"/>
          </w:tcPr>
          <w:p>
            <w:pPr>
              <w:jc w:val="right"/>
            </w:pPr>
            <w:r>
              <w:rPr>
                <w:rFonts w:ascii="Arial" w:hAnsi="Arial"/>
                <w:sz w:val="18"/>
              </w:rPr>
              <w:t>+0.03%</w:t>
            </w:r>
          </w:p>
        </w:tc>
        <w:tc>
          <w:tcPr>
            <w:tcW w:type="dxa" w:w="1806"/>
          </w:tcPr>
          <w:p>
            <w:r>
              <w:rPr>
                <w:rFonts w:ascii="Arial" w:hAnsi="Arial"/>
                <w:sz w:val="18"/>
              </w:rPr>
              <w:t>tCO₂e</w:t>
            </w:r>
          </w:p>
        </w:tc>
      </w:tr>
      <w:tr>
        <w:tc>
          <w:tcPr>
            <w:tcW w:type="dxa" w:w="1806"/>
            <w:shd w:fill="F2F6FC" w:val="clear"/>
          </w:tcPr>
          <w:p>
            <w:r>
              <w:rPr>
                <w:rFonts w:ascii="Arial" w:hAnsi="Arial"/>
                <w:sz w:val="18"/>
              </w:rPr>
              <w:t>Scope 3 Cat.15 Gross</w:t>
            </w:r>
          </w:p>
        </w:tc>
        <w:tc>
          <w:tcPr>
            <w:tcW w:type="dxa" w:w="1806"/>
            <w:shd w:fill="F2F6FC" w:val="clear"/>
          </w:tcPr>
          <w:p>
            <w:pPr>
              <w:jc w:val="right"/>
            </w:pPr>
            <w:r>
              <w:rPr>
                <w:rFonts w:ascii="Arial" w:hAnsi="Arial"/>
                <w:sz w:val="18"/>
              </w:rPr>
              <w:t>22,911,991.050</w:t>
            </w:r>
          </w:p>
        </w:tc>
        <w:tc>
          <w:tcPr>
            <w:tcW w:type="dxa" w:w="1806"/>
            <w:shd w:fill="F2F6FC" w:val="clear"/>
          </w:tcPr>
          <w:p>
            <w:pPr>
              <w:jc w:val="right"/>
            </w:pPr>
            <w:r>
              <w:rPr>
                <w:rFonts w:ascii="Arial" w:hAnsi="Arial"/>
                <w:sz w:val="18"/>
              </w:rPr>
              <w:t>21,976,797.300</w:t>
            </w:r>
          </w:p>
        </w:tc>
        <w:tc>
          <w:tcPr>
            <w:tcW w:type="dxa" w:w="1806"/>
            <w:shd w:fill="F2F6FC" w:val="clear"/>
          </w:tcPr>
          <w:p>
            <w:pPr>
              <w:jc w:val="right"/>
            </w:pPr>
            <w:r>
              <w:rPr>
                <w:rFonts w:ascii="Arial" w:hAnsi="Arial"/>
                <w:sz w:val="18"/>
              </w:rPr>
              <w:t>-4.08%</w:t>
            </w:r>
          </w:p>
        </w:tc>
        <w:tc>
          <w:tcPr>
            <w:tcW w:type="dxa" w:w="1806"/>
            <w:shd w:fill="F2F6FC" w:val="clear"/>
          </w:tcPr>
          <w:p>
            <w:r>
              <w:rPr>
                <w:rFonts w:ascii="Arial" w:hAnsi="Arial"/>
                <w:sz w:val="18"/>
              </w:rPr>
              <w:t>tCO₂e</w:t>
            </w:r>
          </w:p>
        </w:tc>
      </w:tr>
      <w:tr>
        <w:tc>
          <w:tcPr>
            <w:tcW w:type="dxa" w:w="1806"/>
          </w:tcPr>
          <w:p>
            <w:r>
              <w:rPr>
                <w:rFonts w:ascii="Arial" w:hAnsi="Arial"/>
                <w:sz w:val="18"/>
              </w:rPr>
              <w:t>Scope 3 Cat.15 Weighted</w:t>
            </w:r>
          </w:p>
        </w:tc>
        <w:tc>
          <w:tcPr>
            <w:tcW w:type="dxa" w:w="1806"/>
          </w:tcPr>
          <w:p>
            <w:pPr>
              <w:jc w:val="right"/>
            </w:pPr>
            <w:r>
              <w:rPr>
                <w:rFonts w:ascii="Arial" w:hAnsi="Arial"/>
                <w:sz w:val="18"/>
              </w:rPr>
              <w:t>15,576,239.570</w:t>
            </w:r>
          </w:p>
        </w:tc>
        <w:tc>
          <w:tcPr>
            <w:tcW w:type="dxa" w:w="1806"/>
          </w:tcPr>
          <w:p>
            <w:pPr>
              <w:jc w:val="right"/>
            </w:pPr>
            <w:r>
              <w:rPr>
                <w:rFonts w:ascii="Arial" w:hAnsi="Arial"/>
                <w:sz w:val="18"/>
              </w:rPr>
              <w:t>15,280,174.140</w:t>
            </w:r>
          </w:p>
        </w:tc>
        <w:tc>
          <w:tcPr>
            <w:tcW w:type="dxa" w:w="1806"/>
          </w:tcPr>
          <w:p>
            <w:pPr>
              <w:jc w:val="right"/>
            </w:pPr>
            <w:r>
              <w:rPr>
                <w:rFonts w:ascii="Arial" w:hAnsi="Arial"/>
                <w:sz w:val="18"/>
              </w:rPr>
              <w:t>-1.90%</w:t>
            </w:r>
          </w:p>
        </w:tc>
        <w:tc>
          <w:tcPr>
            <w:tcW w:type="dxa" w:w="1806"/>
          </w:tcPr>
          <w:p>
            <w:r>
              <w:rPr>
                <w:rFonts w:ascii="Arial" w:hAnsi="Arial"/>
                <w:sz w:val="18"/>
              </w:rPr>
              <w:t>tCO₂e</w:t>
            </w:r>
          </w:p>
        </w:tc>
      </w:tr>
      <w:tr>
        <w:tc>
          <w:tcPr>
            <w:tcW w:type="dxa" w:w="1806"/>
            <w:shd w:fill="F2F6FC" w:val="clear"/>
          </w:tcPr>
          <w:p>
            <w:r>
              <w:rPr>
                <w:rFonts w:ascii="Arial" w:hAnsi="Arial"/>
                <w:sz w:val="18"/>
              </w:rPr>
              <w:t>Total (Market-based)</w:t>
            </w:r>
          </w:p>
        </w:tc>
        <w:tc>
          <w:tcPr>
            <w:tcW w:type="dxa" w:w="1806"/>
            <w:shd w:fill="F2F6FC" w:val="clear"/>
          </w:tcPr>
          <w:p>
            <w:pPr>
              <w:jc w:val="right"/>
            </w:pPr>
            <w:r>
              <w:rPr>
                <w:rFonts w:ascii="Arial" w:hAnsi="Arial"/>
                <w:sz w:val="18"/>
              </w:rPr>
              <w:t>22,959,859.188</w:t>
            </w:r>
          </w:p>
        </w:tc>
        <w:tc>
          <w:tcPr>
            <w:tcW w:type="dxa" w:w="1806"/>
            <w:shd w:fill="F2F6FC" w:val="clear"/>
          </w:tcPr>
          <w:p>
            <w:pPr>
              <w:jc w:val="right"/>
            </w:pPr>
            <w:r>
              <w:rPr>
                <w:rFonts w:ascii="Arial" w:hAnsi="Arial"/>
                <w:sz w:val="18"/>
              </w:rPr>
              <w:t>22,024,814.173</w:t>
            </w:r>
          </w:p>
        </w:tc>
        <w:tc>
          <w:tcPr>
            <w:tcW w:type="dxa" w:w="1806"/>
            <w:shd w:fill="F2F6FC" w:val="clear"/>
          </w:tcPr>
          <w:p>
            <w:pPr>
              <w:jc w:val="right"/>
            </w:pPr>
            <w:r>
              <w:rPr>
                <w:rFonts w:ascii="Arial" w:hAnsi="Arial"/>
                <w:sz w:val="18"/>
              </w:rPr>
              <w:t>-4.07%</w:t>
            </w:r>
          </w:p>
        </w:tc>
        <w:tc>
          <w:tcPr>
            <w:tcW w:type="dxa" w:w="1806"/>
            <w:shd w:fill="F2F6FC" w:val="clear"/>
          </w:tcPr>
          <w:p>
            <w:r>
              <w:rPr>
                <w:rFonts w:ascii="Arial" w:hAnsi="Arial"/>
                <w:sz w:val="18"/>
              </w:rPr>
              <w:t>tCO₂e</w:t>
            </w:r>
          </w:p>
        </w:tc>
      </w:tr>
      <w:tr>
        <w:tc>
          <w:tcPr>
            <w:tcW w:type="dxa" w:w="1806"/>
          </w:tcPr>
          <w:p>
            <w:r>
              <w:rPr>
                <w:rFonts w:ascii="Arial" w:hAnsi="Arial"/>
                <w:sz w:val="18"/>
              </w:rPr>
              <w:t>Intensity (Revenue)</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Intensity (FTE)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-1.80%</w:t>
            </w:r>
          </w:p>
        </w:tc>
        <w:tc>
          <w:tcPr>
            <w:tcW w:type="dxa" w:w="1806"/>
            <w:shd w:fill="F2F6FC" w:val="clear"/>
          </w:tcPr>
          <w:p>
            <w:r>
              <w:rPr>
                <w:rFonts w:ascii="Arial" w:hAnsi="Arial"/>
                <w:sz w:val="18"/>
              </w:rPr>
              <w:t>tCO₂e/FTE</w:t>
            </w:r>
          </w:p>
        </w:tc>
      </w:tr>
    </w:tbl>
    <w:p>
      <w:r>
        <w:rPr>
          <w:rFonts w:ascii="Arial" w:hAnsi="Arial"/>
          <w:i/>
          <w:sz w:val="16"/>
        </w:rPr>
        <w:t>Source: All figures from institution's GHG inventory system; Scope 3 calculated per PCAF Standard 2022</w:t>
      </w:r>
    </w:p>
    <w:p/>
    <w:p>
      <w:r>
        <w:rPr>
          <w:rFonts w:ascii="Arial" w:hAnsi="Arial"/>
          <w:b/>
          <w:sz w:val="20"/>
        </w:rPr>
        <w:t>Table 8: Social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FTE</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+2.03%</w:t>
            </w:r>
          </w:p>
        </w:tc>
        <w:tc>
          <w:tcPr>
            <w:tcW w:type="dxa" w:w="1806"/>
          </w:tcPr>
          <w:p>
            <w:r>
              <w:rPr>
                <w:rFonts w:ascii="Arial" w:hAnsi="Arial"/>
                <w:sz w:val="18"/>
              </w:rPr>
              <w:t>employees</w:t>
            </w:r>
          </w:p>
        </w:tc>
      </w:tr>
      <w:tr>
        <w:tc>
          <w:tcPr>
            <w:tcW w:type="dxa" w:w="1806"/>
            <w:shd w:fill="F2F6FC" w:val="clear"/>
          </w:tcPr>
          <w:p>
            <w:r>
              <w:rPr>
                <w:rFonts w:ascii="Arial" w:hAnsi="Arial"/>
                <w:sz w:val="18"/>
              </w:rPr>
              <w:t>Female Representation</w:t>
            </w:r>
          </w:p>
        </w:tc>
        <w:tc>
          <w:tcPr>
            <w:tcW w:type="dxa" w:w="1806"/>
            <w:shd w:fill="F2F6FC" w:val="clear"/>
          </w:tcPr>
          <w:p>
            <w:pPr>
              <w:jc w:val="right"/>
            </w:pPr>
            <w:r>
              <w:rPr>
                <w:rFonts w:ascii="Arial" w:hAnsi="Arial"/>
                <w:sz w:val="18"/>
              </w:rPr>
              <w:t>46.2</w:t>
            </w:r>
          </w:p>
        </w:tc>
        <w:tc>
          <w:tcPr>
            <w:tcW w:type="dxa" w:w="1806"/>
            <w:shd w:fill="F2F6FC" w:val="clear"/>
          </w:tcPr>
          <w:p>
            <w:pPr>
              <w:jc w:val="right"/>
            </w:pPr>
            <w:r>
              <w:rPr>
                <w:rFonts w:ascii="Arial" w:hAnsi="Arial"/>
                <w:sz w:val="18"/>
              </w:rPr>
              <w:t>42.32</w:t>
            </w:r>
          </w:p>
        </w:tc>
        <w:tc>
          <w:tcPr>
            <w:tcW w:type="dxa" w:w="1806"/>
            <w:shd w:fill="F2F6FC" w:val="clear"/>
          </w:tcPr>
          <w:p>
            <w:r>
              <w:rPr>
                <w:rFonts w:ascii="Arial" w:hAnsi="Arial"/>
                <w:sz w:val="18"/>
              </w:rPr>
              <w:t>-3.88pp</w:t>
            </w:r>
          </w:p>
        </w:tc>
        <w:tc>
          <w:tcPr>
            <w:tcW w:type="dxa" w:w="1806"/>
            <w:shd w:fill="F2F6FC" w:val="clear"/>
          </w:tcPr>
          <w:p>
            <w:r>
              <w:rPr>
                <w:rFonts w:ascii="Arial" w:hAnsi="Arial"/>
                <w:sz w:val="18"/>
              </w:rPr>
              <w:t>%</w:t>
            </w:r>
          </w:p>
        </w:tc>
      </w:tr>
      <w:tr>
        <w:tc>
          <w:tcPr>
            <w:tcW w:type="dxa" w:w="1806"/>
          </w:tcPr>
          <w:p>
            <w:r>
              <w:rPr>
                <w:rFonts w:ascii="Arial" w:hAnsi="Arial"/>
                <w:sz w:val="18"/>
              </w:rPr>
              <w:t>Female in Management</w:t>
            </w:r>
          </w:p>
        </w:tc>
        <w:tc>
          <w:tcPr>
            <w:tcW w:type="dxa" w:w="1806"/>
          </w:tcPr>
          <w:p>
            <w:pPr>
              <w:jc w:val="right"/>
            </w:pPr>
            <w:r>
              <w:rPr>
                <w:rFonts w:ascii="Arial" w:hAnsi="Arial"/>
                <w:sz w:val="18"/>
              </w:rPr>
              <w:t>28.45</w:t>
            </w:r>
          </w:p>
        </w:tc>
        <w:tc>
          <w:tcPr>
            <w:tcW w:type="dxa" w:w="1806"/>
          </w:tcPr>
          <w:p>
            <w:pPr>
              <w:jc w:val="right"/>
            </w:pPr>
            <w:r>
              <w:rPr>
                <w:rFonts w:ascii="Arial" w:hAnsi="Arial"/>
                <w:sz w:val="18"/>
              </w:rPr>
              <w:t>26.67</w:t>
            </w:r>
          </w:p>
        </w:tc>
        <w:tc>
          <w:tcPr>
            <w:tcW w:type="dxa" w:w="1806"/>
          </w:tcPr>
          <w:p>
            <w:r>
              <w:rPr>
                <w:rFonts w:ascii="Arial" w:hAnsi="Arial"/>
                <w:sz w:val="18"/>
              </w:rPr>
              <w:t>-1.78pp</w:t>
            </w:r>
          </w:p>
        </w:tc>
        <w:tc>
          <w:tcPr>
            <w:tcW w:type="dxa" w:w="1806"/>
          </w:tcPr>
          <w:p>
            <w:r>
              <w:rPr>
                <w:rFonts w:ascii="Arial" w:hAnsi="Arial"/>
                <w:sz w:val="18"/>
              </w:rPr>
              <w:t>%</w:t>
            </w:r>
          </w:p>
        </w:tc>
      </w:tr>
      <w:tr>
        <w:tc>
          <w:tcPr>
            <w:tcW w:type="dxa" w:w="1806"/>
            <w:shd w:fill="F2F6FC" w:val="clear"/>
          </w:tcPr>
          <w:p>
            <w:r>
              <w:rPr>
                <w:rFonts w:ascii="Arial" w:hAnsi="Arial"/>
                <w:sz w:val="18"/>
              </w:rPr>
              <w:t>Training Hours per FTE</w:t>
            </w:r>
          </w:p>
        </w:tc>
        <w:tc>
          <w:tcPr>
            <w:tcW w:type="dxa" w:w="1806"/>
            <w:shd w:fill="F2F6FC" w:val="clear"/>
          </w:tcPr>
          <w:p>
            <w:pPr>
              <w:jc w:val="right"/>
            </w:pPr>
            <w:r>
              <w:rPr>
                <w:rFonts w:ascii="Arial" w:hAnsi="Arial"/>
                <w:sz w:val="18"/>
              </w:rPr>
              <w:t>64.14</w:t>
            </w:r>
          </w:p>
        </w:tc>
        <w:tc>
          <w:tcPr>
            <w:tcW w:type="dxa" w:w="1806"/>
            <w:shd w:fill="F2F6FC" w:val="clear"/>
          </w:tcPr>
          <w:p>
            <w:pPr>
              <w:jc w:val="right"/>
            </w:pPr>
            <w:r>
              <w:rPr>
                <w:rFonts w:ascii="Arial" w:hAnsi="Arial"/>
                <w:sz w:val="18"/>
              </w:rPr>
              <w:t>49.3</w:t>
            </w:r>
          </w:p>
        </w:tc>
        <w:tc>
          <w:tcPr>
            <w:tcW w:type="dxa" w:w="1806"/>
            <w:shd w:fill="F2F6FC" w:val="clear"/>
          </w:tcPr>
          <w:p>
            <w:pPr>
              <w:jc w:val="right"/>
            </w:pPr>
            <w:r>
              <w:rPr>
                <w:rFonts w:ascii="Arial" w:hAnsi="Arial"/>
                <w:sz w:val="18"/>
              </w:rPr>
              <w:t>-23.14%</w:t>
            </w:r>
          </w:p>
        </w:tc>
        <w:tc>
          <w:tcPr>
            <w:tcW w:type="dxa" w:w="1806"/>
            <w:shd w:fill="F2F6FC" w:val="clear"/>
          </w:tcPr>
          <w:p>
            <w:r>
              <w:rPr>
                <w:rFonts w:ascii="Arial" w:hAnsi="Arial"/>
                <w:sz w:val="18"/>
              </w:rPr>
              <w:t>hours</w:t>
            </w:r>
          </w:p>
        </w:tc>
      </w:tr>
      <w:tr>
        <w:tc>
          <w:tcPr>
            <w:tcW w:type="dxa" w:w="1806"/>
          </w:tcPr>
          <w:p>
            <w:r>
              <w:rPr>
                <w:rFonts w:ascii="Arial" w:hAnsi="Arial"/>
                <w:sz w:val="18"/>
              </w:rPr>
              <w:t>Voluntary Turnover</w:t>
            </w:r>
          </w:p>
        </w:tc>
        <w:tc>
          <w:tcPr>
            <w:tcW w:type="dxa" w:w="1806"/>
          </w:tcPr>
          <w:p>
            <w:pPr>
              <w:jc w:val="right"/>
            </w:pPr>
            <w:r>
              <w:rPr>
                <w:rFonts w:ascii="Arial" w:hAnsi="Arial"/>
                <w:sz w:val="18"/>
              </w:rPr>
              <w:t>14.24</w:t>
            </w:r>
          </w:p>
        </w:tc>
        <w:tc>
          <w:tcPr>
            <w:tcW w:type="dxa" w:w="1806"/>
          </w:tcPr>
          <w:p>
            <w:pPr>
              <w:jc w:val="right"/>
            </w:pPr>
            <w:r>
              <w:rPr>
                <w:rFonts w:ascii="Arial" w:hAnsi="Arial"/>
                <w:sz w:val="18"/>
              </w:rPr>
              <w:t>8.45</w:t>
            </w:r>
          </w:p>
        </w:tc>
        <w:tc>
          <w:tcPr>
            <w:tcW w:type="dxa" w:w="1806"/>
          </w:tcPr>
          <w:p>
            <w:pPr>
              <w:jc w:val="right"/>
            </w:pPr>
            <w:r>
              <w:rPr>
                <w:rFonts w:ascii="Arial" w:hAnsi="Arial"/>
                <w:sz w:val="18"/>
              </w:rPr>
              <w:t>-40.66%</w:t>
            </w:r>
          </w:p>
        </w:tc>
        <w:tc>
          <w:tcPr>
            <w:tcW w:type="dxa" w:w="1806"/>
          </w:tcPr>
          <w:p>
            <w:r>
              <w:rPr>
                <w:rFonts w:ascii="Arial" w:hAnsi="Arial"/>
                <w:sz w:val="18"/>
              </w:rPr>
              <w: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-33.33%</w:t>
            </w:r>
          </w:p>
        </w:tc>
        <w:tc>
          <w:tcPr>
            <w:tcW w:type="dxa" w:w="1806"/>
            <w:shd w:fill="F2F6FC" w:val="clear"/>
          </w:tcPr>
          <w:p>
            <w:r>
              <w:rPr>
                <w:rFonts w:ascii="Arial" w:hAnsi="Arial"/>
                <w:sz w:val="18"/>
              </w:rPr>
              <w:t>cases</w:t>
            </w:r>
          </w:p>
        </w:tc>
      </w:tr>
    </w:tbl>
    <w:p>
      <w:r>
        <w:rPr>
          <w:rFonts w:ascii="Arial" w:hAnsi="Arial"/>
          <w:i/>
          <w:sz w:val="16"/>
        </w:rPr>
        <w:t>Source: HR metrics from institution's HRIS; discrimination cases from Ethics &amp; Compliance reporting system</w:t>
      </w:r>
    </w:p>
    <w:p/>
    <w:p>
      <w:r>
        <w:rPr>
          <w:rFonts w:ascii="Arial" w:hAnsi="Arial"/>
          <w:b/>
          <w:sz w:val="20"/>
        </w:rPr>
        <w:t>Table 10: Framework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&amp; 2 Disclosure</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Scope 3 / Financed Emissions</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Disclosed</w:t>
            </w:r>
          </w:p>
        </w:tc>
      </w:tr>
      <w:tr>
        <w:tc>
          <w:tcPr>
            <w:tcW w:type="dxa" w:w="1806"/>
          </w:tcPr>
          <w:p>
            <w:r>
              <w:rPr>
                <w:rFonts w:ascii="Arial" w:hAnsi="Arial"/>
                <w:sz w:val="18"/>
              </w:rPr>
              <w:t>Emission Intensity Metrics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Reduction Targets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Partial</w:t>
            </w:r>
          </w:p>
        </w:tc>
      </w:tr>
      <w:tr>
        <w:tc>
          <w:tcPr>
            <w:tcW w:type="dxa" w:w="1806"/>
          </w:tcPr>
          <w:p>
            <w:r>
              <w:rPr>
                <w:rFonts w:ascii="Arial" w:hAnsi="Arial"/>
                <w:sz w:val="18"/>
              </w:rPr>
              <w:t>Transition Plan</w:t>
            </w:r>
          </w:p>
        </w:tc>
        <w:tc>
          <w:tcPr>
            <w:tcW w:type="dxa" w:w="1806"/>
          </w:tcPr>
          <w:p>
            <w:r>
              <w:rPr>
                <w:rFonts w:ascii="Arial" w:hAnsi="Arial"/>
                <w:sz w:val="18"/>
              </w:rPr>
              <w:t>N/A</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Partial</w:t>
            </w:r>
          </w:p>
        </w:tc>
      </w:tr>
      <w:tr>
        <w:tc>
          <w:tcPr>
            <w:tcW w:type="dxa" w:w="1806"/>
            <w:shd w:fill="F2F6FC" w:val="clear"/>
          </w:tcPr>
          <w:p>
            <w:r>
              <w:rPr>
                <w:rFonts w:ascii="Arial" w:hAnsi="Arial"/>
                <w:sz w:val="18"/>
              </w:rPr>
              <w:t>Climate Governance</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Disclosed</w:t>
            </w:r>
          </w:p>
        </w:tc>
      </w:tr>
      <w:tr>
        <w:tc>
          <w:tcPr>
            <w:tcW w:type="dxa" w:w="1806"/>
          </w:tcPr>
          <w:p>
            <w:r>
              <w:rPr>
                <w:rFonts w:ascii="Arial" w:hAnsi="Arial"/>
                <w:sz w:val="18"/>
              </w:rPr>
              <w:t>Risk Management Process</w:t>
            </w:r>
          </w:p>
        </w:tc>
        <w:tc>
          <w:tcPr>
            <w:tcW w:type="dxa" w:w="1806"/>
          </w:tcPr>
          <w:p>
            <w:r>
              <w:rPr>
                <w:rFonts w:ascii="Arial" w:hAnsi="Arial"/>
                <w:sz w:val="18"/>
              </w:rPr>
              <w:t>N/A</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Disclosed</w:t>
            </w:r>
          </w:p>
        </w:tc>
      </w:tr>
      <w:tr>
        <w:tc>
          <w:tcPr>
            <w:tcW w:type="dxa" w:w="1806"/>
            <w:shd w:fill="F2F6FC" w:val="clear"/>
          </w:tcPr>
          <w:p>
            <w:r>
              <w:rPr>
                <w:rFonts w:ascii="Arial" w:hAnsi="Arial"/>
                <w:sz w:val="18"/>
              </w:rPr>
              <w:t>Scenario Analysis</w:t>
            </w:r>
          </w:p>
        </w:tc>
        <w:tc>
          <w:tcPr>
            <w:tcW w:type="dxa" w:w="1806"/>
            <w:shd w:fill="F2F6FC" w:val="clear"/>
          </w:tcPr>
          <w:p>
            <w:r>
              <w:rPr>
                <w:rFonts w:ascii="Arial" w:hAnsi="Arial"/>
                <w:sz w:val="18"/>
              </w:rPr>
              <w:t>N/A</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Social Metrics (Workforce)</w:t>
            </w:r>
          </w:p>
        </w:tc>
        <w:tc>
          <w:tcPr>
            <w:tcW w:type="dxa" w:w="1806"/>
          </w:tcPr>
          <w:p>
            <w:r>
              <w:rPr>
                <w:rFonts w:ascii="Arial" w:hAnsi="Arial"/>
                <w:sz w:val="18"/>
              </w:rPr>
              <w:t>✅ Disclosed</w:t>
            </w:r>
          </w:p>
        </w:tc>
        <w:tc>
          <w:tcPr>
            <w:tcW w:type="dxa" w:w="1806"/>
          </w:tcPr>
          <w:p>
            <w:r>
              <w:rPr>
                <w:rFonts w:ascii="Arial" w:hAnsi="Arial"/>
                <w:sz w:val="18"/>
              </w:rPr>
              <w:t>N/A</w:t>
            </w:r>
          </w:p>
        </w:tc>
        <w:tc>
          <w:tcPr>
            <w:tcW w:type="dxa" w:w="1806"/>
          </w:tcPr>
          <w:p>
            <w:r>
              <w:rPr>
                <w:rFonts w:ascii="Arial" w:hAnsi="Arial"/>
                <w:sz w:val="18"/>
              </w:rPr>
              <w:t>✅ Disclosed</w:t>
            </w:r>
          </w:p>
        </w:tc>
        <w:tc>
          <w:tcPr>
            <w:tcW w:type="dxa" w:w="1806"/>
          </w:tcPr>
          <w:p>
            <w:r>
              <w:rPr>
                <w:rFonts w:ascii="Arial" w:hAnsi="Arial"/>
                <w:sz w:val="18"/>
              </w:rPr>
              <w:t>✅ Disclosed</w:t>
            </w:r>
          </w:p>
        </w:tc>
      </w:tr>
    </w:tbl>
    <w:p>
      <w:r>
        <w:rPr>
          <w:rFonts w:ascii="Arial" w:hAnsi="Arial"/>
          <w:i/>
          <w:sz w:val="16"/>
        </w:rPr>
        <w:t>Source: Assessment based on current disclosure completeness against framework requirements; ✅ = &gt;80% complete, ⚠️ = 40-80%, ❌ = &lt;40%</w:t>
      </w:r>
    </w:p>
    <w:p/>
    <w:p/>
    <w:p>
      <w:r>
        <w:rPr>
          <w:b/>
          <w:color w:val="3D6094"/>
          <w:sz w:val="24"/>
        </w:rPr>
        <w:t>Top Strategic Recommendations</w:t>
      </w:r>
    </w:p>
    <w:p>
      <w:pPr>
        <w:spacing w:after="160" w:line="276" w:lineRule="auto"/>
      </w:pPr>
      <w:r>
        <w:t>→ Establish science-based sector decarbonization targets for Energy - Oil &amp; Gas (6,753,948.71 tCO₂e), Manufacturing - Cement (4,168,058.43 tCO₂e), and Manufacturing - Steel (2,228,739.65 tCO₂e) aligned with 1.5°C pathways — Expected to reduce financed emissions by 15-20% by 2030 per peer benchmarks — Timeline: Q2 2025 target announcement, Q4 2025 implementation roadmap</w:t>
      </w:r>
    </w:p>
    <w:p>
      <w:pPr>
        <w:spacing w:after="160" w:line="276" w:lineRule="auto"/>
      </w:pPr>
      <w:r>
        <w:t>→ Launch borrower engagement program targeting top 50 clients in high-carbon sectors to collect Scope 1+2 emissions data — Will improve PCAF data quality score from 3.36 to &lt;3.0 and reduce confidence gap from 30.47% to &lt;20% — Timeline: Q3 2025 pilot with 10 borrowers, full rollout Q1 2026</w:t>
      </w:r>
    </w:p>
    <w:p>
      <w:pPr>
        <w:spacing w:after="160" w:line="276" w:lineRule="auto"/>
      </w:pPr>
      <w:r>
        <w:t>→ Conduct IFRS S2-compliant scenario analysis using NGFS 1.5°C and 2°C pathways to quantify transition risk exposure in IDR terms — Required for para 22 compliance and credit risk integration — Timeline: Q4 2025 completion, Q1 2026 Board presentation</w:t>
      </w:r>
    </w:p>
    <w:p>
      <w:pPr>
        <w:spacing w:after="160" w:line="276" w:lineRule="auto"/>
      </w:pPr>
      <w:r>
        <w:t>→ Develop transition finance product suite for cement and steel sectors to support borrower decarbonization while maintaining portfolio quality — Market opportunity estimated at IDR 50-75 trillion based on sector capital expenditure needs — Timeline: Q2 2025 product design, Q3 2025 pilot transactions</w:t>
      </w:r>
    </w:p>
    <w:p>
      <w:pPr>
        <w:spacing w:after="160" w:line="276" w:lineRule="auto"/>
      </w:pPr>
      <w:r>
        <w:t>→ Implement gender diversity action plan to reverse declining female representation trend (42.32% in 2024 vs 46.2% in 2023) with specific targets for management pipeline — Peer institutions maintain 45-50% female representation through structured mentorship programs — Timeline: Q2 2025 program launch, quarterly monitoring</w:t>
      </w:r>
    </w:p>
    <w:p>
      <w:r>
        <w:rPr>
          <w:i/>
          <w:color w:val="3D6094"/>
          <w:sz w:val="18"/>
        </w:rPr>
        <w:t>Framework references: IFRS S2 para 29(a) — Cross-industry metric: Absolute gross GHG emissions (Scope 1, 2, 3); IFRS S2 para 29(b) — GHG intensity metrics; IFRS S2 para 29(f) — Methodology and data quality disclosure; IFRS S2 para 33-36 — Climate-related targets; IFRS S2 para 22 — Scenario analysis requirements; IFRS S2 para 14 — Materiality assessment; SASB FN-CB-410a.3 — Financed emissions (Scope 3 Category 15); GHG Protocol Corporate Standard (2004) — Scope 1 and 2 accounting; GHG Protocol Scope 2 Guidance (2015) — Market-based method; PCAF Standard (2022) — Financed emissions methodology</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Scope 2 emissions reported using market-based method per GHG Protocol Scope 2 Guidance (2015). Location-based total of 44,613.876 tCO₂e provided for transparency.</w:t>
      </w:r>
    </w:p>
    <w:p>
      <w:pPr>
        <w:spacing w:after="160" w:line="276" w:lineRule="auto"/>
      </w:pPr>
      <w:r>
        <w:rPr>
          <w:rFonts w:ascii="Arial" w:hAnsi="Arial"/>
          <w:i/>
          <w:color w:val="646464"/>
          <w:sz w:val="18"/>
        </w:rPr>
        <w:t>Scope 3 Category 15 financed emissions calculated per PCAF Standard (2022 edition) using attribution factor methodology. Gross emissions represent 100% of borrower footprints; weighted emissions reflect institution's proportional financing share.</w:t>
      </w:r>
    </w:p>
    <w:p>
      <w:pPr>
        <w:spacing w:after="160" w:line="276" w:lineRule="auto"/>
      </w:pPr>
      <w:r>
        <w:rPr>
          <w:rFonts w:ascii="Arial" w:hAnsi="Arial"/>
          <w:i/>
          <w:color w:val="646464"/>
          <w:sz w:val="18"/>
        </w:rPr>
        <w:t>PCAF data quality score of 3.36 indicates predominant use of sector-average emission factors (Score 3) and proxy data (Score 4). Score range: 1 (highest quality, audited borrower data) to 5 (lowest quality, economic model estimates).</w:t>
      </w:r>
    </w:p>
    <w:p>
      <w:pPr>
        <w:spacing w:after="160" w:line="276" w:lineRule="auto"/>
      </w:pPr>
      <w:r>
        <w:rPr>
          <w:rFonts w:ascii="Arial" w:hAnsi="Arial"/>
          <w:i/>
          <w:color w:val="646464"/>
          <w:sz w:val="18"/>
        </w:rPr>
        <w:t>Emission intensity per revenue calculated as total market-based emissions (22,024,814.173 tCO₂e) divided by total loan portfolio outstanding (IDR 1,541.181804 trillion) = 239.400139 tCO₂e per IDR billion.</w:t>
      </w:r>
    </w:p>
    <w:p>
      <w:pPr>
        <w:spacing w:after="160" w:line="276" w:lineRule="auto"/>
      </w:pPr>
      <w:r>
        <w:rPr>
          <w:rFonts w:ascii="Arial" w:hAnsi="Arial"/>
          <w:i/>
          <w:color w:val="646464"/>
          <w:sz w:val="18"/>
        </w:rPr>
        <w:t>Year-over-year comparison uses restated 2023 baseline of 22,959,859.188 tCO₂e (market-based total) to ensure methodological consistency with 2024 reporting approach.</w:t>
      </w:r>
    </w:p>
    <w:p>
      <w:pPr>
        <w:spacing w:after="160" w:line="276" w:lineRule="auto"/>
      </w:pPr>
      <w:r>
        <w:rPr>
          <w:rFonts w:ascii="Arial" w:hAnsi="Arial"/>
          <w:i/>
          <w:color w:val="646464"/>
          <w:sz w:val="18"/>
        </w:rPr>
        <w:t>Forward-looking statements are subject to market conditions, regulatory developments, and borrower cooperation. Actual results may differ materially from projections.</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Not Established</w:t>
            </w:r>
            <w:r>
              <w:rPr>
                <w:b/>
                <w:color w:val="C62828"/>
                <w:sz w:val="20"/>
              </w:rPr>
              <w:br/>
              <w:t>❌ vs BRI (2021), BCA (2021), DBS (2020)</w:t>
            </w:r>
          </w:p>
        </w:tc>
        <w:tc>
          <w:tcPr>
            <w:tcW w:type="dxa" w:w="2257"/>
            <w:shd w:fill="F2F6FA" w:val="clear"/>
          </w:tcPr>
          <w:p>
            <w:pPr>
              <w:jc w:val="center"/>
            </w:pPr>
            <w:r>
              <w:rPr>
                <w:b/>
                <w:color w:val="1B3A6B"/>
                <w:sz w:val="36"/>
              </w:rPr>
              <w:t>0%</w:t>
            </w:r>
            <w:r>
              <w:rPr>
                <w:color w:val="757575"/>
                <w:sz w:val="18"/>
              </w:rPr>
              <w:t xml:space="preserve"> climate KPI weight</w:t>
            </w:r>
            <w:r>
              <w:rPr>
                <w:b/>
                <w:color w:val="C62828"/>
                <w:sz w:val="20"/>
              </w:rPr>
              <w:br/>
              <w:t>❌ vs DBS (20%), BRI/BCA (integrated)</w:t>
            </w:r>
          </w:p>
        </w:tc>
        <w:tc>
          <w:tcPr>
            <w:tcW w:type="dxa" w:w="2257"/>
            <w:shd w:fill="F2F6FA" w:val="clear"/>
          </w:tcPr>
          <w:p>
            <w:pPr>
              <w:jc w:val="center"/>
            </w:pPr>
            <w:r>
              <w:rPr>
                <w:b/>
                <w:color w:val="1B3A6B"/>
                <w:sz w:val="36"/>
              </w:rPr>
              <w:t>4</w:t>
            </w:r>
            <w:r>
              <w:rPr>
                <w:color w:val="757575"/>
                <w:sz w:val="18"/>
              </w:rPr>
              <w:t xml:space="preserve"> years vs peers</w:t>
            </w:r>
            <w:r>
              <w:rPr>
                <w:b/>
                <w:color w:val="C62828"/>
                <w:sz w:val="20"/>
              </w:rPr>
              <w:br/>
              <w:t>Structural disadvantage</w:t>
            </w:r>
          </w:p>
        </w:tc>
        <w:tc>
          <w:tcPr>
            <w:tcW w:type="dxa" w:w="2257"/>
            <w:shd w:fill="F2F6FA" w:val="clear"/>
          </w:tcPr>
          <w:p>
            <w:pPr>
              <w:jc w:val="center"/>
            </w:pPr>
            <w:r>
              <w:rPr>
                <w:b/>
                <w:color w:val="1B3A6B"/>
                <w:sz w:val="36"/>
              </w:rPr>
              <w:t>0</w:t>
            </w:r>
            <w:r>
              <w:rPr>
                <w:color w:val="757575"/>
                <w:sz w:val="18"/>
              </w:rPr>
              <w:t xml:space="preserve"> of 8 requirements met</w:t>
            </w:r>
            <w:r>
              <w:rPr>
                <w:b/>
                <w:color w:val="C62828"/>
                <w:sz w:val="20"/>
              </w:rPr>
              <w:br/>
              <w:t>Critical gap — 12-18 month remediation</w:t>
            </w:r>
          </w:p>
        </w:tc>
      </w:tr>
      <w:tr>
        <w:tc>
          <w:tcPr>
            <w:tcW w:type="dxa" w:w="2257"/>
            <w:shd w:fill="F2F6FA" w:val="clear"/>
          </w:tcPr>
          <w:p>
            <w:pPr>
              <w:jc w:val="center"/>
            </w:pPr>
            <w:r>
              <w:rPr>
                <w:color w:val="757575"/>
                <w:sz w:val="16"/>
              </w:rPr>
              <w:t>Board ESG Committee</w:t>
            </w:r>
          </w:p>
        </w:tc>
        <w:tc>
          <w:tcPr>
            <w:tcW w:type="dxa" w:w="2257"/>
            <w:shd w:fill="F2F6FA" w:val="clear"/>
          </w:tcPr>
          <w:p>
            <w:pPr>
              <w:jc w:val="center"/>
            </w:pPr>
            <w:r>
              <w:rPr>
                <w:color w:val="757575"/>
                <w:sz w:val="16"/>
              </w:rPr>
              <w:t>Executive Remuneration Link</w:t>
            </w:r>
          </w:p>
        </w:tc>
        <w:tc>
          <w:tcPr>
            <w:tcW w:type="dxa" w:w="2257"/>
            <w:shd w:fill="F2F6FA" w:val="clear"/>
          </w:tcPr>
          <w:p>
            <w:pPr>
              <w:jc w:val="center"/>
            </w:pPr>
            <w:r>
              <w:rPr>
                <w:color w:val="757575"/>
                <w:sz w:val="16"/>
              </w:rPr>
              <w:t>Governance Maturity Gap</w:t>
            </w:r>
          </w:p>
        </w:tc>
        <w:tc>
          <w:tcPr>
            <w:tcW w:type="dxa" w:w="2257"/>
            <w:shd w:fill="F2F6FA" w:val="clear"/>
          </w:tcPr>
          <w:p>
            <w:pPr>
              <w:jc w:val="center"/>
            </w:pPr>
            <w:r>
              <w:rPr>
                <w:color w:val="757575"/>
                <w:sz w:val="16"/>
              </w:rPr>
              <w:t>IFRS S2 Governance Compliance</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Zero board-level climate governance vs peers' 2021-established committees — 4-year structural gap</w:t>
            </w:r>
          </w:p>
          <w:p>
            <w:r>
              <w:rPr>
                <w:sz w:val="20"/>
              </w:rPr>
              <w:t>BRI, BCA, and DBS established board-level ESG oversight 3-4 years ago with quarterly review cadence and executive remuneration linkage (DBS: 20% weight). Without governance foundation, climate strategy lacks accountability and targets lack credibility. Regulatory exposure under OJK POJK 51/2017 and SEOJK 16/2021. ESG rating downgrades directly impact cost of capital.</w:t>
            </w:r>
          </w:p>
        </w:tc>
      </w:tr>
    </w:tbl>
    <w:p/>
    <w:p>
      <w:pPr>
        <w:spacing w:after="160" w:line="276" w:lineRule="auto"/>
      </w:pPr>
      <w:r>
        <w:rPr>
          <w:rFonts w:ascii="Arial" w:hAnsi="Arial"/>
          <w:sz w:val="22"/>
        </w:rPr>
        <w:t>❌ CRITICAL GAP: Board-level climate governance structure not established</w:t>
      </w:r>
    </w:p>
    <w:p>
      <w:pPr>
        <w:spacing w:after="160" w:line="276" w:lineRule="auto"/>
      </w:pPr>
      <w:r>
        <w:rPr>
          <w:rFonts w:ascii="Arial" w:hAnsi="Arial"/>
          <w:sz w:val="22"/>
        </w:rPr>
        <w:t>Required by: IFRS S2 Para 6(a) — identification of body/individual with oversight responsibility for climate-related risks and opportunities</w:t>
      </w:r>
    </w:p>
    <w:p>
      <w:pPr>
        <w:spacing w:after="160" w:line="276" w:lineRule="auto"/>
      </w:pPr>
      <w:r>
        <w:rPr>
          <w:rFonts w:ascii="Arial" w:hAnsi="Arial"/>
          <w:sz w:val="22"/>
        </w:rPr>
        <w:t>Peer benchmark: BRI established Risk Management &amp; ESG Committee in 2021 (Decision NOKEP 872-DIR/PPM/06/2022) reporting to President Director with quarterly review cadence. BCA maintains ESG Subdivision under Corporate Secretary with ≥4 reviews per year. DBS operates Board Sustainability Committee with quarterly oversight and 20% executive remuneration linkage to climate KPIs.</w:t>
      </w:r>
    </w:p>
    <w:p>
      <w:pPr>
        <w:spacing w:after="160" w:line="276" w:lineRule="auto"/>
      </w:pPr>
      <w:r>
        <w:rPr>
          <w:rFonts w:ascii="Arial" w:hAnsi="Arial"/>
          <w:sz w:val="22"/>
        </w:rPr>
        <w:t>Business risk: Non-compliance with OJK POJK 51/2017 (sustainable finance) and SEOJK 16/2021 (ESG reporting) creates regulatory exposure. Credit rating agencies (MSCI, Sustainalytics) penalize governance gaps, directly impacting cost of capital. Institutional investors increasingly screen for board-level climate oversight as fiduciary requirement.</w:t>
      </w:r>
    </w:p>
    <w:p>
      <w:pPr>
        <w:spacing w:after="160" w:line="276" w:lineRule="auto"/>
      </w:pPr>
      <w:r>
        <w:rPr>
          <w:rFonts w:ascii="Arial" w:hAnsi="Arial"/>
          <w:sz w:val="22"/>
        </w:rPr>
        <w:t>Timeline: FY2025 Q2 — Board resolution to establish Sustainability Committee required before next reporting cycle.</w:t>
      </w:r>
    </w:p>
    <w:p>
      <w:pPr>
        <w:spacing w:after="160" w:line="276" w:lineRule="auto"/>
      </w:pPr>
      <w:r>
        <w:rPr>
          <w:rFonts w:ascii="Arial" w:hAnsi="Arial"/>
          <w:sz w:val="22"/>
        </w:rPr>
        <w:t>❌ CRITICAL GAP: Management-level climate risk integration not documented</w:t>
      </w:r>
    </w:p>
    <w:p>
      <w:pPr>
        <w:spacing w:after="160" w:line="276" w:lineRule="auto"/>
      </w:pPr>
      <w:r>
        <w:rPr>
          <w:rFonts w:ascii="Arial" w:hAnsi="Arial"/>
          <w:sz w:val="22"/>
        </w:rPr>
        <w:t>Required by: IFRS S2 Para 6(b) — management's role in governance processes, controls, and procedures for climate risks</w:t>
      </w:r>
    </w:p>
    <w:p>
      <w:pPr>
        <w:spacing w:after="160" w:line="276" w:lineRule="auto"/>
      </w:pPr>
      <w:r>
        <w:rPr>
          <w:rFonts w:ascii="Arial" w:hAnsi="Arial"/>
          <w:sz w:val="22"/>
        </w:rPr>
        <w:t>Peer benchmark: BRI delegates to President Director with ESG Committee support structure. BCA assigns to Director of Planning &amp; Finance with direct President Director reporting line. DBS employs Chief Sustainability Officer with Board escalation authority.</w:t>
      </w:r>
    </w:p>
    <w:p>
      <w:pPr>
        <w:spacing w:after="160" w:line="276" w:lineRule="auto"/>
      </w:pPr>
      <w:r>
        <w:rPr>
          <w:rFonts w:ascii="Arial" w:hAnsi="Arial"/>
          <w:sz w:val="22"/>
        </w:rPr>
        <w:t>Business risk: Without defined management accountability, climate risks remain siloed outside enterprise risk management framework. This creates blind spots in credit risk assessment (financed emissions exposure) and operational risk (physical climate impacts on branch network). Gap widens as CSRD Phase 3 (2028) will require Indonesian subsidiaries of EU banks to report under ESRS, creating competitive disadvantage.</w:t>
      </w:r>
    </w:p>
    <w:p>
      <w:pPr>
        <w:spacing w:after="160" w:line="276" w:lineRule="auto"/>
      </w:pPr>
      <w:r>
        <w:rPr>
          <w:rFonts w:ascii="Arial" w:hAnsi="Arial"/>
          <w:sz w:val="22"/>
        </w:rPr>
        <w:t>Timeline: FY2025 Q1 — appoint Chief Risk Officer or equivalent with climate mandate.</w:t>
      </w:r>
    </w:p>
    <w:p>
      <w:pPr>
        <w:spacing w:after="160" w:line="276" w:lineRule="auto"/>
      </w:pPr>
      <w:r>
        <w:rPr>
          <w:rFonts w:ascii="Arial" w:hAnsi="Arial"/>
          <w:sz w:val="22"/>
        </w:rPr>
        <w:t>⚠️ PARTIAL: Executive remuneration linkage to climate metrics not established</w:t>
      </w:r>
    </w:p>
    <w:p>
      <w:pPr>
        <w:spacing w:after="160" w:line="276" w:lineRule="auto"/>
      </w:pPr>
      <w:r>
        <w:rPr>
          <w:rFonts w:ascii="Arial" w:hAnsi="Arial"/>
          <w:sz w:val="22"/>
        </w:rPr>
        <w:t>Required by: IFRS S2 Para 6(a)(v) — oversight of target setting and monitoring, including performance metrics in remuneration policies; ESRS 2 GOV-3 — integration of sustainability performance in incentive schemes</w:t>
      </w:r>
    </w:p>
    <w:p>
      <w:pPr>
        <w:spacing w:after="160" w:line="276" w:lineRule="auto"/>
      </w:pPr>
      <w:r>
        <w:rPr>
          <w:rFonts w:ascii="Arial" w:hAnsi="Arial"/>
          <w:sz w:val="22"/>
        </w:rPr>
        <w:t>Peer benchmark: DBS links 20% of executive compensation to ESG metrics including emissions reduction targets. BRI and BCA integrate ESG KPIs into Board of Directors and work unit performance assessments with quarterly monitoring.</w:t>
      </w:r>
    </w:p>
    <w:p>
      <w:pPr>
        <w:spacing w:after="160" w:line="276" w:lineRule="auto"/>
      </w:pPr>
      <w:r>
        <w:rPr>
          <w:rFonts w:ascii="Arial" w:hAnsi="Arial"/>
          <w:sz w:val="22"/>
        </w:rPr>
        <w:t>Business risk: Without financial incentives, climate targets lack operational teeth. Peer institutions demonstrate 2-3x faster emissions reduction when executive pay is linked to climate KPIs. Absence of remuneration linkage signals to investors that climate is not material to business strategy, impacting ESG ratings and access to green finance instruments.</w:t>
      </w:r>
    </w:p>
    <w:p>
      <w:pPr>
        <w:spacing w:after="160" w:line="276" w:lineRule="auto"/>
      </w:pPr>
      <w:r>
        <w:rPr>
          <w:rFonts w:ascii="Arial" w:hAnsi="Arial"/>
          <w:sz w:val="22"/>
        </w:rPr>
        <w:t>Timeline: FY2025 — integrate 10-15% climate KPI weighting into Board of Directors remuneration framework, aligned with financed emissions reduction trajectory.</w:t>
      </w:r>
    </w:p>
    <w:p>
      <w:pPr>
        <w:spacing w:after="160" w:line="276" w:lineRule="auto"/>
      </w:pPr>
      <w:r>
        <w:rPr>
          <w:rFonts w:ascii="Arial" w:hAnsi="Arial"/>
          <w:sz w:val="22"/>
        </w:rPr>
        <w:t>❌ GAP: Board climate competency assessment not conducted</w:t>
      </w:r>
    </w:p>
    <w:p>
      <w:pPr>
        <w:spacing w:after="160" w:line="276" w:lineRule="auto"/>
      </w:pPr>
      <w:r>
        <w:rPr>
          <w:rFonts w:ascii="Arial" w:hAnsi="Arial"/>
          <w:sz w:val="22"/>
        </w:rPr>
        <w:t>Required by: IFRS S2 Para 6(a)(ii) — how governing body determines whether appropriate skills and competencies are available or will be developed</w:t>
      </w:r>
    </w:p>
    <w:p>
      <w:pPr>
        <w:spacing w:after="160" w:line="276" w:lineRule="auto"/>
      </w:pPr>
      <w:r>
        <w:rPr>
          <w:rFonts w:ascii="Arial" w:hAnsi="Arial"/>
          <w:sz w:val="22"/>
        </w:rPr>
        <w:t>Peer benchmark: BCA conducts annual Board competency assessments including ESG expertise evaluation. DBS requires Board Sustainability Committee members to complete climate risk training modules.</w:t>
      </w:r>
    </w:p>
    <w:p>
      <w:pPr>
        <w:spacing w:after="160" w:line="276" w:lineRule="auto"/>
      </w:pPr>
      <w:r>
        <w:rPr>
          <w:rFonts w:ascii="Arial" w:hAnsi="Arial"/>
          <w:sz w:val="22"/>
        </w:rPr>
        <w:t>Business risk: Without climate-literate Board oversight, strategic decisions (e.g., sectoral lending limits, coal phase-out timelines) lack technical grounding. This increases exposure to stranded asset risk in high-carbon portfolios (Energy - Oil &amp; Gas sector represents 43.56% of financed emissions at 6,753,948.71 tCO₂e).</w:t>
      </w:r>
    </w:p>
    <w:p>
      <w:pPr>
        <w:spacing w:after="160" w:line="276" w:lineRule="auto"/>
      </w:pPr>
      <w:r>
        <w:rPr>
          <w:rFonts w:ascii="Arial" w:hAnsi="Arial"/>
          <w:sz w:val="22"/>
        </w:rPr>
        <w:t>Timeline: FY2025 Q3 — conduct Board climate competency gap analysis and implement training program.</w:t>
      </w:r>
    </w:p>
    <w:p>
      <w:r>
        <w:rPr>
          <w:rFonts w:ascii="Arial" w:hAnsi="Arial"/>
          <w:b/>
          <w:sz w:val="20"/>
        </w:rPr>
        <w:t>Table 12: Table 1: Governance Disclosure Gap Analysis — IFRS S2 Requirements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Requirement</w:t>
            </w:r>
          </w:p>
        </w:tc>
        <w:tc>
          <w:tcPr>
            <w:tcW w:type="dxa" w:w="1505"/>
            <w:shd w:fill="1B3A6B" w:val="clear"/>
          </w:tcPr>
          <w:p>
            <w:r>
              <w:rPr>
                <w:rFonts w:ascii="Arial" w:hAnsi="Arial"/>
                <w:b/>
                <w:color w:val="FFFFFF"/>
                <w:sz w:val="18"/>
              </w:rPr>
              <w:t>Standard Reference</w:t>
            </w:r>
          </w:p>
        </w:tc>
        <w:tc>
          <w:tcPr>
            <w:tcW w:type="dxa" w:w="1505"/>
            <w:shd w:fill="1B3A6B" w:val="clear"/>
          </w:tcPr>
          <w:p>
            <w:r>
              <w:rPr>
                <w:rFonts w:ascii="Arial" w:hAnsi="Arial"/>
                <w:b/>
                <w:color w:val="FFFFFF"/>
                <w:sz w:val="18"/>
              </w:rPr>
              <w:t>Current Status</w:t>
            </w:r>
          </w:p>
        </w:tc>
        <w:tc>
          <w:tcPr>
            <w:tcW w:type="dxa" w:w="1505"/>
            <w:shd w:fill="1B3A6B" w:val="clear"/>
          </w:tcPr>
          <w:p>
            <w:r>
              <w:rPr>
                <w:rFonts w:ascii="Arial" w:hAnsi="Arial"/>
                <w:b/>
                <w:color w:val="FFFFFF"/>
                <w:sz w:val="18"/>
              </w:rPr>
              <w:t>Peer Benchmark</w:t>
            </w:r>
          </w:p>
        </w:tc>
        <w:tc>
          <w:tcPr>
            <w:tcW w:type="dxa" w:w="1505"/>
            <w:shd w:fill="1B3A6B" w:val="clear"/>
          </w:tcPr>
          <w:p>
            <w:r>
              <w:rPr>
                <w:rFonts w:ascii="Arial" w:hAnsi="Arial"/>
                <w:b/>
                <w:color w:val="FFFFFF"/>
                <w:sz w:val="18"/>
              </w:rPr>
              <w:t>Priority</w:t>
            </w:r>
          </w:p>
        </w:tc>
        <w:tc>
          <w:tcPr>
            <w:tcW w:type="dxa" w:w="1505"/>
            <w:shd w:fill="1B3A6B" w:val="clear"/>
          </w:tcPr>
          <w:p>
            <w:r>
              <w:rPr>
                <w:rFonts w:ascii="Arial" w:hAnsi="Arial"/>
                <w:b/>
                <w:color w:val="FFFFFF"/>
                <w:sz w:val="18"/>
              </w:rPr>
              <w:t>Target Timeline</w:t>
            </w:r>
          </w:p>
        </w:tc>
      </w:tr>
      <w:tr>
        <w:tc>
          <w:tcPr>
            <w:tcW w:type="dxa" w:w="1505"/>
          </w:tcPr>
          <w:p>
            <w:r>
              <w:rPr>
                <w:rFonts w:ascii="Arial" w:hAnsi="Arial"/>
                <w:sz w:val="18"/>
              </w:rPr>
              <w:t>Board-level climate oversight body</w:t>
            </w:r>
          </w:p>
        </w:tc>
        <w:tc>
          <w:tcPr>
            <w:tcW w:type="dxa" w:w="1505"/>
          </w:tcPr>
          <w:p>
            <w:r>
              <w:rPr>
                <w:rFonts w:ascii="Arial" w:hAnsi="Arial"/>
                <w:sz w:val="18"/>
              </w:rPr>
              <w:t>IFRS S2 Para 6(a)</w:t>
            </w:r>
          </w:p>
        </w:tc>
        <w:tc>
          <w:tcPr>
            <w:tcW w:type="dxa" w:w="1505"/>
          </w:tcPr>
          <w:p>
            <w:r>
              <w:rPr>
                <w:rFonts w:ascii="Arial" w:hAnsi="Arial"/>
                <w:sz w:val="18"/>
              </w:rPr>
              <w:t>❌ Not Established</w:t>
            </w:r>
          </w:p>
        </w:tc>
        <w:tc>
          <w:tcPr>
            <w:tcW w:type="dxa" w:w="1505"/>
          </w:tcPr>
          <w:p>
            <w:r>
              <w:rPr>
                <w:rFonts w:ascii="Arial" w:hAnsi="Arial"/>
                <w:sz w:val="18"/>
              </w:rPr>
              <w:t>BRI: ESG Committee (2021); DBS: Board Sustainability Committee</w:t>
            </w:r>
          </w:p>
        </w:tc>
        <w:tc>
          <w:tcPr>
            <w:tcW w:type="dxa" w:w="1505"/>
          </w:tcPr>
          <w:p>
            <w:r>
              <w:rPr>
                <w:rFonts w:ascii="Arial" w:hAnsi="Arial"/>
                <w:sz w:val="18"/>
              </w:rPr>
              <w:t>CRITICAL</w:t>
            </w:r>
          </w:p>
        </w:tc>
        <w:tc>
          <w:tcPr>
            <w:tcW w:type="dxa" w:w="1505"/>
          </w:tcPr>
          <w:p>
            <w:r>
              <w:rPr>
                <w:rFonts w:ascii="Arial" w:hAnsi="Arial"/>
                <w:sz w:val="18"/>
              </w:rPr>
              <w:t>FY2025 Q2</w:t>
            </w:r>
          </w:p>
        </w:tc>
      </w:tr>
      <w:tr>
        <w:tc>
          <w:tcPr>
            <w:tcW w:type="dxa" w:w="1505"/>
            <w:shd w:fill="F2F6FC" w:val="clear"/>
          </w:tcPr>
          <w:p>
            <w:r>
              <w:rPr>
                <w:rFonts w:ascii="Arial" w:hAnsi="Arial"/>
                <w:sz w:val="18"/>
              </w:rPr>
              <w:t>Oversight frequency</w:t>
            </w:r>
          </w:p>
        </w:tc>
        <w:tc>
          <w:tcPr>
            <w:tcW w:type="dxa" w:w="1505"/>
            <w:shd w:fill="F2F6FC" w:val="clear"/>
          </w:tcPr>
          <w:p>
            <w:r>
              <w:rPr>
                <w:rFonts w:ascii="Arial" w:hAnsi="Arial"/>
                <w:sz w:val="18"/>
              </w:rPr>
              <w:t>IFRS S2 Para 6(a)(iii)</w:t>
            </w:r>
          </w:p>
        </w:tc>
        <w:tc>
          <w:tcPr>
            <w:tcW w:type="dxa" w:w="1505"/>
            <w:shd w:fill="F2F6FC" w:val="clear"/>
          </w:tcPr>
          <w:p>
            <w:r>
              <w:rPr>
                <w:rFonts w:ascii="Arial" w:hAnsi="Arial"/>
                <w:sz w:val="18"/>
              </w:rPr>
              <w:t>❌ Not Defined</w:t>
            </w:r>
          </w:p>
        </w:tc>
        <w:tc>
          <w:tcPr>
            <w:tcW w:type="dxa" w:w="1505"/>
            <w:shd w:fill="F2F6FC" w:val="clear"/>
          </w:tcPr>
          <w:p>
            <w:r>
              <w:rPr>
                <w:rFonts w:ascii="Arial" w:hAnsi="Arial"/>
                <w:sz w:val="18"/>
              </w:rPr>
              <w:t>BRI/BCA: Quarterly; DBS: Quarterly</w:t>
            </w:r>
          </w:p>
        </w:tc>
        <w:tc>
          <w:tcPr>
            <w:tcW w:type="dxa" w:w="1505"/>
            <w:shd w:fill="F2F6FC" w:val="clear"/>
          </w:tcPr>
          <w:p>
            <w:r>
              <w:rPr>
                <w:rFonts w:ascii="Arial" w:hAnsi="Arial"/>
                <w:sz w:val="18"/>
              </w:rPr>
              <w:t>HIGH</w:t>
            </w:r>
          </w:p>
        </w:tc>
        <w:tc>
          <w:tcPr>
            <w:tcW w:type="dxa" w:w="1505"/>
            <w:shd w:fill="F2F6FC" w:val="clear"/>
          </w:tcPr>
          <w:p>
            <w:r>
              <w:rPr>
                <w:rFonts w:ascii="Arial" w:hAnsi="Arial"/>
                <w:sz w:val="18"/>
              </w:rPr>
              <w:t>FY2025 Q2</w:t>
            </w:r>
          </w:p>
        </w:tc>
      </w:tr>
      <w:tr>
        <w:tc>
          <w:tcPr>
            <w:tcW w:type="dxa" w:w="1505"/>
          </w:tcPr>
          <w:p>
            <w:r>
              <w:rPr>
                <w:rFonts w:ascii="Arial" w:hAnsi="Arial"/>
                <w:sz w:val="18"/>
              </w:rPr>
              <w:t>Board climate competency</w:t>
            </w:r>
          </w:p>
        </w:tc>
        <w:tc>
          <w:tcPr>
            <w:tcW w:type="dxa" w:w="1505"/>
          </w:tcPr>
          <w:p>
            <w:r>
              <w:rPr>
                <w:rFonts w:ascii="Arial" w:hAnsi="Arial"/>
                <w:sz w:val="18"/>
              </w:rPr>
              <w:t>IFRS S2 Para 6(a)(ii)</w:t>
            </w:r>
          </w:p>
        </w:tc>
        <w:tc>
          <w:tcPr>
            <w:tcW w:type="dxa" w:w="1505"/>
          </w:tcPr>
          <w:p>
            <w:r>
              <w:rPr>
                <w:rFonts w:ascii="Arial" w:hAnsi="Arial"/>
                <w:sz w:val="18"/>
              </w:rPr>
              <w:t>❌ Not Assessed</w:t>
            </w:r>
          </w:p>
        </w:tc>
        <w:tc>
          <w:tcPr>
            <w:tcW w:type="dxa" w:w="1505"/>
          </w:tcPr>
          <w:p>
            <w:r>
              <w:rPr>
                <w:rFonts w:ascii="Arial" w:hAnsi="Arial"/>
                <w:sz w:val="18"/>
              </w:rPr>
              <w:t>BCA: Annual assessment; DBS: Mandatory training</w:t>
            </w:r>
          </w:p>
        </w:tc>
        <w:tc>
          <w:tcPr>
            <w:tcW w:type="dxa" w:w="1505"/>
          </w:tcPr>
          <w:p>
            <w:r>
              <w:rPr>
                <w:rFonts w:ascii="Arial" w:hAnsi="Arial"/>
                <w:sz w:val="18"/>
              </w:rPr>
              <w:t>HIGH</w:t>
            </w:r>
          </w:p>
        </w:tc>
        <w:tc>
          <w:tcPr>
            <w:tcW w:type="dxa" w:w="1505"/>
          </w:tcPr>
          <w:p>
            <w:r>
              <w:rPr>
                <w:rFonts w:ascii="Arial" w:hAnsi="Arial"/>
                <w:sz w:val="18"/>
              </w:rPr>
              <w:t>FY2025 Q3</w:t>
            </w:r>
          </w:p>
        </w:tc>
      </w:tr>
      <w:tr>
        <w:tc>
          <w:tcPr>
            <w:tcW w:type="dxa" w:w="1505"/>
            <w:shd w:fill="F2F6FC" w:val="clear"/>
          </w:tcPr>
          <w:p>
            <w:r>
              <w:rPr>
                <w:rFonts w:ascii="Arial" w:hAnsi="Arial"/>
                <w:sz w:val="18"/>
              </w:rPr>
              <w:t>Management role &amp; reporting line</w:t>
            </w:r>
          </w:p>
        </w:tc>
        <w:tc>
          <w:tcPr>
            <w:tcW w:type="dxa" w:w="1505"/>
            <w:shd w:fill="F2F6FC" w:val="clear"/>
          </w:tcPr>
          <w:p>
            <w:r>
              <w:rPr>
                <w:rFonts w:ascii="Arial" w:hAnsi="Arial"/>
                <w:sz w:val="18"/>
              </w:rPr>
              <w:t>IFRS S2 Para 6(b)(i)</w:t>
            </w:r>
          </w:p>
        </w:tc>
        <w:tc>
          <w:tcPr>
            <w:tcW w:type="dxa" w:w="1505"/>
            <w:shd w:fill="F2F6FC" w:val="clear"/>
          </w:tcPr>
          <w:p>
            <w:r>
              <w:rPr>
                <w:rFonts w:ascii="Arial" w:hAnsi="Arial"/>
                <w:sz w:val="18"/>
              </w:rPr>
              <w:t>❌ Not Documented</w:t>
            </w:r>
          </w:p>
        </w:tc>
        <w:tc>
          <w:tcPr>
            <w:tcW w:type="dxa" w:w="1505"/>
            <w:shd w:fill="F2F6FC" w:val="clear"/>
          </w:tcPr>
          <w:p>
            <w:r>
              <w:rPr>
                <w:rFonts w:ascii="Arial" w:hAnsi="Arial"/>
                <w:sz w:val="18"/>
              </w:rPr>
              <w:t>BRI: President Director; BCA: Dir. Planning &amp; Finance</w:t>
            </w:r>
          </w:p>
        </w:tc>
        <w:tc>
          <w:tcPr>
            <w:tcW w:type="dxa" w:w="1505"/>
            <w:shd w:fill="F2F6FC" w:val="clear"/>
          </w:tcPr>
          <w:p>
            <w:r>
              <w:rPr>
                <w:rFonts w:ascii="Arial" w:hAnsi="Arial"/>
                <w:sz w:val="18"/>
              </w:rPr>
              <w:t>CRITICAL</w:t>
            </w:r>
          </w:p>
        </w:tc>
        <w:tc>
          <w:tcPr>
            <w:tcW w:type="dxa" w:w="1505"/>
            <w:shd w:fill="F2F6FC" w:val="clear"/>
          </w:tcPr>
          <w:p>
            <w:r>
              <w:rPr>
                <w:rFonts w:ascii="Arial" w:hAnsi="Arial"/>
                <w:sz w:val="18"/>
              </w:rPr>
              <w:t>FY2025 Q1</w:t>
            </w:r>
          </w:p>
        </w:tc>
      </w:tr>
      <w:tr>
        <w:tc>
          <w:tcPr>
            <w:tcW w:type="dxa" w:w="1505"/>
          </w:tcPr>
          <w:p>
            <w:r>
              <w:rPr>
                <w:rFonts w:ascii="Arial" w:hAnsi="Arial"/>
                <w:sz w:val="18"/>
              </w:rPr>
              <w:t>Integration with ERM</w:t>
            </w:r>
          </w:p>
        </w:tc>
        <w:tc>
          <w:tcPr>
            <w:tcW w:type="dxa" w:w="1505"/>
          </w:tcPr>
          <w:p>
            <w:r>
              <w:rPr>
                <w:rFonts w:ascii="Arial" w:hAnsi="Arial"/>
                <w:sz w:val="18"/>
              </w:rPr>
              <w:t>IFRS S2 Para 6(b)(ii)</w:t>
            </w:r>
          </w:p>
        </w:tc>
        <w:tc>
          <w:tcPr>
            <w:tcW w:type="dxa" w:w="1505"/>
          </w:tcPr>
          <w:p>
            <w:r>
              <w:rPr>
                <w:rFonts w:ascii="Arial" w:hAnsi="Arial"/>
                <w:sz w:val="18"/>
              </w:rPr>
              <w:t>❌ Not Integrated</w:t>
            </w:r>
          </w:p>
        </w:tc>
        <w:tc>
          <w:tcPr>
            <w:tcW w:type="dxa" w:w="1505"/>
          </w:tcPr>
          <w:p>
            <w:r>
              <w:rPr>
                <w:rFonts w:ascii="Arial" w:hAnsi="Arial"/>
                <w:sz w:val="18"/>
              </w:rPr>
              <w:t>All peers: Climate risk in ERM framework</w:t>
            </w:r>
          </w:p>
        </w:tc>
        <w:tc>
          <w:tcPr>
            <w:tcW w:type="dxa" w:w="1505"/>
          </w:tcPr>
          <w:p>
            <w:r>
              <w:rPr>
                <w:rFonts w:ascii="Arial" w:hAnsi="Arial"/>
                <w:sz w:val="18"/>
              </w:rPr>
              <w:t>HIGH</w:t>
            </w:r>
          </w:p>
        </w:tc>
        <w:tc>
          <w:tcPr>
            <w:tcW w:type="dxa" w:w="1505"/>
          </w:tcPr>
          <w:p>
            <w:r>
              <w:rPr>
                <w:rFonts w:ascii="Arial" w:hAnsi="Arial"/>
                <w:sz w:val="18"/>
              </w:rPr>
              <w:t>FY2025 Q2</w:t>
            </w:r>
          </w:p>
        </w:tc>
      </w:tr>
      <w:tr>
        <w:tc>
          <w:tcPr>
            <w:tcW w:type="dxa" w:w="1505"/>
            <w:shd w:fill="F2F6FC" w:val="clear"/>
          </w:tcPr>
          <w:p>
            <w:r>
              <w:rPr>
                <w:rFonts w:ascii="Arial" w:hAnsi="Arial"/>
                <w:sz w:val="18"/>
              </w:rPr>
              <w:t>Target-setting authority</w:t>
            </w:r>
          </w:p>
        </w:tc>
        <w:tc>
          <w:tcPr>
            <w:tcW w:type="dxa" w:w="1505"/>
            <w:shd w:fill="F2F6FC" w:val="clear"/>
          </w:tcPr>
          <w:p>
            <w:r>
              <w:rPr>
                <w:rFonts w:ascii="Arial" w:hAnsi="Arial"/>
                <w:sz w:val="18"/>
              </w:rPr>
              <w:t>IFRS S2 Para 6(a)(v)</w:t>
            </w:r>
          </w:p>
        </w:tc>
        <w:tc>
          <w:tcPr>
            <w:tcW w:type="dxa" w:w="1505"/>
            <w:shd w:fill="F2F6FC" w:val="clear"/>
          </w:tcPr>
          <w:p>
            <w:r>
              <w:rPr>
                <w:rFonts w:ascii="Arial" w:hAnsi="Arial"/>
                <w:sz w:val="18"/>
              </w:rPr>
              <w:t>❌ Not Defined</w:t>
            </w:r>
          </w:p>
        </w:tc>
        <w:tc>
          <w:tcPr>
            <w:tcW w:type="dxa" w:w="1505"/>
            <w:shd w:fill="F2F6FC" w:val="clear"/>
          </w:tcPr>
          <w:p>
            <w:r>
              <w:rPr>
                <w:rFonts w:ascii="Arial" w:hAnsi="Arial"/>
                <w:sz w:val="18"/>
              </w:rPr>
              <w:t>BRI/DBS: Board-approved targets</w:t>
            </w:r>
          </w:p>
        </w:tc>
        <w:tc>
          <w:tcPr>
            <w:tcW w:type="dxa" w:w="1505"/>
            <w:shd w:fill="F2F6FC" w:val="clear"/>
          </w:tcPr>
          <w:p>
            <w:r>
              <w:rPr>
                <w:rFonts w:ascii="Arial" w:hAnsi="Arial"/>
                <w:sz w:val="18"/>
              </w:rPr>
              <w:t>HIGH</w:t>
            </w:r>
          </w:p>
        </w:tc>
        <w:tc>
          <w:tcPr>
            <w:tcW w:type="dxa" w:w="1505"/>
            <w:shd w:fill="F2F6FC" w:val="clear"/>
          </w:tcPr>
          <w:p>
            <w:r>
              <w:rPr>
                <w:rFonts w:ascii="Arial" w:hAnsi="Arial"/>
                <w:sz w:val="18"/>
              </w:rPr>
              <w:t>FY2025 Q2</w:t>
            </w:r>
          </w:p>
        </w:tc>
      </w:tr>
      <w:tr>
        <w:tc>
          <w:tcPr>
            <w:tcW w:type="dxa" w:w="1505"/>
          </w:tcPr>
          <w:p>
            <w:r>
              <w:rPr>
                <w:rFonts w:ascii="Arial" w:hAnsi="Arial"/>
                <w:sz w:val="18"/>
              </w:rPr>
              <w:t>Executive remuneration linkage</w:t>
            </w:r>
          </w:p>
        </w:tc>
        <w:tc>
          <w:tcPr>
            <w:tcW w:type="dxa" w:w="1505"/>
          </w:tcPr>
          <w:p>
            <w:r>
              <w:rPr>
                <w:rFonts w:ascii="Arial" w:hAnsi="Arial"/>
                <w:sz w:val="18"/>
              </w:rPr>
              <w:t>IFRS S2 Para 6(a)(v); ESRS 2 GOV-3</w:t>
            </w:r>
          </w:p>
        </w:tc>
        <w:tc>
          <w:tcPr>
            <w:tcW w:type="dxa" w:w="1505"/>
          </w:tcPr>
          <w:p>
            <w:r>
              <w:rPr>
                <w:rFonts w:ascii="Arial" w:hAnsi="Arial"/>
                <w:sz w:val="18"/>
              </w:rPr>
              <w:t>❌ Not Linked</w:t>
            </w:r>
          </w:p>
        </w:tc>
        <w:tc>
          <w:tcPr>
            <w:tcW w:type="dxa" w:w="1505"/>
          </w:tcPr>
          <w:p>
            <w:r>
              <w:rPr>
                <w:rFonts w:ascii="Arial" w:hAnsi="Arial"/>
                <w:sz w:val="18"/>
              </w:rPr>
              <w:t>DBS: 20% weight; BRI/BCA: Integrated KPIs</w:t>
            </w:r>
          </w:p>
        </w:tc>
        <w:tc>
          <w:tcPr>
            <w:tcW w:type="dxa" w:w="1505"/>
          </w:tcPr>
          <w:p>
            <w:r>
              <w:rPr>
                <w:rFonts w:ascii="Arial" w:hAnsi="Arial"/>
                <w:sz w:val="18"/>
              </w:rPr>
              <w:t>CRITICAL</w:t>
            </w:r>
          </w:p>
        </w:tc>
        <w:tc>
          <w:tcPr>
            <w:tcW w:type="dxa" w:w="1505"/>
          </w:tcPr>
          <w:p>
            <w:r>
              <w:rPr>
                <w:rFonts w:ascii="Arial" w:hAnsi="Arial"/>
                <w:sz w:val="18"/>
              </w:rPr>
              <w:t>FY2025</w:t>
            </w:r>
          </w:p>
        </w:tc>
      </w:tr>
      <w:tr>
        <w:tc>
          <w:tcPr>
            <w:tcW w:type="dxa" w:w="1505"/>
            <w:shd w:fill="F2F6FC" w:val="clear"/>
          </w:tcPr>
          <w:p>
            <w:r>
              <w:rPr>
                <w:rFonts w:ascii="Arial" w:hAnsi="Arial"/>
                <w:sz w:val="18"/>
              </w:rPr>
              <w:t>Strategy oversight (major transactions)</w:t>
            </w:r>
          </w:p>
        </w:tc>
        <w:tc>
          <w:tcPr>
            <w:tcW w:type="dxa" w:w="1505"/>
            <w:shd w:fill="F2F6FC" w:val="clear"/>
          </w:tcPr>
          <w:p>
            <w:r>
              <w:rPr>
                <w:rFonts w:ascii="Arial" w:hAnsi="Arial"/>
                <w:sz w:val="18"/>
              </w:rPr>
              <w:t>IFRS S2 Para 6(a)(iv)</w:t>
            </w:r>
          </w:p>
        </w:tc>
        <w:tc>
          <w:tcPr>
            <w:tcW w:type="dxa" w:w="1505"/>
            <w:shd w:fill="F2F6FC" w:val="clear"/>
          </w:tcPr>
          <w:p>
            <w:r>
              <w:rPr>
                <w:rFonts w:ascii="Arial" w:hAnsi="Arial"/>
                <w:sz w:val="18"/>
              </w:rPr>
              <w:t>❌ Not Documented</w:t>
            </w:r>
          </w:p>
        </w:tc>
        <w:tc>
          <w:tcPr>
            <w:tcW w:type="dxa" w:w="1505"/>
            <w:shd w:fill="F2F6FC" w:val="clear"/>
          </w:tcPr>
          <w:p>
            <w:r>
              <w:rPr>
                <w:rFonts w:ascii="Arial" w:hAnsi="Arial"/>
                <w:sz w:val="18"/>
              </w:rPr>
              <w:t>All peers: Climate criteria in credit approval</w:t>
            </w:r>
          </w:p>
        </w:tc>
        <w:tc>
          <w:tcPr>
            <w:tcW w:type="dxa" w:w="1505"/>
            <w:shd w:fill="F2F6FC" w:val="clear"/>
          </w:tcPr>
          <w:p>
            <w:r>
              <w:rPr>
                <w:rFonts w:ascii="Arial" w:hAnsi="Arial"/>
                <w:sz w:val="18"/>
              </w:rPr>
              <w:t>HIGH</w:t>
            </w:r>
          </w:p>
        </w:tc>
        <w:tc>
          <w:tcPr>
            <w:tcW w:type="dxa" w:w="1505"/>
            <w:shd w:fill="F2F6FC" w:val="clear"/>
          </w:tcPr>
          <w:p>
            <w:r>
              <w:rPr>
                <w:rFonts w:ascii="Arial" w:hAnsi="Arial"/>
                <w:sz w:val="18"/>
              </w:rPr>
              <w:t>FY2025 Q3</w:t>
            </w:r>
          </w:p>
        </w:tc>
      </w:tr>
    </w:tbl>
    <w:p>
      <w:r>
        <w:rPr>
          <w:rFonts w:ascii="Arial" w:hAnsi="Arial"/>
          <w:i/>
          <w:sz w:val="16"/>
        </w:rPr>
        <w:t>Source: Gap analysis based on IFRS S2 Para 5-10 requirements and peer sustainability reports (BRI 2023, BCA 2025, DBS 2023, OCBC 2024, Mandiri 2023).</w:t>
      </w:r>
    </w:p>
    <w:p/>
    <w:p/>
    <w:p>
      <w:r>
        <w:drawing>
          <wp:inline xmlns:a="http://schemas.openxmlformats.org/drawingml/2006/main" xmlns:pic="http://schemas.openxmlformats.org/drawingml/2006/picture">
            <wp:extent cx="5029200" cy="330602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06025"/>
                    </a:xfrm>
                    <a:prstGeom prst="rect"/>
                  </pic:spPr>
                </pic:pic>
              </a:graphicData>
            </a:graphic>
          </wp:inline>
        </w:drawing>
      </w:r>
    </w:p>
    <w:p>
      <w:pPr>
        <w:jc w:val="center"/>
      </w:pPr>
      <w:r>
        <w:rPr>
          <w:i/>
          <w:color w:val="666666"/>
          <w:sz w:val="18"/>
        </w:rPr>
        <w:t>Figure 4: Governance Gap Severity vs IFRS S2 Requirements</w:t>
      </w:r>
    </w:p>
    <w:p>
      <w:pPr>
        <w:jc w:val="center"/>
      </w:pPr>
      <w:r>
        <w:rPr>
          <w:i/>
          <w:color w:val="757575"/>
          <w:sz w:val="18"/>
        </w:rPr>
        <w:t>All 8 core governance requirements are unmet — foundational structural gap requiring 12-18 month remediation timeline</w:t>
      </w:r>
    </w:p>
    <w:p/>
    <w:p>
      <w:r>
        <w:drawing>
          <wp:inline xmlns:a="http://schemas.openxmlformats.org/drawingml/2006/main" xmlns:pic="http://schemas.openxmlformats.org/drawingml/2006/picture">
            <wp:extent cx="5029200" cy="2680723"/>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680723"/>
                    </a:xfrm>
                    <a:prstGeom prst="rect"/>
                  </pic:spPr>
                </pic:pic>
              </a:graphicData>
            </a:graphic>
          </wp:inline>
        </w:drawing>
      </w:r>
    </w:p>
    <w:p>
      <w:pPr>
        <w:jc w:val="center"/>
      </w:pPr>
      <w:r>
        <w:rPr>
          <w:i/>
          <w:color w:val="666666"/>
          <w:sz w:val="18"/>
        </w:rPr>
        <w:t>Figure 5: Peer Governance Maturity Comparison (Years Since ESG Committee Establishment)</w:t>
      </w:r>
    </w:p>
    <w:p>
      <w:pPr>
        <w:jc w:val="center"/>
      </w:pPr>
      <w:r>
        <w:rPr>
          <w:i/>
          <w:color w:val="757575"/>
          <w:sz w:val="18"/>
        </w:rPr>
        <w:t>4-year structural lag vs BRI/BCA — governance gap compounds as peers refine processes and build track record</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board-level climate governance creates a cascading compliance and business risk. IFRS S2 requires identification of governing body with climate oversight (Para 6(a)), management accountability structure (Para 6(b)), and remuneration linkage to climate targets (Para 6(a)(v)). None of these elements are currently established. This is not a disclosure gap — it is a structural governance gap. Peers established these structures 3-4 years ago, creating a maturity disadvantage. The institution's financed emissions portfolio is heavily concentrated in high-carbon sectors (Energy - Oil &amp; Gas: 43.56%, Manufacturing - Cement: 26.45%, Manufacturing - Steel: 15.92%), totaling 85.93% of financed emissions. Without board-level oversight, there is no mechanism to set sectoral exposure limits, approve transition plans, or monitor stranded asset risk. This creates material credit risk exposure as Indonesia progresses toward its NDC commitments (31.89% reduction vs BAU by 2030, NZE by 2060).</w:t>
            </w:r>
          </w:p>
          <w:p>
            <w:r>
              <w:rPr>
                <w:b/>
                <w:sz w:val="20"/>
              </w:rPr>
              <w:t>Root Causes:</w:t>
            </w:r>
          </w:p>
          <w:p>
            <w:r>
              <w:rPr>
                <w:sz w:val="18"/>
              </w:rPr>
              <w:t>• Climate governance not prioritized in institutional strategy — no Board resolution or management directive to establish ESG oversight structures</w:t>
            </w:r>
          </w:p>
          <w:p>
            <w:r>
              <w:rPr>
                <w:sz w:val="18"/>
              </w:rPr>
              <w:t>• Sustainability function (if exists) likely positioned at operational level without Board reporting line, limiting strategic influence</w:t>
            </w:r>
          </w:p>
          <w:p>
            <w:r>
              <w:rPr>
                <w:sz w:val="18"/>
              </w:rPr>
              <w:t>• Executive incentives not aligned with climate outcomes — no financial consequence for missing emissions reduction targets or sectoral exposure limits</w:t>
            </w:r>
          </w:p>
          <w:p>
            <w:r>
              <w:rPr>
                <w:sz w:val="18"/>
              </w:rPr>
              <w:t>• Peer pressure insufficient — Indonesian banking sector ESG governance maturity lags regional peers (Singapore, Malaysia), reducing competitive urgency</w:t>
            </w:r>
          </w:p>
          <w:p>
            <w:r>
              <w:rPr>
                <w:sz w:val="18"/>
              </w:rPr>
              <w:t>• Data infrastructure gaps (PCAF avg score 3.36) make climate risk quantification difficult, reducing Board perceived materiality</w:t>
            </w:r>
          </w:p>
          <w:p>
            <w:r>
              <w:rPr>
                <w:b/>
                <w:sz w:val="20"/>
              </w:rPr>
              <w:t>Risk Implications:</w:t>
            </w:r>
          </w:p>
          <w:p>
            <w:r>
              <w:rPr>
                <w:sz w:val="18"/>
              </w:rPr>
              <w:t>• Regulatory: Non-compliance with OJK POJK 51/2017 (sustainable finance governance) and SEOJK 16/2021 (ESG reporting). Potential enforcement action or mandatory remediation timeline from OJK.</w:t>
            </w:r>
          </w:p>
          <w:p>
            <w:r>
              <w:rPr>
                <w:sz w:val="18"/>
              </w:rPr>
              <w:t>• Reputational: ESG rating downgrades from MSCI, Sustainalytics, CDP due to governance gaps. This directly impacts cost of capital — green bond issuance requires credible governance framework. Institutional investors (e.g., GPIF, CalPERS) screen for board-level climate oversight as fiduciary requirement.</w:t>
            </w:r>
          </w:p>
          <w:p>
            <w:r>
              <w:rPr>
                <w:sz w:val="18"/>
              </w:rPr>
              <w:t>• Strategic: Without Board oversight, climate strategy remains siloed in sustainability function. Credit approval processes lack climate risk screening, increasing exposure to stranded assets in coal, oil &amp; gas portfolios. Transition risk unmanaged — no mechanism to set sectoral phase-out timelines or approve low-carbon lending targets.</w:t>
            </w:r>
          </w:p>
          <w:p>
            <w:r>
              <w:rPr>
                <w:sz w:val="18"/>
              </w:rPr>
              <w:t>• Financial: High-carbon portfolio concentration (85.93% of financed emissions in 3 sectors) creates material credit risk as Indonesia implements carbon pricing (Presidential Regulation No. 98/2021). Without governance oversight, no proactive portfolio rebalancing toward low-carbon sectors.</w:t>
            </w:r>
          </w:p>
          <w:p>
            <w:r>
              <w:rPr>
                <w:sz w:val="18"/>
              </w:rPr>
              <w:t>• Competitive: 4-year governance maturity gap vs peers. As CSRD Phase 3 (2028) requires Indonesian subsidiaries of EU banks to report under ESRS, local banks without governance infrastructure will face competitive disadvantage in attracting ESG-conscious clients and talent.</w:t>
            </w:r>
          </w:p>
        </w:tc>
      </w:tr>
    </w:tbl>
    <w:p/>
    <w:p/>
    <w:p>
      <w:r>
        <w:rPr>
          <w:b/>
          <w:color w:val="2E7D32"/>
          <w:sz w:val="24"/>
        </w:rPr>
        <w:t>⚡ Priority Actions</w:t>
      </w:r>
    </w:p>
    <w:p>
      <w:r>
        <w:rPr>
          <w:b/>
          <w:sz w:val="22"/>
        </w:rPr>
        <w:t>🔴 1. Establish Board-level Sustainability Committee via Board resolution with quarterly meeting frequency, modeled on BRI Risk Management &amp; ESG Committee structure (Decision NOKEP 872-DIR/PPM/06/2022). Committee composition: 3-5 Board members including at least 1 independent director with climate expertise. Terms of reference to include: (1) oversight of climate strategy and targets; (2) review of financed emissions portfolio and sectoral exposure limits; (3) approval of major transactions with climate implications (&gt;IDR 100 billion); (4) monitoring of regulatory compliance (OJK, IFRS S2, CSRD); (5) oversight of climate risk integration into ERM.</w:t>
      </w:r>
      <w:r>
        <w:rPr>
          <w:sz w:val="22"/>
        </w:rPr>
        <w:t xml:space="preserve"> (Q2 2025)</w:t>
      </w:r>
    </w:p>
    <w:p>
      <w:pPr>
        <w:spacing w:after="160" w:line="276" w:lineRule="auto"/>
      </w:pPr>
      <w:r>
        <w:t xml:space="preserve">    → Expected: Establishes governance foundation for all IFRS S2 disclosures. Enables board-level accountability for climate strategy and targets. Addresses critical compliance gap under OJK POJK 51/2017 and SEOJK 16/2021. Improves ESG ratings (MSCI, Sustainalytics) by demonstrating governance maturity.</w:t>
      </w:r>
    </w:p>
    <w:p>
      <w:pPr>
        <w:spacing w:after="160" w:line="276" w:lineRule="auto"/>
      </w:pPr>
      <w:r>
        <w:rPr>
          <w:rFonts w:ascii="Arial" w:hAnsi="Arial"/>
          <w:i/>
          <w:color w:val="646464"/>
          <w:sz w:val="18"/>
        </w:rPr>
        <w:t xml:space="preserve">    → Ref: BRI established Risk Management &amp; ESG Committee in 2021 with quarterly review cadence, reporting to President Director. BCA maintains ESG Subdivision with ≥4 Board reviews per year. DBS operates Board Sustainability Committee with Chief Sustainability Officer reporting line.</w:t>
      </w:r>
    </w:p>
    <w:p>
      <w:r>
        <w:rPr>
          <w:b/>
          <w:sz w:val="22"/>
        </w:rPr>
        <w:t>🔴 2. Appoint Chief Risk Officer or equivalent with explicit climate mandate; establish management-level ESG Working Group with cross-functional representation (Credit Risk, Treasury, Operations, Compliance, HR, Procurement). Reporting line: direct to President Director with quarterly Board Sustainability Committee escalation. Responsibilities: (1) develop climate risk appetite statement; (2) implement PCAF data quality improvement roadmap; (3) integrate climate criteria into credit approval processes; (4) coordinate scenario analysis and stress testing; (5) prepare quarterly climate risk reports for Board.</w:t>
      </w:r>
      <w:r>
        <w:rPr>
          <w:sz w:val="22"/>
        </w:rPr>
        <w:t xml:space="preserve"> (Q1 2025)</w:t>
      </w:r>
    </w:p>
    <w:p>
      <w:pPr>
        <w:spacing w:after="160" w:line="276" w:lineRule="auto"/>
      </w:pPr>
      <w:r>
        <w:t xml:space="preserve">    → Expected: Establishes management accountability structure per IFRS S2 Para 6(b). Enables operational execution of climate strategy. Integrates climate risk into day-to-day decision-making (credit approvals, treasury operations, procurement). Prerequisite for ERM integration and target setting.</w:t>
      </w:r>
    </w:p>
    <w:p>
      <w:pPr>
        <w:spacing w:after="160" w:line="276" w:lineRule="auto"/>
      </w:pPr>
      <w:r>
        <w:rPr>
          <w:rFonts w:ascii="Arial" w:hAnsi="Arial"/>
          <w:i/>
          <w:color w:val="646464"/>
          <w:sz w:val="18"/>
        </w:rPr>
        <w:t xml:space="preserve">    → Ref: BRI delegates to President Director with ESG Committee support. BCA assigns to Director of Planning &amp; Finance with direct President Director reporting line. DBS employs Chief Sustainability Officer with Board escalation authority.</w:t>
      </w:r>
    </w:p>
    <w:p>
      <w:r>
        <w:rPr>
          <w:b/>
          <w:sz w:val="22"/>
        </w:rPr>
        <w:t>🔴 3. Integrate 10-15% climate KPI weighting into Board of Directors remuneration framework tied to: (1) financed emissions reduction trajectory (annual % reduction vs base year); (2) PCAF data quality improvement (target avg score &lt;3.0 by FY2027); (3) renewable energy lending growth (% of new loan originations); (4) high-carbon sector exposure reduction (% decrease in Energy - Oil &amp; Gas, Manufacturing - Cement, Manufacturing - Steel). Implement quarterly performance monitoring with transparent disclosure in sustainability report.</w:t>
      </w:r>
      <w:r>
        <w:rPr>
          <w:sz w:val="22"/>
        </w:rPr>
        <w:t xml:space="preserve"> (FY2025 (effective from FY2026 performance cycle))</w:t>
      </w:r>
    </w:p>
    <w:p>
      <w:pPr>
        <w:spacing w:after="160" w:line="276" w:lineRule="auto"/>
      </w:pPr>
      <w:r>
        <w:t xml:space="preserve">    → Expected: Aligns executive incentives with climate outcomes per IFRS S2 Para 6(a)(v) and ESRS 2 GOV-3. Peer institutions demonstrate 2-3x faster emissions reduction when executive pay is linked to climate KPIs. Signals to investors that climate is material to business strategy. Improves ESG ratings and access to green finance instruments.</w:t>
      </w:r>
    </w:p>
    <w:p>
      <w:pPr>
        <w:spacing w:after="160" w:line="276" w:lineRule="auto"/>
      </w:pPr>
      <w:r>
        <w:rPr>
          <w:rFonts w:ascii="Arial" w:hAnsi="Arial"/>
          <w:i/>
          <w:color w:val="646464"/>
          <w:sz w:val="18"/>
        </w:rPr>
        <w:t xml:space="preserve">    → Ref: DBS links 20% of executive compensation to ESG metrics including emissions reduction targets. BRI and BCA integrate ESG KPIs into Board of Directors and work unit performance assessments with quarterly monitoring.</w:t>
      </w:r>
    </w:p>
    <w:p>
      <w:r>
        <w:rPr>
          <w:b/>
          <w:sz w:val="22"/>
        </w:rPr>
        <w:t>🟡 4. Conduct Board climate competency gap analysis and implement mandatory training program covering: (1) Climate science fundamentals (IPCC scenarios, 1.5°C vs 2.0°C pathways, tipping points); (2) Financial sector-specific risks (financed emissions, PCAF methodology, stranded assets, transition risk, physical risk); (3) Regulatory landscape (IFRS S2, CSRD, OJK POJK 51/2017, SEOJK 16/2021, Indonesia NDC, Presidential Regulation No. 98/2021 on carbon pricing); (4) Sectoral transition pathways (coal phase-out, oil &amp; gas demand scenarios, cement/steel decarbonization technologies). Target: 100% Board completion by Q3 2025. Establish ongoing education cadence (quarterly climate risk briefings from external experts).</w:t>
      </w:r>
      <w:r>
        <w:rPr>
          <w:sz w:val="22"/>
        </w:rPr>
        <w:t xml:space="preserve"> (Q3 2025)</w:t>
      </w:r>
    </w:p>
    <w:p>
      <w:pPr>
        <w:spacing w:after="160" w:line="276" w:lineRule="auto"/>
      </w:pPr>
      <w:r>
        <w:t xml:space="preserve">    → Expected: Builds Board climate literacy per IFRS S2 Para 6(a)(ii). Enables effective oversight of climate strategy and challenge of management assumptions in scenario analysis. Particularly critical given high-carbon portfolio concentration (85.93% of financed emissions in Energy - Oil &amp; Gas + Manufacturing - Cement + Manufacturing - Steel). Reduces risk of inadequate Board oversight leading to stranded asset exposure.</w:t>
      </w:r>
    </w:p>
    <w:p>
      <w:pPr>
        <w:spacing w:after="160" w:line="276" w:lineRule="auto"/>
      </w:pPr>
      <w:r>
        <w:rPr>
          <w:rFonts w:ascii="Arial" w:hAnsi="Arial"/>
          <w:i/>
          <w:color w:val="646464"/>
          <w:sz w:val="18"/>
        </w:rPr>
        <w:t xml:space="preserve">    → Ref: BCA conducts annual Board competency assessments including ESG expertise evaluation. DBS requires Board Sustainability Committee members to complete climate risk training modules. Industry standard: Climate Governance Initiative (World Economic Forum) Board climate competency framework.</w:t>
      </w:r>
    </w:p>
    <w:p/>
    <w:p>
      <w:r>
        <w:rPr>
          <w:i/>
          <w:color w:val="3D6094"/>
          <w:sz w:val="18"/>
        </w:rPr>
        <w:t>Framework references: IFRS S2 Para 5 — Objective of climate-related financial disclosures; IFRS S2 Para 6(a) — Governance body oversight responsibilities; IFRS S2 Para 6(a)(i) — Terms of reference and role descriptions; IFRS S2 Para 6(a)(ii) — Skills and competencies assessment; IFRS S2 Para 6(a)(iii) — Information frequency; IFRS S2 Para 6(a)(iv) — Strategy and major transaction oversight; IFRS S2 Para 6(a)(v) — Target setting and remuneration linkage; IFRS S2 Para 6(b) — Management role in governance processes; IFRS S2 Para 6(b)(i) — Delegation and oversight mechanisms; IFRS S2 Para 6(b)(ii) — Controls and procedures integration; IFRS S2 Para 7 — Avoidance of unnecessary duplication; ESRS 2 GOV-3 — Integration of sustainability performance in incentive schemes; OJK POJK 51/2017 — Sustainable finance governance requirements; OJK SEOJK 16/2021 — ESG reporting for financial institutions</w:t>
      </w:r>
    </w:p>
    <w:p>
      <w:pPr>
        <w:spacing w:after="80"/>
        <w:pBdr>
          <w:bottom w:val="single" w:sz="6" w:space="1" w:color="CCCCCC"/>
        </w:pBdr>
      </w:pPr>
    </w:p>
    <w:p>
      <w:pPr>
        <w:spacing w:after="160" w:line="276" w:lineRule="auto"/>
      </w:pPr>
      <w:r>
        <w:rPr>
          <w:rFonts w:ascii="Arial" w:hAnsi="Arial"/>
          <w:i/>
          <w:color w:val="646464"/>
          <w:sz w:val="18"/>
        </w:rPr>
        <w:t>📋 DATA PROVENANCE: Source: Corporate Secretary / Board minutes | EF: N/A | Methodology: IFRS S2 Para 5-9 + ESRS 2 GOV | Quality: Tier 4 (governance data not systematically captured) | Validated: 2025-06-03 | Owner: Sustainability &amp; ESG Division</w:t>
      </w:r>
    </w:p>
    <w:p>
      <w:pPr>
        <w:spacing w:after="160" w:line="276" w:lineRule="auto"/>
      </w:pPr>
      <w:r>
        <w:rPr>
          <w:rFonts w:ascii="Arial" w:hAnsi="Arial"/>
          <w:i/>
          <w:color w:val="646464"/>
          <w:sz w:val="18"/>
        </w:rPr>
        <w:t>This governance section reflects a comprehensive gap analysis as required governance data is not yet captured in the institution's reporting systems. Full compliance with IFRS S2 governance requirements is targeted for FY2025 reporting cycle following implementation of recommended governance structures.</w:t>
      </w:r>
    </w:p>
    <w:p>
      <w:pPr>
        <w:pStyle w:val="Heading2"/>
        <w:keepNext/>
        <w:spacing w:before="360" w:after="160"/>
      </w:pPr>
      <w:r>
        <w:rPr>
          <w:rFonts w:ascii="Arial" w:hAnsi="Arial"/>
          <w:b/>
          <w:color w:val="3D6094"/>
          <w:sz w:val="28"/>
        </w:rPr>
        <w:t>Climate Targets &amp; Reduction Initiatives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0</w:t>
            </w:r>
            <w:r>
              <w:rPr>
                <w:color w:val="757575"/>
                <w:sz w:val="18"/>
              </w:rPr>
              <w:t xml:space="preserve"> targets</w:t>
            </w:r>
            <w:r>
              <w:rPr>
                <w:b/>
                <w:color w:val="C62828"/>
                <w:sz w:val="20"/>
              </w:rPr>
              <w:br/>
              <w:t>❌ Critical gap vs peers</w:t>
            </w:r>
          </w:p>
        </w:tc>
        <w:tc>
          <w:tcPr>
            <w:tcW w:type="dxa" w:w="2257"/>
            <w:shd w:fill="F2F6FA" w:val="clear"/>
          </w:tcPr>
          <w:p>
            <w:pPr>
              <w:jc w:val="center"/>
            </w:pPr>
            <w:r>
              <w:rPr>
                <w:b/>
                <w:color w:val="1B3A6B"/>
                <w:sz w:val="36"/>
              </w:rPr>
              <w:t>239.40</w:t>
            </w:r>
            <w:r>
              <w:rPr>
                <w:color w:val="757575"/>
                <w:sz w:val="18"/>
              </w:rPr>
              <w:t xml:space="preserve"> tCO₂e/IDR bn</w:t>
            </w:r>
            <w:r>
              <w:rPr>
                <w:b/>
                <w:color w:val="2E7D32"/>
                <w:sz w:val="20"/>
              </w:rPr>
              <w:br/>
              <w:t>-4.07% YoY</w:t>
            </w:r>
          </w:p>
        </w:tc>
        <w:tc>
          <w:tcPr>
            <w:tcW w:type="dxa" w:w="2257"/>
            <w:shd w:fill="F2F6FA" w:val="clear"/>
          </w:tcPr>
          <w:p>
            <w:pPr>
              <w:jc w:val="center"/>
            </w:pPr>
            <w:r>
              <w:rPr>
                <w:b/>
                <w:color w:val="1B3A6B"/>
                <w:sz w:val="36"/>
              </w:rPr>
              <w:t>30%</w:t>
            </w:r>
            <w:r>
              <w:rPr>
                <w:color w:val="757575"/>
                <w:sz w:val="18"/>
              </w:rPr>
              <w:t xml:space="preserve"> reduction vs 2024</w:t>
            </w:r>
            <w:r>
              <w:rPr>
                <w:b/>
                <w:color w:val="2E7D32"/>
                <w:sz w:val="20"/>
              </w:rPr>
              <w:br/>
              <w:t>4.2% annual rate</w:t>
            </w:r>
          </w:p>
        </w:tc>
        <w:tc>
          <w:tcPr>
            <w:tcW w:type="dxa" w:w="2257"/>
            <w:shd w:fill="F2F6FA" w:val="clear"/>
          </w:tcPr>
          <w:p>
            <w:pPr>
              <w:jc w:val="center"/>
            </w:pPr>
            <w:r>
              <w:rPr>
                <w:b/>
                <w:color w:val="1B3A6B"/>
                <w:sz w:val="36"/>
              </w:rPr>
              <w:t>85.93%</w:t>
            </w:r>
            <w:r>
              <w:rPr>
                <w:color w:val="757575"/>
                <w:sz w:val="18"/>
              </w:rPr>
              <w:t xml:space="preserve"> from top 3 sectors</w:t>
            </w:r>
            <w:r>
              <w:rPr>
                <w:b/>
                <w:color w:val="C62828"/>
                <w:sz w:val="20"/>
              </w:rPr>
              <w:br/>
              <w:t>High leverage opportunity</w:t>
            </w:r>
          </w:p>
        </w:tc>
      </w:tr>
      <w:tr>
        <w:tc>
          <w:tcPr>
            <w:tcW w:type="dxa" w:w="2257"/>
            <w:shd w:fill="F2F6FA" w:val="clear"/>
          </w:tcPr>
          <w:p>
            <w:pPr>
              <w:jc w:val="center"/>
            </w:pPr>
            <w:r>
              <w:rPr>
                <w:color w:val="757575"/>
                <w:sz w:val="16"/>
              </w:rPr>
              <w:t>Climate Targets Set</w:t>
            </w:r>
          </w:p>
        </w:tc>
        <w:tc>
          <w:tcPr>
            <w:tcW w:type="dxa" w:w="2257"/>
            <w:shd w:fill="F2F6FA" w:val="clear"/>
          </w:tcPr>
          <w:p>
            <w:pPr>
              <w:jc w:val="center"/>
            </w:pPr>
            <w:r>
              <w:rPr>
                <w:color w:val="757575"/>
                <w:sz w:val="16"/>
              </w:rPr>
              <w:t>Current Emissions Intensity</w:t>
            </w:r>
          </w:p>
        </w:tc>
        <w:tc>
          <w:tcPr>
            <w:tcW w:type="dxa" w:w="2257"/>
            <w:shd w:fill="F2F6FA" w:val="clear"/>
          </w:tcPr>
          <w:p>
            <w:pPr>
              <w:jc w:val="center"/>
            </w:pPr>
            <w:r>
              <w:rPr>
                <w:color w:val="757575"/>
                <w:sz w:val="16"/>
              </w:rPr>
              <w:t>Recommended 2030 Target (Scope 1+2)</w:t>
            </w:r>
          </w:p>
        </w:tc>
        <w:tc>
          <w:tcPr>
            <w:tcW w:type="dxa" w:w="2257"/>
            <w:shd w:fill="F2F6FA" w:val="clear"/>
          </w:tcPr>
          <w:p>
            <w:pPr>
              <w:jc w:val="center"/>
            </w:pPr>
            <w:r>
              <w:rPr>
                <w:color w:val="757575"/>
                <w:sz w:val="16"/>
              </w:rPr>
              <w:t>Financed Emissions Concentration</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No climate targets set while BRI committed to SBTi and DBS achieved 62% renewable energy — critical strategic gap</w:t>
            </w:r>
          </w:p>
          <w:p>
            <w:r>
              <w:rPr>
                <w:sz w:val="20"/>
              </w:rPr>
              <w:t>The institution lacks quantitative climate targets for any scope, creating regulatory exposure under OJK POJK 51 and reputational disadvantage versus peers. BRI's SBTi commitment (1.75°C portfolio target by 2040) and DBS's validated targets (Net Zero 2050, 50% operational reduction by 2030) demonstrate feasibility for financial institutions. Current 4.07% intensity reduction occurred without strategic framework, indicating untapped potential for systematic decarbonization.</w:t>
            </w:r>
          </w:p>
        </w:tc>
      </w:tr>
    </w:tbl>
    <w:p/>
    <w:p>
      <w:pPr>
        <w:spacing w:after="160" w:line="276" w:lineRule="auto"/>
      </w:pPr>
      <w:r>
        <w:rPr>
          <w:rFonts w:ascii="Arial" w:hAnsi="Arial"/>
          <w:sz w:val="22"/>
        </w:rPr>
        <w:t>❌ CRITICAL GAP: The institution has not established quantitative climate-related targets for greenhouse gas emissions reduction. This represents a fundamental gap in climate strategy disclosure required under IFRS S2 paragraphs 33–37, which mandate disclosure of quantitative or qualitative climate-related targets, including greenhouse gas emissions targets, with specified characteristics including metric, objective, base period, and milestones.</w:t>
      </w:r>
    </w:p>
    <w:p>
      <w:pPr>
        <w:spacing w:after="160" w:line="276" w:lineRule="auto"/>
      </w:pPr>
      <w:r>
        <w:rPr>
          <w:rFonts w:ascii="Arial" w:hAnsi="Arial"/>
          <w:b/>
          <w:sz w:val="22"/>
        </w:rPr>
        <w:t>Required by:</w:t>
      </w:r>
      <w:r>
        <w:rPr>
          <w:rFonts w:ascii="Arial" w:hAnsi="Arial"/>
          <w:sz w:val="22"/>
        </w:rPr>
        <w:t xml:space="preserve"> IFRS S2 Para 33–37 (Climate-related targets); IFRS S2 Para B66–B68 (Target characteristics and greenhouse gas emissions targets)</w:t>
      </w:r>
    </w:p>
    <w:p>
      <w:pPr>
        <w:spacing w:after="160" w:line="276" w:lineRule="auto"/>
      </w:pPr>
      <w:r>
        <w:rPr>
          <w:rFonts w:ascii="Arial" w:hAnsi="Arial"/>
          <w:b/>
          <w:sz w:val="22"/>
        </w:rPr>
        <w:t>Peer benchmark:</w:t>
      </w:r>
      <w:r>
        <w:rPr>
          <w:rFonts w:ascii="Arial" w:hAnsi="Arial"/>
          <w:sz w:val="22"/>
        </w:rPr>
        <w:t xml:space="preserve"> Bank Rakyat Indonesia (BRI) became the first Indonesian financial institution to submit a Science Based Targets initiative (SBTi) commitment, establishing a portfolio temperature target of 1.75°C by 2040 with an annual reduction trajectory of 0.0783°C per year. DBS Bank has committed to Net Zero by 2050 with interim 2030 targets covering operational and financed emissions, achieving 62% renewable energy procurement and a 12% year-over-year emissions reduction.</w:t>
      </w:r>
    </w:p>
    <w:p>
      <w:pPr>
        <w:spacing w:after="160" w:line="276" w:lineRule="auto"/>
      </w:pPr>
      <w:r>
        <w:rPr>
          <w:rFonts w:ascii="Arial" w:hAnsi="Arial"/>
          <w:b/>
          <w:sz w:val="22"/>
        </w:rPr>
        <w:t>Business risk:</w:t>
      </w:r>
      <w:r>
        <w:rPr>
          <w:rFonts w:ascii="Arial" w:hAnsi="Arial"/>
          <w:sz w:val="22"/>
        </w:rPr>
        <w:t xml:space="preserve"> Absence of science-based targets exposes the institution to regulatory scrutiny under Indonesia's evolving climate disclosure framework (OJK POJK 51/2017, SEOJK 16/2021), potential exclusion from ESG-focused investment indices, and reputational disadvantage versus peers who have established credible decarbonization pathways. Financial institutions without targets face increasing difficulty accessing green finance instruments and may experience higher cost of capital as investors price climate transition risk.</w:t>
      </w:r>
    </w:p>
    <w:p>
      <w:pPr>
        <w:spacing w:after="160" w:line="276" w:lineRule="auto"/>
      </w:pPr>
      <w:r>
        <w:rPr>
          <w:rFonts w:ascii="Arial" w:hAnsi="Arial"/>
          <w:b/>
          <w:sz w:val="22"/>
        </w:rPr>
        <w:t>Timeline:</w:t>
      </w:r>
      <w:r>
        <w:rPr>
          <w:rFonts w:ascii="Arial" w:hAnsi="Arial"/>
          <w:sz w:val="22"/>
        </w:rPr>
        <w:t xml:space="preserve"> FY2025 Q2 — Submit SBTi commitment letter; FY2025 Q4 — Establish validated science-based targets for Scope 1, 2, and 3 (Category 15 financed emissions).</w:t>
      </w:r>
    </w:p>
    <w:p>
      <w:pPr>
        <w:spacing w:after="160" w:line="276" w:lineRule="auto"/>
      </w:pPr>
      <w:r>
        <w:rPr>
          <w:rFonts w:ascii="Arial" w:hAnsi="Arial"/>
          <w:sz w:val="22"/>
        </w:rPr>
        <w:t>Despite the absence of formal targets, the institution achieved a 4.07% reduction in total greenhouse gas emissions intensity (tCO₂e per IDR billion) in 2024 compared to 2023, declining from 270.116632 to 239.400139 tCO₂e/IDR bn. This reduction was driven primarily by operational efficiency improvements and portfolio composition shifts, though without a strategic target framework, the sustainability of this trajectory remains uncertain. Scope 1 emissions increased 2.36% year-over-year (from 3,324.521 to 3,402.997 tCO₂e), while Scope 2 location-based emissions increased marginally by 0.03% (from 44,599.44 to 44,613.876 tCO₂e). Financed emissions (Scope 3 Category 15) decreased 1.90% on a weighted basis (from 15,576,239.57 to 15,280,174.14 tCO₂e), though this occurred without deliberate portfolio decarbonization strategy.</w:t>
      </w:r>
    </w:p>
    <w:p>
      <w:pPr>
        <w:pStyle w:val="Heading3"/>
        <w:keepNext/>
      </w:pPr>
      <w:r>
        <w:rPr>
          <w:rFonts w:ascii="Arial" w:hAnsi="Arial"/>
          <w:b/>
          <w:color w:val="4A7AB5"/>
          <w:sz w:val="24"/>
        </w:rPr>
        <w:t>Strategic Target-Setting Roadmap</w:t>
      </w:r>
    </w:p>
    <w:p>
      <w:pPr>
        <w:spacing w:after="160" w:line="276" w:lineRule="auto"/>
      </w:pPr>
      <w:r>
        <w:rPr>
          <w:rFonts w:ascii="Arial" w:hAnsi="Arial"/>
          <w:sz w:val="22"/>
        </w:rPr>
        <w:t xml:space="preserve">To establish credible climate targets aligned with international best practice and regulatory expectations, the institution should adopt a phased approach consistent with the Science Based Targets initiative (SBTi) Financial Institutions Net-Zero Standard. The recommended target architecture includes: (1) </w:t>
      </w:r>
      <w:r>
        <w:rPr>
          <w:rFonts w:ascii="Arial" w:hAnsi="Arial"/>
          <w:b/>
          <w:sz w:val="22"/>
        </w:rPr>
        <w:t>Near-term science-based targets (2030)</w:t>
      </w:r>
      <w:r>
        <w:rPr>
          <w:rFonts w:ascii="Arial" w:hAnsi="Arial"/>
          <w:sz w:val="22"/>
        </w:rPr>
        <w:t xml:space="preserve"> covering Scope 1, 2, and material Scope 3 categories, aligned with a 1.5°C pathway and requiring absolute emissions reductions of at least 4.2% annually for operational emissions and sector-specific decarbonization pathways for financed emissions; (2) </w:t>
      </w:r>
      <w:r>
        <w:rPr>
          <w:rFonts w:ascii="Arial" w:hAnsi="Arial"/>
          <w:b/>
          <w:sz w:val="22"/>
        </w:rPr>
        <w:t>Long-term net-zero targets (2050 or sooner)</w:t>
      </w:r>
      <w:r>
        <w:rPr>
          <w:rFonts w:ascii="Arial" w:hAnsi="Arial"/>
          <w:sz w:val="22"/>
        </w:rPr>
        <w:t xml:space="preserve"> covering all scopes with residual emissions strategy; (3) </w:t>
      </w:r>
      <w:r>
        <w:rPr>
          <w:rFonts w:ascii="Arial" w:hAnsi="Arial"/>
          <w:b/>
          <w:sz w:val="22"/>
        </w:rPr>
        <w:t>Interim milestones</w:t>
      </w:r>
      <w:r>
        <w:rPr>
          <w:rFonts w:ascii="Arial" w:hAnsi="Arial"/>
          <w:sz w:val="22"/>
        </w:rPr>
        <w:t xml:space="preserve"> at 2025, 2027, and 2030 to enable progress tracking and course correction; (4) </w:t>
      </w:r>
      <w:r>
        <w:rPr>
          <w:rFonts w:ascii="Arial" w:hAnsi="Arial"/>
          <w:b/>
          <w:sz w:val="22"/>
        </w:rPr>
        <w:t>Sector-specific financed emissions targets</w:t>
      </w:r>
      <w:r>
        <w:rPr>
          <w:rFonts w:ascii="Arial" w:hAnsi="Arial"/>
          <w:sz w:val="22"/>
        </w:rPr>
        <w:t xml:space="preserve"> for carbon-intensive sectors (Energy - Oil &amp; Gas, Manufacturing - Cement, Manufacturing - Steel) using PCAF-aligned attribution methodology.</w:t>
      </w:r>
    </w:p>
    <w:p>
      <w:pPr>
        <w:spacing w:after="160" w:line="276" w:lineRule="auto"/>
      </w:pPr>
      <w:r>
        <w:rPr>
          <w:rFonts w:ascii="Arial" w:hAnsi="Arial"/>
          <w:sz w:val="22"/>
        </w:rPr>
        <w:t xml:space="preserve">Based on the institution's 2024 baseline emissions profile, recommended initial targets include: </w:t>
      </w:r>
      <w:r>
        <w:rPr>
          <w:rFonts w:ascii="Arial" w:hAnsi="Arial"/>
          <w:b/>
          <w:sz w:val="22"/>
        </w:rPr>
        <w:t>Scope 1+2 (Operational):</w:t>
      </w:r>
      <w:r>
        <w:rPr>
          <w:rFonts w:ascii="Arial" w:hAnsi="Arial"/>
          <w:sz w:val="22"/>
        </w:rPr>
        <w:t xml:space="preserve"> 30% absolute reduction by 2030 versus 2024 baseline (from 48,016.873 to 33,611.811 tCO₂e), requiring annual reduction of 4.2%; </w:t>
      </w:r>
      <w:r>
        <w:rPr>
          <w:rFonts w:ascii="Arial" w:hAnsi="Arial"/>
          <w:b/>
          <w:sz w:val="22"/>
        </w:rPr>
        <w:t>Scope 3 Category 15 (Financed Emissions):</w:t>
      </w:r>
      <w:r>
        <w:rPr>
          <w:rFonts w:ascii="Arial" w:hAnsi="Arial"/>
          <w:sz w:val="22"/>
        </w:rPr>
        <w:t xml:space="preserve"> Portfolio temperature alignment target of 2.0°C by 2030 and 1.75°C by 2040, with sector-specific intensity reduction targets for high-emitting sectors (Oil &amp; Gas: 25% intensity reduction by 2030; Cement: 20% reduction; Steel: 18% reduction); </w:t>
      </w:r>
      <w:r>
        <w:rPr>
          <w:rFonts w:ascii="Arial" w:hAnsi="Arial"/>
          <w:b/>
          <w:sz w:val="22"/>
        </w:rPr>
        <w:t>Renewable Energy:</w:t>
      </w:r>
      <w:r>
        <w:rPr>
          <w:rFonts w:ascii="Arial" w:hAnsi="Arial"/>
          <w:sz w:val="22"/>
        </w:rPr>
        <w:t xml:space="preserve"> 50% of operational electricity from renewable sources by 2030 (current: minimal renewable procurement). These targets would position the institution within the range of peer commitments while reflecting the institution's current emissions profile and sectoral exposure.</w:t>
      </w:r>
    </w:p>
    <w:p>
      <w:pPr>
        <w:pStyle w:val="Heading3"/>
        <w:keepNext/>
      </w:pPr>
      <w:r>
        <w:rPr>
          <w:rFonts w:ascii="Arial" w:hAnsi="Arial"/>
          <w:b/>
          <w:color w:val="4A7AB5"/>
          <w:sz w:val="24"/>
        </w:rPr>
        <w:t>Decarbonization Levers by Scope</w:t>
      </w:r>
    </w:p>
    <w:p>
      <w:pPr>
        <w:spacing w:after="160" w:line="276" w:lineRule="auto"/>
      </w:pPr>
      <w:r>
        <w:rPr>
          <w:rFonts w:ascii="Arial" w:hAnsi="Arial"/>
          <w:b/>
          <w:sz w:val="22"/>
        </w:rPr>
        <w:t>Own Operations (Scope 1+2):</w:t>
      </w:r>
      <w:r>
        <w:rPr>
          <w:rFonts w:ascii="Arial" w:hAnsi="Arial"/>
          <w:sz w:val="22"/>
        </w:rPr>
        <w:t xml:space="preserve"> Primary decarbonization levers include: (1) </w:t>
      </w:r>
      <w:r>
        <w:rPr>
          <w:rFonts w:ascii="Arial" w:hAnsi="Arial"/>
          <w:b/>
          <w:sz w:val="22"/>
        </w:rPr>
        <w:t>Energy efficiency</w:t>
      </w:r>
      <w:r>
        <w:rPr>
          <w:rFonts w:ascii="Arial" w:hAnsi="Arial"/>
          <w:sz w:val="22"/>
        </w:rPr>
        <w:t xml:space="preserve"> — LED retrofitting, HVAC optimization, and building management systems across 200+ branches, with expected 15–20% electricity reduction (reference: BRI achieved 19.49% electricity savings via green building program); (2) </w:t>
      </w:r>
      <w:r>
        <w:rPr>
          <w:rFonts w:ascii="Arial" w:hAnsi="Arial"/>
          <w:b/>
          <w:sz w:val="22"/>
        </w:rPr>
        <w:t>Fuel switching</w:t>
      </w:r>
      <w:r>
        <w:rPr>
          <w:rFonts w:ascii="Arial" w:hAnsi="Arial"/>
          <w:sz w:val="22"/>
        </w:rPr>
        <w:t xml:space="preserve"> — transition from diesel generators to biodiesel B35+ for backup power, reducing Scope 1 diesel emissions by approximately 30%; (3) </w:t>
      </w:r>
      <w:r>
        <w:rPr>
          <w:rFonts w:ascii="Arial" w:hAnsi="Arial"/>
          <w:b/>
          <w:sz w:val="22"/>
        </w:rPr>
        <w:t>Electrification</w:t>
      </w:r>
      <w:r>
        <w:rPr>
          <w:rFonts w:ascii="Arial" w:hAnsi="Arial"/>
          <w:sz w:val="22"/>
        </w:rPr>
        <w:t xml:space="preserve"> — conversion of vehicle fleet to electric vehicles for urban operations (reference: BRI deployed 118 EV cars and 150 electric motorcycles); (4) </w:t>
      </w:r>
      <w:r>
        <w:rPr>
          <w:rFonts w:ascii="Arial" w:hAnsi="Arial"/>
          <w:b/>
          <w:sz w:val="22"/>
        </w:rPr>
        <w:t>Renewable energy procurement</w:t>
      </w:r>
      <w:r>
        <w:rPr>
          <w:rFonts w:ascii="Arial" w:hAnsi="Arial"/>
          <w:sz w:val="22"/>
        </w:rPr>
        <w:t xml:space="preserve"> — power purchase agreements (PPAs) with renewable energy providers and on-site solar installation at high-consumption facilities (reference: DBS achieved 62% renewable energy through PPAs and RECs); (5) </w:t>
      </w:r>
      <w:r>
        <w:rPr>
          <w:rFonts w:ascii="Arial" w:hAnsi="Arial"/>
          <w:b/>
          <w:sz w:val="22"/>
        </w:rPr>
        <w:t>Green building certification</w:t>
      </w:r>
      <w:r>
        <w:rPr>
          <w:rFonts w:ascii="Arial" w:hAnsi="Arial"/>
          <w:sz w:val="22"/>
        </w:rPr>
        <w:t xml:space="preserve"> — pursue GBCI Gold certification for new headquarters and major branches (reference: BRI Green Network initiative).</w:t>
      </w:r>
    </w:p>
    <w:p>
      <w:pPr>
        <w:spacing w:after="160" w:line="276" w:lineRule="auto"/>
      </w:pPr>
      <w:r>
        <w:rPr>
          <w:rFonts w:ascii="Arial" w:hAnsi="Arial"/>
          <w:b/>
          <w:sz w:val="22"/>
        </w:rPr>
        <w:t>Value Chain (Scope 3 Category 15 — Financed Emissions):</w:t>
      </w:r>
      <w:r>
        <w:rPr>
          <w:rFonts w:ascii="Arial" w:hAnsi="Arial"/>
          <w:sz w:val="22"/>
        </w:rPr>
        <w:t xml:space="preserve"> Decarbonization of the lending portfolio requires: (1) </w:t>
      </w:r>
      <w:r>
        <w:rPr>
          <w:rFonts w:ascii="Arial" w:hAnsi="Arial"/>
          <w:b/>
          <w:sz w:val="22"/>
        </w:rPr>
        <w:t>Enhanced ESRM screening</w:t>
      </w:r>
      <w:r>
        <w:rPr>
          <w:rFonts w:ascii="Arial" w:hAnsi="Arial"/>
          <w:sz w:val="22"/>
        </w:rPr>
        <w:t xml:space="preserve"> — integrate carbon intensity thresholds into credit approval processes for new loans in carbon-intensive sectors; (2) </w:t>
      </w:r>
      <w:r>
        <w:rPr>
          <w:rFonts w:ascii="Arial" w:hAnsi="Arial"/>
          <w:b/>
          <w:sz w:val="22"/>
        </w:rPr>
        <w:t>Sectoral credit policies</w:t>
      </w:r>
      <w:r>
        <w:rPr>
          <w:rFonts w:ascii="Arial" w:hAnsi="Arial"/>
          <w:sz w:val="22"/>
        </w:rPr>
        <w:t xml:space="preserve"> — establish exposure limits and phase-out timelines for coal power generation, coal mining, and unconventional oil &amp; gas (reference: BCA implemented sectoral policies for coal, palm oil, cement, and O&amp;G); (3) </w:t>
      </w:r>
      <w:r>
        <w:rPr>
          <w:rFonts w:ascii="Arial" w:hAnsi="Arial"/>
          <w:b/>
          <w:sz w:val="22"/>
        </w:rPr>
        <w:t>Client engagement program</w:t>
      </w:r>
      <w:r>
        <w:rPr>
          <w:rFonts w:ascii="Arial" w:hAnsi="Arial"/>
          <w:sz w:val="22"/>
        </w:rPr>
        <w:t xml:space="preserve"> — structured dialogue with top 20 emitting borrowers (representing 43.56% of financed emissions from Oil &amp; Gas sector alone) to support transition planning and access to green finance; (4) </w:t>
      </w:r>
      <w:r>
        <w:rPr>
          <w:rFonts w:ascii="Arial" w:hAnsi="Arial"/>
          <w:b/>
          <w:sz w:val="22"/>
        </w:rPr>
        <w:t>Green finance mobilization</w:t>
      </w:r>
      <w:r>
        <w:rPr>
          <w:rFonts w:ascii="Arial" w:hAnsi="Arial"/>
          <w:sz w:val="22"/>
        </w:rPr>
        <w:t xml:space="preserve"> — target 30% of new lending to green/transition activities by 2030, including renewable energy projects, energy efficiency upgrades, and sustainable infrastructure; (5) </w:t>
      </w:r>
      <w:r>
        <w:rPr>
          <w:rFonts w:ascii="Arial" w:hAnsi="Arial"/>
          <w:b/>
          <w:sz w:val="22"/>
        </w:rPr>
        <w:t>Portfolio temperature alignment</w:t>
      </w:r>
      <w:r>
        <w:rPr>
          <w:rFonts w:ascii="Arial" w:hAnsi="Arial"/>
          <w:sz w:val="22"/>
        </w:rPr>
        <w:t xml:space="preserve"> — annual measurement and disclosure of portfolio temperature score using PCAF methodology, with trajectory toward 1.75°C by 2040.</w:t>
      </w:r>
    </w:p>
    <w:p>
      <w:pPr>
        <w:pStyle w:val="Heading3"/>
        <w:keepNext/>
      </w:pPr>
      <w:r>
        <w:rPr>
          <w:rFonts w:ascii="Arial" w:hAnsi="Arial"/>
          <w:b/>
          <w:color w:val="4A7AB5"/>
          <w:sz w:val="24"/>
        </w:rPr>
        <w:t>Alignment with Indonesia's Nationally Determined Contribution (NDC)</w:t>
      </w:r>
    </w:p>
    <w:p>
      <w:pPr>
        <w:spacing w:after="160" w:line="276" w:lineRule="auto"/>
      </w:pPr>
      <w:r>
        <w:rPr>
          <w:rFonts w:ascii="Arial" w:hAnsi="Arial"/>
          <w:sz w:val="22"/>
        </w:rPr>
        <w:t>Indonesia's Enhanced NDC (2022) commits to unconditional greenhouse gas emissions reduction of 31.89% below business-as-usual by 2030, with conditional reduction of 43.2% subject to international support, and long-term net-zero emissions by 2060 or sooner. Presidential Regulation No. 98/2021 on Nilai Ekonomi Karbon (Carbon Economic Value) establishes the regulatory framework for carbon pricing and emissions trading. For the financial sector, alignment with national climate commitments requires portfolio decarbonization trajectories consistent with Indonesia's sectoral pathways, particularly for energy, industry, and transportation sectors. A 30% operational emissions reduction target by 2030 from 2024 baseline would require an annual reduction rate of approximately 5.8% per year. The institution's current trajectory of 4.07% intensity reduction (2024 versus 2023) demonstrates progress, though this occurred without strategic target framework. Closing the gap to NDC-aligned trajectory requires acceleration of approximately 1.4x from current pace, achievable through systematic implementation of the decarbonization levers outlined above. For financed emissions, alignment requires sector-specific engagement strategies that support borrowers' transition to low-carbon business models consistent with Indonesia's sectoral NDC pathways.</w:t>
      </w:r>
    </w:p>
    <w:p>
      <w:r>
        <w:rPr>
          <w:rFonts w:ascii="Arial" w:hAnsi="Arial"/>
          <w:b/>
          <w:sz w:val="20"/>
        </w:rPr>
        <w:t>Table 14: Table 1: Recommended Climate Target Architecture (2024 Baseline)</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Target Category</w:t>
            </w:r>
          </w:p>
        </w:tc>
        <w:tc>
          <w:tcPr>
            <w:tcW w:type="dxa" w:w="1290"/>
            <w:shd w:fill="1B3A6B" w:val="clear"/>
          </w:tcPr>
          <w:p>
            <w:r>
              <w:rPr>
                <w:rFonts w:ascii="Arial" w:hAnsi="Arial"/>
                <w:b/>
                <w:color w:val="FFFFFF"/>
                <w:sz w:val="18"/>
              </w:rPr>
              <w:t>Scope Coverage</w:t>
            </w:r>
          </w:p>
        </w:tc>
        <w:tc>
          <w:tcPr>
            <w:tcW w:type="dxa" w:w="1290"/>
            <w:shd w:fill="1B3A6B" w:val="clear"/>
          </w:tcPr>
          <w:p>
            <w:r>
              <w:rPr>
                <w:rFonts w:ascii="Arial" w:hAnsi="Arial"/>
                <w:b/>
                <w:color w:val="FFFFFF"/>
                <w:sz w:val="18"/>
              </w:rPr>
              <w:t>Target Metric</w:t>
            </w:r>
          </w:p>
        </w:tc>
        <w:tc>
          <w:tcPr>
            <w:tcW w:type="dxa" w:w="1290"/>
            <w:shd w:fill="1B3A6B" w:val="clear"/>
          </w:tcPr>
          <w:p>
            <w:r>
              <w:rPr>
                <w:rFonts w:ascii="Arial" w:hAnsi="Arial"/>
                <w:b/>
                <w:color w:val="FFFFFF"/>
                <w:sz w:val="18"/>
              </w:rPr>
              <w:t>2024 Baseline</w:t>
            </w:r>
          </w:p>
        </w:tc>
        <w:tc>
          <w:tcPr>
            <w:tcW w:type="dxa" w:w="1290"/>
            <w:shd w:fill="1B3A6B" w:val="clear"/>
          </w:tcPr>
          <w:p>
            <w:r>
              <w:rPr>
                <w:rFonts w:ascii="Arial" w:hAnsi="Arial"/>
                <w:b/>
                <w:color w:val="FFFFFF"/>
                <w:sz w:val="18"/>
              </w:rPr>
              <w:t>2030 Target</w:t>
            </w:r>
          </w:p>
        </w:tc>
        <w:tc>
          <w:tcPr>
            <w:tcW w:type="dxa" w:w="1290"/>
            <w:shd w:fill="1B3A6B" w:val="clear"/>
          </w:tcPr>
          <w:p>
            <w:r>
              <w:rPr>
                <w:rFonts w:ascii="Arial" w:hAnsi="Arial"/>
                <w:b/>
                <w:color w:val="FFFFFF"/>
                <w:sz w:val="18"/>
              </w:rPr>
              <w:t>Annual Reduction Rate</w:t>
            </w:r>
          </w:p>
        </w:tc>
        <w:tc>
          <w:tcPr>
            <w:tcW w:type="dxa" w:w="1290"/>
            <w:shd w:fill="1B3A6B" w:val="clear"/>
          </w:tcPr>
          <w:p>
            <w:r>
              <w:rPr>
                <w:rFonts w:ascii="Arial" w:hAnsi="Arial"/>
                <w:b/>
                <w:color w:val="FFFFFF"/>
                <w:sz w:val="18"/>
              </w:rPr>
              <w:t>Alignment</w:t>
            </w:r>
          </w:p>
        </w:tc>
      </w:tr>
      <w:tr>
        <w:tc>
          <w:tcPr>
            <w:tcW w:type="dxa" w:w="1290"/>
          </w:tcPr>
          <w:p>
            <w:r>
              <w:rPr>
                <w:rFonts w:ascii="Arial" w:hAnsi="Arial"/>
                <w:sz w:val="18"/>
              </w:rPr>
              <w:t>Operational Emissions (Absolute)</w:t>
            </w:r>
          </w:p>
        </w:tc>
        <w:tc>
          <w:tcPr>
            <w:tcW w:type="dxa" w:w="1290"/>
          </w:tcPr>
          <w:p>
            <w:r>
              <w:rPr>
                <w:rFonts w:ascii="Arial" w:hAnsi="Arial"/>
                <w:sz w:val="18"/>
              </w:rPr>
              <w:t>Scope 1 + 2</w:t>
            </w:r>
          </w:p>
        </w:tc>
        <w:tc>
          <w:tcPr>
            <w:tcW w:type="dxa" w:w="1290"/>
          </w:tcPr>
          <w:p>
            <w:r>
              <w:rPr>
                <w:rFonts w:ascii="Arial" w:hAnsi="Arial"/>
                <w:sz w:val="18"/>
              </w:rPr>
              <w:t>tCO₂e</w:t>
            </w:r>
          </w:p>
        </w:tc>
        <w:tc>
          <w:tcPr>
            <w:tcW w:type="dxa" w:w="1290"/>
          </w:tcPr>
          <w:p>
            <w:pPr>
              <w:jc w:val="right"/>
            </w:pPr>
            <w:r>
              <w:rPr>
                <w:rFonts w:ascii="Arial" w:hAnsi="Arial"/>
                <w:sz w:val="18"/>
              </w:rPr>
              <w:t>48,016.873</w:t>
            </w:r>
          </w:p>
        </w:tc>
        <w:tc>
          <w:tcPr>
            <w:tcW w:type="dxa" w:w="1290"/>
          </w:tcPr>
          <w:p>
            <w:pPr>
              <w:jc w:val="right"/>
            </w:pPr>
            <w:r>
              <w:rPr>
                <w:rFonts w:ascii="Arial" w:hAnsi="Arial"/>
                <w:sz w:val="18"/>
              </w:rPr>
              <w:t>33,611.811</w:t>
            </w:r>
          </w:p>
        </w:tc>
        <w:tc>
          <w:tcPr>
            <w:tcW w:type="dxa" w:w="1290"/>
          </w:tcPr>
          <w:p>
            <w:pPr>
              <w:jc w:val="right"/>
            </w:pPr>
            <w:r>
              <w:rPr>
                <w:rFonts w:ascii="Arial" w:hAnsi="Arial"/>
                <w:sz w:val="18"/>
              </w:rPr>
              <w:t>4.2%</w:t>
            </w:r>
          </w:p>
        </w:tc>
        <w:tc>
          <w:tcPr>
            <w:tcW w:type="dxa" w:w="1290"/>
          </w:tcPr>
          <w:p>
            <w:r>
              <w:rPr>
                <w:rFonts w:ascii="Arial" w:hAnsi="Arial"/>
                <w:sz w:val="18"/>
              </w:rPr>
              <w:t>SBTi 1.5°C</w:t>
            </w:r>
          </w:p>
        </w:tc>
      </w:tr>
      <w:tr>
        <w:tc>
          <w:tcPr>
            <w:tcW w:type="dxa" w:w="1290"/>
            <w:shd w:fill="F2F6FC" w:val="clear"/>
          </w:tcPr>
          <w:p>
            <w:r>
              <w:rPr>
                <w:rFonts w:ascii="Arial" w:hAnsi="Arial"/>
                <w:sz w:val="18"/>
              </w:rPr>
              <w:t>Operational Emissions (Intensity)</w:t>
            </w:r>
          </w:p>
        </w:tc>
        <w:tc>
          <w:tcPr>
            <w:tcW w:type="dxa" w:w="1290"/>
            <w:shd w:fill="F2F6FC" w:val="clear"/>
          </w:tcPr>
          <w:p>
            <w:r>
              <w:rPr>
                <w:rFonts w:ascii="Arial" w:hAnsi="Arial"/>
                <w:sz w:val="18"/>
              </w:rPr>
              <w:t>Scope 1 + 2</w:t>
            </w:r>
          </w:p>
        </w:tc>
        <w:tc>
          <w:tcPr>
            <w:tcW w:type="dxa" w:w="1290"/>
            <w:shd w:fill="F2F6FC" w:val="clear"/>
          </w:tcPr>
          <w:p>
            <w:r>
              <w:rPr>
                <w:rFonts w:ascii="Arial" w:hAnsi="Arial"/>
                <w:sz w:val="18"/>
              </w:rPr>
              <w:t>tCO₂e per FTE</w:t>
            </w:r>
          </w:p>
        </w:tc>
        <w:tc>
          <w:tcPr>
            <w:tcW w:type="dxa" w:w="1290"/>
            <w:shd w:fill="F2F6FC" w:val="clear"/>
          </w:tcPr>
          <w:p>
            <w:pPr>
              <w:jc w:val="right"/>
            </w:pPr>
            <w:r>
              <w:rPr>
                <w:rFonts w:ascii="Arial" w:hAnsi="Arial"/>
                <w:sz w:val="18"/>
              </w:rPr>
              <w:t>1.9209</w:t>
            </w:r>
          </w:p>
        </w:tc>
        <w:tc>
          <w:tcPr>
            <w:tcW w:type="dxa" w:w="1290"/>
            <w:shd w:fill="F2F6FC" w:val="clear"/>
          </w:tcPr>
          <w:p>
            <w:pPr>
              <w:jc w:val="right"/>
            </w:pPr>
            <w:r>
              <w:rPr>
                <w:rFonts w:ascii="Arial" w:hAnsi="Arial"/>
                <w:sz w:val="18"/>
              </w:rPr>
              <w:t>1.3446</w:t>
            </w:r>
          </w:p>
        </w:tc>
        <w:tc>
          <w:tcPr>
            <w:tcW w:type="dxa" w:w="1290"/>
            <w:shd w:fill="F2F6FC" w:val="clear"/>
          </w:tcPr>
          <w:p>
            <w:pPr>
              <w:jc w:val="right"/>
            </w:pPr>
            <w:r>
              <w:rPr>
                <w:rFonts w:ascii="Arial" w:hAnsi="Arial"/>
                <w:sz w:val="18"/>
              </w:rPr>
              <w:t>4.2%</w:t>
            </w:r>
          </w:p>
        </w:tc>
        <w:tc>
          <w:tcPr>
            <w:tcW w:type="dxa" w:w="1290"/>
            <w:shd w:fill="F2F6FC" w:val="clear"/>
          </w:tcPr>
          <w:p>
            <w:r>
              <w:rPr>
                <w:rFonts w:ascii="Arial" w:hAnsi="Arial"/>
                <w:sz w:val="18"/>
              </w:rPr>
              <w:t>IFRS S2 Para 29(b)</w:t>
            </w:r>
          </w:p>
        </w:tc>
      </w:tr>
      <w:tr>
        <w:tc>
          <w:tcPr>
            <w:tcW w:type="dxa" w:w="1290"/>
          </w:tcPr>
          <w:p>
            <w:r>
              <w:rPr>
                <w:rFonts w:ascii="Arial" w:hAnsi="Arial"/>
                <w:sz w:val="18"/>
              </w:rPr>
              <w:t>Financed Emissions (Portfolio Temp)</w:t>
            </w:r>
          </w:p>
        </w:tc>
        <w:tc>
          <w:tcPr>
            <w:tcW w:type="dxa" w:w="1290"/>
          </w:tcPr>
          <w:p>
            <w:r>
              <w:rPr>
                <w:rFonts w:ascii="Arial" w:hAnsi="Arial"/>
                <w:sz w:val="18"/>
              </w:rPr>
              <w:t>Scope 3 Cat 15</w:t>
            </w:r>
          </w:p>
        </w:tc>
        <w:tc>
          <w:tcPr>
            <w:tcW w:type="dxa" w:w="1290"/>
          </w:tcPr>
          <w:p>
            <w:r>
              <w:rPr>
                <w:rFonts w:ascii="Arial" w:hAnsi="Arial"/>
                <w:sz w:val="18"/>
              </w:rPr>
              <w:t>°C alignment</w:t>
            </w:r>
          </w:p>
        </w:tc>
        <w:tc>
          <w:tcPr>
            <w:tcW w:type="dxa" w:w="1290"/>
          </w:tcPr>
          <w:p>
            <w:r>
              <w:rPr>
                <w:rFonts w:ascii="Arial" w:hAnsi="Arial"/>
                <w:sz w:val="18"/>
              </w:rPr>
              <w:t>Not measured</w:t>
            </w:r>
          </w:p>
        </w:tc>
        <w:tc>
          <w:tcPr>
            <w:tcW w:type="dxa" w:w="1290"/>
          </w:tcPr>
          <w:p>
            <w:r>
              <w:rPr>
                <w:rFonts w:ascii="Arial" w:hAnsi="Arial"/>
                <w:sz w:val="18"/>
              </w:rPr>
              <w:t>2.0°C</w:t>
            </w:r>
          </w:p>
        </w:tc>
        <w:tc>
          <w:tcPr>
            <w:tcW w:type="dxa" w:w="1290"/>
          </w:tcPr>
          <w:p>
            <w:r>
              <w:rPr>
                <w:rFonts w:ascii="Arial" w:hAnsi="Arial"/>
                <w:sz w:val="18"/>
              </w:rPr>
              <w:t>0.05°C/year</w:t>
            </w:r>
          </w:p>
        </w:tc>
        <w:tc>
          <w:tcPr>
            <w:tcW w:type="dxa" w:w="1290"/>
          </w:tcPr>
          <w:p>
            <w:r>
              <w:rPr>
                <w:rFonts w:ascii="Arial" w:hAnsi="Arial"/>
                <w:sz w:val="18"/>
              </w:rPr>
              <w:t>SBTi FI Standard</w:t>
            </w:r>
          </w:p>
        </w:tc>
      </w:tr>
      <w:tr>
        <w:tc>
          <w:tcPr>
            <w:tcW w:type="dxa" w:w="1290"/>
            <w:shd w:fill="F2F6FC" w:val="clear"/>
          </w:tcPr>
          <w:p>
            <w:r>
              <w:rPr>
                <w:rFonts w:ascii="Arial" w:hAnsi="Arial"/>
                <w:sz w:val="18"/>
              </w:rPr>
              <w:t>Financed Emissions (Sector: Oil &amp; Gas)</w:t>
            </w:r>
          </w:p>
        </w:tc>
        <w:tc>
          <w:tcPr>
            <w:tcW w:type="dxa" w:w="1290"/>
            <w:shd w:fill="F2F6FC" w:val="clear"/>
          </w:tcPr>
          <w:p>
            <w:r>
              <w:rPr>
                <w:rFonts w:ascii="Arial" w:hAnsi="Arial"/>
                <w:sz w:val="18"/>
              </w:rPr>
              <w:t>Scope 3 Cat 15</w:t>
            </w:r>
          </w:p>
        </w:tc>
        <w:tc>
          <w:tcPr>
            <w:tcW w:type="dxa" w:w="1290"/>
            <w:shd w:fill="F2F6FC" w:val="clear"/>
          </w:tcPr>
          <w:p>
            <w:r>
              <w:rPr>
                <w:rFonts w:ascii="Arial" w:hAnsi="Arial"/>
                <w:sz w:val="18"/>
              </w:rPr>
              <w:t>tCO₂e per IDR bn</w:t>
            </w:r>
          </w:p>
        </w:tc>
        <w:tc>
          <w:tcPr>
            <w:tcW w:type="dxa" w:w="1290"/>
            <w:shd w:fill="F2F6FC" w:val="clear"/>
          </w:tcPr>
          <w:p>
            <w:pPr>
              <w:jc w:val="right"/>
            </w:pPr>
            <w:r>
              <w:rPr>
                <w:rFonts w:ascii="Arial" w:hAnsi="Arial"/>
                <w:sz w:val="18"/>
              </w:rPr>
              <w:t>93.242</w:t>
            </w:r>
          </w:p>
        </w:tc>
        <w:tc>
          <w:tcPr>
            <w:tcW w:type="dxa" w:w="1290"/>
            <w:shd w:fill="F2F6FC" w:val="clear"/>
          </w:tcPr>
          <w:p>
            <w:pPr>
              <w:jc w:val="right"/>
            </w:pPr>
            <w:r>
              <w:rPr>
                <w:rFonts w:ascii="Arial" w:hAnsi="Arial"/>
                <w:sz w:val="18"/>
              </w:rPr>
              <w:t>69.932</w:t>
            </w:r>
          </w:p>
        </w:tc>
        <w:tc>
          <w:tcPr>
            <w:tcW w:type="dxa" w:w="1290"/>
            <w:shd w:fill="F2F6FC" w:val="clear"/>
          </w:tcPr>
          <w:p>
            <w:pPr>
              <w:jc w:val="right"/>
            </w:pPr>
            <w:r>
              <w:rPr>
                <w:rFonts w:ascii="Arial" w:hAnsi="Arial"/>
                <w:sz w:val="18"/>
              </w:rPr>
              <w:t>4.5%</w:t>
            </w:r>
          </w:p>
        </w:tc>
        <w:tc>
          <w:tcPr>
            <w:tcW w:type="dxa" w:w="1290"/>
            <w:shd w:fill="F2F6FC" w:val="clear"/>
          </w:tcPr>
          <w:p>
            <w:r>
              <w:rPr>
                <w:rFonts w:ascii="Arial" w:hAnsi="Arial"/>
                <w:sz w:val="18"/>
              </w:rPr>
              <w:t>IEA NZE 2050</w:t>
            </w:r>
          </w:p>
        </w:tc>
      </w:tr>
      <w:tr>
        <w:tc>
          <w:tcPr>
            <w:tcW w:type="dxa" w:w="1290"/>
          </w:tcPr>
          <w:p>
            <w:r>
              <w:rPr>
                <w:rFonts w:ascii="Arial" w:hAnsi="Arial"/>
                <w:sz w:val="18"/>
              </w:rPr>
              <w:t>Financed Emissions (Sector: Cement)</w:t>
            </w:r>
          </w:p>
        </w:tc>
        <w:tc>
          <w:tcPr>
            <w:tcW w:type="dxa" w:w="1290"/>
          </w:tcPr>
          <w:p>
            <w:r>
              <w:rPr>
                <w:rFonts w:ascii="Arial" w:hAnsi="Arial"/>
                <w:sz w:val="18"/>
              </w:rPr>
              <w:t>Scope 3 Cat 15</w:t>
            </w:r>
          </w:p>
        </w:tc>
        <w:tc>
          <w:tcPr>
            <w:tcW w:type="dxa" w:w="1290"/>
          </w:tcPr>
          <w:p>
            <w:r>
              <w:rPr>
                <w:rFonts w:ascii="Arial" w:hAnsi="Arial"/>
                <w:sz w:val="18"/>
              </w:rPr>
              <w:t>tCO₂e per IDR bn</w:t>
            </w:r>
          </w:p>
        </w:tc>
        <w:tc>
          <w:tcPr>
            <w:tcW w:type="dxa" w:w="1290"/>
          </w:tcPr>
          <w:p>
            <w:pPr>
              <w:jc w:val="right"/>
            </w:pPr>
            <w:r>
              <w:rPr>
                <w:rFonts w:ascii="Arial" w:hAnsi="Arial"/>
                <w:sz w:val="18"/>
              </w:rPr>
              <w:t>53.9927</w:t>
            </w:r>
          </w:p>
        </w:tc>
        <w:tc>
          <w:tcPr>
            <w:tcW w:type="dxa" w:w="1290"/>
          </w:tcPr>
          <w:p>
            <w:pPr>
              <w:jc w:val="right"/>
            </w:pPr>
            <w:r>
              <w:rPr>
                <w:rFonts w:ascii="Arial" w:hAnsi="Arial"/>
                <w:sz w:val="18"/>
              </w:rPr>
              <w:t>43.194</w:t>
            </w:r>
          </w:p>
        </w:tc>
        <w:tc>
          <w:tcPr>
            <w:tcW w:type="dxa" w:w="1290"/>
          </w:tcPr>
          <w:p>
            <w:pPr>
              <w:jc w:val="right"/>
            </w:pPr>
            <w:r>
              <w:rPr>
                <w:rFonts w:ascii="Arial" w:hAnsi="Arial"/>
                <w:sz w:val="18"/>
              </w:rPr>
              <w:t>3.7%</w:t>
            </w:r>
          </w:p>
        </w:tc>
        <w:tc>
          <w:tcPr>
            <w:tcW w:type="dxa" w:w="1290"/>
          </w:tcPr>
          <w:p>
            <w:r>
              <w:rPr>
                <w:rFonts w:ascii="Arial" w:hAnsi="Arial"/>
                <w:sz w:val="18"/>
              </w:rPr>
              <w:t>IEA NZE 2050</w:t>
            </w:r>
          </w:p>
        </w:tc>
      </w:tr>
      <w:tr>
        <w:tc>
          <w:tcPr>
            <w:tcW w:type="dxa" w:w="1290"/>
            <w:shd w:fill="F2F6FC" w:val="clear"/>
          </w:tcPr>
          <w:p>
            <w:r>
              <w:rPr>
                <w:rFonts w:ascii="Arial" w:hAnsi="Arial"/>
                <w:sz w:val="18"/>
              </w:rPr>
              <w:t>Financed Emissions (Sector: Steel)</w:t>
            </w:r>
          </w:p>
        </w:tc>
        <w:tc>
          <w:tcPr>
            <w:tcW w:type="dxa" w:w="1290"/>
            <w:shd w:fill="F2F6FC" w:val="clear"/>
          </w:tcPr>
          <w:p>
            <w:r>
              <w:rPr>
                <w:rFonts w:ascii="Arial" w:hAnsi="Arial"/>
                <w:sz w:val="18"/>
              </w:rPr>
              <w:t>Scope 3 Cat 15</w:t>
            </w:r>
          </w:p>
        </w:tc>
        <w:tc>
          <w:tcPr>
            <w:tcW w:type="dxa" w:w="1290"/>
            <w:shd w:fill="F2F6FC" w:val="clear"/>
          </w:tcPr>
          <w:p>
            <w:r>
              <w:rPr>
                <w:rFonts w:ascii="Arial" w:hAnsi="Arial"/>
                <w:sz w:val="18"/>
              </w:rPr>
              <w:t>tCO₂e per IDR bn</w:t>
            </w:r>
          </w:p>
        </w:tc>
        <w:tc>
          <w:tcPr>
            <w:tcW w:type="dxa" w:w="1290"/>
            <w:shd w:fill="F2F6FC" w:val="clear"/>
          </w:tcPr>
          <w:p>
            <w:pPr>
              <w:jc w:val="right"/>
            </w:pPr>
            <w:r>
              <w:rPr>
                <w:rFonts w:ascii="Arial" w:hAnsi="Arial"/>
                <w:sz w:val="18"/>
              </w:rPr>
              <w:t>32.2175</w:t>
            </w:r>
          </w:p>
        </w:tc>
        <w:tc>
          <w:tcPr>
            <w:tcW w:type="dxa" w:w="1290"/>
            <w:shd w:fill="F2F6FC" w:val="clear"/>
          </w:tcPr>
          <w:p>
            <w:pPr>
              <w:jc w:val="right"/>
            </w:pPr>
            <w:r>
              <w:rPr>
                <w:rFonts w:ascii="Arial" w:hAnsi="Arial"/>
                <w:sz w:val="18"/>
              </w:rPr>
              <w:t>26.418</w:t>
            </w:r>
          </w:p>
        </w:tc>
        <w:tc>
          <w:tcPr>
            <w:tcW w:type="dxa" w:w="1290"/>
            <w:shd w:fill="F2F6FC" w:val="clear"/>
          </w:tcPr>
          <w:p>
            <w:pPr>
              <w:jc w:val="right"/>
            </w:pPr>
            <w:r>
              <w:rPr>
                <w:rFonts w:ascii="Arial" w:hAnsi="Arial"/>
                <w:sz w:val="18"/>
              </w:rPr>
              <w:t>3.3%</w:t>
            </w:r>
          </w:p>
        </w:tc>
        <w:tc>
          <w:tcPr>
            <w:tcW w:type="dxa" w:w="1290"/>
            <w:shd w:fill="F2F6FC" w:val="clear"/>
          </w:tcPr>
          <w:p>
            <w:r>
              <w:rPr>
                <w:rFonts w:ascii="Arial" w:hAnsi="Arial"/>
                <w:sz w:val="18"/>
              </w:rPr>
              <w:t>IEA NZE 2050</w:t>
            </w:r>
          </w:p>
        </w:tc>
      </w:tr>
      <w:tr>
        <w:tc>
          <w:tcPr>
            <w:tcW w:type="dxa" w:w="1290"/>
          </w:tcPr>
          <w:p>
            <w:r>
              <w:rPr>
                <w:rFonts w:ascii="Arial" w:hAnsi="Arial"/>
                <w:sz w:val="18"/>
              </w:rPr>
              <w:t>Renewable Energy Procurement</w:t>
            </w:r>
          </w:p>
        </w:tc>
        <w:tc>
          <w:tcPr>
            <w:tcW w:type="dxa" w:w="1290"/>
          </w:tcPr>
          <w:p>
            <w:r>
              <w:rPr>
                <w:rFonts w:ascii="Arial" w:hAnsi="Arial"/>
                <w:sz w:val="18"/>
              </w:rPr>
              <w:t>Scope 2</w:t>
            </w:r>
          </w:p>
        </w:tc>
        <w:tc>
          <w:tcPr>
            <w:tcW w:type="dxa" w:w="1290"/>
          </w:tcPr>
          <w:p>
            <w:r>
              <w:rPr>
                <w:rFonts w:ascii="Arial" w:hAnsi="Arial"/>
                <w:sz w:val="18"/>
              </w:rPr>
              <w:t>% of electricity</w:t>
            </w:r>
          </w:p>
        </w:tc>
        <w:tc>
          <w:tcPr>
            <w:tcW w:type="dxa" w:w="1290"/>
          </w:tcPr>
          <w:p>
            <w:r>
              <w:rPr>
                <w:rFonts w:ascii="Arial" w:hAnsi="Arial"/>
                <w:sz w:val="18"/>
              </w:rPr>
              <w:t>~0%</w:t>
            </w:r>
          </w:p>
        </w:tc>
        <w:tc>
          <w:tcPr>
            <w:tcW w:type="dxa" w:w="1290"/>
          </w:tcPr>
          <w:p>
            <w:pPr>
              <w:jc w:val="right"/>
            </w:pPr>
            <w:r>
              <w:rPr>
                <w:rFonts w:ascii="Arial" w:hAnsi="Arial"/>
                <w:sz w:val="18"/>
              </w:rPr>
              <w:t>50%</w:t>
            </w:r>
          </w:p>
        </w:tc>
        <w:tc>
          <w:tcPr>
            <w:tcW w:type="dxa" w:w="1290"/>
          </w:tcPr>
          <w:p>
            <w:r>
              <w:rPr>
                <w:rFonts w:ascii="Arial" w:hAnsi="Arial"/>
                <w:sz w:val="18"/>
              </w:rPr>
              <w:t>+8.3pp/year</w:t>
            </w:r>
          </w:p>
        </w:tc>
        <w:tc>
          <w:tcPr>
            <w:tcW w:type="dxa" w:w="1290"/>
          </w:tcPr>
          <w:p>
            <w:r>
              <w:rPr>
                <w:rFonts w:ascii="Arial" w:hAnsi="Arial"/>
                <w:sz w:val="18"/>
              </w:rPr>
              <w:t>RE100</w:t>
            </w:r>
          </w:p>
        </w:tc>
      </w:tr>
    </w:tbl>
    <w:p>
      <w:r>
        <w:rPr>
          <w:rFonts w:ascii="Arial" w:hAnsi="Arial"/>
          <w:i/>
          <w:sz w:val="16"/>
        </w:rPr>
        <w:t>Source: Targets are illustrative recommendations based on SBTi Financial Institutions Net-Zero Standard and peer benchmarks. Formal target-setting requires Board approval and SBTi validation process.</w:t>
      </w:r>
    </w:p>
    <w:p/>
    <w:p>
      <w:r>
        <w:rPr>
          <w:rFonts w:ascii="Arial" w:hAnsi="Arial"/>
          <w:b/>
          <w:sz w:val="20"/>
        </w:rPr>
        <w:t>Table 16: Table 2: Peer Benchmark — Climate Target Commitments (Indonesian &amp; Regional FIs)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SBTi Status</w:t>
            </w:r>
          </w:p>
        </w:tc>
        <w:tc>
          <w:tcPr>
            <w:tcW w:type="dxa" w:w="1505"/>
            <w:shd w:fill="1B3A6B" w:val="clear"/>
          </w:tcPr>
          <w:p>
            <w:r>
              <w:rPr>
                <w:rFonts w:ascii="Arial" w:hAnsi="Arial"/>
                <w:b/>
                <w:color w:val="FFFFFF"/>
                <w:sz w:val="18"/>
              </w:rPr>
              <w:t>Net Zero Target Year</w:t>
            </w:r>
          </w:p>
        </w:tc>
        <w:tc>
          <w:tcPr>
            <w:tcW w:type="dxa" w:w="1505"/>
            <w:shd w:fill="1B3A6B" w:val="clear"/>
          </w:tcPr>
          <w:p>
            <w:r>
              <w:rPr>
                <w:rFonts w:ascii="Arial" w:hAnsi="Arial"/>
                <w:b/>
                <w:color w:val="FFFFFF"/>
                <w:sz w:val="18"/>
              </w:rPr>
              <w:t>Interim Target (2030)</w:t>
            </w:r>
          </w:p>
        </w:tc>
        <w:tc>
          <w:tcPr>
            <w:tcW w:type="dxa" w:w="1505"/>
            <w:shd w:fill="1B3A6B" w:val="clear"/>
          </w:tcPr>
          <w:p>
            <w:r>
              <w:rPr>
                <w:rFonts w:ascii="Arial" w:hAnsi="Arial"/>
                <w:b/>
                <w:color w:val="FFFFFF"/>
                <w:sz w:val="18"/>
              </w:rPr>
              <w:t>Financed Emissions Coverage</w:t>
            </w:r>
          </w:p>
        </w:tc>
        <w:tc>
          <w:tcPr>
            <w:tcW w:type="dxa" w:w="1505"/>
            <w:shd w:fill="1B3A6B" w:val="clear"/>
          </w:tcPr>
          <w:p>
            <w:r>
              <w:rPr>
                <w:rFonts w:ascii="Arial" w:hAnsi="Arial"/>
                <w:b/>
                <w:color w:val="FFFFFF"/>
                <w:sz w:val="18"/>
              </w:rPr>
              <w:t>Renewable Energy Target</w:t>
            </w:r>
          </w:p>
        </w:tc>
      </w:tr>
      <w:tr>
        <w:tc>
          <w:tcPr>
            <w:tcW w:type="dxa" w:w="1505"/>
          </w:tcPr>
          <w:p>
            <w:r>
              <w:rPr>
                <w:rFonts w:ascii="Arial" w:hAnsi="Arial"/>
                <w:sz w:val="18"/>
              </w:rPr>
              <w:t>Bank Rakyat Indonesia (BRI)</w:t>
            </w:r>
          </w:p>
        </w:tc>
        <w:tc>
          <w:tcPr>
            <w:tcW w:type="dxa" w:w="1505"/>
          </w:tcPr>
          <w:p>
            <w:r>
              <w:rPr>
                <w:rFonts w:ascii="Arial" w:hAnsi="Arial"/>
                <w:sz w:val="18"/>
              </w:rPr>
              <w:t>Committed (2023)</w:t>
            </w:r>
          </w:p>
        </w:tc>
        <w:tc>
          <w:tcPr>
            <w:tcW w:type="dxa" w:w="1505"/>
          </w:tcPr>
          <w:p>
            <w:r>
              <w:rPr>
                <w:rFonts w:ascii="Arial" w:hAnsi="Arial"/>
                <w:sz w:val="18"/>
              </w:rPr>
              <w:t>Not disclosed</w:t>
            </w:r>
          </w:p>
        </w:tc>
        <w:tc>
          <w:tcPr>
            <w:tcW w:type="dxa" w:w="1505"/>
          </w:tcPr>
          <w:p>
            <w:r>
              <w:rPr>
                <w:rFonts w:ascii="Arial" w:hAnsi="Arial"/>
                <w:sz w:val="18"/>
              </w:rPr>
              <w:t>Portfolio temp 1.75°C by 2040</w:t>
            </w:r>
          </w:p>
        </w:tc>
        <w:tc>
          <w:tcPr>
            <w:tcW w:type="dxa" w:w="1505"/>
          </w:tcPr>
          <w:p>
            <w:r>
              <w:rPr>
                <w:rFonts w:ascii="Arial" w:hAnsi="Arial"/>
                <w:sz w:val="18"/>
              </w:rPr>
              <w:t>Yes (PCAF)</w:t>
            </w:r>
          </w:p>
        </w:tc>
        <w:tc>
          <w:tcPr>
            <w:tcW w:type="dxa" w:w="1505"/>
          </w:tcPr>
          <w:p>
            <w:r>
              <w:rPr>
                <w:rFonts w:ascii="Arial" w:hAnsi="Arial"/>
                <w:sz w:val="18"/>
              </w:rPr>
              <w:t>Not disclosed</w:t>
            </w:r>
          </w:p>
        </w:tc>
      </w:tr>
      <w:tr>
        <w:tc>
          <w:tcPr>
            <w:tcW w:type="dxa" w:w="1505"/>
            <w:shd w:fill="F2F6FC" w:val="clear"/>
          </w:tcPr>
          <w:p>
            <w:r>
              <w:rPr>
                <w:rFonts w:ascii="Arial" w:hAnsi="Arial"/>
                <w:sz w:val="18"/>
              </w:rPr>
              <w:t>DBS Bank (Singapore)</w:t>
            </w:r>
          </w:p>
        </w:tc>
        <w:tc>
          <w:tcPr>
            <w:tcW w:type="dxa" w:w="1505"/>
            <w:shd w:fill="F2F6FC" w:val="clear"/>
          </w:tcPr>
          <w:p>
            <w:r>
              <w:rPr>
                <w:rFonts w:ascii="Arial" w:hAnsi="Arial"/>
                <w:sz w:val="18"/>
              </w:rPr>
              <w:t>Validated</w:t>
            </w:r>
          </w:p>
        </w:tc>
        <w:tc>
          <w:tcPr>
            <w:tcW w:type="dxa" w:w="1505"/>
            <w:shd w:fill="F2F6FC" w:val="clear"/>
          </w:tcPr>
          <w:p>
            <w:pPr>
              <w:jc w:val="right"/>
            </w:pPr>
            <w:r>
              <w:rPr>
                <w:rFonts w:ascii="Arial" w:hAnsi="Arial"/>
                <w:sz w:val="18"/>
              </w:rPr>
              <w:t>2050</w:t>
            </w:r>
          </w:p>
        </w:tc>
        <w:tc>
          <w:tcPr>
            <w:tcW w:type="dxa" w:w="1505"/>
            <w:shd w:fill="F2F6FC" w:val="clear"/>
          </w:tcPr>
          <w:p>
            <w:r>
              <w:rPr>
                <w:rFonts w:ascii="Arial" w:hAnsi="Arial"/>
                <w:sz w:val="18"/>
              </w:rPr>
              <w:t>Operational: 50% reduction vs 2020</w:t>
            </w:r>
          </w:p>
        </w:tc>
        <w:tc>
          <w:tcPr>
            <w:tcW w:type="dxa" w:w="1505"/>
            <w:shd w:fill="F2F6FC" w:val="clear"/>
          </w:tcPr>
          <w:p>
            <w:r>
              <w:rPr>
                <w:rFonts w:ascii="Arial" w:hAnsi="Arial"/>
                <w:sz w:val="18"/>
              </w:rPr>
              <w:t>Yes (9 sectors)</w:t>
            </w:r>
          </w:p>
        </w:tc>
        <w:tc>
          <w:tcPr>
            <w:tcW w:type="dxa" w:w="1505"/>
            <w:shd w:fill="F2F6FC" w:val="clear"/>
          </w:tcPr>
          <w:p>
            <w:r>
              <w:rPr>
                <w:rFonts w:ascii="Arial" w:hAnsi="Arial"/>
                <w:sz w:val="18"/>
              </w:rPr>
              <w:t>100% by 2030 (RE100)</w:t>
            </w:r>
          </w:p>
        </w:tc>
      </w:tr>
      <w:tr>
        <w:tc>
          <w:tcPr>
            <w:tcW w:type="dxa" w:w="1505"/>
          </w:tcPr>
          <w:p>
            <w:r>
              <w:rPr>
                <w:rFonts w:ascii="Arial" w:hAnsi="Arial"/>
                <w:sz w:val="18"/>
              </w:rPr>
              <w:t>Bank Central Asia (BCA)</w:t>
            </w:r>
          </w:p>
        </w:tc>
        <w:tc>
          <w:tcPr>
            <w:tcW w:type="dxa" w:w="1505"/>
          </w:tcPr>
          <w:p>
            <w:r>
              <w:rPr>
                <w:rFonts w:ascii="Arial" w:hAnsi="Arial"/>
                <w:sz w:val="18"/>
              </w:rPr>
              <w:t>Not committed</w:t>
            </w:r>
          </w:p>
        </w:tc>
        <w:tc>
          <w:tcPr>
            <w:tcW w:type="dxa" w:w="1505"/>
          </w:tcPr>
          <w:p>
            <w:r>
              <w:rPr>
                <w:rFonts w:ascii="Arial" w:hAnsi="Arial"/>
                <w:sz w:val="18"/>
              </w:rPr>
              <w:t>Not disclosed</w:t>
            </w:r>
          </w:p>
        </w:tc>
        <w:tc>
          <w:tcPr>
            <w:tcW w:type="dxa" w:w="1505"/>
          </w:tcPr>
          <w:p>
            <w:r>
              <w:rPr>
                <w:rFonts w:ascii="Arial" w:hAnsi="Arial"/>
                <w:sz w:val="18"/>
              </w:rPr>
              <w:t>Sectoral credit policies (coal, palm oil, cement, O&amp;G)</w:t>
            </w:r>
          </w:p>
        </w:tc>
        <w:tc>
          <w:tcPr>
            <w:tcW w:type="dxa" w:w="1505"/>
          </w:tcPr>
          <w:p>
            <w:r>
              <w:rPr>
                <w:rFonts w:ascii="Arial" w:hAnsi="Arial"/>
                <w:sz w:val="18"/>
              </w:rPr>
              <w:t>Partial</w:t>
            </w:r>
          </w:p>
        </w:tc>
        <w:tc>
          <w:tcPr>
            <w:tcW w:type="dxa" w:w="1505"/>
          </w:tcPr>
          <w:p>
            <w:r>
              <w:rPr>
                <w:rFonts w:ascii="Arial" w:hAnsi="Arial"/>
                <w:sz w:val="18"/>
              </w:rPr>
              <w:t>Not disclosed</w:t>
            </w:r>
          </w:p>
        </w:tc>
      </w:tr>
      <w:tr>
        <w:tc>
          <w:tcPr>
            <w:tcW w:type="dxa" w:w="1505"/>
            <w:shd w:fill="F2F6FC" w:val="clear"/>
          </w:tcPr>
          <w:p>
            <w:r>
              <w:rPr>
                <w:rFonts w:ascii="Arial" w:hAnsi="Arial"/>
                <w:sz w:val="18"/>
              </w:rPr>
              <w:t>Generic Financial Institution</w:t>
            </w:r>
          </w:p>
        </w:tc>
        <w:tc>
          <w:tcPr>
            <w:tcW w:type="dxa" w:w="1505"/>
            <w:shd w:fill="F2F6FC" w:val="clear"/>
          </w:tcPr>
          <w:p>
            <w:r>
              <w:rPr>
                <w:rFonts w:ascii="Arial" w:hAnsi="Arial"/>
                <w:sz w:val="18"/>
              </w:rPr>
              <w:t>❌ Not committed</w:t>
            </w:r>
          </w:p>
        </w:tc>
        <w:tc>
          <w:tcPr>
            <w:tcW w:type="dxa" w:w="1505"/>
            <w:shd w:fill="F2F6FC" w:val="clear"/>
          </w:tcPr>
          <w:p>
            <w:r>
              <w:rPr>
                <w:rFonts w:ascii="Arial" w:hAnsi="Arial"/>
                <w:sz w:val="18"/>
              </w:rPr>
              <w:t>❌ Not set</w:t>
            </w:r>
          </w:p>
        </w:tc>
        <w:tc>
          <w:tcPr>
            <w:tcW w:type="dxa" w:w="1505"/>
            <w:shd w:fill="F2F6FC" w:val="clear"/>
          </w:tcPr>
          <w:p>
            <w:r>
              <w:rPr>
                <w:rFonts w:ascii="Arial" w:hAnsi="Arial"/>
                <w:sz w:val="18"/>
              </w:rPr>
              <w:t>❌ Not set</w:t>
            </w:r>
          </w:p>
        </w:tc>
        <w:tc>
          <w:tcPr>
            <w:tcW w:type="dxa" w:w="1505"/>
            <w:shd w:fill="F2F6FC" w:val="clear"/>
          </w:tcPr>
          <w:p>
            <w:r>
              <w:rPr>
                <w:rFonts w:ascii="Arial" w:hAnsi="Arial"/>
                <w:sz w:val="18"/>
              </w:rPr>
              <w:t>❌ Not set</w:t>
            </w:r>
          </w:p>
        </w:tc>
        <w:tc>
          <w:tcPr>
            <w:tcW w:type="dxa" w:w="1505"/>
            <w:shd w:fill="F2F6FC" w:val="clear"/>
          </w:tcPr>
          <w:p>
            <w:r>
              <w:rPr>
                <w:rFonts w:ascii="Arial" w:hAnsi="Arial"/>
                <w:sz w:val="18"/>
              </w:rPr>
              <w:t>❌ Not set</w:t>
            </w:r>
          </w:p>
        </w:tc>
      </w:tr>
    </w:tbl>
    <w:p>
      <w:r>
        <w:rPr>
          <w:rFonts w:ascii="Arial" w:hAnsi="Arial"/>
          <w:i/>
          <w:sz w:val="16"/>
        </w:rPr>
        <w:t>Source: Source: Public sustainability reports and SBTi database (accessed 2024). BRI is the first Indonesian financial institution to commit to SBTi.</w:t>
      </w:r>
    </w:p>
    <w:p/>
    <w:p>
      <w:r>
        <w:rPr>
          <w:rFonts w:ascii="Arial" w:hAnsi="Arial"/>
          <w:b/>
          <w:sz w:val="20"/>
        </w:rPr>
        <w:t>Table 18: Table 3: Decarbonization Initiatives — Expected Impact (Illustrative)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Initiative</w:t>
            </w:r>
          </w:p>
        </w:tc>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Implementation Timeline</w:t>
            </w:r>
          </w:p>
        </w:tc>
        <w:tc>
          <w:tcPr>
            <w:tcW w:type="dxa" w:w="1505"/>
            <w:shd w:fill="1B3A6B" w:val="clear"/>
          </w:tcPr>
          <w:p>
            <w:r>
              <w:rPr>
                <w:rFonts w:ascii="Arial" w:hAnsi="Arial"/>
                <w:b/>
                <w:color w:val="FFFFFF"/>
                <w:sz w:val="18"/>
              </w:rPr>
              <w:t>Expected Annual Reduction (tCO₂e)</w:t>
            </w:r>
          </w:p>
        </w:tc>
        <w:tc>
          <w:tcPr>
            <w:tcW w:type="dxa" w:w="1505"/>
            <w:shd w:fill="1B3A6B" w:val="clear"/>
          </w:tcPr>
          <w:p>
            <w:r>
              <w:rPr>
                <w:rFonts w:ascii="Arial" w:hAnsi="Arial"/>
                <w:b/>
                <w:color w:val="FFFFFF"/>
                <w:sz w:val="18"/>
              </w:rPr>
              <w:t>Estimated Investment (IDR million)</w:t>
            </w:r>
          </w:p>
        </w:tc>
        <w:tc>
          <w:tcPr>
            <w:tcW w:type="dxa" w:w="1505"/>
            <w:shd w:fill="1B3A6B" w:val="clear"/>
          </w:tcPr>
          <w:p>
            <w:r>
              <w:rPr>
                <w:rFonts w:ascii="Arial" w:hAnsi="Arial"/>
                <w:b/>
                <w:color w:val="FFFFFF"/>
                <w:sz w:val="18"/>
              </w:rPr>
              <w:t>Peer Reference</w:t>
            </w:r>
          </w:p>
        </w:tc>
      </w:tr>
      <w:tr>
        <w:tc>
          <w:tcPr>
            <w:tcW w:type="dxa" w:w="1505"/>
          </w:tcPr>
          <w:p>
            <w:r>
              <w:rPr>
                <w:rFonts w:ascii="Arial" w:hAnsi="Arial"/>
                <w:sz w:val="18"/>
              </w:rPr>
              <w:t>Solar panel installation (20 branches)</w:t>
            </w:r>
          </w:p>
        </w:tc>
        <w:tc>
          <w:tcPr>
            <w:tcW w:type="dxa" w:w="1505"/>
          </w:tcPr>
          <w:p>
            <w:r>
              <w:rPr>
                <w:rFonts w:ascii="Arial" w:hAnsi="Arial"/>
                <w:sz w:val="18"/>
              </w:rPr>
              <w:t>Scope 2</w:t>
            </w:r>
          </w:p>
        </w:tc>
        <w:tc>
          <w:tcPr>
            <w:tcW w:type="dxa" w:w="1505"/>
          </w:tcPr>
          <w:p>
            <w:r>
              <w:rPr>
                <w:rFonts w:ascii="Arial" w:hAnsi="Arial"/>
                <w:sz w:val="18"/>
              </w:rPr>
              <w:t>2025–2026</w:t>
            </w:r>
          </w:p>
        </w:tc>
        <w:tc>
          <w:tcPr>
            <w:tcW w:type="dxa" w:w="1505"/>
          </w:tcPr>
          <w:p>
            <w:r>
              <w:rPr>
                <w:rFonts w:ascii="Arial" w:hAnsi="Arial"/>
                <w:sz w:val="18"/>
              </w:rPr>
              <w:t>450–600</w:t>
            </w:r>
          </w:p>
        </w:tc>
        <w:tc>
          <w:tcPr>
            <w:tcW w:type="dxa" w:w="1505"/>
          </w:tcPr>
          <w:p>
            <w:r>
              <w:rPr>
                <w:rFonts w:ascii="Arial" w:hAnsi="Arial"/>
                <w:sz w:val="18"/>
              </w:rPr>
              <w:t>15,000–20,000</w:t>
            </w:r>
          </w:p>
        </w:tc>
        <w:tc>
          <w:tcPr>
            <w:tcW w:type="dxa" w:w="1505"/>
          </w:tcPr>
          <w:p>
            <w:r>
              <w:rPr>
                <w:rFonts w:ascii="Arial" w:hAnsi="Arial"/>
                <w:sz w:val="18"/>
              </w:rPr>
              <w:t>BRI Green Network</w:t>
            </w:r>
          </w:p>
        </w:tc>
      </w:tr>
      <w:tr>
        <w:tc>
          <w:tcPr>
            <w:tcW w:type="dxa" w:w="1505"/>
            <w:shd w:fill="F2F6FC" w:val="clear"/>
          </w:tcPr>
          <w:p>
            <w:r>
              <w:rPr>
                <w:rFonts w:ascii="Arial" w:hAnsi="Arial"/>
                <w:sz w:val="18"/>
              </w:rPr>
              <w:t>LED retrofit + HVAC optimization (all branches)</w:t>
            </w:r>
          </w:p>
        </w:tc>
        <w:tc>
          <w:tcPr>
            <w:tcW w:type="dxa" w:w="1505"/>
            <w:shd w:fill="F2F6FC" w:val="clear"/>
          </w:tcPr>
          <w:p>
            <w:r>
              <w:rPr>
                <w:rFonts w:ascii="Arial" w:hAnsi="Arial"/>
                <w:sz w:val="18"/>
              </w:rPr>
              <w:t>Scope 2</w:t>
            </w:r>
          </w:p>
        </w:tc>
        <w:tc>
          <w:tcPr>
            <w:tcW w:type="dxa" w:w="1505"/>
            <w:shd w:fill="F2F6FC" w:val="clear"/>
          </w:tcPr>
          <w:p>
            <w:r>
              <w:rPr>
                <w:rFonts w:ascii="Arial" w:hAnsi="Arial"/>
                <w:sz w:val="18"/>
              </w:rPr>
              <w:t>2025–2027</w:t>
            </w:r>
          </w:p>
        </w:tc>
        <w:tc>
          <w:tcPr>
            <w:tcW w:type="dxa" w:w="1505"/>
            <w:shd w:fill="F2F6FC" w:val="clear"/>
          </w:tcPr>
          <w:p>
            <w:r>
              <w:rPr>
                <w:rFonts w:ascii="Arial" w:hAnsi="Arial"/>
                <w:sz w:val="18"/>
              </w:rPr>
              <w:t>6,500–8,000</w:t>
            </w:r>
          </w:p>
        </w:tc>
        <w:tc>
          <w:tcPr>
            <w:tcW w:type="dxa" w:w="1505"/>
            <w:shd w:fill="F2F6FC" w:val="clear"/>
          </w:tcPr>
          <w:p>
            <w:r>
              <w:rPr>
                <w:rFonts w:ascii="Arial" w:hAnsi="Arial"/>
                <w:sz w:val="18"/>
              </w:rPr>
              <w:t>8,000–12,000</w:t>
            </w:r>
          </w:p>
        </w:tc>
        <w:tc>
          <w:tcPr>
            <w:tcW w:type="dxa" w:w="1505"/>
            <w:shd w:fill="F2F6FC" w:val="clear"/>
          </w:tcPr>
          <w:p>
            <w:r>
              <w:rPr>
                <w:rFonts w:ascii="Arial" w:hAnsi="Arial"/>
                <w:sz w:val="18"/>
              </w:rPr>
              <w:t>BRI 19.49% savings</w:t>
            </w:r>
          </w:p>
        </w:tc>
      </w:tr>
      <w:tr>
        <w:tc>
          <w:tcPr>
            <w:tcW w:type="dxa" w:w="1505"/>
          </w:tcPr>
          <w:p>
            <w:r>
              <w:rPr>
                <w:rFonts w:ascii="Arial" w:hAnsi="Arial"/>
                <w:sz w:val="18"/>
              </w:rPr>
              <w:t>EV fleet conversion (50 vehicles)</w:t>
            </w:r>
          </w:p>
        </w:tc>
        <w:tc>
          <w:tcPr>
            <w:tcW w:type="dxa" w:w="1505"/>
          </w:tcPr>
          <w:p>
            <w:r>
              <w:rPr>
                <w:rFonts w:ascii="Arial" w:hAnsi="Arial"/>
                <w:sz w:val="18"/>
              </w:rPr>
              <w:t>Scope 1</w:t>
            </w:r>
          </w:p>
        </w:tc>
        <w:tc>
          <w:tcPr>
            <w:tcW w:type="dxa" w:w="1505"/>
          </w:tcPr>
          <w:p>
            <w:r>
              <w:rPr>
                <w:rFonts w:ascii="Arial" w:hAnsi="Arial"/>
                <w:sz w:val="18"/>
              </w:rPr>
              <w:t>2026–2028</w:t>
            </w:r>
          </w:p>
        </w:tc>
        <w:tc>
          <w:tcPr>
            <w:tcW w:type="dxa" w:w="1505"/>
          </w:tcPr>
          <w:p>
            <w:r>
              <w:rPr>
                <w:rFonts w:ascii="Arial" w:hAnsi="Arial"/>
                <w:sz w:val="18"/>
              </w:rPr>
              <w:t>180–220</w:t>
            </w:r>
          </w:p>
        </w:tc>
        <w:tc>
          <w:tcPr>
            <w:tcW w:type="dxa" w:w="1505"/>
          </w:tcPr>
          <w:p>
            <w:r>
              <w:rPr>
                <w:rFonts w:ascii="Arial" w:hAnsi="Arial"/>
                <w:sz w:val="18"/>
              </w:rPr>
              <w:t>25,000–35,000</w:t>
            </w:r>
          </w:p>
        </w:tc>
        <w:tc>
          <w:tcPr>
            <w:tcW w:type="dxa" w:w="1505"/>
          </w:tcPr>
          <w:p>
            <w:r>
              <w:rPr>
                <w:rFonts w:ascii="Arial" w:hAnsi="Arial"/>
                <w:sz w:val="18"/>
              </w:rPr>
              <w:t>BRI 118 EVs</w:t>
            </w:r>
          </w:p>
        </w:tc>
      </w:tr>
      <w:tr>
        <w:tc>
          <w:tcPr>
            <w:tcW w:type="dxa" w:w="1505"/>
            <w:shd w:fill="F2F6FC" w:val="clear"/>
          </w:tcPr>
          <w:p>
            <w:r>
              <w:rPr>
                <w:rFonts w:ascii="Arial" w:hAnsi="Arial"/>
                <w:sz w:val="18"/>
              </w:rPr>
              <w:t>Biodiesel B35+ for gensets</w:t>
            </w:r>
          </w:p>
        </w:tc>
        <w:tc>
          <w:tcPr>
            <w:tcW w:type="dxa" w:w="1505"/>
            <w:shd w:fill="F2F6FC" w:val="clear"/>
          </w:tcPr>
          <w:p>
            <w:r>
              <w:rPr>
                <w:rFonts w:ascii="Arial" w:hAnsi="Arial"/>
                <w:sz w:val="18"/>
              </w:rPr>
              <w:t>Scope 1</w:t>
            </w:r>
          </w:p>
        </w:tc>
        <w:tc>
          <w:tcPr>
            <w:tcW w:type="dxa" w:w="1505"/>
            <w:shd w:fill="F2F6FC" w:val="clear"/>
          </w:tcPr>
          <w:p>
            <w:pPr>
              <w:jc w:val="right"/>
            </w:pPr>
            <w:r>
              <w:rPr>
                <w:rFonts w:ascii="Arial" w:hAnsi="Arial"/>
                <w:sz w:val="18"/>
              </w:rPr>
              <w:t>2025</w:t>
            </w:r>
          </w:p>
        </w:tc>
        <w:tc>
          <w:tcPr>
            <w:tcW w:type="dxa" w:w="1505"/>
            <w:shd w:fill="F2F6FC" w:val="clear"/>
          </w:tcPr>
          <w:p>
            <w:r>
              <w:rPr>
                <w:rFonts w:ascii="Arial" w:hAnsi="Arial"/>
                <w:sz w:val="18"/>
              </w:rPr>
              <w:t>650–750</w:t>
            </w:r>
          </w:p>
        </w:tc>
        <w:tc>
          <w:tcPr>
            <w:tcW w:type="dxa" w:w="1505"/>
            <w:shd w:fill="F2F6FC" w:val="clear"/>
          </w:tcPr>
          <w:p>
            <w:r>
              <w:rPr>
                <w:rFonts w:ascii="Arial" w:hAnsi="Arial"/>
                <w:sz w:val="18"/>
              </w:rPr>
              <w:t>Minimal (fuel switch)</w:t>
            </w:r>
          </w:p>
        </w:tc>
        <w:tc>
          <w:tcPr>
            <w:tcW w:type="dxa" w:w="1505"/>
            <w:shd w:fill="F2F6FC" w:val="clear"/>
          </w:tcPr>
          <w:p>
            <w:r>
              <w:rPr>
                <w:rFonts w:ascii="Arial" w:hAnsi="Arial"/>
                <w:sz w:val="18"/>
              </w:rPr>
              <w:t>National policy</w:t>
            </w:r>
          </w:p>
        </w:tc>
      </w:tr>
      <w:tr>
        <w:tc>
          <w:tcPr>
            <w:tcW w:type="dxa" w:w="1505"/>
          </w:tcPr>
          <w:p>
            <w:r>
              <w:rPr>
                <w:rFonts w:ascii="Arial" w:hAnsi="Arial"/>
                <w:sz w:val="18"/>
              </w:rPr>
              <w:t>Renewable energy PPA (30% coverage)</w:t>
            </w:r>
          </w:p>
        </w:tc>
        <w:tc>
          <w:tcPr>
            <w:tcW w:type="dxa" w:w="1505"/>
          </w:tcPr>
          <w:p>
            <w:r>
              <w:rPr>
                <w:rFonts w:ascii="Arial" w:hAnsi="Arial"/>
                <w:sz w:val="18"/>
              </w:rPr>
              <w:t>Scope 2</w:t>
            </w:r>
          </w:p>
        </w:tc>
        <w:tc>
          <w:tcPr>
            <w:tcW w:type="dxa" w:w="1505"/>
          </w:tcPr>
          <w:p>
            <w:r>
              <w:rPr>
                <w:rFonts w:ascii="Arial" w:hAnsi="Arial"/>
                <w:sz w:val="18"/>
              </w:rPr>
              <w:t>2026–2028</w:t>
            </w:r>
          </w:p>
        </w:tc>
        <w:tc>
          <w:tcPr>
            <w:tcW w:type="dxa" w:w="1505"/>
          </w:tcPr>
          <w:p>
            <w:r>
              <w:rPr>
                <w:rFonts w:ascii="Arial" w:hAnsi="Arial"/>
                <w:sz w:val="18"/>
              </w:rPr>
              <w:t>13,000–15,000</w:t>
            </w:r>
          </w:p>
        </w:tc>
        <w:tc>
          <w:tcPr>
            <w:tcW w:type="dxa" w:w="1505"/>
          </w:tcPr>
          <w:p>
            <w:r>
              <w:rPr>
                <w:rFonts w:ascii="Arial" w:hAnsi="Arial"/>
                <w:sz w:val="18"/>
              </w:rPr>
              <w:t>Contract-based</w:t>
            </w:r>
          </w:p>
        </w:tc>
        <w:tc>
          <w:tcPr>
            <w:tcW w:type="dxa" w:w="1505"/>
          </w:tcPr>
          <w:p>
            <w:r>
              <w:rPr>
                <w:rFonts w:ascii="Arial" w:hAnsi="Arial"/>
                <w:sz w:val="18"/>
              </w:rPr>
              <w:t>DBS 62% renewable</w:t>
            </w:r>
          </w:p>
        </w:tc>
      </w:tr>
      <w:tr>
        <w:tc>
          <w:tcPr>
            <w:tcW w:type="dxa" w:w="1505"/>
            <w:shd w:fill="F2F6FC" w:val="clear"/>
          </w:tcPr>
          <w:p>
            <w:r>
              <w:rPr>
                <w:rFonts w:ascii="Arial" w:hAnsi="Arial"/>
                <w:sz w:val="18"/>
              </w:rPr>
              <w:t>Client engagement (top 20 emitters)</w:t>
            </w:r>
          </w:p>
        </w:tc>
        <w:tc>
          <w:tcPr>
            <w:tcW w:type="dxa" w:w="1505"/>
            <w:shd w:fill="F2F6FC" w:val="clear"/>
          </w:tcPr>
          <w:p>
            <w:r>
              <w:rPr>
                <w:rFonts w:ascii="Arial" w:hAnsi="Arial"/>
                <w:sz w:val="18"/>
              </w:rPr>
              <w:t>Scope 3 Cat 15</w:t>
            </w:r>
          </w:p>
        </w:tc>
        <w:tc>
          <w:tcPr>
            <w:tcW w:type="dxa" w:w="1505"/>
            <w:shd w:fill="F2F6FC" w:val="clear"/>
          </w:tcPr>
          <w:p>
            <w:r>
              <w:rPr>
                <w:rFonts w:ascii="Arial" w:hAnsi="Arial"/>
                <w:sz w:val="18"/>
              </w:rPr>
              <w:t>2025–2030</w:t>
            </w:r>
          </w:p>
        </w:tc>
        <w:tc>
          <w:tcPr>
            <w:tcW w:type="dxa" w:w="1505"/>
            <w:shd w:fill="F2F6FC" w:val="clear"/>
          </w:tcPr>
          <w:p>
            <w:r>
              <w:rPr>
                <w:rFonts w:ascii="Arial" w:hAnsi="Arial"/>
                <w:sz w:val="18"/>
              </w:rPr>
              <w:t>500,000–750,000</w:t>
            </w:r>
          </w:p>
        </w:tc>
        <w:tc>
          <w:tcPr>
            <w:tcW w:type="dxa" w:w="1505"/>
            <w:shd w:fill="F2F6FC" w:val="clear"/>
          </w:tcPr>
          <w:p>
            <w:r>
              <w:rPr>
                <w:rFonts w:ascii="Arial" w:hAnsi="Arial"/>
                <w:sz w:val="18"/>
              </w:rPr>
              <w:t>Program cost: 5,000–8,000</w:t>
            </w:r>
          </w:p>
        </w:tc>
        <w:tc>
          <w:tcPr>
            <w:tcW w:type="dxa" w:w="1505"/>
            <w:shd w:fill="F2F6FC" w:val="clear"/>
          </w:tcPr>
          <w:p>
            <w:r>
              <w:rPr>
                <w:rFonts w:ascii="Arial" w:hAnsi="Arial"/>
                <w:sz w:val="18"/>
              </w:rPr>
              <w:t>BCA ESRM program</w:t>
            </w:r>
          </w:p>
        </w:tc>
      </w:tr>
      <w:tr>
        <w:tc>
          <w:tcPr>
            <w:tcW w:type="dxa" w:w="1505"/>
          </w:tcPr>
          <w:p>
            <w:r>
              <w:rPr>
                <w:rFonts w:ascii="Arial" w:hAnsi="Arial"/>
                <w:sz w:val="18"/>
              </w:rPr>
              <w:t>Green lending target (30% new loans)</w:t>
            </w:r>
          </w:p>
        </w:tc>
        <w:tc>
          <w:tcPr>
            <w:tcW w:type="dxa" w:w="1505"/>
          </w:tcPr>
          <w:p>
            <w:r>
              <w:rPr>
                <w:rFonts w:ascii="Arial" w:hAnsi="Arial"/>
                <w:sz w:val="18"/>
              </w:rPr>
              <w:t>Scope 3 Cat 15</w:t>
            </w:r>
          </w:p>
        </w:tc>
        <w:tc>
          <w:tcPr>
            <w:tcW w:type="dxa" w:w="1505"/>
          </w:tcPr>
          <w:p>
            <w:r>
              <w:rPr>
                <w:rFonts w:ascii="Arial" w:hAnsi="Arial"/>
                <w:sz w:val="18"/>
              </w:rPr>
              <w:t>2025–2030</w:t>
            </w:r>
          </w:p>
        </w:tc>
        <w:tc>
          <w:tcPr>
            <w:tcW w:type="dxa" w:w="1505"/>
          </w:tcPr>
          <w:p>
            <w:r>
              <w:rPr>
                <w:rFonts w:ascii="Arial" w:hAnsi="Arial"/>
                <w:sz w:val="18"/>
              </w:rPr>
              <w:t>Portfolio shift effect</w:t>
            </w:r>
          </w:p>
        </w:tc>
        <w:tc>
          <w:tcPr>
            <w:tcW w:type="dxa" w:w="1505"/>
          </w:tcPr>
          <w:p>
            <w:r>
              <w:rPr>
                <w:rFonts w:ascii="Arial" w:hAnsi="Arial"/>
                <w:sz w:val="18"/>
              </w:rPr>
              <w:t>N/A (lending activity)</w:t>
            </w:r>
          </w:p>
        </w:tc>
        <w:tc>
          <w:tcPr>
            <w:tcW w:type="dxa" w:w="1505"/>
          </w:tcPr>
          <w:p>
            <w:r>
              <w:rPr>
                <w:rFonts w:ascii="Arial" w:hAnsi="Arial"/>
                <w:sz w:val="18"/>
              </w:rPr>
              <w:t>BRI green finance</w:t>
            </w:r>
          </w:p>
        </w:tc>
      </w:tr>
    </w:tbl>
    <w:p>
      <w:r>
        <w:rPr>
          <w:rFonts w:ascii="Arial" w:hAnsi="Arial"/>
          <w:i/>
          <w:sz w:val="16"/>
        </w:rPr>
        <w:t>Source: Expected reductions are estimates based on industry benchmarks and peer implementations. Actual results depend on execution quality and external factors (grid emission factors, borrower cooperation).</w:t>
      </w:r>
    </w:p>
    <w:p/>
    <w:p/>
    <w:p>
      <w:r>
        <w:drawing>
          <wp:inline xmlns:a="http://schemas.openxmlformats.org/drawingml/2006/main" xmlns:pic="http://schemas.openxmlformats.org/drawingml/2006/picture">
            <wp:extent cx="5029200" cy="3320851"/>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320851"/>
                    </a:xfrm>
                    <a:prstGeom prst="rect"/>
                  </pic:spPr>
                </pic:pic>
              </a:graphicData>
            </a:graphic>
          </wp:inline>
        </w:drawing>
      </w:r>
    </w:p>
    <w:p>
      <w:pPr>
        <w:jc w:val="center"/>
      </w:pPr>
      <w:r>
        <w:rPr>
          <w:i/>
          <w:color w:val="666666"/>
          <w:sz w:val="18"/>
        </w:rPr>
        <w:t>Figure 6: Climate Target Maturity — Peer Comparison</w:t>
      </w:r>
    </w:p>
    <w:p>
      <w:pPr>
        <w:jc w:val="center"/>
      </w:pPr>
      <w:r>
        <w:rPr>
          <w:i/>
          <w:color w:val="757575"/>
          <w:sz w:val="18"/>
        </w:rPr>
        <w:t>Institution lags all regional peers on target-setting — BRI's SBTi commitment and DBS's validated targets demonstrate feasibility for FIs</w:t>
      </w:r>
    </w:p>
    <w:p/>
    <w:p>
      <w:r>
        <w:drawing>
          <wp:inline xmlns:a="http://schemas.openxmlformats.org/drawingml/2006/main" xmlns:pic="http://schemas.openxmlformats.org/drawingml/2006/picture">
            <wp:extent cx="5029200" cy="3332057"/>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332057"/>
                    </a:xfrm>
                    <a:prstGeom prst="rect"/>
                  </pic:spPr>
                </pic:pic>
              </a:graphicData>
            </a:graphic>
          </wp:inline>
        </w:drawing>
      </w:r>
    </w:p>
    <w:p>
      <w:pPr>
        <w:jc w:val="center"/>
      </w:pPr>
      <w:r>
        <w:rPr>
          <w:i/>
          <w:color w:val="666666"/>
          <w:sz w:val="18"/>
        </w:rPr>
        <w:t>Figure 7: Recommended Scope 1+2 Emissions Trajectory (2024-2030)</w:t>
      </w:r>
    </w:p>
    <w:p>
      <w:pPr>
        <w:jc w:val="center"/>
      </w:pPr>
      <w:r>
        <w:rPr>
          <w:i/>
          <w:color w:val="757575"/>
          <w:sz w:val="18"/>
        </w:rPr>
        <w:t>30% reduction target by 2030 requires 4.2% annual reduction — achievable through operational decarbonization levers (solar, efficiency, EVs)</w:t>
      </w:r>
    </w:p>
    <w:p/>
    <w:p>
      <w:r>
        <w:drawing>
          <wp:inline xmlns:a="http://schemas.openxmlformats.org/drawingml/2006/main" xmlns:pic="http://schemas.openxmlformats.org/drawingml/2006/picture">
            <wp:extent cx="5029200" cy="33320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2057"/>
                    </a:xfrm>
                    <a:prstGeom prst="rect"/>
                  </pic:spPr>
                </pic:pic>
              </a:graphicData>
            </a:graphic>
          </wp:inline>
        </w:drawing>
      </w:r>
    </w:p>
    <w:p>
      <w:pPr>
        <w:jc w:val="center"/>
      </w:pPr>
      <w:r>
        <w:rPr>
          <w:i/>
          <w:color w:val="666666"/>
          <w:sz w:val="18"/>
        </w:rPr>
        <w:t>Figure 8: Financed Emissions Concentration — Top 3 Sectors</w:t>
      </w:r>
    </w:p>
    <w:p>
      <w:pPr>
        <w:jc w:val="center"/>
      </w:pPr>
      <w:r>
        <w:rPr>
          <w:i/>
          <w:color w:val="757575"/>
          <w:sz w:val="18"/>
        </w:rPr>
        <w:t>85.93% of financed emissions from 20.70% of portfolio — high concentration creates both risk and decarbonization leverage opportunity</w:t>
      </w:r>
    </w:p>
    <w:p/>
    <w:p>
      <w:r>
        <w:drawing>
          <wp:inline xmlns:a="http://schemas.openxmlformats.org/drawingml/2006/main" xmlns:pic="http://schemas.openxmlformats.org/drawingml/2006/picture">
            <wp:extent cx="5029200" cy="3147926"/>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147926"/>
                    </a:xfrm>
                    <a:prstGeom prst="rect"/>
                  </pic:spPr>
                </pic:pic>
              </a:graphicData>
            </a:graphic>
          </wp:inline>
        </w:drawing>
      </w:r>
    </w:p>
    <w:p>
      <w:pPr>
        <w:jc w:val="center"/>
      </w:pPr>
      <w:r>
        <w:rPr>
          <w:i/>
          <w:color w:val="666666"/>
          <w:sz w:val="18"/>
        </w:rPr>
        <w:t>Figure 9: Expected Impact by Decarbonization Lever (Annual tCO₂e Reduction)</w:t>
      </w:r>
    </w:p>
    <w:p>
      <w:pPr>
        <w:jc w:val="center"/>
      </w:pPr>
      <w:r>
        <w:rPr>
          <w:i/>
          <w:color w:val="757575"/>
          <w:sz w:val="18"/>
        </w:rPr>
        <w:t>Renewable energy procurement offers largest single reduction lever (13,000-15,000 tCO₂e), followed by efficiency and client engagement</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targets reflects organizational gap in strategic climate governance rather than technical capability. The institution achieved 4.07% emissions intensity reduction in 2024 versus 2023 without formal targets, demonstrating that operational improvements and portfolio shifts can drive emissions reductions. However, without science-based targets and interim milestones, this progress lacks accountability framework and may not be sustained. The concentration of financed emissions in three carbon-intensive sectors (Oil &amp; Gas, Cement, Steel representing 85.93% of financed emissions) creates both risk and opportunity: these sectors offer highest decarbonization leverage but require proactive engagement strategy. Peer institutions (BRI, DBS, BCA) have established various forms of climate commitments, creating competitive disadvantage for institutions without targets in ESG ratings, investor access, and green finance market positioning.</w:t>
            </w:r>
          </w:p>
          <w:p>
            <w:r>
              <w:rPr>
                <w:b/>
                <w:sz w:val="20"/>
              </w:rPr>
              <w:t>Root Causes:</w:t>
            </w:r>
          </w:p>
          <w:p>
            <w:r>
              <w:rPr>
                <w:sz w:val="18"/>
              </w:rPr>
              <w:t>• No Board-level mandate or resolution establishing climate target-setting as strategic priority</w:t>
            </w:r>
          </w:p>
          <w:p>
            <w:r>
              <w:rPr>
                <w:sz w:val="18"/>
              </w:rPr>
              <w:t>• Absence of dedicated climate strategy function or cross-functional target-setting working group</w:t>
            </w:r>
          </w:p>
          <w:p>
            <w:r>
              <w:rPr>
                <w:sz w:val="18"/>
              </w:rPr>
              <w:t>• Lack of baseline emissions measurement infrastructure until recent PCAF implementation (average data quality score 3.36 indicates recent adoption)</w:t>
            </w:r>
          </w:p>
          <w:p>
            <w:r>
              <w:rPr>
                <w:sz w:val="18"/>
              </w:rPr>
              <w:t>• Uncertainty about appropriate target ambition level and methodology (SBTi vs internal approach) without peer benchmarking</w:t>
            </w:r>
          </w:p>
          <w:p>
            <w:r>
              <w:rPr>
                <w:sz w:val="18"/>
              </w:rPr>
              <w:t>• Perceived complexity of financed emissions target-setting given portfolio composition and data quality constraints</w:t>
            </w:r>
          </w:p>
          <w:p>
            <w:r>
              <w:rPr>
                <w:b/>
                <w:sz w:val="20"/>
              </w:rPr>
              <w:t>Risk Implications:</w:t>
            </w:r>
          </w:p>
          <w:p>
            <w:r>
              <w:rPr>
                <w:sz w:val="18"/>
              </w:rPr>
              <w:t>• **Regulatory risk**: OJK POJK 51/2017 and SEOJK 16/2021 require climate risk management; absence of targets may trigger supervisory scrutiny in future examinations. Indonesia's Presidential Regulation No. 98/2021 on Carbon Economic Value establishes framework for carbon pricing that will increase cost of unmanaged emissions.</w:t>
            </w:r>
          </w:p>
          <w:p>
            <w:r>
              <w:rPr>
                <w:sz w:val="18"/>
              </w:rPr>
              <w:t>• **Reputational risk**: Peer institutions (BRI, DBS, BCA) have established climate commitments, creating competitive disadvantage in ESG ratings (MSCI, Sustainalytics, FTSE4Good). Institutional investors increasingly screen for science-based targets as minimum threshold for investment eligibility.</w:t>
            </w:r>
          </w:p>
          <w:p>
            <w:r>
              <w:rPr>
                <w:sz w:val="18"/>
              </w:rPr>
              <w:t>• **Financial risk**: Without targets, the institution lacks framework to manage transition risk in carbon-intensive lending portfolio (Oil &amp; Gas, Cement, Steel representing 85.93% of financed emissions). Stranded asset risk in fossil fuel exposure may materialize faster than anticipated as Indonesia accelerates NDC implementation toward 2030 and 2060 net-zero commitment.</w:t>
            </w:r>
          </w:p>
          <w:p>
            <w:r>
              <w:rPr>
                <w:sz w:val="18"/>
              </w:rPr>
              <w:t>• **Market opportunity cost**: Green finance market in Indonesia projected to grow significantly as government implements carbon pricing and renewable energy incentives. Institutions without credible climate targets may lose market share in green lending, green bonds, and sustainability-linked products to competitors with established frameworks.</w:t>
            </w:r>
          </w:p>
        </w:tc>
      </w:tr>
    </w:tbl>
    <w:p/>
    <w:p/>
    <w:p>
      <w:r>
        <w:rPr>
          <w:b/>
          <w:color w:val="2E7D32"/>
          <w:sz w:val="24"/>
        </w:rPr>
        <w:t>⚡ Priority Actions</w:t>
      </w:r>
    </w:p>
    <w:p>
      <w:r>
        <w:rPr>
          <w:b/>
          <w:sz w:val="22"/>
        </w:rPr>
        <w:t>🔴 1. Submit SBTi commitment letter and initiate target validation process for Scope 1, 2, and 3 (Category 15 financed emissions). Establish Board-level resolution mandating science-based target adoption with interim milestones at 2025, 2027, 2030.</w:t>
      </w:r>
      <w:r>
        <w:rPr>
          <w:sz w:val="22"/>
        </w:rPr>
        <w:t xml:space="preserve"> (Q2 2025 (commitment), Q4 2025 (validated targets))</w:t>
      </w:r>
    </w:p>
    <w:p>
      <w:pPr>
        <w:spacing w:after="160" w:line="276" w:lineRule="auto"/>
      </w:pPr>
      <w:r>
        <w:t xml:space="preserve">    → Expected: Establishes credible climate strategy framework aligned with 1.5°C pathway. Expected to improve ESG ratings by 5-10 points (MSCI scale) and unlock access to green finance instruments. Provides accountability mechanism for emissions reduction initiatives.</w:t>
      </w:r>
    </w:p>
    <w:p>
      <w:pPr>
        <w:spacing w:after="160" w:line="276" w:lineRule="auto"/>
      </w:pPr>
      <w:r>
        <w:rPr>
          <w:rFonts w:ascii="Arial" w:hAnsi="Arial"/>
          <w:i/>
          <w:color w:val="646464"/>
          <w:sz w:val="18"/>
        </w:rPr>
        <w:t xml:space="preserve">    → Ref: BRI — First Indonesian FI to commit to SBTi (2023), portfolio temperature target 1.75°C by 2040. DBS — Validated SBTi targets, Net Zero 2050, achieved 12% YoY emissions reduction.</w:t>
      </w:r>
    </w:p>
    <w:p>
      <w:r>
        <w:rPr>
          <w:b/>
          <w:sz w:val="22"/>
        </w:rPr>
        <w:t>🔴 2. Implement immediate operational decarbonization quick wins: (1) Switch all diesel generators to biodiesel B35+ (30% Scope 1 reduction); (2) LED retrofit and HVAC optimization across 200+ branches (15% Scope 2 reduction); (3) Install solar panels at top 5 diesel-dependent facilities (FAC-0197, FAC-0198, FAC-0200, FAC-0196, FAC-0199 representing 650.3896 tCO₂e combined).</w:t>
      </w:r>
      <w:r>
        <w:rPr>
          <w:sz w:val="22"/>
        </w:rPr>
        <w:t xml:space="preserve"> (Q3 2025 (biodiesel switch), Q4 2025-Q2 2026 (LED/HVAC), Q4 2025-Q4 2026 (solar installation))</w:t>
      </w:r>
    </w:p>
    <w:p>
      <w:pPr>
        <w:spacing w:after="160" w:line="276" w:lineRule="auto"/>
      </w:pPr>
      <w:r>
        <w:t xml:space="preserve">    → Expected: Combined reduction of ~7,800-8,500 tCO₂e annually (16-18% of Scope 1+2 baseline). Biodiesel switch: ~650 tCO₂e. LED/HVAC: ~6,500 tCO₂e. Solar (5 facilities): ~650-850 tCO₂e. Payback period: 4-6 years through energy cost savings.</w:t>
      </w:r>
    </w:p>
    <w:p>
      <w:pPr>
        <w:spacing w:after="160" w:line="276" w:lineRule="auto"/>
      </w:pPr>
      <w:r>
        <w:rPr>
          <w:rFonts w:ascii="Arial" w:hAnsi="Arial"/>
          <w:i/>
          <w:color w:val="646464"/>
          <w:sz w:val="18"/>
        </w:rPr>
        <w:t xml:space="preserve">    → Ref: BRI — Achieved 19.49% electricity savings through green building program and Green Network initiative. Demonstrates feasibility of branch-level energy efficiency in Indonesian banking context.</w:t>
      </w:r>
    </w:p>
    <w:p>
      <w:r>
        <w:rPr>
          <w:b/>
          <w:sz w:val="22"/>
        </w:rPr>
        <w:t>🔴 3. Establish client engagement program for top 20 financed emissions borrowers (Oil &amp; Gas, Cement, Steel sectors). Develop transition support framework including: (1) Mandatory transition plan disclosure for loans &gt;IDR 50 billion in carbon-intensive sectors; (2) Preferential green finance rates (50-100 bps discount) for borrowers achieving verified 10% emissions reduction; (3) Annual portfolio temperature score calculation and public disclosure per PCAF methodology.</w:t>
      </w:r>
      <w:r>
        <w:rPr>
          <w:sz w:val="22"/>
        </w:rPr>
        <w:t xml:space="preserve"> (Q4 2025 (program design), Q1 2026 (pilot with 5 borrowers), Q2 2026 (full rollout))</w:t>
      </w:r>
    </w:p>
    <w:p>
      <w:pPr>
        <w:spacing w:after="160" w:line="276" w:lineRule="auto"/>
      </w:pPr>
      <w:r>
        <w:t xml:space="preserve">    → Expected: Expected 500,000-750,000 tCO₂e reduction by 2030 through portfolio composition shift and client-level emissions reductions. Reduces concentration risk in carbon-intensive sectors (currently 85.93% of financed emissions from 20.70% of portfolio). Positions institution as green finance leader in Indonesian market.</w:t>
      </w:r>
    </w:p>
    <w:p>
      <w:pPr>
        <w:spacing w:after="160" w:line="276" w:lineRule="auto"/>
      </w:pPr>
      <w:r>
        <w:rPr>
          <w:rFonts w:ascii="Arial" w:hAnsi="Arial"/>
          <w:i/>
          <w:color w:val="646464"/>
          <w:sz w:val="18"/>
        </w:rPr>
        <w:t xml:space="preserve">    → Ref: BCA — Implemented sectoral credit policies for coal, palm oil, cement, O&amp;G with enhanced due diligence. BRI — Established client engagement for transition support. DBS — Set financed emissions targets for 9 sectors with annual tracking.</w:t>
      </w:r>
    </w:p>
    <w:p>
      <w:r>
        <w:rPr>
          <w:b/>
          <w:sz w:val="22"/>
        </w:rPr>
        <w:t>🟡 4. Initiate renewable energy procurement strategy: (1) Issue RFP for power purchase agreements (PPAs) targeting 30% of operational electricity from renewable sources by 2028; (2) Evaluate Renewable Energy Certificates (RECs) for interim coverage; (3) Conduct feasibility study for on-site solar+battery at headquarters and 15 high-consumption branches.</w:t>
      </w:r>
      <w:r>
        <w:rPr>
          <w:sz w:val="22"/>
        </w:rPr>
        <w:t xml:space="preserve"> (Q3 2025 (RFP), Q1 2026 (PPA execution), Q2 2026-Q4 2028 (phased implementation))</w:t>
      </w:r>
    </w:p>
    <w:p>
      <w:pPr>
        <w:spacing w:after="160" w:line="276" w:lineRule="auto"/>
      </w:pPr>
      <w:r>
        <w:t xml:space="preserve">    → Expected: 13,000-15,000 tCO₂e annual reduction at 30% renewable coverage (Scope 2). Scales to 21,000-25,000 tCO₂e at 50% coverage by 2030. Reduces exposure to grid emission factor volatility and future carbon pricing under Presidential Regulation No. 98/2021.</w:t>
      </w:r>
    </w:p>
    <w:p>
      <w:pPr>
        <w:spacing w:after="160" w:line="276" w:lineRule="auto"/>
      </w:pPr>
      <w:r>
        <w:rPr>
          <w:rFonts w:ascii="Arial" w:hAnsi="Arial"/>
          <w:i/>
          <w:color w:val="646464"/>
          <w:sz w:val="18"/>
        </w:rPr>
        <w:t xml:space="preserve">    → Ref: DBS — Achieved 62% renewable energy through PPAs and RECs, contributing to 12% YoY emissions reduction. Demonstrates PPA feasibility in Southeast Asian regulatory context. RE100 commitment provides implementation roadmap.</w:t>
      </w:r>
    </w:p>
    <w:p/>
    <w:p>
      <w:r>
        <w:rPr>
          <w:i/>
          <w:color w:val="3D6094"/>
          <w:sz w:val="18"/>
        </w:rPr>
        <w:t>Framework references: IFRS S2 Para 33 — Climate-related targets disclosure requirement; IFRS S2 Para 33(a)–(h) — Target characteristics (metric, objective, base period, milestones); IFRS S2 Para B66 — Absolute vs intensity targets; IFRS S2 Para B68 — Gross vs net greenhouse gas emissions targets; IFRS S2 Para 14(a) — Scenario analysis including 1.5°C pathway; IFRS S2 Para 29(a) — Cross-industry metric: Absolute GHG emissions; IFRS S2 Para 29(b) — Cross-industry metric: GHG emissions intensity; SASB FN-CB-410a.3 — Financed emissions (Scope 3 Category 15)</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Recommended targets are illustrative and require formal Board approval, stakeholder consultation, and SBTi validation process before adoption.</w:t>
      </w:r>
    </w:p>
    <w:p>
      <w:pPr>
        <w:spacing w:after="160" w:line="276" w:lineRule="auto"/>
      </w:pPr>
      <w:r>
        <w:rPr>
          <w:rFonts w:ascii="Arial" w:hAnsi="Arial"/>
          <w:i/>
          <w:color w:val="646464"/>
          <w:sz w:val="18"/>
        </w:rPr>
        <w:t>Financed emissions calculated using PCAF Global Standard Part A (2022) with attribution factor based on outstanding loan amount divided by borrower enterprise value plus debt.</w:t>
      </w:r>
    </w:p>
    <w:p>
      <w:pPr>
        <w:spacing w:after="160" w:line="276" w:lineRule="auto"/>
      </w:pPr>
      <w:r>
        <w:rPr>
          <w:rFonts w:ascii="Arial" w:hAnsi="Arial"/>
          <w:i/>
          <w:color w:val="646464"/>
          <w:sz w:val="18"/>
        </w:rPr>
        <w:t>Average PCAF data quality score: 3.36 (Score 1 = highest quality, Score 5 = lowest quality). Improvement to &lt;3.0 recommended for credible target-setting.</w:t>
      </w:r>
    </w:p>
    <w:p>
      <w:pPr>
        <w:spacing w:after="160" w:line="276" w:lineRule="auto"/>
      </w:pPr>
      <w:r>
        <w:rPr>
          <w:rFonts w:ascii="Arial" w:hAnsi="Arial"/>
          <w:i/>
          <w:color w:val="646464"/>
          <w:sz w:val="18"/>
        </w:rPr>
        <w:t>Indonesia's Enhanced NDC (2022): Unconditional -31.89% vs BAU by 2030, Conditional -43.2%, Net Zero by 2060 or sooner.</w:t>
      </w:r>
    </w:p>
    <w:p>
      <w:pPr>
        <w:spacing w:after="160" w:line="276" w:lineRule="auto"/>
      </w:pPr>
      <w:r>
        <w:rPr>
          <w:rFonts w:ascii="Arial" w:hAnsi="Arial"/>
          <w:i/>
          <w:color w:val="646464"/>
          <w:sz w:val="18"/>
        </w:rPr>
        <w:t>📋 DATA PROVENANCE: Source: Strategic planning docs + Board resolutions (target data not yet established; baseline from GHG inventory) | EF: N/A | Methodology: SBTi Protocol v5 (recommended framework) | Quality: Baseline data Tier 1 (verified), Targets not yet set | Validated: 2025-01-15 | Owner: Sustainability &amp; ESG Division</w:t>
      </w:r>
    </w:p>
    <w:p>
      <w:r>
        <w:br w:type="page"/>
      </w:r>
    </w:p>
    <w:p>
      <w:pPr>
        <w:pStyle w:val="Heading1"/>
        <w:keepNext/>
        <w:spacing w:before="480" w:after="240"/>
      </w:pPr>
      <w:r>
        <w:rPr>
          <w:rFonts w:ascii="Arial" w:hAnsi="Arial"/>
          <w:b/>
          <w:color w:val="1B3A6B"/>
          <w:sz w:val="36"/>
        </w:rPr>
        <w:t>Climate-Related Metrics</w:t>
      </w:r>
    </w:p>
    <w:p>
      <w:pPr>
        <w:pStyle w:val="Heading2"/>
        <w:keepNext/>
        <w:spacing w:before="360" w:after="160"/>
      </w:pPr>
      <w:r>
        <w:rPr>
          <w:rFonts w:ascii="Arial" w:hAnsi="Arial"/>
          <w:b/>
          <w:color w:val="3D6094"/>
          <w:sz w:val="28"/>
        </w:rPr>
        <w:t>IFRS S2 Para 29(a): Scope 1 Direct GHG Emissions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3,403.0</w:t>
            </w:r>
            <w:r>
              <w:rPr>
                <w:color w:val="757575"/>
                <w:sz w:val="18"/>
              </w:rPr>
              <w:t xml:space="preserve"> tCO₂e</w:t>
            </w:r>
            <w:r>
              <w:rPr>
                <w:b/>
                <w:color w:val="C62828"/>
                <w:sz w:val="20"/>
              </w:rPr>
              <w:br/>
              <w:t>+2.36% YoY</w:t>
            </w:r>
          </w:p>
        </w:tc>
        <w:tc>
          <w:tcPr>
            <w:tcW w:type="dxa" w:w="2257"/>
            <w:shd w:fill="F2F6FA" w:val="clear"/>
          </w:tcPr>
          <w:p>
            <w:pPr>
              <w:jc w:val="center"/>
            </w:pPr>
            <w:r>
              <w:rPr>
                <w:b/>
                <w:color w:val="1B3A6B"/>
                <w:sz w:val="36"/>
              </w:rPr>
              <w:t>64.7%</w:t>
            </w:r>
            <w:r>
              <w:rPr>
                <w:color w:val="757575"/>
                <w:sz w:val="18"/>
              </w:rPr>
              <w:t xml:space="preserve"> of Scope 1</w:t>
            </w:r>
            <w:r>
              <w:rPr>
                <w:b/>
                <w:color w:val="C62828"/>
                <w:sz w:val="20"/>
              </w:rPr>
              <w:br/>
              <w:t>+3.66% YoY</w:t>
            </w:r>
          </w:p>
        </w:tc>
        <w:tc>
          <w:tcPr>
            <w:tcW w:type="dxa" w:w="2257"/>
            <w:shd w:fill="F2F6FA" w:val="clear"/>
          </w:tcPr>
          <w:p>
            <w:pPr>
              <w:jc w:val="center"/>
            </w:pPr>
            <w:r>
              <w:rPr>
                <w:b/>
                <w:color w:val="1B3A6B"/>
                <w:sz w:val="36"/>
              </w:rPr>
              <w:t>14.36</w:t>
            </w:r>
            <w:r>
              <w:rPr>
                <w:color w:val="757575"/>
                <w:sz w:val="18"/>
              </w:rPr>
              <w:t xml:space="preserve"> pp</w:t>
            </w:r>
            <w:r>
              <w:rPr>
                <w:b/>
                <w:color w:val="C62828"/>
                <w:sz w:val="20"/>
              </w:rPr>
              <w:br/>
              <w:t>Institution +2.36%, DBS -12%</w:t>
            </w:r>
          </w:p>
        </w:tc>
        <w:tc>
          <w:tcPr>
            <w:tcW w:type="dxa" w:w="2257"/>
            <w:shd w:fill="F2F6FA" w:val="clear"/>
          </w:tcPr>
          <w:p>
            <w:pPr>
              <w:jc w:val="center"/>
            </w:pPr>
            <w:r>
              <w:rPr>
                <w:b/>
                <w:color w:val="1B3A6B"/>
                <w:sz w:val="36"/>
              </w:rPr>
              <w:t>29.0%</w:t>
            </w:r>
            <w:r>
              <w:rPr>
                <w:color w:val="757575"/>
                <w:sz w:val="18"/>
              </w:rPr>
              <w:t xml:space="preserve"> of Scope 1</w:t>
            </w:r>
            <w:r>
              <w:rPr>
                <w:b/>
                <w:color w:val="2E7D32"/>
                <w:sz w:val="20"/>
              </w:rPr>
              <w:br/>
              <w:t>988.4 tCO₂e — solar+battery target</w:t>
            </w:r>
          </w:p>
        </w:tc>
      </w:tr>
      <w:tr>
        <w:tc>
          <w:tcPr>
            <w:tcW w:type="dxa" w:w="2257"/>
            <w:shd w:fill="F2F6FA" w:val="clear"/>
          </w:tcPr>
          <w:p>
            <w:pPr>
              <w:jc w:val="center"/>
            </w:pPr>
            <w:r>
              <w:rPr>
                <w:color w:val="757575"/>
                <w:sz w:val="16"/>
              </w:rPr>
              <w:t>Total Scope 1 Emissions</w:t>
            </w:r>
          </w:p>
        </w:tc>
        <w:tc>
          <w:tcPr>
            <w:tcW w:type="dxa" w:w="2257"/>
            <w:shd w:fill="F2F6FA" w:val="clear"/>
          </w:tcPr>
          <w:p>
            <w:pPr>
              <w:jc w:val="center"/>
            </w:pPr>
            <w:r>
              <w:rPr>
                <w:color w:val="757575"/>
                <w:sz w:val="16"/>
              </w:rPr>
              <w:t>Diesel Contribution</w:t>
            </w:r>
          </w:p>
        </w:tc>
        <w:tc>
          <w:tcPr>
            <w:tcW w:type="dxa" w:w="2257"/>
            <w:shd w:fill="F2F6FA" w:val="clear"/>
          </w:tcPr>
          <w:p>
            <w:pPr>
              <w:jc w:val="center"/>
            </w:pPr>
            <w:r>
              <w:rPr>
                <w:color w:val="757575"/>
                <w:sz w:val="16"/>
              </w:rPr>
              <w:t>Peer Gap (vs DBS)</w:t>
            </w:r>
          </w:p>
        </w:tc>
        <w:tc>
          <w:tcPr>
            <w:tcW w:type="dxa" w:w="2257"/>
            <w:shd w:fill="F2F6FA" w:val="clear"/>
          </w:tcPr>
          <w:p>
            <w:pPr>
              <w:jc w:val="center"/>
            </w:pPr>
            <w:r>
              <w:rPr>
                <w:color w:val="757575"/>
                <w:sz w:val="16"/>
              </w:rPr>
              <w:t>Top 10 Facilities</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(64.7%) adalah gap driver utama</w:t>
            </w:r>
          </w:p>
          <w:p>
            <w:r>
              <w:rPr>
                <w:sz w:val="20"/>
              </w:rPr>
              <w:t>Ketergantungan pada diesel generator untuk backup power di region grid-unstable mendorong emisi naik, berlawanan dengan tren peers yang adopt solar+battery dan green building. Gap ini menciptakan risiko reputasi (investor ESG) dan regulatory (OJK POJK 51 target 2030). Tanpa SBTi commitment, kredibilitas net-zero claim lemah vs BRI (first Indonesian FI dengan SBTi letter 2023).</w:t>
            </w:r>
          </w:p>
        </w:tc>
      </w:tr>
    </w:tbl>
    <w:p/>
    <w:p>
      <w:pPr>
        <w:spacing w:after="160" w:line="276" w:lineRule="auto"/>
      </w:pPr>
      <w:r>
        <w:rPr>
          <w:rFonts w:ascii="Arial" w:hAnsi="Arial"/>
          <w:sz w:val="22"/>
        </w:rPr>
        <w:t>The institution's direct (Scope 1) greenhouse gas emissions for the reporting period ending 31 December 2024 totaled 3,402.997 tCO₂e. These emissions arise from stationary combustion sources at operational facilities under the institution's operational control, comprising natural gas consumption in heating and backup power systems, and diesel fuel combustion in emergency generators and fleet vehicles. All emissions are reported in metric tonnes of carbon dioxide equivalent (tCO₂e) using global warming potential (GWP) values from the IPCC Sixth Assessment Report (AR6) over a 100-year time horizon.</w:t>
      </w:r>
    </w:p>
    <w:p>
      <w:pPr>
        <w:spacing w:after="160" w:line="276" w:lineRule="auto"/>
      </w:pPr>
      <w:r>
        <w:rPr>
          <w:rFonts w:ascii="Arial" w:hAnsi="Arial"/>
          <w:sz w:val="22"/>
        </w:rPr>
        <w:t>Natural gas combustion contributed 1,199.7924 tCO₂e (35.3% of total Scope 1), while diesel combustion accounted for 2,203.2044 tCO₂e (64.7%). The diesel-dominant emission profile reflects the institution's reliance on backup diesel generators across branch networks in regions with grid instability, as well as operational fleet vehicles for cash-in-transit and field operations. The top ten emitting facilities collectively represent 28.7% of total Scope 1 emissions, with facility FAC-0197 contributing the highest individual footprint at 147.7152 tCO₂e.</w:t>
      </w:r>
    </w:p>
    <w:p>
      <w:pPr>
        <w:spacing w:after="160" w:line="276" w:lineRule="auto"/>
      </w:pPr>
      <w:r>
        <w:rPr>
          <w:rFonts w:ascii="Arial" w:hAnsi="Arial"/>
          <w:sz w:val="22"/>
        </w:rPr>
        <w:t>Emission factors applied conform to the IPCC 2006 Guidelines for National Greenhouse Gas Inventories, supplemented by DEFRA 2025 conversion factors for fuel-specific emission intensities. Natural gas combustion applies an emission factor of 56.16 kgCO₂e/GJ (inclusive of CO₂, CH₄, and N₂O), while diesel combustion uses 2.7116 kgCO₂e/liter for stationary sources and 2.6869 kgCO₂e/liter for mobile sources. Methane (CH₄) is converted using a GWP of 29.8, and nitrous oxide (N₂O) using a GWP of 273.0, consistent with IPCC AR6 recommendations. The consolidation approach follows the operational control method per the GHG Protocol Corporate Accounting and Reporting Standard (2015 revision), whereby all facilities where the institution has operational authority over emissions-generating activities are included at 100% attribution.</w:t>
      </w:r>
    </w:p>
    <w:p>
      <w:pPr>
        <w:spacing w:after="160" w:line="276" w:lineRule="auto"/>
      </w:pPr>
      <w:r>
        <w:rPr>
          <w:rFonts w:ascii="Arial" w:hAnsi="Arial"/>
          <w:sz w:val="22"/>
        </w:rPr>
        <w:t>Scope 1 emissions increased 2.36% year-over-year from 3,324.521 tCO₂e in 2023 to 3,402.997 tCO₂e in 2024. This increase is attributable to expanded branch network operations (net addition of 12 branches during the reporting period) and increased diesel generator runtime due to grid outages in Q2 and Q3 2024 affecting Java and Sumatra regions. Natural gas consumption remained stable (+0.06%), while diesel consumption increased 3.66%. The institution's Scope 1 trajectory diverges from peer performance: DBS Group achieved a 12% year-over-year reduction through renewable energy integration and green building certifications, while Bank Rakyat Indonesia (BRI) reduced emissions by 3.2% despite network expansion through energy efficiency retrofits and solar pilot programs.</w:t>
      </w:r>
    </w:p>
    <w:p>
      <w:pPr>
        <w:spacing w:after="160" w:line="276" w:lineRule="auto"/>
      </w:pPr>
      <w:r>
        <w:rPr>
          <w:rFonts w:ascii="Arial" w:hAnsi="Arial"/>
          <w:sz w:val="22"/>
        </w:rPr>
        <w:t>Compared to the base year (2023), Scope 1 emissions have increased 2.36%, representing an absolute deviation of 78.476 tCO₂e. This upward trend is inconsistent with the institution's stated net-zero commitment timeline and requires accelerated mitigation interventions. The institution has not yet established science-based targets validated by the Science Based Targets initiative (SBTi), whereas BRI became the first Indonesian financial institution to submit an SBTi commitment letter in 2023, targeting net-zero by 2050 with interim 2030 milestones.</w:t>
      </w:r>
    </w:p>
    <w:p>
      <w:pPr>
        <w:spacing w:after="160" w:line="276" w:lineRule="auto"/>
      </w:pPr>
      <w:r>
        <w:rPr>
          <w:rFonts w:ascii="Arial" w:hAnsi="Arial"/>
          <w:sz w:val="22"/>
        </w:rPr>
        <w:t>📋 DATA PROVENANCE: Source: Facility Management System | EF: IPCC 2006 + DEFRA 2025 | Methodology: GHG Protocol Corporate Standard (2015) | Quality: Tier 1 (primary metered data) | Validated: 2025-01-15 | Owner: Sustainability &amp; ESG Division</w:t>
      </w:r>
    </w:p>
    <w:p>
      <w:r>
        <w:rPr>
          <w:rFonts w:ascii="Arial" w:hAnsi="Arial"/>
          <w:b/>
          <w:sz w:val="20"/>
        </w:rPr>
        <w:t>Table 20: Table 1: Scope 1 GHG Emissions by Source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2024 (tCO₂e)</w:t>
            </w:r>
          </w:p>
        </w:tc>
        <w:tc>
          <w:tcPr>
            <w:tcW w:type="dxa" w:w="1806"/>
            <w:shd w:fill="1B3A6B" w:val="clear"/>
          </w:tcPr>
          <w:p>
            <w:r>
              <w:rPr>
                <w:rFonts w:ascii="Arial" w:hAnsi="Arial"/>
                <w:b/>
                <w:color w:val="FFFFFF"/>
                <w:sz w:val="18"/>
              </w:rPr>
              <w:t>2023 (tCO₂e)</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 of Total Scope 1</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1,199.0321</w:t>
            </w:r>
          </w:p>
        </w:tc>
        <w:tc>
          <w:tcPr>
            <w:tcW w:type="dxa" w:w="1806"/>
          </w:tcPr>
          <w:p>
            <w:pPr>
              <w:jc w:val="right"/>
            </w:pPr>
            <w:r>
              <w:rPr>
                <w:rFonts w:ascii="Arial" w:hAnsi="Arial"/>
                <w:sz w:val="18"/>
              </w:rPr>
              <w:t>+0.06%</w:t>
            </w:r>
          </w:p>
        </w:tc>
        <w:tc>
          <w:tcPr>
            <w:tcW w:type="dxa" w:w="1806"/>
          </w:tcPr>
          <w:p>
            <w:pPr>
              <w:jc w:val="right"/>
            </w:pPr>
            <w:r>
              <w:rPr>
                <w:rFonts w:ascii="Arial" w:hAnsi="Arial"/>
                <w:sz w:val="18"/>
              </w:rPr>
              <w:t>35.3%</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+3.66%</w:t>
            </w:r>
          </w:p>
        </w:tc>
        <w:tc>
          <w:tcPr>
            <w:tcW w:type="dxa" w:w="1806"/>
            <w:shd w:fill="F2F6FC" w:val="clear"/>
          </w:tcPr>
          <w:p>
            <w:pPr>
              <w:jc w:val="right"/>
            </w:pPr>
            <w:r>
              <w:rPr>
                <w:rFonts w:ascii="Arial" w:hAnsi="Arial"/>
                <w:sz w:val="18"/>
              </w:rPr>
              <w:t>64.7%</w:t>
            </w:r>
          </w:p>
        </w:tc>
      </w:tr>
      <w:tr>
        <w:tc>
          <w:tcPr>
            <w:tcW w:type="dxa" w:w="1806"/>
          </w:tcPr>
          <w:p>
            <w:r>
              <w:rPr>
                <w:rFonts w:ascii="Arial" w:hAnsi="Arial"/>
                <w:sz w:val="18"/>
              </w:rPr>
              <w:t>**Total Scope 1**</w:t>
            </w:r>
          </w:p>
        </w:tc>
        <w:tc>
          <w:tcPr>
            <w:tcW w:type="dxa" w:w="1806"/>
          </w:tcPr>
          <w:p>
            <w:r>
              <w:rPr>
                <w:rFonts w:ascii="Arial" w:hAnsi="Arial"/>
                <w:sz w:val="18"/>
              </w:rPr>
              <w:t>**3,402.997**</w:t>
            </w:r>
          </w:p>
        </w:tc>
        <w:tc>
          <w:tcPr>
            <w:tcW w:type="dxa" w:w="1806"/>
          </w:tcPr>
          <w:p>
            <w:r>
              <w:rPr>
                <w:rFonts w:ascii="Arial" w:hAnsi="Arial"/>
                <w:sz w:val="18"/>
              </w:rPr>
              <w:t>**3,324.521**</w:t>
            </w:r>
          </w:p>
        </w:tc>
        <w:tc>
          <w:tcPr>
            <w:tcW w:type="dxa" w:w="1806"/>
          </w:tcPr>
          <w:p>
            <w:r>
              <w:rPr>
                <w:rFonts w:ascii="Arial" w:hAnsi="Arial"/>
                <w:sz w:val="18"/>
              </w:rPr>
              <w:t>**+2.36%**</w:t>
            </w:r>
          </w:p>
        </w:tc>
        <w:tc>
          <w:tcPr>
            <w:tcW w:type="dxa" w:w="1806"/>
          </w:tcPr>
          <w:p>
            <w:r>
              <w:rPr>
                <w:rFonts w:ascii="Arial" w:hAnsi="Arial"/>
                <w:sz w:val="18"/>
              </w:rPr>
              <w:t>**100.0%**</w:t>
            </w:r>
          </w:p>
        </w:tc>
      </w:tr>
    </w:tbl>
    <w:p>
      <w:r>
        <w:rPr>
          <w:rFonts w:ascii="Arial" w:hAnsi="Arial"/>
          <w:i/>
          <w:sz w:val="16"/>
        </w:rPr>
        <w:t>Source: Source: Facility Management System. Emission factors: IPCC 2006 + DEFRA 2025. GWP values: IPCC AR6 (CH₄=29.8, N₂O=273.0).</w:t>
      </w:r>
    </w:p>
    <w:p/>
    <w:p>
      <w:r>
        <w:rPr>
          <w:rFonts w:ascii="Arial" w:hAnsi="Arial"/>
          <w:b/>
          <w:sz w:val="20"/>
        </w:rPr>
        <w:t>Table 22: Table 2: Top 10 Emitting Facilities — Scope 1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54.4460</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52.0150</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70.6057</w:t>
            </w:r>
          </w:p>
        </w:tc>
        <w:tc>
          <w:tcPr>
            <w:tcW w:type="dxa" w:w="1806"/>
          </w:tcPr>
          <w:p>
            <w:pPr>
              <w:jc w:val="right"/>
            </w:pPr>
            <w:r>
              <w:rPr>
                <w:rFonts w:ascii="Arial" w:hAnsi="Arial"/>
                <w:sz w:val="18"/>
              </w:rPr>
              <w:t>23.5860</w:t>
            </w:r>
          </w:p>
        </w:tc>
        <w:tc>
          <w:tcPr>
            <w:tcW w:type="dxa" w:w="1806"/>
          </w:tcPr>
          <w:p>
            <w:pPr>
              <w:jc w:val="right"/>
            </w:pPr>
            <w:r>
              <w:rPr>
                <w:rFonts w:ascii="Arial" w:hAnsi="Arial"/>
                <w:sz w:val="18"/>
              </w:rPr>
              <w:t>47.0197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63.7580</w:t>
            </w:r>
          </w:p>
        </w:tc>
        <w:tc>
          <w:tcPr>
            <w:tcW w:type="dxa" w:w="1806"/>
          </w:tcPr>
          <w:p>
            <w:pPr>
              <w:jc w:val="right"/>
            </w:pPr>
            <w:r>
              <w:rPr>
                <w:rFonts w:ascii="Arial" w:hAnsi="Arial"/>
                <w:sz w:val="18"/>
              </w:rPr>
              <w:t>0.0000</w:t>
            </w:r>
          </w:p>
        </w:tc>
        <w:tc>
          <w:tcPr>
            <w:tcW w:type="dxa" w:w="1806"/>
          </w:tcPr>
          <w:p>
            <w:pPr>
              <w:jc w:val="right"/>
            </w:pPr>
            <w:r>
              <w:rPr>
                <w:rFonts w:ascii="Arial" w:hAnsi="Arial"/>
                <w:sz w:val="18"/>
              </w:rPr>
              <w:t>63.7580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**Top 10 Subtotal**</w:t>
            </w:r>
          </w:p>
        </w:tc>
        <w:tc>
          <w:tcPr>
            <w:tcW w:type="dxa" w:w="1806"/>
          </w:tcPr>
          <w:p>
            <w:r>
              <w:rPr>
                <w:rFonts w:ascii="Arial" w:hAnsi="Arial"/>
                <w:sz w:val="18"/>
              </w:rPr>
              <w:t>**988.4057**</w:t>
            </w:r>
          </w:p>
        </w:tc>
        <w:tc>
          <w:tcPr>
            <w:tcW w:type="dxa" w:w="1806"/>
          </w:tcPr>
          <w:p>
            <w:r>
              <w:rPr>
                <w:rFonts w:ascii="Arial" w:hAnsi="Arial"/>
                <w:sz w:val="18"/>
              </w:rPr>
              <w:t>**327.7553**</w:t>
            </w:r>
          </w:p>
        </w:tc>
        <w:tc>
          <w:tcPr>
            <w:tcW w:type="dxa" w:w="1806"/>
          </w:tcPr>
          <w:p>
            <w:r>
              <w:rPr>
                <w:rFonts w:ascii="Arial" w:hAnsi="Arial"/>
                <w:sz w:val="18"/>
              </w:rPr>
              <w:t>**660.6504**</w:t>
            </w:r>
          </w:p>
        </w:tc>
        <w:tc>
          <w:tcPr>
            <w:tcW w:type="dxa" w:w="1806"/>
          </w:tcPr>
          <w:p>
            <w:r>
              <w:rPr>
                <w:rFonts w:ascii="Arial" w:hAnsi="Arial"/>
                <w:sz w:val="18"/>
              </w:rPr>
              <w:t>—</w:t>
            </w:r>
          </w:p>
        </w:tc>
      </w:tr>
      <w:tr>
        <w:tc>
          <w:tcPr>
            <w:tcW w:type="dxa" w:w="1806"/>
            <w:shd w:fill="F2F6FC" w:val="clear"/>
          </w:tcPr>
          <w:p>
            <w:r>
              <w:rPr>
                <w:rFonts w:ascii="Arial" w:hAnsi="Arial"/>
                <w:sz w:val="18"/>
              </w:rPr>
              <w:t>**% of Total Scope 1**</w:t>
            </w:r>
          </w:p>
        </w:tc>
        <w:tc>
          <w:tcPr>
            <w:tcW w:type="dxa" w:w="1806"/>
            <w:shd w:fill="F2F6FC" w:val="clear"/>
          </w:tcPr>
          <w:p>
            <w:r>
              <w:rPr>
                <w:rFonts w:ascii="Arial" w:hAnsi="Arial"/>
                <w:sz w:val="18"/>
              </w:rPr>
              <w:t>**29.0%**</w:t>
            </w:r>
          </w:p>
        </w:tc>
        <w:tc>
          <w:tcPr>
            <w:tcW w:type="dxa" w:w="1806"/>
            <w:shd w:fill="F2F6FC" w:val="clear"/>
          </w:tcPr>
          <w:p>
            <w:r>
              <w:rPr>
                <w:rFonts w:ascii="Arial" w:hAnsi="Arial"/>
                <w:sz w:val="18"/>
              </w:rPr>
              <w:t>**27.3%**</w:t>
            </w:r>
          </w:p>
        </w:tc>
        <w:tc>
          <w:tcPr>
            <w:tcW w:type="dxa" w:w="1806"/>
            <w:shd w:fill="F2F6FC" w:val="clear"/>
          </w:tcPr>
          <w:p>
            <w:r>
              <w:rPr>
                <w:rFonts w:ascii="Arial" w:hAnsi="Arial"/>
                <w:sz w:val="18"/>
              </w:rPr>
              <w:t>**30.0%**</w:t>
            </w:r>
          </w:p>
        </w:tc>
        <w:tc>
          <w:tcPr>
            <w:tcW w:type="dxa" w:w="1806"/>
            <w:shd w:fill="F2F6FC" w:val="clear"/>
          </w:tcPr>
          <w:p>
            <w:r>
              <w:rPr>
                <w:rFonts w:ascii="Arial" w:hAnsi="Arial"/>
                <w:sz w:val="18"/>
              </w:rPr>
              <w:t>—</w:t>
            </w:r>
          </w:p>
        </w:tc>
      </w:tr>
    </w:tbl>
    <w:p>
      <w:r>
        <w:rPr>
          <w:rFonts w:ascii="Arial" w:hAnsi="Arial"/>
          <w:i/>
          <w:sz w:val="16"/>
        </w:rPr>
        <w:t>Source: Data Quality Score: 1 = Primary metered data (highest quality). Facilities ranked by total Scope 1 emissions.</w:t>
      </w:r>
    </w:p>
    <w:p/>
    <w:p/>
    <w:p>
      <w:r>
        <w:drawing>
          <wp:inline xmlns:a="http://schemas.openxmlformats.org/drawingml/2006/main" xmlns:pic="http://schemas.openxmlformats.org/drawingml/2006/picture">
            <wp:extent cx="5029200" cy="352223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522234"/>
                    </a:xfrm>
                    <a:prstGeom prst="rect"/>
                  </pic:spPr>
                </pic:pic>
              </a:graphicData>
            </a:graphic>
          </wp:inline>
        </w:drawing>
      </w:r>
    </w:p>
    <w:p>
      <w:pPr>
        <w:jc w:val="center"/>
      </w:pPr>
      <w:r>
        <w:rPr>
          <w:i/>
          <w:color w:val="666666"/>
          <w:sz w:val="18"/>
        </w:rPr>
        <w:t>Figure 10: Scope 1 Emission Sources (2024)</w:t>
      </w:r>
    </w:p>
    <w:p>
      <w:pPr>
        <w:jc w:val="center"/>
      </w:pPr>
      <w:r>
        <w:rPr>
          <w:i/>
          <w:color w:val="757575"/>
          <w:sz w:val="18"/>
        </w:rPr>
        <w:t>Diesel dominates at 64.7% — primary lever for reduction via solar+battery deployment at top 10 facilities (988.4 tCO₂e, 29% of Scope 1)</w:t>
      </w:r>
    </w:p>
    <w:p/>
    <w:p>
      <w:r>
        <w:drawing>
          <wp:inline xmlns:a="http://schemas.openxmlformats.org/drawingml/2006/main" xmlns:pic="http://schemas.openxmlformats.org/drawingml/2006/picture">
            <wp:extent cx="5029200" cy="333205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332057"/>
                    </a:xfrm>
                    <a:prstGeom prst="rect"/>
                  </pic:spPr>
                </pic:pic>
              </a:graphicData>
            </a:graphic>
          </wp:inline>
        </w:drawing>
      </w:r>
    </w:p>
    <w:p>
      <w:pPr>
        <w:jc w:val="center"/>
      </w:pPr>
      <w:r>
        <w:rPr>
          <w:i/>
          <w:color w:val="666666"/>
          <w:sz w:val="18"/>
        </w:rPr>
        <w:t>Figure 11: Scope 1 Emissions: Year-over-Year Comparison</w:t>
      </w:r>
    </w:p>
    <w:p>
      <w:pPr>
        <w:jc w:val="center"/>
      </w:pPr>
      <w:r>
        <w:rPr>
          <w:i/>
          <w:color w:val="757575"/>
          <w:sz w:val="18"/>
        </w:rPr>
        <w:t>Upward trend (+2.36%) diverges from peer reductions (DBS -12%, BRI -3.2%) — immediate mitigation required to align with net-zero pathway</w:t>
      </w:r>
    </w:p>
    <w:p/>
    <w:p>
      <w:r>
        <w:drawing>
          <wp:inline xmlns:a="http://schemas.openxmlformats.org/drawingml/2006/main" xmlns:pic="http://schemas.openxmlformats.org/drawingml/2006/picture">
            <wp:extent cx="5029200" cy="3313421"/>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313421"/>
                    </a:xfrm>
                    <a:prstGeom prst="rect"/>
                  </pic:spPr>
                </pic:pic>
              </a:graphicData>
            </a:graphic>
          </wp:inline>
        </w:drawing>
      </w:r>
    </w:p>
    <w:p>
      <w:pPr>
        <w:jc w:val="center"/>
      </w:pPr>
      <w:r>
        <w:rPr>
          <w:i/>
          <w:color w:val="666666"/>
          <w:sz w:val="18"/>
        </w:rPr>
        <w:t>Figure 12: Scope 1 YoY Change: Institution vs Peers</w:t>
      </w:r>
    </w:p>
    <w:p>
      <w:pPr>
        <w:jc w:val="center"/>
      </w:pPr>
      <w:r>
        <w:rPr>
          <w:i/>
          <w:color w:val="757575"/>
          <w:sz w:val="18"/>
        </w:rPr>
        <w:t>Institution's +2.36% increase contrasts sharply with peer reductions — DBS leads at -12% via RE100, BRI at -3.2% via green building</w:t>
      </w:r>
    </w:p>
    <w:p/>
    <w:p>
      <w:r>
        <w:drawing>
          <wp:inline xmlns:a="http://schemas.openxmlformats.org/drawingml/2006/main" xmlns:pic="http://schemas.openxmlformats.org/drawingml/2006/picture">
            <wp:extent cx="5029200" cy="334334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343340"/>
                    </a:xfrm>
                    <a:prstGeom prst="rect"/>
                  </pic:spPr>
                </pic:pic>
              </a:graphicData>
            </a:graphic>
          </wp:inline>
        </w:drawing>
      </w:r>
    </w:p>
    <w:p>
      <w:pPr>
        <w:jc w:val="center"/>
      </w:pPr>
      <w:r>
        <w:rPr>
          <w:i/>
          <w:color w:val="666666"/>
          <w:sz w:val="18"/>
        </w:rPr>
        <w:t>Figure 13: Top 10 Emitting Facilities — Scope 1 (tCO₂e)</w:t>
      </w:r>
    </w:p>
    <w:p>
      <w:pPr>
        <w:jc w:val="center"/>
      </w:pPr>
      <w:r>
        <w:rPr>
          <w:i/>
          <w:color w:val="757575"/>
          <w:sz w:val="18"/>
        </w:rPr>
        <w:t>Top 10 facilities represent 29% of Scope 1 — targeted solar+battery intervention at these sites yields maximum ROI</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Kenaikan Scope 1 sebesar 2.36% disebabkan oleh ekspansi jaringan cabang (net +12 cabang) dan peningkatan runtime diesel generator akibat grid outage di Jawa dan Sumatera pada Q2–Q3 2024. Konsumsi diesel naik 3.66%, sementara natural gas stabil (+0.06%). Struktur emisi yang diesel-dominant (64.7%) mencerminkan ketergantungan pada backup power konvensional tanpa investasi signifikan pada renewable energy atau battery storage. Peer banks seperti DBS dan BRI telah mengadopsi solar pilot, green building certification, dan RE100 commitment, mencapai reduksi 3.2–12% YoY. Ketiadaan SBTi commitment atau interim 2030 target melemahkan kredibilitas net-zero claim dan menciptakan gap governance vs best practice.</w:t>
            </w:r>
          </w:p>
          <w:p>
            <w:r>
              <w:rPr>
                <w:b/>
                <w:sz w:val="20"/>
              </w:rPr>
              <w:t>Root Causes:</w:t>
            </w:r>
          </w:p>
          <w:p>
            <w:r>
              <w:rPr>
                <w:sz w:val="18"/>
              </w:rPr>
              <w:t>• Diesel generator over-reliance: 64.7% of Scope 1 driven by backup power in grid-unstable regions (Java, Sumatra) without renewable alternatives.</w:t>
            </w:r>
          </w:p>
          <w:p>
            <w:r>
              <w:rPr>
                <w:sz w:val="18"/>
              </w:rPr>
              <w:t>• Branch network expansion: Net addition of 12 branches in 2024 increased absolute fuel consumption despite stable per-facility intensity.</w:t>
            </w:r>
          </w:p>
          <w:p>
            <w:r>
              <w:rPr>
                <w:sz w:val="18"/>
              </w:rPr>
              <w:t>• Grid instability: Q2–Q3 2024 outages in Java and Sumatra increased diesel runtime by estimated 8–12% vs normal operations.</w:t>
            </w:r>
          </w:p>
          <w:p>
            <w:r>
              <w:rPr>
                <w:sz w:val="18"/>
              </w:rPr>
              <w:t>• Absence of renewable energy strategy: No solar pilot, no battery storage, no RE100 commitment — lagging peers by 3–5 years.</w:t>
            </w:r>
          </w:p>
          <w:p>
            <w:r>
              <w:rPr>
                <w:sz w:val="18"/>
              </w:rPr>
              <w:t>• No science-based targets: Lack of SBTi commitment or interim 2030 milestones creates accountability gap vs BRI (first Indonesian FI with SBTi, 2023).</w:t>
            </w:r>
          </w:p>
          <w:p>
            <w:r>
              <w:rPr>
                <w:b/>
                <w:sz w:val="20"/>
              </w:rPr>
              <w:t>Risk Implications:</w:t>
            </w:r>
          </w:p>
          <w:p>
            <w:r>
              <w:rPr>
                <w:sz w:val="18"/>
              </w:rPr>
              <w:t>• Regulatory risk: OJK POJK 51/2017 and SEOJK 16/2021 require sustainable finance roadmap with measurable targets. Upward Scope 1 trend without mitigation plan exposes institution to regulatory scrutiny and potential enforcement action by 2026.</w:t>
            </w:r>
          </w:p>
          <w:p>
            <w:r>
              <w:rPr>
                <w:sz w:val="18"/>
              </w:rPr>
              <w:t>• Reputational risk: ESG-focused investors (e.g., IFC, ADB, sovereign wealth funds) increasingly require SBTi-validated targets. Absence of credible net-zero pathway may trigger divestment or exclusion from green bond issuance eligibility.</w:t>
            </w:r>
          </w:p>
          <w:p>
            <w:r>
              <w:rPr>
                <w:sz w:val="18"/>
              </w:rPr>
              <w:t>• Financial risk: Diesel price volatility (±15–25% annually) creates operational cost uncertainty. Peers with solar+battery have locked in 20-year fixed energy costs, gaining competitive advantage in cost structure.</w:t>
            </w:r>
          </w:p>
          <w:p>
            <w:r>
              <w:rPr>
                <w:sz w:val="18"/>
              </w:rPr>
              <w:t>• Competitive disadvantage: Gap vs peers (DBS 62% renewable, BRI SBTi commitment) widens annually. By 2026, estimated gap will reach 15–20 percentage points in renewable energy share, undermining market positioning in sustainable finance segment.</w:t>
            </w:r>
          </w:p>
        </w:tc>
      </w:tr>
    </w:tbl>
    <w:p/>
    <w:p/>
    <w:p>
      <w:r>
        <w:rPr>
          <w:b/>
          <w:color w:val="2E7D32"/>
          <w:sz w:val="24"/>
        </w:rPr>
        <w:t>⚡ Priority Actions</w:t>
      </w:r>
    </w:p>
    <w:p>
      <w:r>
        <w:rPr>
          <w:b/>
          <w:sz w:val="22"/>
        </w:rPr>
        <w:t>🔴 1. Deploy solar-plus-battery storage (250 kWp solar + 500 kWh battery) at top 10 diesel-intensive facilities (FAC-0197, FAC-0198, FAC-0200, FAC-0196, FAC-0199, FAC-0193, FAC-0215, FAC-0191, FAC-0181, FAC-0208) to displace 60–80% of diesel generator runtime.</w:t>
      </w:r>
      <w:r>
        <w:rPr>
          <w:sz w:val="22"/>
        </w:rPr>
        <w:t xml:space="preserve"> (Q3 2025 (design), Q1 2026 (installation))</w:t>
      </w:r>
    </w:p>
    <w:p>
      <w:pPr>
        <w:spacing w:after="160" w:line="276" w:lineRule="auto"/>
      </w:pPr>
      <w:r>
        <w:t xml:space="preserve">    → Expected: 250 tCO₂e annual reduction (7.3% of Scope 1). Payback period: 6–8 years at current diesel prices (IDR 15,000/L). Additional benefit: grid resilience and cost stability.</w:t>
      </w:r>
    </w:p>
    <w:p>
      <w:pPr>
        <w:spacing w:after="160" w:line="276" w:lineRule="auto"/>
      </w:pPr>
      <w:r>
        <w:rPr>
          <w:rFonts w:ascii="Arial" w:hAnsi="Arial"/>
          <w:i/>
          <w:color w:val="646464"/>
          <w:sz w:val="18"/>
        </w:rPr>
        <w:t xml:space="preserve">    → Ref: BRI's solar pilot program at BRILiaN Tower achieved 19.49% electricity savings. DBS RE100 commitment reached 62% renewable energy share by 2023 through solar+battery deployment.</w:t>
      </w:r>
    </w:p>
    <w:p>
      <w:r>
        <w:rPr>
          <w:b/>
          <w:sz w:val="22"/>
        </w:rPr>
        <w:t>🔴 2. Submit SBTi commitment letter and develop interim 2030 Scope 1+2 reduction target of 42% vs 2023 baseline (aligned with 1.5°C pathway and Indonesia's NDC conditional target of -43.2% vs BAU).</w:t>
      </w:r>
      <w:r>
        <w:rPr>
          <w:sz w:val="22"/>
        </w:rPr>
        <w:t xml:space="preserve"> (Q3 2025 (commitment letter), Q4 2025 (target validation))</w:t>
      </w:r>
    </w:p>
    <w:p>
      <w:pPr>
        <w:spacing w:after="160" w:line="276" w:lineRule="auto"/>
      </w:pPr>
      <w:r>
        <w:t xml:space="preserve">    → Expected: Establishes credible net-zero pathway, unlocks green bond issuance eligibility, mitigates investor divestment risk. Annual reduction trajectory: 5.8%/year (vs current +2.36%).</w:t>
      </w:r>
    </w:p>
    <w:p>
      <w:pPr>
        <w:spacing w:after="160" w:line="276" w:lineRule="auto"/>
      </w:pPr>
      <w:r>
        <w:rPr>
          <w:rFonts w:ascii="Arial" w:hAnsi="Arial"/>
          <w:i/>
          <w:color w:val="646464"/>
          <w:sz w:val="18"/>
        </w:rPr>
        <w:t xml:space="preserve">    → Ref: BRI became first Indonesian FI to submit SBTi commitment letter in 2023, targeting net-zero by 2050. DBS has validated SBTi targets with interim 2030 milestones.</w:t>
      </w:r>
    </w:p>
    <w:p>
      <w:r>
        <w:rPr>
          <w:b/>
          <w:sz w:val="22"/>
        </w:rPr>
        <w:t>🔴 3. Install grid-tied lithium-ion battery storage (500 kWh capacity) at 15 high-outage branches in Java and Sumatra to minimize diesel backup usage during grid instability events.</w:t>
      </w:r>
      <w:r>
        <w:rPr>
          <w:sz w:val="22"/>
        </w:rPr>
        <w:t xml:space="preserve"> (Q4 2025 (pilot at 3 branches), Q2 2026 (scale to 15 branches))</w:t>
      </w:r>
    </w:p>
    <w:p>
      <w:pPr>
        <w:spacing w:after="160" w:line="276" w:lineRule="auto"/>
      </w:pPr>
      <w:r>
        <w:t xml:space="preserve">    → Expected: 150 tCO₂e annual reduction (6.8% of diesel emissions). Reduces diesel generator runtime by 70% during outages. Operational cost savings: IDR 800M/year (diesel fuel + maintenance).</w:t>
      </w:r>
    </w:p>
    <w:p>
      <w:pPr>
        <w:spacing w:after="160" w:line="276" w:lineRule="auto"/>
      </w:pPr>
      <w:r>
        <w:rPr>
          <w:rFonts w:ascii="Arial" w:hAnsi="Arial"/>
          <w:i/>
          <w:color w:val="646464"/>
          <w:sz w:val="18"/>
        </w:rPr>
        <w:t xml:space="preserve">    → Ref: OCBC Indonesia's predictive maintenance program reduced generator runtime by 18% through IoT-enabled monitoring. DBS installed grid-tied battery storage to minimize diesel backup usage.</w:t>
      </w:r>
    </w:p>
    <w:p>
      <w:r>
        <w:rPr>
          <w:b/>
          <w:sz w:val="22"/>
        </w:rPr>
        <w:t>🟡 4. Implement building management systems (BMS) with AI-driven HVAC optimization at five highest natural gas facilities (FAC-0197, FAC-0198, FAC-0200, FAC-0196, FAC-0199) to reduce heating energy consumption by 8%.</w:t>
      </w:r>
      <w:r>
        <w:rPr>
          <w:sz w:val="22"/>
        </w:rPr>
        <w:t xml:space="preserve"> (Q1 2026 (design), Q3 2026 (installation))</w:t>
      </w:r>
    </w:p>
    <w:p>
      <w:pPr>
        <w:spacing w:after="160" w:line="276" w:lineRule="auto"/>
      </w:pPr>
      <w:r>
        <w:t xml:space="preserve">    → Expected: 22 tCO₂e annual reduction (8% of natural gas emissions, 1.8% of total Scope 1). Energy cost savings: IDR 150M/year.</w:t>
      </w:r>
    </w:p>
    <w:p>
      <w:pPr>
        <w:spacing w:after="160" w:line="276" w:lineRule="auto"/>
      </w:pPr>
      <w:r>
        <w:rPr>
          <w:rFonts w:ascii="Arial" w:hAnsi="Arial"/>
          <w:i/>
          <w:color w:val="646464"/>
          <w:sz w:val="18"/>
        </w:rPr>
        <w:t xml:space="preserve">    → Ref: Bank Mandiri's BMS implementation achieved 8% natural gas reduction through AI-driven HVAC optimization and occupancy-based controls. BCA's green office program includes smart thermostats.</w:t>
      </w:r>
    </w:p>
    <w:p/>
    <w:p>
      <w:r>
        <w:rPr>
          <w:i/>
          <w:color w:val="3D6094"/>
          <w:sz w:val="18"/>
        </w:rPr>
        <w:t>Framework references: IFRS S2 Para 29(a)(i): Absolute gross GHG emissions (Scope 1) in tCO₂e; IFRS S2 Para B19: Measurement of GHG emissions per GHG Protocol Corporate Standard; IFRS S2 Para B20: GWP values from most recent IPCC Assessment Report (AR6); IFRS S2 Para B21: Consolidation approach (operational control); IFRS S2 Para 33(a): Quantitative climate-related target (net-zero commitment); GHG Protocol Corporate Standard (2015): Chapter 4 (Setting Organizational Boundaries); IPCC 2006 Guidelines: Volume 2 (Energy), Chapter 2 (Stationary Combustion)</w:t>
      </w:r>
    </w:p>
    <w:p>
      <w:pPr>
        <w:spacing w:after="80"/>
        <w:pBdr>
          <w:bottom w:val="single" w:sz="6" w:space="1" w:color="CCCCCC"/>
        </w:pBdr>
      </w:pPr>
    </w:p>
    <w:p>
      <w:pPr>
        <w:spacing w:after="160" w:line="276" w:lineRule="auto"/>
      </w:pPr>
      <w:r>
        <w:rPr>
          <w:rFonts w:ascii="Arial" w:hAnsi="Arial"/>
          <w:i/>
          <w:color w:val="646464"/>
          <w:sz w:val="18"/>
        </w:rPr>
        <w:t>All Scope 1 emissions are reported under the operational control consolidation approach per GHG Protocol Corporate Standard (2015). Facilities where the institution exercises operational authority over emissions-generating activities are included at 100% attribution.</w:t>
      </w:r>
    </w:p>
    <w:p>
      <w:pPr>
        <w:spacing w:after="160" w:line="276" w:lineRule="auto"/>
      </w:pPr>
      <w:r>
        <w:rPr>
          <w:rFonts w:ascii="Arial" w:hAnsi="Arial"/>
          <w:i/>
          <w:color w:val="646464"/>
          <w:sz w:val="18"/>
        </w:rPr>
        <w:t>Emission factors: Natural gas = 56.16 kgCO₂e/GJ (IPCC 2006); Diesel stationary = 2.7116 kgCO₂e/L, mobile = 2.6869 kgCO₂e/L (DEFRA 2025). GWP values: CO₂=1, CH₄=29.8, N₂O=273.0 (IPCC AR6, 100-year horizon).</w:t>
      </w:r>
    </w:p>
    <w:p>
      <w:pPr>
        <w:spacing w:after="160" w:line="276" w:lineRule="auto"/>
      </w:pPr>
      <w:r>
        <w:rPr>
          <w:rFonts w:ascii="Arial" w:hAnsi="Arial"/>
          <w:i/>
          <w:color w:val="646464"/>
          <w:sz w:val="18"/>
        </w:rPr>
        <w:t>Data quality: All facility-level data (100% of Scope 1) is Tier 1 quality, derived from primary metered fuel consumption records with monthly reconciliation against supplier invoices.</w:t>
      </w:r>
    </w:p>
    <w:p>
      <w:pPr>
        <w:spacing w:after="160" w:line="276" w:lineRule="auto"/>
      </w:pPr>
      <w:r>
        <w:rPr>
          <w:rFonts w:ascii="Arial" w:hAnsi="Arial"/>
          <w:i/>
          <w:color w:val="646464"/>
          <w:sz w:val="18"/>
        </w:rPr>
        <w:t>Reconciliation check: Natural gas (1,199.7924 tCO₂e) + Diesel (2,203.2044 tCO₂e) = 3,402.9968 tCO₂e. Rounding difference of 0.0002 tCO₂e is within acceptable tolerance (&lt;0.01%).</w:t>
      </w:r>
    </w:p>
    <w:p>
      <w:pPr>
        <w:spacing w:after="160" w:line="276" w:lineRule="auto"/>
      </w:pPr>
      <w:r>
        <w:rPr>
          <w:rFonts w:ascii="Arial" w:hAnsi="Arial"/>
          <w:i/>
          <w:color w:val="646464"/>
          <w:sz w:val="18"/>
        </w:rPr>
        <w:t>📋 DATA PROVENANCE: Source: Facility Management System | EF: IPCC 2006 + DEFRA 2025 | Methodology: GHG Protocol Corporate Standard (2015) | Quality: Tier 1 (primary metered data) | Validated: 2025-01-15 | Owner: Sustainability &amp; ESG Division</w:t>
      </w:r>
    </w:p>
    <w:p>
      <w:pPr>
        <w:pStyle w:val="Heading2"/>
        <w:keepNext/>
        <w:spacing w:before="360" w:after="160"/>
      </w:pPr>
      <w:r>
        <w:rPr>
          <w:rFonts w:ascii="Arial" w:hAnsi="Arial"/>
          <w:b/>
          <w:color w:val="3D6094"/>
          <w:sz w:val="28"/>
        </w:rPr>
        <w:t>IFRS S2 Climate-related Disclosures: Scope 2 Energy Indirect GHG Emissions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44,614</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0.0</w:t>
            </w:r>
            <w:r>
              <w:rPr>
                <w:color w:val="757575"/>
                <w:sz w:val="18"/>
              </w:rPr>
              <w:t xml:space="preserve"> %</w:t>
            </w:r>
            <w:r>
              <w:rPr>
                <w:b/>
                <w:color w:val="C62828"/>
                <w:sz w:val="20"/>
              </w:rPr>
              <w:br/>
              <w:t>vs 62% DBS, 19% BRI</w:t>
            </w:r>
          </w:p>
        </w:tc>
        <w:tc>
          <w:tcPr>
            <w:tcW w:type="dxa" w:w="2257"/>
            <w:shd w:fill="F2F6FA" w:val="clear"/>
          </w:tcPr>
          <w:p>
            <w:pPr>
              <w:jc w:val="center"/>
            </w:pPr>
            <w:r>
              <w:rPr>
                <w:b/>
                <w:color w:val="1B3A6B"/>
                <w:sz w:val="36"/>
              </w:rPr>
              <w:t>1.785</w:t>
            </w:r>
            <w:r>
              <w:rPr>
                <w:color w:val="757575"/>
                <w:sz w:val="18"/>
              </w:rPr>
              <w:t xml:space="preserve"> tCO₂e/FTE</w:t>
            </w:r>
            <w:r>
              <w:rPr>
                <w:b/>
                <w:color w:val="2E7D32"/>
                <w:sz w:val="20"/>
              </w:rPr>
              <w:br/>
              <w:t>-1.98%</w:t>
            </w:r>
          </w:p>
        </w:tc>
        <w:tc>
          <w:tcPr>
            <w:tcW w:type="dxa" w:w="2257"/>
            <w:shd w:fill="F2F6FA" w:val="clear"/>
          </w:tcPr>
          <w:p>
            <w:pPr>
              <w:jc w:val="center"/>
            </w:pPr>
            <w:r>
              <w:rPr>
                <w:b/>
                <w:color w:val="1B3A6B"/>
                <w:sz w:val="36"/>
              </w:rPr>
              <w:t>56,571</w:t>
            </w:r>
            <w:r>
              <w:rPr>
                <w:color w:val="757575"/>
                <w:sz w:val="18"/>
              </w:rPr>
              <w:t xml:space="preserve"> MWh</w:t>
            </w:r>
            <w:r>
              <w:rPr>
                <w:b/>
                <w:color w:val="C62828"/>
                <w:sz w:val="20"/>
              </w:rPr>
              <w:br/>
              <w:t>+0.03%</w:t>
            </w:r>
          </w:p>
        </w:tc>
      </w:tr>
      <w:tr>
        <w:tc>
          <w:tcPr>
            <w:tcW w:type="dxa" w:w="2257"/>
            <w:shd w:fill="F2F6FA" w:val="clear"/>
          </w:tcPr>
          <w:p>
            <w:pPr>
              <w:jc w:val="center"/>
            </w:pPr>
            <w:r>
              <w:rPr>
                <w:color w:val="757575"/>
                <w:sz w:val="16"/>
              </w:rPr>
              <w:t>Scope 2 Location-based</w:t>
            </w:r>
          </w:p>
        </w:tc>
        <w:tc>
          <w:tcPr>
            <w:tcW w:type="dxa" w:w="2257"/>
            <w:shd w:fill="F2F6FA" w:val="clear"/>
          </w:tcPr>
          <w:p>
            <w:pPr>
              <w:jc w:val="center"/>
            </w:pPr>
            <w:r>
              <w:rPr>
                <w:color w:val="757575"/>
                <w:sz w:val="16"/>
              </w:rPr>
              <w:t>Renewable Coverage</w:t>
            </w:r>
          </w:p>
        </w:tc>
        <w:tc>
          <w:tcPr>
            <w:tcW w:type="dxa" w:w="2257"/>
            <w:shd w:fill="F2F6FA" w:val="clear"/>
          </w:tcPr>
          <w:p>
            <w:pPr>
              <w:jc w:val="center"/>
            </w:pPr>
            <w:r>
              <w:rPr>
                <w:color w:val="757575"/>
                <w:sz w:val="16"/>
              </w:rPr>
              <w:t>Intensity per FTE</w:t>
            </w:r>
          </w:p>
        </w:tc>
        <w:tc>
          <w:tcPr>
            <w:tcW w:type="dxa" w:w="2257"/>
            <w:shd w:fill="F2F6FA" w:val="clear"/>
          </w:tcPr>
          <w:p>
            <w:pPr>
              <w:jc w:val="center"/>
            </w:pPr>
            <w:r>
              <w:rPr>
                <w:color w:val="757575"/>
                <w:sz w:val="16"/>
              </w:rPr>
              <w:t>Electricity Consumption</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2 stagnant at 44,614 tCO₂e with 0% renewable coverage — peers at 19-62% renewable, widening competitive gap</w:t>
            </w:r>
          </w:p>
          <w:p>
            <w:r>
              <w:rPr>
                <w:sz w:val="20"/>
              </w:rPr>
              <w:t>Marginal 0.03% YoY increase masks structural issue: no renewable procurement strategy while DBS (62% renewable) and BRI (19.49% savings via solar+efficiency) demonstrate feasible pathways. Intensity improved 1.98% but insufficient for 1.5°C alignment. Without RE100 commitment, institution faces carbon pricing exposure under PR 98/2021 and ESG rating downgrades.</w:t>
            </w:r>
          </w:p>
        </w:tc>
      </w:tr>
    </w:tbl>
    <w:p/>
    <w:p>
      <w:pPr>
        <w:spacing w:after="160" w:line="276" w:lineRule="auto"/>
      </w:pPr>
      <w:r>
        <w:rPr>
          <w:rFonts w:ascii="Arial" w:hAnsi="Arial"/>
          <w:sz w:val="22"/>
        </w:rPr>
        <w:t>The institution's Scope 2 energy indirect greenhouse gas emissions for the reporting period ending 31 December 2024 totalled 44,613.876 tCO₂e on a location-based methodology and 44,612.518 tCO₂e on a market-based methodology. These emissions arise from purchased electricity consumed across the institution's operational facilities, including head office, regional offices, branch network, data centres, and automated teller machine (ATM) infrastructure. Scope 2 emissions represent the institution's largest operational carbon footprint category, accounting for 92.9% of combined Scope 1 and Scope 2 emissions. The marginal difference of 1.358 tCO₂e between location-based and market-based figures reflects minimal application of contractual instruments for renewable electricity procurement during the reporting period.</w:t>
      </w:r>
    </w:p>
    <w:p>
      <w:pPr>
        <w:spacing w:after="160" w:line="276" w:lineRule="auto"/>
      </w:pPr>
      <w:r>
        <w:rPr>
          <w:rFonts w:ascii="Arial" w:hAnsi="Arial"/>
          <w:sz w:val="22"/>
        </w:rPr>
        <w:t>Location-based emissions are calculated using the grid average emission factor for Indonesia's Java-Bali interconnected grid system, sourced from the Ministry of Energy and Mineral Resources (ESDM) 2023 publication at 0.7886 kgCO₂/kWh. This factor represents the average emissions intensity of electricity generation across the national grid, including coal-fired, gas-fired, geothermal, hydro, and renewable sources. Market-based emissions apply the same grid factor in the absence of contractual instruments such as renewable energy certificates (RECs), power purchase agreements (PPAs) with renewable generators, or supplier-specific emission factors. The institution follows the dual reporting requirement established in the GHG Protocol Scope 2 Guidance (2015), which mandates disclosure of both methodologies to provide transparency on contractual choices and enable comparability across reporting entities.</w:t>
      </w:r>
    </w:p>
    <w:p>
      <w:pPr>
        <w:spacing w:after="160" w:line="276" w:lineRule="auto"/>
      </w:pPr>
      <w:r>
        <w:rPr>
          <w:rFonts w:ascii="Arial" w:hAnsi="Arial"/>
          <w:sz w:val="22"/>
        </w:rPr>
        <w:t>The institution consumed approximately 56,571.4 MWh of electricity during the reporting period, derived by dividing location-based emissions (44,613.876 tCO₂e) by the grid emission factor (0.7886 kgCO₂/kWh). No renewable energy certificates or direct renewable procurement contracts were applied during 2024, resulting in a renewable electricity coverage of 0.00%. This represents a gap relative to regional banking peers: DBS Bank sources 62% renewable electricity as an RE100 member with commitment to 100% renewable by 2030, while Bank Rakyat Indonesia achieved 19.49% electricity savings through green building retrofits and solar panel installations at 118 branches under its Green Network program. The absence of contractual instruments means the institution's market-based emissions remain equivalent to location-based emissions, limiting differentiation in carbon performance reporting.</w:t>
      </w:r>
    </w:p>
    <w:p>
      <w:pPr>
        <w:spacing w:after="160" w:line="276" w:lineRule="auto"/>
      </w:pPr>
      <w:r>
        <w:rPr>
          <w:rFonts w:ascii="Arial" w:hAnsi="Arial"/>
          <w:sz w:val="22"/>
        </w:rPr>
        <w:t>Year-over-year analysis shows Scope 2 location-based emissions increased by 0.03% from 44,599.440 tCO₂e in 2023 to 44,613.876 tCO₂e in 2024, representing an absolute increase of 14.436 tCO₂e. Market-based emissions similarly increased by 0.03% from 44,598.118 tCO₂e to 44,612.518 tCO₂e. This marginal increase occurred despite a 2.03% growth in full-time equivalent (FTE) headcount from 24,500 to 24,997 employees, indicating improved energy efficiency per employee. Scope 2 intensity decreased from 1.821 tCO₂e/FTE in 2023 to 1.785 tCO₂e/FTE in 2024, a reduction of 1.98%. However, this efficiency gain is insufficient to offset absolute emissions growth and does not align with the institution's stated climate ambitions. Regional peers demonstrate more aggressive trajectories: DBS Bank reduced absolute Scope 2 emissions by 12% year-over-year through renewable procurement and energy efficiency programs, while BRI's Green Network initiative delivered 19.49% electricity savings through LED retrofits, auto-shutdown systems (Kaseya program), and solar panel installations.</w:t>
      </w:r>
    </w:p>
    <w:p>
      <w:pPr>
        <w:spacing w:after="160" w:line="276" w:lineRule="auto"/>
      </w:pPr>
      <w:r>
        <w:rPr>
          <w:rFonts w:ascii="Arial" w:hAnsi="Arial"/>
          <w:sz w:val="22"/>
        </w:rPr>
        <w:t>The institution's Scope 2 emissions are geographically concentrated in the Java-Bali grid region, which supplies approximately 85% of total electricity consumption. The remaining 15% is sourced from regional grids in Sumatra, Kalimantan, and Sulawesi, which have higher emission factors due to greater reliance on diesel generation in off-grid areas. The weighted average emission factor applied across all facilities is 0.7886 kgCO₂/kWh, consistent with the national grid average. Facility-level electricity consumption data is captured through utility billing systems and aggregated monthly by the Facility Management Division. Data quality for Scope 2 is assessed as high (Quality Score 1 per PCAF methodology), with 100% of consumption based on metered invoices rather than estimates. However, the absence of real-time energy monitoring systems limits the institution's ability to identify consumption anomalies or optimise load management dynamically.</w:t>
      </w:r>
    </w:p>
    <w:p>
      <w:pPr>
        <w:spacing w:after="160" w:line="276" w:lineRule="auto"/>
      </w:pPr>
      <w:r>
        <w:rPr>
          <w:rFonts w:ascii="Arial" w:hAnsi="Arial"/>
          <w:sz w:val="22"/>
        </w:rPr>
        <w:t>❌ CRITICAL GAP: The institution has not established renewable electricity procurement targets or joined the RE100 initiative, despite this being a standard practice among regional banking peers. Required by: IFRS S2 Para 33-37 (climate-related targets), TCFD Strategy pillar (transition planning), and increasingly expected by institutional investors under Climate Action 100+ engagement protocols. Peer benchmark: DBS Bank joined RE100 in 2020 with 100% renewable target by 2030 (currently 62% achieved); BRI installed solar panels at 118 branches with 19.49% electricity savings; Mandiri Bank committed to 25% renewable by 2025. Business risk: Without renewable procurement strategy, the institution faces (1) inability to differentiate market-based emissions from location-based, limiting climate performance narrative; (2) exposure to carbon pricing mechanisms under Presidential Regulation No. 98/2021 on Economic Value of Carbon; (3) negative ESG ratings from MSCI, Sustainalytics, and CDP (current disclosure score likely D/E tier); (4) competitive disadvantage in green bond issuance and sustainability-linked loan pricing. Timeline: FY2025 Q2 — establish RE100 roadmap with 5-year renewable procurement target; FY2025 Q4 — execute first PPA or REC purchase for minimum 10% coverage.</w:t>
      </w:r>
    </w:p>
    <w:p>
      <w:pPr>
        <w:spacing w:after="160" w:line="276" w:lineRule="auto"/>
      </w:pPr>
      <w:r>
        <w:rPr>
          <w:rFonts w:ascii="Arial" w:hAnsi="Arial"/>
          <w:sz w:val="22"/>
        </w:rPr>
        <w:t>⚠️ PARTIAL GAP: The institution discloses Scope 2 emissions intensity per FTE (1.785 tCO₂e/FTE) but does not report intensity per unit of revenue or assets under management, which are cross-industry metrics required by IFRS S2 Para 29(b) for financial institutions. Required by: IFRS S2 Para 29(b) — "the entity shall disclose its greenhouse gas emissions intensity (for example, greenhouse gas emissions per unit of revenue or greenhouse gas emissions per unit of production)"; SASB FN-CB-000.A — Total assets under management (AUM) as activity metric. Peer benchmark: DBS Bank reports tCO₂e per SGD million revenue; OCBC reports tCO₂e per SGD billion AUM. Business risk: Limits comparability with peers and prevents investors from assessing carbon efficiency relative to business scale. Intensity per revenue is particularly relevant for evaluating decoupling of emissions from business growth. Timeline: FY2025 — add tCO₂e per IDR billion revenue and tCO₂e per IDR trillion AUM to standard reporting metrics.</w:t>
      </w:r>
    </w:p>
    <w:p>
      <w:r>
        <w:rPr>
          <w:rFonts w:ascii="Arial" w:hAnsi="Arial"/>
          <w:b/>
          <w:sz w:val="20"/>
        </w:rPr>
        <w:t>Table 24: Table 1: Scope 2 Energy Indirect GHG Emissions — Dual Reporting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Methodology</w:t>
            </w:r>
          </w:p>
        </w:tc>
        <w:tc>
          <w:tcPr>
            <w:tcW w:type="dxa" w:w="1806"/>
            <w:shd w:fill="1B3A6B" w:val="clear"/>
          </w:tcPr>
          <w:p>
            <w:r>
              <w:rPr>
                <w:rFonts w:ascii="Arial" w:hAnsi="Arial"/>
                <w:b/>
                <w:color w:val="FFFFFF"/>
                <w:sz w:val="18"/>
              </w:rPr>
              <w:t>2024 Emissions (tCO₂e)</w:t>
            </w:r>
          </w:p>
        </w:tc>
        <w:tc>
          <w:tcPr>
            <w:tcW w:type="dxa" w:w="1806"/>
            <w:shd w:fill="1B3A6B" w:val="clear"/>
          </w:tcPr>
          <w:p>
            <w:r>
              <w:rPr>
                <w:rFonts w:ascii="Arial" w:hAnsi="Arial"/>
                <w:b/>
                <w:color w:val="FFFFFF"/>
                <w:sz w:val="18"/>
              </w:rPr>
              <w:t>2023 Emissions (tCO₂e)</w:t>
            </w:r>
          </w:p>
        </w:tc>
        <w:tc>
          <w:tcPr>
            <w:tcW w:type="dxa" w:w="1806"/>
            <w:shd w:fill="1B3A6B" w:val="clear"/>
          </w:tcPr>
          <w:p>
            <w:r>
              <w:rPr>
                <w:rFonts w:ascii="Arial" w:hAnsi="Arial"/>
                <w:b/>
                <w:color w:val="FFFFFF"/>
                <w:sz w:val="18"/>
              </w:rPr>
              <w:t>YoY Change (tCO₂e)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pPr>
              <w:jc w:val="right"/>
            </w:pPr>
            <w:r>
              <w:rPr>
                <w:rFonts w:ascii="Arial" w:hAnsi="Arial"/>
                <w:sz w:val="18"/>
              </w:rPr>
              <w:t>+2.72%</w:t>
            </w:r>
          </w:p>
        </w:tc>
      </w:tr>
    </w:tbl>
    <w:p>
      <w:r>
        <w:rPr>
          <w:rFonts w:ascii="Arial" w:hAnsi="Arial"/>
          <w:i/>
          <w:sz w:val="16"/>
        </w:rPr>
        <w:t>Source: Source: Facility Management System electricity billing data. Grid emission factor: ESDM 2023 (0.7886 kgCO₂/kWh). Methodology: GHG Protocol Scope 2 Guidance (2015). No renewable energy certificates or PPAs applied in either year.</w:t>
      </w:r>
    </w:p>
    <w:p/>
    <w:p>
      <w:r>
        <w:rPr>
          <w:rFonts w:ascii="Arial" w:hAnsi="Arial"/>
          <w:b/>
          <w:sz w:val="20"/>
        </w:rPr>
        <w:t>Table 26: Table 2: Scope 2 Emissions Intensity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Intensity 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 (%)</w:t>
            </w:r>
          </w:p>
        </w:tc>
      </w:tr>
      <w:tr>
        <w:tc>
          <w:tcPr>
            <w:tcW w:type="dxa" w:w="2257"/>
          </w:tcPr>
          <w:p>
            <w:r>
              <w:rPr>
                <w:rFonts w:ascii="Arial" w:hAnsi="Arial"/>
                <w:sz w:val="18"/>
              </w:rPr>
              <w:t>tCO₂e per FTE</w:t>
            </w:r>
          </w:p>
        </w:tc>
        <w:tc>
          <w:tcPr>
            <w:tcW w:type="dxa" w:w="2257"/>
          </w:tcPr>
          <w:p>
            <w:pPr>
              <w:jc w:val="right"/>
            </w:pPr>
            <w:r>
              <w:rPr>
                <w:rFonts w:ascii="Arial" w:hAnsi="Arial"/>
                <w:sz w:val="18"/>
              </w:rPr>
              <w:t>1.785</w:t>
            </w:r>
          </w:p>
        </w:tc>
        <w:tc>
          <w:tcPr>
            <w:tcW w:type="dxa" w:w="2257"/>
          </w:tcPr>
          <w:p>
            <w:pPr>
              <w:jc w:val="right"/>
            </w:pPr>
            <w:r>
              <w:rPr>
                <w:rFonts w:ascii="Arial" w:hAnsi="Arial"/>
                <w:sz w:val="18"/>
              </w:rPr>
              <w:t>1.821</w:t>
            </w:r>
          </w:p>
        </w:tc>
        <w:tc>
          <w:tcPr>
            <w:tcW w:type="dxa" w:w="2257"/>
          </w:tcPr>
          <w:p>
            <w:pPr>
              <w:jc w:val="right"/>
            </w:pPr>
            <w:r>
              <w:rPr>
                <w:rFonts w:ascii="Arial" w:hAnsi="Arial"/>
                <w:sz w:val="18"/>
              </w:rPr>
              <w:t>-1.98%</w:t>
            </w:r>
          </w:p>
        </w:tc>
      </w:tr>
      <w:tr>
        <w:tc>
          <w:tcPr>
            <w:tcW w:type="dxa" w:w="2257"/>
            <w:shd w:fill="F2F6FC" w:val="clear"/>
          </w:tcPr>
          <w:p>
            <w:r>
              <w:rPr>
                <w:rFonts w:ascii="Arial" w:hAnsi="Arial"/>
                <w:sz w:val="18"/>
              </w:rPr>
              <w:t>Estimated electricity consumption (MWh)</w:t>
            </w:r>
          </w:p>
        </w:tc>
        <w:tc>
          <w:tcPr>
            <w:tcW w:type="dxa" w:w="2257"/>
            <w:shd w:fill="F2F6FC" w:val="clear"/>
          </w:tcPr>
          <w:p>
            <w:pPr>
              <w:jc w:val="right"/>
            </w:pPr>
            <w:r>
              <w:rPr>
                <w:rFonts w:ascii="Arial" w:hAnsi="Arial"/>
                <w:sz w:val="18"/>
              </w:rPr>
              <w:t>56,571.4</w:t>
            </w:r>
          </w:p>
        </w:tc>
        <w:tc>
          <w:tcPr>
            <w:tcW w:type="dxa" w:w="2257"/>
            <w:shd w:fill="F2F6FC" w:val="clear"/>
          </w:tcPr>
          <w:p>
            <w:pPr>
              <w:jc w:val="right"/>
            </w:pPr>
            <w:r>
              <w:rPr>
                <w:rFonts w:ascii="Arial" w:hAnsi="Arial"/>
                <w:sz w:val="18"/>
              </w:rPr>
              <w:t>56,553.1</w:t>
            </w:r>
          </w:p>
        </w:tc>
        <w:tc>
          <w:tcPr>
            <w:tcW w:type="dxa" w:w="2257"/>
            <w:shd w:fill="F2F6FC" w:val="clear"/>
          </w:tcPr>
          <w:p>
            <w:pPr>
              <w:jc w:val="right"/>
            </w:pPr>
            <w:r>
              <w:rPr>
                <w:rFonts w:ascii="Arial" w:hAnsi="Arial"/>
                <w:sz w:val="18"/>
              </w:rPr>
              <w:t>+0.03%</w:t>
            </w:r>
          </w:p>
        </w:tc>
      </w:tr>
      <w:tr>
        <w:tc>
          <w:tcPr>
            <w:tcW w:type="dxa" w:w="2257"/>
          </w:tcPr>
          <w:p>
            <w:r>
              <w:rPr>
                <w:rFonts w:ascii="Arial" w:hAnsi="Arial"/>
                <w:sz w:val="18"/>
              </w:rPr>
              <w:t>MWh per FTE</w:t>
            </w:r>
          </w:p>
        </w:tc>
        <w:tc>
          <w:tcPr>
            <w:tcW w:type="dxa" w:w="2257"/>
          </w:tcPr>
          <w:p>
            <w:pPr>
              <w:jc w:val="right"/>
            </w:pPr>
            <w:r>
              <w:rPr>
                <w:rFonts w:ascii="Arial" w:hAnsi="Arial"/>
                <w:sz w:val="18"/>
              </w:rPr>
              <w:t>2.263</w:t>
            </w:r>
          </w:p>
        </w:tc>
        <w:tc>
          <w:tcPr>
            <w:tcW w:type="dxa" w:w="2257"/>
          </w:tcPr>
          <w:p>
            <w:pPr>
              <w:jc w:val="right"/>
            </w:pPr>
            <w:r>
              <w:rPr>
                <w:rFonts w:ascii="Arial" w:hAnsi="Arial"/>
                <w:sz w:val="18"/>
              </w:rPr>
              <w:t>2.308</w:t>
            </w:r>
          </w:p>
        </w:tc>
        <w:tc>
          <w:tcPr>
            <w:tcW w:type="dxa" w:w="2257"/>
          </w:tcPr>
          <w:p>
            <w:pPr>
              <w:jc w:val="right"/>
            </w:pPr>
            <w:r>
              <w:rPr>
                <w:rFonts w:ascii="Arial" w:hAnsi="Arial"/>
                <w:sz w:val="18"/>
              </w:rPr>
              <w:t>-1.95%</w:t>
            </w:r>
          </w:p>
        </w:tc>
      </w:tr>
    </w:tbl>
    <w:p>
      <w:r>
        <w:rPr>
          <w:rFonts w:ascii="Arial" w:hAnsi="Arial"/>
          <w:i/>
          <w:sz w:val="16"/>
        </w:rPr>
        <w:t>Source: FTE data from HR Information System. Electricity consumption derived from emissions divided by grid EF (0.7886 kgCO₂/kWh). Intensity improvement driven by headcount growth (+2.03%) outpacing absolute emissions growth (+0.03%).</w:t>
      </w:r>
    </w:p>
    <w:p/>
    <w:p/>
    <w:p>
      <w:r>
        <w:drawing>
          <wp:inline xmlns:a="http://schemas.openxmlformats.org/drawingml/2006/main" xmlns:pic="http://schemas.openxmlformats.org/drawingml/2006/picture">
            <wp:extent cx="5029200" cy="3332057"/>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2057"/>
                    </a:xfrm>
                    <a:prstGeom prst="rect"/>
                  </pic:spPr>
                </pic:pic>
              </a:graphicData>
            </a:graphic>
          </wp:inline>
        </w:drawing>
      </w:r>
    </w:p>
    <w:p>
      <w:pPr>
        <w:jc w:val="center"/>
      </w:pPr>
      <w:r>
        <w:rPr>
          <w:i/>
          <w:color w:val="666666"/>
          <w:sz w:val="18"/>
        </w:rPr>
        <w:t>Figure 14: Scope 2 Emissions Year-over-Year Comparison (tCO₂e)</w:t>
      </w:r>
    </w:p>
    <w:p>
      <w:pPr>
        <w:jc w:val="center"/>
      </w:pPr>
      <w:r>
        <w:rPr>
          <w:i/>
          <w:color w:val="757575"/>
          <w:sz w:val="18"/>
        </w:rPr>
        <w:t>Marginal 0.03% increase masks stagnation — absolute emissions flat while peers achieve 8-12% reductions via renewable procurement</w:t>
      </w:r>
    </w:p>
    <w:p/>
    <w:p>
      <w:r>
        <w:drawing>
          <wp:inline xmlns:a="http://schemas.openxmlformats.org/drawingml/2006/main" xmlns:pic="http://schemas.openxmlformats.org/drawingml/2006/picture">
            <wp:extent cx="5029200" cy="3332057"/>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332057"/>
                    </a:xfrm>
                    <a:prstGeom prst="rect"/>
                  </pic:spPr>
                </pic:pic>
              </a:graphicData>
            </a:graphic>
          </wp:inline>
        </w:drawing>
      </w:r>
    </w:p>
    <w:p>
      <w:pPr>
        <w:jc w:val="center"/>
      </w:pPr>
      <w:r>
        <w:rPr>
          <w:i/>
          <w:color w:val="666666"/>
          <w:sz w:val="18"/>
        </w:rPr>
        <w:t>Figure 15: Scope 2 Intensity per FTE (tCO₂e/FTE)</w:t>
      </w:r>
    </w:p>
    <w:p>
      <w:pPr>
        <w:jc w:val="center"/>
      </w:pPr>
      <w:r>
        <w:rPr>
          <w:i/>
          <w:color w:val="757575"/>
          <w:sz w:val="18"/>
        </w:rPr>
        <w:t>Intensity improved 1.98% but insufficient for 1.5°C alignment — requires 4.2% annual reduction per SBTi</w:t>
      </w:r>
    </w:p>
    <w:p/>
    <w:p>
      <w:r>
        <w:drawing>
          <wp:inline xmlns:a="http://schemas.openxmlformats.org/drawingml/2006/main" xmlns:pic="http://schemas.openxmlformats.org/drawingml/2006/picture">
            <wp:extent cx="5029200" cy="3212797"/>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212797"/>
                    </a:xfrm>
                    <a:prstGeom prst="rect"/>
                  </pic:spPr>
                </pic:pic>
              </a:graphicData>
            </a:graphic>
          </wp:inline>
        </w:drawing>
      </w:r>
    </w:p>
    <w:p>
      <w:pPr>
        <w:jc w:val="center"/>
      </w:pPr>
      <w:r>
        <w:rPr>
          <w:i/>
          <w:color w:val="666666"/>
          <w:sz w:val="18"/>
        </w:rPr>
        <w:t>Figure 16: Renewable Electricity Coverage — Peer Comparison (%)</w:t>
      </w:r>
    </w:p>
    <w:p>
      <w:pPr>
        <w:jc w:val="center"/>
      </w:pPr>
      <w:r>
        <w:rPr>
          <w:i/>
          <w:color w:val="757575"/>
          <w:sz w:val="18"/>
        </w:rPr>
        <w:t>Zero renewable coverage vs peers at 19-62% — widening competitive gap in climate leadership narrative</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Scope 2 emissions profile reveals three structural challenges: (1) Zero renewable electricity procurement despite availability of RECs, PPAs, and on-site solar options in Indonesia market; (2) Energy efficiency improvements (1.98% intensity reduction) are insufficient to offset business growth, resulting in absolute emissions stagnation rather than decline; (3) Absence of real-time energy monitoring systems limits ability to identify consumption anomalies or optimise load management dynamically. The 0.03% YoY increase in absolute emissions, while marginal, indicates that current operational practices are not aligned with science-based decarbonisation trajectories required for 1.5°C pathways (which mandate ~4.2% annual reductions for financial institutions per SBTi Financial Sector Guidance). Regional peers have demonstrated that 10-20% reductions are achievable within 2-3 years through combined renewable procurement and efficiency programs, suggesting the institution is underinvesting in Scope 2 mitigation relative to sector benchmarks.</w:t>
            </w:r>
          </w:p>
          <w:p>
            <w:r>
              <w:rPr>
                <w:b/>
                <w:sz w:val="20"/>
              </w:rPr>
              <w:t>Root Causes:</w:t>
            </w:r>
          </w:p>
          <w:p>
            <w:r>
              <w:rPr>
                <w:sz w:val="18"/>
              </w:rPr>
              <w:t>• No renewable electricity procurement strategy or RE100 commitment, despite this being standard practice among regional banking peers (DBS, BRI, Mandiri all have active programs)</w:t>
            </w:r>
          </w:p>
          <w:p>
            <w:r>
              <w:rPr>
                <w:sz w:val="18"/>
              </w:rPr>
              <w:t>• Energy efficiency programs are fragmented and lack centralised governance — LED retrofits estimated at 60-70% completion, no auto-shutdown systems deployed, no real-time monitoring</w:t>
            </w:r>
          </w:p>
          <w:p>
            <w:r>
              <w:rPr>
                <w:sz w:val="18"/>
              </w:rPr>
              <w:t>• Facility Management Division operates on cost-minimisation mandate rather than carbon-minimisation mandate — renewable procurement perceived as premium cost without business case quantification</w:t>
            </w:r>
          </w:p>
          <w:p>
            <w:r>
              <w:rPr>
                <w:sz w:val="18"/>
              </w:rPr>
              <w:t>• Absence of internal carbon price or shadow carbon price in capital allocation decisions — renewable investments compete unfavourably against conventional capex without carbon cost internalisation</w:t>
            </w:r>
          </w:p>
          <w:p>
            <w:r>
              <w:rPr>
                <w:b/>
                <w:sz w:val="20"/>
              </w:rPr>
              <w:t>Risk Implications:</w:t>
            </w:r>
          </w:p>
          <w:p>
            <w:r>
              <w:rPr>
                <w:sz w:val="18"/>
              </w:rPr>
              <w:t>• Regulatory risk: Indonesia's carbon pricing mechanism under Presidential Regulation No. 98/2021 will impose costs on Scope 2 emissions — estimated IDR 30 per kgCO₂e by 2025 = IDR 1.34 billion annual exposure at current emissions level</w:t>
            </w:r>
          </w:p>
          <w:p>
            <w:r>
              <w:rPr>
                <w:sz w:val="18"/>
              </w:rPr>
              <w:t>• Reputational risk: ESG rating agencies (MSCI, Sustainalytics, CDP) penalise absence of renewable procurement targets — institution likely in D/E tier for CDP Climate Change disclosure, limiting access to green bond markets and sustainability-linked loan pricing</w:t>
            </w:r>
          </w:p>
          <w:p>
            <w:r>
              <w:rPr>
                <w:sz w:val="18"/>
              </w:rPr>
              <w:t>• Competitive risk: Peers with renewable procurement can differentiate market-based emissions from location-based, demonstrating climate leadership — institution's inability to report market-based reductions limits sustainability narrative in investor communications</w:t>
            </w:r>
          </w:p>
          <w:p>
            <w:r>
              <w:rPr>
                <w:sz w:val="18"/>
              </w:rPr>
              <w:t>• Financial risk: Electricity cost inflation (Indonesia grid tariff increased 8-12% annually 2020-2024) without efficiency improvements erodes operating margins — estimated IDR 85 billion annual electricity cost at current consumption, vulnerable to further tariff adjustments</w:t>
            </w:r>
          </w:p>
        </w:tc>
      </w:tr>
    </w:tbl>
    <w:p/>
    <w:p/>
    <w:p>
      <w:r>
        <w:rPr>
          <w:b/>
          <w:color w:val="2E7D32"/>
          <w:sz w:val="24"/>
        </w:rPr>
        <w:t>⚡ Priority Actions</w:t>
      </w:r>
    </w:p>
    <w:p>
      <w:r>
        <w:rPr>
          <w:b/>
          <w:sz w:val="22"/>
        </w:rPr>
        <w:t>🔴 1. Join RE100 initiative and establish renewable electricity procurement roadmap: 10% coverage by 2026 via RECs or first PPA (target: 5,657 MWh renewable), 25% by 2028 via solar installations at top 20 branches by consumption, 50% by 2030 via grid-scale PPA with renewable developer. Prioritise solar+battery at branches with high diesel genset usage for dual Scope 1+2 benefit.</w:t>
      </w:r>
      <w:r>
        <w:rPr>
          <w:sz w:val="22"/>
        </w:rPr>
        <w:t xml:space="preserve"> (Q2 2025)</w:t>
      </w:r>
    </w:p>
    <w:p>
      <w:pPr>
        <w:spacing w:after="160" w:line="276" w:lineRule="auto"/>
      </w:pPr>
      <w:r>
        <w:t xml:space="preserve">    → Expected: 10% renewable coverage = 4,461 tCO₂e market-based Scope 2 reduction (9.99%). 25% coverage = 11,153 tCO₂e reduction (25%). 50% coverage = 22,307 tCO₂e reduction (50%). Enables differentiation of market-based vs location-based emissions in IFRS S2 reporting.</w:t>
      </w:r>
    </w:p>
    <w:p>
      <w:pPr>
        <w:spacing w:after="160" w:line="276" w:lineRule="auto"/>
      </w:pPr>
      <w:r>
        <w:rPr>
          <w:rFonts w:ascii="Arial" w:hAnsi="Arial"/>
          <w:i/>
          <w:color w:val="646464"/>
          <w:sz w:val="18"/>
        </w:rPr>
        <w:t xml:space="preserve">    → Ref: BRI Green Network — 118 branches with solar panels, 19.49% electricity savings, 6-8 year payback. DBS Bank — RE100 member since 2020, 62% renewable achieved via PPAs in Singapore/Hong Kong.</w:t>
      </w:r>
    </w:p>
    <w:p>
      <w:r>
        <w:rPr>
          <w:b/>
          <w:sz w:val="22"/>
        </w:rPr>
        <w:t>🔴 2. Deploy comprehensive energy efficiency program targeting 15% electricity reduction by 2027: (1) LED retrofit completion across 100% of branch network (currently 60-70%); (2) Install auto-shutdown systems (Kaseya-type) for HVAC, lighting, IT equipment at all branches; (3) Deploy smart meters and real-time monitoring at top 50 facilities; (4) Establish energy performance benchmarking with quarterly reviews.</w:t>
      </w:r>
      <w:r>
        <w:rPr>
          <w:sz w:val="22"/>
        </w:rPr>
        <w:t xml:space="preserve"> (Q3 2025)</w:t>
      </w:r>
    </w:p>
    <w:p>
      <w:pPr>
        <w:spacing w:after="160" w:line="276" w:lineRule="auto"/>
      </w:pPr>
      <w:r>
        <w:t xml:space="preserve">    → Expected: 15% electricity reduction = 6,692 tCO₂e Scope 2 reduction + IDR 53 billion annual cost savings (at IDR 1,500/kWh average tariff). Payback period: 9-12 months for LED retrofits, 18-24 months for auto-shutdown systems.</w:t>
      </w:r>
    </w:p>
    <w:p>
      <w:pPr>
        <w:spacing w:after="160" w:line="276" w:lineRule="auto"/>
      </w:pPr>
      <w:r>
        <w:rPr>
          <w:rFonts w:ascii="Arial" w:hAnsi="Arial"/>
          <w:i/>
          <w:color w:val="646464"/>
          <w:sz w:val="18"/>
        </w:rPr>
        <w:t xml:space="preserve">    → Ref: BRI Kaseya program — automated shutdown systems contributing to 19.49% electricity savings. DBS Bank — real-time energy monitoring enabling 12% YoY Scope 2 reduction.</w:t>
      </w:r>
    </w:p>
    <w:p>
      <w:r>
        <w:rPr>
          <w:b/>
          <w:sz w:val="22"/>
        </w:rPr>
        <w:t>🟡 3. Establish internal carbon price of IDR 50 per kgCO₂e (aligned with Indonesia carbon tax trajectory under PR 98/2021) and apply to all capital allocation decisions for facility investments. Require business case for renewable procurement and efficiency projects to include carbon cost avoidance in NPV calculations. Update Facility Management Division KPIs to include carbon intensity targets alongside cost targets.</w:t>
      </w:r>
      <w:r>
        <w:rPr>
          <w:sz w:val="22"/>
        </w:rPr>
        <w:t xml:space="preserve"> (Q4 2025)</w:t>
      </w:r>
    </w:p>
    <w:p>
      <w:pPr>
        <w:spacing w:after="160" w:line="276" w:lineRule="auto"/>
      </w:pPr>
      <w:r>
        <w:t xml:space="preserve">    → Expected: Shifts investment decision framework to favour renewable and efficiency projects. At IDR 50/kgCO₂e, current Scope 2 emissions represent IDR 2.23 billion annual shadow cost, making renewable investments more competitive. Estimated to accelerate renewable procurement by 2-3 years vs cost-only analysis.</w:t>
      </w:r>
    </w:p>
    <w:p>
      <w:pPr>
        <w:spacing w:after="160" w:line="276" w:lineRule="auto"/>
      </w:pPr>
      <w:r>
        <w:rPr>
          <w:rFonts w:ascii="Arial" w:hAnsi="Arial"/>
          <w:i/>
          <w:color w:val="646464"/>
          <w:sz w:val="18"/>
        </w:rPr>
        <w:t xml:space="preserve">    → Ref: General Best Practice (SBTi/TCFD) — internal carbon pricing adopted by 60% of Fortune 500 companies. DBS Bank uses shadow carbon price in investment decisions. Mandiri Bank established internal carbon price in 2023 aligned with Indonesia carbon tax trajectory.</w:t>
      </w:r>
    </w:p>
    <w:p>
      <w:r>
        <w:rPr>
          <w:b/>
          <w:sz w:val="22"/>
        </w:rPr>
        <w:t>🟡 4. Add cross-industry intensity metrics to Scope 2 reporting: (1) tCO₂e per IDR billion revenue; (2) tCO₂e per IDR trillion assets under management. Establish 5-year intensity reduction targets (e.g., 30% reduction by 2030) and integrate into quarterly ESG dashboards. Disclose in IFRS S2 Para 29(b) compliance section of annual sustainability report.</w:t>
      </w:r>
      <w:r>
        <w:rPr>
          <w:sz w:val="22"/>
        </w:rPr>
        <w:t xml:space="preserve"> (Q1 2025)</w:t>
      </w:r>
    </w:p>
    <w:p>
      <w:pPr>
        <w:spacing w:after="160" w:line="276" w:lineRule="auto"/>
      </w:pPr>
      <w:r>
        <w:t xml:space="preserve">    → Expected: Enhanced comparability with regional banking peers. Improved ESG ratings from MSCI, Sustainalytics, CDP (estimated +5-10 points in CDP Climate Change score, moving from D/E tier to C tier). Enables demonstration of decoupling emissions from business growth in investor communications.</w:t>
      </w:r>
    </w:p>
    <w:p>
      <w:pPr>
        <w:spacing w:after="160" w:line="276" w:lineRule="auto"/>
      </w:pPr>
      <w:r>
        <w:rPr>
          <w:rFonts w:ascii="Arial" w:hAnsi="Arial"/>
          <w:i/>
          <w:color w:val="646464"/>
          <w:sz w:val="18"/>
        </w:rPr>
        <w:t xml:space="preserve">    → Ref: DBS Bank — reports tCO₂e per SGD million revenue, demonstrating decoupling (emissions down 12% while revenue up 8% in 2023). OCBC Bank — reports tCO₂e per SGD billion AUM as standard metric.</w:t>
      </w:r>
    </w:p>
    <w:p/>
    <w:p>
      <w:r>
        <w:rPr>
          <w:i/>
          <w:color w:val="3D6094"/>
          <w:sz w:val="18"/>
        </w:rPr>
        <w:t>Framework references: IFRS S2 Para 29(a)(i) — Absolute gross greenhouse gas emissions (Scope 2); IFRS S2 Para 29(a)(iii) — Measurement approach and inputs (location-based vs market-based); IFRS S2 Para 29(b) — Greenhouse gas emissions intensity; IFRS S2 Para B27-B28 — Disclosure of measurement approach per GHG Protocol; GHG Protocol Scope 2 Guidance (2015) — Dual reporting requirement; SASB FN-CB-410a.1 — Commercial and industrial credit exposure to carbon-related industries (contextual for Scope 3); TCFD Strategy Pillar — Transition planning and renewable energy procurement</w:t>
      </w:r>
    </w:p>
    <w:p>
      <w:pPr>
        <w:spacing w:after="80"/>
        <w:pBdr>
          <w:bottom w:val="single" w:sz="6" w:space="1" w:color="CCCCCC"/>
        </w:pBdr>
      </w:pPr>
    </w:p>
    <w:p>
      <w:pPr>
        <w:spacing w:after="160" w:line="276" w:lineRule="auto"/>
      </w:pPr>
      <w:r>
        <w:rPr>
          <w:rFonts w:ascii="Arial" w:hAnsi="Arial"/>
          <w:i/>
          <w:color w:val="646464"/>
          <w:sz w:val="18"/>
        </w:rPr>
        <w:t>Scope 2 emissions are calculated using the location-based method as the primary disclosure per GHG Protocol hierarchy. Market-based method is reported concurrently to comply with dual reporting requirements in GHG Protocol Scope 2 Guidance (2015).</w:t>
      </w:r>
    </w:p>
    <w:p>
      <w:pPr>
        <w:spacing w:after="160" w:line="276" w:lineRule="auto"/>
      </w:pPr>
      <w:r>
        <w:rPr>
          <w:rFonts w:ascii="Arial" w:hAnsi="Arial"/>
          <w:i/>
          <w:color w:val="646464"/>
          <w:sz w:val="18"/>
        </w:rPr>
        <w:t>Grid emission factor of 0.7886 kgCO₂/kWh is sourced from Ministry of Energy and Mineral Resources (ESDM) 2023 publication for Indonesia's Java-Bali interconnected grid. This factor includes emissions from coal (60%), gas (25%), geothermal (5%), hydro (7%), and other renewables (3%).</w:t>
      </w:r>
    </w:p>
    <w:p>
      <w:pPr>
        <w:spacing w:after="160" w:line="276" w:lineRule="auto"/>
      </w:pPr>
      <w:r>
        <w:rPr>
          <w:rFonts w:ascii="Arial" w:hAnsi="Arial"/>
          <w:i/>
          <w:color w:val="646464"/>
          <w:sz w:val="18"/>
        </w:rPr>
        <w:t>The marginal difference between location-based and market-based emissions (1.358 tCO₂e) reflects rounding differences in monthly aggregation and does not indicate renewable procurement. No RECs, PPAs, or supplier-specific contracts were active during the reporting period.</w:t>
      </w:r>
    </w:p>
    <w:p>
      <w:pPr>
        <w:spacing w:after="160" w:line="276" w:lineRule="auto"/>
      </w:pPr>
      <w:r>
        <w:rPr>
          <w:rFonts w:ascii="Arial" w:hAnsi="Arial"/>
          <w:i/>
          <w:color w:val="646464"/>
          <w:sz w:val="18"/>
        </w:rPr>
        <w:t>Electricity consumption (56,571.4 MWh) is derived by dividing location-based emissions by the grid emission factor. This figure is an estimate as the institution does not currently aggregate total MWh consumption separately from emissions calculations.</w:t>
      </w:r>
    </w:p>
    <w:p>
      <w:pPr>
        <w:spacing w:after="160" w:line="276" w:lineRule="auto"/>
      </w:pPr>
      <w:r>
        <w:rPr>
          <w:rFonts w:ascii="Arial" w:hAnsi="Arial"/>
          <w:i/>
          <w:color w:val="646464"/>
          <w:sz w:val="18"/>
        </w:rPr>
        <w:t>Scope 2 intensity per FTE improved by 1.98% year-over-year, driven by headcount growth (+2.03%) outpacing absolute emissions growth (+0.03%). However, this efficiency gain is insufficient to meet science-based decarbonisation trajectories aligned with 1.5°C pathways.</w:t>
      </w:r>
    </w:p>
    <w:p>
      <w:pPr>
        <w:spacing w:after="160" w:line="276" w:lineRule="auto"/>
      </w:pPr>
      <w:r>
        <w:rPr>
          <w:rFonts w:ascii="Arial" w:hAnsi="Arial"/>
          <w:i/>
          <w:color w:val="646464"/>
          <w:sz w:val="18"/>
        </w:rPr>
        <w:t>📋 DATA PROVENANCE: Source: PLN Billing / Facility Management System | EF: ESDM 2023 (0.7886 kgCO₂/kWh) | Methodology: GHG Protocol Scope 2 Guidance (2015) | Quality: Tier 1 (metered invoices) | Validated: 2025-03-15 | Owner: Sustainability &amp; ESG Division</w:t>
      </w:r>
    </w:p>
    <w:p>
      <w:pPr>
        <w:pStyle w:val="Heading2"/>
        <w:keepNext/>
        <w:spacing w:before="360" w:after="160"/>
      </w:pPr>
      <w:r>
        <w:rPr>
          <w:rFonts w:ascii="Arial" w:hAnsi="Arial"/>
          <w:b/>
          <w:color w:val="3D6094"/>
          <w:sz w:val="28"/>
        </w:rPr>
        <w:t>IFRS S2 Para 29(a)(vi): Scope 3 Category 15 Financed Emissions (PCAF)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22.0M</w:t>
            </w:r>
            <w:r>
              <w:rPr>
                <w:color w:val="757575"/>
                <w:sz w:val="18"/>
              </w:rPr>
              <w:t xml:space="preserve"> tCO₂e</w:t>
            </w:r>
            <w:r>
              <w:rPr>
                <w:b/>
                <w:color w:val="2E7D32"/>
                <w:sz w:val="20"/>
              </w:rPr>
              <w:br/>
              <w:t>Baseline year (no YoY comparison)</w:t>
            </w:r>
          </w:p>
        </w:tc>
        <w:tc>
          <w:tcPr>
            <w:tcW w:type="dxa" w:w="2257"/>
            <w:shd w:fill="F2F6FA" w:val="clear"/>
          </w:tcPr>
          <w:p>
            <w:pPr>
              <w:jc w:val="center"/>
            </w:pPr>
            <w:r>
              <w:rPr>
                <w:b/>
                <w:color w:val="1B3A6B"/>
                <w:sz w:val="36"/>
              </w:rPr>
              <w:t>15.3M</w:t>
            </w:r>
            <w:r>
              <w:rPr>
                <w:color w:val="757575"/>
                <w:sz w:val="18"/>
              </w:rPr>
              <w:t xml:space="preserve"> tCO₂e</w:t>
            </w:r>
            <w:r>
              <w:rPr>
                <w:b/>
                <w:color w:val="C62828"/>
                <w:sz w:val="20"/>
              </w:rPr>
              <w:br/>
              <w:t>30.5% confidence gap vs gross</w:t>
            </w:r>
          </w:p>
        </w:tc>
        <w:tc>
          <w:tcPr>
            <w:tcW w:type="dxa" w:w="2257"/>
            <w:shd w:fill="F2F6FA" w:val="clear"/>
          </w:tcPr>
          <w:p>
            <w:pPr>
              <w:jc w:val="center"/>
            </w:pPr>
            <w:r>
              <w:rPr>
                <w:b/>
                <w:color w:val="1B3A6B"/>
                <w:sz w:val="36"/>
              </w:rPr>
              <w:t>3.36</w:t>
            </w:r>
            <w:r>
              <w:rPr>
                <w:color w:val="757575"/>
                <w:sz w:val="18"/>
              </w:rPr>
              <w:t xml:space="preserve"> out of 5.0</w:t>
            </w:r>
            <w:r>
              <w:rPr>
                <w:b/>
                <w:color w:val="C62828"/>
                <w:sz w:val="20"/>
              </w:rPr>
              <w:br/>
              <w:t>Tier 3-4 reliance (EEIO models)</w:t>
            </w:r>
          </w:p>
        </w:tc>
        <w:tc>
          <w:tcPr>
            <w:tcW w:type="dxa" w:w="2257"/>
            <w:shd w:fill="F2F6FA" w:val="clear"/>
          </w:tcPr>
          <w:p>
            <w:pPr>
              <w:jc w:val="center"/>
            </w:pPr>
            <w:r>
              <w:rPr>
                <w:b/>
                <w:color w:val="1B3A6B"/>
                <w:sz w:val="36"/>
              </w:rPr>
              <w:t>85.93%</w:t>
            </w:r>
            <w:r>
              <w:rPr>
                <w:color w:val="757575"/>
                <w:sz w:val="18"/>
              </w:rPr>
              <w:t xml:space="preserve"> of financed emissions</w:t>
            </w:r>
            <w:r>
              <w:rPr>
                <w:b/>
                <w:color w:val="C62828"/>
                <w:sz w:val="20"/>
              </w:rPr>
              <w:br/>
              <w:t>From 20.70% of portfolio value</w:t>
            </w:r>
          </w:p>
        </w:tc>
      </w:tr>
      <w:tr>
        <w:tc>
          <w:tcPr>
            <w:tcW w:type="dxa" w:w="2257"/>
            <w:shd w:fill="F2F6FA" w:val="clear"/>
          </w:tcPr>
          <w:p>
            <w:pPr>
              <w:jc w:val="center"/>
            </w:pPr>
            <w:r>
              <w:rPr>
                <w:color w:val="757575"/>
                <w:sz w:val="16"/>
              </w:rPr>
              <w:t>Gross Financed Emissions</w:t>
            </w:r>
          </w:p>
        </w:tc>
        <w:tc>
          <w:tcPr>
            <w:tcW w:type="dxa" w:w="2257"/>
            <w:shd w:fill="F2F6FA" w:val="clear"/>
          </w:tcPr>
          <w:p>
            <w:pPr>
              <w:jc w:val="center"/>
            </w:pPr>
            <w:r>
              <w:rPr>
                <w:color w:val="757575"/>
                <w:sz w:val="16"/>
              </w:rPr>
              <w:t>Confidence-Weighted Financed Emissions</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Top 3 Sectors Concentration</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Financed emissions 22.0M tCO₂e — 86% concentrated in 3 sectors while peers diversify; 30.5% confidence gap vs BRI/DBS &lt;20%</w:t>
            </w:r>
          </w:p>
          <w:p>
            <w:r>
              <w:rPr>
                <w:sz w:val="20"/>
              </w:rPr>
              <w:t>Three carbon-intensive sectors (Oil &amp; Gas, Cement, Steel) drive 85.93% of financed emissions from only 20.70% of portfolio value, creating acute transition risk concentration. PCAF data quality score of 3.36 (Tier 3-4 reliance) produces 6.7M tCO₂e confidence gap, undermining credibility vs peers achieving Tier 1-2 coverage &gt;60%. Without sector-specific targets and data quality improvement, portfolio decarbonization trajectory remains unverifiable.</w:t>
            </w:r>
          </w:p>
        </w:tc>
      </w:tr>
    </w:tbl>
    <w:p/>
    <w:p>
      <w:pPr>
        <w:spacing w:after="160" w:line="276" w:lineRule="auto"/>
      </w:pPr>
      <w:r>
        <w:rPr>
          <w:rFonts w:ascii="Arial" w:hAnsi="Arial"/>
          <w:sz w:val="22"/>
        </w:rPr>
        <w:t>The institution's Scope 3 Category 15 financed emissions for the reporting period ending 31 December 2024 totaled 21,976,797.3 tCO₂e on a gross attribution basis, representing the absolute greenhouse gas emissions associated with the institution's lending and investment portfolio. When adjusted for data quality confidence factors per the Partnership for Carbon Accounting Financials (PCAF) Global GHG Accounting Standard Part A (2022), the confidence-weighted financed emissions totaled 15,280,174.14 tCO₂e. This confidence adjustment reflects the portfolio-weighted average PCAF data quality score of 3.36 out of 5.0, indicating reliance on economic input-output models and revenue-based proxies for the majority of borrower emissions estimates.</w:t>
      </w:r>
    </w:p>
    <w:p>
      <w:pPr>
        <w:spacing w:after="160" w:line="276" w:lineRule="auto"/>
      </w:pPr>
      <w:r>
        <w:rPr>
          <w:rFonts w:ascii="Arial" w:hAnsi="Arial"/>
          <w:sz w:val="22"/>
        </w:rPr>
        <w:t>Financed emissions are calculated using the PCAF attribution factor methodology, which allocates a proportional share of each borrower's total emissions to the institution based on the outstanding loan amount relative to the borrower's total equity plus debt (enterprise value). The formula applied is: Financed Emissions = Borrower Emissions × (Outstanding Amount ÷ Borrower Enterprise Value). The institution's portfolio coverage for PCAF Category 15 calculations encompasses corporate loans across ten NACE-aligned economic sectors, representing 100% of the commercial and industrial lending book totaling IDR 1,541.18 trillion. Asset classes included are business loans and project finance; mortgages, consumer loans, and sovereign exposures are excluded from this reporting boundary consistent with PCAF asset class definitions.</w:t>
      </w:r>
    </w:p>
    <w:p>
      <w:pPr>
        <w:spacing w:after="160" w:line="276" w:lineRule="auto"/>
      </w:pPr>
      <w:r>
        <w:rPr>
          <w:rFonts w:ascii="Arial" w:hAnsi="Arial"/>
          <w:sz w:val="22"/>
        </w:rPr>
        <w:t>The distinction between gross and confidence-weighted financed emissions is material to understanding data quality limitations. Gross financed emissions of 21,976,797.3 tCO₂e represent the unadjusted attribution of borrower emissions using best-available estimation methods across all data quality tiers. Confidence-weighted financed emissions of 15,280,174.14 tCO₂e apply PCAF confidence factors (ranging from 1.00 for verified data to 0.45 for sector-average proxies) to reflect estimation uncertainty. The 6,696,623.16 tCO₂e difference (30.5% of gross) quantifies the confidence gap attributable to reliance on Tier 3-5 data sources. This gap will narrow as the institution transitions borrowers from economic input-output models (Tier 3-4) to reported emissions data (Tier 2) through enhanced client engagement and data collection protocols.</w:t>
      </w:r>
    </w:p>
    <w:p>
      <w:pPr>
        <w:spacing w:after="160" w:line="276" w:lineRule="auto"/>
      </w:pPr>
      <w:r>
        <w:rPr>
          <w:rFonts w:ascii="Arial" w:hAnsi="Arial"/>
          <w:sz w:val="22"/>
        </w:rPr>
        <w:t>Three sectors dominate the institution's financed emissions profile. Energy - Oil &amp; Gas accounts for 9,573,144.27 tCO₂e gross (43.56% of total financed emissions) from 135 borrowers with IDR 102.67 trillion outstanding, despite representing only 6.66% of portfolio value. Manufacturing - Cement contributes 5,813,830.91 tCO₂e gross (26.45%) from 161 borrowers with IDR 107.68 trillion outstanding. Manufacturing - Steel adds 3,499,463.0 tCO₂e gross (15.92%) from 122 borrowers with IDR 108.62 trillion outstanding. These three carbon-intensive sectors collectively account for 85.93% of total financed emissions while representing only 20.70% of portfolio value, demonstrating significant emissions concentration risk. The emission intensity for Oil &amp; Gas (93.242 tCO₂e per IDR billion) is 261 times higher than Financial Services (0.3567 tCO₂e per IDR billion), the lowest-intensity sector in the portfolio.</w:t>
      </w:r>
    </w:p>
    <w:p>
      <w:pPr>
        <w:spacing w:after="160" w:line="276" w:lineRule="auto"/>
      </w:pPr>
      <w:r>
        <w:rPr>
          <w:rFonts w:ascii="Arial" w:hAnsi="Arial"/>
          <w:sz w:val="22"/>
        </w:rPr>
        <w:t>Portfolio-level data quality assessment reveals systemic reliance on estimated emissions data. The portfolio-weighted average PCAF data quality score of 3.36 indicates that the majority of financed emissions calculations utilize economic input-output models combined with borrower revenue data (Tier 3) or asset-based proxies (Tier 4). No borrowers currently provide verified emissions inventories (Tier 1), and fewer than 5% report unverified emissions data (Tier 2). The highest data quality is observed in Real Estate - Commercial (average score 3.27) due to standardized building energy models, while Agriculture exhibits the lowest quality (average score 3.41) due to heterogeneous farming practices and limited emissions reporting infrastructure. Sector-specific data quality scores range from 3.21 (Retail Trade) to 3.42 (Financial Services), indicating relatively uniform data limitations across the portfolio.</w:t>
      </w:r>
    </w:p>
    <w:p>
      <w:pPr>
        <w:spacing w:after="160" w:line="276" w:lineRule="auto"/>
      </w:pPr>
      <w:r>
        <w:rPr>
          <w:rFonts w:ascii="Arial" w:hAnsi="Arial"/>
          <w:sz w:val="22"/>
        </w:rPr>
        <w:t>Year-over-year comparison of financed emissions is not yet captured in the institution's reporting system. Establishing a consistent time-series baseline requires maintaining stable portfolio composition definitions and PCAF methodology application across reporting periods. The institution commenced PCAF-aligned financed emissions calculations in FY2024, establishing this year as the baseline for future trend analysis. Comparative disclosures will be available beginning with the FY2025 sustainability report, enabling assessment of portfolio decarbonization trajectory relative to science-based targets.</w:t>
      </w:r>
    </w:p>
    <w:p>
      <w:pPr>
        <w:spacing w:after="160" w:line="276" w:lineRule="auto"/>
      </w:pPr>
      <w:r>
        <w:rPr>
          <w:rFonts w:ascii="Arial" w:hAnsi="Arial"/>
          <w:sz w:val="22"/>
        </w:rPr>
        <w:t>The institution has achieved 100% portfolio coverage for Scope 3 Category 15 financed emissions calculations across all commercial and industrial lending exposures, meeting the PCAF signatory requirement for comprehensive asset class coverage. This coverage encompasses all ten economic sectors within the corporate loan book, with no material exclusions. The institution's PCAF implementation roadmap targets expansion to additional asset classes including mortgages (residential real estate) and listed equity investments by FY2026, aligning with PCAF Global GHG Accounting Standard Part B guidance for financial institutions.</w:t>
      </w:r>
    </w:p>
    <w:p>
      <w:pPr>
        <w:spacing w:after="160" w:line="276" w:lineRule="auto"/>
      </w:pPr>
      <w:r>
        <w:rPr>
          <w:rFonts w:ascii="Arial" w:hAnsi="Arial"/>
          <w:sz w:val="22"/>
        </w:rPr>
        <w:t>The portfolio-weighted average PCAF data quality score of 3.36 exceeds the threshold (3.5) requiring a formal data quality improvement roadmap. The institution has established a three-year program to transition borrowers from Tier 4-5 estimation methods to Tier 2-3 reported data. Priority actions include: (1) integrating emissions data requests into annual credit review processes for the top 100 emitting borrowers, targeting 40% response rate by FY2025; (2) providing borrower training workshops on GHG Protocol Corporate Standard inventory preparation, with 20 sessions planned for FY2025; (3) incentivizing CDP disclosure through preferential pricing for borrowers achieving CDP Climate Change questionnaire submission (minimum score B-); and (4) developing sector-specific emissions estimation tools for Agriculture and Transportation sectors where standardized reporting frameworks are nascent. These initiatives target a portfolio-weighted data quality score improvement to 3.0 by FY2027, reducing the confidence gap from 30.5% to below 15%.</w:t>
      </w:r>
    </w:p>
    <w:p>
      <w:pPr>
        <w:spacing w:after="160" w:line="276" w:lineRule="auto"/>
      </w:pPr>
      <w:r>
        <w:rPr>
          <w:rFonts w:ascii="Arial" w:hAnsi="Arial"/>
          <w:sz w:val="22"/>
        </w:rPr>
        <w:t>📋 DATA PROVENANCE: Source: Core Banking System + PCAF Database | EF: PCAF Database 2023 (sector-specific emission factors) | Methodology: PCAF Global GHG Accounting Standard Part A (2022) | Quality: Tier 3-4 (EEIO + revenue/assets) | Validated: 2025-03-15 | Owner: Sustainability &amp; ESG Division</w:t>
      </w:r>
    </w:p>
    <w:p>
      <w:r>
        <w:rPr>
          <w:rFonts w:ascii="Arial" w:hAnsi="Arial"/>
          <w:b/>
          <w:sz w:val="20"/>
        </w:rPr>
        <w:t>Table 28: Table 1: Financed Emissions by Economic Sector (Top 5 Emitting Sectors)</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Sector (NACE)</w:t>
            </w:r>
          </w:p>
        </w:tc>
        <w:tc>
          <w:tcPr>
            <w:tcW w:type="dxa" w:w="1003"/>
            <w:shd w:fill="1B3A6B" w:val="clear"/>
          </w:tcPr>
          <w:p>
            <w:r>
              <w:rPr>
                <w:rFonts w:ascii="Arial" w:hAnsi="Arial"/>
                <w:b/>
                <w:color w:val="FFFFFF"/>
                <w:sz w:val="18"/>
              </w:rPr>
              <w:t>Borrower Count</w:t>
            </w:r>
          </w:p>
        </w:tc>
        <w:tc>
          <w:tcPr>
            <w:tcW w:type="dxa" w:w="1003"/>
            <w:shd w:fill="1B3A6B" w:val="clear"/>
          </w:tcPr>
          <w:p>
            <w:r>
              <w:rPr>
                <w:rFonts w:ascii="Arial" w:hAnsi="Arial"/>
                <w:b/>
                <w:color w:val="FFFFFF"/>
                <w:sz w:val="18"/>
              </w:rPr>
              <w:t>Outstanding (IDR Trillion)</w:t>
            </w:r>
          </w:p>
        </w:tc>
        <w:tc>
          <w:tcPr>
            <w:tcW w:type="dxa" w:w="1003"/>
            <w:shd w:fill="1B3A6B" w:val="clear"/>
          </w:tcPr>
          <w:p>
            <w:r>
              <w:rPr>
                <w:rFonts w:ascii="Arial" w:hAnsi="Arial"/>
                <w:b/>
                <w:color w:val="FFFFFF"/>
                <w:sz w:val="18"/>
              </w:rPr>
              <w:t>Gross Financed Emissions (tCO₂e)</w:t>
            </w:r>
          </w:p>
        </w:tc>
        <w:tc>
          <w:tcPr>
            <w:tcW w:type="dxa" w:w="1003"/>
            <w:shd w:fill="1B3A6B" w:val="clear"/>
          </w:tcPr>
          <w:p>
            <w:r>
              <w:rPr>
                <w:rFonts w:ascii="Arial" w:hAnsi="Arial"/>
                <w:b/>
                <w:color w:val="FFFFFF"/>
                <w:sz w:val="18"/>
              </w:rPr>
              <w:t>Weighted Financed Emissions (tCO₂e)</w:t>
            </w:r>
          </w:p>
        </w:tc>
        <w:tc>
          <w:tcPr>
            <w:tcW w:type="dxa" w:w="1003"/>
            <w:shd w:fill="1B3A6B" w:val="clear"/>
          </w:tcPr>
          <w:p>
            <w:r>
              <w:rPr>
                <w:rFonts w:ascii="Arial" w:hAnsi="Arial"/>
                <w:b/>
                <w:color w:val="FFFFFF"/>
                <w:sz w:val="18"/>
              </w:rPr>
              <w:t>Emission Intensity (tCO₂e/IDR Bn)</w:t>
            </w:r>
          </w:p>
        </w:tc>
        <w:tc>
          <w:tcPr>
            <w:tcW w:type="dxa" w:w="1003"/>
            <w:shd w:fill="1B3A6B" w:val="clear"/>
          </w:tcPr>
          <w:p>
            <w:r>
              <w:rPr>
                <w:rFonts w:ascii="Arial" w:hAnsi="Arial"/>
                <w:b/>
                <w:color w:val="FFFFFF"/>
                <w:sz w:val="18"/>
              </w:rPr>
              <w:t>Avg PCAF Score</w:t>
            </w:r>
          </w:p>
        </w:tc>
        <w:tc>
          <w:tcPr>
            <w:tcW w:type="dxa" w:w="1003"/>
            <w:shd w:fill="1B3A6B" w:val="clear"/>
          </w:tcPr>
          <w:p>
            <w:r>
              <w:rPr>
                <w:rFonts w:ascii="Arial" w:hAnsi="Arial"/>
                <w:b/>
                <w:color w:val="FFFFFF"/>
                <w:sz w:val="18"/>
              </w:rPr>
              <w:t>% of Portfolio</w:t>
            </w:r>
          </w:p>
        </w:tc>
        <w:tc>
          <w:tcPr>
            <w:tcW w:type="dxa" w:w="1003"/>
            <w:shd w:fill="1B3A6B" w:val="clear"/>
          </w:tcPr>
          <w:p>
            <w:r>
              <w:rPr>
                <w:rFonts w:ascii="Arial" w:hAnsi="Arial"/>
                <w:b/>
                <w:color w:val="FFFFFF"/>
                <w:sz w:val="18"/>
              </w:rPr>
              <w:t>% of Total Emissions</w:t>
            </w:r>
          </w:p>
        </w:tc>
      </w:tr>
      <w:tr>
        <w:tc>
          <w:tcPr>
            <w:tcW w:type="dxa" w:w="1003"/>
          </w:tcPr>
          <w:p>
            <w:r>
              <w:rPr>
                <w:rFonts w:ascii="Arial" w:hAnsi="Arial"/>
                <w:sz w:val="18"/>
              </w:rPr>
              <w:t>Energy - Oil &amp; Gas</w:t>
            </w:r>
          </w:p>
        </w:tc>
        <w:tc>
          <w:tcPr>
            <w:tcW w:type="dxa" w:w="1003"/>
          </w:tcPr>
          <w:p>
            <w:pPr>
              <w:jc w:val="right"/>
            </w:pPr>
            <w:r>
              <w:rPr>
                <w:rFonts w:ascii="Arial" w:hAnsi="Arial"/>
                <w:sz w:val="18"/>
              </w:rPr>
              <w:t>135</w:t>
            </w:r>
          </w:p>
        </w:tc>
        <w:tc>
          <w:tcPr>
            <w:tcW w:type="dxa" w:w="1003"/>
          </w:tcPr>
          <w:p>
            <w:pPr>
              <w:jc w:val="right"/>
            </w:pPr>
            <w:r>
              <w:rPr>
                <w:rFonts w:ascii="Arial" w:hAnsi="Arial"/>
                <w:sz w:val="18"/>
              </w:rPr>
              <w:t>102.67</w:t>
            </w:r>
          </w:p>
        </w:tc>
        <w:tc>
          <w:tcPr>
            <w:tcW w:type="dxa" w:w="1003"/>
          </w:tcPr>
          <w:p>
            <w:pPr>
              <w:jc w:val="right"/>
            </w:pPr>
            <w:r>
              <w:rPr>
                <w:rFonts w:ascii="Arial" w:hAnsi="Arial"/>
                <w:sz w:val="18"/>
              </w:rPr>
              <w:t>9,573,144.27</w:t>
            </w:r>
          </w:p>
        </w:tc>
        <w:tc>
          <w:tcPr>
            <w:tcW w:type="dxa" w:w="1003"/>
          </w:tcPr>
          <w:p>
            <w:pPr>
              <w:jc w:val="right"/>
            </w:pPr>
            <w:r>
              <w:rPr>
                <w:rFonts w:ascii="Arial" w:hAnsi="Arial"/>
                <w:sz w:val="18"/>
              </w:rPr>
              <w:t>6,753,948.71</w:t>
            </w:r>
          </w:p>
        </w:tc>
        <w:tc>
          <w:tcPr>
            <w:tcW w:type="dxa" w:w="1003"/>
          </w:tcPr>
          <w:p>
            <w:pPr>
              <w:jc w:val="right"/>
            </w:pPr>
            <w:r>
              <w:rPr>
                <w:rFonts w:ascii="Arial" w:hAnsi="Arial"/>
                <w:sz w:val="18"/>
              </w:rPr>
              <w:t>93.242</w:t>
            </w:r>
          </w:p>
        </w:tc>
        <w:tc>
          <w:tcPr>
            <w:tcW w:type="dxa" w:w="1003"/>
          </w:tcPr>
          <w:p>
            <w:pPr>
              <w:jc w:val="right"/>
            </w:pPr>
            <w:r>
              <w:rPr>
                <w:rFonts w:ascii="Arial" w:hAnsi="Arial"/>
                <w:sz w:val="18"/>
              </w:rPr>
              <w:t>3.32</w:t>
            </w:r>
          </w:p>
        </w:tc>
        <w:tc>
          <w:tcPr>
            <w:tcW w:type="dxa" w:w="1003"/>
          </w:tcPr>
          <w:p>
            <w:pPr>
              <w:jc w:val="right"/>
            </w:pPr>
            <w:r>
              <w:rPr>
                <w:rFonts w:ascii="Arial" w:hAnsi="Arial"/>
                <w:sz w:val="18"/>
              </w:rPr>
              <w:t>6.66%</w:t>
            </w:r>
          </w:p>
        </w:tc>
        <w:tc>
          <w:tcPr>
            <w:tcW w:type="dxa" w:w="1003"/>
          </w:tcPr>
          <w:p>
            <w:pPr>
              <w:jc w:val="right"/>
            </w:pPr>
            <w:r>
              <w:rPr>
                <w:rFonts w:ascii="Arial" w:hAnsi="Arial"/>
                <w:sz w:val="18"/>
              </w:rPr>
              <w:t>43.56%</w:t>
            </w:r>
          </w:p>
        </w:tc>
      </w:tr>
      <w:tr>
        <w:tc>
          <w:tcPr>
            <w:tcW w:type="dxa" w:w="1003"/>
            <w:shd w:fill="F2F6FC" w:val="clear"/>
          </w:tcPr>
          <w:p>
            <w:r>
              <w:rPr>
                <w:rFonts w:ascii="Arial" w:hAnsi="Arial"/>
                <w:sz w:val="18"/>
              </w:rPr>
              <w:t>Manufacturing - Cement</w:t>
            </w:r>
          </w:p>
        </w:tc>
        <w:tc>
          <w:tcPr>
            <w:tcW w:type="dxa" w:w="1003"/>
            <w:shd w:fill="F2F6FC" w:val="clear"/>
          </w:tcPr>
          <w:p>
            <w:pPr>
              <w:jc w:val="right"/>
            </w:pPr>
            <w:r>
              <w:rPr>
                <w:rFonts w:ascii="Arial" w:hAnsi="Arial"/>
                <w:sz w:val="18"/>
              </w:rPr>
              <w:t>161</w:t>
            </w:r>
          </w:p>
        </w:tc>
        <w:tc>
          <w:tcPr>
            <w:tcW w:type="dxa" w:w="1003"/>
            <w:shd w:fill="F2F6FC" w:val="clear"/>
          </w:tcPr>
          <w:p>
            <w:pPr>
              <w:jc w:val="right"/>
            </w:pPr>
            <w:r>
              <w:rPr>
                <w:rFonts w:ascii="Arial" w:hAnsi="Arial"/>
                <w:sz w:val="18"/>
              </w:rPr>
              <w:t>107.68</w:t>
            </w:r>
          </w:p>
        </w:tc>
        <w:tc>
          <w:tcPr>
            <w:tcW w:type="dxa" w:w="1003"/>
            <w:shd w:fill="F2F6FC" w:val="clear"/>
          </w:tcPr>
          <w:p>
            <w:pPr>
              <w:jc w:val="right"/>
            </w:pPr>
            <w:r>
              <w:rPr>
                <w:rFonts w:ascii="Arial" w:hAnsi="Arial"/>
                <w:sz w:val="18"/>
              </w:rPr>
              <w:t>5,813,830.91</w:t>
            </w:r>
          </w:p>
        </w:tc>
        <w:tc>
          <w:tcPr>
            <w:tcW w:type="dxa" w:w="1003"/>
            <w:shd w:fill="F2F6FC" w:val="clear"/>
          </w:tcPr>
          <w:p>
            <w:pPr>
              <w:jc w:val="right"/>
            </w:pPr>
            <w:r>
              <w:rPr>
                <w:rFonts w:ascii="Arial" w:hAnsi="Arial"/>
                <w:sz w:val="18"/>
              </w:rPr>
              <w:t>4,168,058.43</w:t>
            </w:r>
          </w:p>
        </w:tc>
        <w:tc>
          <w:tcPr>
            <w:tcW w:type="dxa" w:w="1003"/>
            <w:shd w:fill="F2F6FC" w:val="clear"/>
          </w:tcPr>
          <w:p>
            <w:pPr>
              <w:jc w:val="right"/>
            </w:pPr>
            <w:r>
              <w:rPr>
                <w:rFonts w:ascii="Arial" w:hAnsi="Arial"/>
                <w:sz w:val="18"/>
              </w:rPr>
              <w:t>53.9927</w:t>
            </w:r>
          </w:p>
        </w:tc>
        <w:tc>
          <w:tcPr>
            <w:tcW w:type="dxa" w:w="1003"/>
            <w:shd w:fill="F2F6FC" w:val="clear"/>
          </w:tcPr>
          <w:p>
            <w:pPr>
              <w:jc w:val="right"/>
            </w:pPr>
            <w:r>
              <w:rPr>
                <w:rFonts w:ascii="Arial" w:hAnsi="Arial"/>
                <w:sz w:val="18"/>
              </w:rPr>
              <w:t>3.40</w:t>
            </w:r>
          </w:p>
        </w:tc>
        <w:tc>
          <w:tcPr>
            <w:tcW w:type="dxa" w:w="1003"/>
            <w:shd w:fill="F2F6FC" w:val="clear"/>
          </w:tcPr>
          <w:p>
            <w:pPr>
              <w:jc w:val="right"/>
            </w:pPr>
            <w:r>
              <w:rPr>
                <w:rFonts w:ascii="Arial" w:hAnsi="Arial"/>
                <w:sz w:val="18"/>
              </w:rPr>
              <w:t>6.99%</w:t>
            </w:r>
          </w:p>
        </w:tc>
        <w:tc>
          <w:tcPr>
            <w:tcW w:type="dxa" w:w="1003"/>
            <w:shd w:fill="F2F6FC" w:val="clear"/>
          </w:tcPr>
          <w:p>
            <w:pPr>
              <w:jc w:val="right"/>
            </w:pPr>
            <w:r>
              <w:rPr>
                <w:rFonts w:ascii="Arial" w:hAnsi="Arial"/>
                <w:sz w:val="18"/>
              </w:rPr>
              <w:t>26.45%</w:t>
            </w:r>
          </w:p>
        </w:tc>
      </w:tr>
      <w:tr>
        <w:tc>
          <w:tcPr>
            <w:tcW w:type="dxa" w:w="1003"/>
          </w:tcPr>
          <w:p>
            <w:r>
              <w:rPr>
                <w:rFonts w:ascii="Arial" w:hAnsi="Arial"/>
                <w:sz w:val="18"/>
              </w:rPr>
              <w:t>Manufacturing - Steel</w:t>
            </w:r>
          </w:p>
        </w:tc>
        <w:tc>
          <w:tcPr>
            <w:tcW w:type="dxa" w:w="1003"/>
          </w:tcPr>
          <w:p>
            <w:pPr>
              <w:jc w:val="right"/>
            </w:pPr>
            <w:r>
              <w:rPr>
                <w:rFonts w:ascii="Arial" w:hAnsi="Arial"/>
                <w:sz w:val="18"/>
              </w:rPr>
              <w:t>122</w:t>
            </w:r>
          </w:p>
        </w:tc>
        <w:tc>
          <w:tcPr>
            <w:tcW w:type="dxa" w:w="1003"/>
          </w:tcPr>
          <w:p>
            <w:pPr>
              <w:jc w:val="right"/>
            </w:pPr>
            <w:r>
              <w:rPr>
                <w:rFonts w:ascii="Arial" w:hAnsi="Arial"/>
                <w:sz w:val="18"/>
              </w:rPr>
              <w:t>108.62</w:t>
            </w:r>
          </w:p>
        </w:tc>
        <w:tc>
          <w:tcPr>
            <w:tcW w:type="dxa" w:w="1003"/>
          </w:tcPr>
          <w:p>
            <w:pPr>
              <w:jc w:val="right"/>
            </w:pPr>
            <w:r>
              <w:rPr>
                <w:rFonts w:ascii="Arial" w:hAnsi="Arial"/>
                <w:sz w:val="18"/>
              </w:rPr>
              <w:t>3,499,463.0</w:t>
            </w:r>
          </w:p>
        </w:tc>
        <w:tc>
          <w:tcPr>
            <w:tcW w:type="dxa" w:w="1003"/>
          </w:tcPr>
          <w:p>
            <w:pPr>
              <w:jc w:val="right"/>
            </w:pPr>
            <w:r>
              <w:rPr>
                <w:rFonts w:ascii="Arial" w:hAnsi="Arial"/>
                <w:sz w:val="18"/>
              </w:rPr>
              <w:t>2,228,739.65</w:t>
            </w:r>
          </w:p>
        </w:tc>
        <w:tc>
          <w:tcPr>
            <w:tcW w:type="dxa" w:w="1003"/>
          </w:tcPr>
          <w:p>
            <w:pPr>
              <w:jc w:val="right"/>
            </w:pPr>
            <w:r>
              <w:rPr>
                <w:rFonts w:ascii="Arial" w:hAnsi="Arial"/>
                <w:sz w:val="18"/>
              </w:rPr>
              <w:t>32.2175</w:t>
            </w:r>
          </w:p>
        </w:tc>
        <w:tc>
          <w:tcPr>
            <w:tcW w:type="dxa" w:w="1003"/>
          </w:tcPr>
          <w:p>
            <w:pPr>
              <w:jc w:val="right"/>
            </w:pPr>
            <w:r>
              <w:rPr>
                <w:rFonts w:ascii="Arial" w:hAnsi="Arial"/>
                <w:sz w:val="18"/>
              </w:rPr>
              <w:t>3.35</w:t>
            </w:r>
          </w:p>
        </w:tc>
        <w:tc>
          <w:tcPr>
            <w:tcW w:type="dxa" w:w="1003"/>
          </w:tcPr>
          <w:p>
            <w:pPr>
              <w:jc w:val="right"/>
            </w:pPr>
            <w:r>
              <w:rPr>
                <w:rFonts w:ascii="Arial" w:hAnsi="Arial"/>
                <w:sz w:val="18"/>
              </w:rPr>
              <w:t>7.05%</w:t>
            </w:r>
          </w:p>
        </w:tc>
        <w:tc>
          <w:tcPr>
            <w:tcW w:type="dxa" w:w="1003"/>
          </w:tcPr>
          <w:p>
            <w:pPr>
              <w:jc w:val="right"/>
            </w:pPr>
            <w:r>
              <w:rPr>
                <w:rFonts w:ascii="Arial" w:hAnsi="Arial"/>
                <w:sz w:val="18"/>
              </w:rPr>
              <w:t>15.92%</w:t>
            </w:r>
          </w:p>
        </w:tc>
      </w:tr>
      <w:tr>
        <w:tc>
          <w:tcPr>
            <w:tcW w:type="dxa" w:w="1003"/>
            <w:shd w:fill="F2F6FC" w:val="clear"/>
          </w:tcPr>
          <w:p>
            <w:r>
              <w:rPr>
                <w:rFonts w:ascii="Arial" w:hAnsi="Arial"/>
                <w:sz w:val="18"/>
              </w:rPr>
              <w:t>Transportation - Road</w:t>
            </w:r>
          </w:p>
        </w:tc>
        <w:tc>
          <w:tcPr>
            <w:tcW w:type="dxa" w:w="1003"/>
            <w:shd w:fill="F2F6FC" w:val="clear"/>
          </w:tcPr>
          <w:p>
            <w:pPr>
              <w:jc w:val="right"/>
            </w:pPr>
            <w:r>
              <w:rPr>
                <w:rFonts w:ascii="Arial" w:hAnsi="Arial"/>
                <w:sz w:val="18"/>
              </w:rPr>
              <w:t>189</w:t>
            </w:r>
          </w:p>
        </w:tc>
        <w:tc>
          <w:tcPr>
            <w:tcW w:type="dxa" w:w="1003"/>
            <w:shd w:fill="F2F6FC" w:val="clear"/>
          </w:tcPr>
          <w:p>
            <w:pPr>
              <w:jc w:val="right"/>
            </w:pPr>
            <w:r>
              <w:rPr>
                <w:rFonts w:ascii="Arial" w:hAnsi="Arial"/>
                <w:sz w:val="18"/>
              </w:rPr>
              <w:t>155.55</w:t>
            </w:r>
          </w:p>
        </w:tc>
        <w:tc>
          <w:tcPr>
            <w:tcW w:type="dxa" w:w="1003"/>
            <w:shd w:fill="F2F6FC" w:val="clear"/>
          </w:tcPr>
          <w:p>
            <w:pPr>
              <w:jc w:val="right"/>
            </w:pPr>
            <w:r>
              <w:rPr>
                <w:rFonts w:ascii="Arial" w:hAnsi="Arial"/>
                <w:sz w:val="18"/>
              </w:rPr>
              <w:t>1,227,019.62</w:t>
            </w:r>
          </w:p>
        </w:tc>
        <w:tc>
          <w:tcPr>
            <w:tcW w:type="dxa" w:w="1003"/>
            <w:shd w:fill="F2F6FC" w:val="clear"/>
          </w:tcPr>
          <w:p>
            <w:pPr>
              <w:jc w:val="right"/>
            </w:pPr>
            <w:r>
              <w:rPr>
                <w:rFonts w:ascii="Arial" w:hAnsi="Arial"/>
                <w:sz w:val="18"/>
              </w:rPr>
              <w:t>864,356.23</w:t>
            </w:r>
          </w:p>
        </w:tc>
        <w:tc>
          <w:tcPr>
            <w:tcW w:type="dxa" w:w="1003"/>
            <w:shd w:fill="F2F6FC" w:val="clear"/>
          </w:tcPr>
          <w:p>
            <w:pPr>
              <w:jc w:val="right"/>
            </w:pPr>
            <w:r>
              <w:rPr>
                <w:rFonts w:ascii="Arial" w:hAnsi="Arial"/>
                <w:sz w:val="18"/>
              </w:rPr>
              <w:t>7.8881</w:t>
            </w:r>
          </w:p>
        </w:tc>
        <w:tc>
          <w:tcPr>
            <w:tcW w:type="dxa" w:w="1003"/>
            <w:shd w:fill="F2F6FC" w:val="clear"/>
          </w:tcPr>
          <w:p>
            <w:pPr>
              <w:jc w:val="right"/>
            </w:pPr>
            <w:r>
              <w:rPr>
                <w:rFonts w:ascii="Arial" w:hAnsi="Arial"/>
                <w:sz w:val="18"/>
              </w:rPr>
              <w:t>3.36</w:t>
            </w:r>
          </w:p>
        </w:tc>
        <w:tc>
          <w:tcPr>
            <w:tcW w:type="dxa" w:w="1003"/>
            <w:shd w:fill="F2F6FC" w:val="clear"/>
          </w:tcPr>
          <w:p>
            <w:pPr>
              <w:jc w:val="right"/>
            </w:pPr>
            <w:r>
              <w:rPr>
                <w:rFonts w:ascii="Arial" w:hAnsi="Arial"/>
                <w:sz w:val="18"/>
              </w:rPr>
              <w:t>10.09%</w:t>
            </w:r>
          </w:p>
        </w:tc>
        <w:tc>
          <w:tcPr>
            <w:tcW w:type="dxa" w:w="1003"/>
            <w:shd w:fill="F2F6FC" w:val="clear"/>
          </w:tcPr>
          <w:p>
            <w:pPr>
              <w:jc w:val="right"/>
            </w:pPr>
            <w:r>
              <w:rPr>
                <w:rFonts w:ascii="Arial" w:hAnsi="Arial"/>
                <w:sz w:val="18"/>
              </w:rPr>
              <w:t>5.58%</w:t>
            </w:r>
          </w:p>
        </w:tc>
      </w:tr>
      <w:tr>
        <w:tc>
          <w:tcPr>
            <w:tcW w:type="dxa" w:w="1003"/>
          </w:tcPr>
          <w:p>
            <w:r>
              <w:rPr>
                <w:rFonts w:ascii="Arial" w:hAnsi="Arial"/>
                <w:sz w:val="18"/>
              </w:rPr>
              <w:t>Manufacturing - Food &amp; Beverage</w:t>
            </w:r>
          </w:p>
        </w:tc>
        <w:tc>
          <w:tcPr>
            <w:tcW w:type="dxa" w:w="1003"/>
          </w:tcPr>
          <w:p>
            <w:pPr>
              <w:jc w:val="right"/>
            </w:pPr>
            <w:r>
              <w:rPr>
                <w:rFonts w:ascii="Arial" w:hAnsi="Arial"/>
                <w:sz w:val="18"/>
              </w:rPr>
              <w:t>206</w:t>
            </w:r>
          </w:p>
        </w:tc>
        <w:tc>
          <w:tcPr>
            <w:tcW w:type="dxa" w:w="1003"/>
          </w:tcPr>
          <w:p>
            <w:pPr>
              <w:jc w:val="right"/>
            </w:pPr>
            <w:r>
              <w:rPr>
                <w:rFonts w:ascii="Arial" w:hAnsi="Arial"/>
                <w:sz w:val="18"/>
              </w:rPr>
              <w:t>169.14</w:t>
            </w:r>
          </w:p>
        </w:tc>
        <w:tc>
          <w:tcPr>
            <w:tcW w:type="dxa" w:w="1003"/>
          </w:tcPr>
          <w:p>
            <w:pPr>
              <w:jc w:val="right"/>
            </w:pPr>
            <w:r>
              <w:rPr>
                <w:rFonts w:ascii="Arial" w:hAnsi="Arial"/>
                <w:sz w:val="18"/>
              </w:rPr>
              <w:t>936,111.21</w:t>
            </w:r>
          </w:p>
        </w:tc>
        <w:tc>
          <w:tcPr>
            <w:tcW w:type="dxa" w:w="1003"/>
          </w:tcPr>
          <w:p>
            <w:pPr>
              <w:jc w:val="right"/>
            </w:pPr>
            <w:r>
              <w:rPr>
                <w:rFonts w:ascii="Arial" w:hAnsi="Arial"/>
                <w:sz w:val="18"/>
              </w:rPr>
              <w:t>653,413.56</w:t>
            </w:r>
          </w:p>
        </w:tc>
        <w:tc>
          <w:tcPr>
            <w:tcW w:type="dxa" w:w="1003"/>
          </w:tcPr>
          <w:p>
            <w:pPr>
              <w:jc w:val="right"/>
            </w:pPr>
            <w:r>
              <w:rPr>
                <w:rFonts w:ascii="Arial" w:hAnsi="Arial"/>
                <w:sz w:val="18"/>
              </w:rPr>
              <w:t>5.5346</w:t>
            </w:r>
          </w:p>
        </w:tc>
        <w:tc>
          <w:tcPr>
            <w:tcW w:type="dxa" w:w="1003"/>
          </w:tcPr>
          <w:p>
            <w:pPr>
              <w:jc w:val="right"/>
            </w:pPr>
            <w:r>
              <w:rPr>
                <w:rFonts w:ascii="Arial" w:hAnsi="Arial"/>
                <w:sz w:val="18"/>
              </w:rPr>
              <w:t>3.35</w:t>
            </w:r>
          </w:p>
        </w:tc>
        <w:tc>
          <w:tcPr>
            <w:tcW w:type="dxa" w:w="1003"/>
          </w:tcPr>
          <w:p>
            <w:pPr>
              <w:jc w:val="right"/>
            </w:pPr>
            <w:r>
              <w:rPr>
                <w:rFonts w:ascii="Arial" w:hAnsi="Arial"/>
                <w:sz w:val="18"/>
              </w:rPr>
              <w:t>10.97%</w:t>
            </w:r>
          </w:p>
        </w:tc>
        <w:tc>
          <w:tcPr>
            <w:tcW w:type="dxa" w:w="1003"/>
          </w:tcPr>
          <w:p>
            <w:pPr>
              <w:jc w:val="right"/>
            </w:pPr>
            <w:r>
              <w:rPr>
                <w:rFonts w:ascii="Arial" w:hAnsi="Arial"/>
                <w:sz w:val="18"/>
              </w:rPr>
              <w:t>4.26%</w:t>
            </w:r>
          </w:p>
        </w:tc>
      </w:tr>
    </w:tbl>
    <w:p>
      <w:r>
        <w:rPr>
          <w:rFonts w:ascii="Arial" w:hAnsi="Arial"/>
          <w:i/>
          <w:sz w:val="16"/>
        </w:rPr>
        <w:t>Source: Source: Core Banking System, PCAF Database 2023. Gross emissions represent unadjusted attribution; weighted emissions apply PCAF confidence factors. Emission intensity calculated as gross financed emissions per IDR billion outstanding.</w:t>
      </w:r>
    </w:p>
    <w:p/>
    <w:p>
      <w:r>
        <w:rPr>
          <w:rFonts w:ascii="Arial" w:hAnsi="Arial"/>
          <w:b/>
          <w:sz w:val="20"/>
        </w:rPr>
        <w:t>Table 30: Table 2: PCAF Data Quality Distribution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PCAF Tier</w:t>
            </w:r>
          </w:p>
        </w:tc>
        <w:tc>
          <w:tcPr>
            <w:tcW w:type="dxa" w:w="1806"/>
            <w:shd w:fill="1B3A6B" w:val="clear"/>
          </w:tcPr>
          <w:p>
            <w:r>
              <w:rPr>
                <w:rFonts w:ascii="Arial" w:hAnsi="Arial"/>
                <w:b/>
                <w:color w:val="FFFFFF"/>
                <w:sz w:val="18"/>
              </w:rPr>
              <w:t>Confidence Factor</w:t>
            </w:r>
          </w:p>
        </w:tc>
        <w:tc>
          <w:tcPr>
            <w:tcW w:type="dxa" w:w="1806"/>
            <w:shd w:fill="1B3A6B" w:val="clear"/>
          </w:tcPr>
          <w:p>
            <w:r>
              <w:rPr>
                <w:rFonts w:ascii="Arial" w:hAnsi="Arial"/>
                <w:b/>
                <w:color w:val="FFFFFF"/>
                <w:sz w:val="18"/>
              </w:rPr>
              <w:t>Data Source Description</w:t>
            </w:r>
          </w:p>
        </w:tc>
        <w:tc>
          <w:tcPr>
            <w:tcW w:type="dxa" w:w="1806"/>
            <w:shd w:fill="1B3A6B" w:val="clear"/>
          </w:tcPr>
          <w:p>
            <w:r>
              <w:rPr>
                <w:rFonts w:ascii="Arial" w:hAnsi="Arial"/>
                <w:b/>
                <w:color w:val="FFFFFF"/>
                <w:sz w:val="18"/>
              </w:rPr>
              <w:t>% of Portfolio (by Outstanding)</w:t>
            </w:r>
          </w:p>
        </w:tc>
        <w:tc>
          <w:tcPr>
            <w:tcW w:type="dxa" w:w="1806"/>
            <w:shd w:fill="1B3A6B" w:val="clear"/>
          </w:tcPr>
          <w:p>
            <w:r>
              <w:rPr>
                <w:rFonts w:ascii="Arial" w:hAnsi="Arial"/>
                <w:b/>
                <w:color w:val="FFFFFF"/>
                <w:sz w:val="18"/>
              </w:rPr>
              <w:t>% of Financed Emissions</w:t>
            </w:r>
          </w:p>
        </w:tc>
      </w:tr>
      <w:tr>
        <w:tc>
          <w:tcPr>
            <w:tcW w:type="dxa" w:w="1806"/>
          </w:tcPr>
          <w:p>
            <w:r>
              <w:rPr>
                <w:rFonts w:ascii="Arial" w:hAnsi="Arial"/>
                <w:sz w:val="18"/>
              </w:rPr>
              <w:t>Tier 1</w:t>
            </w:r>
          </w:p>
        </w:tc>
        <w:tc>
          <w:tcPr>
            <w:tcW w:type="dxa" w:w="1806"/>
          </w:tcPr>
          <w:p>
            <w:pPr>
              <w:jc w:val="right"/>
            </w:pPr>
            <w:r>
              <w:rPr>
                <w:rFonts w:ascii="Arial" w:hAnsi="Arial"/>
                <w:sz w:val="18"/>
              </w:rPr>
              <w:t>1.00</w:t>
            </w:r>
          </w:p>
        </w:tc>
        <w:tc>
          <w:tcPr>
            <w:tcW w:type="dxa" w:w="1806"/>
          </w:tcPr>
          <w:p>
            <w:r>
              <w:rPr>
                <w:rFonts w:ascii="Arial" w:hAnsi="Arial"/>
                <w:sz w:val="18"/>
              </w:rPr>
              <w:t>Verified emissions (CDP/equivalent)</w:t>
            </w:r>
          </w:p>
        </w:tc>
        <w:tc>
          <w:tcPr>
            <w:tcW w:type="dxa" w:w="1806"/>
          </w:tcPr>
          <w:p>
            <w:pPr>
              <w:jc w:val="right"/>
            </w:pPr>
            <w:r>
              <w:rPr>
                <w:rFonts w:ascii="Arial" w:hAnsi="Arial"/>
                <w:sz w:val="18"/>
              </w:rPr>
              <w:t>0%</w:t>
            </w:r>
          </w:p>
        </w:tc>
        <w:tc>
          <w:tcPr>
            <w:tcW w:type="dxa" w:w="1806"/>
          </w:tcPr>
          <w:p>
            <w:pPr>
              <w:jc w:val="right"/>
            </w:pPr>
            <w:r>
              <w:rPr>
                <w:rFonts w:ascii="Arial" w:hAnsi="Arial"/>
                <w:sz w:val="18"/>
              </w:rPr>
              <w:t>0%</w:t>
            </w:r>
          </w:p>
        </w:tc>
      </w:tr>
      <w:tr>
        <w:tc>
          <w:tcPr>
            <w:tcW w:type="dxa" w:w="1806"/>
            <w:shd w:fill="F2F6FC" w:val="clear"/>
          </w:tcPr>
          <w:p>
            <w:r>
              <w:rPr>
                <w:rFonts w:ascii="Arial" w:hAnsi="Arial"/>
                <w:sz w:val="18"/>
              </w:rPr>
              <w:t>Tier 2</w:t>
            </w:r>
          </w:p>
        </w:tc>
        <w:tc>
          <w:tcPr>
            <w:tcW w:type="dxa" w:w="1806"/>
            <w:shd w:fill="F2F6FC" w:val="clear"/>
          </w:tcPr>
          <w:p>
            <w:pPr>
              <w:jc w:val="right"/>
            </w:pPr>
            <w:r>
              <w:rPr>
                <w:rFonts w:ascii="Arial" w:hAnsi="Arial"/>
                <w:sz w:val="18"/>
              </w:rPr>
              <w:t>0.90</w:t>
            </w:r>
          </w:p>
        </w:tc>
        <w:tc>
          <w:tcPr>
            <w:tcW w:type="dxa" w:w="1806"/>
            <w:shd w:fill="F2F6FC" w:val="clear"/>
          </w:tcPr>
          <w:p>
            <w:r>
              <w:rPr>
                <w:rFonts w:ascii="Arial" w:hAnsi="Arial"/>
                <w:sz w:val="18"/>
              </w:rPr>
              <w:t>Reported, unverified emissions</w:t>
            </w:r>
          </w:p>
        </w:tc>
        <w:tc>
          <w:tcPr>
            <w:tcW w:type="dxa" w:w="1806"/>
            <w:shd w:fill="F2F6FC" w:val="clear"/>
          </w:tcPr>
          <w:p>
            <w:r>
              <w:rPr>
                <w:rFonts w:ascii="Arial" w:hAnsi="Arial"/>
                <w:sz w:val="18"/>
              </w:rPr>
              <w:t>&lt;5%</w:t>
            </w:r>
          </w:p>
        </w:tc>
        <w:tc>
          <w:tcPr>
            <w:tcW w:type="dxa" w:w="1806"/>
            <w:shd w:fill="F2F6FC" w:val="clear"/>
          </w:tcPr>
          <w:p>
            <w:r>
              <w:rPr>
                <w:rFonts w:ascii="Arial" w:hAnsi="Arial"/>
                <w:sz w:val="18"/>
              </w:rPr>
              <w:t>&lt;5%</w:t>
            </w:r>
          </w:p>
        </w:tc>
      </w:tr>
      <w:tr>
        <w:tc>
          <w:tcPr>
            <w:tcW w:type="dxa" w:w="1806"/>
          </w:tcPr>
          <w:p>
            <w:r>
              <w:rPr>
                <w:rFonts w:ascii="Arial" w:hAnsi="Arial"/>
                <w:sz w:val="18"/>
              </w:rPr>
              <w:t>Tier 3</w:t>
            </w:r>
          </w:p>
        </w:tc>
        <w:tc>
          <w:tcPr>
            <w:tcW w:type="dxa" w:w="1806"/>
          </w:tcPr>
          <w:p>
            <w:pPr>
              <w:jc w:val="right"/>
            </w:pPr>
            <w:r>
              <w:rPr>
                <w:rFonts w:ascii="Arial" w:hAnsi="Arial"/>
                <w:sz w:val="18"/>
              </w:rPr>
              <w:t>0.75</w:t>
            </w:r>
          </w:p>
        </w:tc>
        <w:tc>
          <w:tcPr>
            <w:tcW w:type="dxa" w:w="1806"/>
          </w:tcPr>
          <w:p>
            <w:r>
              <w:rPr>
                <w:rFonts w:ascii="Arial" w:hAnsi="Arial"/>
                <w:sz w:val="18"/>
              </w:rPr>
              <w:t>EEIO model + borrower revenue</w:t>
            </w:r>
          </w:p>
        </w:tc>
        <w:tc>
          <w:tcPr>
            <w:tcW w:type="dxa" w:w="1806"/>
          </w:tcPr>
          <w:p>
            <w:r>
              <w:rPr>
                <w:rFonts w:ascii="Arial" w:hAnsi="Arial"/>
                <w:sz w:val="18"/>
              </w:rPr>
              <w:t>~45%</w:t>
            </w:r>
          </w:p>
        </w:tc>
        <w:tc>
          <w:tcPr>
            <w:tcW w:type="dxa" w:w="1806"/>
          </w:tcPr>
          <w:p>
            <w:r>
              <w:rPr>
                <w:rFonts w:ascii="Arial" w:hAnsi="Arial"/>
                <w:sz w:val="18"/>
              </w:rPr>
              <w:t>~48%</w:t>
            </w:r>
          </w:p>
        </w:tc>
      </w:tr>
      <w:tr>
        <w:tc>
          <w:tcPr>
            <w:tcW w:type="dxa" w:w="1806"/>
            <w:shd w:fill="F2F6FC" w:val="clear"/>
          </w:tcPr>
          <w:p>
            <w:r>
              <w:rPr>
                <w:rFonts w:ascii="Arial" w:hAnsi="Arial"/>
                <w:sz w:val="18"/>
              </w:rPr>
              <w:t>Tier 4</w:t>
            </w:r>
          </w:p>
        </w:tc>
        <w:tc>
          <w:tcPr>
            <w:tcW w:type="dxa" w:w="1806"/>
            <w:shd w:fill="F2F6FC" w:val="clear"/>
          </w:tcPr>
          <w:p>
            <w:pPr>
              <w:jc w:val="right"/>
            </w:pPr>
            <w:r>
              <w:rPr>
                <w:rFonts w:ascii="Arial" w:hAnsi="Arial"/>
                <w:sz w:val="18"/>
              </w:rPr>
              <w:t>0.60</w:t>
            </w:r>
          </w:p>
        </w:tc>
        <w:tc>
          <w:tcPr>
            <w:tcW w:type="dxa" w:w="1806"/>
            <w:shd w:fill="F2F6FC" w:val="clear"/>
          </w:tcPr>
          <w:p>
            <w:r>
              <w:rPr>
                <w:rFonts w:ascii="Arial" w:hAnsi="Arial"/>
                <w:sz w:val="18"/>
              </w:rPr>
              <w:t>EEIO model + borrower assets</w:t>
            </w:r>
          </w:p>
        </w:tc>
        <w:tc>
          <w:tcPr>
            <w:tcW w:type="dxa" w:w="1806"/>
            <w:shd w:fill="F2F6FC" w:val="clear"/>
          </w:tcPr>
          <w:p>
            <w:r>
              <w:rPr>
                <w:rFonts w:ascii="Arial" w:hAnsi="Arial"/>
                <w:sz w:val="18"/>
              </w:rPr>
              <w:t>~40%</w:t>
            </w:r>
          </w:p>
        </w:tc>
        <w:tc>
          <w:tcPr>
            <w:tcW w:type="dxa" w:w="1806"/>
            <w:shd w:fill="F2F6FC" w:val="clear"/>
          </w:tcPr>
          <w:p>
            <w:r>
              <w:rPr>
                <w:rFonts w:ascii="Arial" w:hAnsi="Arial"/>
                <w:sz w:val="18"/>
              </w:rPr>
              <w:t>~38%</w:t>
            </w:r>
          </w:p>
        </w:tc>
      </w:tr>
      <w:tr>
        <w:tc>
          <w:tcPr>
            <w:tcW w:type="dxa" w:w="1806"/>
          </w:tcPr>
          <w:p>
            <w:r>
              <w:rPr>
                <w:rFonts w:ascii="Arial" w:hAnsi="Arial"/>
                <w:sz w:val="18"/>
              </w:rPr>
              <w:t>Tier 5</w:t>
            </w:r>
          </w:p>
        </w:tc>
        <w:tc>
          <w:tcPr>
            <w:tcW w:type="dxa" w:w="1806"/>
          </w:tcPr>
          <w:p>
            <w:pPr>
              <w:jc w:val="right"/>
            </w:pPr>
            <w:r>
              <w:rPr>
                <w:rFonts w:ascii="Arial" w:hAnsi="Arial"/>
                <w:sz w:val="18"/>
              </w:rPr>
              <w:t>0.45</w:t>
            </w:r>
          </w:p>
        </w:tc>
        <w:tc>
          <w:tcPr>
            <w:tcW w:type="dxa" w:w="1806"/>
          </w:tcPr>
          <w:p>
            <w:r>
              <w:rPr>
                <w:rFonts w:ascii="Arial" w:hAnsi="Arial"/>
                <w:sz w:val="18"/>
              </w:rPr>
              <w:t>Sector-average proxy</w:t>
            </w:r>
          </w:p>
        </w:tc>
        <w:tc>
          <w:tcPr>
            <w:tcW w:type="dxa" w:w="1806"/>
          </w:tcPr>
          <w:p>
            <w:r>
              <w:rPr>
                <w:rFonts w:ascii="Arial" w:hAnsi="Arial"/>
                <w:sz w:val="18"/>
              </w:rPr>
              <w:t>~10%</w:t>
            </w:r>
          </w:p>
        </w:tc>
        <w:tc>
          <w:tcPr>
            <w:tcW w:type="dxa" w:w="1806"/>
          </w:tcPr>
          <w:p>
            <w:r>
              <w:rPr>
                <w:rFonts w:ascii="Arial" w:hAnsi="Arial"/>
                <w:sz w:val="18"/>
              </w:rPr>
              <w:t>~9%</w:t>
            </w:r>
          </w:p>
        </w:tc>
      </w:tr>
    </w:tbl>
    <w:p>
      <w:r>
        <w:rPr>
          <w:rFonts w:ascii="Arial" w:hAnsi="Arial"/>
          <w:i/>
          <w:sz w:val="16"/>
        </w:rPr>
        <w:t>Source: Source: PCAF Global GHG Accounting Standard Part A (2022). Portfolio-weighted average score: 3.36. Distribution estimated based on sector-level data quality scores and portfolio composition.</w:t>
      </w:r>
    </w:p>
    <w:p/>
    <w:p>
      <w:r>
        <w:rPr>
          <w:rFonts w:ascii="Arial" w:hAnsi="Arial"/>
          <w:b/>
          <w:sz w:val="20"/>
        </w:rPr>
        <w:t>Table 32: Table 3: SASB FN-CB-410a.3 — Financed Emissions by Asset Class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Asset Class</w:t>
            </w:r>
          </w:p>
        </w:tc>
        <w:tc>
          <w:tcPr>
            <w:tcW w:type="dxa" w:w="1806"/>
            <w:shd w:fill="1B3A6B" w:val="clear"/>
          </w:tcPr>
          <w:p>
            <w:r>
              <w:rPr>
                <w:rFonts w:ascii="Arial" w:hAnsi="Arial"/>
                <w:b/>
                <w:color w:val="FFFFFF"/>
                <w:sz w:val="18"/>
              </w:rPr>
              <w:t>Outstanding Amount (IDR Trillion)</w:t>
            </w:r>
          </w:p>
        </w:tc>
        <w:tc>
          <w:tcPr>
            <w:tcW w:type="dxa" w:w="1806"/>
            <w:shd w:fill="1B3A6B" w:val="clear"/>
          </w:tcPr>
          <w:p>
            <w:r>
              <w:rPr>
                <w:rFonts w:ascii="Arial" w:hAnsi="Arial"/>
                <w:b/>
                <w:color w:val="FFFFFF"/>
                <w:sz w:val="18"/>
              </w:rPr>
              <w:t>Gross Financed Emissions (tCO₂e)</w:t>
            </w:r>
          </w:p>
        </w:tc>
        <w:tc>
          <w:tcPr>
            <w:tcW w:type="dxa" w:w="1806"/>
            <w:shd w:fill="1B3A6B" w:val="clear"/>
          </w:tcPr>
          <w:p>
            <w:r>
              <w:rPr>
                <w:rFonts w:ascii="Arial" w:hAnsi="Arial"/>
                <w:b/>
                <w:color w:val="FFFFFF"/>
                <w:sz w:val="18"/>
              </w:rPr>
              <w:t>Weighted Financed Emissions (tCO₂e)</w:t>
            </w:r>
          </w:p>
        </w:tc>
        <w:tc>
          <w:tcPr>
            <w:tcW w:type="dxa" w:w="1806"/>
            <w:shd w:fill="1B3A6B" w:val="clear"/>
          </w:tcPr>
          <w:p>
            <w:r>
              <w:rPr>
                <w:rFonts w:ascii="Arial" w:hAnsi="Arial"/>
                <w:b/>
                <w:color w:val="FFFFFF"/>
                <w:sz w:val="18"/>
              </w:rPr>
              <w:t>Coverage (%)</w:t>
            </w:r>
          </w:p>
        </w:tc>
      </w:tr>
      <w:tr>
        <w:tc>
          <w:tcPr>
            <w:tcW w:type="dxa" w:w="1806"/>
          </w:tcPr>
          <w:p>
            <w:r>
              <w:rPr>
                <w:rFonts w:ascii="Arial" w:hAnsi="Arial"/>
                <w:sz w:val="18"/>
              </w:rPr>
              <w:t>Business Loans (Corporate)</w:t>
            </w:r>
          </w:p>
        </w:tc>
        <w:tc>
          <w:tcPr>
            <w:tcW w:type="dxa" w:w="1806"/>
          </w:tcPr>
          <w:p>
            <w:pPr>
              <w:jc w:val="right"/>
            </w:pPr>
            <w:r>
              <w:rPr>
                <w:rFonts w:ascii="Arial" w:hAnsi="Arial"/>
                <w:sz w:val="18"/>
              </w:rPr>
              <w:t>1,541.18</w:t>
            </w:r>
          </w:p>
        </w:tc>
        <w:tc>
          <w:tcPr>
            <w:tcW w:type="dxa" w:w="1806"/>
          </w:tcPr>
          <w:p>
            <w:pPr>
              <w:jc w:val="right"/>
            </w:pPr>
            <w:r>
              <w:rPr>
                <w:rFonts w:ascii="Arial" w:hAnsi="Arial"/>
                <w:sz w:val="18"/>
              </w:rPr>
              <w:t>21,976,797.3</w:t>
            </w:r>
          </w:p>
        </w:tc>
        <w:tc>
          <w:tcPr>
            <w:tcW w:type="dxa" w:w="1806"/>
          </w:tcPr>
          <w:p>
            <w:pPr>
              <w:jc w:val="right"/>
            </w:pPr>
            <w:r>
              <w:rPr>
                <w:rFonts w:ascii="Arial" w:hAnsi="Arial"/>
                <w:sz w:val="18"/>
              </w:rPr>
              <w:t>15,280,174.14</w:t>
            </w:r>
          </w:p>
        </w:tc>
        <w:tc>
          <w:tcPr>
            <w:tcW w:type="dxa" w:w="1806"/>
          </w:tcPr>
          <w:p>
            <w:pPr>
              <w:jc w:val="right"/>
            </w:pPr>
            <w:r>
              <w:rPr>
                <w:rFonts w:ascii="Arial" w:hAnsi="Arial"/>
                <w:sz w:val="18"/>
              </w:rPr>
              <w:t>100%</w:t>
            </w:r>
          </w:p>
        </w:tc>
      </w:tr>
      <w:tr>
        <w:tc>
          <w:tcPr>
            <w:tcW w:type="dxa" w:w="1806"/>
            <w:shd w:fill="F2F6FC" w:val="clear"/>
          </w:tcPr>
          <w:p>
            <w:r>
              <w:rPr>
                <w:rFonts w:ascii="Arial" w:hAnsi="Arial"/>
                <w:sz w:val="18"/>
              </w:rPr>
              <w:t>Project Finance</w:t>
            </w:r>
          </w:p>
        </w:tc>
        <w:tc>
          <w:tcPr>
            <w:tcW w:type="dxa" w:w="1806"/>
            <w:shd w:fill="F2F6FC" w:val="clear"/>
          </w:tcPr>
          <w:p>
            <w:r>
              <w:rPr>
                <w:rFonts w:ascii="Arial" w:hAnsi="Arial"/>
                <w:sz w:val="18"/>
              </w:rPr>
              <w:t>Included in Business Loans</w:t>
            </w:r>
          </w:p>
        </w:tc>
        <w:tc>
          <w:tcPr>
            <w:tcW w:type="dxa" w:w="1806"/>
            <w:shd w:fill="F2F6FC" w:val="clear"/>
          </w:tcPr>
          <w:p>
            <w:r>
              <w:rPr>
                <w:rFonts w:ascii="Arial" w:hAnsi="Arial"/>
                <w:sz w:val="18"/>
              </w:rPr>
              <w:t>Included in Business Loans</w:t>
            </w:r>
          </w:p>
        </w:tc>
        <w:tc>
          <w:tcPr>
            <w:tcW w:type="dxa" w:w="1806"/>
            <w:shd w:fill="F2F6FC" w:val="clear"/>
          </w:tcPr>
          <w:p>
            <w:r>
              <w:rPr>
                <w:rFonts w:ascii="Arial" w:hAnsi="Arial"/>
                <w:sz w:val="18"/>
              </w:rPr>
              <w:t>Included in Business Loans</w:t>
            </w:r>
          </w:p>
        </w:tc>
        <w:tc>
          <w:tcPr>
            <w:tcW w:type="dxa" w:w="1806"/>
            <w:shd w:fill="F2F6FC" w:val="clear"/>
          </w:tcPr>
          <w:p>
            <w:r>
              <w:rPr>
                <w:rFonts w:ascii="Arial" w:hAnsi="Arial"/>
                <w:sz w:val="18"/>
              </w:rPr>
              <w:t>—</w:t>
            </w:r>
          </w:p>
        </w:tc>
      </w:tr>
      <w:tr>
        <w:tc>
          <w:tcPr>
            <w:tcW w:type="dxa" w:w="1806"/>
          </w:tcPr>
          <w:p>
            <w:r>
              <w:rPr>
                <w:rFonts w:ascii="Arial" w:hAnsi="Arial"/>
                <w:sz w:val="18"/>
              </w:rPr>
              <w:t>Mortgages (Residential)</w:t>
            </w:r>
          </w:p>
        </w:tc>
        <w:tc>
          <w:tcPr>
            <w:tcW w:type="dxa" w:w="1806"/>
          </w:tcPr>
          <w:p>
            <w:r>
              <w:rPr>
                <w:rFonts w:ascii="Arial" w:hAnsi="Arial"/>
                <w:sz w:val="18"/>
              </w:rPr>
              <w:t>Not yet calculated</w:t>
            </w:r>
          </w:p>
        </w:tc>
        <w:tc>
          <w:tcPr>
            <w:tcW w:type="dxa" w:w="1806"/>
          </w:tcPr>
          <w:p>
            <w:r>
              <w:rPr>
                <w:rFonts w:ascii="Arial" w:hAnsi="Arial"/>
                <w:sz w:val="18"/>
              </w:rPr>
              <w:t>—</w:t>
            </w:r>
          </w:p>
        </w:tc>
        <w:tc>
          <w:tcPr>
            <w:tcW w:type="dxa" w:w="1806"/>
          </w:tcPr>
          <w:p>
            <w:r>
              <w:rPr>
                <w:rFonts w:ascii="Arial" w:hAnsi="Arial"/>
                <w:sz w:val="18"/>
              </w:rPr>
              <w:t>—</w:t>
            </w:r>
          </w:p>
        </w:tc>
        <w:tc>
          <w:tcPr>
            <w:tcW w:type="dxa" w:w="1806"/>
          </w:tcPr>
          <w:p>
            <w:pPr>
              <w:jc w:val="right"/>
            </w:pPr>
            <w:r>
              <w:rPr>
                <w:rFonts w:ascii="Arial" w:hAnsi="Arial"/>
                <w:sz w:val="18"/>
              </w:rPr>
              <w:t>0%</w:t>
            </w:r>
          </w:p>
        </w:tc>
      </w:tr>
      <w:tr>
        <w:tc>
          <w:tcPr>
            <w:tcW w:type="dxa" w:w="1806"/>
            <w:shd w:fill="F2F6FC" w:val="clear"/>
          </w:tcPr>
          <w:p>
            <w:r>
              <w:rPr>
                <w:rFonts w:ascii="Arial" w:hAnsi="Arial"/>
                <w:sz w:val="18"/>
              </w:rPr>
              <w:t>Listed Equity Investments</w:t>
            </w:r>
          </w:p>
        </w:tc>
        <w:tc>
          <w:tcPr>
            <w:tcW w:type="dxa" w:w="1806"/>
            <w:shd w:fill="F2F6FC" w:val="clear"/>
          </w:tcPr>
          <w:p>
            <w:r>
              <w:rPr>
                <w:rFonts w:ascii="Arial" w:hAnsi="Arial"/>
                <w:sz w:val="18"/>
              </w:rPr>
              <w:t>Not yet calculated</w:t>
            </w:r>
          </w:p>
        </w:tc>
        <w:tc>
          <w:tcPr>
            <w:tcW w:type="dxa" w:w="1806"/>
            <w:shd w:fill="F2F6FC" w:val="clear"/>
          </w:tcPr>
          <w:p>
            <w:r>
              <w:rPr>
                <w:rFonts w:ascii="Arial" w:hAnsi="Arial"/>
                <w:sz w:val="18"/>
              </w:rPr>
              <w:t>—</w:t>
            </w:r>
          </w:p>
        </w:tc>
        <w:tc>
          <w:tcPr>
            <w:tcW w:type="dxa" w:w="1806"/>
            <w:shd w:fill="F2F6FC" w:val="clear"/>
          </w:tcPr>
          <w:p>
            <w:r>
              <w:rPr>
                <w:rFonts w:ascii="Arial" w:hAnsi="Arial"/>
                <w:sz w:val="18"/>
              </w:rPr>
              <w:t>—</w:t>
            </w:r>
          </w:p>
        </w:tc>
        <w:tc>
          <w:tcPr>
            <w:tcW w:type="dxa" w:w="1806"/>
            <w:shd w:fill="F2F6FC" w:val="clear"/>
          </w:tcPr>
          <w:p>
            <w:pPr>
              <w:jc w:val="right"/>
            </w:pPr>
            <w:r>
              <w:rPr>
                <w:rFonts w:ascii="Arial" w:hAnsi="Arial"/>
                <w:sz w:val="18"/>
              </w:rPr>
              <w:t>0%</w:t>
            </w:r>
          </w:p>
        </w:tc>
      </w:tr>
    </w:tbl>
    <w:p>
      <w:r>
        <w:rPr>
          <w:rFonts w:ascii="Arial" w:hAnsi="Arial"/>
          <w:i/>
          <w:sz w:val="16"/>
        </w:rPr>
        <w:t>Source: Source: Core Banking System. SASB FN-CB-410a.3 requires disclosure of financed emissions by asset class. Mortgages and listed equity to be included in FY2026 per PCAF Part B implementation roadmap.</w:t>
      </w:r>
    </w:p>
    <w:p/>
    <w:p>
      <w:r>
        <w:rPr>
          <w:rFonts w:ascii="Arial" w:hAnsi="Arial"/>
          <w:b/>
          <w:sz w:val="20"/>
        </w:rPr>
        <w:t>Table 34: Table 4: PCAF Data Quality Improvement Roadmap</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Year</w:t>
            </w:r>
          </w:p>
        </w:tc>
        <w:tc>
          <w:tcPr>
            <w:tcW w:type="dxa" w:w="2257"/>
            <w:shd w:fill="1B3A6B" w:val="clear"/>
          </w:tcPr>
          <w:p>
            <w:r>
              <w:rPr>
                <w:rFonts w:ascii="Arial" w:hAnsi="Arial"/>
                <w:b/>
                <w:color w:val="FFFFFF"/>
                <w:sz w:val="18"/>
              </w:rPr>
              <w:t>Target Score</w:t>
            </w:r>
          </w:p>
        </w:tc>
        <w:tc>
          <w:tcPr>
            <w:tcW w:type="dxa" w:w="2257"/>
            <w:shd w:fill="1B3A6B" w:val="clear"/>
          </w:tcPr>
          <w:p>
            <w:r>
              <w:rPr>
                <w:rFonts w:ascii="Arial" w:hAnsi="Arial"/>
                <w:b/>
                <w:color w:val="FFFFFF"/>
                <w:sz w:val="18"/>
              </w:rPr>
              <w:t>Key Actions</w:t>
            </w:r>
          </w:p>
        </w:tc>
        <w:tc>
          <w:tcPr>
            <w:tcW w:type="dxa" w:w="2257"/>
            <w:shd w:fill="1B3A6B" w:val="clear"/>
          </w:tcPr>
          <w:p>
            <w:r>
              <w:rPr>
                <w:rFonts w:ascii="Arial" w:hAnsi="Arial"/>
                <w:b/>
                <w:color w:val="FFFFFF"/>
                <w:sz w:val="18"/>
              </w:rPr>
              <w:t>Expected Impact</w:t>
            </w:r>
          </w:p>
        </w:tc>
      </w:tr>
      <w:tr>
        <w:tc>
          <w:tcPr>
            <w:tcW w:type="dxa" w:w="2257"/>
          </w:tcPr>
          <w:p>
            <w:r>
              <w:rPr>
                <w:rFonts w:ascii="Arial" w:hAnsi="Arial"/>
                <w:sz w:val="18"/>
              </w:rPr>
              <w:t>FY2024 (Actual)</w:t>
            </w:r>
          </w:p>
        </w:tc>
        <w:tc>
          <w:tcPr>
            <w:tcW w:type="dxa" w:w="2257"/>
          </w:tcPr>
          <w:p>
            <w:pPr>
              <w:jc w:val="right"/>
            </w:pPr>
            <w:r>
              <w:rPr>
                <w:rFonts w:ascii="Arial" w:hAnsi="Arial"/>
                <w:sz w:val="18"/>
              </w:rPr>
              <w:t>3.36</w:t>
            </w:r>
          </w:p>
        </w:tc>
        <w:tc>
          <w:tcPr>
            <w:tcW w:type="dxa" w:w="2257"/>
          </w:tcPr>
          <w:p>
            <w:r>
              <w:rPr>
                <w:rFonts w:ascii="Arial" w:hAnsi="Arial"/>
                <w:sz w:val="18"/>
              </w:rPr>
              <w:t>Baseline establishment</w:t>
            </w:r>
          </w:p>
        </w:tc>
        <w:tc>
          <w:tcPr>
            <w:tcW w:type="dxa" w:w="2257"/>
          </w:tcPr>
          <w:p>
            <w:r>
              <w:rPr>
                <w:rFonts w:ascii="Arial" w:hAnsi="Arial"/>
                <w:sz w:val="18"/>
              </w:rPr>
              <w:t>—</w:t>
            </w:r>
          </w:p>
        </w:tc>
      </w:tr>
      <w:tr>
        <w:tc>
          <w:tcPr>
            <w:tcW w:type="dxa" w:w="2257"/>
            <w:shd w:fill="F2F6FC" w:val="clear"/>
          </w:tcPr>
          <w:p>
            <w:r>
              <w:rPr>
                <w:rFonts w:ascii="Arial" w:hAnsi="Arial"/>
                <w:sz w:val="18"/>
              </w:rPr>
              <w:t>FY2025</w:t>
            </w:r>
          </w:p>
        </w:tc>
        <w:tc>
          <w:tcPr>
            <w:tcW w:type="dxa" w:w="2257"/>
            <w:shd w:fill="F2F6FC" w:val="clear"/>
          </w:tcPr>
          <w:p>
            <w:pPr>
              <w:jc w:val="right"/>
            </w:pPr>
            <w:r>
              <w:rPr>
                <w:rFonts w:ascii="Arial" w:hAnsi="Arial"/>
                <w:sz w:val="18"/>
              </w:rPr>
              <w:t>3.21</w:t>
            </w:r>
          </w:p>
        </w:tc>
        <w:tc>
          <w:tcPr>
            <w:tcW w:type="dxa" w:w="2257"/>
            <w:shd w:fill="F2F6FC" w:val="clear"/>
          </w:tcPr>
          <w:p>
            <w:r>
              <w:rPr>
                <w:rFonts w:ascii="Arial" w:hAnsi="Arial"/>
                <w:sz w:val="18"/>
              </w:rPr>
              <w:t>Move Tier 5→4 borrowers (request revenue data for top 50 emitters); integrate emissions data requests into credit review</w:t>
            </w:r>
          </w:p>
        </w:tc>
        <w:tc>
          <w:tcPr>
            <w:tcW w:type="dxa" w:w="2257"/>
            <w:shd w:fill="F2F6FC" w:val="clear"/>
          </w:tcPr>
          <w:p>
            <w:r>
              <w:rPr>
                <w:rFonts w:ascii="Arial" w:hAnsi="Arial"/>
                <w:sz w:val="18"/>
              </w:rPr>
              <w:t>-0.15 score improvement; confidence gap narrows to ~27%</w:t>
            </w:r>
          </w:p>
        </w:tc>
      </w:tr>
      <w:tr>
        <w:tc>
          <w:tcPr>
            <w:tcW w:type="dxa" w:w="2257"/>
          </w:tcPr>
          <w:p>
            <w:r>
              <w:rPr>
                <w:rFonts w:ascii="Arial" w:hAnsi="Arial"/>
                <w:sz w:val="18"/>
              </w:rPr>
              <w:t>FY2026</w:t>
            </w:r>
          </w:p>
        </w:tc>
        <w:tc>
          <w:tcPr>
            <w:tcW w:type="dxa" w:w="2257"/>
          </w:tcPr>
          <w:p>
            <w:pPr>
              <w:jc w:val="right"/>
            </w:pPr>
            <w:r>
              <w:rPr>
                <w:rFonts w:ascii="Arial" w:hAnsi="Arial"/>
                <w:sz w:val="18"/>
              </w:rPr>
              <w:t>3.01</w:t>
            </w:r>
          </w:p>
        </w:tc>
        <w:tc>
          <w:tcPr>
            <w:tcW w:type="dxa" w:w="2257"/>
          </w:tcPr>
          <w:p>
            <w:r>
              <w:rPr>
                <w:rFonts w:ascii="Arial" w:hAnsi="Arial"/>
                <w:sz w:val="18"/>
              </w:rPr>
              <w:t>Move Tier 4→3 borrowers (physical activity data from top 100 emitters); launch borrower training workshops (20 sessions)</w:t>
            </w:r>
          </w:p>
        </w:tc>
        <w:tc>
          <w:tcPr>
            <w:tcW w:type="dxa" w:w="2257"/>
          </w:tcPr>
          <w:p>
            <w:r>
              <w:rPr>
                <w:rFonts w:ascii="Arial" w:hAnsi="Arial"/>
                <w:sz w:val="18"/>
              </w:rPr>
              <w:t>-0.20 score improvement; confidence gap narrows to ~20%</w:t>
            </w:r>
          </w:p>
        </w:tc>
      </w:tr>
      <w:tr>
        <w:tc>
          <w:tcPr>
            <w:tcW w:type="dxa" w:w="2257"/>
            <w:shd w:fill="F2F6FC" w:val="clear"/>
          </w:tcPr>
          <w:p>
            <w:r>
              <w:rPr>
                <w:rFonts w:ascii="Arial" w:hAnsi="Arial"/>
                <w:sz w:val="18"/>
              </w:rPr>
              <w:t>FY2027</w:t>
            </w:r>
          </w:p>
        </w:tc>
        <w:tc>
          <w:tcPr>
            <w:tcW w:type="dxa" w:w="2257"/>
            <w:shd w:fill="F2F6FC" w:val="clear"/>
          </w:tcPr>
          <w:p>
            <w:r>
              <w:rPr>
                <w:rFonts w:ascii="Arial" w:hAnsi="Arial"/>
                <w:sz w:val="18"/>
              </w:rPr>
              <w:t>&lt;3.0</w:t>
            </w:r>
          </w:p>
        </w:tc>
        <w:tc>
          <w:tcPr>
            <w:tcW w:type="dxa" w:w="2257"/>
            <w:shd w:fill="F2F6FC" w:val="clear"/>
          </w:tcPr>
          <w:p>
            <w:r>
              <w:rPr>
                <w:rFonts w:ascii="Arial" w:hAnsi="Arial"/>
                <w:sz w:val="18"/>
              </w:rPr>
              <w:t>CDP integration + verified inventories for top 20 emitters; preferential pricing for CDP B- or higher</w:t>
            </w:r>
          </w:p>
        </w:tc>
        <w:tc>
          <w:tcPr>
            <w:tcW w:type="dxa" w:w="2257"/>
            <w:shd w:fill="F2F6FC" w:val="clear"/>
          </w:tcPr>
          <w:p>
            <w:r>
              <w:rPr>
                <w:rFonts w:ascii="Arial" w:hAnsi="Arial"/>
                <w:sz w:val="18"/>
              </w:rPr>
              <w:t>-0.15 score improvement; confidence gap &lt;15%</w:t>
            </w:r>
          </w:p>
        </w:tc>
      </w:tr>
    </w:tbl>
    <w:p>
      <w:r>
        <w:rPr>
          <w:rFonts w:ascii="Arial" w:hAnsi="Arial"/>
          <w:i/>
          <w:sz w:val="16"/>
        </w:rPr>
        <w:t>Source: Source: Sustainability &amp; ESG Division. Confidence gap projection: Current 30.5% (gross-weighted difference). At target score &lt;3.0, projected gap &lt;15%. Annual improvement assumes 40% borrower response rate to data requests.</w:t>
      </w:r>
    </w:p>
    <w:p/>
    <w:p/>
    <w:p>
      <w:r>
        <w:drawing>
          <wp:inline xmlns:a="http://schemas.openxmlformats.org/drawingml/2006/main" xmlns:pic="http://schemas.openxmlformats.org/drawingml/2006/picture">
            <wp:extent cx="5029200" cy="3125972"/>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125972"/>
                    </a:xfrm>
                    <a:prstGeom prst="rect"/>
                  </pic:spPr>
                </pic:pic>
              </a:graphicData>
            </a:graphic>
          </wp:inline>
        </w:drawing>
      </w:r>
    </w:p>
    <w:p>
      <w:pPr>
        <w:jc w:val="center"/>
      </w:pPr>
      <w:r>
        <w:rPr>
          <w:i/>
          <w:color w:val="666666"/>
          <w:sz w:val="18"/>
        </w:rPr>
        <w:t>Figure 17: Financed Emissions by Economic Sector (Gross, tCO₂e)</w:t>
      </w:r>
    </w:p>
    <w:p>
      <w:pPr>
        <w:jc w:val="center"/>
      </w:pPr>
      <w:r>
        <w:rPr>
          <w:i/>
          <w:color w:val="757575"/>
          <w:sz w:val="18"/>
        </w:rPr>
        <w:t>Oil &amp; Gas dominates at 43.56% of financed emissions from only 6.66% of portfolio — primary lever for decarbonization via sectoral exposure limits and client transition plans</w:t>
      </w:r>
    </w:p>
    <w:p/>
    <w:p>
      <w:r>
        <w:drawing>
          <wp:inline xmlns:a="http://schemas.openxmlformats.org/drawingml/2006/main" xmlns:pic="http://schemas.openxmlformats.org/drawingml/2006/picture">
            <wp:extent cx="5029200" cy="293287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2932870"/>
                    </a:xfrm>
                    <a:prstGeom prst="rect"/>
                  </pic:spPr>
                </pic:pic>
              </a:graphicData>
            </a:graphic>
          </wp:inline>
        </w:drawing>
      </w:r>
    </w:p>
    <w:p>
      <w:pPr>
        <w:jc w:val="center"/>
      </w:pPr>
      <w:r>
        <w:rPr>
          <w:i/>
          <w:color w:val="666666"/>
          <w:sz w:val="18"/>
        </w:rPr>
        <w:t>Figure 18: Emission Intensity by Sector (tCO₂e per IDR Billion Outstanding)</w:t>
      </w:r>
    </w:p>
    <w:p>
      <w:pPr>
        <w:jc w:val="center"/>
      </w:pPr>
      <w:r>
        <w:rPr>
          <w:i/>
          <w:color w:val="757575"/>
          <w:sz w:val="18"/>
        </w:rPr>
        <w:t>Oil &amp; Gas intensity (93.2 tCO₂e/IDR Bn) is 261x higher than Financial Services (0.36) — sectoral reallocation offers highest emissions reduction leverage per unit of portfolio shift</w:t>
      </w:r>
    </w:p>
    <w:p/>
    <w:p>
      <w:r>
        <w:drawing>
          <wp:inline xmlns:a="http://schemas.openxmlformats.org/drawingml/2006/main" xmlns:pic="http://schemas.openxmlformats.org/drawingml/2006/picture">
            <wp:extent cx="5029200" cy="326593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265930"/>
                    </a:xfrm>
                    <a:prstGeom prst="rect"/>
                  </pic:spPr>
                </pic:pic>
              </a:graphicData>
            </a:graphic>
          </wp:inline>
        </w:drawing>
      </w:r>
    </w:p>
    <w:p>
      <w:pPr>
        <w:jc w:val="center"/>
      </w:pPr>
      <w:r>
        <w:rPr>
          <w:i/>
          <w:color w:val="666666"/>
          <w:sz w:val="18"/>
        </w:rPr>
        <w:t>Figure 19: PCAF Data Quality Distribution (by % of Financed Emissions)</w:t>
      </w:r>
    </w:p>
    <w:p>
      <w:pPr>
        <w:jc w:val="center"/>
      </w:pPr>
      <w:r>
        <w:rPr>
          <w:i/>
          <w:color w:val="757575"/>
          <w:sz w:val="18"/>
        </w:rPr>
        <w:t>85%+ of financed emissions rely on Tier 3-5 estimation (EEIO models) with zero Tier 1 verified data — 30.5% confidence gap undermines credibility vs peers achieving &gt;60% Tier 1-2 coverage</w:t>
      </w:r>
    </w:p>
    <w:p/>
    <w:p>
      <w:r>
        <w:drawing>
          <wp:inline xmlns:a="http://schemas.openxmlformats.org/drawingml/2006/main" xmlns:pic="http://schemas.openxmlformats.org/drawingml/2006/picture">
            <wp:extent cx="5029200" cy="3284034"/>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284034"/>
                    </a:xfrm>
                    <a:prstGeom prst="rect"/>
                  </pic:spPr>
                </pic:pic>
              </a:graphicData>
            </a:graphic>
          </wp:inline>
        </w:drawing>
      </w:r>
    </w:p>
    <w:p>
      <w:pPr>
        <w:jc w:val="center"/>
      </w:pPr>
      <w:r>
        <w:rPr>
          <w:i/>
          <w:color w:val="666666"/>
          <w:sz w:val="18"/>
        </w:rPr>
        <w:t>Figure 20: Gross vs Confidence-Weighted Financed Emissions (Million tCO₂e)</w:t>
      </w:r>
    </w:p>
    <w:p>
      <w:pPr>
        <w:jc w:val="center"/>
      </w:pPr>
      <w:r>
        <w:rPr>
          <w:i/>
          <w:color w:val="757575"/>
          <w:sz w:val="18"/>
        </w:rPr>
        <w:t>6.7M tCO₂e confidence gap (30.5%) quantifies estimation uncertainty — closing gap to &lt;15% requires transitioning 40%+ of portfolio to Tier 2-3 data by FY2027</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financed emissions profile exhibits three structural vulnerabilities: (1) Extreme sectoral concentration — Oil &amp; Gas alone accounts for 43.56% of financed emissions (9.57M tCO₂e) from 6.66% of portfolio, with emission intensity 261x higher than lowest-emitting sector, creating outsized exposure to carbon pricing, stranded asset risk, and regulatory transition policies; (2) Systemic data quality deficiency — zero borrowers provide verified emissions inventories (Tier 1), with 85%+ relying on economic input-output proxies (Tier 3-5), producing 30.5% confidence gap that prevents credible science-based target setting and undermines investor confidence in decarbonization claims; (3) Incomplete asset class coverage — exclusion of mortgages and listed equity understates total financed emissions footprint by estimated 10-15% based on peer benchmarks, limiting comparability and regulatory compliance readiness for IFRS S2 comprehensive Scope 3 disclosure requirements.</w:t>
            </w:r>
          </w:p>
          <w:p>
            <w:r>
              <w:rPr>
                <w:b/>
                <w:sz w:val="20"/>
              </w:rPr>
              <w:t>Root Causes:</w:t>
            </w:r>
          </w:p>
          <w:p>
            <w:r>
              <w:rPr>
                <w:sz w:val="18"/>
              </w:rPr>
              <w:t>• Absence of mandatory emissions data collection in credit origination and annual review processes — relationship managers lack training and incentives to request borrower GHG inventories, resulting in default reliance on EEIO estimation models</w:t>
            </w:r>
          </w:p>
          <w:p>
            <w:r>
              <w:rPr>
                <w:sz w:val="18"/>
              </w:rPr>
              <w:t>• No sectoral credit policies linking lending decisions to borrower transition plans or emissions performance — carbon-intensive sectors face identical underwriting criteria as low-carbon sectors, enabling portfolio drift toward high-emitting exposures</w:t>
            </w:r>
          </w:p>
          <w:p>
            <w:r>
              <w:rPr>
                <w:sz w:val="18"/>
              </w:rPr>
              <w:t>• PCAF implementation prioritized speed over data quality — initial rollout focused on achieving 100% portfolio coverage using available proxy data rather than phased approach starting with high-quality data for material emitters</w:t>
            </w:r>
          </w:p>
          <w:p>
            <w:r>
              <w:rPr>
                <w:sz w:val="18"/>
              </w:rPr>
              <w:t>• Limited borrower capacity for emissions reporting — 90%+ of Indonesian corporate borrowers lack internal GHG accounting expertise or third-party verification resources, creating supply-side constraint on Tier 1-2 data availability</w:t>
            </w:r>
          </w:p>
          <w:p>
            <w:r>
              <w:rPr>
                <w:b/>
                <w:sz w:val="20"/>
              </w:rPr>
              <w:t>Risk Implications:</w:t>
            </w:r>
          </w:p>
          <w:p>
            <w:r>
              <w:rPr>
                <w:sz w:val="18"/>
              </w:rPr>
              <w:t>• Regulatory compliance risk: OJK SEOJK 16/2021 requires financial institutions to assess environmental risks in lending portfolios; inability to track financed emissions trends prevents demonstration of climate risk management effectiveness, exposing institution to supervisory scrutiny and potential capital add-ons</w:t>
            </w:r>
          </w:p>
          <w:p>
            <w:r>
              <w:rPr>
                <w:sz w:val="18"/>
              </w:rPr>
              <w:t>• Reputational risk: 30.5% confidence gap in financed emissions reporting undermines credibility with ESG-focused investors and rating agencies; Sustainalytics and MSCI ESG ratings penalize financial institutions with PCAF scores &gt;3.5, potentially triggering divestment from ESG funds and increasing cost of capital</w:t>
            </w:r>
          </w:p>
          <w:p>
            <w:r>
              <w:rPr>
                <w:sz w:val="18"/>
              </w:rPr>
              <w:t>• Transition risk: 85.93% emissions concentration in three sectors creates portfolio vulnerability to carbon pricing mechanisms (Indonesia's Nilai Ekonomi Karbon regulation), stranded asset write-downs, and policy-driven demand shifts; 10% carbon price (IDR 75/kgCO₂e per Presidential Regulation 98/2021) would impose IDR 1.65 trillion annual cost on top emitting borrowers, elevating credit risk</w:t>
            </w:r>
          </w:p>
          <w:p>
            <w:r>
              <w:rPr>
                <w:sz w:val="18"/>
              </w:rPr>
              <w:t>• Strategic risk: Absence of sector-specific decarbonization targets prevents alignment with Indonesia's NDC (-31.89% by 2030) and Net Zero 2060 commitment; gap between current trajectory and required 5.8% annual reduction rate will widen, necessitating disruptive portfolio rebalancing in later years with higher economic cost</w:t>
            </w:r>
          </w:p>
        </w:tc>
      </w:tr>
    </w:tbl>
    <w:p/>
    <w:p/>
    <w:p>
      <w:r>
        <w:rPr>
          <w:b/>
          <w:color w:val="2E7D32"/>
          <w:sz w:val="24"/>
        </w:rPr>
        <w:t>⚡ Priority Actions</w:t>
      </w:r>
    </w:p>
    <w:p>
      <w:r>
        <w:rPr>
          <w:b/>
          <w:sz w:val="22"/>
        </w:rPr>
        <w:t>🔴 1. Launch mandatory emissions data collection program for top 100 emitting borrowers (representing ~70% of financed emissions): integrate GHG inventory requests into annual credit review templates, train 150 relationship managers on PCAF data quality tiers and borrower engagement techniques, and establish quarterly data collection targets (40% response rate by Q4 2025). Provide borrower support through 20 GHG Protocol training workshops and subsidized third-party verification for borrowers achieving Tier 2 data quality.</w:t>
      </w:r>
      <w:r>
        <w:rPr>
          <w:sz w:val="22"/>
        </w:rPr>
        <w:t xml:space="preserve"> (Q2 2025 (program launch) — Q4 2025 (first data collection cycle))</w:t>
      </w:r>
    </w:p>
    <w:p>
      <w:pPr>
        <w:spacing w:after="160" w:line="276" w:lineRule="auto"/>
      </w:pPr>
      <w:r>
        <w:t xml:space="preserve">    → Expected: Improve portfolio-weighted PCAF score from 3.36 to 3.21 (-0.15), reducing confidence gap from 30.5% to ~27% (equivalent to 770,000 tCO₂e confidence improvement). Establish baseline for 40% of portfolio with Tier 2-3 data quality, enabling credible science-based target setting by FY2026.</w:t>
      </w:r>
    </w:p>
    <w:p>
      <w:pPr>
        <w:spacing w:after="160" w:line="276" w:lineRule="auto"/>
      </w:pPr>
      <w:r>
        <w:rPr>
          <w:rFonts w:ascii="Arial" w:hAnsi="Arial"/>
          <w:i/>
          <w:color w:val="646464"/>
          <w:sz w:val="18"/>
        </w:rPr>
        <w:t xml:space="preserve">    → Ref: DBS Bank achieved 62% Tier 1-2 data coverage through mandatory CDP disclosure for corporate borrowers &gt;USD 50M exposure, improving PCAF score from 3.8 (2020) to 2.9 (2023). BRI's borrower engagement program trained 500+ SME clients on GHG accounting, achieving 35% Tier 2 data adoption within 18 months.</w:t>
      </w:r>
    </w:p>
    <w:p>
      <w:r>
        <w:rPr>
          <w:b/>
          <w:sz w:val="22"/>
        </w:rPr>
        <w:t>🔴 2. Establish sector-specific financed emissions reduction targets for Oil &amp; Gas, Cement, and Steel sectors aligned with IEA Net Zero by 2050 pathways: set 2030 interim targets (Oil &amp; Gas: -40% intensity, Cement: -35% intensity, Steel: -30% intensity from FY2024 baseline) and implement quarterly emissions performance monitoring for top 20 emitters. Develop conditional lending framework requiring borrowers exceeding sector trajectory by &gt;10% to submit credible transition plans (capital expenditure on renewable energy, carbon capture, or process efficiency) as condition for loan renewal.</w:t>
      </w:r>
      <w:r>
        <w:rPr>
          <w:sz w:val="22"/>
        </w:rPr>
        <w:t xml:space="preserve"> (Q4 2025 (target setting and Board approval) — Q1 2026 (implementation))</w:t>
      </w:r>
    </w:p>
    <w:p>
      <w:pPr>
        <w:spacing w:after="160" w:line="276" w:lineRule="auto"/>
      </w:pPr>
      <w:r>
        <w:t xml:space="preserve">    → Expected: Reduce financed emissions from top 3 sectors by 2.8M tCO₂e by 2030 (13% reduction from current 20.9M tCO₂e), aligning portfolio trajectory with 1.75°C warming scenario. Mitigate transition risk exposure by identifying and engaging high-risk borrowers before policy-driven disruptions materialize.</w:t>
      </w:r>
    </w:p>
    <w:p>
      <w:pPr>
        <w:spacing w:after="160" w:line="276" w:lineRule="auto"/>
      </w:pPr>
      <w:r>
        <w:rPr>
          <w:rFonts w:ascii="Arial" w:hAnsi="Arial"/>
          <w:i/>
          <w:color w:val="646464"/>
          <w:sz w:val="18"/>
        </w:rPr>
        <w:t xml:space="preserve">    → Ref: BRI's SBTi commitment includes sector-specific 2030 targets for power generation (-50% intensity), cement (-25% intensity), and steel (-30% intensity), with quarterly Board reporting on progress. BCA's sectoral credit policies mandate transition plan assessments for Oil &amp; Gas borrowers &gt;USD 25M, resulting in 15% portfolio reallocation to renewable energy lending (2021-2023).</w:t>
      </w:r>
    </w:p>
    <w:p>
      <w:r>
        <w:rPr>
          <w:b/>
          <w:sz w:val="22"/>
        </w:rPr>
        <w:t>🟡 3. Implement automated financed emissions tracking infrastructure: integrate PCAF calculation engine with core banking system to generate monthly emissions snapshots by sector, establish data governance protocols to maintain consistent methodology across reporting periods (freeze sector classifications and emission factors annually), and develop executive dashboard displaying year-over-year trends, variance drivers, and portfolio temperature alignment metrics. Publish first YoY comparison in FY2025 Sustainability Report with quarterly interim updates to Board Risk Committee.</w:t>
      </w:r>
      <w:r>
        <w:rPr>
          <w:sz w:val="22"/>
        </w:rPr>
        <w:t xml:space="preserve"> (Q2 2025 (infrastructure development) — Q3 2025 (first quarterly report))</w:t>
      </w:r>
    </w:p>
    <w:p>
      <w:pPr>
        <w:spacing w:after="160" w:line="276" w:lineRule="auto"/>
      </w:pPr>
      <w:r>
        <w:t xml:space="preserve">    → Expected: Enable real-time monitoring of portfolio decarbonization trajectory, supporting evidence-based lending decisions and demonstrating emissions reduction performance to investors. Quarterly reporting cadence aligns with regulatory expectations (OJK SEOJK 16/2021 requires annual climate risk assessment with interim monitoring).</w:t>
      </w:r>
    </w:p>
    <w:p>
      <w:pPr>
        <w:spacing w:after="160" w:line="276" w:lineRule="auto"/>
      </w:pPr>
      <w:r>
        <w:rPr>
          <w:rFonts w:ascii="Arial" w:hAnsi="Arial"/>
          <w:i/>
          <w:color w:val="646464"/>
          <w:sz w:val="18"/>
        </w:rPr>
        <w:t xml:space="preserve">    → Ref: DBS Bank's quarterly financed emissions reporting demonstrated 12% portfolio intensity reduction (2020-2023), supporting AA MSCI ESG rating upgrade. HSBC's real-time emissions tracking enabled proactive client engagement, achieving 18% reduction in oil &amp; gas financed emissions (2020-2023) through portfolio rebalancing.</w:t>
      </w:r>
    </w:p>
    <w:p>
      <w:r>
        <w:rPr>
          <w:b/>
          <w:sz w:val="22"/>
        </w:rPr>
        <w:t>🟡 4. Expand PCAF asset class coverage to mortgages (residential real estate) and listed equity investments by FY2026: implement PCAF Part B methodology for mortgages using building energy performance proxies (building type, age, floor area), pilot calculation for top 1,000 exposures by Q4 2025. For listed equity, apply PCAF equity attribution methodology leveraging CDP and Bloomberg ESG data for Tier 2 emissions. Target full implementation Q2 2026, adding estimated 1.5-2.0M tCO₂e to total financed emissions footprint.</w:t>
      </w:r>
      <w:r>
        <w:rPr>
          <w:sz w:val="22"/>
        </w:rPr>
        <w:t xml:space="preserve"> (Q4 2025 (pilot) — Q2 2026 (full implementation))</w:t>
      </w:r>
    </w:p>
    <w:p>
      <w:pPr>
        <w:spacing w:after="160" w:line="276" w:lineRule="auto"/>
      </w:pPr>
      <w:r>
        <w:t xml:space="preserve">    → Expected: Achieve comprehensive Scope 3 Category 15 disclosure across all material asset classes, improving comparability with peer banks and meeting IFRS S2 Para 29(a)(vi) requirements. Estimated 8-10% increase in reported financed emissions, providing complete baseline for science-based target setting.</w:t>
      </w:r>
    </w:p>
    <w:p>
      <w:pPr>
        <w:spacing w:after="160" w:line="276" w:lineRule="auto"/>
      </w:pPr>
      <w:r>
        <w:rPr>
          <w:rFonts w:ascii="Arial" w:hAnsi="Arial"/>
          <w:i/>
          <w:color w:val="646464"/>
          <w:sz w:val="18"/>
        </w:rPr>
        <w:t xml:space="preserve">    → Ref: BRI's six asset class PCAF coverage (target 2025) includes mortgages and equity per PCAF Part B. DBS Bank's seven asset class reporting shows mortgages contribute ~8% of financed emissions and equity ~5%, demonstrating materiality of comprehensive coverage.</w:t>
      </w:r>
    </w:p>
    <w:p/>
    <w:p>
      <w:r>
        <w:rPr>
          <w:i/>
          <w:color w:val="3D6094"/>
          <w:sz w:val="18"/>
        </w:rPr>
        <w:t>Framework references: IFRS S2 Para 29(a)(vi): Scope 3 greenhouse gas emissions disclosure requirements; IFRS S2 Para B58-B63: Financed emissions guidance for financial institutions; IFRS S2 Para 29(a)(i)(3): Scope 3 Category 15 reporting per GHG Protocol; SASB FN-CB-410a.3: Financed emissions by asset class; GHG Protocol Corporate Value Chain (Scope 3) Standard (2011): Category 15 Investments; PCAF Global GHG Accounting Standard Part A (2022): Attribution methodology</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PCAF confidence factors applied: Tier 1 (1.00), Tier 2 (0.90), Tier 3 (0.75), Tier 4 (0.60), Tier 5 (0.45). Portfolio-weighted average: 3.36.</w:t>
      </w:r>
    </w:p>
    <w:p>
      <w:pPr>
        <w:spacing w:after="160" w:line="276" w:lineRule="auto"/>
      </w:pPr>
      <w:r>
        <w:rPr>
          <w:rFonts w:ascii="Arial" w:hAnsi="Arial"/>
          <w:i/>
          <w:color w:val="646464"/>
          <w:sz w:val="18"/>
        </w:rPr>
        <w:t>Emission intensity calculated as gross financed emissions divided by outstanding loan amount in IDR billion.</w:t>
      </w:r>
    </w:p>
    <w:p>
      <w:pPr>
        <w:spacing w:after="160" w:line="276" w:lineRule="auto"/>
      </w:pPr>
      <w:r>
        <w:rPr>
          <w:rFonts w:ascii="Arial" w:hAnsi="Arial"/>
          <w:i/>
          <w:color w:val="646464"/>
          <w:sz w:val="18"/>
        </w:rPr>
        <w:t>Year-over-year comparison not available for FY2024 as this is the baseline year for PCAF-aligned financed emissions reporting.</w:t>
      </w:r>
    </w:p>
    <w:p>
      <w:pPr>
        <w:spacing w:after="160" w:line="276" w:lineRule="auto"/>
      </w:pPr>
      <w:r>
        <w:rPr>
          <w:rFonts w:ascii="Arial" w:hAnsi="Arial"/>
          <w:i/>
          <w:color w:val="646464"/>
          <w:sz w:val="18"/>
        </w:rPr>
        <w:t>📋 DATA PROVENANCE: Source: Core Banking System + PCAF Database | EF: PCAF Database 2023 (sector-specific emission factors) | Methodology: PCAF Global GHG Accounting Standard Part A (2022) | Quality: Tier 3-4 (EEIO + revenue/assets) | Validated: 2025-03-15 | Owner: Sustainability &amp; ESG Division</w:t>
      </w:r>
    </w:p>
    <w:p>
      <w:pPr>
        <w:pStyle w:val="Heading2"/>
        <w:keepNext/>
        <w:spacing w:before="360" w:after="160"/>
      </w:pPr>
      <w:r>
        <w:rPr>
          <w:rFonts w:ascii="Arial" w:hAnsi="Arial"/>
          <w:b/>
          <w:color w:val="3D6094"/>
          <w:sz w:val="28"/>
        </w:rPr>
        <w:t>GRI 305-4: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239.4</w:t>
            </w:r>
            <w:r>
              <w:rPr>
                <w:color w:val="757575"/>
                <w:sz w:val="18"/>
              </w:rPr>
              <w:t xml:space="preserve"> tCO₂e/IDR bn</w:t>
            </w:r>
            <w:r>
              <w:rPr>
                <w:b/>
                <w:color w:val="2E7D32"/>
                <w:sz w:val="20"/>
              </w:rPr>
              <w:br/>
              <w:t>-11.37% YoY</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-1.80% YoY</w:t>
            </w:r>
          </w:p>
        </w:tc>
        <w:tc>
          <w:tcPr>
            <w:tcW w:type="dxa" w:w="2257"/>
            <w:shd w:fill="F2F6FA" w:val="clear"/>
          </w:tcPr>
          <w:p>
            <w:pPr>
              <w:jc w:val="center"/>
            </w:pPr>
            <w:r>
              <w:rPr>
                <w:b/>
                <w:color w:val="1B3A6B"/>
                <w:sz w:val="36"/>
              </w:rPr>
              <w:t>+33%</w:t>
            </w:r>
            <w:r>
              <w:rPr>
                <w:color w:val="757575"/>
                <w:sz w:val="18"/>
              </w:rPr>
              <w:t xml:space="preserve"> above peer</w:t>
            </w:r>
            <w:r>
              <w:rPr>
                <w:b/>
                <w:color w:val="C62828"/>
                <w:sz w:val="20"/>
              </w:rPr>
              <w:br/>
              <w:t>14–33% higher than regional peers</w:t>
            </w:r>
          </w:p>
        </w:tc>
        <w:tc>
          <w:tcPr>
            <w:tcW w:type="dxa" w:w="2257"/>
            <w:shd w:fill="F2F6FA" w:val="clear"/>
          </w:tcPr>
          <w:p>
            <w:pPr>
              <w:jc w:val="center"/>
            </w:pPr>
            <w:r>
              <w:rPr>
                <w:b/>
                <w:color w:val="1B3A6B"/>
                <w:sz w:val="36"/>
              </w:rPr>
              <w:t>5.8%</w:t>
            </w:r>
            <w:r>
              <w:rPr>
                <w:color w:val="757575"/>
                <w:sz w:val="18"/>
              </w:rPr>
              <w:t xml:space="preserve"> per year</w:t>
            </w:r>
            <w:r>
              <w:rPr>
                <w:b/>
                <w:color w:val="C62828"/>
                <w:sz w:val="20"/>
              </w:rPr>
              <w:br/>
              <w:t>3.2x current trajectory needed</w:t>
            </w:r>
          </w:p>
        </w:tc>
      </w:tr>
      <w:tr>
        <w:tc>
          <w:tcPr>
            <w:tcW w:type="dxa" w:w="2257"/>
            <w:shd w:fill="F2F6FA" w:val="clear"/>
          </w:tcPr>
          <w:p>
            <w:pPr>
              <w:jc w:val="center"/>
            </w:pPr>
            <w:r>
              <w:rPr>
                <w:color w:val="757575"/>
                <w:sz w:val="16"/>
              </w:rPr>
              <w:t>Revenue Intensity (FY 2024)</w:t>
            </w:r>
          </w:p>
        </w:tc>
        <w:tc>
          <w:tcPr>
            <w:tcW w:type="dxa" w:w="2257"/>
            <w:shd w:fill="F2F6FA" w:val="clear"/>
          </w:tcPr>
          <w:p>
            <w:pPr>
              <w:jc w:val="center"/>
            </w:pPr>
            <w:r>
              <w:rPr>
                <w:color w:val="757575"/>
                <w:sz w:val="16"/>
              </w:rPr>
              <w:t>FTE Intensity (FY 2024)</w:t>
            </w:r>
          </w:p>
        </w:tc>
        <w:tc>
          <w:tcPr>
            <w:tcW w:type="dxa" w:w="2257"/>
            <w:shd w:fill="F2F6FA" w:val="clear"/>
          </w:tcPr>
          <w:p>
            <w:pPr>
              <w:jc w:val="center"/>
            </w:pPr>
            <w:r>
              <w:rPr>
                <w:color w:val="757575"/>
                <w:sz w:val="16"/>
              </w:rPr>
              <w:t>Gap vs DBS Benchmark</w:t>
            </w:r>
          </w:p>
        </w:tc>
        <w:tc>
          <w:tcPr>
            <w:tcW w:type="dxa" w:w="2257"/>
            <w:shd w:fill="F2F6FA" w:val="clear"/>
          </w:tcPr>
          <w:p>
            <w:pPr>
              <w:jc w:val="center"/>
            </w:pPr>
            <w:r>
              <w:rPr>
                <w:color w:val="757575"/>
                <w:sz w:val="16"/>
              </w:rPr>
              <w:t>Required Annual Reduction (to 2030 Target)</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Intensity turun 11.37% YoY tapi masih 14–33% lebih tinggi dari DBS/OCBC — oil &amp; gas exposure adalah gap driver utama</w:t>
            </w:r>
          </w:p>
          <w:p>
            <w:r>
              <w:rPr>
                <w:sz w:val="20"/>
              </w:rPr>
              <w:t>Revenue intensity 239.4 tCO₂e/IDR bn vs DBS ~180 dan OCBC ~210. Gap disebabkan 43.56% financed emissions dari Energy - Oil &amp; Gas dan 26.45% dari Cement. Improvement 11.37% YoY didorong portfolio rebalancing, tapi trajectory saat ini (11.37%/tahun) tidak sustainable untuk capai target 30% by 2030 (butuh 5.8%/tahun konsisten). Peer seperti DBS capai 8.3% reduction melalui systematic borrower engagement.</w:t>
            </w:r>
          </w:p>
        </w:tc>
      </w:tr>
    </w:tbl>
    <w:p/>
    <w:p>
      <w:pPr>
        <w:spacing w:after="160" w:line="276" w:lineRule="auto"/>
      </w:pPr>
      <w:r>
        <w:rPr>
          <w:rFonts w:ascii="Arial" w:hAnsi="Arial"/>
          <w:sz w:val="22"/>
        </w:rPr>
        <w:t>The institution's greenhouse gas emissions intensity for the reporting year 2024 was 239.400139 tCO₂e per IDR billion of revenue and 1.9209 tCO₂e per full-time equivalent employee. These intensity metrics normalize total emissions against key organizational performance indicators to enable year-over-year comparison and benchmarking against industry peers. Revenue-based intensity reflects the carbon efficiency of the institution's entire value chain, including financed emissions, while FTE-based intensity measures the operational carbon footprint per employee.</w:t>
      </w:r>
    </w:p>
    <w:p>
      <w:pPr>
        <w:spacing w:after="160" w:line="276" w:lineRule="auto"/>
      </w:pPr>
      <w:r>
        <w:rPr>
          <w:rFonts w:ascii="Arial" w:hAnsi="Arial"/>
          <w:sz w:val="22"/>
        </w:rPr>
        <w:t>The revenue-based intensity metric uses total consolidated revenue of IDR 63,830.5 billion as the denominator, sourced from audited financial statements for the fiscal year ended December 31, 2024. The numerator comprises Scope 1 direct emissions (3,402.997 tCO₂e), Scope 2 market-based location emissions (44,612.518 tCO₂e), and Scope 3 Category 15 gross financed emissions (21,976,797.3 tCO₂e), totaling 22,024,812.815 tCO₂e. The FTE-based intensity metric uses 24,997 full-time equivalent employees as the denominator, defined as permanent staff on the institution's payroll as of December 31, 2024, excluding contractors and temporary workers. The numerator for FTE intensity comprises only Scope 1 and Scope 2 market-based emissions (48,015.515 tCO₂e), reflecting operational emissions directly attributable to employee activities.</w:t>
      </w:r>
    </w:p>
    <w:p>
      <w:pPr>
        <w:spacing w:after="160" w:line="276" w:lineRule="auto"/>
      </w:pPr>
      <w:r>
        <w:rPr>
          <w:rFonts w:ascii="Arial" w:hAnsi="Arial"/>
          <w:sz w:val="22"/>
        </w:rPr>
        <w:t>Year-over-year analysis demonstrates a 11.37% improvement in revenue-based intensity, declining from 270.116632 tCO₂e per IDR billion in 2023 to 239.400139 tCO₂e per IDR billion in 2024. This improvement was driven by a 4.07% reduction in absolute financed emissions (Scope 3 Category 15 weighted emissions decreased from 15,576,239.57 tCO₂e to 15,280,174.14 tCO₂e) combined with revenue growth of approximately 7.8%. The FTE-based intensity improved by 1.80%, declining from 1.956 tCO₂e per FTE in 2023 to 1.9209 tCO₂e per FTE in 2024, reflecting stable operational emissions despite a 2.03% increase in headcount from 24,500 to 24,997 employees.</w:t>
      </w:r>
    </w:p>
    <w:p>
      <w:pPr>
        <w:spacing w:after="160" w:line="276" w:lineRule="auto"/>
      </w:pPr>
      <w:r>
        <w:rPr>
          <w:rFonts w:ascii="Arial" w:hAnsi="Arial"/>
          <w:sz w:val="22"/>
        </w:rPr>
        <w:t>The institution's revenue-based intensity of 239.4 tCO₂e per IDR billion significantly exceeds industry benchmarks due to the high carbon intensity of the loan portfolio, particularly exposure to Energy - Oil &amp; Gas (43.56% of financed emissions) and Manufacturing - Cement (26.45% of financed emissions) sectors. While the 11.37% year-over-year improvement demonstrates progress, the absolute intensity level remains elevated compared to regional peers. DBS Group reported a financed emissions intensity of approximately 180 tCO₂e per SGD billion in 2023, while OCBC's disclosed intensity for high-carbon sectors was approximately 210 tCO₂e per SGD billion. The institution's operational intensity (FTE-based) of 1.92 tCO₂e per employee is within the regional banking sector range of 1.5–2.5 tCO₂e per FTE, though opportunities exist for further reduction through renewable energy procurement and energy efficiency measures.</w:t>
      </w:r>
    </w:p>
    <w:p>
      <w:pPr>
        <w:spacing w:after="160" w:line="276" w:lineRule="auto"/>
      </w:pPr>
      <w:r>
        <w:rPr>
          <w:rFonts w:ascii="Arial" w:hAnsi="Arial"/>
          <w:sz w:val="22"/>
        </w:rPr>
        <w:t>The intensity improvement trajectory aligns with the institution's transition plan to reduce portfolio carbon intensity by 30% by 2030 from the 2024 baseline. Achieving this target requires an average annual intensity reduction of 5.8%, which is significantly higher than the 11.37% achieved in 2024 but reflects the one-time benefit of portfolio rebalancing. Sustained intensity reduction will require systematic implementation of sector-specific decarbonization strategies, including engagement with high-emitting borrowers to adopt transition pathways aligned with 1.5°C scenarios, increased allocation to renewable energy and green building projects, and integration of carbon pricing into credit risk assessment frameworks. The institution has established a Climate Risk Committee at the Board level to oversee progress against intensity targets and ensure alignment with Indonesia's Nationally Determined Contribution (NDC) commitment of 31.89% emissions reduction by 2030.</w:t>
      </w:r>
    </w:p>
    <w:p>
      <w:r>
        <w:rPr>
          <w:rFonts w:ascii="Arial" w:hAnsi="Arial"/>
          <w:b/>
          <w:sz w:val="20"/>
        </w:rPr>
        <w:t>Table 36: Table 1: GHG Emissions Intensity Calculation Methodology (FY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Intensity 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Revenue-based (Total Emissions)</w:t>
            </w:r>
          </w:p>
        </w:tc>
        <w:tc>
          <w:tcPr>
            <w:tcW w:type="dxa" w:w="1806"/>
          </w:tcPr>
          <w:p>
            <w:pPr>
              <w:jc w:val="right"/>
            </w:pPr>
            <w:r>
              <w:rPr>
                <w:rFonts w:ascii="Arial" w:hAnsi="Arial"/>
                <w:sz w:val="18"/>
              </w:rPr>
              <w:t>22,024,812.815</w:t>
            </w:r>
          </w:p>
        </w:tc>
        <w:tc>
          <w:tcPr>
            <w:tcW w:type="dxa" w:w="1806"/>
          </w:tcPr>
          <w:p>
            <w:r>
              <w:rPr>
                <w:rFonts w:ascii="Arial" w:hAnsi="Arial"/>
                <w:sz w:val="18"/>
              </w:rPr>
              <w:t>63,830.5 billion IDR</w:t>
            </w:r>
          </w:p>
        </w:tc>
        <w:tc>
          <w:tcPr>
            <w:tcW w:type="dxa" w:w="1806"/>
          </w:tcPr>
          <w:p>
            <w:pPr>
              <w:jc w:val="right"/>
            </w:pPr>
            <w:r>
              <w:rPr>
                <w:rFonts w:ascii="Arial" w:hAnsi="Arial"/>
                <w:sz w:val="18"/>
              </w:rPr>
              <w:t>239.400139</w:t>
            </w:r>
          </w:p>
        </w:tc>
        <w:tc>
          <w:tcPr>
            <w:tcW w:type="dxa" w:w="1806"/>
          </w:tcPr>
          <w:p>
            <w:r>
              <w:rPr>
                <w:rFonts w:ascii="Arial" w:hAnsi="Arial"/>
                <w:sz w:val="18"/>
              </w:rPr>
              <w:t>tCO₂e per IDR billion</w:t>
            </w:r>
          </w:p>
        </w:tc>
      </w:tr>
      <w:tr>
        <w:tc>
          <w:tcPr>
            <w:tcW w:type="dxa" w:w="1806"/>
            <w:shd w:fill="F2F6FC" w:val="clear"/>
          </w:tcPr>
          <w:p>
            <w:r>
              <w:rPr>
                <w:rFonts w:ascii="Arial" w:hAnsi="Arial"/>
                <w:sz w:val="18"/>
              </w:rPr>
              <w:t>FTE-based (Operational Emissions)</w:t>
            </w:r>
          </w:p>
        </w:tc>
        <w:tc>
          <w:tcPr>
            <w:tcW w:type="dxa" w:w="1806"/>
            <w:shd w:fill="F2F6FC" w:val="clear"/>
          </w:tcPr>
          <w:p>
            <w:pPr>
              <w:jc w:val="right"/>
            </w:pPr>
            <w:r>
              <w:rPr>
                <w:rFonts w:ascii="Arial" w:hAnsi="Arial"/>
                <w:sz w:val="18"/>
              </w:rPr>
              <w:t>48,015.515</w:t>
            </w:r>
          </w:p>
        </w:tc>
        <w:tc>
          <w:tcPr>
            <w:tcW w:type="dxa" w:w="1806"/>
            <w:shd w:fill="F2F6FC" w:val="clear"/>
          </w:tcPr>
          <w:p>
            <w:r>
              <w:rPr>
                <w:rFonts w:ascii="Arial" w:hAnsi="Arial"/>
                <w:sz w:val="18"/>
              </w:rPr>
              <w:t>24,997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 per FTE</w:t>
            </w:r>
          </w:p>
        </w:tc>
      </w:tr>
    </w:tbl>
    <w:p>
      <w:r>
        <w:rPr>
          <w:rFonts w:ascii="Arial" w:hAnsi="Arial"/>
          <w:i/>
          <w:sz w:val="16"/>
        </w:rPr>
        <w:t>Source: Numerator for revenue-based intensity: Scope 1 (3,402.997) + Scope 2 market-based (44,612.518) + Scope 3 Cat.15 gross (21,976,797.3). Numerator for FTE-based intensity: Scope 1 + Scope 2 market-based only. Revenue sourced from audited financial statements; FTE count as of December 31, 2024.</w:t>
      </w:r>
    </w:p>
    <w:p/>
    <w:p>
      <w:r>
        <w:rPr>
          <w:rFonts w:ascii="Arial" w:hAnsi="Arial"/>
          <w:b/>
          <w:sz w:val="20"/>
        </w:rPr>
        <w:t>Table 38: Table 2: Year-over-Year Intensity Performance (FY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 2023</w:t>
            </w:r>
          </w:p>
        </w:tc>
        <w:tc>
          <w:tcPr>
            <w:tcW w:type="dxa" w:w="1806"/>
            <w:shd w:fill="1B3A6B" w:val="clear"/>
          </w:tcPr>
          <w:p>
            <w:r>
              <w:rPr>
                <w:rFonts w:ascii="Arial" w:hAnsi="Arial"/>
                <w:b/>
                <w:color w:val="FFFFFF"/>
                <w:sz w:val="18"/>
              </w:rPr>
              <w:t>FY 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-30.716493</w:t>
            </w:r>
          </w:p>
        </w:tc>
        <w:tc>
          <w:tcPr>
            <w:tcW w:type="dxa" w:w="1806"/>
          </w:tcPr>
          <w:p>
            <w:pPr>
              <w:jc w:val="right"/>
            </w:pPr>
            <w:r>
              <w:rPr>
                <w:rFonts w:ascii="Arial" w:hAnsi="Arial"/>
                <w:sz w:val="18"/>
              </w:rPr>
              <w:t>-11.37%</w:t>
            </w:r>
          </w:p>
        </w:tc>
      </w:tr>
      <w:tr>
        <w:tc>
          <w:tcPr>
            <w:tcW w:type="dxa" w:w="1806"/>
            <w:shd w:fill="F2F6FC" w:val="clear"/>
          </w:tcPr>
          <w:p>
            <w:r>
              <w:rPr>
                <w:rFonts w:ascii="Arial" w:hAnsi="Arial"/>
                <w:sz w:val="18"/>
              </w:rPr>
              <w:t>FTE Intensity (tCO₂e/FTE)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-0.0351</w:t>
            </w:r>
          </w:p>
        </w:tc>
        <w:tc>
          <w:tcPr>
            <w:tcW w:type="dxa" w:w="1806"/>
            <w:shd w:fill="F2F6FC" w:val="clear"/>
          </w:tcPr>
          <w:p>
            <w:pPr>
              <w:jc w:val="right"/>
            </w:pPr>
            <w:r>
              <w:rPr>
                <w:rFonts w:ascii="Arial" w:hAnsi="Arial"/>
                <w:sz w:val="18"/>
              </w:rPr>
              <w:t>-1.80%</w:t>
            </w:r>
          </w:p>
        </w:tc>
      </w:tr>
      <w:tr>
        <w:tc>
          <w:tcPr>
            <w:tcW w:type="dxa" w:w="1806"/>
          </w:tcPr>
          <w:p>
            <w:r>
              <w:rPr>
                <w:rFonts w:ascii="Arial" w:hAnsi="Arial"/>
                <w:sz w:val="18"/>
              </w:rPr>
              <w:t>Total Emissions (tCO₂e)</w:t>
            </w:r>
          </w:p>
        </w:tc>
        <w:tc>
          <w:tcPr>
            <w:tcW w:type="dxa" w:w="1806"/>
          </w:tcPr>
          <w:p>
            <w:pPr>
              <w:jc w:val="right"/>
            </w:pPr>
            <w:r>
              <w:rPr>
                <w:rFonts w:ascii="Arial" w:hAnsi="Arial"/>
                <w:sz w:val="18"/>
              </w:rPr>
              <w:t>22,959,819.13</w:t>
            </w:r>
          </w:p>
        </w:tc>
        <w:tc>
          <w:tcPr>
            <w:tcW w:type="dxa" w:w="1806"/>
          </w:tcPr>
          <w:p>
            <w:pPr>
              <w:jc w:val="right"/>
            </w:pPr>
            <w:r>
              <w:rPr>
                <w:rFonts w:ascii="Arial" w:hAnsi="Arial"/>
                <w:sz w:val="18"/>
              </w:rPr>
              <w:t>22,024,812.815</w:t>
            </w:r>
          </w:p>
        </w:tc>
        <w:tc>
          <w:tcPr>
            <w:tcW w:type="dxa" w:w="1806"/>
          </w:tcPr>
          <w:p>
            <w:pPr>
              <w:jc w:val="right"/>
            </w:pPr>
            <w:r>
              <w:rPr>
                <w:rFonts w:ascii="Arial" w:hAnsi="Arial"/>
                <w:sz w:val="18"/>
              </w:rPr>
              <w:t>-935,006.315</w:t>
            </w:r>
          </w:p>
        </w:tc>
        <w:tc>
          <w:tcPr>
            <w:tcW w:type="dxa" w:w="1806"/>
          </w:tcPr>
          <w:p>
            <w:pPr>
              <w:jc w:val="right"/>
            </w:pPr>
            <w:r>
              <w:rPr>
                <w:rFonts w:ascii="Arial" w:hAnsi="Arial"/>
                <w:sz w:val="18"/>
              </w:rPr>
              <w:t>-4.07%</w:t>
            </w:r>
          </w:p>
        </w:tc>
      </w:tr>
      <w:tr>
        <w:tc>
          <w:tcPr>
            <w:tcW w:type="dxa" w:w="1806"/>
            <w:shd w:fill="F2F6FC" w:val="clear"/>
          </w:tcPr>
          <w:p>
            <w:r>
              <w:rPr>
                <w:rFonts w:ascii="Arial" w:hAnsi="Arial"/>
                <w:sz w:val="18"/>
              </w:rPr>
              <w:t>Revenue (IDR billion)</w:t>
            </w:r>
          </w:p>
        </w:tc>
        <w:tc>
          <w:tcPr>
            <w:tcW w:type="dxa" w:w="1806"/>
            <w:shd w:fill="F2F6FC" w:val="clear"/>
          </w:tcPr>
          <w:p>
            <w:pPr>
              <w:jc w:val="right"/>
            </w:pPr>
            <w:r>
              <w:rPr>
                <w:rFonts w:ascii="Arial" w:hAnsi="Arial"/>
                <w:sz w:val="18"/>
              </w:rPr>
              <w:t>59,200</w:t>
            </w:r>
          </w:p>
        </w:tc>
        <w:tc>
          <w:tcPr>
            <w:tcW w:type="dxa" w:w="1806"/>
            <w:shd w:fill="F2F6FC" w:val="clear"/>
          </w:tcPr>
          <w:p>
            <w:pPr>
              <w:jc w:val="right"/>
            </w:pPr>
            <w:r>
              <w:rPr>
                <w:rFonts w:ascii="Arial" w:hAnsi="Arial"/>
                <w:sz w:val="18"/>
              </w:rPr>
              <w:t>63,830.5</w:t>
            </w:r>
          </w:p>
        </w:tc>
        <w:tc>
          <w:tcPr>
            <w:tcW w:type="dxa" w:w="1806"/>
            <w:shd w:fill="F2F6FC" w:val="clear"/>
          </w:tcPr>
          <w:p>
            <w:pPr>
              <w:jc w:val="right"/>
            </w:pPr>
            <w:r>
              <w:rPr>
                <w:rFonts w:ascii="Arial" w:hAnsi="Arial"/>
                <w:sz w:val="18"/>
              </w:rPr>
              <w:t>+4,630.5</w:t>
            </w:r>
          </w:p>
        </w:tc>
        <w:tc>
          <w:tcPr>
            <w:tcW w:type="dxa" w:w="1806"/>
            <w:shd w:fill="F2F6FC" w:val="clear"/>
          </w:tcPr>
          <w:p>
            <w:pPr>
              <w:jc w:val="right"/>
            </w:pPr>
            <w:r>
              <w:rPr>
                <w:rFonts w:ascii="Arial" w:hAnsi="Arial"/>
                <w:sz w:val="18"/>
              </w:rPr>
              <w:t>+7.82%</w:t>
            </w:r>
          </w:p>
        </w:tc>
      </w:tr>
      <w:tr>
        <w:tc>
          <w:tcPr>
            <w:tcW w:type="dxa" w:w="1806"/>
          </w:tcPr>
          <w:p>
            <w:r>
              <w:rPr>
                <w:rFonts w:ascii="Arial" w:hAnsi="Arial"/>
                <w:sz w:val="18"/>
              </w:rPr>
              <w:t>FTE Count</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+497</w:t>
            </w:r>
          </w:p>
        </w:tc>
        <w:tc>
          <w:tcPr>
            <w:tcW w:type="dxa" w:w="1806"/>
          </w:tcPr>
          <w:p>
            <w:pPr>
              <w:jc w:val="right"/>
            </w:pPr>
            <w:r>
              <w:rPr>
                <w:rFonts w:ascii="Arial" w:hAnsi="Arial"/>
                <w:sz w:val="18"/>
              </w:rPr>
              <w:t>+2.03%</w:t>
            </w:r>
          </w:p>
        </w:tc>
      </w:tr>
    </w:tbl>
    <w:p>
      <w:r>
        <w:rPr>
          <w:rFonts w:ascii="Arial" w:hAnsi="Arial"/>
          <w:i/>
          <w:sz w:val="16"/>
        </w:rPr>
        <w:t>Source: FY 2023 revenue estimated based on intensity calculation reconciliation. Emissions data from GHG inventory per GHG Protocol Corporate Standard and PCAF Global Standard Part A.</w:t>
      </w:r>
    </w:p>
    <w:p/>
    <w:p>
      <w:r>
        <w:rPr>
          <w:rFonts w:ascii="Arial" w:hAnsi="Arial"/>
          <w:b/>
          <w:sz w:val="20"/>
        </w:rPr>
        <w:t>Table 40: Table 3: Industry Benchmark Comparison — Revenue-Based Intensity (FY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Jurisdiction</w:t>
            </w:r>
          </w:p>
        </w:tc>
        <w:tc>
          <w:tcPr>
            <w:tcW w:type="dxa" w:w="1806"/>
            <w:shd w:fill="1B3A6B" w:val="clear"/>
          </w:tcPr>
          <w:p>
            <w:r>
              <w:rPr>
                <w:rFonts w:ascii="Arial" w:hAnsi="Arial"/>
                <w:b/>
                <w:color w:val="FFFFFF"/>
                <w:sz w:val="18"/>
              </w:rPr>
              <w:t>Intensity (tCO₂e per local currency billion)</w:t>
            </w:r>
          </w:p>
        </w:tc>
        <w:tc>
          <w:tcPr>
            <w:tcW w:type="dxa" w:w="1806"/>
            <w:shd w:fill="1B3A6B" w:val="clear"/>
          </w:tcPr>
          <w:p>
            <w:r>
              <w:rPr>
                <w:rFonts w:ascii="Arial" w:hAnsi="Arial"/>
                <w:b/>
                <w:color w:val="FFFFFF"/>
                <w:sz w:val="18"/>
              </w:rPr>
              <w:t>Reporting Year</w:t>
            </w:r>
          </w:p>
        </w:tc>
        <w:tc>
          <w:tcPr>
            <w:tcW w:type="dxa" w:w="1806"/>
            <w:shd w:fill="1B3A6B" w:val="clear"/>
          </w:tcPr>
          <w:p>
            <w:r>
              <w:rPr>
                <w:rFonts w:ascii="Arial" w:hAnsi="Arial"/>
                <w:b/>
                <w:color w:val="FFFFFF"/>
                <w:sz w:val="18"/>
              </w:rPr>
              <w:t>Scope Coverage</w:t>
            </w:r>
          </w:p>
        </w:tc>
      </w:tr>
      <w:tr>
        <w:tc>
          <w:tcPr>
            <w:tcW w:type="dxa" w:w="1806"/>
          </w:tcPr>
          <w:p>
            <w:r>
              <w:rPr>
                <w:rFonts w:ascii="Arial" w:hAnsi="Arial"/>
                <w:sz w:val="18"/>
              </w:rPr>
              <w:t>Generic Financial Institution</w:t>
            </w:r>
          </w:p>
        </w:tc>
        <w:tc>
          <w:tcPr>
            <w:tcW w:type="dxa" w:w="1806"/>
          </w:tcPr>
          <w:p>
            <w:r>
              <w:rPr>
                <w:rFonts w:ascii="Arial" w:hAnsi="Arial"/>
                <w:sz w:val="18"/>
              </w:rPr>
              <w:t>Indonesia</w:t>
            </w:r>
          </w:p>
        </w:tc>
        <w:tc>
          <w:tcPr>
            <w:tcW w:type="dxa" w:w="1806"/>
          </w:tcPr>
          <w:p>
            <w:r>
              <w:rPr>
                <w:rFonts w:ascii="Arial" w:hAnsi="Arial"/>
                <w:sz w:val="18"/>
              </w:rPr>
              <w:t>239.4 (IDR)</w:t>
            </w:r>
          </w:p>
        </w:tc>
        <w:tc>
          <w:tcPr>
            <w:tcW w:type="dxa" w:w="1806"/>
          </w:tcPr>
          <w:p>
            <w:pPr>
              <w:jc w:val="right"/>
            </w:pPr>
            <w:r>
              <w:rPr>
                <w:rFonts w:ascii="Arial" w:hAnsi="Arial"/>
                <w:sz w:val="18"/>
              </w:rPr>
              <w:t>2024</w:t>
            </w:r>
          </w:p>
        </w:tc>
        <w:tc>
          <w:tcPr>
            <w:tcW w:type="dxa" w:w="1806"/>
          </w:tcPr>
          <w:p>
            <w:r>
              <w:rPr>
                <w:rFonts w:ascii="Arial" w:hAnsi="Arial"/>
                <w:sz w:val="18"/>
              </w:rPr>
              <w:t>Scope 1+2+3 Cat.15 gross</w:t>
            </w:r>
          </w:p>
        </w:tc>
      </w:tr>
      <w:tr>
        <w:tc>
          <w:tcPr>
            <w:tcW w:type="dxa" w:w="1806"/>
            <w:shd w:fill="F2F6FC" w:val="clear"/>
          </w:tcPr>
          <w:p>
            <w:r>
              <w:rPr>
                <w:rFonts w:ascii="Arial" w:hAnsi="Arial"/>
                <w:sz w:val="18"/>
              </w:rPr>
              <w:t>DBS Group</w:t>
            </w:r>
          </w:p>
        </w:tc>
        <w:tc>
          <w:tcPr>
            <w:tcW w:type="dxa" w:w="1806"/>
            <w:shd w:fill="F2F6FC" w:val="clear"/>
          </w:tcPr>
          <w:p>
            <w:r>
              <w:rPr>
                <w:rFonts w:ascii="Arial" w:hAnsi="Arial"/>
                <w:sz w:val="18"/>
              </w:rPr>
              <w:t>Singapore</w:t>
            </w:r>
          </w:p>
        </w:tc>
        <w:tc>
          <w:tcPr>
            <w:tcW w:type="dxa" w:w="1806"/>
            <w:shd w:fill="F2F6FC" w:val="clear"/>
          </w:tcPr>
          <w:p>
            <w:r>
              <w:rPr>
                <w:rFonts w:ascii="Arial" w:hAnsi="Arial"/>
                <w:sz w:val="18"/>
              </w:rPr>
              <w:t>~180 (SGD)</w:t>
            </w:r>
          </w:p>
        </w:tc>
        <w:tc>
          <w:tcPr>
            <w:tcW w:type="dxa" w:w="1806"/>
            <w:shd w:fill="F2F6FC" w:val="clear"/>
          </w:tcPr>
          <w:p>
            <w:pPr>
              <w:jc w:val="right"/>
            </w:pPr>
            <w:r>
              <w:rPr>
                <w:rFonts w:ascii="Arial" w:hAnsi="Arial"/>
                <w:sz w:val="18"/>
              </w:rPr>
              <w:t>2023</w:t>
            </w:r>
          </w:p>
        </w:tc>
        <w:tc>
          <w:tcPr>
            <w:tcW w:type="dxa" w:w="1806"/>
            <w:shd w:fill="F2F6FC" w:val="clear"/>
          </w:tcPr>
          <w:p>
            <w:r>
              <w:rPr>
                <w:rFonts w:ascii="Arial" w:hAnsi="Arial"/>
                <w:sz w:val="18"/>
              </w:rPr>
              <w:t>Scope 1+2+3 Cat.15 weighted</w:t>
            </w:r>
          </w:p>
        </w:tc>
      </w:tr>
      <w:tr>
        <w:tc>
          <w:tcPr>
            <w:tcW w:type="dxa" w:w="1806"/>
          </w:tcPr>
          <w:p>
            <w:r>
              <w:rPr>
                <w:rFonts w:ascii="Arial" w:hAnsi="Arial"/>
                <w:sz w:val="18"/>
              </w:rPr>
              <w:t>OCBC (High-Carbon Sectors)</w:t>
            </w:r>
          </w:p>
        </w:tc>
        <w:tc>
          <w:tcPr>
            <w:tcW w:type="dxa" w:w="1806"/>
          </w:tcPr>
          <w:p>
            <w:r>
              <w:rPr>
                <w:rFonts w:ascii="Arial" w:hAnsi="Arial"/>
                <w:sz w:val="18"/>
              </w:rPr>
              <w:t>Singapore</w:t>
            </w:r>
          </w:p>
        </w:tc>
        <w:tc>
          <w:tcPr>
            <w:tcW w:type="dxa" w:w="1806"/>
          </w:tcPr>
          <w:p>
            <w:r>
              <w:rPr>
                <w:rFonts w:ascii="Arial" w:hAnsi="Arial"/>
                <w:sz w:val="18"/>
              </w:rPr>
              <w:t>~210 (SGD)</w:t>
            </w:r>
          </w:p>
        </w:tc>
        <w:tc>
          <w:tcPr>
            <w:tcW w:type="dxa" w:w="1806"/>
          </w:tcPr>
          <w:p>
            <w:pPr>
              <w:jc w:val="right"/>
            </w:pPr>
            <w:r>
              <w:rPr>
                <w:rFonts w:ascii="Arial" w:hAnsi="Arial"/>
                <w:sz w:val="18"/>
              </w:rPr>
              <w:t>2024</w:t>
            </w:r>
          </w:p>
        </w:tc>
        <w:tc>
          <w:tcPr>
            <w:tcW w:type="dxa" w:w="1806"/>
          </w:tcPr>
          <w:p>
            <w:r>
              <w:rPr>
                <w:rFonts w:ascii="Arial" w:hAnsi="Arial"/>
                <w:sz w:val="18"/>
              </w:rPr>
              <w:t>Scope 3 Cat.15 selected sectors</w:t>
            </w:r>
          </w:p>
        </w:tc>
      </w:tr>
      <w:tr>
        <w:tc>
          <w:tcPr>
            <w:tcW w:type="dxa" w:w="1806"/>
            <w:shd w:fill="F2F6FC" w:val="clear"/>
          </w:tcPr>
          <w:p>
            <w:r>
              <w:rPr>
                <w:rFonts w:ascii="Arial" w:hAnsi="Arial"/>
                <w:sz w:val="18"/>
              </w:rPr>
              <w:t>BCA</w:t>
            </w:r>
          </w:p>
        </w:tc>
        <w:tc>
          <w:tcPr>
            <w:tcW w:type="dxa" w:w="1806"/>
            <w:shd w:fill="F2F6FC" w:val="clear"/>
          </w:tcPr>
          <w:p>
            <w:r>
              <w:rPr>
                <w:rFonts w:ascii="Arial" w:hAnsi="Arial"/>
                <w:sz w:val="18"/>
              </w:rPr>
              <w:t>Indonesia</w:t>
            </w:r>
          </w:p>
        </w:tc>
        <w:tc>
          <w:tcPr>
            <w:tcW w:type="dxa" w:w="1806"/>
            <w:shd w:fill="F2F6FC" w:val="clear"/>
          </w:tcPr>
          <w:p>
            <w:r>
              <w:rPr>
                <w:rFonts w:ascii="Arial" w:hAnsi="Arial"/>
                <w:sz w:val="18"/>
              </w:rPr>
              <w:t>Not disclosed</w:t>
            </w:r>
          </w:p>
        </w:tc>
        <w:tc>
          <w:tcPr>
            <w:tcW w:type="dxa" w:w="1806"/>
            <w:shd w:fill="F2F6FC" w:val="clear"/>
          </w:tcPr>
          <w:p>
            <w:pPr>
              <w:jc w:val="right"/>
            </w:pPr>
            <w:r>
              <w:rPr>
                <w:rFonts w:ascii="Arial" w:hAnsi="Arial"/>
                <w:sz w:val="18"/>
              </w:rPr>
              <w:t>2024</w:t>
            </w:r>
          </w:p>
        </w:tc>
        <w:tc>
          <w:tcPr>
            <w:tcW w:type="dxa" w:w="1806"/>
            <w:shd w:fill="F2F6FC" w:val="clear"/>
          </w:tcPr>
          <w:p>
            <w:r>
              <w:rPr>
                <w:rFonts w:ascii="Arial" w:hAnsi="Arial"/>
                <w:sz w:val="18"/>
              </w:rPr>
              <w:t>—</w:t>
            </w:r>
          </w:p>
        </w:tc>
      </w:tr>
      <w:tr>
        <w:tc>
          <w:tcPr>
            <w:tcW w:type="dxa" w:w="1806"/>
          </w:tcPr>
          <w:p>
            <w:r>
              <w:rPr>
                <w:rFonts w:ascii="Arial" w:hAnsi="Arial"/>
                <w:sz w:val="18"/>
              </w:rPr>
              <w:t>BRI</w:t>
            </w:r>
          </w:p>
        </w:tc>
        <w:tc>
          <w:tcPr>
            <w:tcW w:type="dxa" w:w="1806"/>
          </w:tcPr>
          <w:p>
            <w:r>
              <w:rPr>
                <w:rFonts w:ascii="Arial" w:hAnsi="Arial"/>
                <w:sz w:val="18"/>
              </w:rPr>
              <w:t>Indonesia</w:t>
            </w:r>
          </w:p>
        </w:tc>
        <w:tc>
          <w:tcPr>
            <w:tcW w:type="dxa" w:w="1806"/>
          </w:tcPr>
          <w:p>
            <w:r>
              <w:rPr>
                <w:rFonts w:ascii="Arial" w:hAnsi="Arial"/>
                <w:sz w:val="18"/>
              </w:rPr>
              <w:t>Not disclosed</w:t>
            </w:r>
          </w:p>
        </w:tc>
        <w:tc>
          <w:tcPr>
            <w:tcW w:type="dxa" w:w="1806"/>
          </w:tcPr>
          <w:p>
            <w:pPr>
              <w:jc w:val="right"/>
            </w:pPr>
            <w:r>
              <w:rPr>
                <w:rFonts w:ascii="Arial" w:hAnsi="Arial"/>
                <w:sz w:val="18"/>
              </w:rPr>
              <w:t>2023</w:t>
            </w:r>
          </w:p>
        </w:tc>
        <w:tc>
          <w:tcPr>
            <w:tcW w:type="dxa" w:w="1806"/>
          </w:tcPr>
          <w:p>
            <w:r>
              <w:rPr>
                <w:rFonts w:ascii="Arial" w:hAnsi="Arial"/>
                <w:sz w:val="18"/>
              </w:rPr>
              <w:t>—</w:t>
            </w:r>
          </w:p>
        </w:tc>
      </w:tr>
    </w:tbl>
    <w:p>
      <w:r>
        <w:rPr>
          <w:rFonts w:ascii="Arial" w:hAnsi="Arial"/>
          <w:i/>
          <w:sz w:val="16"/>
        </w:rPr>
        <w:t>Source: Peer data sourced from published sustainability reports. Currency differences and scope coverage variations limit direct comparability. DBS and OCBC use PCAF-weighted emissions; Generic FI uses gross emissions, resulting in higher reported intensity.</w:t>
      </w:r>
    </w:p>
    <w:p/>
    <w:p/>
    <w:p>
      <w:r>
        <w:drawing>
          <wp:inline xmlns:a="http://schemas.openxmlformats.org/drawingml/2006/main" xmlns:pic="http://schemas.openxmlformats.org/drawingml/2006/picture">
            <wp:extent cx="5029200" cy="3332057"/>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332057"/>
                    </a:xfrm>
                    <a:prstGeom prst="rect"/>
                  </pic:spPr>
                </pic:pic>
              </a:graphicData>
            </a:graphic>
          </wp:inline>
        </w:drawing>
      </w:r>
    </w:p>
    <w:p>
      <w:pPr>
        <w:jc w:val="center"/>
      </w:pPr>
      <w:r>
        <w:rPr>
          <w:i/>
          <w:color w:val="666666"/>
          <w:sz w:val="18"/>
        </w:rPr>
        <w:t>Figure 21: GHG Emissions Intensity Trends (FY 2023–2024)</w:t>
      </w:r>
    </w:p>
    <w:p>
      <w:pPr>
        <w:jc w:val="center"/>
      </w:pPr>
      <w:r>
        <w:rPr>
          <w:i/>
          <w:color w:val="757575"/>
          <w:sz w:val="18"/>
        </w:rPr>
        <w:t>Revenue intensity turun 11.37% YoY dari 270.1 ke 239.4 tCO₂e/IDR bn, tapi masih 14–33% lebih tinggi dari DBS (~180) dan OCBC (~210) — butuh 3.2x acceleration untuk capai 30% reduction target by 2030</w:t>
      </w:r>
    </w:p>
    <w:p/>
    <w:p>
      <w:r>
        <w:drawing>
          <wp:inline xmlns:a="http://schemas.openxmlformats.org/drawingml/2006/main" xmlns:pic="http://schemas.openxmlformats.org/drawingml/2006/picture">
            <wp:extent cx="5029200" cy="3050668"/>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050668"/>
                    </a:xfrm>
                    <a:prstGeom prst="rect"/>
                  </pic:spPr>
                </pic:pic>
              </a:graphicData>
            </a:graphic>
          </wp:inline>
        </w:drawing>
      </w:r>
    </w:p>
    <w:p>
      <w:pPr>
        <w:jc w:val="center"/>
      </w:pPr>
      <w:r>
        <w:rPr>
          <w:i/>
          <w:color w:val="666666"/>
          <w:sz w:val="18"/>
        </w:rPr>
        <w:t>Figure 22: Revenue-Based Intensity vs Regional Peers (FY 2023–2024)</w:t>
      </w:r>
    </w:p>
    <w:p>
      <w:pPr>
        <w:jc w:val="center"/>
      </w:pPr>
      <w:r>
        <w:rPr>
          <w:i/>
          <w:color w:val="757575"/>
          <w:sz w:val="18"/>
        </w:rPr>
        <w:t>Generic FI intensity 33% lebih tinggi dari DBS dan 14% dari OCBC — gap disebabkan oil &amp; gas exposure (43.56% financed emissions) dan penggunaan gross vs weighted methodology</w:t>
      </w:r>
    </w:p>
    <w:p/>
    <w:p>
      <w:r>
        <w:drawing>
          <wp:inline xmlns:a="http://schemas.openxmlformats.org/drawingml/2006/main" xmlns:pic="http://schemas.openxmlformats.org/drawingml/2006/picture">
            <wp:extent cx="5029200" cy="3332057"/>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332057"/>
                    </a:xfrm>
                    <a:prstGeom prst="rect"/>
                  </pic:spPr>
                </pic:pic>
              </a:graphicData>
            </a:graphic>
          </wp:inline>
        </w:drawing>
      </w:r>
    </w:p>
    <w:p>
      <w:pPr>
        <w:jc w:val="center"/>
      </w:pPr>
      <w:r>
        <w:rPr>
          <w:i/>
          <w:color w:val="666666"/>
          <w:sz w:val="18"/>
        </w:rPr>
        <w:t>Figure 23: Revenue Intensity Decomposition by Scope (FY 2024)</w:t>
      </w:r>
    </w:p>
    <w:p>
      <w:pPr>
        <w:jc w:val="center"/>
      </w:pPr>
      <w:r>
        <w:rPr>
          <w:i/>
          <w:color w:val="757575"/>
          <w:sz w:val="18"/>
        </w:rPr>
        <w:t>Scope 3 Cat.15 financed emissions dominates at 99.78% of total intensity — operational emissions (Scope 1+2) contribute only 0.22%, highlighting portfolio decarbonization as primary lever</w:t>
      </w:r>
    </w:p>
    <w:p/>
    <w:p>
      <w:r>
        <w:drawing>
          <wp:inline xmlns:a="http://schemas.openxmlformats.org/drawingml/2006/main" xmlns:pic="http://schemas.openxmlformats.org/drawingml/2006/picture">
            <wp:extent cx="5029200" cy="3085624"/>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3085624"/>
                    </a:xfrm>
                    <a:prstGeom prst="rect"/>
                  </pic:spPr>
                </pic:pic>
              </a:graphicData>
            </a:graphic>
          </wp:inline>
        </w:drawing>
      </w:r>
    </w:p>
    <w:p>
      <w:pPr>
        <w:jc w:val="center"/>
      </w:pPr>
      <w:r>
        <w:rPr>
          <w:i/>
          <w:color w:val="666666"/>
          <w:sz w:val="18"/>
        </w:rPr>
        <w:t>Figure 24: Top 5 Sectors by Financed Emissions Intensity (FY 2024)</w:t>
      </w:r>
    </w:p>
    <w:p>
      <w:pPr>
        <w:jc w:val="center"/>
      </w:pPr>
      <w:r>
        <w:rPr>
          <w:i/>
          <w:color w:val="757575"/>
          <w:sz w:val="18"/>
        </w:rPr>
        <w:t>Energy - Oil &amp; Gas intensity (93.2 tCO₂e/IDR bn) adalah 6.5x portfolio average — systematic engagement dengan top 20 borrowers (68% of sector emissions) adalah highest-impact action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11.37% year-over-year intensity improvement was primarily driven by one-time portfolio rebalancing effects (4.07% absolute emissions reduction) combined with 7.82% revenue growth, rather than systematic decarbonization of existing exposures. The institution's revenue-based intensity of 239.4 tCO₂e per IDR billion remains 14–33% higher than regional peers (DBS ~180, OCBC ~210) due to concentrated exposure to high-carbon sectors: Energy - Oil &amp; Gas contributes 43.56% of financed emissions despite representing only 6.66% of portfolio value, and Manufacturing - Cement contributes 26.45% of emissions from 6.99% of portfolio. The FTE-based operational intensity improvement of 1.80% is insufficient to achieve the 30% reduction target by 2030, which requires sustained 5.8% annual reduction.</w:t>
            </w:r>
          </w:p>
          <w:p>
            <w:r>
              <w:rPr>
                <w:b/>
                <w:sz w:val="20"/>
              </w:rPr>
              <w:t>Root Causes:</w:t>
            </w:r>
          </w:p>
          <w:p>
            <w:r>
              <w:rPr>
                <w:sz w:val="18"/>
              </w:rPr>
              <w:t>• High portfolio concentration in carbon-intensive sectors: Energy - Oil &amp; Gas (93.242 tCO₂e/IDR bn intensity, 6.5x portfolio average) and Manufacturing - Cement (53.9927 tCO₂e/IDR bn intensity, 3.5x portfolio average) drive 70% of financed emissions from only 13.65% of portfolio value</w:t>
            </w:r>
          </w:p>
          <w:p>
            <w:r>
              <w:rPr>
                <w:sz w:val="18"/>
              </w:rPr>
              <w:t>• Lack of borrower-level transition plans: No disclosed engagement framework with high-emitting clients to adopt decarbonization pathways aligned with 1.5°C scenarios, unlike DBS's systematic sector engagement approach</w:t>
            </w:r>
          </w:p>
          <w:p>
            <w:r>
              <w:rPr>
                <w:sz w:val="18"/>
              </w:rPr>
              <w:t>• Operational emissions dominated by Scope 2 electricity (92.9% of Scope 1+2): No renewable energy procurement strategy despite Indonesia's PLN Green Tariff availability since 2023 and declining solar+storage costs</w:t>
            </w:r>
          </w:p>
          <w:p>
            <w:r>
              <w:rPr>
                <w:sz w:val="18"/>
              </w:rPr>
              <w:t>• Use of gross financed emissions methodology overstates intensity by 43.8% vs PCAF-weighted approach used by peers, reducing comparability and potentially masking true portfolio carbon efficiency</w:t>
            </w:r>
          </w:p>
          <w:p>
            <w:r>
              <w:rPr>
                <w:b/>
                <w:sz w:val="20"/>
              </w:rPr>
              <w:t>Risk Implications:</w:t>
            </w:r>
          </w:p>
          <w:p>
            <w:r>
              <w:rPr>
                <w:sz w:val="18"/>
              </w:rPr>
              <w:t>• Regulatory risk: OJK SEOJK 16/2021 requires banks to integrate climate risk into credit assessment by 2024. Current intensity trajectory may trigger enhanced supervisory scrutiny and capital add-ons for climate risk under Basel III Pillar 2 framework expected by 2026.</w:t>
            </w:r>
          </w:p>
          <w:p>
            <w:r>
              <w:rPr>
                <w:sz w:val="18"/>
              </w:rPr>
              <w:t>• Reputational risk: Intensity gap vs peers (14–33% higher) may negatively impact ESG ratings and institutional investor allocation decisions. MSCI ESG Rating methodology penalizes financed emissions intensity above sector median, potentially triggering rating downgrade from current A to BBB.</w:t>
            </w:r>
          </w:p>
          <w:p>
            <w:r>
              <w:rPr>
                <w:sz w:val="18"/>
              </w:rPr>
              <w:t>• Transition risk: Concentrated exposure to oil &amp; gas (43.56% of financed emissions) faces accelerating policy risk as Indonesia implements carbon pricing under Presidential Regulation 98/2021. Estimated carbon price of IDR 75,000/tCO₂e by 2025 would increase borrower default risk for unhedged exposures, requiring provisions of ~IDR 1.2 trillion.</w:t>
            </w:r>
          </w:p>
          <w:p>
            <w:r>
              <w:rPr>
                <w:sz w:val="18"/>
              </w:rPr>
              <w:t>• Target credibility risk: Current 11.37% improvement is not replicable (driven by one-time portfolio effects). Achieving 30% by 2030 target requires 5.8% annual reduction, implying 3.2x acceleration from sustainable run-rate. Failure to demonstrate credible pathway may trigger investor skepticism and covenant breaches in sustainability-linked bonds.</w:t>
            </w:r>
          </w:p>
        </w:tc>
      </w:tr>
    </w:tbl>
    <w:p/>
    <w:p/>
    <w:p>
      <w:r>
        <w:rPr>
          <w:b/>
          <w:color w:val="2E7D32"/>
          <w:sz w:val="24"/>
        </w:rPr>
        <w:t>⚡ Priority Actions</w:t>
      </w:r>
    </w:p>
    <w:p>
      <w:r>
        <w:rPr>
          <w:b/>
          <w:sz w:val="22"/>
        </w:rPr>
        <w:t>🔴 1. Establish sector-specific financed emissions intensity targets for Energy - Oil &amp; Gas (reduce from 93.2 to 65 tCO₂e/IDR bn by 2027, -30%) and Manufacturing - Cement (reduce from 54.0 to 43 tCO₂e/IDR bn by 2027, -20%) through systematic borrower engagement framework. Develop transition plan templates aligned with IEA Net Zero by 2050 scenario for top 20 oil &amp; gas borrowers (68% of sector emissions) and top 15 cement borrowers (72% of sector emissions). Integrate transition plan quality into credit approval process with mandatory climate risk assessment for exposures &gt;IDR 500 billion.</w:t>
      </w:r>
      <w:r>
        <w:rPr>
          <w:sz w:val="22"/>
        </w:rPr>
        <w:t xml:space="preserve"> (Q3 2025 (framework launch); Q1 2026 (first cohort engagement complete))</w:t>
      </w:r>
    </w:p>
    <w:p>
      <w:pPr>
        <w:spacing w:after="160" w:line="276" w:lineRule="auto"/>
      </w:pPr>
      <w:r>
        <w:t xml:space="preserve">    → Expected: Sector intensity reduction of 15% (oil &amp; gas) and 10% (cement) by 2027 would reduce total financed emissions by ~2.8 million tCO₂e, improving revenue intensity to ~205 tCO₂e/IDR bn (-14.4% from 2024 baseline). This closes 60% of the gap vs DBS benchmark.</w:t>
      </w:r>
    </w:p>
    <w:p>
      <w:pPr>
        <w:spacing w:after="160" w:line="276" w:lineRule="auto"/>
      </w:pPr>
      <w:r>
        <w:rPr>
          <w:rFonts w:ascii="Arial" w:hAnsi="Arial"/>
          <w:i/>
          <w:color w:val="646464"/>
          <w:sz w:val="18"/>
        </w:rPr>
        <w:t xml:space="preserve">    → Ref: DBS Group — Sector-specific transition plans with borrower engagement framework covering oil &amp; gas, power, and cement sectors. Achieved 8.3% financed emissions intensity reduction in 2023 through systematic engagement with 150+ high-emitting borrowers. OCBC — Sustainable Finance Framework with intensity-linked lending targets, reduced high-carbon sector intensity by 12% in 2024.</w:t>
      </w:r>
    </w:p>
    <w:p>
      <w:r>
        <w:rPr>
          <w:b/>
          <w:sz w:val="22"/>
        </w:rPr>
        <w:t>🔴 2. Install rooftop solar + battery storage systems at top 10 diesel-dependent facilities (FAC-0197, FAC-0198, FAC-0200, FAC-0196, FAC-0199, FAC-0193, FAC-0215, FAC-0191, FAC-0181, FAC-0208) representing 45% of Scope 1 diesel consumption (990,000 liters/year, 2,203 tCO₂e). Target 2.5 MW total solar capacity with 4-hour battery storage to eliminate diesel backup generators during grid outages. Prioritize facilities with highest diesel intensity (&gt;60 tCO₂e/year) and favorable solar irradiance (&gt;4.5 kWh/m²/day).</w:t>
      </w:r>
      <w:r>
        <w:rPr>
          <w:sz w:val="22"/>
        </w:rPr>
        <w:t xml:space="preserve"> (Q4 2025 (design + procurement); Q2 2026 (installation complete))</w:t>
      </w:r>
    </w:p>
    <w:p>
      <w:pPr>
        <w:spacing w:after="160" w:line="276" w:lineRule="auto"/>
      </w:pPr>
      <w:r>
        <w:t xml:space="preserve">    → Expected: Eliminate 1,200 tCO₂e/year Scope 1 emissions (-54% of diesel emissions), reduce FTE intensity from 1.92 to 1.87 tCO₂e/FTE. Payback period: 6.8 years at current diesel price (IDR 15,000/liter) with 25-year system lifespan. Additional benefit: grid resilience during PLN outages (avg 12 hours/year).</w:t>
      </w:r>
    </w:p>
    <w:p>
      <w:pPr>
        <w:spacing w:after="160" w:line="276" w:lineRule="auto"/>
      </w:pPr>
      <w:r>
        <w:rPr>
          <w:rFonts w:ascii="Arial" w:hAnsi="Arial"/>
          <w:i/>
          <w:color w:val="646464"/>
          <w:sz w:val="18"/>
        </w:rPr>
        <w:t xml:space="preserve">    → Ref: BCA — Installed 1.2 MW rooftop solar across 8 facilities in 2024, reducing Scope 1 diesel consumption by 48%. Achieved 7.2-year payback with government tax incentives (PMK 122/2022). DBS Singapore — 100% renewable electricity since 2022 through solar + grid PPAs, eliminated 8,500 tCO₂e Scope 2 emissions.</w:t>
      </w:r>
    </w:p>
    <w:p>
      <w:r>
        <w:rPr>
          <w:b/>
          <w:sz w:val="22"/>
        </w:rPr>
        <w:t>🔴 3. Transition to 100% renewable electricity procurement via PLN Green Tariff (available since 2023) or corporate Power Purchase Agreements (PPAs) with renewable energy developers. Target 44,613 tCO₂e Scope 2 market-based emissions elimination by 2026. Negotiate 10-year PPA with fixed pricing to hedge against fossil fuel price volatility. Prioritize PLN Green Tariff for smaller facilities (&lt;500 kW demand) and direct PPAs for headquarters and regional hubs (&gt;2 MW demand).</w:t>
      </w:r>
      <w:r>
        <w:rPr>
          <w:sz w:val="22"/>
        </w:rPr>
        <w:t xml:space="preserve"> (Q2 2025 (RFP + contract negotiation); Q1 2026 (full transition complete))</w:t>
      </w:r>
    </w:p>
    <w:p>
      <w:pPr>
        <w:spacing w:after="160" w:line="276" w:lineRule="auto"/>
      </w:pPr>
      <w:r>
        <w:t xml:space="preserve">    → Expected: Eliminate 44,613 tCO₂e Scope 2 emissions (-92.9% of operational emissions), reduce FTE intensity from 1.92 to 0.14 tCO₂e/FTE (-92.7%). Achieve carbon-neutral operations (Scope 1+2) with residual 3,403 tCO₂e Scope 1 emissions offset via verified carbon credits. Positions institution as first Indonesian bank with 100% renewable electricity.</w:t>
      </w:r>
    </w:p>
    <w:p>
      <w:pPr>
        <w:spacing w:after="160" w:line="276" w:lineRule="auto"/>
      </w:pPr>
      <w:r>
        <w:rPr>
          <w:rFonts w:ascii="Arial" w:hAnsi="Arial"/>
          <w:i/>
          <w:color w:val="646464"/>
          <w:sz w:val="18"/>
        </w:rPr>
        <w:t xml:space="preserve">    → Ref: DBS Group — 100% renewable electricity since 2022 through solar installations + grid renewable energy certificates, eliminated 8,500 tCO₂e Scope 2. BCA — Piloting PLN Green Tariff at 3 facilities in 2024, targeting 30% renewable electricity by 2025. OCBC — 50% renewable electricity in Singapore operations via solar + PPAs, targeting 100% by 2025.</w:t>
      </w:r>
    </w:p>
    <w:p>
      <w:r>
        <w:rPr>
          <w:b/>
          <w:sz w:val="22"/>
        </w:rPr>
        <w:t>🟡 4. Adopt dual intensity reporting methodology for FY 2025: (1) Gross financed emissions intensity (current 239.4 tCO₂e/IDR bn) to meet IFRS S2 cross-industry metric requirement; (2) PCAF-weighted intensity (166.3 tCO₂e/IDR bn based on current avg data quality score 3.36) with data quality score transparency per PCAF Global Standard. Implement PCAF data quality improvement roadmap: move Score 5→4 borrowers (request revenue data from top 50 borrowers) by Q4 2025; move Score 4→3 (physical activity data from top 20 emitters) by Q4 2026; integrate CDP data + verified GHG inventories by Q4 2027. Target average PCAF score &lt;3.0 by 2027, reducing gross-weighted gap from 43.8% to &lt;15%.</w:t>
      </w:r>
      <w:r>
        <w:rPr>
          <w:sz w:val="22"/>
        </w:rPr>
        <w:t xml:space="preserve"> (Q2 2025 (dual reporting implementation); Q4 2027 (PCAF score &lt;3.0 target))</w:t>
      </w:r>
    </w:p>
    <w:p>
      <w:pPr>
        <w:spacing w:after="160" w:line="276" w:lineRule="auto"/>
      </w:pPr>
      <w:r>
        <w:t xml:space="preserve">    → Expected: Improve peer comparability and demonstrate true portfolio carbon efficiency. PCAF-weighted intensity of 166.3 tCO₂e/IDR bn is 7.6% below DBS benchmark (~180), repositioning institution as regional leader. Data quality improvement to score &lt;3.0 increases confidence interval from ±43.8% to ±15%, meeting institutional investor due diligence standards.</w:t>
      </w:r>
    </w:p>
    <w:p>
      <w:pPr>
        <w:spacing w:after="160" w:line="276" w:lineRule="auto"/>
      </w:pPr>
      <w:r>
        <w:rPr>
          <w:rFonts w:ascii="Arial" w:hAnsi="Arial"/>
          <w:i/>
          <w:color w:val="646464"/>
          <w:sz w:val="18"/>
        </w:rPr>
        <w:t xml:space="preserve">    → Ref: DBS Group — PCAF-weighted financed emissions with data quality score disclosure since 2023, average score 2.8. OCBC — Dual reporting of gross and weighted emissions with reconciliation table in 2024 Sustainability Report, average score 3.1. Both banks disclose data quality improvement roadmaps with annual targets.</w:t>
      </w:r>
    </w:p>
    <w:p/>
    <w:p>
      <w:r>
        <w:rPr>
          <w:i/>
          <w:color w:val="3D6094"/>
          <w:sz w:val="18"/>
        </w:rPr>
        <w:t>Framework references: GRI 305-4 (GHG emissions intensity); IFRS S2 paragraph 29(b) (cross-industry metrics — intensity); IFRS S2 paragraph 33 (climate-related targets); GHG Protocol Corporate Standard (Chapter 7: Tracking Emissions Over Time); PCAF Global Standard Part A (2022) — financed emissions intensity; SASB FN-CB-410a.3 (financed emissions disclosure)</w:t>
      </w:r>
    </w:p>
    <w:p>
      <w:pPr>
        <w:spacing w:after="80"/>
        <w:pBdr>
          <w:bottom w:val="single" w:sz="6" w:space="1" w:color="CCCCCC"/>
        </w:pBdr>
      </w:pPr>
    </w:p>
    <w:p>
      <w:pPr>
        <w:spacing w:after="160" w:line="276" w:lineRule="auto"/>
      </w:pPr>
      <w:r>
        <w:rPr>
          <w:rFonts w:ascii="Arial" w:hAnsi="Arial"/>
          <w:i/>
          <w:color w:val="646464"/>
          <w:sz w:val="18"/>
        </w:rPr>
        <w:t>Intensity metrics calculated per GRI 305-4 and IFRS S2 paragraph 29(b). Revenue-based intensity uses Scope 1+2+3 Category 15 gross financed emissions to reflect total value chain impact. FTE-based intensity uses Scope 1+2 only to measure operational efficiency per employee.</w:t>
      </w:r>
    </w:p>
    <w:p>
      <w:pPr>
        <w:spacing w:after="160" w:line="276" w:lineRule="auto"/>
      </w:pPr>
      <w:r>
        <w:rPr>
          <w:rFonts w:ascii="Arial" w:hAnsi="Arial"/>
          <w:i/>
          <w:color w:val="646464"/>
          <w:sz w:val="18"/>
        </w:rPr>
        <w:t>Scope 2 emissions calculated using market-based method per GHG Protocol Scope 2 Guidance (2015). Indonesia grid emission factor: 0.7886 kgCO₂e/kWh (ESDM 2023).</w:t>
      </w:r>
    </w:p>
    <w:p>
      <w:pPr>
        <w:spacing w:after="160" w:line="276" w:lineRule="auto"/>
      </w:pPr>
      <w:r>
        <w:rPr>
          <w:rFonts w:ascii="Arial" w:hAnsi="Arial"/>
          <w:i/>
          <w:color w:val="646464"/>
          <w:sz w:val="18"/>
        </w:rPr>
        <w:t>Financed emissions (Scope 3 Category 15) calculated per PCAF Global GHG Accounting and Reporting Standard for the Financial Industry Part A (2022). Gross emissions reported to align with IFRS S2 cross-industry metric requirements; weighted emissions (15,280,174.14 tCO₂e) reflect data quality adjustments per PCAF methodology.</w:t>
      </w:r>
    </w:p>
    <w:p>
      <w:pPr>
        <w:spacing w:after="160" w:line="276" w:lineRule="auto"/>
      </w:pPr>
      <w:r>
        <w:rPr>
          <w:rFonts w:ascii="Arial" w:hAnsi="Arial"/>
          <w:i/>
          <w:color w:val="646464"/>
          <w:sz w:val="18"/>
        </w:rPr>
        <w:t>FY 2023 revenue denominator (IDR 59,200 billion) back-calculated from disclosed intensity (270.116632 tCO₂e/IDR bn) and total emissions (22,959,819.13 tCO₂e) for year-over-year comparison consistency.</w:t>
      </w:r>
    </w:p>
    <w:p>
      <w:pPr>
        <w:spacing w:after="160" w:line="276" w:lineRule="auto"/>
      </w:pPr>
      <w:r>
        <w:rPr>
          <w:rFonts w:ascii="Arial" w:hAnsi="Arial"/>
          <w:i/>
          <w:color w:val="646464"/>
          <w:sz w:val="18"/>
        </w:rPr>
        <w:t>Peer benchmark data sourced from DBS Group Sustainability Report 2023 and OCBC Sustainability Report 2024. Currency and scope coverage differences limit direct comparability; benchmarks provided for directional reference only.</w:t>
      </w: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 DATA PROVENANCE: Source: Financial statements + GHG inventory | EF: N/A (derived) | Methodology: GHG Protocol / IFRS S2 Para 29(b) | Quality: Tier 1 (audited financials) + Tier 2 (GHG inventory) | Validated: 2025-03-15 | Owner: Sustainability &amp; ESG Division</w:t>
      </w:r>
    </w:p>
    <w:p>
      <w:r>
        <w:br w:type="page"/>
      </w:r>
    </w:p>
    <w:p>
      <w:pPr>
        <w:pStyle w:val="Heading1"/>
        <w:keepNext/>
        <w:spacing w:before="480" w:after="240"/>
      </w:pPr>
      <w:r>
        <w:rPr>
          <w:rFonts w:ascii="Arial" w:hAnsi="Arial"/>
          <w:b/>
          <w:color w:val="1B3A6B"/>
          <w:sz w:val="36"/>
        </w:rPr>
        <w:t>Social Disclosures</w:t>
      </w:r>
    </w:p>
    <w:p>
      <w:pPr>
        <w:pStyle w:val="Heading2"/>
        <w:keepNext/>
        <w:spacing w:before="360" w:after="160"/>
      </w:pPr>
      <w:r>
        <w:rPr>
          <w:rFonts w:ascii="Arial" w:hAnsi="Arial"/>
          <w:b/>
          <w:color w:val="3D6094"/>
          <w:sz w:val="28"/>
        </w:rPr>
        <w:t>Human Capital — Climate Transition Workforce Implications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49.3</w:t>
            </w:r>
            <w:r>
              <w:rPr>
                <w:color w:val="757575"/>
                <w:sz w:val="18"/>
              </w:rPr>
              <w:t xml:space="preserve"> hours</w:t>
            </w:r>
            <w:r>
              <w:rPr>
                <w:b/>
                <w:color w:val="2E7D32"/>
                <w:sz w:val="20"/>
              </w:rPr>
              <w:br/>
              <w:t>-23.14%</w:t>
            </w:r>
          </w:p>
        </w:tc>
        <w:tc>
          <w:tcPr>
            <w:tcW w:type="dxa" w:w="2257"/>
            <w:shd w:fill="F2F6FA" w:val="clear"/>
          </w:tcPr>
          <w:p>
            <w:pPr>
              <w:jc w:val="center"/>
            </w:pPr>
            <w:r>
              <w:rPr>
                <w:b/>
                <w:color w:val="1B3A6B"/>
                <w:sz w:val="36"/>
              </w:rPr>
              <w:t>42.32%</w:t>
            </w:r>
            <w:r>
              <w:rPr>
                <w:color w:val="757575"/>
                <w:sz w:val="18"/>
              </w:rPr>
              <w:t xml:space="preserve"> %</w:t>
            </w:r>
            <w:r>
              <w:rPr>
                <w:b/>
                <w:color w:val="2E7D32"/>
                <w:sz w:val="20"/>
              </w:rPr>
              <w:br/>
              <w:t>-3.88 pp</w:t>
            </w:r>
          </w:p>
        </w:tc>
        <w:tc>
          <w:tcPr>
            <w:tcW w:type="dxa" w:w="2257"/>
            <w:shd w:fill="F2F6FA" w:val="clear"/>
          </w:tcPr>
          <w:p>
            <w:pPr>
              <w:jc w:val="center"/>
            </w:pPr>
            <w:r>
              <w:rPr>
                <w:b/>
                <w:color w:val="1B3A6B"/>
                <w:sz w:val="36"/>
              </w:rPr>
              <w:t>26.67%</w:t>
            </w:r>
            <w:r>
              <w:rPr>
                <w:color w:val="757575"/>
                <w:sz w:val="18"/>
              </w:rPr>
              <w:t xml:space="preserve"> %</w:t>
            </w:r>
            <w:r>
              <w:rPr>
                <w:b/>
                <w:color w:val="2E7D32"/>
                <w:sz w:val="20"/>
              </w:rPr>
              <w:br/>
              <w:t>-1.78 pp</w:t>
            </w:r>
          </w:p>
        </w:tc>
        <w:tc>
          <w:tcPr>
            <w:tcW w:type="dxa" w:w="2257"/>
            <w:shd w:fill="F2F6FA" w:val="clear"/>
          </w:tcPr>
          <w:p>
            <w:pPr>
              <w:jc w:val="center"/>
            </w:pPr>
            <w:r>
              <w:rPr>
                <w:b/>
                <w:color w:val="1B3A6B"/>
                <w:sz w:val="36"/>
              </w:rPr>
              <w:t>8.45%</w:t>
            </w:r>
            <w:r>
              <w:rPr>
                <w:color w:val="757575"/>
                <w:sz w:val="18"/>
              </w:rPr>
              <w:t xml:space="preserve"> %</w:t>
            </w:r>
            <w:r>
              <w:rPr>
                <w:b/>
                <w:color w:val="C62828"/>
                <w:sz w:val="20"/>
              </w:rPr>
              <w:br/>
              <w:t>-40.66% (improvement)</w:t>
            </w:r>
          </w:p>
        </w:tc>
      </w:tr>
      <w:tr>
        <w:tc>
          <w:tcPr>
            <w:tcW w:type="dxa" w:w="2257"/>
            <w:shd w:fill="F2F6FA" w:val="clear"/>
          </w:tcPr>
          <w:p>
            <w:pPr>
              <w:jc w:val="center"/>
            </w:pPr>
            <w:r>
              <w:rPr>
                <w:color w:val="757575"/>
                <w:sz w:val="16"/>
              </w:rPr>
              <w:t>Training Hours per FTE</w:t>
            </w:r>
          </w:p>
        </w:tc>
        <w:tc>
          <w:tcPr>
            <w:tcW w:type="dxa" w:w="2257"/>
            <w:shd w:fill="F2F6FA" w:val="clear"/>
          </w:tcPr>
          <w:p>
            <w:pPr>
              <w:jc w:val="center"/>
            </w:pPr>
            <w:r>
              <w:rPr>
                <w:color w:val="757575"/>
                <w:sz w:val="16"/>
              </w:rPr>
              <w:t>Female Representation</w:t>
            </w:r>
          </w:p>
        </w:tc>
        <w:tc>
          <w:tcPr>
            <w:tcW w:type="dxa" w:w="2257"/>
            <w:shd w:fill="F2F6FA" w:val="clear"/>
          </w:tcPr>
          <w:p>
            <w:pPr>
              <w:jc w:val="center"/>
            </w:pPr>
            <w:r>
              <w:rPr>
                <w:color w:val="757575"/>
                <w:sz w:val="16"/>
              </w:rPr>
              <w:t>Women in Management</w:t>
            </w:r>
          </w:p>
        </w:tc>
        <w:tc>
          <w:tcPr>
            <w:tcW w:type="dxa" w:w="2257"/>
            <w:shd w:fill="F2F6FA" w:val="clear"/>
          </w:tcPr>
          <w:p>
            <w:pPr>
              <w:jc w:val="center"/>
            </w:pPr>
            <w:r>
              <w:rPr>
                <w:color w:val="757575"/>
                <w:sz w:val="16"/>
              </w:rPr>
              <w:t>Voluntary Turnover</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Training investment declined 23% while peers increased climate capacity—workforce readiness gap threatens IFRS S2 execution</w:t>
            </w:r>
          </w:p>
          <w:p>
            <w:r>
              <w:rPr>
                <w:sz w:val="20"/>
              </w:rPr>
              <w:t>At 49.3 hours per FTE, the institution trails BRI (62.4 hrs) and OCBC Indonesia (40+ hrs mandatory) during a period requiring enhanced climate risk capabilities. Declining female representation (42.32%, -3.88pp) and women in management (26.67%, -1.78pp) diverge from peer diversity trajectories, constraining climate governance effectiveness per IFRS S2 para 8. Improved retention (8.45% turnover, -40.66% YoY) provides foundation for climate competency building, but absence of climate-specific training tracking creates IFRS S2 para 25 disclosure gap.</w:t>
            </w:r>
          </w:p>
        </w:tc>
      </w:tr>
    </w:tbl>
    <w:p/>
    <w:p>
      <w:pPr>
        <w:spacing w:after="160" w:line="276" w:lineRule="auto"/>
      </w:pPr>
      <w:r>
        <w:rPr>
          <w:rFonts w:ascii="Arial" w:hAnsi="Arial"/>
          <w:sz w:val="22"/>
        </w:rPr>
        <w:t>The institution's workforce composition and human capital development are material considerations for climate transition readiness under IFRS S2. As of 31 December 2024, the institution employed 24,997 full-time equivalent (FTE) employees, comprising 10,579 female employees (42.32%) and 14,418 male employees (57.68%). This represents a 2.03% increase in total headcount compared to 24,500 FTE in 2023, reflecting strategic expansion to support climate risk management capabilities and sustainable finance product development.</w:t>
      </w:r>
    </w:p>
    <w:p>
      <w:pPr>
        <w:spacing w:after="160" w:line="276" w:lineRule="auto"/>
      </w:pPr>
      <w:r>
        <w:rPr>
          <w:rFonts w:ascii="Arial" w:hAnsi="Arial"/>
          <w:sz w:val="22"/>
        </w:rPr>
        <w:t>The institution's ability to execute its climate transition strategy is contingent upon workforce skills in climate risk assessment, PCAF methodology application, and sustainable finance structuring. During 2024, the institution invested 49.3 training hours per FTE, representing a 23.14% decline from 64.14 hours per FTE in 2023. This reduction occurred during a period when peer institutions maintained or increased climate-related training investments to address evolving regulatory requirements under OJK POJK 51/2017 and preparation for IFRS S1/S2 adoption. The training intensity gap relative to peers presents a material risk to the institution's capacity to implement science-based targets and meet financed emissions disclosure requirements under IFRS S2 paragraphs 29-42.</w:t>
      </w:r>
    </w:p>
    <w:p>
      <w:pPr>
        <w:spacing w:after="160" w:line="276" w:lineRule="auto"/>
      </w:pPr>
      <w:r>
        <w:rPr>
          <w:rFonts w:ascii="Arial" w:hAnsi="Arial"/>
          <w:sz w:val="22"/>
        </w:rPr>
        <w:t>Workforce stability metrics indicate improved retention performance. Voluntary turnover declined to 8.45% in 2024 from 14.24% in 2023, representing a 40.66% year-over-year improvement. This retention improvement supports institutional knowledge preservation for complex climate risk modeling and PCAF data quality enhancement initiatives. The institution recruited 2,595 new employees during 2024, yielding a hiring rate of 10.38% compared to 12.93% in 2023. The moderated hiring rate reflects strategic workforce planning aligned with digital transformation initiatives and climate risk integration into core banking operations.</w:t>
      </w:r>
    </w:p>
    <w:p>
      <w:pPr>
        <w:spacing w:after="160" w:line="276" w:lineRule="auto"/>
      </w:pPr>
      <w:r>
        <w:rPr>
          <w:rFonts w:ascii="Arial" w:hAnsi="Arial"/>
          <w:sz w:val="22"/>
        </w:rPr>
        <w:t>Gender diversity metrics show declining female representation across the workforce. Female employees constituted 42.32% of total headcount in 2024, a decrease of 3.88 percentage points from 46.20% in 2023. Women in management positions represented 26.67% of leadership roles, declining 1.78 percentage points from 28.45% in 2023. These trends diverge from peer institutions' diversity trajectories and contradict research linking diverse leadership teams to enhanced climate risk governance and stakeholder engagement effectiveness. Under IFRS S2 paragraph 8, governance body composition and diversity are material to climate-related oversight quality.</w:t>
      </w:r>
    </w:p>
    <w:p>
      <w:pPr>
        <w:spacing w:after="160" w:line="276" w:lineRule="auto"/>
      </w:pPr>
      <w:r>
        <w:rPr>
          <w:rFonts w:ascii="Arial" w:hAnsi="Arial"/>
          <w:sz w:val="22"/>
        </w:rPr>
        <w:t>The institution reported 2 discrimination cases during 2024, compared to 3 cases in 2023. All reported cases were investigated through the institution's grievance mechanism, with remediation actions implemented including policy clarification, targeted training interventions, and disciplinary measures where warranted. The institution maintains a zero-tolerance policy for discrimination and harassment, aligned with ILO core conventions and Indonesian labor law (UU No. 13/2003). Effective grievance mechanisms support workforce engagement in climate transition initiatives and ensure equitable access to green skills development opportunities.</w:t>
      </w:r>
    </w:p>
    <w:p>
      <w:pPr>
        <w:spacing w:after="160" w:line="276" w:lineRule="auto"/>
      </w:pPr>
      <w:r>
        <w:rPr>
          <w:rFonts w:ascii="Arial" w:hAnsi="Arial"/>
          <w:b/>
          <w:sz w:val="22"/>
        </w:rPr>
        <w:t>Climate Transition Workforce Implications</w:t>
      </w:r>
      <w:r>
        <w:rPr>
          <w:rFonts w:ascii="Arial" w:hAnsi="Arial"/>
          <w:sz w:val="22"/>
        </w:rPr>
        <w:t>: The institution's climate transition strategy under IFRS S2 requires workforce capabilities in three domains: (1) climate risk quantification and scenario analysis per IFRS S2 paragraphs 15-21, (2) financed emissions measurement using PCAF methodology to achieve data quality scores below 3.0, and (3) sustainable finance product structuring aligned with Indonesia's NDC commitments. Current training investment trends and declining diversity metrics present material risks to transition plan execution. Peer institutions have established dedicated climate academies and mandatory ESG certification programs for credit officers, risk managers, and relationship managers—capabilities gaps that constrain the institution's ability to meet IFRS S2 disclosure requirements and capitalize on sustainable finance market opportunities estimated at IDR 3,779 trillion through 2030 per Indonesia's NDC roadmap.</w:t>
      </w:r>
    </w:p>
    <w:p>
      <w:r>
        <w:rPr>
          <w:rFonts w:ascii="Arial" w:hAnsi="Arial"/>
          <w:b/>
          <w:sz w:val="20"/>
        </w:rPr>
        <w:t>Table 42: Table 1: Workforce Composition and Employment Indicators (IFRS S2 Context)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w:t>
            </w:r>
          </w:p>
        </w:tc>
        <w:tc>
          <w:tcPr>
            <w:tcW w:type="dxa" w:w="1806"/>
            <w:shd w:fill="1B3A6B" w:val="clear"/>
          </w:tcPr>
          <w:p>
            <w:r>
              <w:rPr>
                <w:rFonts w:ascii="Arial" w:hAnsi="Arial"/>
                <w:b/>
                <w:color w:val="FFFFFF"/>
                <w:sz w:val="18"/>
              </w:rPr>
              <w:t>Climate Transition Relevance</w:t>
            </w:r>
          </w:p>
        </w:tc>
      </w:tr>
      <w:tr>
        <w:tc>
          <w:tcPr>
            <w:tcW w:type="dxa" w:w="1806"/>
          </w:tcPr>
          <w:p>
            <w:r>
              <w:rPr>
                <w:rFonts w:ascii="Arial" w:hAnsi="Arial"/>
                <w:sz w:val="18"/>
              </w:rPr>
              <w:t>Total FTE</w:t>
            </w:r>
          </w:p>
        </w:tc>
        <w:tc>
          <w:tcPr>
            <w:tcW w:type="dxa" w:w="1806"/>
          </w:tcPr>
          <w:p>
            <w:pPr>
              <w:jc w:val="right"/>
            </w:pPr>
            <w:r>
              <w:rPr>
                <w:rFonts w:ascii="Arial" w:hAnsi="Arial"/>
                <w:sz w:val="18"/>
              </w:rPr>
              <w:t>24,997</w:t>
            </w:r>
          </w:p>
        </w:tc>
        <w:tc>
          <w:tcPr>
            <w:tcW w:type="dxa" w:w="1806"/>
          </w:tcPr>
          <w:p>
            <w:pPr>
              <w:jc w:val="right"/>
            </w:pPr>
            <w:r>
              <w:rPr>
                <w:rFonts w:ascii="Arial" w:hAnsi="Arial"/>
                <w:sz w:val="18"/>
              </w:rPr>
              <w:t>24,500</w:t>
            </w:r>
          </w:p>
        </w:tc>
        <w:tc>
          <w:tcPr>
            <w:tcW w:type="dxa" w:w="1806"/>
          </w:tcPr>
          <w:p>
            <w:pPr>
              <w:jc w:val="right"/>
            </w:pPr>
            <w:r>
              <w:rPr>
                <w:rFonts w:ascii="Arial" w:hAnsi="Arial"/>
                <w:sz w:val="18"/>
              </w:rPr>
              <w:t>+2.03%</w:t>
            </w:r>
          </w:p>
        </w:tc>
        <w:tc>
          <w:tcPr>
            <w:tcW w:type="dxa" w:w="1806"/>
          </w:tcPr>
          <w:p>
            <w:r>
              <w:rPr>
                <w:rFonts w:ascii="Arial" w:hAnsi="Arial"/>
                <w:sz w:val="18"/>
              </w:rPr>
              <w:t>Capacity for climate risk integration</w:t>
            </w:r>
          </w:p>
        </w:tc>
      </w:tr>
      <w:tr>
        <w:tc>
          <w:tcPr>
            <w:tcW w:type="dxa" w:w="1806"/>
            <w:shd w:fill="F2F6FC" w:val="clear"/>
          </w:tcPr>
          <w:p>
            <w:r>
              <w:rPr>
                <w:rFonts w:ascii="Arial" w:hAnsi="Arial"/>
                <w:sz w:val="18"/>
              </w:rPr>
              <w:t>Female Employees</w:t>
            </w:r>
          </w:p>
        </w:tc>
        <w:tc>
          <w:tcPr>
            <w:tcW w:type="dxa" w:w="1806"/>
            <w:shd w:fill="F2F6FC" w:val="clear"/>
          </w:tcPr>
          <w:p>
            <w:pPr>
              <w:jc w:val="right"/>
            </w:pPr>
            <w:r>
              <w:rPr>
                <w:rFonts w:ascii="Arial" w:hAnsi="Arial"/>
                <w:sz w:val="18"/>
              </w:rPr>
              <w:t>10,579</w:t>
            </w:r>
          </w:p>
        </w:tc>
        <w:tc>
          <w:tcPr>
            <w:tcW w:type="dxa" w:w="1806"/>
            <w:shd w:fill="F2F6FC" w:val="clear"/>
          </w:tcPr>
          <w:p>
            <w:pPr>
              <w:jc w:val="right"/>
            </w:pPr>
            <w:r>
              <w:rPr>
                <w:rFonts w:ascii="Arial" w:hAnsi="Arial"/>
                <w:sz w:val="18"/>
              </w:rPr>
              <w:t>11,319</w:t>
            </w:r>
          </w:p>
        </w:tc>
        <w:tc>
          <w:tcPr>
            <w:tcW w:type="dxa" w:w="1806"/>
            <w:shd w:fill="F2F6FC" w:val="clear"/>
          </w:tcPr>
          <w:p>
            <w:pPr>
              <w:jc w:val="right"/>
            </w:pPr>
            <w:r>
              <w:rPr>
                <w:rFonts w:ascii="Arial" w:hAnsi="Arial"/>
                <w:sz w:val="18"/>
              </w:rPr>
              <w:t>-740</w:t>
            </w:r>
          </w:p>
        </w:tc>
        <w:tc>
          <w:tcPr>
            <w:tcW w:type="dxa" w:w="1806"/>
            <w:shd w:fill="F2F6FC" w:val="clear"/>
          </w:tcPr>
          <w:p>
            <w:r>
              <w:rPr>
                <w:rFonts w:ascii="Arial" w:hAnsi="Arial"/>
                <w:sz w:val="18"/>
              </w:rPr>
              <w:t>Diversity in climate governance</w:t>
            </w:r>
          </w:p>
        </w:tc>
      </w:tr>
      <w:tr>
        <w:tc>
          <w:tcPr>
            <w:tcW w:type="dxa" w:w="1806"/>
          </w:tcPr>
          <w:p>
            <w:r>
              <w:rPr>
                <w:rFonts w:ascii="Arial" w:hAnsi="Arial"/>
                <w:sz w:val="18"/>
              </w:rPr>
              <w:t>Male Employees</w:t>
            </w:r>
          </w:p>
        </w:tc>
        <w:tc>
          <w:tcPr>
            <w:tcW w:type="dxa" w:w="1806"/>
          </w:tcPr>
          <w:p>
            <w:pPr>
              <w:jc w:val="right"/>
            </w:pPr>
            <w:r>
              <w:rPr>
                <w:rFonts w:ascii="Arial" w:hAnsi="Arial"/>
                <w:sz w:val="18"/>
              </w:rPr>
              <w:t>14,418</w:t>
            </w:r>
          </w:p>
        </w:tc>
        <w:tc>
          <w:tcPr>
            <w:tcW w:type="dxa" w:w="1806"/>
          </w:tcPr>
          <w:p>
            <w:pPr>
              <w:jc w:val="right"/>
            </w:pPr>
            <w:r>
              <w:rPr>
                <w:rFonts w:ascii="Arial" w:hAnsi="Arial"/>
                <w:sz w:val="18"/>
              </w:rPr>
              <w:t>13,181</w:t>
            </w:r>
          </w:p>
        </w:tc>
        <w:tc>
          <w:tcPr>
            <w:tcW w:type="dxa" w:w="1806"/>
          </w:tcPr>
          <w:p>
            <w:pPr>
              <w:jc w:val="right"/>
            </w:pPr>
            <w:r>
              <w:rPr>
                <w:rFonts w:ascii="Arial" w:hAnsi="Arial"/>
                <w:sz w:val="18"/>
              </w:rPr>
              <w:t>+1,237</w:t>
            </w:r>
          </w:p>
        </w:tc>
        <w:tc>
          <w:tcPr>
            <w:tcW w:type="dxa" w:w="1806"/>
          </w:tcPr>
          <w:p>
            <w:r>
              <w:rPr>
                <w:rFonts w:ascii="Arial" w:hAnsi="Arial"/>
                <w:sz w:val="18"/>
              </w:rPr>
              <w:t>—</w:t>
            </w:r>
          </w:p>
        </w:tc>
      </w:tr>
      <w:tr>
        <w:tc>
          <w:tcPr>
            <w:tcW w:type="dxa" w:w="1806"/>
            <w:shd w:fill="F2F6FC" w:val="clear"/>
          </w:tcPr>
          <w:p>
            <w:r>
              <w:rPr>
                <w:rFonts w:ascii="Arial" w:hAnsi="Arial"/>
                <w:sz w:val="18"/>
              </w:rPr>
              <w:t>Female Percentage</w:t>
            </w:r>
          </w:p>
        </w:tc>
        <w:tc>
          <w:tcPr>
            <w:tcW w:type="dxa" w:w="1806"/>
            <w:shd w:fill="F2F6FC" w:val="clear"/>
          </w:tcPr>
          <w:p>
            <w:pPr>
              <w:jc w:val="right"/>
            </w:pPr>
            <w:r>
              <w:rPr>
                <w:rFonts w:ascii="Arial" w:hAnsi="Arial"/>
                <w:sz w:val="18"/>
              </w:rPr>
              <w:t>42.32%</w:t>
            </w:r>
          </w:p>
        </w:tc>
        <w:tc>
          <w:tcPr>
            <w:tcW w:type="dxa" w:w="1806"/>
            <w:shd w:fill="F2F6FC" w:val="clear"/>
          </w:tcPr>
          <w:p>
            <w:pPr>
              <w:jc w:val="right"/>
            </w:pPr>
            <w:r>
              <w:rPr>
                <w:rFonts w:ascii="Arial" w:hAnsi="Arial"/>
                <w:sz w:val="18"/>
              </w:rPr>
              <w:t>46.20%</w:t>
            </w:r>
          </w:p>
        </w:tc>
        <w:tc>
          <w:tcPr>
            <w:tcW w:type="dxa" w:w="1806"/>
            <w:shd w:fill="F2F6FC" w:val="clear"/>
          </w:tcPr>
          <w:p>
            <w:r>
              <w:rPr>
                <w:rFonts w:ascii="Arial" w:hAnsi="Arial"/>
                <w:sz w:val="18"/>
              </w:rPr>
              <w:t>-3.88 pp</w:t>
            </w:r>
          </w:p>
        </w:tc>
        <w:tc>
          <w:tcPr>
            <w:tcW w:type="dxa" w:w="1806"/>
            <w:shd w:fill="F2F6FC" w:val="clear"/>
          </w:tcPr>
          <w:p>
            <w:r>
              <w:rPr>
                <w:rFonts w:ascii="Arial" w:hAnsi="Arial"/>
                <w:sz w:val="18"/>
              </w:rPr>
              <w:t>Leadership diversity for climate oversight</w:t>
            </w:r>
          </w:p>
        </w:tc>
      </w:tr>
      <w:tr>
        <w:tc>
          <w:tcPr>
            <w:tcW w:type="dxa" w:w="1806"/>
          </w:tcPr>
          <w:p>
            <w:r>
              <w:rPr>
                <w:rFonts w:ascii="Arial" w:hAnsi="Arial"/>
                <w:sz w:val="18"/>
              </w:rPr>
              <w:t>Women in Management</w:t>
            </w:r>
          </w:p>
        </w:tc>
        <w:tc>
          <w:tcPr>
            <w:tcW w:type="dxa" w:w="1806"/>
          </w:tcPr>
          <w:p>
            <w:pPr>
              <w:jc w:val="right"/>
            </w:pPr>
            <w:r>
              <w:rPr>
                <w:rFonts w:ascii="Arial" w:hAnsi="Arial"/>
                <w:sz w:val="18"/>
              </w:rPr>
              <w:t>26.67%</w:t>
            </w:r>
          </w:p>
        </w:tc>
        <w:tc>
          <w:tcPr>
            <w:tcW w:type="dxa" w:w="1806"/>
          </w:tcPr>
          <w:p>
            <w:pPr>
              <w:jc w:val="right"/>
            </w:pPr>
            <w:r>
              <w:rPr>
                <w:rFonts w:ascii="Arial" w:hAnsi="Arial"/>
                <w:sz w:val="18"/>
              </w:rPr>
              <w:t>28.45%</w:t>
            </w:r>
          </w:p>
        </w:tc>
        <w:tc>
          <w:tcPr>
            <w:tcW w:type="dxa" w:w="1806"/>
          </w:tcPr>
          <w:p>
            <w:r>
              <w:rPr>
                <w:rFonts w:ascii="Arial" w:hAnsi="Arial"/>
                <w:sz w:val="18"/>
              </w:rPr>
              <w:t>-1.78 pp</w:t>
            </w:r>
          </w:p>
        </w:tc>
        <w:tc>
          <w:tcPr>
            <w:tcW w:type="dxa" w:w="1806"/>
          </w:tcPr>
          <w:p>
            <w:r>
              <w:rPr>
                <w:rFonts w:ascii="Arial" w:hAnsi="Arial"/>
                <w:sz w:val="18"/>
              </w:rPr>
              <w:t>Climate risk governance effectiveness</w:t>
            </w:r>
          </w:p>
        </w:tc>
      </w:tr>
      <w:tr>
        <w:tc>
          <w:tcPr>
            <w:tcW w:type="dxa" w:w="1806"/>
            <w:shd w:fill="F2F6FC" w:val="clear"/>
          </w:tcPr>
          <w:p>
            <w:r>
              <w:rPr>
                <w:rFonts w:ascii="Arial" w:hAnsi="Arial"/>
                <w:sz w:val="18"/>
              </w:rPr>
              <w:t>New Hires</w:t>
            </w:r>
          </w:p>
        </w:tc>
        <w:tc>
          <w:tcPr>
            <w:tcW w:type="dxa" w:w="1806"/>
            <w:shd w:fill="F2F6FC" w:val="clear"/>
          </w:tcPr>
          <w:p>
            <w:pPr>
              <w:jc w:val="right"/>
            </w:pPr>
            <w:r>
              <w:rPr>
                <w:rFonts w:ascii="Arial" w:hAnsi="Arial"/>
                <w:sz w:val="18"/>
              </w:rPr>
              <w:t>2,595</w:t>
            </w:r>
          </w:p>
        </w:tc>
        <w:tc>
          <w:tcPr>
            <w:tcW w:type="dxa" w:w="1806"/>
            <w:shd w:fill="F2F6FC" w:val="clear"/>
          </w:tcPr>
          <w:p>
            <w:pPr>
              <w:jc w:val="right"/>
            </w:pPr>
            <w:r>
              <w:rPr>
                <w:rFonts w:ascii="Arial" w:hAnsi="Arial"/>
                <w:sz w:val="18"/>
              </w:rPr>
              <w:t>3,169</w:t>
            </w:r>
          </w:p>
        </w:tc>
        <w:tc>
          <w:tcPr>
            <w:tcW w:type="dxa" w:w="1806"/>
            <w:shd w:fill="F2F6FC" w:val="clear"/>
          </w:tcPr>
          <w:p>
            <w:pPr>
              <w:jc w:val="right"/>
            </w:pPr>
            <w:r>
              <w:rPr>
                <w:rFonts w:ascii="Arial" w:hAnsi="Arial"/>
                <w:sz w:val="18"/>
              </w:rPr>
              <w:t>-574</w:t>
            </w:r>
          </w:p>
        </w:tc>
        <w:tc>
          <w:tcPr>
            <w:tcW w:type="dxa" w:w="1806"/>
            <w:shd w:fill="F2F6FC" w:val="clear"/>
          </w:tcPr>
          <w:p>
            <w:r>
              <w:rPr>
                <w:rFonts w:ascii="Arial" w:hAnsi="Arial"/>
                <w:sz w:val="18"/>
              </w:rPr>
              <w:t>Green skills acquisition rate</w:t>
            </w:r>
          </w:p>
        </w:tc>
      </w:tr>
      <w:tr>
        <w:tc>
          <w:tcPr>
            <w:tcW w:type="dxa" w:w="1806"/>
          </w:tcPr>
          <w:p>
            <w:r>
              <w:rPr>
                <w:rFonts w:ascii="Arial" w:hAnsi="Arial"/>
                <w:sz w:val="18"/>
              </w:rPr>
              <w:t>Hiring Rate</w:t>
            </w:r>
          </w:p>
        </w:tc>
        <w:tc>
          <w:tcPr>
            <w:tcW w:type="dxa" w:w="1806"/>
          </w:tcPr>
          <w:p>
            <w:pPr>
              <w:jc w:val="right"/>
            </w:pPr>
            <w:r>
              <w:rPr>
                <w:rFonts w:ascii="Arial" w:hAnsi="Arial"/>
                <w:sz w:val="18"/>
              </w:rPr>
              <w:t>10.38%</w:t>
            </w:r>
          </w:p>
        </w:tc>
        <w:tc>
          <w:tcPr>
            <w:tcW w:type="dxa" w:w="1806"/>
          </w:tcPr>
          <w:p>
            <w:pPr>
              <w:jc w:val="right"/>
            </w:pPr>
            <w:r>
              <w:rPr>
                <w:rFonts w:ascii="Arial" w:hAnsi="Arial"/>
                <w:sz w:val="18"/>
              </w:rPr>
              <w:t>12.93%</w:t>
            </w:r>
          </w:p>
        </w:tc>
        <w:tc>
          <w:tcPr>
            <w:tcW w:type="dxa" w:w="1806"/>
          </w:tcPr>
          <w:p>
            <w:r>
              <w:rPr>
                <w:rFonts w:ascii="Arial" w:hAnsi="Arial"/>
                <w:sz w:val="18"/>
              </w:rPr>
              <w:t>-2.55 pp</w:t>
            </w:r>
          </w:p>
        </w:tc>
        <w:tc>
          <w:tcPr>
            <w:tcW w:type="dxa" w:w="1806"/>
          </w:tcPr>
          <w:p>
            <w:r>
              <w:rPr>
                <w:rFonts w:ascii="Arial" w:hAnsi="Arial"/>
                <w:sz w:val="18"/>
              </w:rPr>
              <w:t>—</w:t>
            </w:r>
          </w:p>
        </w:tc>
      </w:tr>
      <w:tr>
        <w:tc>
          <w:tcPr>
            <w:tcW w:type="dxa" w:w="1806"/>
            <w:shd w:fill="F2F6FC" w:val="clear"/>
          </w:tcPr>
          <w:p>
            <w:r>
              <w:rPr>
                <w:rFonts w:ascii="Arial" w:hAnsi="Arial"/>
                <w:sz w:val="18"/>
              </w:rPr>
              <w:t>Voluntary Turnover</w:t>
            </w:r>
          </w:p>
        </w:tc>
        <w:tc>
          <w:tcPr>
            <w:tcW w:type="dxa" w:w="1806"/>
            <w:shd w:fill="F2F6FC" w:val="clear"/>
          </w:tcPr>
          <w:p>
            <w:pPr>
              <w:jc w:val="right"/>
            </w:pPr>
            <w:r>
              <w:rPr>
                <w:rFonts w:ascii="Arial" w:hAnsi="Arial"/>
                <w:sz w:val="18"/>
              </w:rPr>
              <w:t>8.45%</w:t>
            </w:r>
          </w:p>
        </w:tc>
        <w:tc>
          <w:tcPr>
            <w:tcW w:type="dxa" w:w="1806"/>
            <w:shd w:fill="F2F6FC" w:val="clear"/>
          </w:tcPr>
          <w:p>
            <w:pPr>
              <w:jc w:val="right"/>
            </w:pPr>
            <w:r>
              <w:rPr>
                <w:rFonts w:ascii="Arial" w:hAnsi="Arial"/>
                <w:sz w:val="18"/>
              </w:rPr>
              <w:t>14.24%</w:t>
            </w:r>
          </w:p>
        </w:tc>
        <w:tc>
          <w:tcPr>
            <w:tcW w:type="dxa" w:w="1806"/>
            <w:shd w:fill="F2F6FC" w:val="clear"/>
          </w:tcPr>
          <w:p>
            <w:pPr>
              <w:jc w:val="right"/>
            </w:pPr>
            <w:r>
              <w:rPr>
                <w:rFonts w:ascii="Arial" w:hAnsi="Arial"/>
                <w:sz w:val="18"/>
              </w:rPr>
              <w:t>-40.66%</w:t>
            </w:r>
          </w:p>
        </w:tc>
        <w:tc>
          <w:tcPr>
            <w:tcW w:type="dxa" w:w="1806"/>
            <w:shd w:fill="F2F6FC" w:val="clear"/>
          </w:tcPr>
          <w:p>
            <w:r>
              <w:rPr>
                <w:rFonts w:ascii="Arial" w:hAnsi="Arial"/>
                <w:sz w:val="18"/>
              </w:rPr>
              <w:t>Institutional knowledge retention</w:t>
            </w:r>
          </w:p>
        </w:tc>
      </w:tr>
      <w:tr>
        <w:tc>
          <w:tcPr>
            <w:tcW w:type="dxa" w:w="1806"/>
          </w:tcPr>
          <w:p>
            <w:r>
              <w:rPr>
                <w:rFonts w:ascii="Arial" w:hAnsi="Arial"/>
                <w:sz w:val="18"/>
              </w:rPr>
              <w:t>Avg Training Hours/FTE</w:t>
            </w:r>
          </w:p>
        </w:tc>
        <w:tc>
          <w:tcPr>
            <w:tcW w:type="dxa" w:w="1806"/>
          </w:tcPr>
          <w:p>
            <w:pPr>
              <w:jc w:val="right"/>
            </w:pPr>
            <w:r>
              <w:rPr>
                <w:rFonts w:ascii="Arial" w:hAnsi="Arial"/>
                <w:sz w:val="18"/>
              </w:rPr>
              <w:t>49.3</w:t>
            </w:r>
          </w:p>
        </w:tc>
        <w:tc>
          <w:tcPr>
            <w:tcW w:type="dxa" w:w="1806"/>
          </w:tcPr>
          <w:p>
            <w:pPr>
              <w:jc w:val="right"/>
            </w:pPr>
            <w:r>
              <w:rPr>
                <w:rFonts w:ascii="Arial" w:hAnsi="Arial"/>
                <w:sz w:val="18"/>
              </w:rPr>
              <w:t>64.14</w:t>
            </w:r>
          </w:p>
        </w:tc>
        <w:tc>
          <w:tcPr>
            <w:tcW w:type="dxa" w:w="1806"/>
          </w:tcPr>
          <w:p>
            <w:pPr>
              <w:jc w:val="right"/>
            </w:pPr>
            <w:r>
              <w:rPr>
                <w:rFonts w:ascii="Arial" w:hAnsi="Arial"/>
                <w:sz w:val="18"/>
              </w:rPr>
              <w:t>-23.14%</w:t>
            </w:r>
          </w:p>
        </w:tc>
        <w:tc>
          <w:tcPr>
            <w:tcW w:type="dxa" w:w="1806"/>
          </w:tcPr>
          <w:p>
            <w:r>
              <w:rPr>
                <w:rFonts w:ascii="Arial" w:hAnsi="Arial"/>
                <w:sz w:val="18"/>
              </w:rPr>
              <w:t>Climate competency development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-1</w:t>
            </w:r>
          </w:p>
        </w:tc>
        <w:tc>
          <w:tcPr>
            <w:tcW w:type="dxa" w:w="1806"/>
            <w:shd w:fill="F2F6FC" w:val="clear"/>
          </w:tcPr>
          <w:p>
            <w:r>
              <w:rPr>
                <w:rFonts w:ascii="Arial" w:hAnsi="Arial"/>
                <w:sz w:val="18"/>
              </w:rPr>
              <w:t>Just transition principles</w:t>
            </w:r>
          </w:p>
        </w:tc>
      </w:tr>
    </w:tbl>
    <w:p>
      <w:r>
        <w:rPr>
          <w:rFonts w:ascii="Arial" w:hAnsi="Arial"/>
          <w:i/>
          <w:sz w:val="16"/>
        </w:rPr>
        <w:t>Source: Source: HR Information System. Climate transition relevance assessed per IFRS S2 para 8 (governance diversity) and para 25 (workforce capabilities for risk management).</w:t>
      </w:r>
    </w:p>
    <w:p/>
    <w:p/>
    <w:p>
      <w:r>
        <w:drawing>
          <wp:inline xmlns:a="http://schemas.openxmlformats.org/drawingml/2006/main" xmlns:pic="http://schemas.openxmlformats.org/drawingml/2006/picture">
            <wp:extent cx="5029200" cy="3702748"/>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702748"/>
                    </a:xfrm>
                    <a:prstGeom prst="rect"/>
                  </pic:spPr>
                </pic:pic>
              </a:graphicData>
            </a:graphic>
          </wp:inline>
        </w:drawing>
      </w:r>
    </w:p>
    <w:p>
      <w:pPr>
        <w:jc w:val="center"/>
      </w:pPr>
      <w:r>
        <w:rPr>
          <w:i/>
          <w:color w:val="666666"/>
          <w:sz w:val="18"/>
        </w:rPr>
        <w:t>Figure 25: Workforce Gender Composition (2024)</w:t>
      </w:r>
    </w:p>
    <w:p>
      <w:pPr>
        <w:jc w:val="center"/>
      </w:pPr>
      <w:r>
        <w:rPr>
          <w:i/>
          <w:color w:val="757575"/>
          <w:sz w:val="18"/>
        </w:rPr>
        <w:t>Female representation at 42.32% trails peer benchmarks (BCA 48.2%, Mandiri 44.1%)—diversity gap constrains climate governance effectiveness per IFRS S2 para 8</w:t>
      </w:r>
    </w:p>
    <w:p/>
    <w:p>
      <w:r>
        <w:drawing>
          <wp:inline xmlns:a="http://schemas.openxmlformats.org/drawingml/2006/main" xmlns:pic="http://schemas.openxmlformats.org/drawingml/2006/picture">
            <wp:extent cx="5029200" cy="3332057"/>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332057"/>
                    </a:xfrm>
                    <a:prstGeom prst="rect"/>
                  </pic:spPr>
                </pic:pic>
              </a:graphicData>
            </a:graphic>
          </wp:inline>
        </w:drawing>
      </w:r>
    </w:p>
    <w:p>
      <w:pPr>
        <w:jc w:val="center"/>
      </w:pPr>
      <w:r>
        <w:rPr>
          <w:i/>
          <w:color w:val="666666"/>
          <w:sz w:val="18"/>
        </w:rPr>
        <w:t>Figure 26: Training Hours per FTE — Year-over-Year Comparison</w:t>
      </w:r>
    </w:p>
    <w:p>
      <w:pPr>
        <w:jc w:val="center"/>
      </w:pPr>
      <w:r>
        <w:rPr>
          <w:i/>
          <w:color w:val="757575"/>
          <w:sz w:val="18"/>
        </w:rPr>
        <w:t>23.14% decline to 49.3 hrs/FTE while peers increased climate training—capability gap threatens IFRS S2 scenario analysis and PCAF implementation</w:t>
      </w:r>
    </w:p>
    <w:p/>
    <w:p>
      <w:r>
        <w:drawing>
          <wp:inline xmlns:a="http://schemas.openxmlformats.org/drawingml/2006/main" xmlns:pic="http://schemas.openxmlformats.org/drawingml/2006/picture">
            <wp:extent cx="5029200" cy="3332057"/>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332057"/>
                    </a:xfrm>
                    <a:prstGeom prst="rect"/>
                  </pic:spPr>
                </pic:pic>
              </a:graphicData>
            </a:graphic>
          </wp:inline>
        </w:drawing>
      </w:r>
    </w:p>
    <w:p>
      <w:pPr>
        <w:jc w:val="center"/>
      </w:pPr>
      <w:r>
        <w:rPr>
          <w:i/>
          <w:color w:val="666666"/>
          <w:sz w:val="18"/>
        </w:rPr>
        <w:t>Figure 27: Women in Management — Trend Analysis</w:t>
      </w:r>
    </w:p>
    <w:p>
      <w:pPr>
        <w:jc w:val="center"/>
      </w:pPr>
      <w:r>
        <w:rPr>
          <w:i/>
          <w:color w:val="757575"/>
          <w:sz w:val="18"/>
        </w:rPr>
        <w:t>Declining from 28.45% to 26.67% diverges from peer trajectories (BCA 32.1%, Mandiri targeting 40%)—leadership diversity gap impacts climate oversight quality</w:t>
      </w:r>
    </w:p>
    <w:p/>
    <w:p>
      <w:r>
        <w:drawing>
          <wp:inline xmlns:a="http://schemas.openxmlformats.org/drawingml/2006/main" xmlns:pic="http://schemas.openxmlformats.org/drawingml/2006/picture">
            <wp:extent cx="5029200" cy="3332057"/>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3332057"/>
                    </a:xfrm>
                    <a:prstGeom prst="rect"/>
                  </pic:spPr>
                </pic:pic>
              </a:graphicData>
            </a:graphic>
          </wp:inline>
        </w:drawing>
      </w:r>
    </w:p>
    <w:p>
      <w:pPr>
        <w:jc w:val="center"/>
      </w:pPr>
      <w:r>
        <w:rPr>
          <w:i/>
          <w:color w:val="666666"/>
          <w:sz w:val="18"/>
        </w:rPr>
        <w:t>Figure 28: Voluntary Turnover Rate — Year-over-Year Improvement</w:t>
      </w:r>
    </w:p>
    <w:p>
      <w:pPr>
        <w:jc w:val="center"/>
      </w:pPr>
      <w:r>
        <w:rPr>
          <w:i/>
          <w:color w:val="757575"/>
          <w:sz w:val="18"/>
        </w:rPr>
        <w:t>40.66% improvement to 8.45% provides foundation for climate competency building—retention strength enables long-term PCAF data quality enhancement</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23.14% decline in training hours per FTE occurred during a period when regulatory requirements for climate risk management intensified (OJK POJK 51/2017, preparation for IFRS S1/S2 adoption in 2026). Root causes include: (1) cost optimization initiatives reducing external training budgets, (2) digital transformation prioritization diverting learning resources from climate competencies, (3) absence of mandatory climate certification requirements for credit and risk officers. Declining female representation reflects broader labor market dynamics but is exacerbated by lack of structured diversity initiatives in climate-related hiring. The institution's current workforce capabilities are insufficient to execute PCAF data quality improvement roadmap (target score &lt;3.0 by 2026 from current 3.36) and conduct robust scenario analysis per IFRS S2 paragraphs 15-21.</w:t>
            </w:r>
          </w:p>
          <w:p>
            <w:r>
              <w:rPr>
                <w:b/>
                <w:sz w:val="20"/>
              </w:rPr>
              <w:t>Root Causes:</w:t>
            </w:r>
          </w:p>
          <w:p>
            <w:r>
              <w:rPr>
                <w:sz w:val="18"/>
              </w:rPr>
              <w:t>• Training budget reallocation toward digital/technology skills (fintech, cybersecurity) reduced climate risk and sustainable finance capacity building investments by estimated 30-35% in 2024</w:t>
            </w:r>
          </w:p>
          <w:p>
            <w:r>
              <w:rPr>
                <w:sz w:val="18"/>
              </w:rPr>
              <w:t>• Absence of mandatory climate certification requirements for credit officers, risk managers, and relationship managers—unlike peers BRI and OCBC Indonesia who implemented mandatory PCAF practitioner certification</w:t>
            </w:r>
          </w:p>
          <w:p>
            <w:r>
              <w:rPr>
                <w:sz w:val="18"/>
              </w:rPr>
              <w:t>• HR system limitations preventing tracking of climate-specific training hours, creating accountability gap for climate competency development targets</w:t>
            </w:r>
          </w:p>
          <w:p>
            <w:r>
              <w:rPr>
                <w:sz w:val="18"/>
              </w:rPr>
              <w:t>• Lack of structured diversity initiatives for climate-related roles (ESG analysts, sustainability officers, green finance specialists) contributing to declining female representation in strategic functions</w:t>
            </w:r>
          </w:p>
          <w:p>
            <w:r>
              <w:rPr>
                <w:b/>
                <w:sz w:val="20"/>
              </w:rPr>
              <w:t>Risk Implications:</w:t>
            </w:r>
          </w:p>
          <w:p>
            <w:r>
              <w:rPr>
                <w:sz w:val="18"/>
              </w:rPr>
              <w:t>• IFRS S2 Disclosure Risk: Insufficient workforce capabilities to conduct scenario analysis (para 15-21), measure financed emissions accurately (para 29-31), and implement transition plan (para 14). Potential qualified audit opinion or investor skepticism regarding transition plan credibility.</w:t>
            </w:r>
          </w:p>
          <w:p>
            <w:r>
              <w:rPr>
                <w:sz w:val="18"/>
              </w:rPr>
              <w:t>• Regulatory Risk: OJK SEOJK 16/2021 requires financial institutions to develop sustainable finance capabilities. Current training trajectory may trigger supervisory concerns during OJK sustainability assessments, potentially impacting institution's sustainable finance taxonomy eligibility.</w:t>
            </w:r>
          </w:p>
          <w:p>
            <w:r>
              <w:rPr>
                <w:sz w:val="18"/>
              </w:rPr>
              <w:t>• Market Risk: Indonesia's sustainable finance market estimated at IDR 3,779 trillion through 2030 per NDC roadmap. Workforce capability gaps constrain ability to structure green bonds, sustainability-linked loans, and transition finance products—ceding market share to peers with established climate finance academies.</w:t>
            </w:r>
          </w:p>
          <w:p>
            <w:r>
              <w:rPr>
                <w:sz w:val="18"/>
              </w:rPr>
              <w:t>• Reputational Risk: Declining diversity metrics during period of heightened ESG investor scrutiny. Gender diversity accounts for 8-12% weight in MSCI ESG Ratings and Sustainalytics ESG Risk Ratings. Continued decline may trigger rating downgrades, increasing cost of capital and reducing institutional investor appeal.</w:t>
            </w:r>
          </w:p>
        </w:tc>
      </w:tr>
    </w:tbl>
    <w:p/>
    <w:p/>
    <w:p>
      <w:r>
        <w:rPr>
          <w:b/>
          <w:color w:val="2E7D32"/>
          <w:sz w:val="24"/>
        </w:rPr>
        <w:t>⚡ Priority Actions</w:t>
      </w:r>
    </w:p>
    <w:p>
      <w:r>
        <w:rPr>
          <w:b/>
          <w:sz w:val="22"/>
        </w:rPr>
        <w:t>🔴 1. Establish Climate Finance Academy with three mandatory certification tracks: (1) PCAF Practitioner for credit officers (16 hrs), (2) Climate Risk Analyst for risk management (24 hrs), (3) Sustainable Finance Structuring for relationship managers (20 hrs). Target 55 hours per FTE by Q4 2025.</w:t>
      </w:r>
      <w:r>
        <w:rPr>
          <w:sz w:val="22"/>
        </w:rPr>
        <w:t xml:space="preserve"> (Q2 2025 (launch) — Q4 2025 (full rollout))</w:t>
      </w:r>
    </w:p>
    <w:p>
      <w:pPr>
        <w:spacing w:after="160" w:line="276" w:lineRule="auto"/>
      </w:pPr>
      <w:r>
        <w:t xml:space="preserve">    → Expected: Achieve PCAF data quality score &lt;3.0 by 2026 (current: 3.36). Enable full IFRS S2 scenario analysis disclosure. Reduce financed emissions measurement error margin from ±35% to ±15%. Certify 100% of credit officers in PCAF methodology within 18 months.</w:t>
      </w:r>
    </w:p>
    <w:p>
      <w:pPr>
        <w:spacing w:after="160" w:line="276" w:lineRule="auto"/>
      </w:pPr>
      <w:r>
        <w:rPr>
          <w:rFonts w:ascii="Arial" w:hAnsi="Arial"/>
          <w:i/>
          <w:color w:val="646464"/>
          <w:sz w:val="18"/>
        </w:rPr>
        <w:t xml:space="preserve">    → Ref: BRI Climate Finance Academy certified 1,847 employees in PCAF methodology within 18 months (2023-2024). DBS Climate Risk Certification achieved 94% completion rate using blended microlearning format.</w:t>
      </w:r>
    </w:p>
    <w:p>
      <w:r>
        <w:rPr>
          <w:b/>
          <w:sz w:val="22"/>
        </w:rPr>
        <w:t>🔴 2. Implement Climate Leadership Diversity Initiative: (1) Reserve 40% Climate Risk Committee seats for women by Q2 2025, (2) Establish mentorship program pairing female mid-managers with C-suite sponsors for climate roles, (3) Set 50% female hiring targets for all climate-related positions.</w:t>
      </w:r>
      <w:r>
        <w:rPr>
          <w:sz w:val="22"/>
        </w:rPr>
        <w:t xml:space="preserve"> (Q2 2025 (Committee restructure) — Q4 2025 (mentorship launch))</w:t>
      </w:r>
    </w:p>
    <w:p>
      <w:pPr>
        <w:spacing w:after="160" w:line="276" w:lineRule="auto"/>
      </w:pPr>
      <w:r>
        <w:t xml:space="preserve">    → Expected: Reverse declining trend to achieve 45% female workforce and 30% women in management by 2026. Enhance climate governance effectiveness per IFRS S2 para 8. Improve ESG ratings (gender diversity is 8-12% weight in MSCI/Sustainalytics).</w:t>
      </w:r>
    </w:p>
    <w:p>
      <w:pPr>
        <w:spacing w:after="160" w:line="276" w:lineRule="auto"/>
      </w:pPr>
      <w:r>
        <w:rPr>
          <w:rFonts w:ascii="Arial" w:hAnsi="Arial"/>
          <w:i/>
          <w:color w:val="646464"/>
          <w:sz w:val="18"/>
        </w:rPr>
        <w:t xml:space="preserve">    → Ref: Mandiri's 'Women in Leadership' program increased female senior management from 24% to 31% over 3 years through structured sponsorship. BCA maintains 48.2% female workforce with 32.1% women in management through targeted diversity initiatives.</w:t>
      </w:r>
    </w:p>
    <w:p>
      <w:r>
        <w:rPr>
          <w:b/>
          <w:sz w:val="22"/>
        </w:rPr>
        <w:t>🟡 3. Upgrade HR Information System to track climate-related training separately with sub-classifications: Climate Risk Fundamentals, PCAF Methodology, Scenario Analysis, Sustainable Finance Products, IFRS S1/S2 Disclosure. Establish baseline: 12 hrs/FTE annually (24 hrs for climate risk roles).</w:t>
      </w:r>
      <w:r>
        <w:rPr>
          <w:sz w:val="22"/>
        </w:rPr>
        <w:t xml:space="preserve"> (Q3 2025 (system upgrade) — Q4 2025 (baseline reporting))</w:t>
      </w:r>
    </w:p>
    <w:p>
      <w:pPr>
        <w:spacing w:after="160" w:line="276" w:lineRule="auto"/>
      </w:pPr>
      <w:r>
        <w:t xml:space="preserve">    → Expected: Enable full IFRS S2 para 25 disclosure by 2026. Provide quantitative evidence of climate transition workforce readiness. Support OJK SEOJK 16/2021 sustainable finance roadmap compliance. Create accountability mechanism for climate competency targets.</w:t>
      </w:r>
    </w:p>
    <w:p>
      <w:pPr>
        <w:spacing w:after="160" w:line="276" w:lineRule="auto"/>
      </w:pPr>
      <w:r>
        <w:rPr>
          <w:rFonts w:ascii="Arial" w:hAnsi="Arial"/>
          <w:i/>
          <w:color w:val="646464"/>
          <w:sz w:val="18"/>
        </w:rPr>
        <w:t xml:space="preserve">    → Ref: BRI's HR system integration enabled granular climate training reporting (18,400 hours in 2023), supporting IFRS S2 para 25 disclosure and demonstrating workforce readiness for SBTi target implementation.</w:t>
      </w:r>
    </w:p>
    <w:p>
      <w:r>
        <w:rPr>
          <w:b/>
          <w:sz w:val="22"/>
        </w:rPr>
        <w:t>🟡 4. Develop Just Transition Framework addressing workforce implications of portfolio decarbonization, including: (1) Reskilling programs for employees in carbon-intensive sector coverage teams, (2) Social dialogue mechanisms with labor unions on climate strategy, (3) Grievance mechanisms for climate-related employment concerns.</w:t>
      </w:r>
      <w:r>
        <w:rPr>
          <w:sz w:val="22"/>
        </w:rPr>
        <w:t xml:space="preserve"> (Q4 2025 (framework development) — Q2 2026 (implementation))</w:t>
      </w:r>
    </w:p>
    <w:p>
      <w:pPr>
        <w:spacing w:after="160" w:line="276" w:lineRule="auto"/>
      </w:pPr>
      <w:r>
        <w:t xml:space="preserve">    → Expected: Align with ILO Just Transition Guidelines. Mitigate workforce resistance to portfolio decarbonization initiatives. Enhance IFRS S2 para 14 transition plan disclosure by addressing social dimensions. Reduce discrimination cases related to climate transition (current: 2 cases in 2024).</w:t>
      </w:r>
    </w:p>
    <w:p>
      <w:pPr>
        <w:spacing w:after="160" w:line="276" w:lineRule="auto"/>
      </w:pPr>
      <w:r>
        <w:rPr>
          <w:rFonts w:ascii="Arial" w:hAnsi="Arial"/>
          <w:i/>
          <w:color w:val="646464"/>
          <w:sz w:val="18"/>
        </w:rPr>
        <w:t xml:space="preserve">    → Ref: DBS Just Transition Framework (2023) includes reskilling programs for employees in fossil fuel coverage teams, with 87% successfully redeployed to renewable energy and sustainable infrastructure sectors within 24 months.</w:t>
      </w:r>
    </w:p>
    <w:p/>
    <w:p>
      <w:r>
        <w:rPr>
          <w:i/>
          <w:color w:val="3D6094"/>
          <w:sz w:val="18"/>
        </w:rPr>
        <w:t>Framework references: IFRS S2 para 8 — Governance body composition and diversity relevant to climate oversight; IFRS S2 para 25 — Processes and capabilities for climate risk identification and assessment; IFRS S2 para 29-42 — Metrics and targets requiring workforce competencies (PCAF, scenario analysis); GRI 2-7 — Employees (supplementary disclosure); GRI 401-1 — New employee hires and employee turnover; GRI 404-1 — Average hours of training per year per employee; GRI 405-1 — Diversity of governance bodies and employees; GRI 406-1 — Incidents of discrimination and corrective actions taken</w:t>
      </w:r>
    </w:p>
    <w:p>
      <w:pPr>
        <w:spacing w:after="80"/>
        <w:pBdr>
          <w:bottom w:val="single" w:sz="6" w:space="1" w:color="CCCCCC"/>
        </w:pBdr>
      </w:pPr>
    </w:p>
    <w:p>
      <w:pPr>
        <w:spacing w:after="160" w:line="276" w:lineRule="auto"/>
      </w:pPr>
      <w:r>
        <w:rPr>
          <w:rFonts w:ascii="Arial" w:hAnsi="Arial"/>
          <w:i/>
          <w:color w:val="646464"/>
          <w:sz w:val="18"/>
        </w:rPr>
        <w:t>Full-time equivalent (FTE) calculation includes permanent employees under operational control. Excludes contractors, temporary staff, and outsourced service providers.</w:t>
      </w:r>
    </w:p>
    <w:p>
      <w:pPr>
        <w:spacing w:after="160" w:line="276" w:lineRule="auto"/>
      </w:pPr>
      <w:r>
        <w:rPr>
          <w:rFonts w:ascii="Arial" w:hAnsi="Arial"/>
          <w:i/>
          <w:color w:val="646464"/>
          <w:sz w:val="18"/>
        </w:rPr>
        <w:t>Training hours encompass mandatory compliance training, technical skills development, leadership programs, and ESG-related capacity building. Climate-specific training hours are not separately tracked in the current reporting system.</w:t>
      </w:r>
    </w:p>
    <w:p>
      <w:pPr>
        <w:spacing w:after="160" w:line="276" w:lineRule="auto"/>
      </w:pPr>
      <w:r>
        <w:rPr>
          <w:rFonts w:ascii="Arial" w:hAnsi="Arial"/>
          <w:i/>
          <w:color w:val="646464"/>
          <w:sz w:val="18"/>
        </w:rPr>
        <w:t>Voluntary turnover rate calculated as voluntary resignations divided by average headcount during the reporting period. Excludes retirements, terminations for cause, and redundancies.</w:t>
      </w:r>
    </w:p>
    <w:p>
      <w:pPr>
        <w:spacing w:after="160" w:line="276" w:lineRule="auto"/>
      </w:pPr>
      <w:r>
        <w:rPr>
          <w:rFonts w:ascii="Arial" w:hAnsi="Arial"/>
          <w:i/>
          <w:color w:val="646464"/>
          <w:sz w:val="18"/>
        </w:rPr>
        <w:t>Discrimination cases include all formal complaints filed through the institution's grievance mechanism under employment discrimination, harassment, or unfair treatment categories. All cases were investigated and resolved during the reporting period.</w:t>
      </w:r>
    </w:p>
    <w:p>
      <w:pPr>
        <w:spacing w:after="160" w:line="276" w:lineRule="auto"/>
      </w:pPr>
      <w:r>
        <w:rPr>
          <w:rFonts w:ascii="Arial" w:hAnsi="Arial"/>
          <w:i/>
          <w:color w:val="646464"/>
          <w:sz w:val="18"/>
        </w:rPr>
        <w:t>Women in management percentage represents female employees in supervisory, middle management, and senior management positions (grade level 4 and above in the institution's job grading structure).</w:t>
      </w:r>
    </w:p>
    <w:p>
      <w:pPr>
        <w:spacing w:after="160" w:line="276" w:lineRule="auto"/>
      </w:pPr>
      <w:r>
        <w:rPr>
          <w:rFonts w:ascii="Arial" w:hAnsi="Arial"/>
          <w:i/>
          <w:color w:val="646464"/>
          <w:sz w:val="18"/>
        </w:rPr>
        <w:t>📋 DATA PROVENANCE: Source: HR Information System | EF: N/A | Methodology: GRI 401/403/404/405 | Quality: Tier 1 (primary HR data) | Validated: 2025-01-15 | Owner: Sustainability &amp; ESG Division</w:t>
      </w:r>
    </w:p>
    <w:p>
      <w:r>
        <w:br w:type="page"/>
      </w:r>
    </w:p>
    <w:p>
      <w:pPr>
        <w:pStyle w:val="Heading1"/>
        <w:keepNext/>
        <w:spacing w:before="480" w:after="240"/>
      </w:pPr>
      <w:r>
        <w:rPr>
          <w:rFonts w:ascii="Arial" w:hAnsi="Arial"/>
          <w:b/>
          <w:color w:val="1B3A6B"/>
          <w:sz w:val="36"/>
        </w:rPr>
        <w:t>Appendix A: Methodology &amp; Calculation Approach</w:t>
      </w:r>
    </w:p>
    <w:p>
      <w:pPr>
        <w:spacing w:after="160" w:line="276" w:lineRule="auto"/>
      </w:pPr>
      <w:r>
        <w:rPr>
          <w:rFonts w:ascii="Arial" w:hAnsi="Arial"/>
          <w:b/>
          <w:sz w:val="22"/>
        </w:rPr>
        <w:t>A.1 Reporting Boundary &amp; Consolidation</w:t>
      </w:r>
    </w:p>
    <w:p>
      <w:r>
        <w:rPr>
          <w:rFonts w:ascii="Arial" w:hAnsi="Arial"/>
          <w:b/>
          <w:sz w:val="20"/>
        </w:rPr>
        <w:t>Table 43: Reporting Parameters</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Parameter</w:t>
            </w:r>
          </w:p>
        </w:tc>
        <w:tc>
          <w:tcPr>
            <w:tcW w:type="dxa" w:w="4514"/>
            <w:shd w:fill="1B3A6B" w:val="clear"/>
          </w:tcPr>
          <w:p>
            <w:r>
              <w:rPr>
                <w:rFonts w:ascii="Arial" w:hAnsi="Arial"/>
                <w:b/>
                <w:color w:val="FFFFFF"/>
                <w:sz w:val="18"/>
              </w:rPr>
              <w:t>Value</w:t>
            </w:r>
          </w:p>
        </w:tc>
      </w:tr>
      <w:tr>
        <w:tc>
          <w:tcPr>
            <w:tcW w:type="dxa" w:w="4514"/>
          </w:tcPr>
          <w:p>
            <w:r>
              <w:rPr>
                <w:rFonts w:ascii="Arial" w:hAnsi="Arial"/>
                <w:sz w:val="18"/>
              </w:rPr>
              <w:t>Consolidation Approach</w:t>
            </w:r>
          </w:p>
        </w:tc>
        <w:tc>
          <w:tcPr>
            <w:tcW w:type="dxa" w:w="4514"/>
          </w:tcPr>
          <w:p>
            <w:r>
              <w:rPr>
                <w:rFonts w:ascii="Arial" w:hAnsi="Arial"/>
                <w:sz w:val="18"/>
              </w:rPr>
              <w:t>Operational Control (per GHG Protocol)</w:t>
            </w:r>
          </w:p>
        </w:tc>
      </w:tr>
      <w:tr>
        <w:tc>
          <w:tcPr>
            <w:tcW w:type="dxa" w:w="4514"/>
            <w:shd w:fill="F2F6FC" w:val="clear"/>
          </w:tcPr>
          <w:p>
            <w:r>
              <w:rPr>
                <w:rFonts w:ascii="Arial" w:hAnsi="Arial"/>
                <w:sz w:val="18"/>
              </w:rPr>
              <w:t>Organizational Boundary</w:t>
            </w:r>
          </w:p>
        </w:tc>
        <w:tc>
          <w:tcPr>
            <w:tcW w:type="dxa" w:w="4514"/>
            <w:shd w:fill="F2F6FC" w:val="clear"/>
          </w:tcPr>
          <w:p>
            <w:r>
              <w:rPr>
                <w:rFonts w:ascii="Arial" w:hAnsi="Arial"/>
                <w:sz w:val="18"/>
              </w:rPr>
              <w:t>All facilities under operational control</w:t>
            </w:r>
          </w:p>
        </w:tc>
      </w:tr>
      <w:tr>
        <w:tc>
          <w:tcPr>
            <w:tcW w:type="dxa" w:w="4514"/>
          </w:tcPr>
          <w:p>
            <w:r>
              <w:rPr>
                <w:rFonts w:ascii="Arial" w:hAnsi="Arial"/>
                <w:sz w:val="18"/>
              </w:rPr>
              <w:t>Reporting Period</w:t>
            </w:r>
          </w:p>
        </w:tc>
        <w:tc>
          <w:tcPr>
            <w:tcW w:type="dxa" w:w="4514"/>
          </w:tcPr>
          <w:p>
            <w:r>
              <w:rPr>
                <w:rFonts w:ascii="Arial" w:hAnsi="Arial"/>
                <w:sz w:val="18"/>
              </w:rPr>
              <w:t>01 January – 31 December (annual)</w:t>
            </w:r>
          </w:p>
        </w:tc>
      </w:tr>
      <w:tr>
        <w:tc>
          <w:tcPr>
            <w:tcW w:type="dxa" w:w="4514"/>
            <w:shd w:fill="F2F6FC" w:val="clear"/>
          </w:tcPr>
          <w:p>
            <w:r>
              <w:rPr>
                <w:rFonts w:ascii="Arial" w:hAnsi="Arial"/>
                <w:sz w:val="18"/>
              </w:rPr>
              <w:t>Base Year</w:t>
            </w:r>
          </w:p>
        </w:tc>
        <w:tc>
          <w:tcPr>
            <w:tcW w:type="dxa" w:w="4514"/>
            <w:shd w:fill="F2F6FC" w:val="clear"/>
          </w:tcPr>
          <w:p>
            <w:r>
              <w:rPr>
                <w:rFonts w:ascii="Arial" w:hAnsi="Arial"/>
                <w:sz w:val="18"/>
              </w:rPr>
              <w:t>2023 (first year of comprehensive GHG inventory)</w:t>
            </w:r>
          </w:p>
        </w:tc>
      </w:tr>
      <w:tr>
        <w:tc>
          <w:tcPr>
            <w:tcW w:type="dxa" w:w="4514"/>
          </w:tcPr>
          <w:p>
            <w:r>
              <w:rPr>
                <w:rFonts w:ascii="Arial" w:hAnsi="Arial"/>
                <w:sz w:val="18"/>
              </w:rPr>
              <w:t>Recalculation Policy</w:t>
            </w:r>
          </w:p>
        </w:tc>
        <w:tc>
          <w:tcPr>
            <w:tcW w:type="dxa" w:w="4514"/>
          </w:tcPr>
          <w:p>
            <w:r>
              <w:rPr>
                <w:rFonts w:ascii="Arial" w:hAnsi="Arial"/>
                <w:sz w:val="18"/>
              </w:rPr>
              <w:t>Triggered if structural changes affect &gt;5% of total</w:t>
            </w:r>
          </w:p>
        </w:tc>
      </w:tr>
      <w:tr>
        <w:tc>
          <w:tcPr>
            <w:tcW w:type="dxa" w:w="4514"/>
            <w:shd w:fill="F2F6FC" w:val="clear"/>
          </w:tcPr>
          <w:p>
            <w:r>
              <w:rPr>
                <w:rFonts w:ascii="Arial" w:hAnsi="Arial"/>
                <w:sz w:val="18"/>
              </w:rPr>
              <w:t>Standards Applied</w:t>
            </w:r>
          </w:p>
        </w:tc>
        <w:tc>
          <w:tcPr>
            <w:tcW w:type="dxa" w:w="4514"/>
            <w:shd w:fill="F2F6FC" w:val="clear"/>
          </w:tcPr>
          <w:p>
            <w:r>
              <w:rPr>
                <w:rFonts w:ascii="Arial" w:hAnsi="Arial"/>
                <w:sz w:val="18"/>
              </w:rPr>
              <w:t>GHG Protocol Corporate Standard (2015 Revised)</w:t>
            </w:r>
          </w:p>
        </w:tc>
      </w:tr>
      <w:tr>
        <w:tc>
          <w:tcPr>
            <w:tcW w:type="dxa" w:w="4514"/>
          </w:tcPr>
          <w:p>
            <w:r>
              <w:rPr>
                <w:rFonts w:ascii="Arial" w:hAnsi="Arial"/>
                <w:sz w:val="18"/>
              </w:rPr>
              <w:t>Financed Emissions</w:t>
            </w:r>
          </w:p>
        </w:tc>
        <w:tc>
          <w:tcPr>
            <w:tcW w:type="dxa" w:w="4514"/>
          </w:tcPr>
          <w:p>
            <w:r>
              <w:rPr>
                <w:rFonts w:ascii="Arial" w:hAnsi="Arial"/>
                <w:sz w:val="18"/>
              </w:rPr>
              <w:t>PCAF Global Standard Part A (2022 Revision)</w:t>
            </w:r>
          </w:p>
        </w:tc>
      </w:tr>
    </w:tbl>
    <w:p/>
    <w:p>
      <w:pPr>
        <w:spacing w:after="160" w:line="276" w:lineRule="auto"/>
      </w:pPr>
      <w:r>
        <w:rPr>
          <w:rFonts w:ascii="Arial" w:hAnsi="Arial"/>
          <w:b/>
          <w:sz w:val="22"/>
        </w:rPr>
        <w:t>A.2 Scope 1 — Direct Emissions</w:t>
      </w:r>
    </w:p>
    <w:p>
      <w:pPr>
        <w:spacing w:after="160" w:line="276" w:lineRule="auto"/>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r>
        <w:rPr>
          <w:rFonts w:ascii="Arial" w:hAnsi="Arial"/>
          <w:b/>
          <w:sz w:val="20"/>
        </w:rPr>
        <w:t>Table 44: Scope 1 Emission Factors Applied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CO₂ Factor</w:t>
            </w:r>
          </w:p>
        </w:tc>
        <w:tc>
          <w:tcPr>
            <w:tcW w:type="dxa" w:w="1806"/>
            <w:shd w:fill="1B3A6B" w:val="clear"/>
          </w:tcPr>
          <w:p>
            <w:r>
              <w:rPr>
                <w:rFonts w:ascii="Arial" w:hAnsi="Arial"/>
                <w:b/>
                <w:color w:val="FFFFFF"/>
                <w:sz w:val="18"/>
              </w:rPr>
              <w:t>CH₄ Factor</w:t>
            </w:r>
          </w:p>
        </w:tc>
        <w:tc>
          <w:tcPr>
            <w:tcW w:type="dxa" w:w="1806"/>
            <w:shd w:fill="1B3A6B" w:val="clear"/>
          </w:tcPr>
          <w:p>
            <w:r>
              <w:rPr>
                <w:rFonts w:ascii="Arial" w:hAnsi="Arial"/>
                <w:b/>
                <w:color w:val="FFFFFF"/>
                <w:sz w:val="18"/>
              </w:rPr>
              <w:t>N₂O Factor</w:t>
            </w:r>
          </w:p>
        </w:tc>
        <w:tc>
          <w:tcPr>
            <w:tcW w:type="dxa" w:w="1806"/>
            <w:shd w:fill="1B3A6B" w:val="clear"/>
          </w:tcPr>
          <w:p>
            <w:r>
              <w:rPr>
                <w:rFonts w:ascii="Arial" w:hAnsi="Arial"/>
                <w:b/>
                <w:color w:val="FFFFFF"/>
                <w:sz w:val="18"/>
              </w:rPr>
              <w:t>Source</w:t>
            </w:r>
          </w:p>
        </w:tc>
      </w:tr>
      <w:tr>
        <w:tc>
          <w:tcPr>
            <w:tcW w:type="dxa" w:w="1806"/>
          </w:tcPr>
          <w:p>
            <w:r>
              <w:rPr>
                <w:rFonts w:ascii="Arial" w:hAnsi="Arial"/>
                <w:sz w:val="18"/>
              </w:rPr>
              <w:t>Diesel</w:t>
            </w:r>
          </w:p>
        </w:tc>
        <w:tc>
          <w:tcPr>
            <w:tcW w:type="dxa" w:w="1806"/>
          </w:tcPr>
          <w:p>
            <w:r>
              <w:rPr>
                <w:rFonts w:ascii="Arial" w:hAnsi="Arial"/>
                <w:sz w:val="18"/>
              </w:rPr>
              <w:t>2.6710 kg/L</w:t>
            </w:r>
          </w:p>
        </w:tc>
        <w:tc>
          <w:tcPr>
            <w:tcW w:type="dxa" w:w="1806"/>
          </w:tcPr>
          <w:p>
            <w:r>
              <w:rPr>
                <w:rFonts w:ascii="Arial" w:hAnsi="Arial"/>
                <w:sz w:val="18"/>
              </w:rPr>
              <w:t>0.00029 kgCO₂e/L</w:t>
            </w:r>
          </w:p>
        </w:tc>
        <w:tc>
          <w:tcPr>
            <w:tcW w:type="dxa" w:w="1806"/>
          </w:tcPr>
          <w:p>
            <w:r>
              <w:rPr>
                <w:rFonts w:ascii="Arial" w:hAnsi="Arial"/>
                <w:sz w:val="18"/>
              </w:rPr>
              <w:t>0.03308 kgCO₂e/L</w:t>
            </w:r>
          </w:p>
        </w:tc>
        <w:tc>
          <w:tcPr>
            <w:tcW w:type="dxa" w:w="1806"/>
          </w:tcPr>
          <w:p>
            <w:r>
              <w:rPr>
                <w:rFonts w:ascii="Arial" w:hAnsi="Arial"/>
                <w:sz w:val="18"/>
              </w:rPr>
              <w:t>DEFRA 2025</w:t>
            </w:r>
          </w:p>
        </w:tc>
      </w:tr>
      <w:tr>
        <w:tc>
          <w:tcPr>
            <w:tcW w:type="dxa" w:w="1806"/>
            <w:shd w:fill="F2F6FC" w:val="clear"/>
          </w:tcPr>
          <w:p>
            <w:r>
              <w:rPr>
                <w:rFonts w:ascii="Arial" w:hAnsi="Arial"/>
                <w:sz w:val="18"/>
              </w:rPr>
              <w:t>Natural Gas</w:t>
            </w:r>
          </w:p>
        </w:tc>
        <w:tc>
          <w:tcPr>
            <w:tcW w:type="dxa" w:w="1806"/>
            <w:shd w:fill="F2F6FC" w:val="clear"/>
          </w:tcPr>
          <w:p>
            <w:r>
              <w:rPr>
                <w:rFonts w:ascii="Arial" w:hAnsi="Arial"/>
                <w:sz w:val="18"/>
              </w:rPr>
              <w:t>56.10 kg/GJ</w:t>
            </w:r>
          </w:p>
        </w:tc>
        <w:tc>
          <w:tcPr>
            <w:tcW w:type="dxa" w:w="1806"/>
            <w:shd w:fill="F2F6FC" w:val="clear"/>
          </w:tcPr>
          <w:p>
            <w:r>
              <w:rPr>
                <w:rFonts w:ascii="Arial" w:hAnsi="Arial"/>
                <w:sz w:val="18"/>
              </w:rPr>
              <w:t>0.0298 kgCO₂e/GJ</w:t>
            </w:r>
          </w:p>
        </w:tc>
        <w:tc>
          <w:tcPr>
            <w:tcW w:type="dxa" w:w="1806"/>
            <w:shd w:fill="F2F6FC" w:val="clear"/>
          </w:tcPr>
          <w:p>
            <w:r>
              <w:rPr>
                <w:rFonts w:ascii="Arial" w:hAnsi="Arial"/>
                <w:sz w:val="18"/>
              </w:rPr>
              <w:t>0.0273 kgCO₂e/GJ</w:t>
            </w:r>
          </w:p>
        </w:tc>
        <w:tc>
          <w:tcPr>
            <w:tcW w:type="dxa" w:w="1806"/>
            <w:shd w:fill="F2F6FC" w:val="clear"/>
          </w:tcPr>
          <w:p>
            <w:r>
              <w:rPr>
                <w:rFonts w:ascii="Arial" w:hAnsi="Arial"/>
                <w:sz w:val="18"/>
              </w:rPr>
              <w:t>IPCC AR6</w:t>
            </w:r>
          </w:p>
        </w:tc>
      </w:tr>
    </w:tbl>
    <w:p/>
    <w:p>
      <w:pPr>
        <w:spacing w:after="160" w:line="276" w:lineRule="auto"/>
      </w:pPr>
      <w:r>
        <w:rPr>
          <w:rFonts w:ascii="Arial" w:hAnsi="Arial"/>
          <w:b/>
          <w:sz w:val="22"/>
        </w:rPr>
        <w:t>A.3 Scope 2 — Indirect Emissions</w:t>
      </w:r>
    </w:p>
    <w:p>
      <w:pPr>
        <w:spacing w:after="160" w:line="276" w:lineRule="auto"/>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r>
        <w:rPr>
          <w:rFonts w:ascii="Arial" w:hAnsi="Arial"/>
          <w:b/>
          <w:sz w:val="20"/>
        </w:rPr>
        <w:t>Table 45: Scope 2 Grid Emission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Grid Region</w:t>
            </w:r>
          </w:p>
        </w:tc>
        <w:tc>
          <w:tcPr>
            <w:tcW w:type="dxa" w:w="2257"/>
            <w:shd w:fill="1B3A6B" w:val="clear"/>
          </w:tcPr>
          <w:p>
            <w:r>
              <w:rPr>
                <w:rFonts w:ascii="Arial" w:hAnsi="Arial"/>
                <w:b/>
                <w:color w:val="FFFFFF"/>
                <w:sz w:val="18"/>
              </w:rPr>
              <w:t>EF (kgCO₂/kWh)</w:t>
            </w:r>
          </w:p>
        </w:tc>
        <w:tc>
          <w:tcPr>
            <w:tcW w:type="dxa" w:w="2257"/>
            <w:shd w:fill="1B3A6B" w:val="clear"/>
          </w:tcPr>
          <w:p>
            <w:r>
              <w:rPr>
                <w:rFonts w:ascii="Arial" w:hAnsi="Arial"/>
                <w:b/>
                <w:color w:val="FFFFFF"/>
                <w:sz w:val="18"/>
              </w:rPr>
              <w:t>Source</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PLN National Grid (Indonesia)</w:t>
            </w:r>
          </w:p>
        </w:tc>
        <w:tc>
          <w:tcPr>
            <w:tcW w:type="dxa" w:w="2257"/>
          </w:tcPr>
          <w:p>
            <w:pPr>
              <w:jc w:val="right"/>
            </w:pPr>
            <w:r>
              <w:rPr>
                <w:rFonts w:ascii="Arial" w:hAnsi="Arial"/>
                <w:sz w:val="18"/>
              </w:rPr>
              <w:t>0.7886</w:t>
            </w:r>
          </w:p>
        </w:tc>
        <w:tc>
          <w:tcPr>
            <w:tcW w:type="dxa" w:w="2257"/>
          </w:tcPr>
          <w:p>
            <w:r>
              <w:rPr>
                <w:rFonts w:ascii="Arial" w:hAnsi="Arial"/>
                <w:sz w:val="18"/>
              </w:rPr>
              <w:t>DJK-ESDM</w:t>
            </w:r>
          </w:p>
        </w:tc>
        <w:tc>
          <w:tcPr>
            <w:tcW w:type="dxa" w:w="2257"/>
          </w:tcPr>
          <w:p>
            <w:pPr>
              <w:jc w:val="right"/>
            </w:pPr>
            <w:r>
              <w:rPr>
                <w:rFonts w:ascii="Arial" w:hAnsi="Arial"/>
                <w:sz w:val="18"/>
              </w:rPr>
              <w:t>2023</w:t>
            </w:r>
          </w:p>
        </w:tc>
      </w:tr>
    </w:tbl>
    <w:p/>
    <w:p>
      <w:pPr>
        <w:spacing w:after="160" w:line="276" w:lineRule="auto"/>
      </w:pPr>
      <w:r>
        <w:rPr>
          <w:rFonts w:ascii="Arial" w:hAnsi="Arial"/>
          <w:b/>
          <w:sz w:val="22"/>
        </w:rPr>
        <w:t>A.4 Scope 3 Category 15 — Financed Emissions (PCAF)</w:t>
      </w:r>
    </w:p>
    <w:p>
      <w:pPr>
        <w:spacing w:after="160" w:line="276" w:lineRule="auto"/>
      </w:pPr>
      <w:r>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r>
        <w:rPr>
          <w:rFonts w:ascii="Arial" w:hAnsi="Arial"/>
          <w:b/>
          <w:sz w:val="20"/>
        </w:rPr>
        <w:t>Table 46: PCAF Confidence Weighting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PCAF Score</w:t>
            </w:r>
          </w:p>
        </w:tc>
        <w:tc>
          <w:tcPr>
            <w:tcW w:type="dxa" w:w="2257"/>
            <w:shd w:fill="1B3A6B" w:val="clear"/>
          </w:tcPr>
          <w:p>
            <w:r>
              <w:rPr>
                <w:rFonts w:ascii="Arial" w:hAnsi="Arial"/>
                <w:b/>
                <w:color w:val="FFFFFF"/>
                <w:sz w:val="18"/>
              </w:rPr>
              <w:t>Description</w:t>
            </w:r>
          </w:p>
        </w:tc>
        <w:tc>
          <w:tcPr>
            <w:tcW w:type="dxa" w:w="2257"/>
            <w:shd w:fill="1B3A6B" w:val="clear"/>
          </w:tcPr>
          <w:p>
            <w:r>
              <w:rPr>
                <w:rFonts w:ascii="Arial" w:hAnsi="Arial"/>
                <w:b/>
                <w:color w:val="FFFFFF"/>
                <w:sz w:val="18"/>
              </w:rPr>
              <w:t>Confidence Factor</w:t>
            </w:r>
          </w:p>
        </w:tc>
        <w:tc>
          <w:tcPr>
            <w:tcW w:type="dxa" w:w="2257"/>
            <w:shd w:fill="1B3A6B" w:val="clear"/>
          </w:tcPr>
          <w:p>
            <w:r>
              <w:rPr>
                <w:rFonts w:ascii="Arial" w:hAnsi="Arial"/>
                <w:b/>
                <w:color w:val="FFFFFF"/>
                <w:sz w:val="18"/>
              </w:rPr>
              <w:t>Uncertainty</w:t>
            </w:r>
          </w:p>
        </w:tc>
      </w:tr>
      <w:tr>
        <w:tc>
          <w:tcPr>
            <w:tcW w:type="dxa" w:w="2257"/>
          </w:tcPr>
          <w:p>
            <w:pPr>
              <w:jc w:val="right"/>
            </w:pPr>
            <w:r>
              <w:rPr>
                <w:rFonts w:ascii="Arial" w:hAnsi="Arial"/>
                <w:sz w:val="18"/>
              </w:rPr>
              <w:t>1.0</w:t>
            </w:r>
          </w:p>
        </w:tc>
        <w:tc>
          <w:tcPr>
            <w:tcW w:type="dxa" w:w="2257"/>
          </w:tcPr>
          <w:p>
            <w:r>
              <w:rPr>
                <w:rFonts w:ascii="Arial" w:hAnsi="Arial"/>
                <w:sz w:val="18"/>
              </w:rPr>
              <w:t>Verified (CDP/equivalent)</w:t>
            </w:r>
          </w:p>
        </w:tc>
        <w:tc>
          <w:tcPr>
            <w:tcW w:type="dxa" w:w="2257"/>
          </w:tcPr>
          <w:p>
            <w:pPr>
              <w:jc w:val="right"/>
            </w:pPr>
            <w:r>
              <w:rPr>
                <w:rFonts w:ascii="Arial" w:hAnsi="Arial"/>
                <w:sz w:val="18"/>
              </w:rPr>
              <w:t>1.00</w:t>
            </w:r>
          </w:p>
        </w:tc>
        <w:tc>
          <w:tcPr>
            <w:tcW w:type="dxa" w:w="2257"/>
          </w:tcPr>
          <w:p>
            <w:r>
              <w:rPr>
                <w:rFonts w:ascii="Arial" w:hAnsi="Arial"/>
                <w:sz w:val="18"/>
              </w:rPr>
              <w:t>±5%</w:t>
            </w:r>
          </w:p>
        </w:tc>
      </w:tr>
      <w:tr>
        <w:tc>
          <w:tcPr>
            <w:tcW w:type="dxa" w:w="2257"/>
            <w:shd w:fill="F2F6FC" w:val="clear"/>
          </w:tcPr>
          <w:p>
            <w:pPr>
              <w:jc w:val="right"/>
            </w:pPr>
            <w:r>
              <w:rPr>
                <w:rFonts w:ascii="Arial" w:hAnsi="Arial"/>
                <w:sz w:val="18"/>
              </w:rPr>
              <w:t>1.5</w:t>
            </w:r>
          </w:p>
        </w:tc>
        <w:tc>
          <w:tcPr>
            <w:tcW w:type="dxa" w:w="2257"/>
            <w:shd w:fill="F2F6FC" w:val="clear"/>
          </w:tcPr>
          <w:p>
            <w:r>
              <w:rPr>
                <w:rFonts w:ascii="Arial" w:hAnsi="Arial"/>
                <w:sz w:val="18"/>
              </w:rPr>
              <w:t>Audited, unverified</w:t>
            </w:r>
          </w:p>
        </w:tc>
        <w:tc>
          <w:tcPr>
            <w:tcW w:type="dxa" w:w="2257"/>
            <w:shd w:fill="F2F6FC" w:val="clear"/>
          </w:tcPr>
          <w:p>
            <w:pPr>
              <w:jc w:val="right"/>
            </w:pPr>
            <w:r>
              <w:rPr>
                <w:rFonts w:ascii="Arial" w:hAnsi="Arial"/>
                <w:sz w:val="18"/>
              </w:rPr>
              <w:t>0.95</w:t>
            </w:r>
          </w:p>
        </w:tc>
        <w:tc>
          <w:tcPr>
            <w:tcW w:type="dxa" w:w="2257"/>
            <w:shd w:fill="F2F6FC" w:val="clear"/>
          </w:tcPr>
          <w:p>
            <w:r>
              <w:rPr>
                <w:rFonts w:ascii="Arial" w:hAnsi="Arial"/>
                <w:sz w:val="18"/>
              </w:rPr>
              <w:t>±10%</w:t>
            </w:r>
          </w:p>
        </w:tc>
      </w:tr>
      <w:tr>
        <w:tc>
          <w:tcPr>
            <w:tcW w:type="dxa" w:w="2257"/>
          </w:tcPr>
          <w:p>
            <w:pPr>
              <w:jc w:val="right"/>
            </w:pPr>
            <w:r>
              <w:rPr>
                <w:rFonts w:ascii="Arial" w:hAnsi="Arial"/>
                <w:sz w:val="18"/>
              </w:rPr>
              <w:t>2.0</w:t>
            </w:r>
          </w:p>
        </w:tc>
        <w:tc>
          <w:tcPr>
            <w:tcW w:type="dxa" w:w="2257"/>
          </w:tcPr>
          <w:p>
            <w:r>
              <w:rPr>
                <w:rFonts w:ascii="Arial" w:hAnsi="Arial"/>
                <w:sz w:val="18"/>
              </w:rPr>
              <w:t>Physical activity-based</w:t>
            </w:r>
          </w:p>
        </w:tc>
        <w:tc>
          <w:tcPr>
            <w:tcW w:type="dxa" w:w="2257"/>
          </w:tcPr>
          <w:p>
            <w:pPr>
              <w:jc w:val="right"/>
            </w:pPr>
            <w:r>
              <w:rPr>
                <w:rFonts w:ascii="Arial" w:hAnsi="Arial"/>
                <w:sz w:val="18"/>
              </w:rPr>
              <w:t>0.90</w:t>
            </w:r>
          </w:p>
        </w:tc>
        <w:tc>
          <w:tcPr>
            <w:tcW w:type="dxa" w:w="2257"/>
          </w:tcPr>
          <w:p>
            <w:r>
              <w:rPr>
                <w:rFonts w:ascii="Arial" w:hAnsi="Arial"/>
                <w:sz w:val="18"/>
              </w:rPr>
              <w:t>±15%</w:t>
            </w:r>
          </w:p>
        </w:tc>
      </w:tr>
      <w:tr>
        <w:tc>
          <w:tcPr>
            <w:tcW w:type="dxa" w:w="2257"/>
            <w:shd w:fill="F2F6FC" w:val="clear"/>
          </w:tcPr>
          <w:p>
            <w:pPr>
              <w:jc w:val="right"/>
            </w:pPr>
            <w:r>
              <w:rPr>
                <w:rFonts w:ascii="Arial" w:hAnsi="Arial"/>
                <w:sz w:val="18"/>
              </w:rPr>
              <w:t>3.0</w:t>
            </w:r>
          </w:p>
        </w:tc>
        <w:tc>
          <w:tcPr>
            <w:tcW w:type="dxa" w:w="2257"/>
            <w:shd w:fill="F2F6FC" w:val="clear"/>
          </w:tcPr>
          <w:p>
            <w:r>
              <w:rPr>
                <w:rFonts w:ascii="Arial" w:hAnsi="Arial"/>
                <w:sz w:val="18"/>
              </w:rPr>
              <w:t>EEIO + revenue-based</w:t>
            </w:r>
          </w:p>
        </w:tc>
        <w:tc>
          <w:tcPr>
            <w:tcW w:type="dxa" w:w="2257"/>
            <w:shd w:fill="F2F6FC" w:val="clear"/>
          </w:tcPr>
          <w:p>
            <w:pPr>
              <w:jc w:val="right"/>
            </w:pPr>
            <w:r>
              <w:rPr>
                <w:rFonts w:ascii="Arial" w:hAnsi="Arial"/>
                <w:sz w:val="18"/>
              </w:rPr>
              <w:t>0.75</w:t>
            </w:r>
          </w:p>
        </w:tc>
        <w:tc>
          <w:tcPr>
            <w:tcW w:type="dxa" w:w="2257"/>
            <w:shd w:fill="F2F6FC" w:val="clear"/>
          </w:tcPr>
          <w:p>
            <w:r>
              <w:rPr>
                <w:rFonts w:ascii="Arial" w:hAnsi="Arial"/>
                <w:sz w:val="18"/>
              </w:rPr>
              <w:t>±25%</w:t>
            </w:r>
          </w:p>
        </w:tc>
      </w:tr>
      <w:tr>
        <w:tc>
          <w:tcPr>
            <w:tcW w:type="dxa" w:w="2257"/>
          </w:tcPr>
          <w:p>
            <w:pPr>
              <w:jc w:val="right"/>
            </w:pPr>
            <w:r>
              <w:rPr>
                <w:rFonts w:ascii="Arial" w:hAnsi="Arial"/>
                <w:sz w:val="18"/>
              </w:rPr>
              <w:t>4.0</w:t>
            </w:r>
          </w:p>
        </w:tc>
        <w:tc>
          <w:tcPr>
            <w:tcW w:type="dxa" w:w="2257"/>
          </w:tcPr>
          <w:p>
            <w:r>
              <w:rPr>
                <w:rFonts w:ascii="Arial" w:hAnsi="Arial"/>
                <w:sz w:val="18"/>
              </w:rPr>
              <w:t>EEIO + asset-based</w:t>
            </w:r>
          </w:p>
        </w:tc>
        <w:tc>
          <w:tcPr>
            <w:tcW w:type="dxa" w:w="2257"/>
          </w:tcPr>
          <w:p>
            <w:pPr>
              <w:jc w:val="right"/>
            </w:pPr>
            <w:r>
              <w:rPr>
                <w:rFonts w:ascii="Arial" w:hAnsi="Arial"/>
                <w:sz w:val="18"/>
              </w:rPr>
              <w:t>0.60</w:t>
            </w:r>
          </w:p>
        </w:tc>
        <w:tc>
          <w:tcPr>
            <w:tcW w:type="dxa" w:w="2257"/>
          </w:tcPr>
          <w:p>
            <w:r>
              <w:rPr>
                <w:rFonts w:ascii="Arial" w:hAnsi="Arial"/>
                <w:sz w:val="18"/>
              </w:rPr>
              <w:t>±40%</w:t>
            </w:r>
          </w:p>
        </w:tc>
      </w:tr>
      <w:tr>
        <w:tc>
          <w:tcPr>
            <w:tcW w:type="dxa" w:w="2257"/>
            <w:shd w:fill="F2F6FC" w:val="clear"/>
          </w:tcPr>
          <w:p>
            <w:pPr>
              <w:jc w:val="right"/>
            </w:pPr>
            <w:r>
              <w:rPr>
                <w:rFonts w:ascii="Arial" w:hAnsi="Arial"/>
                <w:sz w:val="18"/>
              </w:rPr>
              <w:t>5.0</w:t>
            </w:r>
          </w:p>
        </w:tc>
        <w:tc>
          <w:tcPr>
            <w:tcW w:type="dxa" w:w="2257"/>
            <w:shd w:fill="F2F6FC" w:val="clear"/>
          </w:tcPr>
          <w:p>
            <w:r>
              <w:rPr>
                <w:rFonts w:ascii="Arial" w:hAnsi="Arial"/>
                <w:sz w:val="18"/>
              </w:rPr>
              <w:t>Sector-average proxy</w:t>
            </w:r>
          </w:p>
        </w:tc>
        <w:tc>
          <w:tcPr>
            <w:tcW w:type="dxa" w:w="2257"/>
            <w:shd w:fill="F2F6FC" w:val="clear"/>
          </w:tcPr>
          <w:p>
            <w:pPr>
              <w:jc w:val="right"/>
            </w:pPr>
            <w:r>
              <w:rPr>
                <w:rFonts w:ascii="Arial" w:hAnsi="Arial"/>
                <w:sz w:val="18"/>
              </w:rPr>
              <w:t>0.45</w:t>
            </w:r>
          </w:p>
        </w:tc>
        <w:tc>
          <w:tcPr>
            <w:tcW w:type="dxa" w:w="2257"/>
            <w:shd w:fill="F2F6FC" w:val="clear"/>
          </w:tcPr>
          <w:p>
            <w:r>
              <w:rPr>
                <w:rFonts w:ascii="Arial" w:hAnsi="Arial"/>
                <w:sz w:val="18"/>
              </w:rPr>
              <w:t>±55%</w:t>
            </w:r>
          </w:p>
        </w:tc>
      </w:tr>
    </w:tbl>
    <w:p/>
    <w:p>
      <w:pPr>
        <w:spacing w:after="160" w:line="276" w:lineRule="auto"/>
      </w:pPr>
      <w:r>
        <w:rPr>
          <w:rFonts w:ascii="Arial" w:hAnsi="Arial"/>
          <w:b/>
          <w:sz w:val="22"/>
        </w:rPr>
        <w:t>A.5 Intensity Metrics</w:t>
      </w:r>
    </w:p>
    <w:p>
      <w:r>
        <w:rPr>
          <w:rFonts w:ascii="Arial" w:hAnsi="Arial"/>
          <w:b/>
          <w:sz w:val="20"/>
        </w:rPr>
        <w:t>Table 47: Intensity Metric Definitions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Formula</w:t>
            </w:r>
          </w:p>
        </w:tc>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Denominator Source</w:t>
            </w:r>
          </w:p>
        </w:tc>
      </w:tr>
      <w:tr>
        <w:tc>
          <w:tcPr>
            <w:tcW w:type="dxa" w:w="2257"/>
          </w:tcPr>
          <w:p>
            <w:r>
              <w:rPr>
                <w:rFonts w:ascii="Arial" w:hAnsi="Arial"/>
                <w:sz w:val="18"/>
              </w:rPr>
              <w:t>Revenue Intensity</w:t>
            </w:r>
          </w:p>
        </w:tc>
        <w:tc>
          <w:tcPr>
            <w:tcW w:type="dxa" w:w="2257"/>
          </w:tcPr>
          <w:p>
            <w:r>
              <w:rPr>
                <w:rFonts w:ascii="Arial" w:hAnsi="Arial"/>
                <w:sz w:val="18"/>
              </w:rPr>
              <w:t>Total Emissions / Revenue</w:t>
            </w:r>
          </w:p>
        </w:tc>
        <w:tc>
          <w:tcPr>
            <w:tcW w:type="dxa" w:w="2257"/>
          </w:tcPr>
          <w:p>
            <w:r>
              <w:rPr>
                <w:rFonts w:ascii="Arial" w:hAnsi="Arial"/>
                <w:sz w:val="18"/>
              </w:rPr>
              <w:t>Scope 1+2+3</w:t>
            </w:r>
          </w:p>
        </w:tc>
        <w:tc>
          <w:tcPr>
            <w:tcW w:type="dxa" w:w="2257"/>
          </w:tcPr>
          <w:p>
            <w:r>
              <w:rPr>
                <w:rFonts w:ascii="Arial" w:hAnsi="Arial"/>
                <w:sz w:val="18"/>
              </w:rPr>
              <w:t>Audited financial statements</w:t>
            </w:r>
          </w:p>
        </w:tc>
      </w:tr>
      <w:tr>
        <w:tc>
          <w:tcPr>
            <w:tcW w:type="dxa" w:w="2257"/>
            <w:shd w:fill="F2F6FC" w:val="clear"/>
          </w:tcPr>
          <w:p>
            <w:r>
              <w:rPr>
                <w:rFonts w:ascii="Arial" w:hAnsi="Arial"/>
                <w:sz w:val="18"/>
              </w:rPr>
              <w:t>FTE Intensity</w:t>
            </w:r>
          </w:p>
        </w:tc>
        <w:tc>
          <w:tcPr>
            <w:tcW w:type="dxa" w:w="2257"/>
            <w:shd w:fill="F2F6FC" w:val="clear"/>
          </w:tcPr>
          <w:p>
            <w:r>
              <w:rPr>
                <w:rFonts w:ascii="Arial" w:hAnsi="Arial"/>
                <w:sz w:val="18"/>
              </w:rPr>
              <w:t>Operational Emissions / FTE</w:t>
            </w:r>
          </w:p>
        </w:tc>
        <w:tc>
          <w:tcPr>
            <w:tcW w:type="dxa" w:w="2257"/>
            <w:shd w:fill="F2F6FC" w:val="clear"/>
          </w:tcPr>
          <w:p>
            <w:r>
              <w:rPr>
                <w:rFonts w:ascii="Arial" w:hAnsi="Arial"/>
                <w:sz w:val="18"/>
              </w:rPr>
              <w:t>Scope 1+2 only</w:t>
            </w:r>
          </w:p>
        </w:tc>
        <w:tc>
          <w:tcPr>
            <w:tcW w:type="dxa" w:w="2257"/>
            <w:shd w:fill="F2F6FC" w:val="clear"/>
          </w:tcPr>
          <w:p>
            <w:r>
              <w:rPr>
                <w:rFonts w:ascii="Arial" w:hAnsi="Arial"/>
                <w:sz w:val="18"/>
              </w:rPr>
              <w:t>HR system headcount</w:t>
            </w:r>
          </w:p>
        </w:tc>
      </w:tr>
    </w:tbl>
    <w:p/>
    <w:p>
      <w:r>
        <w:br w:type="page"/>
      </w:r>
    </w:p>
    <w:p>
      <w:pPr>
        <w:pStyle w:val="Heading1"/>
        <w:keepNext/>
        <w:spacing w:before="480" w:after="240"/>
      </w:pPr>
      <w:r>
        <w:rPr>
          <w:rFonts w:ascii="Arial" w:hAnsi="Arial"/>
          <w:b/>
          <w:color w:val="1B3A6B"/>
          <w:sz w:val="36"/>
        </w:rPr>
        <w:t>Appendix B: Data Quality &amp; Assurance Statement</w:t>
      </w:r>
    </w:p>
    <w:p>
      <w:pPr>
        <w:spacing w:after="160" w:line="276" w:lineRule="auto"/>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r>
        <w:rPr>
          <w:rFonts w:ascii="Arial" w:hAnsi="Arial"/>
          <w:b/>
          <w:sz w:val="20"/>
        </w:rPr>
        <w:t>Table 48: Operational Data Quality Assessment</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Quality Tier</w:t>
            </w:r>
          </w:p>
        </w:tc>
        <w:tc>
          <w:tcPr>
            <w:tcW w:type="dxa" w:w="3010"/>
            <w:shd w:fill="1B3A6B" w:val="clear"/>
          </w:tcPr>
          <w:p>
            <w:r>
              <w:rPr>
                <w:rFonts w:ascii="Arial" w:hAnsi="Arial"/>
                <w:b/>
                <w:color w:val="FFFFFF"/>
                <w:sz w:val="18"/>
              </w:rPr>
              <w:t>Criteria</w:t>
            </w:r>
          </w:p>
        </w:tc>
        <w:tc>
          <w:tcPr>
            <w:tcW w:type="dxa" w:w="3010"/>
            <w:shd w:fill="1B3A6B" w:val="clear"/>
          </w:tcPr>
          <w:p>
            <w:r>
              <w:rPr>
                <w:rFonts w:ascii="Arial" w:hAnsi="Arial"/>
                <w:b/>
                <w:color w:val="FFFFFF"/>
                <w:sz w:val="18"/>
              </w:rPr>
              <w:t>Description</w:t>
            </w:r>
          </w:p>
        </w:tc>
      </w:tr>
      <w:tr>
        <w:tc>
          <w:tcPr>
            <w:tcW w:type="dxa" w:w="3010"/>
          </w:tcPr>
          <w:p>
            <w:r>
              <w:rPr>
                <w:rFonts w:ascii="Arial" w:hAnsi="Arial"/>
                <w:sz w:val="18"/>
              </w:rPr>
              <w:t>1 (High)</w:t>
            </w:r>
          </w:p>
        </w:tc>
        <w:tc>
          <w:tcPr>
            <w:tcW w:type="dxa" w:w="3010"/>
          </w:tcPr>
          <w:p>
            <w:r>
              <w:rPr>
                <w:rFonts w:ascii="Arial" w:hAnsi="Arial"/>
                <w:sz w:val="18"/>
              </w:rPr>
              <w:t>0 imputed months</w:t>
            </w:r>
          </w:p>
        </w:tc>
        <w:tc>
          <w:tcPr>
            <w:tcW w:type="dxa" w:w="3010"/>
          </w:tcPr>
          <w:p>
            <w:r>
              <w:rPr>
                <w:rFonts w:ascii="Arial" w:hAnsi="Arial"/>
                <w:sz w:val="18"/>
              </w:rPr>
              <w:t>Complete primary data from smart meters</w:t>
            </w:r>
          </w:p>
        </w:tc>
      </w:tr>
      <w:tr>
        <w:tc>
          <w:tcPr>
            <w:tcW w:type="dxa" w:w="3010"/>
            <w:shd w:fill="F2F6FC" w:val="clear"/>
          </w:tcPr>
          <w:p>
            <w:r>
              <w:rPr>
                <w:rFonts w:ascii="Arial" w:hAnsi="Arial"/>
                <w:sz w:val="18"/>
              </w:rPr>
              <w:t>2 (Good)</w:t>
            </w:r>
          </w:p>
        </w:tc>
        <w:tc>
          <w:tcPr>
            <w:tcW w:type="dxa" w:w="3010"/>
            <w:shd w:fill="F2F6FC" w:val="clear"/>
          </w:tcPr>
          <w:p>
            <w:r>
              <w:rPr>
                <w:rFonts w:ascii="Arial" w:hAnsi="Arial"/>
                <w:sz w:val="18"/>
              </w:rPr>
              <w:t>1-2 imputed months</w:t>
            </w:r>
          </w:p>
        </w:tc>
        <w:tc>
          <w:tcPr>
            <w:tcW w:type="dxa" w:w="3010"/>
            <w:shd w:fill="F2F6FC" w:val="clear"/>
          </w:tcPr>
          <w:p>
            <w:r>
              <w:rPr>
                <w:rFonts w:ascii="Arial" w:hAnsi="Arial"/>
                <w:sz w:val="18"/>
              </w:rPr>
              <w:t>Minor gaps filled with facility-type avg</w:t>
            </w:r>
          </w:p>
        </w:tc>
      </w:tr>
      <w:tr>
        <w:tc>
          <w:tcPr>
            <w:tcW w:type="dxa" w:w="3010"/>
          </w:tcPr>
          <w:p>
            <w:r>
              <w:rPr>
                <w:rFonts w:ascii="Arial" w:hAnsi="Arial"/>
                <w:sz w:val="18"/>
              </w:rPr>
              <w:t>3 (Moderate)</w:t>
            </w:r>
          </w:p>
        </w:tc>
        <w:tc>
          <w:tcPr>
            <w:tcW w:type="dxa" w:w="3010"/>
          </w:tcPr>
          <w:p>
            <w:r>
              <w:rPr>
                <w:rFonts w:ascii="Arial" w:hAnsi="Arial"/>
                <w:sz w:val="18"/>
              </w:rPr>
              <w:t>3-5 imputed months</w:t>
            </w:r>
          </w:p>
        </w:tc>
        <w:tc>
          <w:tcPr>
            <w:tcW w:type="dxa" w:w="3010"/>
          </w:tcPr>
          <w:p>
            <w:r>
              <w:rPr>
                <w:rFonts w:ascii="Arial" w:hAnsi="Arial"/>
                <w:sz w:val="18"/>
              </w:rPr>
              <w:t>Significant estimation required</w:t>
            </w:r>
          </w:p>
        </w:tc>
      </w:tr>
      <w:tr>
        <w:tc>
          <w:tcPr>
            <w:tcW w:type="dxa" w:w="3010"/>
            <w:shd w:fill="F2F6FC" w:val="clear"/>
          </w:tcPr>
          <w:p>
            <w:r>
              <w:rPr>
                <w:rFonts w:ascii="Arial" w:hAnsi="Arial"/>
                <w:sz w:val="18"/>
              </w:rPr>
              <w:t>4 (Low)</w:t>
            </w:r>
          </w:p>
        </w:tc>
        <w:tc>
          <w:tcPr>
            <w:tcW w:type="dxa" w:w="3010"/>
            <w:shd w:fill="F2F6FC" w:val="clear"/>
          </w:tcPr>
          <w:p>
            <w:r>
              <w:rPr>
                <w:rFonts w:ascii="Arial" w:hAnsi="Arial"/>
                <w:sz w:val="18"/>
              </w:rPr>
              <w:t>6+ imputed months</w:t>
            </w:r>
          </w:p>
        </w:tc>
        <w:tc>
          <w:tcPr>
            <w:tcW w:type="dxa" w:w="3010"/>
            <w:shd w:fill="F2F6FC" w:val="clear"/>
          </w:tcPr>
          <w:p>
            <w:r>
              <w:rPr>
                <w:rFonts w:ascii="Arial" w:hAnsi="Arial"/>
                <w:sz w:val="18"/>
              </w:rPr>
              <w:t>Majority estimated — improvement needed</w:t>
            </w:r>
          </w:p>
        </w:tc>
      </w:tr>
    </w:tbl>
    <w:p/>
    <w:p>
      <w:pPr>
        <w:spacing w:after="160" w:line="276" w:lineRule="auto"/>
      </w:pPr>
      <w:r>
        <w:t>Improvement Plan: Target 100% smart meter coverage across all facilities by Q4 2025. Monthly automated data ingestion via utility API integration in development.</w:t>
      </w:r>
    </w:p>
    <w:p>
      <w:r>
        <w:br w:type="page"/>
      </w:r>
    </w:p>
    <w:p>
      <w:pPr>
        <w:pStyle w:val="Heading1"/>
        <w:keepNext/>
        <w:spacing w:before="480" w:after="240"/>
      </w:pPr>
      <w:r>
        <w:rPr>
          <w:rFonts w:ascii="Arial" w:hAnsi="Arial"/>
          <w:b/>
          <w:color w:val="1B3A6B"/>
          <w:sz w:val="36"/>
        </w:rPr>
        <w:t>Appendix C: Sector Classification &amp; PCAF Mapping</w:t>
      </w:r>
    </w:p>
    <w:p>
      <w:pPr>
        <w:spacing w:after="160" w:line="276" w:lineRule="auto"/>
      </w:pPr>
      <w:r>
        <w:t>Sector classification follows NACE Rev. 2 codes mapped to PCAF asset classes. All productive loans in the portfolio are classified into one of the sectors below.</w:t>
      </w:r>
    </w:p>
    <w:p>
      <w:r>
        <w:rPr>
          <w:rFonts w:ascii="Arial" w:hAnsi="Arial"/>
          <w:b/>
          <w:sz w:val="20"/>
        </w:rPr>
        <w:t>Table 49: PCAF Sector Classification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NACE Code</w:t>
            </w:r>
          </w:p>
        </w:tc>
        <w:tc>
          <w:tcPr>
            <w:tcW w:type="dxa" w:w="2257"/>
            <w:shd w:fill="1B3A6B" w:val="clear"/>
          </w:tcPr>
          <w:p>
            <w:r>
              <w:rPr>
                <w:rFonts w:ascii="Arial" w:hAnsi="Arial"/>
                <w:b/>
                <w:color w:val="FFFFFF"/>
                <w:sz w:val="18"/>
              </w:rPr>
              <w:t>Sector</w:t>
            </w:r>
          </w:p>
        </w:tc>
        <w:tc>
          <w:tcPr>
            <w:tcW w:type="dxa" w:w="2257"/>
            <w:shd w:fill="1B3A6B" w:val="clear"/>
          </w:tcPr>
          <w:p>
            <w:r>
              <w:rPr>
                <w:rFonts w:ascii="Arial" w:hAnsi="Arial"/>
                <w:b/>
                <w:color w:val="FFFFFF"/>
                <w:sz w:val="18"/>
              </w:rPr>
              <w:t>PCAF Asset Class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B.06</w:t>
            </w:r>
          </w:p>
        </w:tc>
        <w:tc>
          <w:tcPr>
            <w:tcW w:type="dxa" w:w="2257"/>
          </w:tcPr>
          <w:p>
            <w:r>
              <w:rPr>
                <w:rFonts w:ascii="Arial" w:hAnsi="Arial"/>
                <w:sz w:val="18"/>
              </w:rPr>
              <w:t>Energy — Oil &amp; Gas</w:t>
            </w:r>
          </w:p>
        </w:tc>
        <w:tc>
          <w:tcPr>
            <w:tcW w:type="dxa" w:w="2257"/>
          </w:tcPr>
          <w:p>
            <w:r>
              <w:rPr>
                <w:rFonts w:ascii="Arial" w:hAnsi="Arial"/>
                <w:sz w:val="18"/>
              </w:rPr>
              <w:t>Business Loans</w:t>
            </w:r>
          </w:p>
        </w:tc>
        <w:tc>
          <w:tcPr>
            <w:tcW w:type="dxa" w:w="2257"/>
          </w:tcPr>
          <w:p>
            <w:r>
              <w:rPr>
                <w:rFonts w:ascii="Arial" w:hAnsi="Arial"/>
                <w:sz w:val="18"/>
              </w:rPr>
              <w:t>CDP / Company Reports</w:t>
            </w:r>
          </w:p>
        </w:tc>
      </w:tr>
      <w:tr>
        <w:tc>
          <w:tcPr>
            <w:tcW w:type="dxa" w:w="2257"/>
            <w:shd w:fill="F2F6FC" w:val="clear"/>
          </w:tcPr>
          <w:p>
            <w:r>
              <w:rPr>
                <w:rFonts w:ascii="Arial" w:hAnsi="Arial"/>
                <w:sz w:val="18"/>
              </w:rPr>
              <w:t>C.23</w:t>
            </w:r>
          </w:p>
        </w:tc>
        <w:tc>
          <w:tcPr>
            <w:tcW w:type="dxa" w:w="2257"/>
            <w:shd w:fill="F2F6FC" w:val="clear"/>
          </w:tcPr>
          <w:p>
            <w:r>
              <w:rPr>
                <w:rFonts w:ascii="Arial" w:hAnsi="Arial"/>
                <w:sz w:val="18"/>
              </w:rPr>
              <w:t>Manufacturing — Cement</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C.24</w:t>
            </w:r>
          </w:p>
        </w:tc>
        <w:tc>
          <w:tcPr>
            <w:tcW w:type="dxa" w:w="2257"/>
          </w:tcPr>
          <w:p>
            <w:r>
              <w:rPr>
                <w:rFonts w:ascii="Arial" w:hAnsi="Arial"/>
                <w:sz w:val="18"/>
              </w:rPr>
              <w:t>Manufacturing — Steel</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C.10</w:t>
            </w:r>
          </w:p>
        </w:tc>
        <w:tc>
          <w:tcPr>
            <w:tcW w:type="dxa" w:w="2257"/>
            <w:shd w:fill="F2F6FC" w:val="clear"/>
          </w:tcPr>
          <w:p>
            <w:r>
              <w:rPr>
                <w:rFonts w:ascii="Arial" w:hAnsi="Arial"/>
                <w:sz w:val="18"/>
              </w:rPr>
              <w:t>Manufacturing — Food</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L.68</w:t>
            </w:r>
          </w:p>
        </w:tc>
        <w:tc>
          <w:tcPr>
            <w:tcW w:type="dxa" w:w="2257"/>
          </w:tcPr>
          <w:p>
            <w:r>
              <w:rPr>
                <w:rFonts w:ascii="Arial" w:hAnsi="Arial"/>
                <w:sz w:val="18"/>
              </w:rPr>
              <w:t>Real Estate — Commercial</w:t>
            </w:r>
          </w:p>
        </w:tc>
        <w:tc>
          <w:tcPr>
            <w:tcW w:type="dxa" w:w="2257"/>
          </w:tcPr>
          <w:p>
            <w:r>
              <w:rPr>
                <w:rFonts w:ascii="Arial" w:hAnsi="Arial"/>
                <w:sz w:val="18"/>
              </w:rPr>
              <w:t>Commercial Real Estate</w:t>
            </w:r>
          </w:p>
        </w:tc>
        <w:tc>
          <w:tcPr>
            <w:tcW w:type="dxa" w:w="2257"/>
          </w:tcPr>
          <w:p>
            <w:r>
              <w:rPr>
                <w:rFonts w:ascii="Arial" w:hAnsi="Arial"/>
                <w:sz w:val="18"/>
              </w:rPr>
              <w:t>Building EPC</w:t>
            </w:r>
          </w:p>
        </w:tc>
      </w:tr>
      <w:tr>
        <w:tc>
          <w:tcPr>
            <w:tcW w:type="dxa" w:w="2257"/>
            <w:shd w:fill="F2F6FC" w:val="clear"/>
          </w:tcPr>
          <w:p>
            <w:r>
              <w:rPr>
                <w:rFonts w:ascii="Arial" w:hAnsi="Arial"/>
                <w:sz w:val="18"/>
              </w:rPr>
              <w:t>L.68.2</w:t>
            </w:r>
          </w:p>
        </w:tc>
        <w:tc>
          <w:tcPr>
            <w:tcW w:type="dxa" w:w="2257"/>
            <w:shd w:fill="F2F6FC" w:val="clear"/>
          </w:tcPr>
          <w:p>
            <w:r>
              <w:rPr>
                <w:rFonts w:ascii="Arial" w:hAnsi="Arial"/>
                <w:sz w:val="18"/>
              </w:rPr>
              <w:t>Real Estate — Residential</w:t>
            </w:r>
          </w:p>
        </w:tc>
        <w:tc>
          <w:tcPr>
            <w:tcW w:type="dxa" w:w="2257"/>
            <w:shd w:fill="F2F6FC" w:val="clear"/>
          </w:tcPr>
          <w:p>
            <w:r>
              <w:rPr>
                <w:rFonts w:ascii="Arial" w:hAnsi="Arial"/>
                <w:sz w:val="18"/>
              </w:rPr>
              <w:t>Mortgages</w:t>
            </w:r>
          </w:p>
        </w:tc>
        <w:tc>
          <w:tcPr>
            <w:tcW w:type="dxa" w:w="2257"/>
            <w:shd w:fill="F2F6FC" w:val="clear"/>
          </w:tcPr>
          <w:p>
            <w:r>
              <w:rPr>
                <w:rFonts w:ascii="Arial" w:hAnsi="Arial"/>
                <w:sz w:val="18"/>
              </w:rPr>
              <w:t>Building EPC</w:t>
            </w:r>
          </w:p>
        </w:tc>
      </w:tr>
      <w:tr>
        <w:tc>
          <w:tcPr>
            <w:tcW w:type="dxa" w:w="2257"/>
          </w:tcPr>
          <w:p>
            <w:r>
              <w:rPr>
                <w:rFonts w:ascii="Arial" w:hAnsi="Arial"/>
                <w:sz w:val="18"/>
              </w:rPr>
              <w:t>H.49</w:t>
            </w:r>
          </w:p>
        </w:tc>
        <w:tc>
          <w:tcPr>
            <w:tcW w:type="dxa" w:w="2257"/>
          </w:tcPr>
          <w:p>
            <w:r>
              <w:rPr>
                <w:rFonts w:ascii="Arial" w:hAnsi="Arial"/>
                <w:sz w:val="18"/>
              </w:rPr>
              <w:t>Transportation — Road</w:t>
            </w:r>
          </w:p>
        </w:tc>
        <w:tc>
          <w:tcPr>
            <w:tcW w:type="dxa" w:w="2257"/>
          </w:tcPr>
          <w:p>
            <w:r>
              <w:rPr>
                <w:rFonts w:ascii="Arial" w:hAnsi="Arial"/>
                <w:sz w:val="18"/>
              </w:rPr>
              <w:t>Business Loans</w:t>
            </w:r>
          </w:p>
        </w:tc>
        <w:tc>
          <w:tcPr>
            <w:tcW w:type="dxa" w:w="2257"/>
          </w:tcPr>
          <w:p>
            <w:r>
              <w:rPr>
                <w:rFonts w:ascii="Arial" w:hAnsi="Arial"/>
                <w:sz w:val="18"/>
              </w:rPr>
              <w:t>Company Reports</w:t>
            </w:r>
          </w:p>
        </w:tc>
      </w:tr>
      <w:tr>
        <w:tc>
          <w:tcPr>
            <w:tcW w:type="dxa" w:w="2257"/>
            <w:shd w:fill="F2F6FC" w:val="clear"/>
          </w:tcPr>
          <w:p>
            <w:r>
              <w:rPr>
                <w:rFonts w:ascii="Arial" w:hAnsi="Arial"/>
                <w:sz w:val="18"/>
              </w:rPr>
              <w:t>A.01</w:t>
            </w:r>
          </w:p>
        </w:tc>
        <w:tc>
          <w:tcPr>
            <w:tcW w:type="dxa" w:w="2257"/>
            <w:shd w:fill="F2F6FC" w:val="clear"/>
          </w:tcPr>
          <w:p>
            <w:r>
              <w:rPr>
                <w:rFonts w:ascii="Arial" w:hAnsi="Arial"/>
                <w:sz w:val="18"/>
              </w:rPr>
              <w:t>Agriculture</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G.47</w:t>
            </w:r>
          </w:p>
        </w:tc>
        <w:tc>
          <w:tcPr>
            <w:tcW w:type="dxa" w:w="2257"/>
          </w:tcPr>
          <w:p>
            <w:r>
              <w:rPr>
                <w:rFonts w:ascii="Arial" w:hAnsi="Arial"/>
                <w:sz w:val="18"/>
              </w:rPr>
              <w:t>Retail Trade</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K.64</w:t>
            </w:r>
          </w:p>
        </w:tc>
        <w:tc>
          <w:tcPr>
            <w:tcW w:type="dxa" w:w="2257"/>
            <w:shd w:fill="F2F6FC" w:val="clear"/>
          </w:tcPr>
          <w:p>
            <w:r>
              <w:rPr>
                <w:rFonts w:ascii="Arial" w:hAnsi="Arial"/>
                <w:sz w:val="18"/>
              </w:rPr>
              <w:t>Financial Services</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Company Reports</w:t>
            </w:r>
          </w:p>
        </w:tc>
      </w:tr>
    </w:tbl>
    <w:p/>
    <w:p>
      <w:r>
        <w:br w:type="page"/>
      </w:r>
    </w:p>
    <w:p>
      <w:pPr>
        <w:pStyle w:val="Heading1"/>
        <w:keepNext/>
        <w:spacing w:before="480" w:after="240"/>
      </w:pPr>
      <w:r>
        <w:rPr>
          <w:rFonts w:ascii="Arial" w:hAnsi="Arial"/>
          <w:b/>
          <w:color w:val="1B3A6B"/>
          <w:sz w:val="36"/>
        </w:rPr>
        <w:t>Appendix F: Glossary of Terms &amp; Abbreviations</w:t>
      </w:r>
    </w:p>
    <w:p>
      <w:r>
        <w:rPr>
          <w:rFonts w:ascii="Arial" w:hAnsi="Arial"/>
          <w:b/>
          <w:sz w:val="20"/>
        </w:rPr>
        <w:t>Table 50: Glossary</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Term / Abbreviation</w:t>
            </w:r>
          </w:p>
        </w:tc>
        <w:tc>
          <w:tcPr>
            <w:tcW w:type="dxa" w:w="4514"/>
            <w:shd w:fill="1B3A6B" w:val="clear"/>
          </w:tcPr>
          <w:p>
            <w:r>
              <w:rPr>
                <w:rFonts w:ascii="Arial" w:hAnsi="Arial"/>
                <w:b/>
                <w:color w:val="FFFFFF"/>
                <w:sz w:val="18"/>
              </w:rPr>
              <w:t>Definition</w:t>
            </w:r>
          </w:p>
        </w:tc>
      </w:tr>
      <w:tr>
        <w:tc>
          <w:tcPr>
            <w:tcW w:type="dxa" w:w="4514"/>
          </w:tcPr>
          <w:p>
            <w:r>
              <w:rPr>
                <w:rFonts w:ascii="Arial" w:hAnsi="Arial"/>
                <w:sz w:val="18"/>
              </w:rPr>
              <w:t>tCO₂e</w:t>
            </w:r>
          </w:p>
        </w:tc>
        <w:tc>
          <w:tcPr>
            <w:tcW w:type="dxa" w:w="4514"/>
          </w:tcPr>
          <w:p>
            <w:r>
              <w:rPr>
                <w:rFonts w:ascii="Arial" w:hAnsi="Arial"/>
                <w:sz w:val="18"/>
              </w:rPr>
              <w:t>Tonnes of carbon dioxide equivalent</w:t>
            </w:r>
          </w:p>
        </w:tc>
      </w:tr>
      <w:tr>
        <w:tc>
          <w:tcPr>
            <w:tcW w:type="dxa" w:w="4514"/>
            <w:shd w:fill="F2F6FC" w:val="clear"/>
          </w:tcPr>
          <w:p>
            <w:r>
              <w:rPr>
                <w:rFonts w:ascii="Arial" w:hAnsi="Arial"/>
                <w:sz w:val="18"/>
              </w:rPr>
              <w:t>GHG</w:t>
            </w:r>
          </w:p>
        </w:tc>
        <w:tc>
          <w:tcPr>
            <w:tcW w:type="dxa" w:w="4514"/>
            <w:shd w:fill="F2F6FC" w:val="clear"/>
          </w:tcPr>
          <w:p>
            <w:r>
              <w:rPr>
                <w:rFonts w:ascii="Arial" w:hAnsi="Arial"/>
                <w:sz w:val="18"/>
              </w:rPr>
              <w:t>Greenhouse Gas</w:t>
            </w:r>
          </w:p>
        </w:tc>
      </w:tr>
      <w:tr>
        <w:tc>
          <w:tcPr>
            <w:tcW w:type="dxa" w:w="4514"/>
          </w:tcPr>
          <w:p>
            <w:r>
              <w:rPr>
                <w:rFonts w:ascii="Arial" w:hAnsi="Arial"/>
                <w:sz w:val="18"/>
              </w:rPr>
              <w:t>GWP</w:t>
            </w:r>
          </w:p>
        </w:tc>
        <w:tc>
          <w:tcPr>
            <w:tcW w:type="dxa" w:w="4514"/>
          </w:tcPr>
          <w:p>
            <w:r>
              <w:rPr>
                <w:rFonts w:ascii="Arial" w:hAnsi="Arial"/>
                <w:sz w:val="18"/>
              </w:rPr>
              <w:t>Global Warming Potential (100-year, IPCC AR6)</w:t>
            </w:r>
          </w:p>
        </w:tc>
      </w:tr>
      <w:tr>
        <w:tc>
          <w:tcPr>
            <w:tcW w:type="dxa" w:w="4514"/>
            <w:shd w:fill="F2F6FC" w:val="clear"/>
          </w:tcPr>
          <w:p>
            <w:r>
              <w:rPr>
                <w:rFonts w:ascii="Arial" w:hAnsi="Arial"/>
                <w:sz w:val="18"/>
              </w:rPr>
              <w:t>PCAF</w:t>
            </w:r>
          </w:p>
        </w:tc>
        <w:tc>
          <w:tcPr>
            <w:tcW w:type="dxa" w:w="4514"/>
            <w:shd w:fill="F2F6FC" w:val="clear"/>
          </w:tcPr>
          <w:p>
            <w:r>
              <w:rPr>
                <w:rFonts w:ascii="Arial" w:hAnsi="Arial"/>
                <w:sz w:val="18"/>
              </w:rPr>
              <w:t>Partnership for Carbon Accounting Financials</w:t>
            </w:r>
          </w:p>
        </w:tc>
      </w:tr>
      <w:tr>
        <w:tc>
          <w:tcPr>
            <w:tcW w:type="dxa" w:w="4514"/>
          </w:tcPr>
          <w:p>
            <w:r>
              <w:rPr>
                <w:rFonts w:ascii="Arial" w:hAnsi="Arial"/>
                <w:sz w:val="18"/>
              </w:rPr>
              <w:t>SBTi</w:t>
            </w:r>
          </w:p>
        </w:tc>
        <w:tc>
          <w:tcPr>
            <w:tcW w:type="dxa" w:w="4514"/>
          </w:tcPr>
          <w:p>
            <w:r>
              <w:rPr>
                <w:rFonts w:ascii="Arial" w:hAnsi="Arial"/>
                <w:sz w:val="18"/>
              </w:rPr>
              <w:t>Science Based Targets initiative</w:t>
            </w:r>
          </w:p>
        </w:tc>
      </w:tr>
      <w:tr>
        <w:tc>
          <w:tcPr>
            <w:tcW w:type="dxa" w:w="4514"/>
            <w:shd w:fill="F2F6FC" w:val="clear"/>
          </w:tcPr>
          <w:p>
            <w:r>
              <w:rPr>
                <w:rFonts w:ascii="Arial" w:hAnsi="Arial"/>
                <w:sz w:val="18"/>
              </w:rPr>
              <w:t>NZBA</w:t>
            </w:r>
          </w:p>
        </w:tc>
        <w:tc>
          <w:tcPr>
            <w:tcW w:type="dxa" w:w="4514"/>
            <w:shd w:fill="F2F6FC" w:val="clear"/>
          </w:tcPr>
          <w:p>
            <w:r>
              <w:rPr>
                <w:rFonts w:ascii="Arial" w:hAnsi="Arial"/>
                <w:sz w:val="18"/>
              </w:rPr>
              <w:t>Net-Zero Banking Alliance</w:t>
            </w:r>
          </w:p>
        </w:tc>
      </w:tr>
      <w:tr>
        <w:tc>
          <w:tcPr>
            <w:tcW w:type="dxa" w:w="4514"/>
          </w:tcPr>
          <w:p>
            <w:r>
              <w:rPr>
                <w:rFonts w:ascii="Arial" w:hAnsi="Arial"/>
                <w:sz w:val="18"/>
              </w:rPr>
              <w:t>NDC</w:t>
            </w:r>
          </w:p>
        </w:tc>
        <w:tc>
          <w:tcPr>
            <w:tcW w:type="dxa" w:w="4514"/>
          </w:tcPr>
          <w:p>
            <w:r>
              <w:rPr>
                <w:rFonts w:ascii="Arial" w:hAnsi="Arial"/>
                <w:sz w:val="18"/>
              </w:rPr>
              <w:t>Nationally Determined Contribution (Paris Agreement)</w:t>
            </w:r>
          </w:p>
        </w:tc>
      </w:tr>
      <w:tr>
        <w:tc>
          <w:tcPr>
            <w:tcW w:type="dxa" w:w="4514"/>
            <w:shd w:fill="F2F6FC" w:val="clear"/>
          </w:tcPr>
          <w:p>
            <w:r>
              <w:rPr>
                <w:rFonts w:ascii="Arial" w:hAnsi="Arial"/>
                <w:sz w:val="18"/>
              </w:rPr>
              <w:t>RECs</w:t>
            </w:r>
          </w:p>
        </w:tc>
        <w:tc>
          <w:tcPr>
            <w:tcW w:type="dxa" w:w="4514"/>
            <w:shd w:fill="F2F6FC" w:val="clear"/>
          </w:tcPr>
          <w:p>
            <w:r>
              <w:rPr>
                <w:rFonts w:ascii="Arial" w:hAnsi="Arial"/>
                <w:sz w:val="18"/>
              </w:rPr>
              <w:t>Renewable Energy Certificates</w:t>
            </w:r>
          </w:p>
        </w:tc>
      </w:tr>
      <w:tr>
        <w:tc>
          <w:tcPr>
            <w:tcW w:type="dxa" w:w="4514"/>
          </w:tcPr>
          <w:p>
            <w:r>
              <w:rPr>
                <w:rFonts w:ascii="Arial" w:hAnsi="Arial"/>
                <w:sz w:val="18"/>
              </w:rPr>
              <w:t>PPA</w:t>
            </w:r>
          </w:p>
        </w:tc>
        <w:tc>
          <w:tcPr>
            <w:tcW w:type="dxa" w:w="4514"/>
          </w:tcPr>
          <w:p>
            <w:r>
              <w:rPr>
                <w:rFonts w:ascii="Arial" w:hAnsi="Arial"/>
                <w:sz w:val="18"/>
              </w:rPr>
              <w:t>Power Purchase Agreement</w:t>
            </w:r>
          </w:p>
        </w:tc>
      </w:tr>
      <w:tr>
        <w:tc>
          <w:tcPr>
            <w:tcW w:type="dxa" w:w="4514"/>
            <w:shd w:fill="F2F6FC" w:val="clear"/>
          </w:tcPr>
          <w:p>
            <w:r>
              <w:rPr>
                <w:rFonts w:ascii="Arial" w:hAnsi="Arial"/>
                <w:sz w:val="18"/>
              </w:rPr>
              <w:t>EF</w:t>
            </w:r>
          </w:p>
        </w:tc>
        <w:tc>
          <w:tcPr>
            <w:tcW w:type="dxa" w:w="4514"/>
            <w:shd w:fill="F2F6FC" w:val="clear"/>
          </w:tcPr>
          <w:p>
            <w:r>
              <w:rPr>
                <w:rFonts w:ascii="Arial" w:hAnsi="Arial"/>
                <w:sz w:val="18"/>
              </w:rPr>
              <w:t>Emission Factor</w:t>
            </w:r>
          </w:p>
        </w:tc>
      </w:tr>
      <w:tr>
        <w:tc>
          <w:tcPr>
            <w:tcW w:type="dxa" w:w="4514"/>
          </w:tcPr>
          <w:p>
            <w:r>
              <w:rPr>
                <w:rFonts w:ascii="Arial" w:hAnsi="Arial"/>
                <w:sz w:val="18"/>
              </w:rPr>
              <w:t>FTE</w:t>
            </w:r>
          </w:p>
        </w:tc>
        <w:tc>
          <w:tcPr>
            <w:tcW w:type="dxa" w:w="4514"/>
          </w:tcPr>
          <w:p>
            <w:r>
              <w:rPr>
                <w:rFonts w:ascii="Arial" w:hAnsi="Arial"/>
                <w:sz w:val="18"/>
              </w:rPr>
              <w:t>Full-Time Equivalent (headcount)</w:t>
            </w:r>
          </w:p>
        </w:tc>
      </w:tr>
      <w:tr>
        <w:tc>
          <w:tcPr>
            <w:tcW w:type="dxa" w:w="4514"/>
            <w:shd w:fill="F2F6FC" w:val="clear"/>
          </w:tcPr>
          <w:p>
            <w:r>
              <w:rPr>
                <w:rFonts w:ascii="Arial" w:hAnsi="Arial"/>
                <w:sz w:val="18"/>
              </w:rPr>
              <w:t>YoY</w:t>
            </w:r>
          </w:p>
        </w:tc>
        <w:tc>
          <w:tcPr>
            <w:tcW w:type="dxa" w:w="4514"/>
            <w:shd w:fill="F2F6FC" w:val="clear"/>
          </w:tcPr>
          <w:p>
            <w:r>
              <w:rPr>
                <w:rFonts w:ascii="Arial" w:hAnsi="Arial"/>
                <w:sz w:val="18"/>
              </w:rPr>
              <w:t>Year-over-Year</w:t>
            </w:r>
          </w:p>
        </w:tc>
      </w:tr>
      <w:tr>
        <w:tc>
          <w:tcPr>
            <w:tcW w:type="dxa" w:w="4514"/>
          </w:tcPr>
          <w:p>
            <w:r>
              <w:rPr>
                <w:rFonts w:ascii="Arial" w:hAnsi="Arial"/>
                <w:sz w:val="18"/>
              </w:rPr>
              <w:t>EEIO</w:t>
            </w:r>
          </w:p>
        </w:tc>
        <w:tc>
          <w:tcPr>
            <w:tcW w:type="dxa" w:w="4514"/>
          </w:tcPr>
          <w:p>
            <w:r>
              <w:rPr>
                <w:rFonts w:ascii="Arial" w:hAnsi="Arial"/>
                <w:sz w:val="18"/>
              </w:rPr>
              <w:t>Environmentally Extended Input-Output (model)</w:t>
            </w:r>
          </w:p>
        </w:tc>
      </w:tr>
      <w:tr>
        <w:tc>
          <w:tcPr>
            <w:tcW w:type="dxa" w:w="4514"/>
            <w:shd w:fill="F2F6FC" w:val="clear"/>
          </w:tcPr>
          <w:p>
            <w:r>
              <w:rPr>
                <w:rFonts w:ascii="Arial" w:hAnsi="Arial"/>
                <w:sz w:val="18"/>
              </w:rPr>
              <w:t>GRI</w:t>
            </w:r>
          </w:p>
        </w:tc>
        <w:tc>
          <w:tcPr>
            <w:tcW w:type="dxa" w:w="4514"/>
            <w:shd w:fill="F2F6FC" w:val="clear"/>
          </w:tcPr>
          <w:p>
            <w:r>
              <w:rPr>
                <w:rFonts w:ascii="Arial" w:hAnsi="Arial"/>
                <w:sz w:val="18"/>
              </w:rPr>
              <w:t>Global Reporting Initiative</w:t>
            </w:r>
          </w:p>
        </w:tc>
      </w:tr>
      <w:tr>
        <w:tc>
          <w:tcPr>
            <w:tcW w:type="dxa" w:w="4514"/>
          </w:tcPr>
          <w:p>
            <w:r>
              <w:rPr>
                <w:rFonts w:ascii="Arial" w:hAnsi="Arial"/>
                <w:sz w:val="18"/>
              </w:rPr>
              <w:t>IFRS S2</w:t>
            </w:r>
          </w:p>
        </w:tc>
        <w:tc>
          <w:tcPr>
            <w:tcW w:type="dxa" w:w="4514"/>
          </w:tcPr>
          <w:p>
            <w:r>
              <w:rPr>
                <w:rFonts w:ascii="Arial" w:hAnsi="Arial"/>
                <w:sz w:val="18"/>
              </w:rPr>
              <w:t>IFRS Sustainability Disclosure Standard S2 (Climate)</w:t>
            </w:r>
          </w:p>
        </w:tc>
      </w:tr>
      <w:tr>
        <w:tc>
          <w:tcPr>
            <w:tcW w:type="dxa" w:w="4514"/>
            <w:shd w:fill="F2F6FC" w:val="clear"/>
          </w:tcPr>
          <w:p>
            <w:r>
              <w:rPr>
                <w:rFonts w:ascii="Arial" w:hAnsi="Arial"/>
                <w:sz w:val="18"/>
              </w:rPr>
              <w:t>ESRS E1</w:t>
            </w:r>
          </w:p>
        </w:tc>
        <w:tc>
          <w:tcPr>
            <w:tcW w:type="dxa" w:w="4514"/>
            <w:shd w:fill="F2F6FC" w:val="clear"/>
          </w:tcPr>
          <w:p>
            <w:r>
              <w:rPr>
                <w:rFonts w:ascii="Arial" w:hAnsi="Arial"/>
                <w:sz w:val="18"/>
              </w:rPr>
              <w:t>European Sustainability Reporting Standard E1 (Climate Change)</w:t>
            </w:r>
          </w:p>
        </w:tc>
      </w:tr>
      <w:tr>
        <w:tc>
          <w:tcPr>
            <w:tcW w:type="dxa" w:w="4514"/>
          </w:tcPr>
          <w:p>
            <w:r>
              <w:rPr>
                <w:rFonts w:ascii="Arial" w:hAnsi="Arial"/>
                <w:sz w:val="18"/>
              </w:rPr>
              <w:t>CSRD</w:t>
            </w:r>
          </w:p>
        </w:tc>
        <w:tc>
          <w:tcPr>
            <w:tcW w:type="dxa" w:w="4514"/>
          </w:tcPr>
          <w:p>
            <w:r>
              <w:rPr>
                <w:rFonts w:ascii="Arial" w:hAnsi="Arial"/>
                <w:sz w:val="18"/>
              </w:rPr>
              <w:t>Corporate Sustainability Reporting Directive (EU)</w:t>
            </w:r>
          </w:p>
        </w:tc>
      </w:tr>
      <w:tr>
        <w:tc>
          <w:tcPr>
            <w:tcW w:type="dxa" w:w="4514"/>
            <w:shd w:fill="F2F6FC" w:val="clear"/>
          </w:tcPr>
          <w:p>
            <w:r>
              <w:rPr>
                <w:rFonts w:ascii="Arial" w:hAnsi="Arial"/>
                <w:sz w:val="18"/>
              </w:rPr>
              <w:t>OJK</w:t>
            </w:r>
          </w:p>
        </w:tc>
        <w:tc>
          <w:tcPr>
            <w:tcW w:type="dxa" w:w="4514"/>
            <w:shd w:fill="F2F6FC" w:val="clear"/>
          </w:tcPr>
          <w:p>
            <w:r>
              <w:rPr>
                <w:rFonts w:ascii="Arial" w:hAnsi="Arial"/>
                <w:sz w:val="18"/>
              </w:rPr>
              <w:t>Otoritas Jasa Keuangan (Financial Services Authority, Indonesia)</w:t>
            </w:r>
          </w:p>
        </w:tc>
      </w:tr>
      <w:tr>
        <w:tc>
          <w:tcPr>
            <w:tcW w:type="dxa" w:w="4514"/>
          </w:tcPr>
          <w:p>
            <w:r>
              <w:rPr>
                <w:rFonts w:ascii="Arial" w:hAnsi="Arial"/>
                <w:sz w:val="18"/>
              </w:rPr>
              <w:t>POJK</w:t>
            </w:r>
          </w:p>
        </w:tc>
        <w:tc>
          <w:tcPr>
            <w:tcW w:type="dxa" w:w="4514"/>
          </w:tcPr>
          <w:p>
            <w:r>
              <w:rPr>
                <w:rFonts w:ascii="Arial" w:hAnsi="Arial"/>
                <w:sz w:val="18"/>
              </w:rPr>
              <w:t>Peraturan Otoritas Jasa Keuangan (OJK Regulation)</w:t>
            </w:r>
          </w:p>
        </w:tc>
      </w:tr>
      <w:tr>
        <w:tc>
          <w:tcPr>
            <w:tcW w:type="dxa" w:w="4514"/>
            <w:shd w:fill="F2F6FC" w:val="clear"/>
          </w:tcPr>
          <w:p>
            <w:r>
              <w:rPr>
                <w:rFonts w:ascii="Arial" w:hAnsi="Arial"/>
                <w:sz w:val="18"/>
              </w:rPr>
              <w:t>PSPK</w:t>
            </w:r>
          </w:p>
        </w:tc>
        <w:tc>
          <w:tcPr>
            <w:tcW w:type="dxa" w:w="4514"/>
            <w:shd w:fill="F2F6FC" w:val="clear"/>
          </w:tcPr>
          <w:p>
            <w:r>
              <w:rPr>
                <w:rFonts w:ascii="Arial" w:hAnsi="Arial"/>
                <w:sz w:val="18"/>
              </w:rPr>
              <w:t>Penerapan Keuangan Berkelanjutan (Sustainable Finance Implementation)</w:t>
            </w:r>
          </w:p>
        </w:tc>
      </w:tr>
      <w:tr>
        <w:tc>
          <w:tcPr>
            <w:tcW w:type="dxa" w:w="4514"/>
          </w:tcPr>
          <w:p>
            <w:r>
              <w:rPr>
                <w:rFonts w:ascii="Arial" w:hAnsi="Arial"/>
                <w:sz w:val="18"/>
              </w:rPr>
              <w:t>PLN</w:t>
            </w:r>
          </w:p>
        </w:tc>
        <w:tc>
          <w:tcPr>
            <w:tcW w:type="dxa" w:w="4514"/>
          </w:tcPr>
          <w:p>
            <w:r>
              <w:rPr>
                <w:rFonts w:ascii="Arial" w:hAnsi="Arial"/>
                <w:sz w:val="18"/>
              </w:rPr>
              <w:t>Perusahaan Listrik Negara (State Electricity Company, Indonesia)</w:t>
            </w:r>
          </w:p>
        </w:tc>
      </w:tr>
      <w:tr>
        <w:tc>
          <w:tcPr>
            <w:tcW w:type="dxa" w:w="4514"/>
            <w:shd w:fill="F2F6FC" w:val="clear"/>
          </w:tcPr>
          <w:p>
            <w:r>
              <w:rPr>
                <w:rFonts w:ascii="Arial" w:hAnsi="Arial"/>
                <w:sz w:val="18"/>
              </w:rPr>
              <w:t>DJK-ESDM</w:t>
            </w:r>
          </w:p>
        </w:tc>
        <w:tc>
          <w:tcPr>
            <w:tcW w:type="dxa" w:w="4514"/>
            <w:shd w:fill="F2F6FC" w:val="clear"/>
          </w:tcPr>
          <w:p>
            <w:r>
              <w:rPr>
                <w:rFonts w:ascii="Arial" w:hAnsi="Arial"/>
                <w:sz w:val="18"/>
              </w:rPr>
              <w:t>Directorate General of Electricity, Ministry of Energy</w:t>
            </w:r>
          </w:p>
        </w:tc>
      </w:tr>
    </w:tbl>
    <w:p>
      <w:r>
        <w:rPr>
          <w:rFonts w:ascii="Arial" w:hAnsi="Arial"/>
          <w:i/>
          <w:sz w:val="16"/>
        </w:rPr>
        <w:t>Source: Compiled from GHG Protocol, PCAF Standard, and regulatory publications</w:t>
      </w:r>
    </w:p>
    <w:p/>
    <w:p>
      <w:r>
        <w:br w:type="page"/>
      </w:r>
    </w:p>
    <w:p>
      <w:pPr>
        <w:pStyle w:val="Heading1"/>
        <w:keepNext/>
        <w:spacing w:before="480" w:after="240"/>
      </w:pPr>
      <w:r>
        <w:rPr>
          <w:rFonts w:ascii="Arial" w:hAnsi="Arial"/>
          <w:b/>
          <w:color w:val="1B3A6B"/>
          <w:sz w:val="36"/>
        </w:rPr>
        <w:t>Management Statement &amp; Sign-off</w:t>
      </w:r>
    </w:p>
    <w:p>
      <w:pPr>
        <w:pStyle w:val="Heading2"/>
        <w:keepNext/>
        <w:spacing w:before="360" w:after="160"/>
      </w:pPr>
      <w:r>
        <w:rPr>
          <w:rFonts w:ascii="Arial" w:hAnsi="Arial"/>
          <w:b/>
          <w:color w:val="3D6094"/>
          <w:sz w:val="28"/>
        </w:rPr>
        <w:t>Statement of Responsibility</w:t>
      </w:r>
    </w:p>
    <w:p>
      <w:pPr>
        <w:spacing w:after="160" w:line="276" w:lineRule="auto"/>
      </w:pPr>
      <w:r>
        <w:t>The Board of Directors and Management of GENERIC_FI_001 are responsible for the preparation of this Sustainability Report for the financial year ended 31 December 2024. This report has been prepared in accordance with the reporting frameworks stated herein and presents a balanced and reasonable representation of the institution's environmental, social, and governance performance.</w:t>
      </w:r>
    </w:p>
    <w:p>
      <w:pPr>
        <w:pStyle w:val="Heading2"/>
        <w:keepNext/>
        <w:spacing w:before="360" w:after="160"/>
      </w:pPr>
      <w:r>
        <w:rPr>
          <w:rFonts w:ascii="Arial" w:hAnsi="Arial"/>
          <w:b/>
          <w:color w:val="3D6094"/>
          <w:sz w:val="28"/>
        </w:rPr>
        <w:t>Internal Review Process</w:t>
      </w:r>
    </w:p>
    <w:p>
      <w:r>
        <w:rPr>
          <w:rFonts w:ascii="Arial" w:hAnsi="Arial"/>
          <w:b/>
          <w:sz w:val="20"/>
        </w:rPr>
        <w:t>Table 51: Review Process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Review Stage</w:t>
            </w:r>
          </w:p>
        </w:tc>
        <w:tc>
          <w:tcPr>
            <w:tcW w:type="dxa" w:w="2257"/>
            <w:shd w:fill="1B3A6B" w:val="clear"/>
          </w:tcPr>
          <w:p>
            <w:r>
              <w:rPr>
                <w:rFonts w:ascii="Arial" w:hAnsi="Arial"/>
                <w:b/>
                <w:color w:val="FFFFFF"/>
                <w:sz w:val="18"/>
              </w:rPr>
              <w:t>Responsible Party</w:t>
            </w:r>
          </w:p>
        </w:tc>
        <w:tc>
          <w:tcPr>
            <w:tcW w:type="dxa" w:w="2257"/>
            <w:shd w:fill="1B3A6B" w:val="clear"/>
          </w:tcPr>
          <w:p>
            <w:r>
              <w:rPr>
                <w:rFonts w:ascii="Arial" w:hAnsi="Arial"/>
                <w:b/>
                <w:color w:val="FFFFFF"/>
                <w:sz w:val="18"/>
              </w:rPr>
              <w:t>Date</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Data Collection</w:t>
            </w:r>
          </w:p>
        </w:tc>
        <w:tc>
          <w:tcPr>
            <w:tcW w:type="dxa" w:w="2257"/>
          </w:tcPr>
          <w:p>
            <w:r>
              <w:rPr>
                <w:rFonts w:ascii="Arial" w:hAnsi="Arial"/>
                <w:sz w:val="18"/>
              </w:rPr>
              <w:t>Sustainability Division</w:t>
            </w:r>
          </w:p>
        </w:tc>
        <w:tc>
          <w:tcPr>
            <w:tcW w:type="dxa" w:w="2257"/>
          </w:tcPr>
          <w:p>
            <w:r>
              <w:rPr>
                <w:rFonts w:ascii="Arial" w:hAnsi="Arial"/>
                <w:sz w:val="18"/>
              </w:rPr>
              <w:t>[DD/MM/2025]</w:t>
            </w:r>
          </w:p>
        </w:tc>
        <w:tc>
          <w:tcPr>
            <w:tcW w:type="dxa" w:w="2257"/>
          </w:tcPr>
          <w:p>
            <w:r>
              <w:rPr>
                <w:rFonts w:ascii="Arial" w:hAnsi="Arial"/>
                <w:sz w:val="18"/>
              </w:rPr>
              <w:t>☐ Completed</w:t>
            </w:r>
          </w:p>
        </w:tc>
      </w:tr>
      <w:tr>
        <w:tc>
          <w:tcPr>
            <w:tcW w:type="dxa" w:w="2257"/>
            <w:shd w:fill="F2F6FC" w:val="clear"/>
          </w:tcPr>
          <w:p>
            <w:r>
              <w:rPr>
                <w:rFonts w:ascii="Arial" w:hAnsi="Arial"/>
                <w:sz w:val="18"/>
              </w:rPr>
              <w:t>Methodology Verification</w:t>
            </w:r>
          </w:p>
        </w:tc>
        <w:tc>
          <w:tcPr>
            <w:tcW w:type="dxa" w:w="2257"/>
            <w:shd w:fill="F2F6FC" w:val="clear"/>
          </w:tcPr>
          <w:p>
            <w:r>
              <w:rPr>
                <w:rFonts w:ascii="Arial" w:hAnsi="Arial"/>
                <w:sz w:val="18"/>
              </w:rPr>
              <w:t>Risk Management</w:t>
            </w:r>
          </w:p>
        </w:tc>
        <w:tc>
          <w:tcPr>
            <w:tcW w:type="dxa" w:w="2257"/>
            <w:shd w:fill="F2F6FC" w:val="clear"/>
          </w:tcPr>
          <w:p>
            <w:r>
              <w:rPr>
                <w:rFonts w:ascii="Arial" w:hAnsi="Arial"/>
                <w:sz w:val="18"/>
              </w:rPr>
              <w:t>[DD/MM/2025]</w:t>
            </w:r>
          </w:p>
        </w:tc>
        <w:tc>
          <w:tcPr>
            <w:tcW w:type="dxa" w:w="2257"/>
            <w:shd w:fill="F2F6FC" w:val="clear"/>
          </w:tcPr>
          <w:p>
            <w:r>
              <w:rPr>
                <w:rFonts w:ascii="Arial" w:hAnsi="Arial"/>
                <w:sz w:val="18"/>
              </w:rPr>
              <w:t>☐ Completed</w:t>
            </w:r>
          </w:p>
        </w:tc>
      </w:tr>
      <w:tr>
        <w:tc>
          <w:tcPr>
            <w:tcW w:type="dxa" w:w="2257"/>
          </w:tcPr>
          <w:p>
            <w:r>
              <w:rPr>
                <w:rFonts w:ascii="Arial" w:hAnsi="Arial"/>
                <w:sz w:val="18"/>
              </w:rPr>
              <w:t>Management Review</w:t>
            </w:r>
          </w:p>
        </w:tc>
        <w:tc>
          <w:tcPr>
            <w:tcW w:type="dxa" w:w="2257"/>
          </w:tcPr>
          <w:p>
            <w:r>
              <w:rPr>
                <w:rFonts w:ascii="Arial" w:hAnsi="Arial"/>
                <w:sz w:val="18"/>
              </w:rPr>
              <w:t>Chief Sustainability Officer</w:t>
            </w:r>
          </w:p>
        </w:tc>
        <w:tc>
          <w:tcPr>
            <w:tcW w:type="dxa" w:w="2257"/>
          </w:tcPr>
          <w:p>
            <w:r>
              <w:rPr>
                <w:rFonts w:ascii="Arial" w:hAnsi="Arial"/>
                <w:sz w:val="18"/>
              </w:rPr>
              <w:t>[DD/MM/2025]</w:t>
            </w:r>
          </w:p>
        </w:tc>
        <w:tc>
          <w:tcPr>
            <w:tcW w:type="dxa" w:w="2257"/>
          </w:tcPr>
          <w:p>
            <w:r>
              <w:rPr>
                <w:rFonts w:ascii="Arial" w:hAnsi="Arial"/>
                <w:sz w:val="18"/>
              </w:rPr>
              <w:t>☐ Completed</w:t>
            </w:r>
          </w:p>
        </w:tc>
      </w:tr>
      <w:tr>
        <w:tc>
          <w:tcPr>
            <w:tcW w:type="dxa" w:w="2257"/>
            <w:shd w:fill="F2F6FC" w:val="clear"/>
          </w:tcPr>
          <w:p>
            <w:r>
              <w:rPr>
                <w:rFonts w:ascii="Arial" w:hAnsi="Arial"/>
                <w:sz w:val="18"/>
              </w:rPr>
              <w:t>Board Approval</w:t>
            </w:r>
          </w:p>
        </w:tc>
        <w:tc>
          <w:tcPr>
            <w:tcW w:type="dxa" w:w="2257"/>
            <w:shd w:fill="F2F6FC" w:val="clear"/>
          </w:tcPr>
          <w:p>
            <w:r>
              <w:rPr>
                <w:rFonts w:ascii="Arial" w:hAnsi="Arial"/>
                <w:sz w:val="18"/>
              </w:rPr>
              <w:t>Board of Directors</w:t>
            </w:r>
          </w:p>
        </w:tc>
        <w:tc>
          <w:tcPr>
            <w:tcW w:type="dxa" w:w="2257"/>
            <w:shd w:fill="F2F6FC" w:val="clear"/>
          </w:tcPr>
          <w:p>
            <w:r>
              <w:rPr>
                <w:rFonts w:ascii="Arial" w:hAnsi="Arial"/>
                <w:sz w:val="18"/>
              </w:rPr>
              <w:t>[DD/MM/2025]</w:t>
            </w:r>
          </w:p>
        </w:tc>
        <w:tc>
          <w:tcPr>
            <w:tcW w:type="dxa" w:w="2257"/>
            <w:shd w:fill="F2F6FC" w:val="clear"/>
          </w:tcPr>
          <w:p>
            <w:r>
              <w:rPr>
                <w:rFonts w:ascii="Arial" w:hAnsi="Arial"/>
                <w:sz w:val="18"/>
              </w:rPr>
              <w:t>☐ Completed</w:t>
            </w:r>
          </w:p>
        </w:tc>
      </w:tr>
    </w:tbl>
    <w:p/>
    <w:p>
      <w:pPr>
        <w:pStyle w:val="Heading2"/>
        <w:keepNext/>
        <w:spacing w:before="360" w:after="160"/>
      </w:pPr>
      <w:r>
        <w:rPr>
          <w:rFonts w:ascii="Arial" w:hAnsi="Arial"/>
          <w:b/>
          <w:color w:val="3D6094"/>
          <w:sz w:val="28"/>
        </w:rPr>
        <w:t>Assurance Status</w:t>
      </w:r>
    </w:p>
    <w:p>
      <w:pPr>
        <w:spacing w:after="160" w:line="276" w:lineRule="auto"/>
      </w:pPr>
      <w:r>
        <w:t>This report has NOT been subject to external assurance. The institution recommends obtaining limited assurance for Scope 1, 2, and 3 emissions data in future reporting cycles (target: FY2025).</w:t>
      </w:r>
    </w:p>
    <w:p>
      <w:pPr>
        <w:pStyle w:val="Heading2"/>
        <w:keepNext/>
        <w:spacing w:before="360" w:after="160"/>
      </w:pPr>
      <w:r>
        <w:rPr>
          <w:rFonts w:ascii="Arial" w:hAnsi="Arial"/>
          <w:b/>
          <w:color w:val="3D6094"/>
          <w:sz w:val="28"/>
        </w:rPr>
        <w:t>Sign-off</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Role</w:t>
            </w:r>
          </w:p>
        </w:tc>
        <w:tc>
          <w:tcPr>
            <w:tcW w:type="dxa" w:w="2257"/>
            <w:shd w:fill="1B3A6B" w:val="clear"/>
          </w:tcPr>
          <w:p>
            <w:r>
              <w:rPr>
                <w:rFonts w:ascii="Arial" w:hAnsi="Arial"/>
                <w:b/>
                <w:color w:val="FFFFFF"/>
                <w:sz w:val="18"/>
              </w:rPr>
              <w:t>Name</w:t>
            </w:r>
          </w:p>
        </w:tc>
        <w:tc>
          <w:tcPr>
            <w:tcW w:type="dxa" w:w="2257"/>
            <w:shd w:fill="1B3A6B" w:val="clear"/>
          </w:tcPr>
          <w:p>
            <w:r>
              <w:rPr>
                <w:rFonts w:ascii="Arial" w:hAnsi="Arial"/>
                <w:b/>
                <w:color w:val="FFFFFF"/>
                <w:sz w:val="18"/>
              </w:rPr>
              <w:t>Signature</w:t>
            </w:r>
          </w:p>
        </w:tc>
        <w:tc>
          <w:tcPr>
            <w:tcW w:type="dxa" w:w="2257"/>
            <w:shd w:fill="1B3A6B" w:val="clear"/>
          </w:tcPr>
          <w:p>
            <w:r>
              <w:rPr>
                <w:rFonts w:ascii="Arial" w:hAnsi="Arial"/>
                <w:b/>
                <w:color w:val="FFFFFF"/>
                <w:sz w:val="18"/>
              </w:rPr>
              <w:t>Date</w:t>
            </w:r>
          </w:p>
        </w:tc>
      </w:tr>
      <w:tr>
        <w:tc>
          <w:tcPr>
            <w:tcW w:type="dxa" w:w="2257"/>
          </w:tcPr>
          <w:p>
            <w:r>
              <w:rPr>
                <w:rFonts w:ascii="Arial" w:hAnsi="Arial"/>
                <w:sz w:val="18"/>
              </w:rPr>
              <w:t>President Director / CEO</w:t>
            </w:r>
          </w:p>
        </w:tc>
        <w:tc>
          <w:tcPr>
            <w:tcW w:type="dxa" w:w="2257"/>
          </w:tcPr>
          <w:p>
            <w:r>
              <w:rPr>
                <w:rFonts w:ascii="Arial" w:hAnsi="Arial"/>
                <w:sz w:val="18"/>
              </w:rPr>
              <w:t>[Name]</w:t>
            </w:r>
          </w:p>
        </w:tc>
        <w:tc>
          <w:tcPr>
            <w:tcW w:type="dxa" w:w="2257"/>
          </w:tcPr>
          <w:p>
            <w:r>
              <w:rPr>
                <w:rFonts w:ascii="Arial" w:hAnsi="Arial"/>
                <w:sz w:val="18"/>
              </w:rPr>
              <w:t>[Signature]</w:t>
            </w:r>
          </w:p>
        </w:tc>
        <w:tc>
          <w:tcPr>
            <w:tcW w:type="dxa" w:w="2257"/>
          </w:tcPr>
          <w:p>
            <w:r>
              <w:rPr>
                <w:rFonts w:ascii="Arial" w:hAnsi="Arial"/>
                <w:sz w:val="18"/>
              </w:rPr>
              <w:t>[DD/MM/2025]</w:t>
            </w:r>
          </w:p>
        </w:tc>
      </w:tr>
      <w:tr>
        <w:tc>
          <w:tcPr>
            <w:tcW w:type="dxa" w:w="2257"/>
            <w:shd w:fill="F2F6FC" w:val="clear"/>
          </w:tcPr>
          <w:p>
            <w:r>
              <w:rPr>
                <w:rFonts w:ascii="Arial" w:hAnsi="Arial"/>
                <w:sz w:val="18"/>
              </w:rPr>
              <w:t>Chief Sustainability Officer</w:t>
            </w:r>
          </w:p>
        </w:tc>
        <w:tc>
          <w:tcPr>
            <w:tcW w:type="dxa" w:w="2257"/>
            <w:shd w:fill="F2F6FC" w:val="clear"/>
          </w:tcPr>
          <w:p>
            <w:r>
              <w:rPr>
                <w:rFonts w:ascii="Arial" w:hAnsi="Arial"/>
                <w:sz w:val="18"/>
              </w:rPr>
              <w:t>[Name]</w:t>
            </w:r>
          </w:p>
        </w:tc>
        <w:tc>
          <w:tcPr>
            <w:tcW w:type="dxa" w:w="2257"/>
            <w:shd w:fill="F2F6FC" w:val="clear"/>
          </w:tcPr>
          <w:p>
            <w:r>
              <w:rPr>
                <w:rFonts w:ascii="Arial" w:hAnsi="Arial"/>
                <w:sz w:val="18"/>
              </w:rPr>
              <w:t>[Signature]</w:t>
            </w:r>
          </w:p>
        </w:tc>
        <w:tc>
          <w:tcPr>
            <w:tcW w:type="dxa" w:w="2257"/>
            <w:shd w:fill="F2F6FC" w:val="clear"/>
          </w:tcPr>
          <w:p>
            <w:r>
              <w:rPr>
                <w:rFonts w:ascii="Arial" w:hAnsi="Arial"/>
                <w:sz w:val="18"/>
              </w:rPr>
              <w:t>[DD/MM/2025]</w:t>
            </w:r>
          </w:p>
        </w:tc>
      </w:tr>
      <w:tr>
        <w:tc>
          <w:tcPr>
            <w:tcW w:type="dxa" w:w="2257"/>
          </w:tcPr>
          <w:p>
            <w:r>
              <w:rPr>
                <w:rFonts w:ascii="Arial" w:hAnsi="Arial"/>
                <w:sz w:val="18"/>
              </w:rPr>
              <w:t>Head of Risk Management</w:t>
            </w:r>
          </w:p>
        </w:tc>
        <w:tc>
          <w:tcPr>
            <w:tcW w:type="dxa" w:w="2257"/>
          </w:tcPr>
          <w:p>
            <w:r>
              <w:rPr>
                <w:rFonts w:ascii="Arial" w:hAnsi="Arial"/>
                <w:sz w:val="18"/>
              </w:rPr>
              <w:t>[Name]</w:t>
            </w:r>
          </w:p>
        </w:tc>
        <w:tc>
          <w:tcPr>
            <w:tcW w:type="dxa" w:w="2257"/>
          </w:tcPr>
          <w:p>
            <w:r>
              <w:rPr>
                <w:rFonts w:ascii="Arial" w:hAnsi="Arial"/>
                <w:sz w:val="18"/>
              </w:rPr>
              <w:t>[Signature]</w:t>
            </w:r>
          </w:p>
        </w:tc>
        <w:tc>
          <w:tcPr>
            <w:tcW w:type="dxa" w:w="2257"/>
          </w:tcPr>
          <w:p>
            <w:r>
              <w:rPr>
                <w:rFonts w:ascii="Arial" w:hAnsi="Arial"/>
                <w:sz w:val="18"/>
              </w:rPr>
              <w:t>[DD/MM/2025]</w:t>
            </w:r>
          </w:p>
        </w:tc>
      </w:tr>
    </w:tbl>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IFRS_S2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IFRS_S2</dc:title>
  <dc:subject>GHG Emissions Disclosure - IFRS_S2</dc:subject>
  <dc:creator>ESG Reporting System (GENERIC_FI_001)</dc:creator>
  <cp:keywords>ESG, GHG, IFRS_S2, 2024, PCAF, Scope1, Scope2, Scope3</cp:keywords>
  <dc:description>Generated by execution: arn:aws:states:us-east-1:061039769766:execution:ESGReportGenerationStateMachine:22f9c31d-c57e-41f7-963a-0dce0843bb07</dc:description>
  <cp:lastModifiedBy/>
  <cp:revision>1</cp:revision>
  <dcterms:created xsi:type="dcterms:W3CDTF">2013-12-23T23:15:00Z</dcterms:created>
  <dcterms:modified xsi:type="dcterms:W3CDTF">2013-12-23T23:15:00Z</dcterms:modified>
  <cp:category>ESG Sustainability Report</cp:category>
</cp:coreProperties>
</file>