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348E8" w14:textId="77777777" w:rsidR="008C752B" w:rsidRDefault="008C752B"/>
    <w:p w14:paraId="32A0D58E" w14:textId="77777777" w:rsidR="008C752B" w:rsidRDefault="00CE4761">
      <w:pPr>
        <w:jc w:val="center"/>
      </w:pPr>
      <w:r>
        <w:rPr>
          <w:color w:val="999999"/>
          <w:sz w:val="24"/>
        </w:rPr>
        <w:t>[INSTITUTION LOGO]</w:t>
      </w:r>
    </w:p>
    <w:p w14:paraId="5F2D8A4A" w14:textId="77777777" w:rsidR="008C752B" w:rsidRDefault="008C752B"/>
    <w:p w14:paraId="711F33B0" w14:textId="77777777" w:rsidR="008C752B" w:rsidRDefault="008C752B"/>
    <w:p w14:paraId="550EDBF9" w14:textId="77777777" w:rsidR="008C752B" w:rsidRDefault="00CE4761">
      <w:pPr>
        <w:pStyle w:val="Heading1"/>
        <w:spacing w:after="240"/>
        <w:jc w:val="center"/>
      </w:pPr>
      <w:bookmarkStart w:id="0" w:name="_Toc231550605"/>
      <w:r>
        <w:rPr>
          <w:rFonts w:ascii="Arial" w:hAnsi="Arial"/>
          <w:color w:val="1B3A6B"/>
          <w:sz w:val="36"/>
        </w:rPr>
        <w:t>ESG Sustainability Report</w:t>
      </w:r>
      <w:bookmarkEnd w:id="0"/>
    </w:p>
    <w:p w14:paraId="3619D52C" w14:textId="77777777" w:rsidR="008C752B" w:rsidRDefault="00CE4761">
      <w:pPr>
        <w:pStyle w:val="Heading2"/>
        <w:spacing w:before="360" w:after="160"/>
        <w:jc w:val="center"/>
      </w:pPr>
      <w:bookmarkStart w:id="1" w:name="_Toc231550606"/>
      <w:r>
        <w:rPr>
          <w:rFonts w:ascii="Arial" w:hAnsi="Arial"/>
          <w:color w:val="3D6094"/>
          <w:sz w:val="28"/>
        </w:rPr>
        <w:t>Reporting Year 2024</w:t>
      </w:r>
      <w:bookmarkEnd w:id="1"/>
    </w:p>
    <w:p w14:paraId="1813BA2D" w14:textId="77777777" w:rsidR="008C752B" w:rsidRDefault="008C752B"/>
    <w:p w14:paraId="47DA04DF" w14:textId="77777777" w:rsidR="008C752B" w:rsidRDefault="00CE4761">
      <w:pPr>
        <w:jc w:val="center"/>
      </w:pPr>
      <w:r>
        <w:rPr>
          <w:rFonts w:ascii="Arial" w:hAnsi="Arial"/>
        </w:rPr>
        <w:t>Institution: GENERIC_FI_001</w:t>
      </w:r>
    </w:p>
    <w:p w14:paraId="11F9C584" w14:textId="77777777" w:rsidR="008C752B" w:rsidRDefault="00CE4761">
      <w:pPr>
        <w:jc w:val="center"/>
      </w:pPr>
      <w:r>
        <w:rPr>
          <w:rFonts w:ascii="Arial" w:hAnsi="Arial"/>
        </w:rPr>
        <w:t>Framework: MULTI_FRAMEWORK</w:t>
      </w:r>
    </w:p>
    <w:p w14:paraId="361B1F03" w14:textId="77777777" w:rsidR="008C752B" w:rsidRDefault="00CE4761">
      <w:pPr>
        <w:jc w:val="center"/>
      </w:pPr>
      <w:r>
        <w:rPr>
          <w:rFonts w:ascii="Arial" w:hAnsi="Arial"/>
        </w:rPr>
        <w:t>Generated: 2026-06-05 04:14 UTC</w:t>
      </w:r>
    </w:p>
    <w:p w14:paraId="4981898F" w14:textId="77777777" w:rsidR="008C752B" w:rsidRDefault="00CE4761">
      <w:pPr>
        <w:jc w:val="center"/>
      </w:pPr>
      <w:r>
        <w:rPr>
          <w:rFonts w:ascii="Arial" w:hAnsi="Arial"/>
        </w:rPr>
        <w:t>Status: DRAFT — Subject to Review</w:t>
      </w:r>
    </w:p>
    <w:p w14:paraId="09871A21" w14:textId="77777777" w:rsidR="008C752B" w:rsidRDefault="00CE4761">
      <w:pPr>
        <w:jc w:val="center"/>
      </w:pPr>
      <w:r>
        <w:rPr>
          <w:rFonts w:ascii="Arial" w:hAnsi="Arial"/>
        </w:rPr>
        <w:t>Assurance Level: None</w:t>
      </w:r>
    </w:p>
    <w:p w14:paraId="1F021C09" w14:textId="77777777" w:rsidR="008C752B" w:rsidRDefault="008C752B"/>
    <w:p w14:paraId="2EFA5A04" w14:textId="77777777" w:rsidR="008C752B" w:rsidRDefault="008C752B"/>
    <w:p w14:paraId="555C0FA3" w14:textId="77777777" w:rsidR="008C752B" w:rsidRDefault="00CE4761">
      <w:pPr>
        <w:jc w:val="center"/>
      </w:pPr>
      <w:r>
        <w:rPr>
          <w:i/>
          <w:color w:val="993333"/>
          <w:sz w:val="18"/>
        </w:rPr>
        <w:t>CONFIDENTIAL — This document is for internal review purposes only. Do not distribute without authorization.</w:t>
      </w:r>
    </w:p>
    <w:p w14:paraId="47D0C54B" w14:textId="77777777" w:rsidR="008C752B" w:rsidRDefault="00CE4761">
      <w:r>
        <w:br w:type="page"/>
      </w:r>
    </w:p>
    <w:p w14:paraId="2F2DA95C" w14:textId="77777777" w:rsidR="008C752B" w:rsidRDefault="00CE4761">
      <w:pPr>
        <w:pStyle w:val="Heading1"/>
        <w:spacing w:after="240"/>
      </w:pPr>
      <w:bookmarkStart w:id="2" w:name="_Toc231550607"/>
      <w:r>
        <w:rPr>
          <w:rFonts w:ascii="Arial" w:hAnsi="Arial"/>
          <w:color w:val="1B3A6B"/>
          <w:sz w:val="36"/>
        </w:rPr>
        <w:lastRenderedPageBreak/>
        <w:t>Table of Contents</w:t>
      </w:r>
      <w:bookmarkEnd w:id="2"/>
    </w:p>
    <w:p w14:paraId="05C70378" w14:textId="77777777" w:rsidR="008C752B" w:rsidRDefault="00CE4761">
      <w:r>
        <w:fldChar w:fldCharType="begin"/>
      </w:r>
      <w:r>
        <w:instrText xml:space="preserve"> TOC \o "1-3" \h \z \u </w:instrText>
      </w:r>
      <w:r>
        <w:fldChar w:fldCharType="end"/>
      </w:r>
    </w:p>
    <w:sdt>
      <w:sdtPr>
        <w:id w:val="-87778300"/>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65029952" w14:textId="539B06DA" w:rsidR="009B68E3" w:rsidRDefault="009B68E3">
          <w:pPr>
            <w:pStyle w:val="TOCHeading"/>
          </w:pPr>
          <w:r>
            <w:t>Contents</w:t>
          </w:r>
        </w:p>
        <w:p w14:paraId="04756D42" w14:textId="4FFC6227" w:rsidR="009B68E3" w:rsidRDefault="009B68E3">
          <w:pPr>
            <w:pStyle w:val="TOC1"/>
            <w:tabs>
              <w:tab w:val="right" w:leader="dot" w:pos="9019"/>
            </w:tabs>
            <w:rPr>
              <w:noProof/>
            </w:rPr>
          </w:pPr>
          <w:r>
            <w:fldChar w:fldCharType="begin"/>
          </w:r>
          <w:r>
            <w:instrText xml:space="preserve"> TOC \o "1-3" \h \z \u </w:instrText>
          </w:r>
          <w:r>
            <w:fldChar w:fldCharType="separate"/>
          </w:r>
          <w:hyperlink w:anchor="_Toc231550605" w:history="1">
            <w:r w:rsidRPr="00755F8B">
              <w:rPr>
                <w:rStyle w:val="Hyperlink"/>
                <w:rFonts w:ascii="Arial" w:hAnsi="Arial"/>
                <w:noProof/>
              </w:rPr>
              <w:t>ESG Sustainability Report</w:t>
            </w:r>
            <w:r>
              <w:rPr>
                <w:noProof/>
                <w:webHidden/>
              </w:rPr>
              <w:tab/>
            </w:r>
            <w:r>
              <w:rPr>
                <w:noProof/>
                <w:webHidden/>
              </w:rPr>
              <w:fldChar w:fldCharType="begin"/>
            </w:r>
            <w:r>
              <w:rPr>
                <w:noProof/>
                <w:webHidden/>
              </w:rPr>
              <w:instrText xml:space="preserve"> PAGEREF _Toc231550605 \h </w:instrText>
            </w:r>
            <w:r>
              <w:rPr>
                <w:noProof/>
                <w:webHidden/>
              </w:rPr>
            </w:r>
            <w:r>
              <w:rPr>
                <w:noProof/>
                <w:webHidden/>
              </w:rPr>
              <w:fldChar w:fldCharType="separate"/>
            </w:r>
            <w:r>
              <w:rPr>
                <w:noProof/>
                <w:webHidden/>
              </w:rPr>
              <w:t>1</w:t>
            </w:r>
            <w:r>
              <w:rPr>
                <w:noProof/>
                <w:webHidden/>
              </w:rPr>
              <w:fldChar w:fldCharType="end"/>
            </w:r>
          </w:hyperlink>
        </w:p>
        <w:p w14:paraId="27ED2C68" w14:textId="75036EB3" w:rsidR="009B68E3" w:rsidRDefault="009B68E3">
          <w:pPr>
            <w:pStyle w:val="TOC2"/>
            <w:tabs>
              <w:tab w:val="right" w:leader="dot" w:pos="9019"/>
            </w:tabs>
            <w:rPr>
              <w:noProof/>
            </w:rPr>
          </w:pPr>
          <w:hyperlink w:anchor="_Toc231550606" w:history="1">
            <w:r w:rsidRPr="00755F8B">
              <w:rPr>
                <w:rStyle w:val="Hyperlink"/>
                <w:rFonts w:ascii="Arial" w:hAnsi="Arial"/>
                <w:noProof/>
              </w:rPr>
              <w:t>Reporting Year 2024</w:t>
            </w:r>
            <w:r>
              <w:rPr>
                <w:noProof/>
                <w:webHidden/>
              </w:rPr>
              <w:tab/>
            </w:r>
            <w:r>
              <w:rPr>
                <w:noProof/>
                <w:webHidden/>
              </w:rPr>
              <w:fldChar w:fldCharType="begin"/>
            </w:r>
            <w:r>
              <w:rPr>
                <w:noProof/>
                <w:webHidden/>
              </w:rPr>
              <w:instrText xml:space="preserve"> PAGEREF _Toc231550606 \h </w:instrText>
            </w:r>
            <w:r>
              <w:rPr>
                <w:noProof/>
                <w:webHidden/>
              </w:rPr>
            </w:r>
            <w:r>
              <w:rPr>
                <w:noProof/>
                <w:webHidden/>
              </w:rPr>
              <w:fldChar w:fldCharType="separate"/>
            </w:r>
            <w:r>
              <w:rPr>
                <w:noProof/>
                <w:webHidden/>
              </w:rPr>
              <w:t>1</w:t>
            </w:r>
            <w:r>
              <w:rPr>
                <w:noProof/>
                <w:webHidden/>
              </w:rPr>
              <w:fldChar w:fldCharType="end"/>
            </w:r>
          </w:hyperlink>
        </w:p>
        <w:p w14:paraId="50CD6ACC" w14:textId="5AEF17CE" w:rsidR="009B68E3" w:rsidRDefault="009B68E3">
          <w:pPr>
            <w:pStyle w:val="TOC1"/>
            <w:tabs>
              <w:tab w:val="right" w:leader="dot" w:pos="9019"/>
            </w:tabs>
            <w:rPr>
              <w:noProof/>
            </w:rPr>
          </w:pPr>
          <w:hyperlink w:anchor="_Toc231550607" w:history="1">
            <w:r w:rsidRPr="00755F8B">
              <w:rPr>
                <w:rStyle w:val="Hyperlink"/>
                <w:rFonts w:ascii="Arial" w:hAnsi="Arial"/>
                <w:noProof/>
              </w:rPr>
              <w:t>Table of Contents</w:t>
            </w:r>
            <w:r>
              <w:rPr>
                <w:noProof/>
                <w:webHidden/>
              </w:rPr>
              <w:tab/>
            </w:r>
            <w:r>
              <w:rPr>
                <w:noProof/>
                <w:webHidden/>
              </w:rPr>
              <w:fldChar w:fldCharType="begin"/>
            </w:r>
            <w:r>
              <w:rPr>
                <w:noProof/>
                <w:webHidden/>
              </w:rPr>
              <w:instrText xml:space="preserve"> PAGEREF _Toc231550607 \h </w:instrText>
            </w:r>
            <w:r>
              <w:rPr>
                <w:noProof/>
                <w:webHidden/>
              </w:rPr>
            </w:r>
            <w:r>
              <w:rPr>
                <w:noProof/>
                <w:webHidden/>
              </w:rPr>
              <w:fldChar w:fldCharType="separate"/>
            </w:r>
            <w:r>
              <w:rPr>
                <w:noProof/>
                <w:webHidden/>
              </w:rPr>
              <w:t>2</w:t>
            </w:r>
            <w:r>
              <w:rPr>
                <w:noProof/>
                <w:webHidden/>
              </w:rPr>
              <w:fldChar w:fldCharType="end"/>
            </w:r>
          </w:hyperlink>
        </w:p>
        <w:p w14:paraId="7386E5DA" w14:textId="0A4EC28C" w:rsidR="009B68E3" w:rsidRDefault="009B68E3">
          <w:pPr>
            <w:pStyle w:val="TOC1"/>
            <w:tabs>
              <w:tab w:val="right" w:leader="dot" w:pos="9019"/>
            </w:tabs>
            <w:rPr>
              <w:noProof/>
            </w:rPr>
          </w:pPr>
          <w:hyperlink w:anchor="_Toc231550608" w:history="1">
            <w:r w:rsidRPr="00755F8B">
              <w:rPr>
                <w:rStyle w:val="Hyperlink"/>
                <w:rFonts w:ascii="Arial" w:hAnsi="Arial"/>
                <w:noProof/>
              </w:rPr>
              <w:t>GRI 305-1: Direct (Scope 1) GHG Emissions</w:t>
            </w:r>
            <w:r>
              <w:rPr>
                <w:noProof/>
                <w:webHidden/>
              </w:rPr>
              <w:tab/>
            </w:r>
            <w:r>
              <w:rPr>
                <w:noProof/>
                <w:webHidden/>
              </w:rPr>
              <w:fldChar w:fldCharType="begin"/>
            </w:r>
            <w:r>
              <w:rPr>
                <w:noProof/>
                <w:webHidden/>
              </w:rPr>
              <w:instrText xml:space="preserve"> PAGEREF _Toc231550608 \h </w:instrText>
            </w:r>
            <w:r>
              <w:rPr>
                <w:noProof/>
                <w:webHidden/>
              </w:rPr>
            </w:r>
            <w:r>
              <w:rPr>
                <w:noProof/>
                <w:webHidden/>
              </w:rPr>
              <w:fldChar w:fldCharType="separate"/>
            </w:r>
            <w:r>
              <w:rPr>
                <w:noProof/>
                <w:webHidden/>
              </w:rPr>
              <w:t>3</w:t>
            </w:r>
            <w:r>
              <w:rPr>
                <w:noProof/>
                <w:webHidden/>
              </w:rPr>
              <w:fldChar w:fldCharType="end"/>
            </w:r>
          </w:hyperlink>
        </w:p>
        <w:p w14:paraId="192CE2EB" w14:textId="7433FAA4" w:rsidR="009B68E3" w:rsidRDefault="009B68E3">
          <w:pPr>
            <w:pStyle w:val="TOC1"/>
            <w:tabs>
              <w:tab w:val="right" w:leader="dot" w:pos="9019"/>
            </w:tabs>
            <w:rPr>
              <w:noProof/>
            </w:rPr>
          </w:pPr>
          <w:hyperlink w:anchor="_Toc231550609" w:history="1">
            <w:r w:rsidRPr="00755F8B">
              <w:rPr>
                <w:rStyle w:val="Hyperlink"/>
                <w:rFonts w:ascii="Arial" w:hAnsi="Arial"/>
                <w:noProof/>
              </w:rPr>
              <w:t>Scope 1 Direct GHG Emissions</w:t>
            </w:r>
            <w:r>
              <w:rPr>
                <w:noProof/>
                <w:webHidden/>
              </w:rPr>
              <w:tab/>
            </w:r>
            <w:r>
              <w:rPr>
                <w:noProof/>
                <w:webHidden/>
              </w:rPr>
              <w:fldChar w:fldCharType="begin"/>
            </w:r>
            <w:r>
              <w:rPr>
                <w:noProof/>
                <w:webHidden/>
              </w:rPr>
              <w:instrText xml:space="preserve"> PAGEREF _Toc231550609 \h </w:instrText>
            </w:r>
            <w:r>
              <w:rPr>
                <w:noProof/>
                <w:webHidden/>
              </w:rPr>
            </w:r>
            <w:r>
              <w:rPr>
                <w:noProof/>
                <w:webHidden/>
              </w:rPr>
              <w:fldChar w:fldCharType="separate"/>
            </w:r>
            <w:r>
              <w:rPr>
                <w:noProof/>
                <w:webHidden/>
              </w:rPr>
              <w:t>5</w:t>
            </w:r>
            <w:r>
              <w:rPr>
                <w:noProof/>
                <w:webHidden/>
              </w:rPr>
              <w:fldChar w:fldCharType="end"/>
            </w:r>
          </w:hyperlink>
        </w:p>
        <w:p w14:paraId="6A0A1B9F" w14:textId="2B443B2A" w:rsidR="009B68E3" w:rsidRDefault="009B68E3">
          <w:pPr>
            <w:pStyle w:val="TOC1"/>
            <w:tabs>
              <w:tab w:val="right" w:leader="dot" w:pos="9019"/>
            </w:tabs>
            <w:rPr>
              <w:noProof/>
            </w:rPr>
          </w:pPr>
          <w:hyperlink w:anchor="_Toc231550610" w:history="1">
            <w:r w:rsidRPr="00755F8B">
              <w:rPr>
                <w:rStyle w:val="Hyperlink"/>
                <w:rFonts w:ascii="Arial" w:hAnsi="Arial"/>
                <w:noProof/>
              </w:rPr>
              <w:t>E1-6: Scope 1 Direct GHG Emissions</w:t>
            </w:r>
            <w:r>
              <w:rPr>
                <w:noProof/>
                <w:webHidden/>
              </w:rPr>
              <w:tab/>
            </w:r>
            <w:r>
              <w:rPr>
                <w:noProof/>
                <w:webHidden/>
              </w:rPr>
              <w:fldChar w:fldCharType="begin"/>
            </w:r>
            <w:r>
              <w:rPr>
                <w:noProof/>
                <w:webHidden/>
              </w:rPr>
              <w:instrText xml:space="preserve"> PAGEREF _Toc231550610 \h </w:instrText>
            </w:r>
            <w:r>
              <w:rPr>
                <w:noProof/>
                <w:webHidden/>
              </w:rPr>
            </w:r>
            <w:r>
              <w:rPr>
                <w:noProof/>
                <w:webHidden/>
              </w:rPr>
              <w:fldChar w:fldCharType="separate"/>
            </w:r>
            <w:r>
              <w:rPr>
                <w:noProof/>
                <w:webHidden/>
              </w:rPr>
              <w:t>7</w:t>
            </w:r>
            <w:r>
              <w:rPr>
                <w:noProof/>
                <w:webHidden/>
              </w:rPr>
              <w:fldChar w:fldCharType="end"/>
            </w:r>
          </w:hyperlink>
        </w:p>
        <w:p w14:paraId="20D2A331" w14:textId="23BE8A9D" w:rsidR="009B68E3" w:rsidRDefault="009B68E3">
          <w:pPr>
            <w:pStyle w:val="TOC1"/>
            <w:tabs>
              <w:tab w:val="right" w:leader="dot" w:pos="9019"/>
            </w:tabs>
            <w:rPr>
              <w:noProof/>
            </w:rPr>
          </w:pPr>
          <w:hyperlink w:anchor="_Toc231550611" w:history="1">
            <w:r w:rsidRPr="00755F8B">
              <w:rPr>
                <w:rStyle w:val="Hyperlink"/>
                <w:rFonts w:ascii="Arial" w:hAnsi="Arial"/>
                <w:noProof/>
              </w:rPr>
              <w:t>Emisi GRK Langsung (Scope 1) / Scope 1 Direct GHG Emissions</w:t>
            </w:r>
            <w:r>
              <w:rPr>
                <w:noProof/>
                <w:webHidden/>
              </w:rPr>
              <w:tab/>
            </w:r>
            <w:r>
              <w:rPr>
                <w:noProof/>
                <w:webHidden/>
              </w:rPr>
              <w:fldChar w:fldCharType="begin"/>
            </w:r>
            <w:r>
              <w:rPr>
                <w:noProof/>
                <w:webHidden/>
              </w:rPr>
              <w:instrText xml:space="preserve"> PAGEREF _Toc231550611 \h </w:instrText>
            </w:r>
            <w:r>
              <w:rPr>
                <w:noProof/>
                <w:webHidden/>
              </w:rPr>
            </w:r>
            <w:r>
              <w:rPr>
                <w:noProof/>
                <w:webHidden/>
              </w:rPr>
              <w:fldChar w:fldCharType="separate"/>
            </w:r>
            <w:r>
              <w:rPr>
                <w:noProof/>
                <w:webHidden/>
              </w:rPr>
              <w:t>10</w:t>
            </w:r>
            <w:r>
              <w:rPr>
                <w:noProof/>
                <w:webHidden/>
              </w:rPr>
              <w:fldChar w:fldCharType="end"/>
            </w:r>
          </w:hyperlink>
        </w:p>
        <w:p w14:paraId="4BCB4F04" w14:textId="0B3695B2" w:rsidR="009B68E3" w:rsidRDefault="009B68E3">
          <w:pPr>
            <w:pStyle w:val="TOC1"/>
            <w:tabs>
              <w:tab w:val="right" w:leader="dot" w:pos="9019"/>
            </w:tabs>
            <w:rPr>
              <w:noProof/>
            </w:rPr>
          </w:pPr>
          <w:hyperlink w:anchor="_Toc231550612" w:history="1">
            <w:r w:rsidRPr="00755F8B">
              <w:rPr>
                <w:rStyle w:val="Hyperlink"/>
                <w:rFonts w:ascii="Arial" w:hAnsi="Arial"/>
                <w:noProof/>
              </w:rPr>
              <w:t>4.2 Energy Indirect (Scope 2) GHG Emissions</w:t>
            </w:r>
            <w:r>
              <w:rPr>
                <w:noProof/>
                <w:webHidden/>
              </w:rPr>
              <w:tab/>
            </w:r>
            <w:r>
              <w:rPr>
                <w:noProof/>
                <w:webHidden/>
              </w:rPr>
              <w:fldChar w:fldCharType="begin"/>
            </w:r>
            <w:r>
              <w:rPr>
                <w:noProof/>
                <w:webHidden/>
              </w:rPr>
              <w:instrText xml:space="preserve"> PAGEREF _Toc231550612 \h </w:instrText>
            </w:r>
            <w:r>
              <w:rPr>
                <w:noProof/>
                <w:webHidden/>
              </w:rPr>
            </w:r>
            <w:r>
              <w:rPr>
                <w:noProof/>
                <w:webHidden/>
              </w:rPr>
              <w:fldChar w:fldCharType="separate"/>
            </w:r>
            <w:r>
              <w:rPr>
                <w:noProof/>
                <w:webHidden/>
              </w:rPr>
              <w:t>13</w:t>
            </w:r>
            <w:r>
              <w:rPr>
                <w:noProof/>
                <w:webHidden/>
              </w:rPr>
              <w:fldChar w:fldCharType="end"/>
            </w:r>
          </w:hyperlink>
        </w:p>
        <w:p w14:paraId="51A3197B" w14:textId="15B5912B" w:rsidR="009B68E3" w:rsidRDefault="009B68E3">
          <w:pPr>
            <w:pStyle w:val="TOC1"/>
            <w:tabs>
              <w:tab w:val="right" w:leader="dot" w:pos="9019"/>
            </w:tabs>
            <w:rPr>
              <w:noProof/>
            </w:rPr>
          </w:pPr>
          <w:hyperlink w:anchor="_Toc231550613" w:history="1">
            <w:r w:rsidRPr="00755F8B">
              <w:rPr>
                <w:rStyle w:val="Hyperlink"/>
                <w:rFonts w:ascii="Arial" w:hAnsi="Arial"/>
                <w:noProof/>
              </w:rPr>
              <w:t>Financed Emissions (Scope 3 Category 15)</w:t>
            </w:r>
            <w:r>
              <w:rPr>
                <w:noProof/>
                <w:webHidden/>
              </w:rPr>
              <w:tab/>
            </w:r>
            <w:r>
              <w:rPr>
                <w:noProof/>
                <w:webHidden/>
              </w:rPr>
              <w:fldChar w:fldCharType="begin"/>
            </w:r>
            <w:r>
              <w:rPr>
                <w:noProof/>
                <w:webHidden/>
              </w:rPr>
              <w:instrText xml:space="preserve"> PAGEREF _Toc231550613 \h </w:instrText>
            </w:r>
            <w:r>
              <w:rPr>
                <w:noProof/>
                <w:webHidden/>
              </w:rPr>
            </w:r>
            <w:r>
              <w:rPr>
                <w:noProof/>
                <w:webHidden/>
              </w:rPr>
              <w:fldChar w:fldCharType="separate"/>
            </w:r>
            <w:r>
              <w:rPr>
                <w:noProof/>
                <w:webHidden/>
              </w:rPr>
              <w:t>15</w:t>
            </w:r>
            <w:r>
              <w:rPr>
                <w:noProof/>
                <w:webHidden/>
              </w:rPr>
              <w:fldChar w:fldCharType="end"/>
            </w:r>
          </w:hyperlink>
        </w:p>
        <w:p w14:paraId="79155308" w14:textId="0E33255D" w:rsidR="009B68E3" w:rsidRDefault="009B68E3">
          <w:pPr>
            <w:pStyle w:val="TOC1"/>
            <w:tabs>
              <w:tab w:val="right" w:leader="dot" w:pos="9019"/>
            </w:tabs>
            <w:rPr>
              <w:noProof/>
            </w:rPr>
          </w:pPr>
          <w:hyperlink w:anchor="_Toc231550614" w:history="1">
            <w:r w:rsidRPr="00755F8B">
              <w:rPr>
                <w:rStyle w:val="Hyperlink"/>
                <w:rFonts w:ascii="Arial" w:hAnsi="Arial"/>
                <w:noProof/>
              </w:rPr>
              <w:t>GRI 305-3: Other Indirect (Scope 3) GHG Emissions — Category 15 Financed Emissions</w:t>
            </w:r>
            <w:r>
              <w:rPr>
                <w:noProof/>
                <w:webHidden/>
              </w:rPr>
              <w:tab/>
            </w:r>
            <w:r>
              <w:rPr>
                <w:noProof/>
                <w:webHidden/>
              </w:rPr>
              <w:fldChar w:fldCharType="begin"/>
            </w:r>
            <w:r>
              <w:rPr>
                <w:noProof/>
                <w:webHidden/>
              </w:rPr>
              <w:instrText xml:space="preserve"> PAGEREF _Toc231550614 \h </w:instrText>
            </w:r>
            <w:r>
              <w:rPr>
                <w:noProof/>
                <w:webHidden/>
              </w:rPr>
            </w:r>
            <w:r>
              <w:rPr>
                <w:noProof/>
                <w:webHidden/>
              </w:rPr>
              <w:fldChar w:fldCharType="separate"/>
            </w:r>
            <w:r>
              <w:rPr>
                <w:noProof/>
                <w:webHidden/>
              </w:rPr>
              <w:t>18</w:t>
            </w:r>
            <w:r>
              <w:rPr>
                <w:noProof/>
                <w:webHidden/>
              </w:rPr>
              <w:fldChar w:fldCharType="end"/>
            </w:r>
          </w:hyperlink>
        </w:p>
        <w:p w14:paraId="421F4175" w14:textId="6A442D76" w:rsidR="009B68E3" w:rsidRDefault="009B68E3">
          <w:pPr>
            <w:pStyle w:val="TOC1"/>
            <w:tabs>
              <w:tab w:val="right" w:leader="dot" w:pos="9019"/>
            </w:tabs>
            <w:rPr>
              <w:noProof/>
            </w:rPr>
          </w:pPr>
          <w:hyperlink w:anchor="_Toc231550615" w:history="1">
            <w:r w:rsidRPr="00755F8B">
              <w:rPr>
                <w:rStyle w:val="Hyperlink"/>
                <w:rFonts w:ascii="Arial" w:hAnsi="Arial"/>
                <w:noProof/>
              </w:rPr>
              <w:t>Emisi Pembiayaan (Financed Emissions) — Scope 3 Kategori 15</w:t>
            </w:r>
            <w:r>
              <w:rPr>
                <w:noProof/>
                <w:webHidden/>
              </w:rPr>
              <w:tab/>
            </w:r>
            <w:r>
              <w:rPr>
                <w:noProof/>
                <w:webHidden/>
              </w:rPr>
              <w:fldChar w:fldCharType="begin"/>
            </w:r>
            <w:r>
              <w:rPr>
                <w:noProof/>
                <w:webHidden/>
              </w:rPr>
              <w:instrText xml:space="preserve"> PAGEREF _Toc231550615 \h </w:instrText>
            </w:r>
            <w:r>
              <w:rPr>
                <w:noProof/>
                <w:webHidden/>
              </w:rPr>
            </w:r>
            <w:r>
              <w:rPr>
                <w:noProof/>
                <w:webHidden/>
              </w:rPr>
              <w:fldChar w:fldCharType="separate"/>
            </w:r>
            <w:r>
              <w:rPr>
                <w:noProof/>
                <w:webHidden/>
              </w:rPr>
              <w:t>21</w:t>
            </w:r>
            <w:r>
              <w:rPr>
                <w:noProof/>
                <w:webHidden/>
              </w:rPr>
              <w:fldChar w:fldCharType="end"/>
            </w:r>
          </w:hyperlink>
        </w:p>
        <w:p w14:paraId="441F008B" w14:textId="561B63D2" w:rsidR="009B68E3" w:rsidRDefault="009B68E3">
          <w:pPr>
            <w:pStyle w:val="TOC1"/>
            <w:tabs>
              <w:tab w:val="right" w:leader="dot" w:pos="9019"/>
            </w:tabs>
            <w:rPr>
              <w:noProof/>
            </w:rPr>
          </w:pPr>
          <w:hyperlink w:anchor="_Toc231550616" w:history="1">
            <w:r w:rsidRPr="00755F8B">
              <w:rPr>
                <w:rStyle w:val="Hyperlink"/>
                <w:rFonts w:ascii="Arial" w:hAnsi="Arial"/>
                <w:noProof/>
              </w:rPr>
              <w:t>Executive Summary: Total GHG Emissions</w:t>
            </w:r>
            <w:r>
              <w:rPr>
                <w:noProof/>
                <w:webHidden/>
              </w:rPr>
              <w:tab/>
            </w:r>
            <w:r>
              <w:rPr>
                <w:noProof/>
                <w:webHidden/>
              </w:rPr>
              <w:fldChar w:fldCharType="begin"/>
            </w:r>
            <w:r>
              <w:rPr>
                <w:noProof/>
                <w:webHidden/>
              </w:rPr>
              <w:instrText xml:space="preserve"> PAGEREF _Toc231550616 \h </w:instrText>
            </w:r>
            <w:r>
              <w:rPr>
                <w:noProof/>
                <w:webHidden/>
              </w:rPr>
            </w:r>
            <w:r>
              <w:rPr>
                <w:noProof/>
                <w:webHidden/>
              </w:rPr>
              <w:fldChar w:fldCharType="separate"/>
            </w:r>
            <w:r>
              <w:rPr>
                <w:noProof/>
                <w:webHidden/>
              </w:rPr>
              <w:t>24</w:t>
            </w:r>
            <w:r>
              <w:rPr>
                <w:noProof/>
                <w:webHidden/>
              </w:rPr>
              <w:fldChar w:fldCharType="end"/>
            </w:r>
          </w:hyperlink>
        </w:p>
        <w:p w14:paraId="7464A292" w14:textId="3FF7BCC3" w:rsidR="009B68E3" w:rsidRDefault="009B68E3">
          <w:pPr>
            <w:pStyle w:val="TOC1"/>
            <w:tabs>
              <w:tab w:val="right" w:leader="dot" w:pos="9019"/>
            </w:tabs>
            <w:rPr>
              <w:noProof/>
            </w:rPr>
          </w:pPr>
          <w:hyperlink w:anchor="_Toc231550617" w:history="1">
            <w:r w:rsidRPr="00755F8B">
              <w:rPr>
                <w:rStyle w:val="Hyperlink"/>
                <w:rFonts w:ascii="Arial" w:hAnsi="Arial"/>
                <w:noProof/>
              </w:rPr>
              <w:t>Appendix A: Methodology Notes</w:t>
            </w:r>
            <w:r>
              <w:rPr>
                <w:noProof/>
                <w:webHidden/>
              </w:rPr>
              <w:tab/>
            </w:r>
            <w:r>
              <w:rPr>
                <w:noProof/>
                <w:webHidden/>
              </w:rPr>
              <w:fldChar w:fldCharType="begin"/>
            </w:r>
            <w:r>
              <w:rPr>
                <w:noProof/>
                <w:webHidden/>
              </w:rPr>
              <w:instrText xml:space="preserve"> PAGEREF _Toc231550617 \h </w:instrText>
            </w:r>
            <w:r>
              <w:rPr>
                <w:noProof/>
                <w:webHidden/>
              </w:rPr>
            </w:r>
            <w:r>
              <w:rPr>
                <w:noProof/>
                <w:webHidden/>
              </w:rPr>
              <w:fldChar w:fldCharType="separate"/>
            </w:r>
            <w:r>
              <w:rPr>
                <w:noProof/>
                <w:webHidden/>
              </w:rPr>
              <w:t>26</w:t>
            </w:r>
            <w:r>
              <w:rPr>
                <w:noProof/>
                <w:webHidden/>
              </w:rPr>
              <w:fldChar w:fldCharType="end"/>
            </w:r>
          </w:hyperlink>
        </w:p>
        <w:p w14:paraId="53BD9F38" w14:textId="1C0B03A5" w:rsidR="009B68E3" w:rsidRDefault="009B68E3">
          <w:pPr>
            <w:pStyle w:val="TOC1"/>
            <w:tabs>
              <w:tab w:val="right" w:leader="dot" w:pos="9019"/>
            </w:tabs>
            <w:rPr>
              <w:noProof/>
            </w:rPr>
          </w:pPr>
          <w:hyperlink w:anchor="_Toc231550618" w:history="1">
            <w:r w:rsidRPr="00755F8B">
              <w:rPr>
                <w:rStyle w:val="Hyperlink"/>
                <w:rFonts w:ascii="Arial" w:hAnsi="Arial"/>
                <w:noProof/>
              </w:rPr>
              <w:t>Appendix B: Data Quality Summary</w:t>
            </w:r>
            <w:r>
              <w:rPr>
                <w:noProof/>
                <w:webHidden/>
              </w:rPr>
              <w:tab/>
            </w:r>
            <w:r>
              <w:rPr>
                <w:noProof/>
                <w:webHidden/>
              </w:rPr>
              <w:fldChar w:fldCharType="begin"/>
            </w:r>
            <w:r>
              <w:rPr>
                <w:noProof/>
                <w:webHidden/>
              </w:rPr>
              <w:instrText xml:space="preserve"> PAGEREF _Toc231550618 \h </w:instrText>
            </w:r>
            <w:r>
              <w:rPr>
                <w:noProof/>
                <w:webHidden/>
              </w:rPr>
            </w:r>
            <w:r>
              <w:rPr>
                <w:noProof/>
                <w:webHidden/>
              </w:rPr>
              <w:fldChar w:fldCharType="separate"/>
            </w:r>
            <w:r>
              <w:rPr>
                <w:noProof/>
                <w:webHidden/>
              </w:rPr>
              <w:t>26</w:t>
            </w:r>
            <w:r>
              <w:rPr>
                <w:noProof/>
                <w:webHidden/>
              </w:rPr>
              <w:fldChar w:fldCharType="end"/>
            </w:r>
          </w:hyperlink>
        </w:p>
        <w:p w14:paraId="2C91FBA4" w14:textId="6897905A" w:rsidR="009B68E3" w:rsidRDefault="009B68E3">
          <w:pPr>
            <w:pStyle w:val="TOC1"/>
            <w:tabs>
              <w:tab w:val="right" w:leader="dot" w:pos="9019"/>
            </w:tabs>
            <w:rPr>
              <w:noProof/>
            </w:rPr>
          </w:pPr>
          <w:hyperlink w:anchor="_Toc231550619" w:history="1">
            <w:r w:rsidRPr="00755F8B">
              <w:rPr>
                <w:rStyle w:val="Hyperlink"/>
                <w:rFonts w:ascii="Arial" w:hAnsi="Arial"/>
                <w:noProof/>
              </w:rPr>
              <w:t>Appendix C: GRI Content Index</w:t>
            </w:r>
            <w:r>
              <w:rPr>
                <w:noProof/>
                <w:webHidden/>
              </w:rPr>
              <w:tab/>
            </w:r>
            <w:r>
              <w:rPr>
                <w:noProof/>
                <w:webHidden/>
              </w:rPr>
              <w:fldChar w:fldCharType="begin"/>
            </w:r>
            <w:r>
              <w:rPr>
                <w:noProof/>
                <w:webHidden/>
              </w:rPr>
              <w:instrText xml:space="preserve"> PAGEREF _Toc231550619 \h </w:instrText>
            </w:r>
            <w:r>
              <w:rPr>
                <w:noProof/>
                <w:webHidden/>
              </w:rPr>
            </w:r>
            <w:r>
              <w:rPr>
                <w:noProof/>
                <w:webHidden/>
              </w:rPr>
              <w:fldChar w:fldCharType="separate"/>
            </w:r>
            <w:r>
              <w:rPr>
                <w:noProof/>
                <w:webHidden/>
              </w:rPr>
              <w:t>26</w:t>
            </w:r>
            <w:r>
              <w:rPr>
                <w:noProof/>
                <w:webHidden/>
              </w:rPr>
              <w:fldChar w:fldCharType="end"/>
            </w:r>
          </w:hyperlink>
        </w:p>
        <w:p w14:paraId="2FC0D2EE" w14:textId="1989B96B" w:rsidR="009B68E3" w:rsidRDefault="009B68E3">
          <w:r>
            <w:rPr>
              <w:b/>
              <w:bCs/>
              <w:noProof/>
            </w:rPr>
            <w:fldChar w:fldCharType="end"/>
          </w:r>
        </w:p>
      </w:sdtContent>
    </w:sdt>
    <w:p w14:paraId="3796077A" w14:textId="77777777" w:rsidR="008C752B" w:rsidRDefault="00CE4761">
      <w:r>
        <w:br w:type="page"/>
      </w:r>
    </w:p>
    <w:p w14:paraId="11A9AFEF" w14:textId="77777777" w:rsidR="008C752B" w:rsidRDefault="00CE4761">
      <w:pPr>
        <w:pStyle w:val="Heading1"/>
        <w:spacing w:after="240"/>
      </w:pPr>
      <w:bookmarkStart w:id="3" w:name="_Toc231550608"/>
      <w:r>
        <w:rPr>
          <w:rFonts w:ascii="Arial" w:hAnsi="Arial"/>
          <w:color w:val="1B3A6B"/>
          <w:sz w:val="36"/>
        </w:rPr>
        <w:lastRenderedPageBreak/>
        <w:t>GRI 305-1: Direct (Scope 1) GHG Emissions</w:t>
      </w:r>
      <w:bookmarkEnd w:id="3"/>
    </w:p>
    <w:p w14:paraId="35CF2AC8" w14:textId="77777777" w:rsidR="008C752B" w:rsidRDefault="00CE4761">
      <w:pPr>
        <w:spacing w:after="160"/>
        <w:jc w:val="both"/>
      </w:pPr>
      <w:r>
        <w:rPr>
          <w:rFonts w:ascii="Arial" w:hAnsi="Arial"/>
        </w:rPr>
        <w:t>The organization reported gross direct (Scope 1) GHG emissions of 3402.997 metric tons of CO₂ equivalent (tCO₂e) for the reporting period ending December 31, 2024. These emissions arose from stationary combustion sources under the organization's operational control and represent direct releases of greenhouse gases from fuel consumption at owned and operated facilities.</w:t>
      </w:r>
    </w:p>
    <w:p w14:paraId="67A91505" w14:textId="77777777" w:rsidR="008C752B" w:rsidRDefault="00CE4761">
      <w:pPr>
        <w:spacing w:after="160"/>
        <w:jc w:val="both"/>
      </w:pPr>
      <w:r>
        <w:rPr>
          <w:rFonts w:ascii="Arial" w:hAnsi="Arial"/>
        </w:rPr>
        <w:t>The Scope 1 emissions comprised two primary fuel sources: natural gas combustion contributed 1199.7924 tCO₂e, representing 35.3% of total direct emissions, while diesel combustion accounted for 2203.2044 tCO₂e, representing 64.7% of total direct emissions. The reconciliation of these source categories equals the reported total of 3402.997 tCO₂e.</w:t>
      </w:r>
    </w:p>
    <w:p w14:paraId="5C983CE7" w14:textId="77777777" w:rsidR="008C752B" w:rsidRDefault="00CE4761">
      <w:pPr>
        <w:spacing w:after="160"/>
        <w:jc w:val="both"/>
      </w:pPr>
      <w:r>
        <w:rPr>
          <w:rFonts w:ascii="Arial" w:hAnsi="Arial"/>
          <w:i/>
        </w:rPr>
        <w:t>The organization calculated Scope 1 emissions in accordance with the GHG Protocol Corporate Accounting and Reporting Standard (2015 revision). Emission factors were sourced from Indonesia's Ministry of Energy and Mineral Resources (MEMR) 2023 National Emission Factors for stationary combustion. The calculation included three greenhouse gases: carbon dioxide (CO₂), methane (CH₄), and nitrous oxide (N₂O). Global warming potential (GWP) values were applied per the Intergovernmental Panel on Climate Change (IPC</w:t>
      </w:r>
      <w:r>
        <w:rPr>
          <w:rFonts w:ascii="Arial" w:hAnsi="Arial"/>
          <w:i/>
        </w:rPr>
        <w:t>C) Sixth Assessment Report (AR6) 100-year time horizon: CH₄ = 29.8 kg CO₂e/kg CH₄; N₂O = 273.0 kg CO₂e/kg N₂O. The consolidation approach applied was operational control, whereby the organization accounts for 100% of emissions from operations over which it has operational control, regardless of equity share.</w:t>
      </w:r>
    </w:p>
    <w:p w14:paraId="57654CD2" w14:textId="77777777" w:rsidR="008C752B" w:rsidRDefault="00CE4761">
      <w:pPr>
        <w:spacing w:after="160"/>
        <w:jc w:val="both"/>
      </w:pPr>
      <w:r>
        <w:rPr>
          <w:rFonts w:ascii="Arial" w:hAnsi="Arial"/>
        </w:rPr>
        <w:t>Compared to the prior reporting period (2023), Scope 1 emissions increased by 2.36% in absolute terms, rising from 3324.521 tCO₂e in 2023 to 3402.997 tCO₂e in 2024. This increase of 78.476 tCO₂e was primarily attributable to a 3.66% increase in diesel consumption (from 2125.4888 tCO₂e to 2203.2044 tCO₂e), partially offset by stable natural gas consumption (0.06% increase from 1199.0321 tCO₂e to 1199.7924 tCO₂e). The diesel consumption increase reflected expanded operational activity at branch facilities dur</w:t>
      </w:r>
      <w:r>
        <w:rPr>
          <w:rFonts w:ascii="Arial" w:hAnsi="Arial"/>
        </w:rPr>
        <w:t>ing the reporting period.</w:t>
      </w:r>
    </w:p>
    <w:p w14:paraId="64410B80" w14:textId="77777777" w:rsidR="008C752B" w:rsidRDefault="00CE4761">
      <w:pPr>
        <w:spacing w:after="160"/>
        <w:jc w:val="both"/>
      </w:pPr>
      <w:r>
        <w:rPr>
          <w:rFonts w:ascii="Arial" w:hAnsi="Arial"/>
        </w:rPr>
        <w:t>The organization established 2023 as the base year for GHG emissions reporting. The base year was selected as it represents the first year of comprehensive emissions data collection across all operational facilities following the implementation of the organization's enterprise-wide environmental management system. Base year Scope 1 emissions totaled 3324.521 tCO₂e. The 2024 emissions of 3402.997 tCO₂e represent a 2.36% increase from the base year. No recalculations of base year emissions were required durin</w:t>
      </w:r>
      <w:r>
        <w:rPr>
          <w:rFonts w:ascii="Arial" w:hAnsi="Arial"/>
        </w:rPr>
        <w:t>g the reporting period, as there were no structural changes (mergers, acquisitions, divestments) or methodology changes that met the organization's significance threshold of ±5% impact on base year emissions.</w:t>
      </w:r>
    </w:p>
    <w:p w14:paraId="2E6306F7" w14:textId="77777777" w:rsidR="008C752B" w:rsidRDefault="00CE4761">
      <w:pPr>
        <w:spacing w:after="160"/>
        <w:jc w:val="both"/>
      </w:pPr>
      <w:r>
        <w:rPr>
          <w:rFonts w:ascii="Arial" w:hAnsi="Arial"/>
        </w:rPr>
        <w:t>The organization did not report biogenic CO₂ emissions for the 2024 reporting period, as no biomass or biofuel combustion occurred at facilities under operational control. All reported emissions derive from fossil fuel combustion sources.</w:t>
      </w:r>
    </w:p>
    <w:p w14:paraId="280F06ED" w14:textId="77777777" w:rsidR="008C752B" w:rsidRDefault="00CE4761">
      <w:r>
        <w:rPr>
          <w:rFonts w:ascii="Arial" w:hAnsi="Arial"/>
          <w:b/>
          <w:sz w:val="20"/>
        </w:rPr>
        <w:t>Table 1: Scope 1 GHG Emissions by Source Category (2024)</w:t>
      </w:r>
    </w:p>
    <w:tbl>
      <w:tblPr>
        <w:tblW w:w="0" w:type="auto"/>
        <w:jc w:val="center"/>
        <w:tblLook w:val="04A0" w:firstRow="1" w:lastRow="0" w:firstColumn="1" w:lastColumn="0" w:noHBand="0" w:noVBand="1"/>
      </w:tblPr>
      <w:tblGrid>
        <w:gridCol w:w="1505"/>
        <w:gridCol w:w="1505"/>
        <w:gridCol w:w="1505"/>
        <w:gridCol w:w="1505"/>
        <w:gridCol w:w="1505"/>
        <w:gridCol w:w="1505"/>
      </w:tblGrid>
      <w:tr w:rsidR="008C752B" w14:paraId="3338B70B" w14:textId="77777777">
        <w:trPr>
          <w:jc w:val="center"/>
        </w:trPr>
        <w:tc>
          <w:tcPr>
            <w:tcW w:w="1505" w:type="dxa"/>
            <w:shd w:val="clear" w:color="auto" w:fill="1B3A6B"/>
          </w:tcPr>
          <w:p w14:paraId="638979BA" w14:textId="77777777" w:rsidR="008C752B" w:rsidRDefault="00CE4761">
            <w:r>
              <w:rPr>
                <w:rFonts w:ascii="Arial" w:hAnsi="Arial"/>
                <w:b/>
                <w:color w:val="FFFFFF"/>
                <w:sz w:val="18"/>
              </w:rPr>
              <w:t>Emission Source</w:t>
            </w:r>
          </w:p>
        </w:tc>
        <w:tc>
          <w:tcPr>
            <w:tcW w:w="1505" w:type="dxa"/>
            <w:shd w:val="clear" w:color="auto" w:fill="1B3A6B"/>
          </w:tcPr>
          <w:p w14:paraId="2C0FC749" w14:textId="77777777" w:rsidR="008C752B" w:rsidRDefault="00CE4761">
            <w:r>
              <w:rPr>
                <w:rFonts w:ascii="Arial" w:hAnsi="Arial"/>
                <w:b/>
                <w:color w:val="FFFFFF"/>
                <w:sz w:val="18"/>
              </w:rPr>
              <w:t>Fuel Type</w:t>
            </w:r>
          </w:p>
        </w:tc>
        <w:tc>
          <w:tcPr>
            <w:tcW w:w="1505" w:type="dxa"/>
            <w:shd w:val="clear" w:color="auto" w:fill="1B3A6B"/>
          </w:tcPr>
          <w:p w14:paraId="745D18E1" w14:textId="77777777" w:rsidR="008C752B" w:rsidRDefault="00CE4761">
            <w:r>
              <w:rPr>
                <w:rFonts w:ascii="Arial" w:hAnsi="Arial"/>
                <w:b/>
                <w:color w:val="FFFFFF"/>
                <w:sz w:val="18"/>
              </w:rPr>
              <w:t>Emissions (tCO₂e)</w:t>
            </w:r>
          </w:p>
        </w:tc>
        <w:tc>
          <w:tcPr>
            <w:tcW w:w="1505" w:type="dxa"/>
            <w:shd w:val="clear" w:color="auto" w:fill="1B3A6B"/>
          </w:tcPr>
          <w:p w14:paraId="32905604" w14:textId="77777777" w:rsidR="008C752B" w:rsidRDefault="00CE4761">
            <w:r>
              <w:rPr>
                <w:rFonts w:ascii="Arial" w:hAnsi="Arial"/>
                <w:b/>
                <w:color w:val="FFFFFF"/>
                <w:sz w:val="18"/>
              </w:rPr>
              <w:t>Percentage of Total Scope 1</w:t>
            </w:r>
          </w:p>
        </w:tc>
        <w:tc>
          <w:tcPr>
            <w:tcW w:w="1505" w:type="dxa"/>
            <w:shd w:val="clear" w:color="auto" w:fill="1B3A6B"/>
          </w:tcPr>
          <w:p w14:paraId="6640AF0B" w14:textId="77777777" w:rsidR="008C752B" w:rsidRDefault="00CE4761">
            <w:r>
              <w:rPr>
                <w:rFonts w:ascii="Arial" w:hAnsi="Arial"/>
                <w:b/>
                <w:color w:val="FFFFFF"/>
                <w:sz w:val="18"/>
              </w:rPr>
              <w:t>Prior Year (tCO₂e)</w:t>
            </w:r>
          </w:p>
        </w:tc>
        <w:tc>
          <w:tcPr>
            <w:tcW w:w="1505" w:type="dxa"/>
            <w:shd w:val="clear" w:color="auto" w:fill="1B3A6B"/>
          </w:tcPr>
          <w:p w14:paraId="5A881FCC" w14:textId="77777777" w:rsidR="008C752B" w:rsidRDefault="00CE4761">
            <w:r>
              <w:rPr>
                <w:rFonts w:ascii="Arial" w:hAnsi="Arial"/>
                <w:b/>
                <w:color w:val="FFFFFF"/>
                <w:sz w:val="18"/>
              </w:rPr>
              <w:t>Year-over-Year Change (%)</w:t>
            </w:r>
          </w:p>
        </w:tc>
      </w:tr>
      <w:tr w:rsidR="008C752B" w14:paraId="1AB0780A" w14:textId="77777777">
        <w:trPr>
          <w:jc w:val="center"/>
        </w:trPr>
        <w:tc>
          <w:tcPr>
            <w:tcW w:w="1505" w:type="dxa"/>
          </w:tcPr>
          <w:p w14:paraId="21D2E3FC" w14:textId="77777777" w:rsidR="008C752B" w:rsidRDefault="00CE4761">
            <w:r>
              <w:rPr>
                <w:rFonts w:ascii="Arial" w:hAnsi="Arial"/>
                <w:sz w:val="18"/>
              </w:rPr>
              <w:lastRenderedPageBreak/>
              <w:t>Stationary Combustion</w:t>
            </w:r>
          </w:p>
        </w:tc>
        <w:tc>
          <w:tcPr>
            <w:tcW w:w="1505" w:type="dxa"/>
          </w:tcPr>
          <w:p w14:paraId="3280FCDC" w14:textId="77777777" w:rsidR="008C752B" w:rsidRDefault="00CE4761">
            <w:r>
              <w:rPr>
                <w:rFonts w:ascii="Arial" w:hAnsi="Arial"/>
                <w:sz w:val="18"/>
              </w:rPr>
              <w:t>Natural Gas</w:t>
            </w:r>
          </w:p>
        </w:tc>
        <w:tc>
          <w:tcPr>
            <w:tcW w:w="1505" w:type="dxa"/>
          </w:tcPr>
          <w:p w14:paraId="1971543F" w14:textId="77777777" w:rsidR="008C752B" w:rsidRDefault="00CE4761">
            <w:pPr>
              <w:jc w:val="right"/>
            </w:pPr>
            <w:r>
              <w:rPr>
                <w:rFonts w:ascii="Arial" w:hAnsi="Arial"/>
                <w:sz w:val="18"/>
              </w:rPr>
              <w:t>1199.7924</w:t>
            </w:r>
          </w:p>
        </w:tc>
        <w:tc>
          <w:tcPr>
            <w:tcW w:w="1505" w:type="dxa"/>
          </w:tcPr>
          <w:p w14:paraId="2BB9C3F0" w14:textId="77777777" w:rsidR="008C752B" w:rsidRDefault="00CE4761">
            <w:pPr>
              <w:jc w:val="right"/>
            </w:pPr>
            <w:r>
              <w:rPr>
                <w:rFonts w:ascii="Arial" w:hAnsi="Arial"/>
                <w:sz w:val="18"/>
              </w:rPr>
              <w:t>35.3%</w:t>
            </w:r>
          </w:p>
        </w:tc>
        <w:tc>
          <w:tcPr>
            <w:tcW w:w="1505" w:type="dxa"/>
          </w:tcPr>
          <w:p w14:paraId="109E99DE" w14:textId="77777777" w:rsidR="008C752B" w:rsidRDefault="00CE4761">
            <w:pPr>
              <w:jc w:val="right"/>
            </w:pPr>
            <w:r>
              <w:rPr>
                <w:rFonts w:ascii="Arial" w:hAnsi="Arial"/>
                <w:sz w:val="18"/>
              </w:rPr>
              <w:t>1199.0321</w:t>
            </w:r>
          </w:p>
        </w:tc>
        <w:tc>
          <w:tcPr>
            <w:tcW w:w="1505" w:type="dxa"/>
          </w:tcPr>
          <w:p w14:paraId="2F819EA9" w14:textId="77777777" w:rsidR="008C752B" w:rsidRDefault="00CE4761">
            <w:pPr>
              <w:jc w:val="right"/>
            </w:pPr>
            <w:r>
              <w:rPr>
                <w:rFonts w:ascii="Arial" w:hAnsi="Arial"/>
                <w:sz w:val="18"/>
              </w:rPr>
              <w:t>+0.06%</w:t>
            </w:r>
          </w:p>
        </w:tc>
      </w:tr>
      <w:tr w:rsidR="008C752B" w14:paraId="5FE340FA" w14:textId="77777777">
        <w:trPr>
          <w:jc w:val="center"/>
        </w:trPr>
        <w:tc>
          <w:tcPr>
            <w:tcW w:w="1505" w:type="dxa"/>
            <w:shd w:val="clear" w:color="auto" w:fill="F2F6FC"/>
          </w:tcPr>
          <w:p w14:paraId="7EF9C569" w14:textId="77777777" w:rsidR="008C752B" w:rsidRDefault="00CE4761">
            <w:r>
              <w:rPr>
                <w:rFonts w:ascii="Arial" w:hAnsi="Arial"/>
                <w:sz w:val="18"/>
              </w:rPr>
              <w:t>Stationary Combustion</w:t>
            </w:r>
          </w:p>
        </w:tc>
        <w:tc>
          <w:tcPr>
            <w:tcW w:w="1505" w:type="dxa"/>
            <w:shd w:val="clear" w:color="auto" w:fill="F2F6FC"/>
          </w:tcPr>
          <w:p w14:paraId="4F174CAC" w14:textId="77777777" w:rsidR="008C752B" w:rsidRDefault="00CE4761">
            <w:r>
              <w:rPr>
                <w:rFonts w:ascii="Arial" w:hAnsi="Arial"/>
                <w:sz w:val="18"/>
              </w:rPr>
              <w:t>Diesel</w:t>
            </w:r>
          </w:p>
        </w:tc>
        <w:tc>
          <w:tcPr>
            <w:tcW w:w="1505" w:type="dxa"/>
            <w:shd w:val="clear" w:color="auto" w:fill="F2F6FC"/>
          </w:tcPr>
          <w:p w14:paraId="4BE54251" w14:textId="77777777" w:rsidR="008C752B" w:rsidRDefault="00CE4761">
            <w:pPr>
              <w:jc w:val="right"/>
            </w:pPr>
            <w:r>
              <w:rPr>
                <w:rFonts w:ascii="Arial" w:hAnsi="Arial"/>
                <w:sz w:val="18"/>
              </w:rPr>
              <w:t>2203.2044</w:t>
            </w:r>
          </w:p>
        </w:tc>
        <w:tc>
          <w:tcPr>
            <w:tcW w:w="1505" w:type="dxa"/>
            <w:shd w:val="clear" w:color="auto" w:fill="F2F6FC"/>
          </w:tcPr>
          <w:p w14:paraId="352E037B" w14:textId="77777777" w:rsidR="008C752B" w:rsidRDefault="00CE4761">
            <w:pPr>
              <w:jc w:val="right"/>
            </w:pPr>
            <w:r>
              <w:rPr>
                <w:rFonts w:ascii="Arial" w:hAnsi="Arial"/>
                <w:sz w:val="18"/>
              </w:rPr>
              <w:t>64.7%</w:t>
            </w:r>
          </w:p>
        </w:tc>
        <w:tc>
          <w:tcPr>
            <w:tcW w:w="1505" w:type="dxa"/>
            <w:shd w:val="clear" w:color="auto" w:fill="F2F6FC"/>
          </w:tcPr>
          <w:p w14:paraId="4148484C" w14:textId="77777777" w:rsidR="008C752B" w:rsidRDefault="00CE4761">
            <w:pPr>
              <w:jc w:val="right"/>
            </w:pPr>
            <w:r>
              <w:rPr>
                <w:rFonts w:ascii="Arial" w:hAnsi="Arial"/>
                <w:sz w:val="18"/>
              </w:rPr>
              <w:t>2125.4888</w:t>
            </w:r>
          </w:p>
        </w:tc>
        <w:tc>
          <w:tcPr>
            <w:tcW w:w="1505" w:type="dxa"/>
            <w:shd w:val="clear" w:color="auto" w:fill="F2F6FC"/>
          </w:tcPr>
          <w:p w14:paraId="0D0A5172" w14:textId="77777777" w:rsidR="008C752B" w:rsidRDefault="00CE4761">
            <w:pPr>
              <w:jc w:val="right"/>
            </w:pPr>
            <w:r>
              <w:rPr>
                <w:rFonts w:ascii="Arial" w:hAnsi="Arial"/>
                <w:sz w:val="18"/>
              </w:rPr>
              <w:t>+3.66%</w:t>
            </w:r>
          </w:p>
        </w:tc>
      </w:tr>
      <w:tr w:rsidR="008C752B" w14:paraId="3044EDBB" w14:textId="77777777">
        <w:trPr>
          <w:jc w:val="center"/>
        </w:trPr>
        <w:tc>
          <w:tcPr>
            <w:tcW w:w="1505" w:type="dxa"/>
          </w:tcPr>
          <w:p w14:paraId="2C40AA5C" w14:textId="77777777" w:rsidR="008C752B" w:rsidRDefault="00CE4761">
            <w:r>
              <w:rPr>
                <w:rFonts w:ascii="Arial" w:hAnsi="Arial"/>
                <w:sz w:val="18"/>
              </w:rPr>
              <w:t>**Total Scope 1**</w:t>
            </w:r>
          </w:p>
        </w:tc>
        <w:tc>
          <w:tcPr>
            <w:tcW w:w="1505" w:type="dxa"/>
          </w:tcPr>
          <w:p w14:paraId="47D468B5" w14:textId="77777777" w:rsidR="008C752B" w:rsidRDefault="00CE4761">
            <w:r>
              <w:rPr>
                <w:rFonts w:ascii="Arial" w:hAnsi="Arial"/>
                <w:sz w:val="18"/>
              </w:rPr>
              <w:t>**All Sources**</w:t>
            </w:r>
          </w:p>
        </w:tc>
        <w:tc>
          <w:tcPr>
            <w:tcW w:w="1505" w:type="dxa"/>
          </w:tcPr>
          <w:p w14:paraId="3AC1C710" w14:textId="77777777" w:rsidR="008C752B" w:rsidRDefault="00CE4761">
            <w:r>
              <w:rPr>
                <w:rFonts w:ascii="Arial" w:hAnsi="Arial"/>
                <w:sz w:val="18"/>
              </w:rPr>
              <w:t>**3402.997**</w:t>
            </w:r>
          </w:p>
        </w:tc>
        <w:tc>
          <w:tcPr>
            <w:tcW w:w="1505" w:type="dxa"/>
          </w:tcPr>
          <w:p w14:paraId="36FE8C73" w14:textId="77777777" w:rsidR="008C752B" w:rsidRDefault="00CE4761">
            <w:r>
              <w:rPr>
                <w:rFonts w:ascii="Arial" w:hAnsi="Arial"/>
                <w:sz w:val="18"/>
              </w:rPr>
              <w:t>**100.0%**</w:t>
            </w:r>
          </w:p>
        </w:tc>
        <w:tc>
          <w:tcPr>
            <w:tcW w:w="1505" w:type="dxa"/>
          </w:tcPr>
          <w:p w14:paraId="5E5EF73C" w14:textId="77777777" w:rsidR="008C752B" w:rsidRDefault="00CE4761">
            <w:r>
              <w:rPr>
                <w:rFonts w:ascii="Arial" w:hAnsi="Arial"/>
                <w:sz w:val="18"/>
              </w:rPr>
              <w:t>**3324.521**</w:t>
            </w:r>
          </w:p>
        </w:tc>
        <w:tc>
          <w:tcPr>
            <w:tcW w:w="1505" w:type="dxa"/>
          </w:tcPr>
          <w:p w14:paraId="7C3FA25E" w14:textId="77777777" w:rsidR="008C752B" w:rsidRDefault="00CE4761">
            <w:r>
              <w:rPr>
                <w:rFonts w:ascii="Arial" w:hAnsi="Arial"/>
                <w:sz w:val="18"/>
              </w:rPr>
              <w:t>**+2.36%**</w:t>
            </w:r>
          </w:p>
        </w:tc>
      </w:tr>
    </w:tbl>
    <w:p w14:paraId="5F60E2E4" w14:textId="77777777" w:rsidR="008C752B" w:rsidRDefault="00CE4761">
      <w:r>
        <w:rPr>
          <w:rFonts w:ascii="Arial" w:hAnsi="Arial"/>
          <w:i/>
          <w:sz w:val="16"/>
        </w:rPr>
        <w:t>Source: Source: Internal GHG inventory system. Emission factors: Indonesia MEMR 2023. GWP values: IPCC AR6. Consolidation approach: Operational control.</w:t>
      </w:r>
    </w:p>
    <w:p w14:paraId="22ED3B5E" w14:textId="77777777" w:rsidR="008C752B" w:rsidRDefault="008C752B"/>
    <w:p w14:paraId="020B4644" w14:textId="77777777" w:rsidR="008C752B" w:rsidRDefault="00CE4761">
      <w:r>
        <w:rPr>
          <w:i/>
          <w:color w:val="3D6094"/>
          <w:sz w:val="18"/>
        </w:rPr>
        <w:t>Framework references: GRI 305-1a: Gross direct (Scope 1) GHG emissions in metric tons of CO₂ equivalent; GRI 305-1b: Gases included in the calculation (CO₂, CH₄, N₂O); GRI 305-1c: Biogenic CO₂ emissions (not applicable for reporting period); GRI 305-1d: Base year for calculation (2023); GRI 305-1e: Emission factors source (Indonesia MEMR 2023) and GWP source (IPCC AR6); GRI 305-1f: Consolidation approach (operational control); GRI 305-1g: Standards and methodologies (GHG Protocol Corporate Standard 2015)</w:t>
      </w:r>
    </w:p>
    <w:p w14:paraId="05934C43" w14:textId="77777777" w:rsidR="008C752B" w:rsidRDefault="008C752B">
      <w:pPr>
        <w:pBdr>
          <w:bottom w:val="single" w:sz="6" w:space="1" w:color="999999"/>
        </w:pBdr>
        <w:spacing w:after="80"/>
      </w:pPr>
    </w:p>
    <w:p w14:paraId="7EE16A99" w14:textId="77777777" w:rsidR="008C752B" w:rsidRDefault="00CE4761">
      <w:pPr>
        <w:spacing w:after="160"/>
        <w:jc w:val="both"/>
      </w:pPr>
      <w:r>
        <w:rPr>
          <w:rFonts w:ascii="Arial" w:hAnsi="Arial"/>
          <w:i/>
          <w:color w:val="646464"/>
          <w:sz w:val="18"/>
        </w:rPr>
        <w:t>These figures have not been subject to external assurance for the current reporting period.</w:t>
      </w:r>
    </w:p>
    <w:p w14:paraId="28C372A0" w14:textId="77777777" w:rsidR="008C752B" w:rsidRDefault="00CE4761">
      <w:pPr>
        <w:spacing w:after="160"/>
        <w:jc w:val="both"/>
      </w:pPr>
      <w:r>
        <w:rPr>
          <w:rFonts w:ascii="Arial" w:hAnsi="Arial"/>
          <w:i/>
          <w:color w:val="646464"/>
          <w:sz w:val="18"/>
        </w:rPr>
        <w:t>GRI Content Index: 305-1 | Direct (Scope 1) GHG emissions | Section 4.1</w:t>
      </w:r>
    </w:p>
    <w:p w14:paraId="6D1122D6" w14:textId="77777777" w:rsidR="008C752B" w:rsidRDefault="00CE4761">
      <w:r>
        <w:br w:type="page"/>
      </w:r>
    </w:p>
    <w:p w14:paraId="45726D38" w14:textId="77777777" w:rsidR="008C752B" w:rsidRDefault="00CE4761">
      <w:pPr>
        <w:pStyle w:val="Heading1"/>
        <w:spacing w:after="240"/>
      </w:pPr>
      <w:bookmarkStart w:id="4" w:name="_Toc231550609"/>
      <w:r>
        <w:rPr>
          <w:rFonts w:ascii="Arial" w:hAnsi="Arial"/>
          <w:color w:val="1B3A6B"/>
          <w:sz w:val="36"/>
        </w:rPr>
        <w:lastRenderedPageBreak/>
        <w:t>Scope 1 Direct GHG Emissions</w:t>
      </w:r>
      <w:bookmarkEnd w:id="4"/>
    </w:p>
    <w:p w14:paraId="51D4D263" w14:textId="77777777" w:rsidR="008C752B" w:rsidRDefault="00CE4761">
      <w:pPr>
        <w:spacing w:after="160"/>
        <w:jc w:val="both"/>
      </w:pPr>
      <w:r>
        <w:rPr>
          <w:rFonts w:ascii="Arial" w:hAnsi="Arial"/>
        </w:rPr>
        <w:t>The institution's Scope 1 direct greenhouse gas emissions for the reporting period ending 31 December 2024 totaled 3,402.997 tCO2e. These emissions arise from stationary combustion sources under the institution's operational control, comprising natural gas consumption in heating and backup power systems, and diesel fuel consumption in emergency generators and fleet vehicles operated at branch facilities.</w:t>
      </w:r>
    </w:p>
    <w:p w14:paraId="6C980005" w14:textId="77777777" w:rsidR="008C752B" w:rsidRDefault="00CE4761">
      <w:pPr>
        <w:spacing w:after="160"/>
        <w:jc w:val="both"/>
      </w:pPr>
      <w:r>
        <w:rPr>
          <w:rFonts w:ascii="Arial" w:hAnsi="Arial"/>
        </w:rPr>
        <w:t>The Scope 1 emissions comprise two primary sources: natural gas combustion contributed 1,199.7924 tCO2e (35.3% of total Scope 1), while diesel combustion accounted for 2,203.2044 tCO2e (64.7% of total Scope 1). The higher proportion of diesel-related emissions reflects the institution's reliance on backup diesel generators across its branch network in regions with grid reliability constraints, as well as operational fleet vehicles for cash-in-transit and business continuity services.</w:t>
      </w:r>
    </w:p>
    <w:p w14:paraId="1E45BAC7" w14:textId="77777777" w:rsidR="008C752B" w:rsidRDefault="00CE4761">
      <w:pPr>
        <w:spacing w:after="160"/>
        <w:jc w:val="both"/>
      </w:pPr>
      <w:r>
        <w:rPr>
          <w:rFonts w:ascii="Arial" w:hAnsi="Arial"/>
          <w:i/>
        </w:rPr>
        <w:t>Scope 1 emissions were measured in accordance with the Greenhouse Gas Protocol: A Corporate Accounting and Reporting Standard (2004) as required by IFRS S2 paragraph 29(a)(ii). The institution applied the operational control consolidation approach, whereby all emissions from facilities and mobile sources under its operational control are included in the inventory boundary. Emission factors for natural gas and diesel combustion were sourced from Indonesia's Ministry of Energy and Mineral Resources (MEMR) 202</w:t>
      </w:r>
      <w:r>
        <w:rPr>
          <w:rFonts w:ascii="Arial" w:hAnsi="Arial"/>
          <w:i/>
        </w:rPr>
        <w:t>3 National Emission Factor Database, aligned with IPCC 2006 Guidelines for National Greenhouse Gas Inventories. Global warming potential (GWP) values were applied using a 100-year time horizon from the IPCC Sixth Assessment Report (AR6): CO2 = 1, CH4 = 29.8, N2O = 273.0. All greenhouse gases (CO2, CH4, N2O) arising from combustion processes were converted to CO2 equivalent and aggregated to report total Scope 1 emissions.</w:t>
      </w:r>
    </w:p>
    <w:p w14:paraId="741B1A9D" w14:textId="77777777" w:rsidR="008C752B" w:rsidRDefault="00CE4761">
      <w:pPr>
        <w:spacing w:after="160"/>
        <w:jc w:val="both"/>
      </w:pPr>
      <w:r>
        <w:rPr>
          <w:rFonts w:ascii="Arial" w:hAnsi="Arial"/>
        </w:rPr>
        <w:t>Compared to the prior reporting period (2023: 3,324.521 tCO2e), Scope 1 emissions increased by 2.36% in absolute terms, representing an additional 78.476 tCO2e. This increase is attributable to the expansion of branch operations in underserved regions during 2024, which necessitated additional backup power capacity and fleet vehicles. Natural gas consumption remained relatively stable (2024: 1,199.7924 tCO2e vs 2023: 1,199.0321 tCO2e, +0.06%), while diesel consumption increased by 3.66% (2024: 2,203.2044 tC</w:t>
      </w:r>
      <w:r>
        <w:rPr>
          <w:rFonts w:ascii="Arial" w:hAnsi="Arial"/>
        </w:rPr>
        <w:t>O2e vs 2023: 2,125.4888 tCO2e) due to higher generator runtime during grid outages and increased fleet activity.</w:t>
      </w:r>
    </w:p>
    <w:p w14:paraId="4ED8ED53" w14:textId="77777777" w:rsidR="008C752B" w:rsidRDefault="00CE4761">
      <w:pPr>
        <w:spacing w:after="160"/>
        <w:jc w:val="both"/>
      </w:pPr>
      <w:r>
        <w:rPr>
          <w:rFonts w:ascii="Arial" w:hAnsi="Arial"/>
        </w:rPr>
        <w:t>The institution's Scope 1 emissions are subject to ongoing monitoring and verification processes. Activity data (fuel consumption volumes) were obtained from centralized procurement records and facility-level metering systems, achieving a data quality score of 1 on the GHG Protocol data quality scale (1 = highest quality, direct measurement). All emission calculations were performed using standardized calculation tools maintained by the institution's sustainability reporting team, with monthly reconciliatio</w:t>
      </w:r>
      <w:r>
        <w:rPr>
          <w:rFonts w:ascii="Arial" w:hAnsi="Arial"/>
        </w:rPr>
        <w:t>n against financial procurement data to ensure completeness and accuracy.</w:t>
      </w:r>
    </w:p>
    <w:p w14:paraId="73155F64" w14:textId="77777777" w:rsidR="008C752B" w:rsidRDefault="00CE4761">
      <w:r>
        <w:rPr>
          <w:rFonts w:ascii="Arial" w:hAnsi="Arial"/>
          <w:b/>
          <w:sz w:val="20"/>
        </w:rPr>
        <w:t>Table 1: Scope 1 Direct GHG Emissions by Source (2024)</w:t>
      </w:r>
    </w:p>
    <w:tbl>
      <w:tblPr>
        <w:tblW w:w="0" w:type="auto"/>
        <w:jc w:val="center"/>
        <w:tblLook w:val="04A0" w:firstRow="1" w:lastRow="0" w:firstColumn="1" w:lastColumn="0" w:noHBand="0" w:noVBand="1"/>
      </w:tblPr>
      <w:tblGrid>
        <w:gridCol w:w="1806"/>
        <w:gridCol w:w="1806"/>
        <w:gridCol w:w="1806"/>
        <w:gridCol w:w="1806"/>
        <w:gridCol w:w="1806"/>
      </w:tblGrid>
      <w:tr w:rsidR="008C752B" w14:paraId="18ABBA61" w14:textId="77777777">
        <w:trPr>
          <w:jc w:val="center"/>
        </w:trPr>
        <w:tc>
          <w:tcPr>
            <w:tcW w:w="1806" w:type="dxa"/>
            <w:shd w:val="clear" w:color="auto" w:fill="1B3A6B"/>
          </w:tcPr>
          <w:p w14:paraId="15F98228" w14:textId="77777777" w:rsidR="008C752B" w:rsidRDefault="00CE4761">
            <w:r>
              <w:rPr>
                <w:rFonts w:ascii="Arial" w:hAnsi="Arial"/>
                <w:b/>
                <w:color w:val="FFFFFF"/>
                <w:sz w:val="18"/>
              </w:rPr>
              <w:t>Emission Source</w:t>
            </w:r>
          </w:p>
        </w:tc>
        <w:tc>
          <w:tcPr>
            <w:tcW w:w="1806" w:type="dxa"/>
            <w:shd w:val="clear" w:color="auto" w:fill="1B3A6B"/>
          </w:tcPr>
          <w:p w14:paraId="2002F1B4" w14:textId="77777777" w:rsidR="008C752B" w:rsidRDefault="00CE4761">
            <w:r>
              <w:rPr>
                <w:rFonts w:ascii="Arial" w:hAnsi="Arial"/>
                <w:b/>
                <w:color w:val="FFFFFF"/>
                <w:sz w:val="18"/>
              </w:rPr>
              <w:t>Activity Data</w:t>
            </w:r>
          </w:p>
        </w:tc>
        <w:tc>
          <w:tcPr>
            <w:tcW w:w="1806" w:type="dxa"/>
            <w:shd w:val="clear" w:color="auto" w:fill="1B3A6B"/>
          </w:tcPr>
          <w:p w14:paraId="2BFF5092" w14:textId="77777777" w:rsidR="008C752B" w:rsidRDefault="00CE4761">
            <w:r>
              <w:rPr>
                <w:rFonts w:ascii="Arial" w:hAnsi="Arial"/>
                <w:b/>
                <w:color w:val="FFFFFF"/>
                <w:sz w:val="18"/>
              </w:rPr>
              <w:t>Unit</w:t>
            </w:r>
          </w:p>
        </w:tc>
        <w:tc>
          <w:tcPr>
            <w:tcW w:w="1806" w:type="dxa"/>
            <w:shd w:val="clear" w:color="auto" w:fill="1B3A6B"/>
          </w:tcPr>
          <w:p w14:paraId="7CC2C422" w14:textId="77777777" w:rsidR="008C752B" w:rsidRDefault="00CE4761">
            <w:r>
              <w:rPr>
                <w:rFonts w:ascii="Arial" w:hAnsi="Arial"/>
                <w:b/>
                <w:color w:val="FFFFFF"/>
                <w:sz w:val="18"/>
              </w:rPr>
              <w:t>Emissions (tCO2e)</w:t>
            </w:r>
          </w:p>
        </w:tc>
        <w:tc>
          <w:tcPr>
            <w:tcW w:w="1806" w:type="dxa"/>
            <w:shd w:val="clear" w:color="auto" w:fill="1B3A6B"/>
          </w:tcPr>
          <w:p w14:paraId="56EB370C" w14:textId="77777777" w:rsidR="008C752B" w:rsidRDefault="00CE4761">
            <w:r>
              <w:rPr>
                <w:rFonts w:ascii="Arial" w:hAnsi="Arial"/>
                <w:b/>
                <w:color w:val="FFFFFF"/>
                <w:sz w:val="18"/>
              </w:rPr>
              <w:t>% of Scope 1</w:t>
            </w:r>
          </w:p>
        </w:tc>
      </w:tr>
      <w:tr w:rsidR="008C752B" w14:paraId="764D49FE" w14:textId="77777777">
        <w:trPr>
          <w:jc w:val="center"/>
        </w:trPr>
        <w:tc>
          <w:tcPr>
            <w:tcW w:w="1806" w:type="dxa"/>
          </w:tcPr>
          <w:p w14:paraId="0F19C7C0" w14:textId="77777777" w:rsidR="008C752B" w:rsidRDefault="00CE4761">
            <w:r>
              <w:rPr>
                <w:rFonts w:ascii="Arial" w:hAnsi="Arial"/>
                <w:sz w:val="18"/>
              </w:rPr>
              <w:t xml:space="preserve">Natural Gas </w:t>
            </w:r>
            <w:r>
              <w:rPr>
                <w:rFonts w:ascii="Arial" w:hAnsi="Arial"/>
                <w:sz w:val="18"/>
              </w:rPr>
              <w:lastRenderedPageBreak/>
              <w:t>Combustion</w:t>
            </w:r>
          </w:p>
        </w:tc>
        <w:tc>
          <w:tcPr>
            <w:tcW w:w="1806" w:type="dxa"/>
          </w:tcPr>
          <w:p w14:paraId="6B10C02D" w14:textId="77777777" w:rsidR="008C752B" w:rsidRDefault="00CE4761">
            <w:pPr>
              <w:jc w:val="right"/>
            </w:pPr>
            <w:r>
              <w:rPr>
                <w:rFonts w:ascii="Arial" w:hAnsi="Arial"/>
                <w:sz w:val="18"/>
              </w:rPr>
              <w:lastRenderedPageBreak/>
              <w:t>21,362.43</w:t>
            </w:r>
          </w:p>
        </w:tc>
        <w:tc>
          <w:tcPr>
            <w:tcW w:w="1806" w:type="dxa"/>
          </w:tcPr>
          <w:p w14:paraId="7CA97DB9" w14:textId="77777777" w:rsidR="008C752B" w:rsidRDefault="00CE4761">
            <w:r>
              <w:rPr>
                <w:rFonts w:ascii="Arial" w:hAnsi="Arial"/>
                <w:sz w:val="18"/>
              </w:rPr>
              <w:t>GJ</w:t>
            </w:r>
          </w:p>
        </w:tc>
        <w:tc>
          <w:tcPr>
            <w:tcW w:w="1806" w:type="dxa"/>
          </w:tcPr>
          <w:p w14:paraId="0D491A52" w14:textId="77777777" w:rsidR="008C752B" w:rsidRDefault="00CE4761">
            <w:pPr>
              <w:jc w:val="right"/>
            </w:pPr>
            <w:r>
              <w:rPr>
                <w:rFonts w:ascii="Arial" w:hAnsi="Arial"/>
                <w:sz w:val="18"/>
              </w:rPr>
              <w:t>1,199.7924</w:t>
            </w:r>
          </w:p>
        </w:tc>
        <w:tc>
          <w:tcPr>
            <w:tcW w:w="1806" w:type="dxa"/>
          </w:tcPr>
          <w:p w14:paraId="488375DC" w14:textId="77777777" w:rsidR="008C752B" w:rsidRDefault="00CE4761">
            <w:pPr>
              <w:jc w:val="right"/>
            </w:pPr>
            <w:r>
              <w:rPr>
                <w:rFonts w:ascii="Arial" w:hAnsi="Arial"/>
                <w:sz w:val="18"/>
              </w:rPr>
              <w:t>35.3%</w:t>
            </w:r>
          </w:p>
        </w:tc>
      </w:tr>
      <w:tr w:rsidR="008C752B" w14:paraId="36129296" w14:textId="77777777">
        <w:trPr>
          <w:jc w:val="center"/>
        </w:trPr>
        <w:tc>
          <w:tcPr>
            <w:tcW w:w="1806" w:type="dxa"/>
            <w:shd w:val="clear" w:color="auto" w:fill="F2F6FC"/>
          </w:tcPr>
          <w:p w14:paraId="0E1C83A5" w14:textId="77777777" w:rsidR="008C752B" w:rsidRDefault="00CE4761">
            <w:r>
              <w:rPr>
                <w:rFonts w:ascii="Arial" w:hAnsi="Arial"/>
                <w:sz w:val="18"/>
              </w:rPr>
              <w:t>Diesel Combustion</w:t>
            </w:r>
          </w:p>
        </w:tc>
        <w:tc>
          <w:tcPr>
            <w:tcW w:w="1806" w:type="dxa"/>
            <w:shd w:val="clear" w:color="auto" w:fill="F2F6FC"/>
          </w:tcPr>
          <w:p w14:paraId="76F319D8" w14:textId="77777777" w:rsidR="008C752B" w:rsidRDefault="00CE4761">
            <w:pPr>
              <w:jc w:val="right"/>
            </w:pPr>
            <w:r>
              <w:rPr>
                <w:rFonts w:ascii="Arial" w:hAnsi="Arial"/>
                <w:sz w:val="18"/>
              </w:rPr>
              <w:t>856,997.78</w:t>
            </w:r>
          </w:p>
        </w:tc>
        <w:tc>
          <w:tcPr>
            <w:tcW w:w="1806" w:type="dxa"/>
            <w:shd w:val="clear" w:color="auto" w:fill="F2F6FC"/>
          </w:tcPr>
          <w:p w14:paraId="6733698E" w14:textId="77777777" w:rsidR="008C752B" w:rsidRDefault="00CE4761">
            <w:r>
              <w:rPr>
                <w:rFonts w:ascii="Arial" w:hAnsi="Arial"/>
                <w:sz w:val="18"/>
              </w:rPr>
              <w:t>liters</w:t>
            </w:r>
          </w:p>
        </w:tc>
        <w:tc>
          <w:tcPr>
            <w:tcW w:w="1806" w:type="dxa"/>
            <w:shd w:val="clear" w:color="auto" w:fill="F2F6FC"/>
          </w:tcPr>
          <w:p w14:paraId="3A65509E" w14:textId="77777777" w:rsidR="008C752B" w:rsidRDefault="00CE4761">
            <w:pPr>
              <w:jc w:val="right"/>
            </w:pPr>
            <w:r>
              <w:rPr>
                <w:rFonts w:ascii="Arial" w:hAnsi="Arial"/>
                <w:sz w:val="18"/>
              </w:rPr>
              <w:t>2,203.2044</w:t>
            </w:r>
          </w:p>
        </w:tc>
        <w:tc>
          <w:tcPr>
            <w:tcW w:w="1806" w:type="dxa"/>
            <w:shd w:val="clear" w:color="auto" w:fill="F2F6FC"/>
          </w:tcPr>
          <w:p w14:paraId="5BD283AE" w14:textId="77777777" w:rsidR="008C752B" w:rsidRDefault="00CE4761">
            <w:pPr>
              <w:jc w:val="right"/>
            </w:pPr>
            <w:r>
              <w:rPr>
                <w:rFonts w:ascii="Arial" w:hAnsi="Arial"/>
                <w:sz w:val="18"/>
              </w:rPr>
              <w:t>64.7%</w:t>
            </w:r>
          </w:p>
        </w:tc>
      </w:tr>
      <w:tr w:rsidR="008C752B" w14:paraId="237C64D4" w14:textId="77777777">
        <w:trPr>
          <w:jc w:val="center"/>
        </w:trPr>
        <w:tc>
          <w:tcPr>
            <w:tcW w:w="1806" w:type="dxa"/>
          </w:tcPr>
          <w:p w14:paraId="018E5F4F" w14:textId="77777777" w:rsidR="008C752B" w:rsidRDefault="00CE4761">
            <w:r>
              <w:rPr>
                <w:rFonts w:ascii="Arial" w:hAnsi="Arial"/>
                <w:sz w:val="18"/>
              </w:rPr>
              <w:t>**Total Scope 1**</w:t>
            </w:r>
          </w:p>
        </w:tc>
        <w:tc>
          <w:tcPr>
            <w:tcW w:w="1806" w:type="dxa"/>
          </w:tcPr>
          <w:p w14:paraId="4DEB12DE" w14:textId="77777777" w:rsidR="008C752B" w:rsidRDefault="00CE4761">
            <w:r>
              <w:rPr>
                <w:rFonts w:ascii="Arial" w:hAnsi="Arial"/>
                <w:sz w:val="18"/>
              </w:rPr>
              <w:t>—</w:t>
            </w:r>
          </w:p>
        </w:tc>
        <w:tc>
          <w:tcPr>
            <w:tcW w:w="1806" w:type="dxa"/>
          </w:tcPr>
          <w:p w14:paraId="4E3FBF31" w14:textId="77777777" w:rsidR="008C752B" w:rsidRDefault="00CE4761">
            <w:r>
              <w:rPr>
                <w:rFonts w:ascii="Arial" w:hAnsi="Arial"/>
                <w:sz w:val="18"/>
              </w:rPr>
              <w:t>—</w:t>
            </w:r>
          </w:p>
        </w:tc>
        <w:tc>
          <w:tcPr>
            <w:tcW w:w="1806" w:type="dxa"/>
          </w:tcPr>
          <w:p w14:paraId="7E96995B" w14:textId="77777777" w:rsidR="008C752B" w:rsidRDefault="00CE4761">
            <w:r>
              <w:rPr>
                <w:rFonts w:ascii="Arial" w:hAnsi="Arial"/>
                <w:sz w:val="18"/>
              </w:rPr>
              <w:t>**3,402.997**</w:t>
            </w:r>
          </w:p>
        </w:tc>
        <w:tc>
          <w:tcPr>
            <w:tcW w:w="1806" w:type="dxa"/>
          </w:tcPr>
          <w:p w14:paraId="7286411A" w14:textId="77777777" w:rsidR="008C752B" w:rsidRDefault="00CE4761">
            <w:r>
              <w:rPr>
                <w:rFonts w:ascii="Arial" w:hAnsi="Arial"/>
                <w:sz w:val="18"/>
              </w:rPr>
              <w:t>**100.0%**</w:t>
            </w:r>
          </w:p>
        </w:tc>
      </w:tr>
    </w:tbl>
    <w:p w14:paraId="7634DF85" w14:textId="77777777" w:rsidR="008C752B" w:rsidRDefault="00CE4761">
      <w:r>
        <w:rPr>
          <w:rFonts w:ascii="Arial" w:hAnsi="Arial"/>
          <w:i/>
          <w:sz w:val="16"/>
        </w:rPr>
        <w:t>Source: Activity data derived from facility-level metering and procurement records. Emission factors: Natural gas 56.16 kgCO2e/GJ, Diesel 2.571 kgCO2e/liter (Indonesia MEMR 2023). GWP values per IPCC AR6.</w:t>
      </w:r>
    </w:p>
    <w:p w14:paraId="656FEE98" w14:textId="77777777" w:rsidR="008C752B" w:rsidRDefault="008C752B"/>
    <w:p w14:paraId="12213209" w14:textId="77777777" w:rsidR="008C752B" w:rsidRDefault="00CE4761">
      <w:r>
        <w:rPr>
          <w:i/>
          <w:color w:val="3D6094"/>
          <w:sz w:val="18"/>
        </w:rPr>
        <w:t>Framework references: IFRS S2 para 29(a)(i) — Scope 1 greenhouse gas emissions; IFRS S2 para B23 — Greenhouse Gas Protocol Corporate Standard (2004); IFRS S2 para 29(b) — Cross-industry metric categories; GHG Protocol Corporate Standard — Chapter 4: Setting Organizational Boundaries; IPCC AR6 — Global Warming Potential values (100-year time horizon)</w:t>
      </w:r>
    </w:p>
    <w:p w14:paraId="1E893D91" w14:textId="77777777" w:rsidR="008C752B" w:rsidRDefault="008C752B">
      <w:pPr>
        <w:pBdr>
          <w:bottom w:val="single" w:sz="6" w:space="1" w:color="999999"/>
        </w:pBdr>
        <w:spacing w:after="80"/>
      </w:pPr>
    </w:p>
    <w:p w14:paraId="120BA34B" w14:textId="77777777" w:rsidR="008C752B" w:rsidRDefault="00CE4761">
      <w:pPr>
        <w:spacing w:after="160"/>
        <w:jc w:val="both"/>
      </w:pPr>
      <w:r>
        <w:rPr>
          <w:rFonts w:ascii="Arial" w:hAnsi="Arial"/>
          <w:i/>
          <w:color w:val="646464"/>
          <w:sz w:val="18"/>
        </w:rPr>
        <w:t>Scope 1 emissions reported in this section represent direct greenhouse gas emissions from sources owned or controlled by the institution under the operational control consolidation approach, consistent with IFRS S2 paragraph 29(a)(i).</w:t>
      </w:r>
    </w:p>
    <w:p w14:paraId="63842FE3" w14:textId="77777777" w:rsidR="008C752B" w:rsidRDefault="00CE4761">
      <w:pPr>
        <w:spacing w:after="160"/>
        <w:jc w:val="both"/>
      </w:pPr>
      <w:r>
        <w:rPr>
          <w:rFonts w:ascii="Arial" w:hAnsi="Arial"/>
          <w:i/>
          <w:color w:val="646464"/>
          <w:sz w:val="18"/>
        </w:rPr>
        <w:t>The institution has not applied any offsets or carbon credits to reduce reported Scope 1 emissions. All figures represent gross emissions before any neutralization mechanisms.</w:t>
      </w:r>
    </w:p>
    <w:p w14:paraId="612E07C8" w14:textId="77777777" w:rsidR="008C752B" w:rsidRDefault="00CE4761">
      <w:pPr>
        <w:spacing w:after="160"/>
        <w:jc w:val="both"/>
      </w:pPr>
      <w:r>
        <w:rPr>
          <w:rFonts w:ascii="Arial" w:hAnsi="Arial"/>
          <w:i/>
          <w:color w:val="646464"/>
          <w:sz w:val="18"/>
        </w:rPr>
        <w:t>Emission factor sources: Indonesia Ministry of Energy and Mineral Resources (MEMR) National Emission Factor Database 2023, aligned with IPCC 2006 Guidelines. GWP values per IPCC AR6 (2021) using 100-year time horizon.</w:t>
      </w:r>
    </w:p>
    <w:p w14:paraId="3DED6836" w14:textId="77777777" w:rsidR="008C752B" w:rsidRDefault="00CE4761">
      <w:r>
        <w:br w:type="page"/>
      </w:r>
    </w:p>
    <w:p w14:paraId="57C3B050" w14:textId="77777777" w:rsidR="008C752B" w:rsidRDefault="00CE4761">
      <w:pPr>
        <w:pStyle w:val="Heading1"/>
        <w:spacing w:after="240"/>
      </w:pPr>
      <w:bookmarkStart w:id="5" w:name="_Toc231550610"/>
      <w:r>
        <w:rPr>
          <w:rFonts w:ascii="Arial" w:hAnsi="Arial"/>
          <w:color w:val="1B3A6B"/>
          <w:sz w:val="36"/>
        </w:rPr>
        <w:lastRenderedPageBreak/>
        <w:t>E1-6: Scope 1 Direct GHG Emissions</w:t>
      </w:r>
      <w:bookmarkEnd w:id="5"/>
    </w:p>
    <w:p w14:paraId="094FDEF5" w14:textId="77777777" w:rsidR="008C752B" w:rsidRDefault="00CE4761">
      <w:pPr>
        <w:spacing w:after="160"/>
        <w:jc w:val="both"/>
      </w:pPr>
      <w:r>
        <w:rPr>
          <w:rFonts w:ascii="Arial" w:hAnsi="Arial"/>
        </w:rPr>
        <w:t>**Double Materiality Context**: Climate change has been assessed as material under both impact materiality (the institution's impact on climate through GHG emissions) and financial materiality (climate-related risks and opportunities affecting the institution's financial position, performance, and cash flows). Scope 1 emissions represent the institution's direct contribution to climate change through combustion of fossil fuels in owned or controlled sources.</w:t>
      </w:r>
    </w:p>
    <w:p w14:paraId="58291413" w14:textId="77777777" w:rsidR="008C752B" w:rsidRDefault="00CE4761">
      <w:pPr>
        <w:spacing w:after="160"/>
        <w:jc w:val="both"/>
      </w:pPr>
      <w:r>
        <w:rPr>
          <w:rFonts w:ascii="Arial" w:hAnsi="Arial"/>
        </w:rPr>
        <w:t>For the reporting period ending 31 December 2024, the institution's total Scope 1 direct greenhouse gas emissions were 3402.997 tCO2e. These emissions arise from stationary combustion sources at facilities under the institution's operational control, comprising natural gas combustion in heating systems and diesel combustion in backup generators and emergency power systems.</w:t>
      </w:r>
    </w:p>
    <w:p w14:paraId="3AF40A26" w14:textId="77777777" w:rsidR="008C752B" w:rsidRDefault="00CE4761">
      <w:pPr>
        <w:spacing w:after="160"/>
        <w:jc w:val="both"/>
      </w:pPr>
      <w:r>
        <w:rPr>
          <w:rFonts w:ascii="Arial" w:hAnsi="Arial"/>
        </w:rPr>
        <w:t>The Scope 1 emission sources comprised natural gas combustion contributing 1199.7924 tCO2e and diesel combustion contributing 2203.2044 tCO2e. Diesel combustion represented 64.7% of total Scope 1 emissions, reflecting the institution's reliance on diesel-powered backup generation systems across its operational facilities. Natural gas combustion, primarily for space heating and hot water systems, accounted for 35.3% of Scope 1 emissions.</w:t>
      </w:r>
    </w:p>
    <w:p w14:paraId="3F362733" w14:textId="77777777" w:rsidR="008C752B" w:rsidRDefault="00CE4761">
      <w:pPr>
        <w:spacing w:after="160"/>
        <w:jc w:val="both"/>
      </w:pPr>
      <w:r>
        <w:rPr>
          <w:rFonts w:ascii="Arial" w:hAnsi="Arial"/>
          <w:i/>
        </w:rPr>
        <w:t>**Methodology**: Scope 1 emissions were calculated in accordance with the GHG Protocol Corporate Accounting and Reporting Standard (2015 revision) using the operational control consolidation approach. Emission factors were sourced from Indonesia's Ministry of Energy and Mineral Resources (MEMR) 2023 National Emission Factors for stationary combustion. Global Warming Potential (GWP) values were applied per the Intergovernmental Panel on Climate Change (IPCC) Sixth Assessment Report (AR6) 100-year time horizo</w:t>
      </w:r>
      <w:r>
        <w:rPr>
          <w:rFonts w:ascii="Arial" w:hAnsi="Arial"/>
          <w:i/>
        </w:rPr>
        <w:t>n: CO2 = 1, CH4 = 29.8, N2O = 273.0. All three Kyoto Protocol gases (CO2, CH4, N2O) arising from fossil fuel combustion were included in the calculation. Activity data (fuel consumption in gigajoules for natural gas and liters for diesel) were obtained from supplier invoices and facility meter readings with monthly reconciliation.</w:t>
      </w:r>
    </w:p>
    <w:p w14:paraId="1B8AAFBD" w14:textId="77777777" w:rsidR="008C752B" w:rsidRDefault="00CE4761">
      <w:pPr>
        <w:spacing w:after="160"/>
        <w:jc w:val="both"/>
      </w:pPr>
      <w:r>
        <w:rPr>
          <w:rFonts w:ascii="Arial" w:hAnsi="Arial"/>
        </w:rPr>
        <w:t>Compared to the prior reporting period (2023), Scope 1 emissions increased by 2.36% from 3324.521 tCO2e to 3402.997 tCO2e, representing an absolute increase of 78.476 tCO2e. This increase was primarily attributable to expanded diesel generator runtime at three facilities (FAC-0197, FAC-0198, FAC-0200) due to grid instability events in Q2 and Q3 2024, which necessitated increased reliance on backup power systems. Natural gas consumption remained relatively stable year-over-year, increasing by 0.06% from 1199</w:t>
      </w:r>
      <w:r>
        <w:rPr>
          <w:rFonts w:ascii="Arial" w:hAnsi="Arial"/>
        </w:rPr>
        <w:t>.0321 tCO2e to 1199.7924 tCO2e.</w:t>
      </w:r>
    </w:p>
    <w:p w14:paraId="3284A1D4" w14:textId="77777777" w:rsidR="008C752B" w:rsidRDefault="00CE4761">
      <w:pPr>
        <w:spacing w:after="160"/>
        <w:jc w:val="both"/>
      </w:pPr>
      <w:r>
        <w:rPr>
          <w:rFonts w:ascii="Arial" w:hAnsi="Arial"/>
        </w:rPr>
        <w:t>The reporting year 2024 serves as the base year for the institution's Scope 1 emissions trajectory under ESRS E1-4 target-setting requirements. Future disclosures will report progress against this baseline in accordance with the institution's transition plan for climate change mitigation (refer to E1-1 disclosure).</w:t>
      </w:r>
    </w:p>
    <w:p w14:paraId="25411663" w14:textId="77777777" w:rsidR="008C752B" w:rsidRDefault="00CE4761">
      <w:pPr>
        <w:spacing w:after="160"/>
        <w:jc w:val="both"/>
      </w:pPr>
      <w:r>
        <w:rPr>
          <w:rFonts w:ascii="Arial" w:hAnsi="Arial"/>
        </w:rPr>
        <w:t xml:space="preserve">**Value Chain Context**: Scope 1 emissions represent the institution's own operations component of its climate impact. These direct emissions are complemented by Scope 2 indirect emissions from purchased electricity (E1-6 disclosure) and Scope 3 Category 15 financed emissions representing the downstream value chain impact through the institution's </w:t>
      </w:r>
      <w:r>
        <w:rPr>
          <w:rFonts w:ascii="Arial" w:hAnsi="Arial"/>
        </w:rPr>
        <w:lastRenderedPageBreak/>
        <w:t>lending and investment activities (refer to separate PCAF-aligned financed emissions disclosure). The institution's transition plan addresses emission reduction strategies across all three scopes with differentiated approaches for own operations versus value chain engagement.</w:t>
      </w:r>
    </w:p>
    <w:p w14:paraId="4D049BAC" w14:textId="77777777" w:rsidR="008C752B" w:rsidRDefault="00CE4761">
      <w:r>
        <w:rPr>
          <w:rFonts w:ascii="Arial" w:hAnsi="Arial"/>
          <w:b/>
          <w:sz w:val="20"/>
        </w:rPr>
        <w:t>Table E1-6a: Scope 1 Direct GHG Emissions by Source (2024)</w:t>
      </w:r>
    </w:p>
    <w:tbl>
      <w:tblPr>
        <w:tblW w:w="0" w:type="auto"/>
        <w:jc w:val="center"/>
        <w:tblLook w:val="04A0" w:firstRow="1" w:lastRow="0" w:firstColumn="1" w:lastColumn="0" w:noHBand="0" w:noVBand="1"/>
      </w:tblPr>
      <w:tblGrid>
        <w:gridCol w:w="1806"/>
        <w:gridCol w:w="1806"/>
        <w:gridCol w:w="1806"/>
        <w:gridCol w:w="1806"/>
        <w:gridCol w:w="1806"/>
      </w:tblGrid>
      <w:tr w:rsidR="008C752B" w14:paraId="18E7BBFD" w14:textId="77777777">
        <w:trPr>
          <w:jc w:val="center"/>
        </w:trPr>
        <w:tc>
          <w:tcPr>
            <w:tcW w:w="1806" w:type="dxa"/>
            <w:shd w:val="clear" w:color="auto" w:fill="1B3A6B"/>
          </w:tcPr>
          <w:p w14:paraId="44D4E8CE" w14:textId="77777777" w:rsidR="008C752B" w:rsidRDefault="00CE4761">
            <w:r>
              <w:rPr>
                <w:rFonts w:ascii="Arial" w:hAnsi="Arial"/>
                <w:b/>
                <w:color w:val="FFFFFF"/>
                <w:sz w:val="18"/>
              </w:rPr>
              <w:t>Emission Source</w:t>
            </w:r>
          </w:p>
        </w:tc>
        <w:tc>
          <w:tcPr>
            <w:tcW w:w="1806" w:type="dxa"/>
            <w:shd w:val="clear" w:color="auto" w:fill="1B3A6B"/>
          </w:tcPr>
          <w:p w14:paraId="36F40014" w14:textId="77777777" w:rsidR="008C752B" w:rsidRDefault="00CE4761">
            <w:r>
              <w:rPr>
                <w:rFonts w:ascii="Arial" w:hAnsi="Arial"/>
                <w:b/>
                <w:color w:val="FFFFFF"/>
                <w:sz w:val="18"/>
              </w:rPr>
              <w:t>Activity Data</w:t>
            </w:r>
          </w:p>
        </w:tc>
        <w:tc>
          <w:tcPr>
            <w:tcW w:w="1806" w:type="dxa"/>
            <w:shd w:val="clear" w:color="auto" w:fill="1B3A6B"/>
          </w:tcPr>
          <w:p w14:paraId="49B3BF8E" w14:textId="77777777" w:rsidR="008C752B" w:rsidRDefault="00CE4761">
            <w:r>
              <w:rPr>
                <w:rFonts w:ascii="Arial" w:hAnsi="Arial"/>
                <w:b/>
                <w:color w:val="FFFFFF"/>
                <w:sz w:val="18"/>
              </w:rPr>
              <w:t>Unit</w:t>
            </w:r>
          </w:p>
        </w:tc>
        <w:tc>
          <w:tcPr>
            <w:tcW w:w="1806" w:type="dxa"/>
            <w:shd w:val="clear" w:color="auto" w:fill="1B3A6B"/>
          </w:tcPr>
          <w:p w14:paraId="0FC87E95" w14:textId="77777777" w:rsidR="008C752B" w:rsidRDefault="00CE4761">
            <w:r>
              <w:rPr>
                <w:rFonts w:ascii="Arial" w:hAnsi="Arial"/>
                <w:b/>
                <w:color w:val="FFFFFF"/>
                <w:sz w:val="18"/>
              </w:rPr>
              <w:t>Emissions (tCO2e)</w:t>
            </w:r>
          </w:p>
        </w:tc>
        <w:tc>
          <w:tcPr>
            <w:tcW w:w="1806" w:type="dxa"/>
            <w:shd w:val="clear" w:color="auto" w:fill="1B3A6B"/>
          </w:tcPr>
          <w:p w14:paraId="19ACE55C" w14:textId="77777777" w:rsidR="008C752B" w:rsidRDefault="00CE4761">
            <w:r>
              <w:rPr>
                <w:rFonts w:ascii="Arial" w:hAnsi="Arial"/>
                <w:b/>
                <w:color w:val="FFFFFF"/>
                <w:sz w:val="18"/>
              </w:rPr>
              <w:t>% of Scope 1 Total</w:t>
            </w:r>
          </w:p>
        </w:tc>
      </w:tr>
      <w:tr w:rsidR="008C752B" w14:paraId="5B7900BE" w14:textId="77777777">
        <w:trPr>
          <w:jc w:val="center"/>
        </w:trPr>
        <w:tc>
          <w:tcPr>
            <w:tcW w:w="1806" w:type="dxa"/>
          </w:tcPr>
          <w:p w14:paraId="0D2389EB" w14:textId="77777777" w:rsidR="008C752B" w:rsidRDefault="00CE4761">
            <w:r>
              <w:rPr>
                <w:rFonts w:ascii="Arial" w:hAnsi="Arial"/>
                <w:sz w:val="18"/>
              </w:rPr>
              <w:t>Natural Gas Combustion</w:t>
            </w:r>
          </w:p>
        </w:tc>
        <w:tc>
          <w:tcPr>
            <w:tcW w:w="1806" w:type="dxa"/>
          </w:tcPr>
          <w:p w14:paraId="276EA7E8" w14:textId="77777777" w:rsidR="008C752B" w:rsidRDefault="00CE4761">
            <w:pPr>
              <w:jc w:val="right"/>
            </w:pPr>
            <w:r>
              <w:rPr>
                <w:rFonts w:ascii="Arial" w:hAnsi="Arial"/>
                <w:sz w:val="18"/>
              </w:rPr>
              <w:t>21,356.40</w:t>
            </w:r>
          </w:p>
        </w:tc>
        <w:tc>
          <w:tcPr>
            <w:tcW w:w="1806" w:type="dxa"/>
          </w:tcPr>
          <w:p w14:paraId="5B2C3736" w14:textId="77777777" w:rsidR="008C752B" w:rsidRDefault="00CE4761">
            <w:r>
              <w:rPr>
                <w:rFonts w:ascii="Arial" w:hAnsi="Arial"/>
                <w:sz w:val="18"/>
              </w:rPr>
              <w:t>GJ</w:t>
            </w:r>
          </w:p>
        </w:tc>
        <w:tc>
          <w:tcPr>
            <w:tcW w:w="1806" w:type="dxa"/>
          </w:tcPr>
          <w:p w14:paraId="4A4EFAD8" w14:textId="77777777" w:rsidR="008C752B" w:rsidRDefault="00CE4761">
            <w:pPr>
              <w:jc w:val="right"/>
            </w:pPr>
            <w:r>
              <w:rPr>
                <w:rFonts w:ascii="Arial" w:hAnsi="Arial"/>
                <w:sz w:val="18"/>
              </w:rPr>
              <w:t>1,199.7924</w:t>
            </w:r>
          </w:p>
        </w:tc>
        <w:tc>
          <w:tcPr>
            <w:tcW w:w="1806" w:type="dxa"/>
          </w:tcPr>
          <w:p w14:paraId="52F9FD58" w14:textId="77777777" w:rsidR="008C752B" w:rsidRDefault="00CE4761">
            <w:pPr>
              <w:jc w:val="right"/>
            </w:pPr>
            <w:r>
              <w:rPr>
                <w:rFonts w:ascii="Arial" w:hAnsi="Arial"/>
                <w:sz w:val="18"/>
              </w:rPr>
              <w:t>35.3%</w:t>
            </w:r>
          </w:p>
        </w:tc>
      </w:tr>
      <w:tr w:rsidR="008C752B" w14:paraId="66898B30" w14:textId="77777777">
        <w:trPr>
          <w:jc w:val="center"/>
        </w:trPr>
        <w:tc>
          <w:tcPr>
            <w:tcW w:w="1806" w:type="dxa"/>
            <w:shd w:val="clear" w:color="auto" w:fill="F2F6FC"/>
          </w:tcPr>
          <w:p w14:paraId="4C1E68D1" w14:textId="77777777" w:rsidR="008C752B" w:rsidRDefault="00CE4761">
            <w:r>
              <w:rPr>
                <w:rFonts w:ascii="Arial" w:hAnsi="Arial"/>
                <w:sz w:val="18"/>
              </w:rPr>
              <w:t>Diesel Combustion</w:t>
            </w:r>
          </w:p>
        </w:tc>
        <w:tc>
          <w:tcPr>
            <w:tcW w:w="1806" w:type="dxa"/>
            <w:shd w:val="clear" w:color="auto" w:fill="F2F6FC"/>
          </w:tcPr>
          <w:p w14:paraId="45A7F411" w14:textId="77777777" w:rsidR="008C752B" w:rsidRDefault="00CE4761">
            <w:pPr>
              <w:jc w:val="right"/>
            </w:pPr>
            <w:r>
              <w:rPr>
                <w:rFonts w:ascii="Arial" w:hAnsi="Arial"/>
                <w:sz w:val="18"/>
              </w:rPr>
              <w:t>857,006.78</w:t>
            </w:r>
          </w:p>
        </w:tc>
        <w:tc>
          <w:tcPr>
            <w:tcW w:w="1806" w:type="dxa"/>
            <w:shd w:val="clear" w:color="auto" w:fill="F2F6FC"/>
          </w:tcPr>
          <w:p w14:paraId="574AF75B" w14:textId="77777777" w:rsidR="008C752B" w:rsidRDefault="00CE4761">
            <w:r>
              <w:rPr>
                <w:rFonts w:ascii="Arial" w:hAnsi="Arial"/>
                <w:sz w:val="18"/>
              </w:rPr>
              <w:t>Liters</w:t>
            </w:r>
          </w:p>
        </w:tc>
        <w:tc>
          <w:tcPr>
            <w:tcW w:w="1806" w:type="dxa"/>
            <w:shd w:val="clear" w:color="auto" w:fill="F2F6FC"/>
          </w:tcPr>
          <w:p w14:paraId="72004D53" w14:textId="77777777" w:rsidR="008C752B" w:rsidRDefault="00CE4761">
            <w:pPr>
              <w:jc w:val="right"/>
            </w:pPr>
            <w:r>
              <w:rPr>
                <w:rFonts w:ascii="Arial" w:hAnsi="Arial"/>
                <w:sz w:val="18"/>
              </w:rPr>
              <w:t>2,203.2044</w:t>
            </w:r>
          </w:p>
        </w:tc>
        <w:tc>
          <w:tcPr>
            <w:tcW w:w="1806" w:type="dxa"/>
            <w:shd w:val="clear" w:color="auto" w:fill="F2F6FC"/>
          </w:tcPr>
          <w:p w14:paraId="10A35F3E" w14:textId="77777777" w:rsidR="008C752B" w:rsidRDefault="00CE4761">
            <w:pPr>
              <w:jc w:val="right"/>
            </w:pPr>
            <w:r>
              <w:rPr>
                <w:rFonts w:ascii="Arial" w:hAnsi="Arial"/>
                <w:sz w:val="18"/>
              </w:rPr>
              <w:t>64.7%</w:t>
            </w:r>
          </w:p>
        </w:tc>
      </w:tr>
      <w:tr w:rsidR="008C752B" w14:paraId="5016B640" w14:textId="77777777">
        <w:trPr>
          <w:jc w:val="center"/>
        </w:trPr>
        <w:tc>
          <w:tcPr>
            <w:tcW w:w="1806" w:type="dxa"/>
          </w:tcPr>
          <w:p w14:paraId="45AD9D15" w14:textId="77777777" w:rsidR="008C752B" w:rsidRDefault="00CE4761">
            <w:r>
              <w:rPr>
                <w:rFonts w:ascii="Arial" w:hAnsi="Arial"/>
                <w:sz w:val="18"/>
              </w:rPr>
              <w:t>**Total Scope 1**</w:t>
            </w:r>
          </w:p>
        </w:tc>
        <w:tc>
          <w:tcPr>
            <w:tcW w:w="1806" w:type="dxa"/>
          </w:tcPr>
          <w:p w14:paraId="30701701" w14:textId="77777777" w:rsidR="008C752B" w:rsidRDefault="00CE4761">
            <w:r>
              <w:rPr>
                <w:rFonts w:ascii="Arial" w:hAnsi="Arial"/>
                <w:sz w:val="18"/>
              </w:rPr>
              <w:t>—</w:t>
            </w:r>
          </w:p>
        </w:tc>
        <w:tc>
          <w:tcPr>
            <w:tcW w:w="1806" w:type="dxa"/>
          </w:tcPr>
          <w:p w14:paraId="572F5C2D" w14:textId="77777777" w:rsidR="008C752B" w:rsidRDefault="00CE4761">
            <w:r>
              <w:rPr>
                <w:rFonts w:ascii="Arial" w:hAnsi="Arial"/>
                <w:sz w:val="18"/>
              </w:rPr>
              <w:t>—</w:t>
            </w:r>
          </w:p>
        </w:tc>
        <w:tc>
          <w:tcPr>
            <w:tcW w:w="1806" w:type="dxa"/>
          </w:tcPr>
          <w:p w14:paraId="4EF009E1" w14:textId="77777777" w:rsidR="008C752B" w:rsidRDefault="00CE4761">
            <w:r>
              <w:rPr>
                <w:rFonts w:ascii="Arial" w:hAnsi="Arial"/>
                <w:sz w:val="18"/>
              </w:rPr>
              <w:t>**3,402.997**</w:t>
            </w:r>
          </w:p>
        </w:tc>
        <w:tc>
          <w:tcPr>
            <w:tcW w:w="1806" w:type="dxa"/>
          </w:tcPr>
          <w:p w14:paraId="69B7ED47" w14:textId="77777777" w:rsidR="008C752B" w:rsidRDefault="00CE4761">
            <w:r>
              <w:rPr>
                <w:rFonts w:ascii="Arial" w:hAnsi="Arial"/>
                <w:sz w:val="18"/>
              </w:rPr>
              <w:t>**100.0%**</w:t>
            </w:r>
          </w:p>
        </w:tc>
      </w:tr>
    </w:tbl>
    <w:p w14:paraId="125A9FF3" w14:textId="77777777" w:rsidR="008C752B" w:rsidRDefault="00CE4761">
      <w:r>
        <w:rPr>
          <w:rFonts w:ascii="Arial" w:hAnsi="Arial"/>
          <w:i/>
          <w:sz w:val="16"/>
        </w:rPr>
        <w:t>Source: Activity data derived from supplier invoices and facility meter readings. Emission factors: Indonesia MEMR 2023 National Emission Factors. GWP values: IPCC AR6 (CH4=29.8, N2O=273.0).</w:t>
      </w:r>
    </w:p>
    <w:p w14:paraId="39B6F9EE" w14:textId="77777777" w:rsidR="008C752B" w:rsidRDefault="008C752B"/>
    <w:p w14:paraId="3B9EF255" w14:textId="77777777" w:rsidR="008C752B" w:rsidRDefault="00CE4761">
      <w:r>
        <w:rPr>
          <w:rFonts w:ascii="Arial" w:hAnsi="Arial"/>
          <w:b/>
          <w:sz w:val="20"/>
        </w:rPr>
        <w:t>Table E1-6b: Scope 1 Emissions Year-over-Year Comparison</w:t>
      </w:r>
    </w:p>
    <w:tbl>
      <w:tblPr>
        <w:tblW w:w="0" w:type="auto"/>
        <w:jc w:val="center"/>
        <w:tblLook w:val="04A0" w:firstRow="1" w:lastRow="0" w:firstColumn="1" w:lastColumn="0" w:noHBand="0" w:noVBand="1"/>
      </w:tblPr>
      <w:tblGrid>
        <w:gridCol w:w="1806"/>
        <w:gridCol w:w="1806"/>
        <w:gridCol w:w="1806"/>
        <w:gridCol w:w="1806"/>
        <w:gridCol w:w="1806"/>
      </w:tblGrid>
      <w:tr w:rsidR="008C752B" w14:paraId="41A58C4B" w14:textId="77777777">
        <w:trPr>
          <w:jc w:val="center"/>
        </w:trPr>
        <w:tc>
          <w:tcPr>
            <w:tcW w:w="1806" w:type="dxa"/>
            <w:shd w:val="clear" w:color="auto" w:fill="1B3A6B"/>
          </w:tcPr>
          <w:p w14:paraId="5BC37CAC" w14:textId="77777777" w:rsidR="008C752B" w:rsidRDefault="00CE4761">
            <w:r>
              <w:rPr>
                <w:rFonts w:ascii="Arial" w:hAnsi="Arial"/>
                <w:b/>
                <w:color w:val="FFFFFF"/>
                <w:sz w:val="18"/>
              </w:rPr>
              <w:t>Emission Source</w:t>
            </w:r>
          </w:p>
        </w:tc>
        <w:tc>
          <w:tcPr>
            <w:tcW w:w="1806" w:type="dxa"/>
            <w:shd w:val="clear" w:color="auto" w:fill="1B3A6B"/>
          </w:tcPr>
          <w:p w14:paraId="7592AB7F" w14:textId="77777777" w:rsidR="008C752B" w:rsidRDefault="00CE4761">
            <w:r>
              <w:rPr>
                <w:rFonts w:ascii="Arial" w:hAnsi="Arial"/>
                <w:b/>
                <w:color w:val="FFFFFF"/>
                <w:sz w:val="18"/>
              </w:rPr>
              <w:t>2023 (tCO2e)</w:t>
            </w:r>
          </w:p>
        </w:tc>
        <w:tc>
          <w:tcPr>
            <w:tcW w:w="1806" w:type="dxa"/>
            <w:shd w:val="clear" w:color="auto" w:fill="1B3A6B"/>
          </w:tcPr>
          <w:p w14:paraId="16CA1F40" w14:textId="77777777" w:rsidR="008C752B" w:rsidRDefault="00CE4761">
            <w:r>
              <w:rPr>
                <w:rFonts w:ascii="Arial" w:hAnsi="Arial"/>
                <w:b/>
                <w:color w:val="FFFFFF"/>
                <w:sz w:val="18"/>
              </w:rPr>
              <w:t>2024 (tCO2e)</w:t>
            </w:r>
          </w:p>
        </w:tc>
        <w:tc>
          <w:tcPr>
            <w:tcW w:w="1806" w:type="dxa"/>
            <w:shd w:val="clear" w:color="auto" w:fill="1B3A6B"/>
          </w:tcPr>
          <w:p w14:paraId="631D9451" w14:textId="77777777" w:rsidR="008C752B" w:rsidRDefault="00CE4761">
            <w:r>
              <w:rPr>
                <w:rFonts w:ascii="Arial" w:hAnsi="Arial"/>
                <w:b/>
                <w:color w:val="FFFFFF"/>
                <w:sz w:val="18"/>
              </w:rPr>
              <w:t>Absolute Change (tCO2e)</w:t>
            </w:r>
          </w:p>
        </w:tc>
        <w:tc>
          <w:tcPr>
            <w:tcW w:w="1806" w:type="dxa"/>
            <w:shd w:val="clear" w:color="auto" w:fill="1B3A6B"/>
          </w:tcPr>
          <w:p w14:paraId="00CFDEDE" w14:textId="77777777" w:rsidR="008C752B" w:rsidRDefault="00CE4761">
            <w:r>
              <w:rPr>
                <w:rFonts w:ascii="Arial" w:hAnsi="Arial"/>
                <w:b/>
                <w:color w:val="FFFFFF"/>
                <w:sz w:val="18"/>
              </w:rPr>
              <w:t>% Change</w:t>
            </w:r>
          </w:p>
        </w:tc>
      </w:tr>
      <w:tr w:rsidR="008C752B" w14:paraId="54EF8C24" w14:textId="77777777">
        <w:trPr>
          <w:jc w:val="center"/>
        </w:trPr>
        <w:tc>
          <w:tcPr>
            <w:tcW w:w="1806" w:type="dxa"/>
          </w:tcPr>
          <w:p w14:paraId="0703E215" w14:textId="77777777" w:rsidR="008C752B" w:rsidRDefault="00CE4761">
            <w:r>
              <w:rPr>
                <w:rFonts w:ascii="Arial" w:hAnsi="Arial"/>
                <w:sz w:val="18"/>
              </w:rPr>
              <w:t>Natural Gas Combustion</w:t>
            </w:r>
          </w:p>
        </w:tc>
        <w:tc>
          <w:tcPr>
            <w:tcW w:w="1806" w:type="dxa"/>
          </w:tcPr>
          <w:p w14:paraId="3B04ED7C" w14:textId="77777777" w:rsidR="008C752B" w:rsidRDefault="00CE4761">
            <w:pPr>
              <w:jc w:val="right"/>
            </w:pPr>
            <w:r>
              <w:rPr>
                <w:rFonts w:ascii="Arial" w:hAnsi="Arial"/>
                <w:sz w:val="18"/>
              </w:rPr>
              <w:t>1,199.0321</w:t>
            </w:r>
          </w:p>
        </w:tc>
        <w:tc>
          <w:tcPr>
            <w:tcW w:w="1806" w:type="dxa"/>
          </w:tcPr>
          <w:p w14:paraId="47178E2E" w14:textId="77777777" w:rsidR="008C752B" w:rsidRDefault="00CE4761">
            <w:pPr>
              <w:jc w:val="right"/>
            </w:pPr>
            <w:r>
              <w:rPr>
                <w:rFonts w:ascii="Arial" w:hAnsi="Arial"/>
                <w:sz w:val="18"/>
              </w:rPr>
              <w:t>1,199.7924</w:t>
            </w:r>
          </w:p>
        </w:tc>
        <w:tc>
          <w:tcPr>
            <w:tcW w:w="1806" w:type="dxa"/>
          </w:tcPr>
          <w:p w14:paraId="6DB65645" w14:textId="77777777" w:rsidR="008C752B" w:rsidRDefault="00CE4761">
            <w:pPr>
              <w:jc w:val="right"/>
            </w:pPr>
            <w:r>
              <w:rPr>
                <w:rFonts w:ascii="Arial" w:hAnsi="Arial"/>
                <w:sz w:val="18"/>
              </w:rPr>
              <w:t>+0.7603</w:t>
            </w:r>
          </w:p>
        </w:tc>
        <w:tc>
          <w:tcPr>
            <w:tcW w:w="1806" w:type="dxa"/>
          </w:tcPr>
          <w:p w14:paraId="071893EC" w14:textId="77777777" w:rsidR="008C752B" w:rsidRDefault="00CE4761">
            <w:pPr>
              <w:jc w:val="right"/>
            </w:pPr>
            <w:r>
              <w:rPr>
                <w:rFonts w:ascii="Arial" w:hAnsi="Arial"/>
                <w:sz w:val="18"/>
              </w:rPr>
              <w:t>+0.06%</w:t>
            </w:r>
          </w:p>
        </w:tc>
      </w:tr>
      <w:tr w:rsidR="008C752B" w14:paraId="687F4E9A" w14:textId="77777777">
        <w:trPr>
          <w:jc w:val="center"/>
        </w:trPr>
        <w:tc>
          <w:tcPr>
            <w:tcW w:w="1806" w:type="dxa"/>
            <w:shd w:val="clear" w:color="auto" w:fill="F2F6FC"/>
          </w:tcPr>
          <w:p w14:paraId="04E01EE4" w14:textId="77777777" w:rsidR="008C752B" w:rsidRDefault="00CE4761">
            <w:r>
              <w:rPr>
                <w:rFonts w:ascii="Arial" w:hAnsi="Arial"/>
                <w:sz w:val="18"/>
              </w:rPr>
              <w:t>Diesel Combustion</w:t>
            </w:r>
          </w:p>
        </w:tc>
        <w:tc>
          <w:tcPr>
            <w:tcW w:w="1806" w:type="dxa"/>
            <w:shd w:val="clear" w:color="auto" w:fill="F2F6FC"/>
          </w:tcPr>
          <w:p w14:paraId="250DD431" w14:textId="77777777" w:rsidR="008C752B" w:rsidRDefault="00CE4761">
            <w:pPr>
              <w:jc w:val="right"/>
            </w:pPr>
            <w:r>
              <w:rPr>
                <w:rFonts w:ascii="Arial" w:hAnsi="Arial"/>
                <w:sz w:val="18"/>
              </w:rPr>
              <w:t>2,125.4888</w:t>
            </w:r>
          </w:p>
        </w:tc>
        <w:tc>
          <w:tcPr>
            <w:tcW w:w="1806" w:type="dxa"/>
            <w:shd w:val="clear" w:color="auto" w:fill="F2F6FC"/>
          </w:tcPr>
          <w:p w14:paraId="1E921A98" w14:textId="77777777" w:rsidR="008C752B" w:rsidRDefault="00CE4761">
            <w:pPr>
              <w:jc w:val="right"/>
            </w:pPr>
            <w:r>
              <w:rPr>
                <w:rFonts w:ascii="Arial" w:hAnsi="Arial"/>
                <w:sz w:val="18"/>
              </w:rPr>
              <w:t>2,203.2044</w:t>
            </w:r>
          </w:p>
        </w:tc>
        <w:tc>
          <w:tcPr>
            <w:tcW w:w="1806" w:type="dxa"/>
            <w:shd w:val="clear" w:color="auto" w:fill="F2F6FC"/>
          </w:tcPr>
          <w:p w14:paraId="6612F4EF" w14:textId="77777777" w:rsidR="008C752B" w:rsidRDefault="00CE4761">
            <w:pPr>
              <w:jc w:val="right"/>
            </w:pPr>
            <w:r>
              <w:rPr>
                <w:rFonts w:ascii="Arial" w:hAnsi="Arial"/>
                <w:sz w:val="18"/>
              </w:rPr>
              <w:t>+77.7156</w:t>
            </w:r>
          </w:p>
        </w:tc>
        <w:tc>
          <w:tcPr>
            <w:tcW w:w="1806" w:type="dxa"/>
            <w:shd w:val="clear" w:color="auto" w:fill="F2F6FC"/>
          </w:tcPr>
          <w:p w14:paraId="004B6C1D" w14:textId="77777777" w:rsidR="008C752B" w:rsidRDefault="00CE4761">
            <w:pPr>
              <w:jc w:val="right"/>
            </w:pPr>
            <w:r>
              <w:rPr>
                <w:rFonts w:ascii="Arial" w:hAnsi="Arial"/>
                <w:sz w:val="18"/>
              </w:rPr>
              <w:t>+3.66%</w:t>
            </w:r>
          </w:p>
        </w:tc>
      </w:tr>
      <w:tr w:rsidR="008C752B" w14:paraId="63626541" w14:textId="77777777">
        <w:trPr>
          <w:jc w:val="center"/>
        </w:trPr>
        <w:tc>
          <w:tcPr>
            <w:tcW w:w="1806" w:type="dxa"/>
          </w:tcPr>
          <w:p w14:paraId="76F76161" w14:textId="77777777" w:rsidR="008C752B" w:rsidRDefault="00CE4761">
            <w:r>
              <w:rPr>
                <w:rFonts w:ascii="Arial" w:hAnsi="Arial"/>
                <w:sz w:val="18"/>
              </w:rPr>
              <w:t>**Total Scope 1**</w:t>
            </w:r>
          </w:p>
        </w:tc>
        <w:tc>
          <w:tcPr>
            <w:tcW w:w="1806" w:type="dxa"/>
          </w:tcPr>
          <w:p w14:paraId="0B5FC2FF" w14:textId="77777777" w:rsidR="008C752B" w:rsidRDefault="00CE4761">
            <w:r>
              <w:rPr>
                <w:rFonts w:ascii="Arial" w:hAnsi="Arial"/>
                <w:sz w:val="18"/>
              </w:rPr>
              <w:t>**3,324.521**</w:t>
            </w:r>
          </w:p>
        </w:tc>
        <w:tc>
          <w:tcPr>
            <w:tcW w:w="1806" w:type="dxa"/>
          </w:tcPr>
          <w:p w14:paraId="73C874BE" w14:textId="77777777" w:rsidR="008C752B" w:rsidRDefault="00CE4761">
            <w:r>
              <w:rPr>
                <w:rFonts w:ascii="Arial" w:hAnsi="Arial"/>
                <w:sz w:val="18"/>
              </w:rPr>
              <w:t>**3,402.997**</w:t>
            </w:r>
          </w:p>
        </w:tc>
        <w:tc>
          <w:tcPr>
            <w:tcW w:w="1806" w:type="dxa"/>
          </w:tcPr>
          <w:p w14:paraId="6C33A17F" w14:textId="77777777" w:rsidR="008C752B" w:rsidRDefault="00CE4761">
            <w:r>
              <w:rPr>
                <w:rFonts w:ascii="Arial" w:hAnsi="Arial"/>
                <w:sz w:val="18"/>
              </w:rPr>
              <w:t>**+78.476**</w:t>
            </w:r>
          </w:p>
        </w:tc>
        <w:tc>
          <w:tcPr>
            <w:tcW w:w="1806" w:type="dxa"/>
          </w:tcPr>
          <w:p w14:paraId="13C76460" w14:textId="77777777" w:rsidR="008C752B" w:rsidRDefault="00CE4761">
            <w:r>
              <w:rPr>
                <w:rFonts w:ascii="Arial" w:hAnsi="Arial"/>
                <w:sz w:val="18"/>
              </w:rPr>
              <w:t>**+2.36%**</w:t>
            </w:r>
          </w:p>
        </w:tc>
      </w:tr>
    </w:tbl>
    <w:p w14:paraId="50D35929" w14:textId="77777777" w:rsidR="008C752B" w:rsidRDefault="00CE4761">
      <w:r>
        <w:rPr>
          <w:rFonts w:ascii="Arial" w:hAnsi="Arial"/>
          <w:i/>
          <w:sz w:val="16"/>
        </w:rPr>
        <w:t>Source: Prior year figures restated for consistency with current year methodology. No restatements were required for the 2023 base year.</w:t>
      </w:r>
    </w:p>
    <w:p w14:paraId="57105EF9" w14:textId="77777777" w:rsidR="008C752B" w:rsidRDefault="008C752B"/>
    <w:p w14:paraId="2A185192" w14:textId="77777777" w:rsidR="008C752B" w:rsidRDefault="00CE4761">
      <w:r>
        <w:rPr>
          <w:rFonts w:ascii="Arial" w:hAnsi="Arial"/>
          <w:b/>
          <w:sz w:val="20"/>
        </w:rPr>
        <w:t>Table E1-6c: Top 10 Facilities by Scope 1 Emissions (2024)</w:t>
      </w:r>
    </w:p>
    <w:tbl>
      <w:tblPr>
        <w:tblW w:w="0" w:type="auto"/>
        <w:jc w:val="center"/>
        <w:tblLook w:val="04A0" w:firstRow="1" w:lastRow="0" w:firstColumn="1" w:lastColumn="0" w:noHBand="0" w:noVBand="1"/>
      </w:tblPr>
      <w:tblGrid>
        <w:gridCol w:w="1806"/>
        <w:gridCol w:w="1806"/>
        <w:gridCol w:w="1806"/>
        <w:gridCol w:w="1806"/>
        <w:gridCol w:w="1806"/>
      </w:tblGrid>
      <w:tr w:rsidR="008C752B" w14:paraId="3BBE5EBA" w14:textId="77777777">
        <w:trPr>
          <w:jc w:val="center"/>
        </w:trPr>
        <w:tc>
          <w:tcPr>
            <w:tcW w:w="1806" w:type="dxa"/>
            <w:shd w:val="clear" w:color="auto" w:fill="1B3A6B"/>
          </w:tcPr>
          <w:p w14:paraId="01FE2316" w14:textId="77777777" w:rsidR="008C752B" w:rsidRDefault="00CE4761">
            <w:r>
              <w:rPr>
                <w:rFonts w:ascii="Arial" w:hAnsi="Arial"/>
                <w:b/>
                <w:color w:val="FFFFFF"/>
                <w:sz w:val="18"/>
              </w:rPr>
              <w:t>Facility ID</w:t>
            </w:r>
          </w:p>
        </w:tc>
        <w:tc>
          <w:tcPr>
            <w:tcW w:w="1806" w:type="dxa"/>
            <w:shd w:val="clear" w:color="auto" w:fill="1B3A6B"/>
          </w:tcPr>
          <w:p w14:paraId="0D94BCB1" w14:textId="77777777" w:rsidR="008C752B" w:rsidRDefault="00CE4761">
            <w:r>
              <w:rPr>
                <w:rFonts w:ascii="Arial" w:hAnsi="Arial"/>
                <w:b/>
                <w:color w:val="FFFFFF"/>
                <w:sz w:val="18"/>
              </w:rPr>
              <w:t>Natural Gas (tCO2e)</w:t>
            </w:r>
          </w:p>
        </w:tc>
        <w:tc>
          <w:tcPr>
            <w:tcW w:w="1806" w:type="dxa"/>
            <w:shd w:val="clear" w:color="auto" w:fill="1B3A6B"/>
          </w:tcPr>
          <w:p w14:paraId="1E178089" w14:textId="77777777" w:rsidR="008C752B" w:rsidRDefault="00CE4761">
            <w:r>
              <w:rPr>
                <w:rFonts w:ascii="Arial" w:hAnsi="Arial"/>
                <w:b/>
                <w:color w:val="FFFFFF"/>
                <w:sz w:val="18"/>
              </w:rPr>
              <w:t>Diesel (tCO2e)</w:t>
            </w:r>
          </w:p>
        </w:tc>
        <w:tc>
          <w:tcPr>
            <w:tcW w:w="1806" w:type="dxa"/>
            <w:shd w:val="clear" w:color="auto" w:fill="1B3A6B"/>
          </w:tcPr>
          <w:p w14:paraId="06AAD506" w14:textId="77777777" w:rsidR="008C752B" w:rsidRDefault="00CE4761">
            <w:r>
              <w:rPr>
                <w:rFonts w:ascii="Arial" w:hAnsi="Arial"/>
                <w:b/>
                <w:color w:val="FFFFFF"/>
                <w:sz w:val="18"/>
              </w:rPr>
              <w:t>Total Scope 1 (tCO2e)</w:t>
            </w:r>
          </w:p>
        </w:tc>
        <w:tc>
          <w:tcPr>
            <w:tcW w:w="1806" w:type="dxa"/>
            <w:shd w:val="clear" w:color="auto" w:fill="1B3A6B"/>
          </w:tcPr>
          <w:p w14:paraId="62BB0512" w14:textId="77777777" w:rsidR="008C752B" w:rsidRDefault="00CE4761">
            <w:r>
              <w:rPr>
                <w:rFonts w:ascii="Arial" w:hAnsi="Arial"/>
                <w:b/>
                <w:color w:val="FFFFFF"/>
                <w:sz w:val="18"/>
              </w:rPr>
              <w:t>Data Quality Score</w:t>
            </w:r>
          </w:p>
        </w:tc>
      </w:tr>
      <w:tr w:rsidR="008C752B" w14:paraId="2426595F" w14:textId="77777777">
        <w:trPr>
          <w:jc w:val="center"/>
        </w:trPr>
        <w:tc>
          <w:tcPr>
            <w:tcW w:w="1806" w:type="dxa"/>
          </w:tcPr>
          <w:p w14:paraId="1144E196" w14:textId="77777777" w:rsidR="008C752B" w:rsidRDefault="00CE4761">
            <w:r>
              <w:rPr>
                <w:rFonts w:ascii="Arial" w:hAnsi="Arial"/>
                <w:sz w:val="18"/>
              </w:rPr>
              <w:t>FAC-0197</w:t>
            </w:r>
          </w:p>
        </w:tc>
        <w:tc>
          <w:tcPr>
            <w:tcW w:w="1806" w:type="dxa"/>
          </w:tcPr>
          <w:p w14:paraId="1A8EED12" w14:textId="77777777" w:rsidR="008C752B" w:rsidRDefault="00CE4761">
            <w:pPr>
              <w:jc w:val="right"/>
            </w:pPr>
            <w:r>
              <w:rPr>
                <w:rFonts w:ascii="Arial" w:hAnsi="Arial"/>
                <w:sz w:val="18"/>
              </w:rPr>
              <w:t>65.1748</w:t>
            </w:r>
          </w:p>
        </w:tc>
        <w:tc>
          <w:tcPr>
            <w:tcW w:w="1806" w:type="dxa"/>
          </w:tcPr>
          <w:p w14:paraId="78297A24" w14:textId="77777777" w:rsidR="008C752B" w:rsidRDefault="00CE4761">
            <w:pPr>
              <w:jc w:val="right"/>
            </w:pPr>
            <w:r>
              <w:rPr>
                <w:rFonts w:ascii="Arial" w:hAnsi="Arial"/>
                <w:sz w:val="18"/>
              </w:rPr>
              <w:t>82.5404</w:t>
            </w:r>
          </w:p>
        </w:tc>
        <w:tc>
          <w:tcPr>
            <w:tcW w:w="1806" w:type="dxa"/>
          </w:tcPr>
          <w:p w14:paraId="6A3FB687" w14:textId="77777777" w:rsidR="008C752B" w:rsidRDefault="00CE4761">
            <w:pPr>
              <w:jc w:val="right"/>
            </w:pPr>
            <w:r>
              <w:rPr>
                <w:rFonts w:ascii="Arial" w:hAnsi="Arial"/>
                <w:sz w:val="18"/>
              </w:rPr>
              <w:t>147.7152</w:t>
            </w:r>
          </w:p>
        </w:tc>
        <w:tc>
          <w:tcPr>
            <w:tcW w:w="1806" w:type="dxa"/>
          </w:tcPr>
          <w:p w14:paraId="294A5833" w14:textId="77777777" w:rsidR="008C752B" w:rsidRDefault="00CE4761">
            <w:pPr>
              <w:jc w:val="right"/>
            </w:pPr>
            <w:r>
              <w:rPr>
                <w:rFonts w:ascii="Arial" w:hAnsi="Arial"/>
                <w:sz w:val="18"/>
              </w:rPr>
              <w:t>1</w:t>
            </w:r>
          </w:p>
        </w:tc>
      </w:tr>
      <w:tr w:rsidR="008C752B" w14:paraId="50D11C0E" w14:textId="77777777">
        <w:trPr>
          <w:jc w:val="center"/>
        </w:trPr>
        <w:tc>
          <w:tcPr>
            <w:tcW w:w="1806" w:type="dxa"/>
            <w:shd w:val="clear" w:color="auto" w:fill="F2F6FC"/>
          </w:tcPr>
          <w:p w14:paraId="6E3F57DE" w14:textId="77777777" w:rsidR="008C752B" w:rsidRDefault="00CE4761">
            <w:r>
              <w:rPr>
                <w:rFonts w:ascii="Arial" w:hAnsi="Arial"/>
                <w:sz w:val="18"/>
              </w:rPr>
              <w:t>FAC-0198</w:t>
            </w:r>
          </w:p>
        </w:tc>
        <w:tc>
          <w:tcPr>
            <w:tcW w:w="1806" w:type="dxa"/>
            <w:shd w:val="clear" w:color="auto" w:fill="F2F6FC"/>
          </w:tcPr>
          <w:p w14:paraId="0F1ACEFF" w14:textId="77777777" w:rsidR="008C752B" w:rsidRDefault="00CE4761">
            <w:pPr>
              <w:jc w:val="right"/>
            </w:pPr>
            <w:r>
              <w:rPr>
                <w:rFonts w:ascii="Arial" w:hAnsi="Arial"/>
                <w:sz w:val="18"/>
              </w:rPr>
              <w:t>54.4460</w:t>
            </w:r>
          </w:p>
        </w:tc>
        <w:tc>
          <w:tcPr>
            <w:tcW w:w="1806" w:type="dxa"/>
            <w:shd w:val="clear" w:color="auto" w:fill="F2F6FC"/>
          </w:tcPr>
          <w:p w14:paraId="1283BD1E" w14:textId="77777777" w:rsidR="008C752B" w:rsidRDefault="00CE4761">
            <w:pPr>
              <w:jc w:val="right"/>
            </w:pPr>
            <w:r>
              <w:rPr>
                <w:rFonts w:ascii="Arial" w:hAnsi="Arial"/>
                <w:sz w:val="18"/>
              </w:rPr>
              <w:t>83.3921</w:t>
            </w:r>
          </w:p>
        </w:tc>
        <w:tc>
          <w:tcPr>
            <w:tcW w:w="1806" w:type="dxa"/>
            <w:shd w:val="clear" w:color="auto" w:fill="F2F6FC"/>
          </w:tcPr>
          <w:p w14:paraId="62FAEF61" w14:textId="77777777" w:rsidR="008C752B" w:rsidRDefault="00CE4761">
            <w:pPr>
              <w:jc w:val="right"/>
            </w:pPr>
            <w:r>
              <w:rPr>
                <w:rFonts w:ascii="Arial" w:hAnsi="Arial"/>
                <w:sz w:val="18"/>
              </w:rPr>
              <w:t>137.8381</w:t>
            </w:r>
          </w:p>
        </w:tc>
        <w:tc>
          <w:tcPr>
            <w:tcW w:w="1806" w:type="dxa"/>
            <w:shd w:val="clear" w:color="auto" w:fill="F2F6FC"/>
          </w:tcPr>
          <w:p w14:paraId="4FBE4104" w14:textId="77777777" w:rsidR="008C752B" w:rsidRDefault="00CE4761">
            <w:pPr>
              <w:jc w:val="right"/>
            </w:pPr>
            <w:r>
              <w:rPr>
                <w:rFonts w:ascii="Arial" w:hAnsi="Arial"/>
                <w:sz w:val="18"/>
              </w:rPr>
              <w:t>1</w:t>
            </w:r>
          </w:p>
        </w:tc>
      </w:tr>
      <w:tr w:rsidR="008C752B" w14:paraId="0C40B119" w14:textId="77777777">
        <w:trPr>
          <w:jc w:val="center"/>
        </w:trPr>
        <w:tc>
          <w:tcPr>
            <w:tcW w:w="1806" w:type="dxa"/>
          </w:tcPr>
          <w:p w14:paraId="012E2A9E" w14:textId="77777777" w:rsidR="008C752B" w:rsidRDefault="00CE4761">
            <w:r>
              <w:rPr>
                <w:rFonts w:ascii="Arial" w:hAnsi="Arial"/>
                <w:sz w:val="18"/>
              </w:rPr>
              <w:t>FAC-0200</w:t>
            </w:r>
          </w:p>
        </w:tc>
        <w:tc>
          <w:tcPr>
            <w:tcW w:w="1806" w:type="dxa"/>
          </w:tcPr>
          <w:p w14:paraId="6325A798" w14:textId="77777777" w:rsidR="008C752B" w:rsidRDefault="00CE4761">
            <w:pPr>
              <w:jc w:val="right"/>
            </w:pPr>
            <w:r>
              <w:rPr>
                <w:rFonts w:ascii="Arial" w:hAnsi="Arial"/>
                <w:sz w:val="18"/>
              </w:rPr>
              <w:t>57.0202</w:t>
            </w:r>
          </w:p>
        </w:tc>
        <w:tc>
          <w:tcPr>
            <w:tcW w:w="1806" w:type="dxa"/>
          </w:tcPr>
          <w:p w14:paraId="369B54E7" w14:textId="77777777" w:rsidR="008C752B" w:rsidRDefault="00CE4761">
            <w:pPr>
              <w:jc w:val="right"/>
            </w:pPr>
            <w:r>
              <w:rPr>
                <w:rFonts w:ascii="Arial" w:hAnsi="Arial"/>
                <w:sz w:val="18"/>
              </w:rPr>
              <w:t>74.4220</w:t>
            </w:r>
          </w:p>
        </w:tc>
        <w:tc>
          <w:tcPr>
            <w:tcW w:w="1806" w:type="dxa"/>
          </w:tcPr>
          <w:p w14:paraId="0014E954" w14:textId="77777777" w:rsidR="008C752B" w:rsidRDefault="00CE4761">
            <w:pPr>
              <w:jc w:val="right"/>
            </w:pPr>
            <w:r>
              <w:rPr>
                <w:rFonts w:ascii="Arial" w:hAnsi="Arial"/>
                <w:sz w:val="18"/>
              </w:rPr>
              <w:t>131.4422</w:t>
            </w:r>
          </w:p>
        </w:tc>
        <w:tc>
          <w:tcPr>
            <w:tcW w:w="1806" w:type="dxa"/>
          </w:tcPr>
          <w:p w14:paraId="3D47F2F7" w14:textId="77777777" w:rsidR="008C752B" w:rsidRDefault="00CE4761">
            <w:pPr>
              <w:jc w:val="right"/>
            </w:pPr>
            <w:r>
              <w:rPr>
                <w:rFonts w:ascii="Arial" w:hAnsi="Arial"/>
                <w:sz w:val="18"/>
              </w:rPr>
              <w:t>1</w:t>
            </w:r>
          </w:p>
        </w:tc>
      </w:tr>
      <w:tr w:rsidR="008C752B" w14:paraId="43898823" w14:textId="77777777">
        <w:trPr>
          <w:jc w:val="center"/>
        </w:trPr>
        <w:tc>
          <w:tcPr>
            <w:tcW w:w="1806" w:type="dxa"/>
            <w:shd w:val="clear" w:color="auto" w:fill="F2F6FC"/>
          </w:tcPr>
          <w:p w14:paraId="28D6B226" w14:textId="77777777" w:rsidR="008C752B" w:rsidRDefault="00CE4761">
            <w:r>
              <w:rPr>
                <w:rFonts w:ascii="Arial" w:hAnsi="Arial"/>
                <w:sz w:val="18"/>
              </w:rPr>
              <w:t>FAC-0196</w:t>
            </w:r>
          </w:p>
        </w:tc>
        <w:tc>
          <w:tcPr>
            <w:tcW w:w="1806" w:type="dxa"/>
            <w:shd w:val="clear" w:color="auto" w:fill="F2F6FC"/>
          </w:tcPr>
          <w:p w14:paraId="4F7D19C5" w14:textId="77777777" w:rsidR="008C752B" w:rsidRDefault="00CE4761">
            <w:pPr>
              <w:jc w:val="right"/>
            </w:pPr>
            <w:r>
              <w:rPr>
                <w:rFonts w:ascii="Arial" w:hAnsi="Arial"/>
                <w:sz w:val="18"/>
              </w:rPr>
              <w:t>51.7527</w:t>
            </w:r>
          </w:p>
        </w:tc>
        <w:tc>
          <w:tcPr>
            <w:tcW w:w="1806" w:type="dxa"/>
            <w:shd w:val="clear" w:color="auto" w:fill="F2F6FC"/>
          </w:tcPr>
          <w:p w14:paraId="0D527CBA" w14:textId="77777777" w:rsidR="008C752B" w:rsidRDefault="00CE4761">
            <w:pPr>
              <w:jc w:val="right"/>
            </w:pPr>
            <w:r>
              <w:rPr>
                <w:rFonts w:ascii="Arial" w:hAnsi="Arial"/>
                <w:sz w:val="18"/>
              </w:rPr>
              <w:t>72.6692</w:t>
            </w:r>
          </w:p>
        </w:tc>
        <w:tc>
          <w:tcPr>
            <w:tcW w:w="1806" w:type="dxa"/>
            <w:shd w:val="clear" w:color="auto" w:fill="F2F6FC"/>
          </w:tcPr>
          <w:p w14:paraId="30879D19" w14:textId="77777777" w:rsidR="008C752B" w:rsidRDefault="00CE4761">
            <w:pPr>
              <w:jc w:val="right"/>
            </w:pPr>
            <w:r>
              <w:rPr>
                <w:rFonts w:ascii="Arial" w:hAnsi="Arial"/>
                <w:sz w:val="18"/>
              </w:rPr>
              <w:t>124.4219</w:t>
            </w:r>
          </w:p>
        </w:tc>
        <w:tc>
          <w:tcPr>
            <w:tcW w:w="1806" w:type="dxa"/>
            <w:shd w:val="clear" w:color="auto" w:fill="F2F6FC"/>
          </w:tcPr>
          <w:p w14:paraId="5DA2A464" w14:textId="77777777" w:rsidR="008C752B" w:rsidRDefault="00CE4761">
            <w:pPr>
              <w:jc w:val="right"/>
            </w:pPr>
            <w:r>
              <w:rPr>
                <w:rFonts w:ascii="Arial" w:hAnsi="Arial"/>
                <w:sz w:val="18"/>
              </w:rPr>
              <w:t>1</w:t>
            </w:r>
          </w:p>
        </w:tc>
      </w:tr>
      <w:tr w:rsidR="008C752B" w14:paraId="2744943B" w14:textId="77777777">
        <w:trPr>
          <w:jc w:val="center"/>
        </w:trPr>
        <w:tc>
          <w:tcPr>
            <w:tcW w:w="1806" w:type="dxa"/>
          </w:tcPr>
          <w:p w14:paraId="0E389191" w14:textId="77777777" w:rsidR="008C752B" w:rsidRDefault="00CE4761">
            <w:r>
              <w:rPr>
                <w:rFonts w:ascii="Arial" w:hAnsi="Arial"/>
                <w:sz w:val="18"/>
              </w:rPr>
              <w:t>FAC-0199</w:t>
            </w:r>
          </w:p>
        </w:tc>
        <w:tc>
          <w:tcPr>
            <w:tcW w:w="1806" w:type="dxa"/>
          </w:tcPr>
          <w:p w14:paraId="2B351BE7" w14:textId="77777777" w:rsidR="008C752B" w:rsidRDefault="00CE4761">
            <w:pPr>
              <w:jc w:val="right"/>
            </w:pPr>
            <w:r>
              <w:rPr>
                <w:rFonts w:ascii="Arial" w:hAnsi="Arial"/>
                <w:sz w:val="18"/>
              </w:rPr>
              <w:t>52.0150</w:t>
            </w:r>
          </w:p>
        </w:tc>
        <w:tc>
          <w:tcPr>
            <w:tcW w:w="1806" w:type="dxa"/>
          </w:tcPr>
          <w:p w14:paraId="2F7C378C" w14:textId="77777777" w:rsidR="008C752B" w:rsidRDefault="00CE4761">
            <w:pPr>
              <w:jc w:val="right"/>
            </w:pPr>
            <w:r>
              <w:rPr>
                <w:rFonts w:ascii="Arial" w:hAnsi="Arial"/>
                <w:sz w:val="18"/>
              </w:rPr>
              <w:t>57.3972</w:t>
            </w:r>
          </w:p>
        </w:tc>
        <w:tc>
          <w:tcPr>
            <w:tcW w:w="1806" w:type="dxa"/>
          </w:tcPr>
          <w:p w14:paraId="4B6BCC67" w14:textId="77777777" w:rsidR="008C752B" w:rsidRDefault="00CE4761">
            <w:pPr>
              <w:jc w:val="right"/>
            </w:pPr>
            <w:r>
              <w:rPr>
                <w:rFonts w:ascii="Arial" w:hAnsi="Arial"/>
                <w:sz w:val="18"/>
              </w:rPr>
              <w:t>109.4122</w:t>
            </w:r>
          </w:p>
        </w:tc>
        <w:tc>
          <w:tcPr>
            <w:tcW w:w="1806" w:type="dxa"/>
          </w:tcPr>
          <w:p w14:paraId="018D5D65" w14:textId="77777777" w:rsidR="008C752B" w:rsidRDefault="00CE4761">
            <w:pPr>
              <w:jc w:val="right"/>
            </w:pPr>
            <w:r>
              <w:rPr>
                <w:rFonts w:ascii="Arial" w:hAnsi="Arial"/>
                <w:sz w:val="18"/>
              </w:rPr>
              <w:t>1</w:t>
            </w:r>
          </w:p>
        </w:tc>
      </w:tr>
      <w:tr w:rsidR="008C752B" w14:paraId="7FCC1008" w14:textId="77777777">
        <w:trPr>
          <w:jc w:val="center"/>
        </w:trPr>
        <w:tc>
          <w:tcPr>
            <w:tcW w:w="1806" w:type="dxa"/>
            <w:shd w:val="clear" w:color="auto" w:fill="F2F6FC"/>
          </w:tcPr>
          <w:p w14:paraId="0CF7592E" w14:textId="77777777" w:rsidR="008C752B" w:rsidRDefault="00CE4761">
            <w:r>
              <w:rPr>
                <w:rFonts w:ascii="Arial" w:hAnsi="Arial"/>
                <w:sz w:val="18"/>
              </w:rPr>
              <w:t>FAC-0193</w:t>
            </w:r>
          </w:p>
        </w:tc>
        <w:tc>
          <w:tcPr>
            <w:tcW w:w="1806" w:type="dxa"/>
            <w:shd w:val="clear" w:color="auto" w:fill="F2F6FC"/>
          </w:tcPr>
          <w:p w14:paraId="0824EC1B" w14:textId="77777777" w:rsidR="008C752B" w:rsidRDefault="00CE4761">
            <w:pPr>
              <w:jc w:val="right"/>
            </w:pPr>
            <w:r>
              <w:rPr>
                <w:rFonts w:ascii="Arial" w:hAnsi="Arial"/>
                <w:sz w:val="18"/>
              </w:rPr>
              <w:t>0.0000</w:t>
            </w:r>
          </w:p>
        </w:tc>
        <w:tc>
          <w:tcPr>
            <w:tcW w:w="1806" w:type="dxa"/>
            <w:shd w:val="clear" w:color="auto" w:fill="F2F6FC"/>
          </w:tcPr>
          <w:p w14:paraId="0B826DFD" w14:textId="77777777" w:rsidR="008C752B" w:rsidRDefault="00CE4761">
            <w:pPr>
              <w:jc w:val="right"/>
            </w:pPr>
            <w:r>
              <w:rPr>
                <w:rFonts w:ascii="Arial" w:hAnsi="Arial"/>
                <w:sz w:val="18"/>
              </w:rPr>
              <w:t>72.3228</w:t>
            </w:r>
          </w:p>
        </w:tc>
        <w:tc>
          <w:tcPr>
            <w:tcW w:w="1806" w:type="dxa"/>
            <w:shd w:val="clear" w:color="auto" w:fill="F2F6FC"/>
          </w:tcPr>
          <w:p w14:paraId="25C23826" w14:textId="77777777" w:rsidR="008C752B" w:rsidRDefault="00CE4761">
            <w:pPr>
              <w:jc w:val="right"/>
            </w:pPr>
            <w:r>
              <w:rPr>
                <w:rFonts w:ascii="Arial" w:hAnsi="Arial"/>
                <w:sz w:val="18"/>
              </w:rPr>
              <w:t>72.3228</w:t>
            </w:r>
          </w:p>
        </w:tc>
        <w:tc>
          <w:tcPr>
            <w:tcW w:w="1806" w:type="dxa"/>
            <w:shd w:val="clear" w:color="auto" w:fill="F2F6FC"/>
          </w:tcPr>
          <w:p w14:paraId="26F0D299" w14:textId="77777777" w:rsidR="008C752B" w:rsidRDefault="00CE4761">
            <w:pPr>
              <w:jc w:val="right"/>
            </w:pPr>
            <w:r>
              <w:rPr>
                <w:rFonts w:ascii="Arial" w:hAnsi="Arial"/>
                <w:sz w:val="18"/>
              </w:rPr>
              <w:t>1</w:t>
            </w:r>
          </w:p>
        </w:tc>
      </w:tr>
      <w:tr w:rsidR="008C752B" w14:paraId="0CE1D867" w14:textId="77777777">
        <w:trPr>
          <w:jc w:val="center"/>
        </w:trPr>
        <w:tc>
          <w:tcPr>
            <w:tcW w:w="1806" w:type="dxa"/>
          </w:tcPr>
          <w:p w14:paraId="5290004C" w14:textId="77777777" w:rsidR="008C752B" w:rsidRDefault="00CE4761">
            <w:r>
              <w:rPr>
                <w:rFonts w:ascii="Arial" w:hAnsi="Arial"/>
                <w:sz w:val="18"/>
              </w:rPr>
              <w:t>FAC-0215</w:t>
            </w:r>
          </w:p>
        </w:tc>
        <w:tc>
          <w:tcPr>
            <w:tcW w:w="1806" w:type="dxa"/>
          </w:tcPr>
          <w:p w14:paraId="79684FBA" w14:textId="77777777" w:rsidR="008C752B" w:rsidRDefault="00CE4761">
            <w:pPr>
              <w:jc w:val="right"/>
            </w:pPr>
            <w:r>
              <w:rPr>
                <w:rFonts w:ascii="Arial" w:hAnsi="Arial"/>
                <w:sz w:val="18"/>
              </w:rPr>
              <w:t>23.5860</w:t>
            </w:r>
          </w:p>
        </w:tc>
        <w:tc>
          <w:tcPr>
            <w:tcW w:w="1806" w:type="dxa"/>
          </w:tcPr>
          <w:p w14:paraId="31C796E5" w14:textId="77777777" w:rsidR="008C752B" w:rsidRDefault="00CE4761">
            <w:pPr>
              <w:jc w:val="right"/>
            </w:pPr>
            <w:r>
              <w:rPr>
                <w:rFonts w:ascii="Arial" w:hAnsi="Arial"/>
                <w:sz w:val="18"/>
              </w:rPr>
              <w:t>47.0197</w:t>
            </w:r>
          </w:p>
        </w:tc>
        <w:tc>
          <w:tcPr>
            <w:tcW w:w="1806" w:type="dxa"/>
          </w:tcPr>
          <w:p w14:paraId="50F4A0A3" w14:textId="77777777" w:rsidR="008C752B" w:rsidRDefault="00CE4761">
            <w:pPr>
              <w:jc w:val="right"/>
            </w:pPr>
            <w:r>
              <w:rPr>
                <w:rFonts w:ascii="Arial" w:hAnsi="Arial"/>
                <w:sz w:val="18"/>
              </w:rPr>
              <w:t>70.6057</w:t>
            </w:r>
          </w:p>
        </w:tc>
        <w:tc>
          <w:tcPr>
            <w:tcW w:w="1806" w:type="dxa"/>
          </w:tcPr>
          <w:p w14:paraId="53C37810" w14:textId="77777777" w:rsidR="008C752B" w:rsidRDefault="00CE4761">
            <w:pPr>
              <w:jc w:val="right"/>
            </w:pPr>
            <w:r>
              <w:rPr>
                <w:rFonts w:ascii="Arial" w:hAnsi="Arial"/>
                <w:sz w:val="18"/>
              </w:rPr>
              <w:t>1</w:t>
            </w:r>
          </w:p>
        </w:tc>
      </w:tr>
      <w:tr w:rsidR="008C752B" w14:paraId="59AB4919" w14:textId="77777777">
        <w:trPr>
          <w:jc w:val="center"/>
        </w:trPr>
        <w:tc>
          <w:tcPr>
            <w:tcW w:w="1806" w:type="dxa"/>
            <w:shd w:val="clear" w:color="auto" w:fill="F2F6FC"/>
          </w:tcPr>
          <w:p w14:paraId="4F37B20C" w14:textId="77777777" w:rsidR="008C752B" w:rsidRDefault="00CE4761">
            <w:r>
              <w:rPr>
                <w:rFonts w:ascii="Arial" w:hAnsi="Arial"/>
                <w:sz w:val="18"/>
              </w:rPr>
              <w:t>FAC-0191</w:t>
            </w:r>
          </w:p>
        </w:tc>
        <w:tc>
          <w:tcPr>
            <w:tcW w:w="1806" w:type="dxa"/>
            <w:shd w:val="clear" w:color="auto" w:fill="F2F6FC"/>
          </w:tcPr>
          <w:p w14:paraId="26B64CE7" w14:textId="77777777" w:rsidR="008C752B" w:rsidRDefault="00CE4761">
            <w:pPr>
              <w:jc w:val="right"/>
            </w:pPr>
            <w:r>
              <w:rPr>
                <w:rFonts w:ascii="Arial" w:hAnsi="Arial"/>
                <w:sz w:val="18"/>
              </w:rPr>
              <w:t>0.0000</w:t>
            </w:r>
          </w:p>
        </w:tc>
        <w:tc>
          <w:tcPr>
            <w:tcW w:w="1806" w:type="dxa"/>
            <w:shd w:val="clear" w:color="auto" w:fill="F2F6FC"/>
          </w:tcPr>
          <w:p w14:paraId="3AB10BE4" w14:textId="77777777" w:rsidR="008C752B" w:rsidRDefault="00CE4761">
            <w:pPr>
              <w:jc w:val="right"/>
            </w:pPr>
            <w:r>
              <w:rPr>
                <w:rFonts w:ascii="Arial" w:hAnsi="Arial"/>
                <w:sz w:val="18"/>
              </w:rPr>
              <w:t>67.3744</w:t>
            </w:r>
          </w:p>
        </w:tc>
        <w:tc>
          <w:tcPr>
            <w:tcW w:w="1806" w:type="dxa"/>
            <w:shd w:val="clear" w:color="auto" w:fill="F2F6FC"/>
          </w:tcPr>
          <w:p w14:paraId="3521F8BB" w14:textId="77777777" w:rsidR="008C752B" w:rsidRDefault="00CE4761">
            <w:pPr>
              <w:jc w:val="right"/>
            </w:pPr>
            <w:r>
              <w:rPr>
                <w:rFonts w:ascii="Arial" w:hAnsi="Arial"/>
                <w:sz w:val="18"/>
              </w:rPr>
              <w:t>67.3744</w:t>
            </w:r>
          </w:p>
        </w:tc>
        <w:tc>
          <w:tcPr>
            <w:tcW w:w="1806" w:type="dxa"/>
            <w:shd w:val="clear" w:color="auto" w:fill="F2F6FC"/>
          </w:tcPr>
          <w:p w14:paraId="734FDBAC" w14:textId="77777777" w:rsidR="008C752B" w:rsidRDefault="00CE4761">
            <w:pPr>
              <w:jc w:val="right"/>
            </w:pPr>
            <w:r>
              <w:rPr>
                <w:rFonts w:ascii="Arial" w:hAnsi="Arial"/>
                <w:sz w:val="18"/>
              </w:rPr>
              <w:t>1</w:t>
            </w:r>
          </w:p>
        </w:tc>
      </w:tr>
      <w:tr w:rsidR="008C752B" w14:paraId="6A658F77" w14:textId="77777777">
        <w:trPr>
          <w:jc w:val="center"/>
        </w:trPr>
        <w:tc>
          <w:tcPr>
            <w:tcW w:w="1806" w:type="dxa"/>
          </w:tcPr>
          <w:p w14:paraId="1B20286A" w14:textId="77777777" w:rsidR="008C752B" w:rsidRDefault="00CE4761">
            <w:r>
              <w:rPr>
                <w:rFonts w:ascii="Arial" w:hAnsi="Arial"/>
                <w:sz w:val="18"/>
              </w:rPr>
              <w:lastRenderedPageBreak/>
              <w:t>FAC-0181</w:t>
            </w:r>
          </w:p>
        </w:tc>
        <w:tc>
          <w:tcPr>
            <w:tcW w:w="1806" w:type="dxa"/>
          </w:tcPr>
          <w:p w14:paraId="3BBB264D" w14:textId="77777777" w:rsidR="008C752B" w:rsidRDefault="00CE4761">
            <w:pPr>
              <w:jc w:val="right"/>
            </w:pPr>
            <w:r>
              <w:rPr>
                <w:rFonts w:ascii="Arial" w:hAnsi="Arial"/>
                <w:sz w:val="18"/>
              </w:rPr>
              <w:t>0.0000</w:t>
            </w:r>
          </w:p>
        </w:tc>
        <w:tc>
          <w:tcPr>
            <w:tcW w:w="1806" w:type="dxa"/>
          </w:tcPr>
          <w:p w14:paraId="15B92FDE" w14:textId="77777777" w:rsidR="008C752B" w:rsidRDefault="00CE4761">
            <w:pPr>
              <w:jc w:val="right"/>
            </w:pPr>
            <w:r>
              <w:rPr>
                <w:rFonts w:ascii="Arial" w:hAnsi="Arial"/>
                <w:sz w:val="18"/>
              </w:rPr>
              <w:t>63.7580</w:t>
            </w:r>
          </w:p>
        </w:tc>
        <w:tc>
          <w:tcPr>
            <w:tcW w:w="1806" w:type="dxa"/>
          </w:tcPr>
          <w:p w14:paraId="7C6E0D98" w14:textId="77777777" w:rsidR="008C752B" w:rsidRDefault="00CE4761">
            <w:pPr>
              <w:jc w:val="right"/>
            </w:pPr>
            <w:r>
              <w:rPr>
                <w:rFonts w:ascii="Arial" w:hAnsi="Arial"/>
                <w:sz w:val="18"/>
              </w:rPr>
              <w:t>63.7580</w:t>
            </w:r>
          </w:p>
        </w:tc>
        <w:tc>
          <w:tcPr>
            <w:tcW w:w="1806" w:type="dxa"/>
          </w:tcPr>
          <w:p w14:paraId="250C7808" w14:textId="77777777" w:rsidR="008C752B" w:rsidRDefault="00CE4761">
            <w:pPr>
              <w:jc w:val="right"/>
            </w:pPr>
            <w:r>
              <w:rPr>
                <w:rFonts w:ascii="Arial" w:hAnsi="Arial"/>
                <w:sz w:val="18"/>
              </w:rPr>
              <w:t>1</w:t>
            </w:r>
          </w:p>
        </w:tc>
      </w:tr>
      <w:tr w:rsidR="008C752B" w14:paraId="65D12308" w14:textId="77777777">
        <w:trPr>
          <w:jc w:val="center"/>
        </w:trPr>
        <w:tc>
          <w:tcPr>
            <w:tcW w:w="1806" w:type="dxa"/>
            <w:shd w:val="clear" w:color="auto" w:fill="F2F6FC"/>
          </w:tcPr>
          <w:p w14:paraId="553DA9C9" w14:textId="77777777" w:rsidR="008C752B" w:rsidRDefault="00CE4761">
            <w:r>
              <w:rPr>
                <w:rFonts w:ascii="Arial" w:hAnsi="Arial"/>
                <w:sz w:val="18"/>
              </w:rPr>
              <w:t>FAC-0208</w:t>
            </w:r>
          </w:p>
        </w:tc>
        <w:tc>
          <w:tcPr>
            <w:tcW w:w="1806" w:type="dxa"/>
            <w:shd w:val="clear" w:color="auto" w:fill="F2F6FC"/>
          </w:tcPr>
          <w:p w14:paraId="39A770E4" w14:textId="77777777" w:rsidR="008C752B" w:rsidRDefault="00CE4761">
            <w:pPr>
              <w:jc w:val="right"/>
            </w:pPr>
            <w:r>
              <w:rPr>
                <w:rFonts w:ascii="Arial" w:hAnsi="Arial"/>
                <w:sz w:val="18"/>
              </w:rPr>
              <w:t>23.7606</w:t>
            </w:r>
          </w:p>
        </w:tc>
        <w:tc>
          <w:tcPr>
            <w:tcW w:w="1806" w:type="dxa"/>
            <w:shd w:val="clear" w:color="auto" w:fill="F2F6FC"/>
          </w:tcPr>
          <w:p w14:paraId="67A2B1BE" w14:textId="77777777" w:rsidR="008C752B" w:rsidRDefault="00CE4761">
            <w:pPr>
              <w:jc w:val="right"/>
            </w:pPr>
            <w:r>
              <w:rPr>
                <w:rFonts w:ascii="Arial" w:hAnsi="Arial"/>
                <w:sz w:val="18"/>
              </w:rPr>
              <w:t>39.7546</w:t>
            </w:r>
          </w:p>
        </w:tc>
        <w:tc>
          <w:tcPr>
            <w:tcW w:w="1806" w:type="dxa"/>
            <w:shd w:val="clear" w:color="auto" w:fill="F2F6FC"/>
          </w:tcPr>
          <w:p w14:paraId="6789BAD6" w14:textId="77777777" w:rsidR="008C752B" w:rsidRDefault="00CE4761">
            <w:pPr>
              <w:jc w:val="right"/>
            </w:pPr>
            <w:r>
              <w:rPr>
                <w:rFonts w:ascii="Arial" w:hAnsi="Arial"/>
                <w:sz w:val="18"/>
              </w:rPr>
              <w:t>63.5152</w:t>
            </w:r>
          </w:p>
        </w:tc>
        <w:tc>
          <w:tcPr>
            <w:tcW w:w="1806" w:type="dxa"/>
            <w:shd w:val="clear" w:color="auto" w:fill="F2F6FC"/>
          </w:tcPr>
          <w:p w14:paraId="29D18467" w14:textId="77777777" w:rsidR="008C752B" w:rsidRDefault="00CE4761">
            <w:pPr>
              <w:jc w:val="right"/>
            </w:pPr>
            <w:r>
              <w:rPr>
                <w:rFonts w:ascii="Arial" w:hAnsi="Arial"/>
                <w:sz w:val="18"/>
              </w:rPr>
              <w:t>1</w:t>
            </w:r>
          </w:p>
        </w:tc>
      </w:tr>
    </w:tbl>
    <w:p w14:paraId="2339CBEA" w14:textId="77777777" w:rsidR="008C752B" w:rsidRDefault="00CE4761">
      <w:r>
        <w:rPr>
          <w:rFonts w:ascii="Arial" w:hAnsi="Arial"/>
          <w:i/>
          <w:sz w:val="16"/>
        </w:rPr>
        <w:t>Source: Data quality score: 1 = primary metered data; 2 = supplier-specific data; 3 = industry average; 4 = proxy/estimated. All top 10 facilities achieved Score 1 (highest quality) for the reporting period.</w:t>
      </w:r>
    </w:p>
    <w:p w14:paraId="7B5099F5" w14:textId="77777777" w:rsidR="008C752B" w:rsidRDefault="008C752B"/>
    <w:p w14:paraId="5E2F56EB" w14:textId="77777777" w:rsidR="008C752B" w:rsidRDefault="00CE4761">
      <w:r>
        <w:rPr>
          <w:i/>
          <w:color w:val="3D6094"/>
          <w:sz w:val="18"/>
        </w:rPr>
        <w:t>Framework references: ESRS E1-6 (Gross Scopes 1, 2, 3 and Total GHG emissions); ESRS 2 IRO-1 (Material climate-related impacts); GHG Protocol Corporate Standard (2015); IPCC AR6 GWP100 values</w:t>
      </w:r>
    </w:p>
    <w:p w14:paraId="59266C95" w14:textId="77777777" w:rsidR="008C752B" w:rsidRDefault="008C752B">
      <w:pPr>
        <w:pBdr>
          <w:bottom w:val="single" w:sz="6" w:space="1" w:color="999999"/>
        </w:pBdr>
        <w:spacing w:after="80"/>
      </w:pPr>
    </w:p>
    <w:p w14:paraId="32206998" w14:textId="77777777" w:rsidR="008C752B" w:rsidRDefault="00CE4761">
      <w:pPr>
        <w:spacing w:after="160"/>
        <w:jc w:val="both"/>
      </w:pPr>
      <w:r>
        <w:rPr>
          <w:rFonts w:ascii="Arial" w:hAnsi="Arial"/>
          <w:i/>
          <w:color w:val="646464"/>
          <w:sz w:val="18"/>
        </w:rPr>
        <w:t>These figures have not been subject to external assurance for the current reporting period.</w:t>
      </w:r>
    </w:p>
    <w:p w14:paraId="207FC16A" w14:textId="77777777" w:rsidR="008C752B" w:rsidRDefault="00CE4761">
      <w:pPr>
        <w:spacing w:after="160"/>
        <w:jc w:val="both"/>
      </w:pPr>
      <w:r>
        <w:rPr>
          <w:rFonts w:ascii="Arial" w:hAnsi="Arial"/>
          <w:i/>
          <w:color w:val="646464"/>
          <w:sz w:val="18"/>
        </w:rPr>
        <w:t>Reconciliation verification: Natural gas emissions (1,199.7924 tCO2e) + Diesel emissions (2,203.2044 tCO2e) = Total Scope 1 (3,402.997 tCO2e). Values reconcile within rounding tolerance.</w:t>
      </w:r>
    </w:p>
    <w:p w14:paraId="602BC723" w14:textId="77777777" w:rsidR="008C752B" w:rsidRDefault="00CE4761">
      <w:pPr>
        <w:spacing w:after="160"/>
        <w:jc w:val="both"/>
      </w:pPr>
      <w:r>
        <w:rPr>
          <w:rFonts w:ascii="Arial" w:hAnsi="Arial"/>
          <w:i/>
          <w:color w:val="646464"/>
          <w:sz w:val="18"/>
        </w:rPr>
        <w:t>Organizational boundary: All emissions reported under operational control consolidation approach per GHG Protocol. Facilities where the institution has operational control over energy procurement and consumption decisions are included.</w:t>
      </w:r>
    </w:p>
    <w:p w14:paraId="0A837C6F" w14:textId="77777777" w:rsidR="008C752B" w:rsidRDefault="00CE4761">
      <w:pPr>
        <w:spacing w:after="160"/>
        <w:jc w:val="both"/>
      </w:pPr>
      <w:r>
        <w:rPr>
          <w:rFonts w:ascii="Arial" w:hAnsi="Arial"/>
          <w:i/>
          <w:color w:val="646464"/>
          <w:sz w:val="18"/>
        </w:rPr>
        <w:t>Biogenic CO2 emissions: Not applicable. The institution does not combust biomass or biofuels in Scope 1 sources during the reporting period.</w:t>
      </w:r>
    </w:p>
    <w:p w14:paraId="71496552" w14:textId="77777777" w:rsidR="008C752B" w:rsidRDefault="00CE4761">
      <w:r>
        <w:br w:type="page"/>
      </w:r>
    </w:p>
    <w:p w14:paraId="27C0E111" w14:textId="77777777" w:rsidR="008C752B" w:rsidRDefault="00CE4761">
      <w:pPr>
        <w:pStyle w:val="Heading1"/>
        <w:spacing w:after="240"/>
      </w:pPr>
      <w:bookmarkStart w:id="6" w:name="_Toc231550611"/>
      <w:r>
        <w:rPr>
          <w:rFonts w:ascii="Arial" w:hAnsi="Arial"/>
          <w:color w:val="1B3A6B"/>
          <w:sz w:val="36"/>
        </w:rPr>
        <w:lastRenderedPageBreak/>
        <w:t>Emisi GRK Langsung (Scope 1) / Scope 1 Direct GHG Emissions</w:t>
      </w:r>
      <w:bookmarkEnd w:id="6"/>
    </w:p>
    <w:p w14:paraId="2D8720C5" w14:textId="77777777" w:rsidR="008C752B" w:rsidRDefault="00CE4761">
      <w:pPr>
        <w:spacing w:after="160"/>
        <w:jc w:val="both"/>
      </w:pPr>
      <w:r>
        <w:rPr>
          <w:rFonts w:ascii="Arial" w:hAnsi="Arial"/>
        </w:rPr>
        <w:t>The institution reported total Scope 1 direct greenhouse gas emissions of 3,402.997 tCO2e for Reporting Year 2024, representing emissions from sources owned or controlled by the institution under the operational control consolidation approach. These emissions are reported in accordance with POJK No. 51/POJK.03/2017 tentang Penerapan Keuangan Berkelanjutan bagi Lembaga Jasa Keuangan, Emiten, dan Perusahaan Publik (POJK 51/2017) and the GHG Protocol Corporate Accounting and Reporting Standard (2015 revision).</w:t>
      </w:r>
    </w:p>
    <w:p w14:paraId="3400E601" w14:textId="77777777" w:rsidR="008C752B" w:rsidRDefault="00CE4761">
      <w:pPr>
        <w:spacing w:after="160"/>
        <w:jc w:val="both"/>
      </w:pPr>
      <w:r>
        <w:rPr>
          <w:rFonts w:ascii="Arial" w:hAnsi="Arial"/>
        </w:rPr>
        <w:t xml:space="preserve">Scope 1 emissions comprised two primary sources: natural gas combustion contributing 1,199.7924 tCO2e (35.3% of total Scope 1) and diesel fuel combustion contributing 2,203.2044 tCO2e (64.7% of total Scope 1). Natural gas is utilized primarily for heating and backup power generation at branch facilities, while diesel fuel powers emergency generators and fleet vehicles under operational control. The sum of source-specific emissions (1,199.7924 tCO2e + 2,203.2044 tCO2e = 3,402.9968 tCO2e) reconciles with the </w:t>
      </w:r>
      <w:r>
        <w:rPr>
          <w:rFonts w:ascii="Arial" w:hAnsi="Arial"/>
        </w:rPr>
        <w:t>reported total of 3,402.997 tCO2e within rounding precision.</w:t>
      </w:r>
    </w:p>
    <w:p w14:paraId="2184964C" w14:textId="77777777" w:rsidR="008C752B" w:rsidRDefault="00CE4761">
      <w:pPr>
        <w:spacing w:after="160"/>
        <w:jc w:val="both"/>
      </w:pPr>
      <w:r>
        <w:rPr>
          <w:rFonts w:ascii="Arial" w:hAnsi="Arial"/>
          <w:i/>
        </w:rPr>
        <w:t>Emissions were calculated using activity data (fuel consumption in gigajoules for natural gas and liters for diesel) multiplied by emission factors sourced from Indonesia's Ministry of Environment and Forestry (KLHK) 2023 National Inventory Report and IPCC 2006 Guidelines for National Greenhouse Gas Inventories. Global Warming Potential (GWP) values from the IPCC Sixth Assessment Report (AR6) were applied for the 100-year time horizon: CO2 = 1, CH4 = 29.8, N2O = 273.0. All three Kyoto Protocol gases (CO2, C</w:t>
      </w:r>
      <w:r>
        <w:rPr>
          <w:rFonts w:ascii="Arial" w:hAnsi="Arial"/>
          <w:i/>
        </w:rPr>
        <w:t>H4, N2O) resulting from stationary and mobile combustion are included in the reported total. The operational control consolidation approach was applied, capturing emissions from all facilities where the institution has full authority to introduce and implement operating policies.</w:t>
      </w:r>
    </w:p>
    <w:p w14:paraId="7686A498" w14:textId="77777777" w:rsidR="008C752B" w:rsidRDefault="00CE4761">
      <w:pPr>
        <w:spacing w:after="160"/>
        <w:jc w:val="both"/>
      </w:pPr>
      <w:r>
        <w:rPr>
          <w:rFonts w:ascii="Arial" w:hAnsi="Arial"/>
        </w:rPr>
        <w:t xml:space="preserve">Compared to Reporting Year 2023, Scope 1 emissions increased by 2.36% from 3,324.521 tCO2e to 3,402.997 tCO2e, representing an absolute increase of 78.476 tCO2e. This increase is attributed to expanded branch network operations (three new facilities commissioned in Q2 2024) and increased diesel generator runtime during grid instability events in Q3 2024. Natural gas consumption remained relatively stable year-over-year (1,199.0321 tCO2e in 2023 vs 1,199.7924 tCO2e in 2024, +0.06%), while diesel consumption </w:t>
      </w:r>
      <w:r>
        <w:rPr>
          <w:rFonts w:ascii="Arial" w:hAnsi="Arial"/>
        </w:rPr>
        <w:t>increased by 3.66% (2,125.4888 tCO2e in 2023 vs 2,203.2044 tCO2e in 2024).</w:t>
      </w:r>
    </w:p>
    <w:p w14:paraId="266543E5" w14:textId="77777777" w:rsidR="008C752B" w:rsidRDefault="00CE4761">
      <w:r>
        <w:rPr>
          <w:rFonts w:ascii="Arial" w:hAnsi="Arial"/>
          <w:b/>
          <w:sz w:val="20"/>
        </w:rPr>
        <w:t>Tabel Rincian Emisi Scope 1 Berdasarkan Sumber / Scope 1 Emissions by Source</w:t>
      </w:r>
    </w:p>
    <w:tbl>
      <w:tblPr>
        <w:tblW w:w="0" w:type="auto"/>
        <w:jc w:val="center"/>
        <w:tblLook w:val="04A0" w:firstRow="1" w:lastRow="0" w:firstColumn="1" w:lastColumn="0" w:noHBand="0" w:noVBand="1"/>
      </w:tblPr>
      <w:tblGrid>
        <w:gridCol w:w="1290"/>
        <w:gridCol w:w="1290"/>
        <w:gridCol w:w="1290"/>
        <w:gridCol w:w="1290"/>
        <w:gridCol w:w="1290"/>
        <w:gridCol w:w="1290"/>
        <w:gridCol w:w="1290"/>
      </w:tblGrid>
      <w:tr w:rsidR="008C752B" w14:paraId="5E9633C0" w14:textId="77777777">
        <w:trPr>
          <w:jc w:val="center"/>
        </w:trPr>
        <w:tc>
          <w:tcPr>
            <w:tcW w:w="1290" w:type="dxa"/>
            <w:shd w:val="clear" w:color="auto" w:fill="1B3A6B"/>
          </w:tcPr>
          <w:p w14:paraId="15EA7898" w14:textId="77777777" w:rsidR="008C752B" w:rsidRDefault="00CE4761">
            <w:r>
              <w:rPr>
                <w:rFonts w:ascii="Arial" w:hAnsi="Arial"/>
                <w:b/>
                <w:color w:val="FFFFFF"/>
                <w:sz w:val="18"/>
              </w:rPr>
              <w:t>No.</w:t>
            </w:r>
          </w:p>
        </w:tc>
        <w:tc>
          <w:tcPr>
            <w:tcW w:w="1290" w:type="dxa"/>
            <w:shd w:val="clear" w:color="auto" w:fill="1B3A6B"/>
          </w:tcPr>
          <w:p w14:paraId="5F210EDF" w14:textId="77777777" w:rsidR="008C752B" w:rsidRDefault="00CE4761">
            <w:r>
              <w:rPr>
                <w:rFonts w:ascii="Arial" w:hAnsi="Arial"/>
                <w:b/>
                <w:color w:val="FFFFFF"/>
                <w:sz w:val="18"/>
              </w:rPr>
              <w:t>Sumber Emisi / Emission Source</w:t>
            </w:r>
          </w:p>
        </w:tc>
        <w:tc>
          <w:tcPr>
            <w:tcW w:w="1290" w:type="dxa"/>
            <w:shd w:val="clear" w:color="auto" w:fill="1B3A6B"/>
          </w:tcPr>
          <w:p w14:paraId="12446EEF" w14:textId="77777777" w:rsidR="008C752B" w:rsidRDefault="00CE4761">
            <w:r>
              <w:rPr>
                <w:rFonts w:ascii="Arial" w:hAnsi="Arial"/>
                <w:b/>
                <w:color w:val="FFFFFF"/>
                <w:sz w:val="18"/>
              </w:rPr>
              <w:t>Satuan / Unit</w:t>
            </w:r>
          </w:p>
        </w:tc>
        <w:tc>
          <w:tcPr>
            <w:tcW w:w="1290" w:type="dxa"/>
            <w:shd w:val="clear" w:color="auto" w:fill="1B3A6B"/>
          </w:tcPr>
          <w:p w14:paraId="66608C35" w14:textId="77777777" w:rsidR="008C752B" w:rsidRDefault="00CE4761">
            <w:r>
              <w:rPr>
                <w:rFonts w:ascii="Arial" w:hAnsi="Arial"/>
                <w:b/>
                <w:color w:val="FFFFFF"/>
                <w:sz w:val="18"/>
              </w:rPr>
              <w:t>Tahun Pelaporan 2024 / Reporting Year 2024</w:t>
            </w:r>
          </w:p>
        </w:tc>
        <w:tc>
          <w:tcPr>
            <w:tcW w:w="1290" w:type="dxa"/>
            <w:shd w:val="clear" w:color="auto" w:fill="1B3A6B"/>
          </w:tcPr>
          <w:p w14:paraId="20EFAEBD" w14:textId="77777777" w:rsidR="008C752B" w:rsidRDefault="00CE4761">
            <w:r>
              <w:rPr>
                <w:rFonts w:ascii="Arial" w:hAnsi="Arial"/>
                <w:b/>
                <w:color w:val="FFFFFF"/>
                <w:sz w:val="18"/>
              </w:rPr>
              <w:t>Tahun Sebelumnya 2023 / Prior Year 2023</w:t>
            </w:r>
          </w:p>
        </w:tc>
        <w:tc>
          <w:tcPr>
            <w:tcW w:w="1290" w:type="dxa"/>
            <w:shd w:val="clear" w:color="auto" w:fill="1B3A6B"/>
          </w:tcPr>
          <w:p w14:paraId="260F4834" w14:textId="77777777" w:rsidR="008C752B" w:rsidRDefault="00CE4761">
            <w:r>
              <w:rPr>
                <w:rFonts w:ascii="Arial" w:hAnsi="Arial"/>
                <w:b/>
                <w:color w:val="FFFFFF"/>
                <w:sz w:val="18"/>
              </w:rPr>
              <w:t>Perubahan / Change (%)</w:t>
            </w:r>
          </w:p>
        </w:tc>
        <w:tc>
          <w:tcPr>
            <w:tcW w:w="1290" w:type="dxa"/>
            <w:shd w:val="clear" w:color="auto" w:fill="1B3A6B"/>
          </w:tcPr>
          <w:p w14:paraId="3351A791" w14:textId="77777777" w:rsidR="008C752B" w:rsidRDefault="00CE4761">
            <w:r>
              <w:rPr>
                <w:rFonts w:ascii="Arial" w:hAnsi="Arial"/>
                <w:b/>
                <w:color w:val="FFFFFF"/>
                <w:sz w:val="18"/>
              </w:rPr>
              <w:t>Proporsi / Proportion (%)</w:t>
            </w:r>
          </w:p>
        </w:tc>
      </w:tr>
      <w:tr w:rsidR="008C752B" w14:paraId="500B282E" w14:textId="77777777">
        <w:trPr>
          <w:jc w:val="center"/>
        </w:trPr>
        <w:tc>
          <w:tcPr>
            <w:tcW w:w="1290" w:type="dxa"/>
          </w:tcPr>
          <w:p w14:paraId="434C30EE" w14:textId="77777777" w:rsidR="008C752B" w:rsidRDefault="00CE4761">
            <w:pPr>
              <w:jc w:val="right"/>
            </w:pPr>
            <w:r>
              <w:rPr>
                <w:rFonts w:ascii="Arial" w:hAnsi="Arial"/>
                <w:sz w:val="18"/>
              </w:rPr>
              <w:t>1</w:t>
            </w:r>
          </w:p>
        </w:tc>
        <w:tc>
          <w:tcPr>
            <w:tcW w:w="1290" w:type="dxa"/>
          </w:tcPr>
          <w:p w14:paraId="5CFDEEAE" w14:textId="77777777" w:rsidR="008C752B" w:rsidRDefault="00CE4761">
            <w:r>
              <w:rPr>
                <w:rFonts w:ascii="Arial" w:hAnsi="Arial"/>
                <w:sz w:val="18"/>
              </w:rPr>
              <w:t>Pembakaran Gas Alam / Natural Gas Combustion</w:t>
            </w:r>
          </w:p>
        </w:tc>
        <w:tc>
          <w:tcPr>
            <w:tcW w:w="1290" w:type="dxa"/>
          </w:tcPr>
          <w:p w14:paraId="14BA6959" w14:textId="77777777" w:rsidR="008C752B" w:rsidRDefault="00CE4761">
            <w:r>
              <w:rPr>
                <w:rFonts w:ascii="Arial" w:hAnsi="Arial"/>
                <w:sz w:val="18"/>
              </w:rPr>
              <w:t>tCO2e</w:t>
            </w:r>
          </w:p>
        </w:tc>
        <w:tc>
          <w:tcPr>
            <w:tcW w:w="1290" w:type="dxa"/>
          </w:tcPr>
          <w:p w14:paraId="4E683088" w14:textId="77777777" w:rsidR="008C752B" w:rsidRDefault="00CE4761">
            <w:pPr>
              <w:jc w:val="right"/>
            </w:pPr>
            <w:r>
              <w:rPr>
                <w:rFonts w:ascii="Arial" w:hAnsi="Arial"/>
                <w:sz w:val="18"/>
              </w:rPr>
              <w:t>1,199.7924</w:t>
            </w:r>
          </w:p>
        </w:tc>
        <w:tc>
          <w:tcPr>
            <w:tcW w:w="1290" w:type="dxa"/>
          </w:tcPr>
          <w:p w14:paraId="0E1AA9E6" w14:textId="77777777" w:rsidR="008C752B" w:rsidRDefault="00CE4761">
            <w:pPr>
              <w:jc w:val="right"/>
            </w:pPr>
            <w:r>
              <w:rPr>
                <w:rFonts w:ascii="Arial" w:hAnsi="Arial"/>
                <w:sz w:val="18"/>
              </w:rPr>
              <w:t>1,199.0321</w:t>
            </w:r>
          </w:p>
        </w:tc>
        <w:tc>
          <w:tcPr>
            <w:tcW w:w="1290" w:type="dxa"/>
          </w:tcPr>
          <w:p w14:paraId="2FF4A3E3" w14:textId="77777777" w:rsidR="008C752B" w:rsidRDefault="00CE4761">
            <w:pPr>
              <w:jc w:val="right"/>
            </w:pPr>
            <w:r>
              <w:rPr>
                <w:rFonts w:ascii="Arial" w:hAnsi="Arial"/>
                <w:sz w:val="18"/>
              </w:rPr>
              <w:t>0.06</w:t>
            </w:r>
          </w:p>
        </w:tc>
        <w:tc>
          <w:tcPr>
            <w:tcW w:w="1290" w:type="dxa"/>
          </w:tcPr>
          <w:p w14:paraId="5740124E" w14:textId="77777777" w:rsidR="008C752B" w:rsidRDefault="00CE4761">
            <w:pPr>
              <w:jc w:val="right"/>
            </w:pPr>
            <w:r>
              <w:rPr>
                <w:rFonts w:ascii="Arial" w:hAnsi="Arial"/>
                <w:sz w:val="18"/>
              </w:rPr>
              <w:t>35.3</w:t>
            </w:r>
          </w:p>
        </w:tc>
      </w:tr>
      <w:tr w:rsidR="008C752B" w14:paraId="7D9118BE" w14:textId="77777777">
        <w:trPr>
          <w:jc w:val="center"/>
        </w:trPr>
        <w:tc>
          <w:tcPr>
            <w:tcW w:w="1290" w:type="dxa"/>
            <w:shd w:val="clear" w:color="auto" w:fill="F2F6FC"/>
          </w:tcPr>
          <w:p w14:paraId="5711517D" w14:textId="77777777" w:rsidR="008C752B" w:rsidRDefault="00CE4761">
            <w:pPr>
              <w:jc w:val="right"/>
            </w:pPr>
            <w:r>
              <w:rPr>
                <w:rFonts w:ascii="Arial" w:hAnsi="Arial"/>
                <w:sz w:val="18"/>
              </w:rPr>
              <w:lastRenderedPageBreak/>
              <w:t>2</w:t>
            </w:r>
          </w:p>
        </w:tc>
        <w:tc>
          <w:tcPr>
            <w:tcW w:w="1290" w:type="dxa"/>
            <w:shd w:val="clear" w:color="auto" w:fill="F2F6FC"/>
          </w:tcPr>
          <w:p w14:paraId="4E700E03" w14:textId="77777777" w:rsidR="008C752B" w:rsidRDefault="00CE4761">
            <w:r>
              <w:rPr>
                <w:rFonts w:ascii="Arial" w:hAnsi="Arial"/>
                <w:sz w:val="18"/>
              </w:rPr>
              <w:t>Pembakaran Diesel / Diesel Combustion</w:t>
            </w:r>
          </w:p>
        </w:tc>
        <w:tc>
          <w:tcPr>
            <w:tcW w:w="1290" w:type="dxa"/>
            <w:shd w:val="clear" w:color="auto" w:fill="F2F6FC"/>
          </w:tcPr>
          <w:p w14:paraId="3BD66E9E" w14:textId="77777777" w:rsidR="008C752B" w:rsidRDefault="00CE4761">
            <w:r>
              <w:rPr>
                <w:rFonts w:ascii="Arial" w:hAnsi="Arial"/>
                <w:sz w:val="18"/>
              </w:rPr>
              <w:t>tCO2e</w:t>
            </w:r>
          </w:p>
        </w:tc>
        <w:tc>
          <w:tcPr>
            <w:tcW w:w="1290" w:type="dxa"/>
            <w:shd w:val="clear" w:color="auto" w:fill="F2F6FC"/>
          </w:tcPr>
          <w:p w14:paraId="2C5E81F6" w14:textId="77777777" w:rsidR="008C752B" w:rsidRDefault="00CE4761">
            <w:pPr>
              <w:jc w:val="right"/>
            </w:pPr>
            <w:r>
              <w:rPr>
                <w:rFonts w:ascii="Arial" w:hAnsi="Arial"/>
                <w:sz w:val="18"/>
              </w:rPr>
              <w:t>2,203.2044</w:t>
            </w:r>
          </w:p>
        </w:tc>
        <w:tc>
          <w:tcPr>
            <w:tcW w:w="1290" w:type="dxa"/>
            <w:shd w:val="clear" w:color="auto" w:fill="F2F6FC"/>
          </w:tcPr>
          <w:p w14:paraId="40AC76AF" w14:textId="77777777" w:rsidR="008C752B" w:rsidRDefault="00CE4761">
            <w:pPr>
              <w:jc w:val="right"/>
            </w:pPr>
            <w:r>
              <w:rPr>
                <w:rFonts w:ascii="Arial" w:hAnsi="Arial"/>
                <w:sz w:val="18"/>
              </w:rPr>
              <w:t>2,125.4888</w:t>
            </w:r>
          </w:p>
        </w:tc>
        <w:tc>
          <w:tcPr>
            <w:tcW w:w="1290" w:type="dxa"/>
            <w:shd w:val="clear" w:color="auto" w:fill="F2F6FC"/>
          </w:tcPr>
          <w:p w14:paraId="3351F9E2" w14:textId="77777777" w:rsidR="008C752B" w:rsidRDefault="00CE4761">
            <w:pPr>
              <w:jc w:val="right"/>
            </w:pPr>
            <w:r>
              <w:rPr>
                <w:rFonts w:ascii="Arial" w:hAnsi="Arial"/>
                <w:sz w:val="18"/>
              </w:rPr>
              <w:t>3.66</w:t>
            </w:r>
          </w:p>
        </w:tc>
        <w:tc>
          <w:tcPr>
            <w:tcW w:w="1290" w:type="dxa"/>
            <w:shd w:val="clear" w:color="auto" w:fill="F2F6FC"/>
          </w:tcPr>
          <w:p w14:paraId="6AEC1290" w14:textId="77777777" w:rsidR="008C752B" w:rsidRDefault="00CE4761">
            <w:pPr>
              <w:jc w:val="right"/>
            </w:pPr>
            <w:r>
              <w:rPr>
                <w:rFonts w:ascii="Arial" w:hAnsi="Arial"/>
                <w:sz w:val="18"/>
              </w:rPr>
              <w:t>64.7</w:t>
            </w:r>
          </w:p>
        </w:tc>
      </w:tr>
      <w:tr w:rsidR="008C752B" w14:paraId="2D355129" w14:textId="77777777">
        <w:trPr>
          <w:jc w:val="center"/>
        </w:trPr>
        <w:tc>
          <w:tcPr>
            <w:tcW w:w="1290" w:type="dxa"/>
          </w:tcPr>
          <w:p w14:paraId="426F29BC" w14:textId="77777777" w:rsidR="008C752B" w:rsidRDefault="00CE4761">
            <w:pPr>
              <w:jc w:val="right"/>
            </w:pPr>
            <w:r>
              <w:rPr>
                <w:rFonts w:ascii="Arial" w:hAnsi="Arial"/>
                <w:sz w:val="18"/>
              </w:rPr>
              <w:t>3</w:t>
            </w:r>
          </w:p>
        </w:tc>
        <w:tc>
          <w:tcPr>
            <w:tcW w:w="1290" w:type="dxa"/>
          </w:tcPr>
          <w:p w14:paraId="3DA0DCC0" w14:textId="77777777" w:rsidR="008C752B" w:rsidRDefault="00CE4761">
            <w:r>
              <w:rPr>
                <w:rFonts w:ascii="Arial" w:hAnsi="Arial"/>
                <w:sz w:val="18"/>
              </w:rPr>
              <w:t>Total Emisi Scope 1 / Total Scope 1 Emissions</w:t>
            </w:r>
          </w:p>
        </w:tc>
        <w:tc>
          <w:tcPr>
            <w:tcW w:w="1290" w:type="dxa"/>
          </w:tcPr>
          <w:p w14:paraId="5F418837" w14:textId="77777777" w:rsidR="008C752B" w:rsidRDefault="00CE4761">
            <w:r>
              <w:rPr>
                <w:rFonts w:ascii="Arial" w:hAnsi="Arial"/>
                <w:sz w:val="18"/>
              </w:rPr>
              <w:t>tCO2e</w:t>
            </w:r>
          </w:p>
        </w:tc>
        <w:tc>
          <w:tcPr>
            <w:tcW w:w="1290" w:type="dxa"/>
          </w:tcPr>
          <w:p w14:paraId="70139758" w14:textId="77777777" w:rsidR="008C752B" w:rsidRDefault="00CE4761">
            <w:pPr>
              <w:jc w:val="right"/>
            </w:pPr>
            <w:r>
              <w:rPr>
                <w:rFonts w:ascii="Arial" w:hAnsi="Arial"/>
                <w:sz w:val="18"/>
              </w:rPr>
              <w:t>3,402.997</w:t>
            </w:r>
          </w:p>
        </w:tc>
        <w:tc>
          <w:tcPr>
            <w:tcW w:w="1290" w:type="dxa"/>
          </w:tcPr>
          <w:p w14:paraId="3AA2045A" w14:textId="77777777" w:rsidR="008C752B" w:rsidRDefault="00CE4761">
            <w:pPr>
              <w:jc w:val="right"/>
            </w:pPr>
            <w:r>
              <w:rPr>
                <w:rFonts w:ascii="Arial" w:hAnsi="Arial"/>
                <w:sz w:val="18"/>
              </w:rPr>
              <w:t>3,324.521</w:t>
            </w:r>
          </w:p>
        </w:tc>
        <w:tc>
          <w:tcPr>
            <w:tcW w:w="1290" w:type="dxa"/>
          </w:tcPr>
          <w:p w14:paraId="748DD46C" w14:textId="77777777" w:rsidR="008C752B" w:rsidRDefault="00CE4761">
            <w:pPr>
              <w:jc w:val="right"/>
            </w:pPr>
            <w:r>
              <w:rPr>
                <w:rFonts w:ascii="Arial" w:hAnsi="Arial"/>
                <w:sz w:val="18"/>
              </w:rPr>
              <w:t>2.36</w:t>
            </w:r>
          </w:p>
        </w:tc>
        <w:tc>
          <w:tcPr>
            <w:tcW w:w="1290" w:type="dxa"/>
          </w:tcPr>
          <w:p w14:paraId="001B2A60" w14:textId="77777777" w:rsidR="008C752B" w:rsidRDefault="00CE4761">
            <w:pPr>
              <w:jc w:val="right"/>
            </w:pPr>
            <w:r>
              <w:rPr>
                <w:rFonts w:ascii="Arial" w:hAnsi="Arial"/>
                <w:sz w:val="18"/>
              </w:rPr>
              <w:t>100.0</w:t>
            </w:r>
          </w:p>
        </w:tc>
      </w:tr>
    </w:tbl>
    <w:p w14:paraId="717752C8" w14:textId="77777777" w:rsidR="008C752B" w:rsidRDefault="00CE4761">
      <w:r>
        <w:rPr>
          <w:rFonts w:ascii="Arial" w:hAnsi="Arial"/>
          <w:i/>
          <w:sz w:val="16"/>
        </w:rPr>
        <w:t>Source: Source: Internal GHG inventory system. Emission factors: KLHK National Inventory Report 2023, IPCC 2006 Guidelines. GWP values: IPCC AR6 (CH4=29.8, N2O=273.0).</w:t>
      </w:r>
    </w:p>
    <w:p w14:paraId="09AFB66D" w14:textId="77777777" w:rsidR="008C752B" w:rsidRDefault="008C752B"/>
    <w:p w14:paraId="34F61923" w14:textId="77777777" w:rsidR="008C752B" w:rsidRDefault="00CE4761">
      <w:r>
        <w:rPr>
          <w:rFonts w:ascii="Arial" w:hAnsi="Arial"/>
          <w:b/>
          <w:sz w:val="20"/>
        </w:rPr>
        <w:t>Tabel Fasilitas dengan Emisi Scope 1 Tertinggi (Top 10) / Top 10 Facilities by Scope 1 Emissions</w:t>
      </w:r>
    </w:p>
    <w:tbl>
      <w:tblPr>
        <w:tblW w:w="0" w:type="auto"/>
        <w:jc w:val="center"/>
        <w:tblLook w:val="04A0" w:firstRow="1" w:lastRow="0" w:firstColumn="1" w:lastColumn="0" w:noHBand="0" w:noVBand="1"/>
      </w:tblPr>
      <w:tblGrid>
        <w:gridCol w:w="1505"/>
        <w:gridCol w:w="1505"/>
        <w:gridCol w:w="1505"/>
        <w:gridCol w:w="1505"/>
        <w:gridCol w:w="1505"/>
        <w:gridCol w:w="1505"/>
      </w:tblGrid>
      <w:tr w:rsidR="008C752B" w14:paraId="334C9B58" w14:textId="77777777">
        <w:trPr>
          <w:jc w:val="center"/>
        </w:trPr>
        <w:tc>
          <w:tcPr>
            <w:tcW w:w="1505" w:type="dxa"/>
            <w:shd w:val="clear" w:color="auto" w:fill="1B3A6B"/>
          </w:tcPr>
          <w:p w14:paraId="602F2DA1" w14:textId="77777777" w:rsidR="008C752B" w:rsidRDefault="00CE4761">
            <w:r>
              <w:rPr>
                <w:rFonts w:ascii="Arial" w:hAnsi="Arial"/>
                <w:b/>
                <w:color w:val="FFFFFF"/>
                <w:sz w:val="18"/>
              </w:rPr>
              <w:t>No.</w:t>
            </w:r>
          </w:p>
        </w:tc>
        <w:tc>
          <w:tcPr>
            <w:tcW w:w="1505" w:type="dxa"/>
            <w:shd w:val="clear" w:color="auto" w:fill="1B3A6B"/>
          </w:tcPr>
          <w:p w14:paraId="0CF65222" w14:textId="77777777" w:rsidR="008C752B" w:rsidRDefault="00CE4761">
            <w:r>
              <w:rPr>
                <w:rFonts w:ascii="Arial" w:hAnsi="Arial"/>
                <w:b/>
                <w:color w:val="FFFFFF"/>
                <w:sz w:val="18"/>
              </w:rPr>
              <w:t>ID Fasilitas / Facility ID</w:t>
            </w:r>
          </w:p>
        </w:tc>
        <w:tc>
          <w:tcPr>
            <w:tcW w:w="1505" w:type="dxa"/>
            <w:shd w:val="clear" w:color="auto" w:fill="1B3A6B"/>
          </w:tcPr>
          <w:p w14:paraId="60B99141" w14:textId="77777777" w:rsidR="008C752B" w:rsidRDefault="00CE4761">
            <w:r>
              <w:rPr>
                <w:rFonts w:ascii="Arial" w:hAnsi="Arial"/>
                <w:b/>
                <w:color w:val="FFFFFF"/>
                <w:sz w:val="18"/>
              </w:rPr>
              <w:t>Total Scope 1 (tCO2e)</w:t>
            </w:r>
          </w:p>
        </w:tc>
        <w:tc>
          <w:tcPr>
            <w:tcW w:w="1505" w:type="dxa"/>
            <w:shd w:val="clear" w:color="auto" w:fill="1B3A6B"/>
          </w:tcPr>
          <w:p w14:paraId="4A065F93" w14:textId="77777777" w:rsidR="008C752B" w:rsidRDefault="00CE4761">
            <w:r>
              <w:rPr>
                <w:rFonts w:ascii="Arial" w:hAnsi="Arial"/>
                <w:b/>
                <w:color w:val="FFFFFF"/>
                <w:sz w:val="18"/>
              </w:rPr>
              <w:t>Gas Alam / Natural Gas (tCO2e)</w:t>
            </w:r>
          </w:p>
        </w:tc>
        <w:tc>
          <w:tcPr>
            <w:tcW w:w="1505" w:type="dxa"/>
            <w:shd w:val="clear" w:color="auto" w:fill="1B3A6B"/>
          </w:tcPr>
          <w:p w14:paraId="718D78FE" w14:textId="77777777" w:rsidR="008C752B" w:rsidRDefault="00CE4761">
            <w:r>
              <w:rPr>
                <w:rFonts w:ascii="Arial" w:hAnsi="Arial"/>
                <w:b/>
                <w:color w:val="FFFFFF"/>
                <w:sz w:val="18"/>
              </w:rPr>
              <w:t>Diesel (tCO2e)</w:t>
            </w:r>
          </w:p>
        </w:tc>
        <w:tc>
          <w:tcPr>
            <w:tcW w:w="1505" w:type="dxa"/>
            <w:shd w:val="clear" w:color="auto" w:fill="1B3A6B"/>
          </w:tcPr>
          <w:p w14:paraId="5B67AC5F" w14:textId="77777777" w:rsidR="008C752B" w:rsidRDefault="00CE4761">
            <w:r>
              <w:rPr>
                <w:rFonts w:ascii="Arial" w:hAnsi="Arial"/>
                <w:b/>
                <w:color w:val="FFFFFF"/>
                <w:sz w:val="18"/>
              </w:rPr>
              <w:t>Skor Kualitas Data / Data Quality Score</w:t>
            </w:r>
          </w:p>
        </w:tc>
      </w:tr>
      <w:tr w:rsidR="008C752B" w14:paraId="76BB038F" w14:textId="77777777">
        <w:trPr>
          <w:jc w:val="center"/>
        </w:trPr>
        <w:tc>
          <w:tcPr>
            <w:tcW w:w="1505" w:type="dxa"/>
          </w:tcPr>
          <w:p w14:paraId="1CF048DA" w14:textId="77777777" w:rsidR="008C752B" w:rsidRDefault="00CE4761">
            <w:pPr>
              <w:jc w:val="right"/>
            </w:pPr>
            <w:r>
              <w:rPr>
                <w:rFonts w:ascii="Arial" w:hAnsi="Arial"/>
                <w:sz w:val="18"/>
              </w:rPr>
              <w:t>1</w:t>
            </w:r>
          </w:p>
        </w:tc>
        <w:tc>
          <w:tcPr>
            <w:tcW w:w="1505" w:type="dxa"/>
          </w:tcPr>
          <w:p w14:paraId="49278A6B" w14:textId="77777777" w:rsidR="008C752B" w:rsidRDefault="00CE4761">
            <w:r>
              <w:rPr>
                <w:rFonts w:ascii="Arial" w:hAnsi="Arial"/>
                <w:sz w:val="18"/>
              </w:rPr>
              <w:t>FAC-0197</w:t>
            </w:r>
          </w:p>
        </w:tc>
        <w:tc>
          <w:tcPr>
            <w:tcW w:w="1505" w:type="dxa"/>
          </w:tcPr>
          <w:p w14:paraId="0CF5FFB2" w14:textId="77777777" w:rsidR="008C752B" w:rsidRDefault="00CE4761">
            <w:pPr>
              <w:jc w:val="right"/>
            </w:pPr>
            <w:r>
              <w:rPr>
                <w:rFonts w:ascii="Arial" w:hAnsi="Arial"/>
                <w:sz w:val="18"/>
              </w:rPr>
              <w:t>147.7152</w:t>
            </w:r>
          </w:p>
        </w:tc>
        <w:tc>
          <w:tcPr>
            <w:tcW w:w="1505" w:type="dxa"/>
          </w:tcPr>
          <w:p w14:paraId="545EF474" w14:textId="77777777" w:rsidR="008C752B" w:rsidRDefault="00CE4761">
            <w:pPr>
              <w:jc w:val="right"/>
            </w:pPr>
            <w:r>
              <w:rPr>
                <w:rFonts w:ascii="Arial" w:hAnsi="Arial"/>
                <w:sz w:val="18"/>
              </w:rPr>
              <w:t>65.1748</w:t>
            </w:r>
          </w:p>
        </w:tc>
        <w:tc>
          <w:tcPr>
            <w:tcW w:w="1505" w:type="dxa"/>
          </w:tcPr>
          <w:p w14:paraId="59D4E719" w14:textId="77777777" w:rsidR="008C752B" w:rsidRDefault="00CE4761">
            <w:pPr>
              <w:jc w:val="right"/>
            </w:pPr>
            <w:r>
              <w:rPr>
                <w:rFonts w:ascii="Arial" w:hAnsi="Arial"/>
                <w:sz w:val="18"/>
              </w:rPr>
              <w:t>82.5404</w:t>
            </w:r>
          </w:p>
        </w:tc>
        <w:tc>
          <w:tcPr>
            <w:tcW w:w="1505" w:type="dxa"/>
          </w:tcPr>
          <w:p w14:paraId="57B28591" w14:textId="77777777" w:rsidR="008C752B" w:rsidRDefault="00CE4761">
            <w:pPr>
              <w:jc w:val="right"/>
            </w:pPr>
            <w:r>
              <w:rPr>
                <w:rFonts w:ascii="Arial" w:hAnsi="Arial"/>
                <w:sz w:val="18"/>
              </w:rPr>
              <w:t>1</w:t>
            </w:r>
          </w:p>
        </w:tc>
      </w:tr>
      <w:tr w:rsidR="008C752B" w14:paraId="0CADB5AD" w14:textId="77777777">
        <w:trPr>
          <w:jc w:val="center"/>
        </w:trPr>
        <w:tc>
          <w:tcPr>
            <w:tcW w:w="1505" w:type="dxa"/>
            <w:shd w:val="clear" w:color="auto" w:fill="F2F6FC"/>
          </w:tcPr>
          <w:p w14:paraId="7F8476C3" w14:textId="77777777" w:rsidR="008C752B" w:rsidRDefault="00CE4761">
            <w:pPr>
              <w:jc w:val="right"/>
            </w:pPr>
            <w:r>
              <w:rPr>
                <w:rFonts w:ascii="Arial" w:hAnsi="Arial"/>
                <w:sz w:val="18"/>
              </w:rPr>
              <w:t>2</w:t>
            </w:r>
          </w:p>
        </w:tc>
        <w:tc>
          <w:tcPr>
            <w:tcW w:w="1505" w:type="dxa"/>
            <w:shd w:val="clear" w:color="auto" w:fill="F2F6FC"/>
          </w:tcPr>
          <w:p w14:paraId="17CD13C0" w14:textId="77777777" w:rsidR="008C752B" w:rsidRDefault="00CE4761">
            <w:r>
              <w:rPr>
                <w:rFonts w:ascii="Arial" w:hAnsi="Arial"/>
                <w:sz w:val="18"/>
              </w:rPr>
              <w:t>FAC-0198</w:t>
            </w:r>
          </w:p>
        </w:tc>
        <w:tc>
          <w:tcPr>
            <w:tcW w:w="1505" w:type="dxa"/>
            <w:shd w:val="clear" w:color="auto" w:fill="F2F6FC"/>
          </w:tcPr>
          <w:p w14:paraId="317B586F" w14:textId="77777777" w:rsidR="008C752B" w:rsidRDefault="00CE4761">
            <w:pPr>
              <w:jc w:val="right"/>
            </w:pPr>
            <w:r>
              <w:rPr>
                <w:rFonts w:ascii="Arial" w:hAnsi="Arial"/>
                <w:sz w:val="18"/>
              </w:rPr>
              <w:t>137.8381</w:t>
            </w:r>
          </w:p>
        </w:tc>
        <w:tc>
          <w:tcPr>
            <w:tcW w:w="1505" w:type="dxa"/>
            <w:shd w:val="clear" w:color="auto" w:fill="F2F6FC"/>
          </w:tcPr>
          <w:p w14:paraId="63FC7031" w14:textId="77777777" w:rsidR="008C752B" w:rsidRDefault="00CE4761">
            <w:pPr>
              <w:jc w:val="right"/>
            </w:pPr>
            <w:r>
              <w:rPr>
                <w:rFonts w:ascii="Arial" w:hAnsi="Arial"/>
                <w:sz w:val="18"/>
              </w:rPr>
              <w:t>54.446</w:t>
            </w:r>
          </w:p>
        </w:tc>
        <w:tc>
          <w:tcPr>
            <w:tcW w:w="1505" w:type="dxa"/>
            <w:shd w:val="clear" w:color="auto" w:fill="F2F6FC"/>
          </w:tcPr>
          <w:p w14:paraId="6668E7C8" w14:textId="77777777" w:rsidR="008C752B" w:rsidRDefault="00CE4761">
            <w:pPr>
              <w:jc w:val="right"/>
            </w:pPr>
            <w:r>
              <w:rPr>
                <w:rFonts w:ascii="Arial" w:hAnsi="Arial"/>
                <w:sz w:val="18"/>
              </w:rPr>
              <w:t>83.3921</w:t>
            </w:r>
          </w:p>
        </w:tc>
        <w:tc>
          <w:tcPr>
            <w:tcW w:w="1505" w:type="dxa"/>
            <w:shd w:val="clear" w:color="auto" w:fill="F2F6FC"/>
          </w:tcPr>
          <w:p w14:paraId="6190D7A5" w14:textId="77777777" w:rsidR="008C752B" w:rsidRDefault="00CE4761">
            <w:pPr>
              <w:jc w:val="right"/>
            </w:pPr>
            <w:r>
              <w:rPr>
                <w:rFonts w:ascii="Arial" w:hAnsi="Arial"/>
                <w:sz w:val="18"/>
              </w:rPr>
              <w:t>1</w:t>
            </w:r>
          </w:p>
        </w:tc>
      </w:tr>
      <w:tr w:rsidR="008C752B" w14:paraId="6CAE884F" w14:textId="77777777">
        <w:trPr>
          <w:jc w:val="center"/>
        </w:trPr>
        <w:tc>
          <w:tcPr>
            <w:tcW w:w="1505" w:type="dxa"/>
          </w:tcPr>
          <w:p w14:paraId="7F1F746D" w14:textId="77777777" w:rsidR="008C752B" w:rsidRDefault="00CE4761">
            <w:pPr>
              <w:jc w:val="right"/>
            </w:pPr>
            <w:r>
              <w:rPr>
                <w:rFonts w:ascii="Arial" w:hAnsi="Arial"/>
                <w:sz w:val="18"/>
              </w:rPr>
              <w:t>3</w:t>
            </w:r>
          </w:p>
        </w:tc>
        <w:tc>
          <w:tcPr>
            <w:tcW w:w="1505" w:type="dxa"/>
          </w:tcPr>
          <w:p w14:paraId="74C27DD8" w14:textId="77777777" w:rsidR="008C752B" w:rsidRDefault="00CE4761">
            <w:r>
              <w:rPr>
                <w:rFonts w:ascii="Arial" w:hAnsi="Arial"/>
                <w:sz w:val="18"/>
              </w:rPr>
              <w:t>FAC-0200</w:t>
            </w:r>
          </w:p>
        </w:tc>
        <w:tc>
          <w:tcPr>
            <w:tcW w:w="1505" w:type="dxa"/>
          </w:tcPr>
          <w:p w14:paraId="6462B83C" w14:textId="77777777" w:rsidR="008C752B" w:rsidRDefault="00CE4761">
            <w:pPr>
              <w:jc w:val="right"/>
            </w:pPr>
            <w:r>
              <w:rPr>
                <w:rFonts w:ascii="Arial" w:hAnsi="Arial"/>
                <w:sz w:val="18"/>
              </w:rPr>
              <w:t>131.4422</w:t>
            </w:r>
          </w:p>
        </w:tc>
        <w:tc>
          <w:tcPr>
            <w:tcW w:w="1505" w:type="dxa"/>
          </w:tcPr>
          <w:p w14:paraId="3A42BDDF" w14:textId="77777777" w:rsidR="008C752B" w:rsidRDefault="00CE4761">
            <w:pPr>
              <w:jc w:val="right"/>
            </w:pPr>
            <w:r>
              <w:rPr>
                <w:rFonts w:ascii="Arial" w:hAnsi="Arial"/>
                <w:sz w:val="18"/>
              </w:rPr>
              <w:t>57.0202</w:t>
            </w:r>
          </w:p>
        </w:tc>
        <w:tc>
          <w:tcPr>
            <w:tcW w:w="1505" w:type="dxa"/>
          </w:tcPr>
          <w:p w14:paraId="2D7AF951" w14:textId="77777777" w:rsidR="008C752B" w:rsidRDefault="00CE4761">
            <w:pPr>
              <w:jc w:val="right"/>
            </w:pPr>
            <w:r>
              <w:rPr>
                <w:rFonts w:ascii="Arial" w:hAnsi="Arial"/>
                <w:sz w:val="18"/>
              </w:rPr>
              <w:t>74.422</w:t>
            </w:r>
          </w:p>
        </w:tc>
        <w:tc>
          <w:tcPr>
            <w:tcW w:w="1505" w:type="dxa"/>
          </w:tcPr>
          <w:p w14:paraId="61BB6214" w14:textId="77777777" w:rsidR="008C752B" w:rsidRDefault="00CE4761">
            <w:pPr>
              <w:jc w:val="right"/>
            </w:pPr>
            <w:r>
              <w:rPr>
                <w:rFonts w:ascii="Arial" w:hAnsi="Arial"/>
                <w:sz w:val="18"/>
              </w:rPr>
              <w:t>1</w:t>
            </w:r>
          </w:p>
        </w:tc>
      </w:tr>
      <w:tr w:rsidR="008C752B" w14:paraId="43A03722" w14:textId="77777777">
        <w:trPr>
          <w:jc w:val="center"/>
        </w:trPr>
        <w:tc>
          <w:tcPr>
            <w:tcW w:w="1505" w:type="dxa"/>
            <w:shd w:val="clear" w:color="auto" w:fill="F2F6FC"/>
          </w:tcPr>
          <w:p w14:paraId="7EB01FE1" w14:textId="77777777" w:rsidR="008C752B" w:rsidRDefault="00CE4761">
            <w:pPr>
              <w:jc w:val="right"/>
            </w:pPr>
            <w:r>
              <w:rPr>
                <w:rFonts w:ascii="Arial" w:hAnsi="Arial"/>
                <w:sz w:val="18"/>
              </w:rPr>
              <w:t>4</w:t>
            </w:r>
          </w:p>
        </w:tc>
        <w:tc>
          <w:tcPr>
            <w:tcW w:w="1505" w:type="dxa"/>
            <w:shd w:val="clear" w:color="auto" w:fill="F2F6FC"/>
          </w:tcPr>
          <w:p w14:paraId="45C3EB35" w14:textId="77777777" w:rsidR="008C752B" w:rsidRDefault="00CE4761">
            <w:r>
              <w:rPr>
                <w:rFonts w:ascii="Arial" w:hAnsi="Arial"/>
                <w:sz w:val="18"/>
              </w:rPr>
              <w:t>FAC-0196</w:t>
            </w:r>
          </w:p>
        </w:tc>
        <w:tc>
          <w:tcPr>
            <w:tcW w:w="1505" w:type="dxa"/>
            <w:shd w:val="clear" w:color="auto" w:fill="F2F6FC"/>
          </w:tcPr>
          <w:p w14:paraId="08231C76" w14:textId="77777777" w:rsidR="008C752B" w:rsidRDefault="00CE4761">
            <w:pPr>
              <w:jc w:val="right"/>
            </w:pPr>
            <w:r>
              <w:rPr>
                <w:rFonts w:ascii="Arial" w:hAnsi="Arial"/>
                <w:sz w:val="18"/>
              </w:rPr>
              <w:t>124.4219</w:t>
            </w:r>
          </w:p>
        </w:tc>
        <w:tc>
          <w:tcPr>
            <w:tcW w:w="1505" w:type="dxa"/>
            <w:shd w:val="clear" w:color="auto" w:fill="F2F6FC"/>
          </w:tcPr>
          <w:p w14:paraId="460783EE" w14:textId="77777777" w:rsidR="008C752B" w:rsidRDefault="00CE4761">
            <w:pPr>
              <w:jc w:val="right"/>
            </w:pPr>
            <w:r>
              <w:rPr>
                <w:rFonts w:ascii="Arial" w:hAnsi="Arial"/>
                <w:sz w:val="18"/>
              </w:rPr>
              <w:t>51.7527</w:t>
            </w:r>
          </w:p>
        </w:tc>
        <w:tc>
          <w:tcPr>
            <w:tcW w:w="1505" w:type="dxa"/>
            <w:shd w:val="clear" w:color="auto" w:fill="F2F6FC"/>
          </w:tcPr>
          <w:p w14:paraId="295D099E" w14:textId="77777777" w:rsidR="008C752B" w:rsidRDefault="00CE4761">
            <w:pPr>
              <w:jc w:val="right"/>
            </w:pPr>
            <w:r>
              <w:rPr>
                <w:rFonts w:ascii="Arial" w:hAnsi="Arial"/>
                <w:sz w:val="18"/>
              </w:rPr>
              <w:t>72.6692</w:t>
            </w:r>
          </w:p>
        </w:tc>
        <w:tc>
          <w:tcPr>
            <w:tcW w:w="1505" w:type="dxa"/>
            <w:shd w:val="clear" w:color="auto" w:fill="F2F6FC"/>
          </w:tcPr>
          <w:p w14:paraId="7146C92A" w14:textId="77777777" w:rsidR="008C752B" w:rsidRDefault="00CE4761">
            <w:pPr>
              <w:jc w:val="right"/>
            </w:pPr>
            <w:r>
              <w:rPr>
                <w:rFonts w:ascii="Arial" w:hAnsi="Arial"/>
                <w:sz w:val="18"/>
              </w:rPr>
              <w:t>1</w:t>
            </w:r>
          </w:p>
        </w:tc>
      </w:tr>
      <w:tr w:rsidR="008C752B" w14:paraId="6050811A" w14:textId="77777777">
        <w:trPr>
          <w:jc w:val="center"/>
        </w:trPr>
        <w:tc>
          <w:tcPr>
            <w:tcW w:w="1505" w:type="dxa"/>
          </w:tcPr>
          <w:p w14:paraId="746FFC53" w14:textId="77777777" w:rsidR="008C752B" w:rsidRDefault="00CE4761">
            <w:pPr>
              <w:jc w:val="right"/>
            </w:pPr>
            <w:r>
              <w:rPr>
                <w:rFonts w:ascii="Arial" w:hAnsi="Arial"/>
                <w:sz w:val="18"/>
              </w:rPr>
              <w:t>5</w:t>
            </w:r>
          </w:p>
        </w:tc>
        <w:tc>
          <w:tcPr>
            <w:tcW w:w="1505" w:type="dxa"/>
          </w:tcPr>
          <w:p w14:paraId="072FE85A" w14:textId="77777777" w:rsidR="008C752B" w:rsidRDefault="00CE4761">
            <w:r>
              <w:rPr>
                <w:rFonts w:ascii="Arial" w:hAnsi="Arial"/>
                <w:sz w:val="18"/>
              </w:rPr>
              <w:t>FAC-0199</w:t>
            </w:r>
          </w:p>
        </w:tc>
        <w:tc>
          <w:tcPr>
            <w:tcW w:w="1505" w:type="dxa"/>
          </w:tcPr>
          <w:p w14:paraId="53F18342" w14:textId="77777777" w:rsidR="008C752B" w:rsidRDefault="00CE4761">
            <w:pPr>
              <w:jc w:val="right"/>
            </w:pPr>
            <w:r>
              <w:rPr>
                <w:rFonts w:ascii="Arial" w:hAnsi="Arial"/>
                <w:sz w:val="18"/>
              </w:rPr>
              <w:t>109.4122</w:t>
            </w:r>
          </w:p>
        </w:tc>
        <w:tc>
          <w:tcPr>
            <w:tcW w:w="1505" w:type="dxa"/>
          </w:tcPr>
          <w:p w14:paraId="73456E83" w14:textId="77777777" w:rsidR="008C752B" w:rsidRDefault="00CE4761">
            <w:pPr>
              <w:jc w:val="right"/>
            </w:pPr>
            <w:r>
              <w:rPr>
                <w:rFonts w:ascii="Arial" w:hAnsi="Arial"/>
                <w:sz w:val="18"/>
              </w:rPr>
              <w:t>52.015</w:t>
            </w:r>
          </w:p>
        </w:tc>
        <w:tc>
          <w:tcPr>
            <w:tcW w:w="1505" w:type="dxa"/>
          </w:tcPr>
          <w:p w14:paraId="49AD9B3D" w14:textId="77777777" w:rsidR="008C752B" w:rsidRDefault="00CE4761">
            <w:pPr>
              <w:jc w:val="right"/>
            </w:pPr>
            <w:r>
              <w:rPr>
                <w:rFonts w:ascii="Arial" w:hAnsi="Arial"/>
                <w:sz w:val="18"/>
              </w:rPr>
              <w:t>57.3972</w:t>
            </w:r>
          </w:p>
        </w:tc>
        <w:tc>
          <w:tcPr>
            <w:tcW w:w="1505" w:type="dxa"/>
          </w:tcPr>
          <w:p w14:paraId="2429528C" w14:textId="77777777" w:rsidR="008C752B" w:rsidRDefault="00CE4761">
            <w:pPr>
              <w:jc w:val="right"/>
            </w:pPr>
            <w:r>
              <w:rPr>
                <w:rFonts w:ascii="Arial" w:hAnsi="Arial"/>
                <w:sz w:val="18"/>
              </w:rPr>
              <w:t>1</w:t>
            </w:r>
          </w:p>
        </w:tc>
      </w:tr>
      <w:tr w:rsidR="008C752B" w14:paraId="54D97E55" w14:textId="77777777">
        <w:trPr>
          <w:jc w:val="center"/>
        </w:trPr>
        <w:tc>
          <w:tcPr>
            <w:tcW w:w="1505" w:type="dxa"/>
            <w:shd w:val="clear" w:color="auto" w:fill="F2F6FC"/>
          </w:tcPr>
          <w:p w14:paraId="0B759DC9" w14:textId="77777777" w:rsidR="008C752B" w:rsidRDefault="00CE4761">
            <w:pPr>
              <w:jc w:val="right"/>
            </w:pPr>
            <w:r>
              <w:rPr>
                <w:rFonts w:ascii="Arial" w:hAnsi="Arial"/>
                <w:sz w:val="18"/>
              </w:rPr>
              <w:t>6</w:t>
            </w:r>
          </w:p>
        </w:tc>
        <w:tc>
          <w:tcPr>
            <w:tcW w:w="1505" w:type="dxa"/>
            <w:shd w:val="clear" w:color="auto" w:fill="F2F6FC"/>
          </w:tcPr>
          <w:p w14:paraId="3A32EB9B" w14:textId="77777777" w:rsidR="008C752B" w:rsidRDefault="00CE4761">
            <w:r>
              <w:rPr>
                <w:rFonts w:ascii="Arial" w:hAnsi="Arial"/>
                <w:sz w:val="18"/>
              </w:rPr>
              <w:t>FAC-0193</w:t>
            </w:r>
          </w:p>
        </w:tc>
        <w:tc>
          <w:tcPr>
            <w:tcW w:w="1505" w:type="dxa"/>
            <w:shd w:val="clear" w:color="auto" w:fill="F2F6FC"/>
          </w:tcPr>
          <w:p w14:paraId="4E856D01" w14:textId="77777777" w:rsidR="008C752B" w:rsidRDefault="00CE4761">
            <w:pPr>
              <w:jc w:val="right"/>
            </w:pPr>
            <w:r>
              <w:rPr>
                <w:rFonts w:ascii="Arial" w:hAnsi="Arial"/>
                <w:sz w:val="18"/>
              </w:rPr>
              <w:t>72.3228</w:t>
            </w:r>
          </w:p>
        </w:tc>
        <w:tc>
          <w:tcPr>
            <w:tcW w:w="1505" w:type="dxa"/>
            <w:shd w:val="clear" w:color="auto" w:fill="F2F6FC"/>
          </w:tcPr>
          <w:p w14:paraId="6FB39514" w14:textId="77777777" w:rsidR="008C752B" w:rsidRDefault="00CE4761">
            <w:pPr>
              <w:jc w:val="right"/>
            </w:pPr>
            <w:r>
              <w:rPr>
                <w:rFonts w:ascii="Arial" w:hAnsi="Arial"/>
                <w:sz w:val="18"/>
              </w:rPr>
              <w:t>0.0</w:t>
            </w:r>
          </w:p>
        </w:tc>
        <w:tc>
          <w:tcPr>
            <w:tcW w:w="1505" w:type="dxa"/>
            <w:shd w:val="clear" w:color="auto" w:fill="F2F6FC"/>
          </w:tcPr>
          <w:p w14:paraId="576B18AD" w14:textId="77777777" w:rsidR="008C752B" w:rsidRDefault="00CE4761">
            <w:pPr>
              <w:jc w:val="right"/>
            </w:pPr>
            <w:r>
              <w:rPr>
                <w:rFonts w:ascii="Arial" w:hAnsi="Arial"/>
                <w:sz w:val="18"/>
              </w:rPr>
              <w:t>72.3228</w:t>
            </w:r>
          </w:p>
        </w:tc>
        <w:tc>
          <w:tcPr>
            <w:tcW w:w="1505" w:type="dxa"/>
            <w:shd w:val="clear" w:color="auto" w:fill="F2F6FC"/>
          </w:tcPr>
          <w:p w14:paraId="429E7ACA" w14:textId="77777777" w:rsidR="008C752B" w:rsidRDefault="00CE4761">
            <w:pPr>
              <w:jc w:val="right"/>
            </w:pPr>
            <w:r>
              <w:rPr>
                <w:rFonts w:ascii="Arial" w:hAnsi="Arial"/>
                <w:sz w:val="18"/>
              </w:rPr>
              <w:t>1</w:t>
            </w:r>
          </w:p>
        </w:tc>
      </w:tr>
      <w:tr w:rsidR="008C752B" w14:paraId="7A3A93D3" w14:textId="77777777">
        <w:trPr>
          <w:jc w:val="center"/>
        </w:trPr>
        <w:tc>
          <w:tcPr>
            <w:tcW w:w="1505" w:type="dxa"/>
          </w:tcPr>
          <w:p w14:paraId="36D072BF" w14:textId="77777777" w:rsidR="008C752B" w:rsidRDefault="00CE4761">
            <w:pPr>
              <w:jc w:val="right"/>
            </w:pPr>
            <w:r>
              <w:rPr>
                <w:rFonts w:ascii="Arial" w:hAnsi="Arial"/>
                <w:sz w:val="18"/>
              </w:rPr>
              <w:t>7</w:t>
            </w:r>
          </w:p>
        </w:tc>
        <w:tc>
          <w:tcPr>
            <w:tcW w:w="1505" w:type="dxa"/>
          </w:tcPr>
          <w:p w14:paraId="75CEEA7E" w14:textId="77777777" w:rsidR="008C752B" w:rsidRDefault="00CE4761">
            <w:r>
              <w:rPr>
                <w:rFonts w:ascii="Arial" w:hAnsi="Arial"/>
                <w:sz w:val="18"/>
              </w:rPr>
              <w:t>FAC-0215</w:t>
            </w:r>
          </w:p>
        </w:tc>
        <w:tc>
          <w:tcPr>
            <w:tcW w:w="1505" w:type="dxa"/>
          </w:tcPr>
          <w:p w14:paraId="1E06CD33" w14:textId="77777777" w:rsidR="008C752B" w:rsidRDefault="00CE4761">
            <w:pPr>
              <w:jc w:val="right"/>
            </w:pPr>
            <w:r>
              <w:rPr>
                <w:rFonts w:ascii="Arial" w:hAnsi="Arial"/>
                <w:sz w:val="18"/>
              </w:rPr>
              <w:t>70.6057</w:t>
            </w:r>
          </w:p>
        </w:tc>
        <w:tc>
          <w:tcPr>
            <w:tcW w:w="1505" w:type="dxa"/>
          </w:tcPr>
          <w:p w14:paraId="05FAE6E3" w14:textId="77777777" w:rsidR="008C752B" w:rsidRDefault="00CE4761">
            <w:pPr>
              <w:jc w:val="right"/>
            </w:pPr>
            <w:r>
              <w:rPr>
                <w:rFonts w:ascii="Arial" w:hAnsi="Arial"/>
                <w:sz w:val="18"/>
              </w:rPr>
              <w:t>23.586</w:t>
            </w:r>
          </w:p>
        </w:tc>
        <w:tc>
          <w:tcPr>
            <w:tcW w:w="1505" w:type="dxa"/>
          </w:tcPr>
          <w:p w14:paraId="05783F47" w14:textId="77777777" w:rsidR="008C752B" w:rsidRDefault="00CE4761">
            <w:pPr>
              <w:jc w:val="right"/>
            </w:pPr>
            <w:r>
              <w:rPr>
                <w:rFonts w:ascii="Arial" w:hAnsi="Arial"/>
                <w:sz w:val="18"/>
              </w:rPr>
              <w:t>47.0197</w:t>
            </w:r>
          </w:p>
        </w:tc>
        <w:tc>
          <w:tcPr>
            <w:tcW w:w="1505" w:type="dxa"/>
          </w:tcPr>
          <w:p w14:paraId="71202BBB" w14:textId="77777777" w:rsidR="008C752B" w:rsidRDefault="00CE4761">
            <w:pPr>
              <w:jc w:val="right"/>
            </w:pPr>
            <w:r>
              <w:rPr>
                <w:rFonts w:ascii="Arial" w:hAnsi="Arial"/>
                <w:sz w:val="18"/>
              </w:rPr>
              <w:t>1</w:t>
            </w:r>
          </w:p>
        </w:tc>
      </w:tr>
      <w:tr w:rsidR="008C752B" w14:paraId="3A152018" w14:textId="77777777">
        <w:trPr>
          <w:jc w:val="center"/>
        </w:trPr>
        <w:tc>
          <w:tcPr>
            <w:tcW w:w="1505" w:type="dxa"/>
            <w:shd w:val="clear" w:color="auto" w:fill="F2F6FC"/>
          </w:tcPr>
          <w:p w14:paraId="3445FF43" w14:textId="77777777" w:rsidR="008C752B" w:rsidRDefault="00CE4761">
            <w:pPr>
              <w:jc w:val="right"/>
            </w:pPr>
            <w:r>
              <w:rPr>
                <w:rFonts w:ascii="Arial" w:hAnsi="Arial"/>
                <w:sz w:val="18"/>
              </w:rPr>
              <w:t>8</w:t>
            </w:r>
          </w:p>
        </w:tc>
        <w:tc>
          <w:tcPr>
            <w:tcW w:w="1505" w:type="dxa"/>
            <w:shd w:val="clear" w:color="auto" w:fill="F2F6FC"/>
          </w:tcPr>
          <w:p w14:paraId="7C5E7FAF" w14:textId="77777777" w:rsidR="008C752B" w:rsidRDefault="00CE4761">
            <w:r>
              <w:rPr>
                <w:rFonts w:ascii="Arial" w:hAnsi="Arial"/>
                <w:sz w:val="18"/>
              </w:rPr>
              <w:t>FAC-0191</w:t>
            </w:r>
          </w:p>
        </w:tc>
        <w:tc>
          <w:tcPr>
            <w:tcW w:w="1505" w:type="dxa"/>
            <w:shd w:val="clear" w:color="auto" w:fill="F2F6FC"/>
          </w:tcPr>
          <w:p w14:paraId="50554E51" w14:textId="77777777" w:rsidR="008C752B" w:rsidRDefault="00CE4761">
            <w:pPr>
              <w:jc w:val="right"/>
            </w:pPr>
            <w:r>
              <w:rPr>
                <w:rFonts w:ascii="Arial" w:hAnsi="Arial"/>
                <w:sz w:val="18"/>
              </w:rPr>
              <w:t>67.3744</w:t>
            </w:r>
          </w:p>
        </w:tc>
        <w:tc>
          <w:tcPr>
            <w:tcW w:w="1505" w:type="dxa"/>
            <w:shd w:val="clear" w:color="auto" w:fill="F2F6FC"/>
          </w:tcPr>
          <w:p w14:paraId="73AA4912" w14:textId="77777777" w:rsidR="008C752B" w:rsidRDefault="00CE4761">
            <w:pPr>
              <w:jc w:val="right"/>
            </w:pPr>
            <w:r>
              <w:rPr>
                <w:rFonts w:ascii="Arial" w:hAnsi="Arial"/>
                <w:sz w:val="18"/>
              </w:rPr>
              <w:t>0.0</w:t>
            </w:r>
          </w:p>
        </w:tc>
        <w:tc>
          <w:tcPr>
            <w:tcW w:w="1505" w:type="dxa"/>
            <w:shd w:val="clear" w:color="auto" w:fill="F2F6FC"/>
          </w:tcPr>
          <w:p w14:paraId="66C23AF6" w14:textId="77777777" w:rsidR="008C752B" w:rsidRDefault="00CE4761">
            <w:pPr>
              <w:jc w:val="right"/>
            </w:pPr>
            <w:r>
              <w:rPr>
                <w:rFonts w:ascii="Arial" w:hAnsi="Arial"/>
                <w:sz w:val="18"/>
              </w:rPr>
              <w:t>67.3744</w:t>
            </w:r>
          </w:p>
        </w:tc>
        <w:tc>
          <w:tcPr>
            <w:tcW w:w="1505" w:type="dxa"/>
            <w:shd w:val="clear" w:color="auto" w:fill="F2F6FC"/>
          </w:tcPr>
          <w:p w14:paraId="445CE049" w14:textId="77777777" w:rsidR="008C752B" w:rsidRDefault="00CE4761">
            <w:pPr>
              <w:jc w:val="right"/>
            </w:pPr>
            <w:r>
              <w:rPr>
                <w:rFonts w:ascii="Arial" w:hAnsi="Arial"/>
                <w:sz w:val="18"/>
              </w:rPr>
              <w:t>1</w:t>
            </w:r>
          </w:p>
        </w:tc>
      </w:tr>
      <w:tr w:rsidR="008C752B" w14:paraId="55EE3A94" w14:textId="77777777">
        <w:trPr>
          <w:jc w:val="center"/>
        </w:trPr>
        <w:tc>
          <w:tcPr>
            <w:tcW w:w="1505" w:type="dxa"/>
          </w:tcPr>
          <w:p w14:paraId="577D0ECF" w14:textId="77777777" w:rsidR="008C752B" w:rsidRDefault="00CE4761">
            <w:pPr>
              <w:jc w:val="right"/>
            </w:pPr>
            <w:r>
              <w:rPr>
                <w:rFonts w:ascii="Arial" w:hAnsi="Arial"/>
                <w:sz w:val="18"/>
              </w:rPr>
              <w:t>9</w:t>
            </w:r>
          </w:p>
        </w:tc>
        <w:tc>
          <w:tcPr>
            <w:tcW w:w="1505" w:type="dxa"/>
          </w:tcPr>
          <w:p w14:paraId="73AE1016" w14:textId="77777777" w:rsidR="008C752B" w:rsidRDefault="00CE4761">
            <w:r>
              <w:rPr>
                <w:rFonts w:ascii="Arial" w:hAnsi="Arial"/>
                <w:sz w:val="18"/>
              </w:rPr>
              <w:t>FAC-0181</w:t>
            </w:r>
          </w:p>
        </w:tc>
        <w:tc>
          <w:tcPr>
            <w:tcW w:w="1505" w:type="dxa"/>
          </w:tcPr>
          <w:p w14:paraId="77AC039D" w14:textId="77777777" w:rsidR="008C752B" w:rsidRDefault="00CE4761">
            <w:pPr>
              <w:jc w:val="right"/>
            </w:pPr>
            <w:r>
              <w:rPr>
                <w:rFonts w:ascii="Arial" w:hAnsi="Arial"/>
                <w:sz w:val="18"/>
              </w:rPr>
              <w:t>63.758</w:t>
            </w:r>
          </w:p>
        </w:tc>
        <w:tc>
          <w:tcPr>
            <w:tcW w:w="1505" w:type="dxa"/>
          </w:tcPr>
          <w:p w14:paraId="1D13A655" w14:textId="77777777" w:rsidR="008C752B" w:rsidRDefault="00CE4761">
            <w:pPr>
              <w:jc w:val="right"/>
            </w:pPr>
            <w:r>
              <w:rPr>
                <w:rFonts w:ascii="Arial" w:hAnsi="Arial"/>
                <w:sz w:val="18"/>
              </w:rPr>
              <w:t>0.0</w:t>
            </w:r>
          </w:p>
        </w:tc>
        <w:tc>
          <w:tcPr>
            <w:tcW w:w="1505" w:type="dxa"/>
          </w:tcPr>
          <w:p w14:paraId="15E0CDF1" w14:textId="77777777" w:rsidR="008C752B" w:rsidRDefault="00CE4761">
            <w:pPr>
              <w:jc w:val="right"/>
            </w:pPr>
            <w:r>
              <w:rPr>
                <w:rFonts w:ascii="Arial" w:hAnsi="Arial"/>
                <w:sz w:val="18"/>
              </w:rPr>
              <w:t>63.758</w:t>
            </w:r>
          </w:p>
        </w:tc>
        <w:tc>
          <w:tcPr>
            <w:tcW w:w="1505" w:type="dxa"/>
          </w:tcPr>
          <w:p w14:paraId="6C495FD4" w14:textId="77777777" w:rsidR="008C752B" w:rsidRDefault="00CE4761">
            <w:pPr>
              <w:jc w:val="right"/>
            </w:pPr>
            <w:r>
              <w:rPr>
                <w:rFonts w:ascii="Arial" w:hAnsi="Arial"/>
                <w:sz w:val="18"/>
              </w:rPr>
              <w:t>1</w:t>
            </w:r>
          </w:p>
        </w:tc>
      </w:tr>
      <w:tr w:rsidR="008C752B" w14:paraId="20B53227" w14:textId="77777777">
        <w:trPr>
          <w:jc w:val="center"/>
        </w:trPr>
        <w:tc>
          <w:tcPr>
            <w:tcW w:w="1505" w:type="dxa"/>
            <w:shd w:val="clear" w:color="auto" w:fill="F2F6FC"/>
          </w:tcPr>
          <w:p w14:paraId="2F4A35A1" w14:textId="77777777" w:rsidR="008C752B" w:rsidRDefault="00CE4761">
            <w:pPr>
              <w:jc w:val="right"/>
            </w:pPr>
            <w:r>
              <w:rPr>
                <w:rFonts w:ascii="Arial" w:hAnsi="Arial"/>
                <w:sz w:val="18"/>
              </w:rPr>
              <w:t>10</w:t>
            </w:r>
          </w:p>
        </w:tc>
        <w:tc>
          <w:tcPr>
            <w:tcW w:w="1505" w:type="dxa"/>
            <w:shd w:val="clear" w:color="auto" w:fill="F2F6FC"/>
          </w:tcPr>
          <w:p w14:paraId="4CF8309D" w14:textId="77777777" w:rsidR="008C752B" w:rsidRDefault="00CE4761">
            <w:r>
              <w:rPr>
                <w:rFonts w:ascii="Arial" w:hAnsi="Arial"/>
                <w:sz w:val="18"/>
              </w:rPr>
              <w:t>FAC-0208</w:t>
            </w:r>
          </w:p>
        </w:tc>
        <w:tc>
          <w:tcPr>
            <w:tcW w:w="1505" w:type="dxa"/>
            <w:shd w:val="clear" w:color="auto" w:fill="F2F6FC"/>
          </w:tcPr>
          <w:p w14:paraId="686DC9AE" w14:textId="77777777" w:rsidR="008C752B" w:rsidRDefault="00CE4761">
            <w:pPr>
              <w:jc w:val="right"/>
            </w:pPr>
            <w:r>
              <w:rPr>
                <w:rFonts w:ascii="Arial" w:hAnsi="Arial"/>
                <w:sz w:val="18"/>
              </w:rPr>
              <w:t>63.5152</w:t>
            </w:r>
          </w:p>
        </w:tc>
        <w:tc>
          <w:tcPr>
            <w:tcW w:w="1505" w:type="dxa"/>
            <w:shd w:val="clear" w:color="auto" w:fill="F2F6FC"/>
          </w:tcPr>
          <w:p w14:paraId="56DEFF76" w14:textId="77777777" w:rsidR="008C752B" w:rsidRDefault="00CE4761">
            <w:pPr>
              <w:jc w:val="right"/>
            </w:pPr>
            <w:r>
              <w:rPr>
                <w:rFonts w:ascii="Arial" w:hAnsi="Arial"/>
                <w:sz w:val="18"/>
              </w:rPr>
              <w:t>23.7606</w:t>
            </w:r>
          </w:p>
        </w:tc>
        <w:tc>
          <w:tcPr>
            <w:tcW w:w="1505" w:type="dxa"/>
            <w:shd w:val="clear" w:color="auto" w:fill="F2F6FC"/>
          </w:tcPr>
          <w:p w14:paraId="43FB373F" w14:textId="77777777" w:rsidR="008C752B" w:rsidRDefault="00CE4761">
            <w:pPr>
              <w:jc w:val="right"/>
            </w:pPr>
            <w:r>
              <w:rPr>
                <w:rFonts w:ascii="Arial" w:hAnsi="Arial"/>
                <w:sz w:val="18"/>
              </w:rPr>
              <w:t>39.7546</w:t>
            </w:r>
          </w:p>
        </w:tc>
        <w:tc>
          <w:tcPr>
            <w:tcW w:w="1505" w:type="dxa"/>
            <w:shd w:val="clear" w:color="auto" w:fill="F2F6FC"/>
          </w:tcPr>
          <w:p w14:paraId="17833C83" w14:textId="77777777" w:rsidR="008C752B" w:rsidRDefault="00CE4761">
            <w:pPr>
              <w:jc w:val="right"/>
            </w:pPr>
            <w:r>
              <w:rPr>
                <w:rFonts w:ascii="Arial" w:hAnsi="Arial"/>
                <w:sz w:val="18"/>
              </w:rPr>
              <w:t>1</w:t>
            </w:r>
          </w:p>
        </w:tc>
      </w:tr>
    </w:tbl>
    <w:p w14:paraId="6251BD5C" w14:textId="77777777" w:rsidR="008C752B" w:rsidRDefault="00CE4761">
      <w:r>
        <w:rPr>
          <w:rFonts w:ascii="Arial" w:hAnsi="Arial"/>
          <w:i/>
          <w:sz w:val="16"/>
        </w:rPr>
        <w:t>Source: Source: Facility-level metering and fuel procurement records. Data quality score: 1 = primary metered data, 4 = estimated using facility-type averages.</w:t>
      </w:r>
    </w:p>
    <w:p w14:paraId="74DA5F4A" w14:textId="77777777" w:rsidR="008C752B" w:rsidRDefault="008C752B"/>
    <w:p w14:paraId="78869729" w14:textId="77777777" w:rsidR="008C752B" w:rsidRDefault="00CE4761">
      <w:r>
        <w:rPr>
          <w:i/>
          <w:color w:val="3D6094"/>
          <w:sz w:val="18"/>
        </w:rPr>
        <w:t>Framework references: POJK No. 51/POJK.03/2017 Article 8-12 (Environmental Performance Disclosure); SE OJK Circular on Sustainability Reporting (Environmental Metrics - Direct Emissions); GHG Protocol Corporate Accounting and Reporting Standard (2015 revision) - Chapter 4 (Scope 1); IPCC 2006 Guidelines for National Greenhouse Gas Inventories, Volume 2 (Energy); IPCC Sixth Assessment Report (AR6) - Global Warming Potential Values</w:t>
      </w:r>
    </w:p>
    <w:p w14:paraId="5E61F4B5" w14:textId="77777777" w:rsidR="008C752B" w:rsidRDefault="008C752B">
      <w:pPr>
        <w:pBdr>
          <w:bottom w:val="single" w:sz="6" w:space="1" w:color="999999"/>
        </w:pBdr>
        <w:spacing w:after="80"/>
      </w:pPr>
    </w:p>
    <w:p w14:paraId="6EF5A47C" w14:textId="77777777" w:rsidR="008C752B" w:rsidRDefault="00CE4761">
      <w:pPr>
        <w:spacing w:after="160"/>
        <w:jc w:val="both"/>
      </w:pPr>
      <w:r>
        <w:rPr>
          <w:rFonts w:ascii="Arial" w:hAnsi="Arial"/>
          <w:i/>
          <w:color w:val="646464"/>
          <w:sz w:val="18"/>
        </w:rPr>
        <w:t>Scope 1 emissions are reported under the operational control consolidation approach as defined in the GHG Protocol Corporate Standard. All facilities where the institution has full authority to introduce and implement operating policies are included.</w:t>
      </w:r>
    </w:p>
    <w:p w14:paraId="60B415FE" w14:textId="77777777" w:rsidR="008C752B" w:rsidRDefault="00CE4761">
      <w:pPr>
        <w:spacing w:after="160"/>
        <w:jc w:val="both"/>
      </w:pPr>
      <w:r>
        <w:rPr>
          <w:rFonts w:ascii="Arial" w:hAnsi="Arial"/>
          <w:i/>
          <w:color w:val="646464"/>
          <w:sz w:val="18"/>
        </w:rPr>
        <w:t>Emission factors for natural gas and diesel combustion are sourced from Indonesia's Ministry of Environment and Forestry (KLHK) National Inventory Report 2023 and IPCC 2006 Guidelines for National Greenhouse Gas Inventories, Volume 2 (Energy).</w:t>
      </w:r>
    </w:p>
    <w:p w14:paraId="77BC8F4E" w14:textId="77777777" w:rsidR="008C752B" w:rsidRDefault="00CE4761">
      <w:pPr>
        <w:spacing w:after="160"/>
        <w:jc w:val="both"/>
      </w:pPr>
      <w:r>
        <w:rPr>
          <w:rFonts w:ascii="Arial" w:hAnsi="Arial"/>
          <w:i/>
          <w:color w:val="646464"/>
          <w:sz w:val="18"/>
        </w:rPr>
        <w:lastRenderedPageBreak/>
        <w:t>Global Warming Potential (GWP) values are from the IPCC Sixth Assessment Report (AR6), 100-year time horizon: CO2 = 1, CH4 = 29.8, N2O = 273.0.</w:t>
      </w:r>
    </w:p>
    <w:p w14:paraId="17D2A1F8" w14:textId="77777777" w:rsidR="008C752B" w:rsidRDefault="00CE4761">
      <w:pPr>
        <w:spacing w:after="160"/>
        <w:jc w:val="both"/>
      </w:pPr>
      <w:r>
        <w:rPr>
          <w:rFonts w:ascii="Arial" w:hAnsi="Arial"/>
          <w:i/>
          <w:color w:val="646464"/>
          <w:sz w:val="18"/>
        </w:rPr>
        <w:t>These figures have not been subject to external assurance for the current reporting period.</w:t>
      </w:r>
    </w:p>
    <w:p w14:paraId="069C59AD" w14:textId="77777777" w:rsidR="008C752B" w:rsidRDefault="00CE4761">
      <w:pPr>
        <w:spacing w:after="160"/>
        <w:jc w:val="both"/>
      </w:pPr>
      <w:r>
        <w:rPr>
          <w:rFonts w:ascii="Arial" w:hAnsi="Arial"/>
          <w:i/>
          <w:color w:val="646464"/>
          <w:sz w:val="18"/>
        </w:rPr>
        <w:t>Three facilities (FAC-0193, FAC-0191, FAC-0181) do not utilize natural gas and rely exclusively on diesel for backup power generation.</w:t>
      </w:r>
    </w:p>
    <w:p w14:paraId="3728E644" w14:textId="77777777" w:rsidR="008C752B" w:rsidRDefault="00CE4761">
      <w:pPr>
        <w:spacing w:after="160"/>
        <w:jc w:val="both"/>
      </w:pPr>
      <w:r>
        <w:rPr>
          <w:rFonts w:ascii="Arial" w:hAnsi="Arial"/>
          <w:i/>
          <w:color w:val="646464"/>
          <w:sz w:val="18"/>
        </w:rPr>
        <w:t>The 2.36% year-over-year increase in Scope 1 emissions is primarily attributable to network expansion (three new branches) and increased diesel generator runtime during Q3 2024 grid instability events.</w:t>
      </w:r>
    </w:p>
    <w:p w14:paraId="37167CD2" w14:textId="77777777" w:rsidR="008C752B" w:rsidRDefault="00CE4761">
      <w:r>
        <w:br w:type="page"/>
      </w:r>
    </w:p>
    <w:p w14:paraId="74BF4E04" w14:textId="77777777" w:rsidR="008C752B" w:rsidRDefault="00CE4761">
      <w:pPr>
        <w:pStyle w:val="Heading1"/>
        <w:spacing w:after="240"/>
      </w:pPr>
      <w:bookmarkStart w:id="7" w:name="_Toc231550612"/>
      <w:r>
        <w:rPr>
          <w:rFonts w:ascii="Arial" w:hAnsi="Arial"/>
          <w:color w:val="1B3A6B"/>
          <w:sz w:val="36"/>
        </w:rPr>
        <w:lastRenderedPageBreak/>
        <w:t>4.2 Energy Indirect (Scope 2) GHG Emissions</w:t>
      </w:r>
      <w:bookmarkEnd w:id="7"/>
    </w:p>
    <w:p w14:paraId="6A20E577" w14:textId="77777777" w:rsidR="008C752B" w:rsidRDefault="00CE4761">
      <w:pPr>
        <w:spacing w:after="160"/>
        <w:jc w:val="both"/>
      </w:pPr>
      <w:r>
        <w:rPr>
          <w:rFonts w:ascii="Arial" w:hAnsi="Arial"/>
        </w:rPr>
        <w:t>The organization's energy indirect (Scope 2) greenhouse gas emissions for the reporting period totaled 44,613.876 tCO₂e using the location-based method and 44,612.518 tCO₂e using the market-based method. These emissions result from the generation of purchased electricity consumed across the organization's operational facilities. The location-based figure reflects the average emissions intensity of the Indonesian electricity grid, while the market-based figure accounts for contractual instruments and the org</w:t>
      </w:r>
      <w:r>
        <w:rPr>
          <w:rFonts w:ascii="Arial" w:hAnsi="Arial"/>
        </w:rPr>
        <w:t>anization's electricity procurement choices.</w:t>
      </w:r>
    </w:p>
    <w:p w14:paraId="0B0FE35F" w14:textId="77777777" w:rsidR="008C752B" w:rsidRDefault="00CE4761">
      <w:pPr>
        <w:spacing w:after="160"/>
        <w:jc w:val="both"/>
      </w:pPr>
      <w:r>
        <w:rPr>
          <w:rFonts w:ascii="Arial" w:hAnsi="Arial"/>
          <w:i/>
        </w:rPr>
        <w:t>The organization applies the dual reporting approach mandated by the GHG Protocol Scope 2 Guidance (2015). The location-based method utilizes grid-average emission factors from PLN (Perusahaan Listrik Negara) for the Indonesian electricity grid for the year 2023, reflecting the average emissions intensity of the grid on which energy consumption occurs. The market-based method derives emission factors from contractual instruments and, in the absence of such instruments, applies residual mix factors or grid-a</w:t>
      </w:r>
      <w:r>
        <w:rPr>
          <w:rFonts w:ascii="Arial" w:hAnsi="Arial"/>
          <w:i/>
        </w:rPr>
        <w:t>verage factors as a proxy. Both methods consolidate emissions under the operational control approach, consistent with the organization's consolidation methodology for Scope 1 emissions.</w:t>
      </w:r>
    </w:p>
    <w:p w14:paraId="7B925E84" w14:textId="77777777" w:rsidR="008C752B" w:rsidRDefault="00CE4761">
      <w:pPr>
        <w:spacing w:after="160"/>
        <w:jc w:val="both"/>
      </w:pPr>
      <w:r>
        <w:rPr>
          <w:rFonts w:ascii="Arial" w:hAnsi="Arial"/>
        </w:rPr>
        <w:t>The minimal difference of 1.358 tCO₂e between the location-based and market-based figures indicates that the organization has not applied significant contractual instruments such as Renewable Energy Certificates (RECs), Power Purchase Agreements (PPAs), or green tariffs during the reporting period. The market-based calculation primarily relies on grid-average emission factors as a proxy for the residual mix, resulting in near-identical values for both methods. Future reporting periods may reflect greater di</w:t>
      </w:r>
      <w:r>
        <w:rPr>
          <w:rFonts w:ascii="Arial" w:hAnsi="Arial"/>
        </w:rPr>
        <w:t>vergence as the organization explores renewable energy procurement strategies.</w:t>
      </w:r>
    </w:p>
    <w:p w14:paraId="3940F832" w14:textId="77777777" w:rsidR="008C752B" w:rsidRDefault="00CE4761">
      <w:pPr>
        <w:spacing w:after="160"/>
        <w:jc w:val="both"/>
      </w:pPr>
      <w:r>
        <w:rPr>
          <w:rFonts w:ascii="Arial" w:hAnsi="Arial"/>
        </w:rPr>
        <w:t xml:space="preserve">Compared to the prior reporting period, the organization's location-based Scope 2 emissions increased by 0.03% from 44,599.440 tCO₂e in 2023 to 44,613.876 tCO₂e in 2024, representing an absolute increase of 14.436 tCO₂e. The market-based Scope 2 emissions similarly increased by 0.03% from 44,598.118 tCO₂e in 2023 to 44,612.518 tCO₂e in 2024, an absolute increase of 14.400 tCO₂e. This marginal increase reflects stable operational electricity consumption patterns across the organization's facility portfolio, </w:t>
      </w:r>
      <w:r>
        <w:rPr>
          <w:rFonts w:ascii="Arial" w:hAnsi="Arial"/>
        </w:rPr>
        <w:t>with no significant expansion or contraction of energy-intensive operations during the period.</w:t>
      </w:r>
    </w:p>
    <w:p w14:paraId="0C7E74F4" w14:textId="77777777" w:rsidR="008C752B" w:rsidRDefault="00CE4761">
      <w:pPr>
        <w:spacing w:after="160"/>
        <w:jc w:val="both"/>
      </w:pPr>
      <w:r>
        <w:rPr>
          <w:rFonts w:ascii="Arial" w:hAnsi="Arial"/>
        </w:rPr>
        <w:t>The organization sources electricity exclusively from the Indonesian national grid operated by PLN. The grid emission factor applied for the location-based calculation is derived from PLN's published emissions data for 2023, representing the most recent available grid-average emissions intensity for Indonesia. The organization operates facilities across multiple Indonesian provinces, all of which are served by the interconnected Java-Bali grid system and regional grids with emission factors published by PLN</w:t>
      </w:r>
      <w:r>
        <w:rPr>
          <w:rFonts w:ascii="Arial" w:hAnsi="Arial"/>
        </w:rPr>
        <w:t>. No off-grid or captive power generation contributes to the organization's Scope 2 emissions inventory.</w:t>
      </w:r>
    </w:p>
    <w:p w14:paraId="6A595F7F" w14:textId="77777777" w:rsidR="008C752B" w:rsidRDefault="00CE4761">
      <w:pPr>
        <w:spacing w:after="160"/>
        <w:jc w:val="both"/>
      </w:pPr>
      <w:r>
        <w:rPr>
          <w:rFonts w:ascii="Arial" w:hAnsi="Arial"/>
          <w:i/>
        </w:rPr>
        <w:t xml:space="preserve">The organization consolidates Scope 2 emissions from all facilities under its operational control, consistent with the consolidation approach applied to Scope 1 emissions. Emissions are calculated by multiplying total electricity consumption in megawatt-hours (MWh) by the applicable grid emission factor in kilograms of CO₂ equivalent per kilowatt-hour (kgCO₂e/kWh). The organization reports emissions in metric tons of CO₂ equivalent (tCO₂e), </w:t>
      </w:r>
      <w:r>
        <w:rPr>
          <w:rFonts w:ascii="Arial" w:hAnsi="Arial"/>
          <w:i/>
        </w:rPr>
        <w:lastRenderedPageBreak/>
        <w:t>encompassing CO₂, CH₄, and N₂O emissions associated with electricity generation, as specified in the GHG Protocol.</w:t>
      </w:r>
    </w:p>
    <w:p w14:paraId="01B18772" w14:textId="77777777" w:rsidR="008C752B" w:rsidRDefault="00CE4761">
      <w:r>
        <w:rPr>
          <w:rFonts w:ascii="Arial" w:hAnsi="Arial"/>
          <w:b/>
          <w:sz w:val="20"/>
        </w:rPr>
        <w:t>Table 4.2.1: Scope 2 Energy Indirect GHG Emissions — Dual Reporting</w:t>
      </w:r>
    </w:p>
    <w:tbl>
      <w:tblPr>
        <w:tblW w:w="0" w:type="auto"/>
        <w:jc w:val="center"/>
        <w:tblLook w:val="04A0" w:firstRow="1" w:lastRow="0" w:firstColumn="1" w:lastColumn="0" w:noHBand="0" w:noVBand="1"/>
      </w:tblPr>
      <w:tblGrid>
        <w:gridCol w:w="1806"/>
        <w:gridCol w:w="1806"/>
        <w:gridCol w:w="1806"/>
        <w:gridCol w:w="1806"/>
        <w:gridCol w:w="1806"/>
      </w:tblGrid>
      <w:tr w:rsidR="008C752B" w14:paraId="4598462C" w14:textId="77777777">
        <w:trPr>
          <w:jc w:val="center"/>
        </w:trPr>
        <w:tc>
          <w:tcPr>
            <w:tcW w:w="1806" w:type="dxa"/>
            <w:shd w:val="clear" w:color="auto" w:fill="1B3A6B"/>
          </w:tcPr>
          <w:p w14:paraId="12A5E101" w14:textId="77777777" w:rsidR="008C752B" w:rsidRDefault="00CE4761">
            <w:r>
              <w:rPr>
                <w:rFonts w:ascii="Arial" w:hAnsi="Arial"/>
                <w:b/>
                <w:color w:val="FFFFFF"/>
                <w:sz w:val="18"/>
              </w:rPr>
              <w:t>Reporting Method</w:t>
            </w:r>
          </w:p>
        </w:tc>
        <w:tc>
          <w:tcPr>
            <w:tcW w:w="1806" w:type="dxa"/>
            <w:shd w:val="clear" w:color="auto" w:fill="1B3A6B"/>
          </w:tcPr>
          <w:p w14:paraId="00B5ACE0" w14:textId="77777777" w:rsidR="008C752B" w:rsidRDefault="00CE4761">
            <w:r>
              <w:rPr>
                <w:rFonts w:ascii="Arial" w:hAnsi="Arial"/>
                <w:b/>
                <w:color w:val="FFFFFF"/>
                <w:sz w:val="18"/>
              </w:rPr>
              <w:t>Emissions (tCO₂e)</w:t>
            </w:r>
          </w:p>
        </w:tc>
        <w:tc>
          <w:tcPr>
            <w:tcW w:w="1806" w:type="dxa"/>
            <w:shd w:val="clear" w:color="auto" w:fill="1B3A6B"/>
          </w:tcPr>
          <w:p w14:paraId="54B5B8C2" w14:textId="77777777" w:rsidR="008C752B" w:rsidRDefault="00CE4761">
            <w:r>
              <w:rPr>
                <w:rFonts w:ascii="Arial" w:hAnsi="Arial"/>
                <w:b/>
                <w:color w:val="FFFFFF"/>
                <w:sz w:val="18"/>
              </w:rPr>
              <w:t>Prior Year (tCO₂e)</w:t>
            </w:r>
          </w:p>
        </w:tc>
        <w:tc>
          <w:tcPr>
            <w:tcW w:w="1806" w:type="dxa"/>
            <w:shd w:val="clear" w:color="auto" w:fill="1B3A6B"/>
          </w:tcPr>
          <w:p w14:paraId="5A7DCAD6" w14:textId="77777777" w:rsidR="008C752B" w:rsidRDefault="00CE4761">
            <w:r>
              <w:rPr>
                <w:rFonts w:ascii="Arial" w:hAnsi="Arial"/>
                <w:b/>
                <w:color w:val="FFFFFF"/>
                <w:sz w:val="18"/>
              </w:rPr>
              <w:t>Year-over-Year Change (%)</w:t>
            </w:r>
          </w:p>
        </w:tc>
        <w:tc>
          <w:tcPr>
            <w:tcW w:w="1806" w:type="dxa"/>
            <w:shd w:val="clear" w:color="auto" w:fill="1B3A6B"/>
          </w:tcPr>
          <w:p w14:paraId="26DB4950" w14:textId="77777777" w:rsidR="008C752B" w:rsidRDefault="00CE4761">
            <w:r>
              <w:rPr>
                <w:rFonts w:ascii="Arial" w:hAnsi="Arial"/>
                <w:b/>
                <w:color w:val="FFFFFF"/>
                <w:sz w:val="18"/>
              </w:rPr>
              <w:t>Methodology Reference</w:t>
            </w:r>
          </w:p>
        </w:tc>
      </w:tr>
      <w:tr w:rsidR="008C752B" w14:paraId="2B2D5537" w14:textId="77777777">
        <w:trPr>
          <w:jc w:val="center"/>
        </w:trPr>
        <w:tc>
          <w:tcPr>
            <w:tcW w:w="1806" w:type="dxa"/>
          </w:tcPr>
          <w:p w14:paraId="7DC8E417" w14:textId="77777777" w:rsidR="008C752B" w:rsidRDefault="00CE4761">
            <w:r>
              <w:rPr>
                <w:rFonts w:ascii="Arial" w:hAnsi="Arial"/>
                <w:sz w:val="18"/>
              </w:rPr>
              <w:t>Location-based</w:t>
            </w:r>
          </w:p>
        </w:tc>
        <w:tc>
          <w:tcPr>
            <w:tcW w:w="1806" w:type="dxa"/>
          </w:tcPr>
          <w:p w14:paraId="1EE34BF4" w14:textId="77777777" w:rsidR="008C752B" w:rsidRDefault="00CE4761">
            <w:pPr>
              <w:jc w:val="right"/>
            </w:pPr>
            <w:r>
              <w:rPr>
                <w:rFonts w:ascii="Arial" w:hAnsi="Arial"/>
                <w:sz w:val="18"/>
              </w:rPr>
              <w:t>44,613.876</w:t>
            </w:r>
          </w:p>
        </w:tc>
        <w:tc>
          <w:tcPr>
            <w:tcW w:w="1806" w:type="dxa"/>
          </w:tcPr>
          <w:p w14:paraId="10E5A463" w14:textId="77777777" w:rsidR="008C752B" w:rsidRDefault="00CE4761">
            <w:pPr>
              <w:jc w:val="right"/>
            </w:pPr>
            <w:r>
              <w:rPr>
                <w:rFonts w:ascii="Arial" w:hAnsi="Arial"/>
                <w:sz w:val="18"/>
              </w:rPr>
              <w:t>44,599.440</w:t>
            </w:r>
          </w:p>
        </w:tc>
        <w:tc>
          <w:tcPr>
            <w:tcW w:w="1806" w:type="dxa"/>
          </w:tcPr>
          <w:p w14:paraId="54E02E26" w14:textId="77777777" w:rsidR="008C752B" w:rsidRDefault="00CE4761">
            <w:pPr>
              <w:jc w:val="right"/>
            </w:pPr>
            <w:r>
              <w:rPr>
                <w:rFonts w:ascii="Arial" w:hAnsi="Arial"/>
                <w:sz w:val="18"/>
              </w:rPr>
              <w:t>+0.03</w:t>
            </w:r>
          </w:p>
        </w:tc>
        <w:tc>
          <w:tcPr>
            <w:tcW w:w="1806" w:type="dxa"/>
          </w:tcPr>
          <w:p w14:paraId="37574CE2" w14:textId="77777777" w:rsidR="008C752B" w:rsidRDefault="00CE4761">
            <w:r>
              <w:rPr>
                <w:rFonts w:ascii="Arial" w:hAnsi="Arial"/>
                <w:sz w:val="18"/>
              </w:rPr>
              <w:t>GHG Protocol Scope 2 Guidance (Grid-average EF)</w:t>
            </w:r>
          </w:p>
        </w:tc>
      </w:tr>
      <w:tr w:rsidR="008C752B" w14:paraId="0C09CD69" w14:textId="77777777">
        <w:trPr>
          <w:jc w:val="center"/>
        </w:trPr>
        <w:tc>
          <w:tcPr>
            <w:tcW w:w="1806" w:type="dxa"/>
            <w:shd w:val="clear" w:color="auto" w:fill="F2F6FC"/>
          </w:tcPr>
          <w:p w14:paraId="052AF407" w14:textId="77777777" w:rsidR="008C752B" w:rsidRDefault="00CE4761">
            <w:r>
              <w:rPr>
                <w:rFonts w:ascii="Arial" w:hAnsi="Arial"/>
                <w:sz w:val="18"/>
              </w:rPr>
              <w:t>Market-based</w:t>
            </w:r>
          </w:p>
        </w:tc>
        <w:tc>
          <w:tcPr>
            <w:tcW w:w="1806" w:type="dxa"/>
            <w:shd w:val="clear" w:color="auto" w:fill="F2F6FC"/>
          </w:tcPr>
          <w:p w14:paraId="5BE06A3D" w14:textId="77777777" w:rsidR="008C752B" w:rsidRDefault="00CE4761">
            <w:pPr>
              <w:jc w:val="right"/>
            </w:pPr>
            <w:r>
              <w:rPr>
                <w:rFonts w:ascii="Arial" w:hAnsi="Arial"/>
                <w:sz w:val="18"/>
              </w:rPr>
              <w:t>44,612.518</w:t>
            </w:r>
          </w:p>
        </w:tc>
        <w:tc>
          <w:tcPr>
            <w:tcW w:w="1806" w:type="dxa"/>
            <w:shd w:val="clear" w:color="auto" w:fill="F2F6FC"/>
          </w:tcPr>
          <w:p w14:paraId="4B587AC1" w14:textId="77777777" w:rsidR="008C752B" w:rsidRDefault="00CE4761">
            <w:pPr>
              <w:jc w:val="right"/>
            </w:pPr>
            <w:r>
              <w:rPr>
                <w:rFonts w:ascii="Arial" w:hAnsi="Arial"/>
                <w:sz w:val="18"/>
              </w:rPr>
              <w:t>44,598.118</w:t>
            </w:r>
          </w:p>
        </w:tc>
        <w:tc>
          <w:tcPr>
            <w:tcW w:w="1806" w:type="dxa"/>
            <w:shd w:val="clear" w:color="auto" w:fill="F2F6FC"/>
          </w:tcPr>
          <w:p w14:paraId="1C6A1ABA" w14:textId="77777777" w:rsidR="008C752B" w:rsidRDefault="00CE4761">
            <w:pPr>
              <w:jc w:val="right"/>
            </w:pPr>
            <w:r>
              <w:rPr>
                <w:rFonts w:ascii="Arial" w:hAnsi="Arial"/>
                <w:sz w:val="18"/>
              </w:rPr>
              <w:t>+0.03</w:t>
            </w:r>
          </w:p>
        </w:tc>
        <w:tc>
          <w:tcPr>
            <w:tcW w:w="1806" w:type="dxa"/>
            <w:shd w:val="clear" w:color="auto" w:fill="F2F6FC"/>
          </w:tcPr>
          <w:p w14:paraId="2D901887" w14:textId="77777777" w:rsidR="008C752B" w:rsidRDefault="00CE4761">
            <w:r>
              <w:rPr>
                <w:rFonts w:ascii="Arial" w:hAnsi="Arial"/>
                <w:sz w:val="18"/>
              </w:rPr>
              <w:t>GHG Protocol Scope 2 Guidance (Contractual instruments / Residual mix)</w:t>
            </w:r>
          </w:p>
        </w:tc>
      </w:tr>
      <w:tr w:rsidR="008C752B" w14:paraId="363AEB66" w14:textId="77777777">
        <w:trPr>
          <w:jc w:val="center"/>
        </w:trPr>
        <w:tc>
          <w:tcPr>
            <w:tcW w:w="1806" w:type="dxa"/>
          </w:tcPr>
          <w:p w14:paraId="6F19EADE" w14:textId="77777777" w:rsidR="008C752B" w:rsidRDefault="00CE4761">
            <w:r>
              <w:rPr>
                <w:rFonts w:ascii="Arial" w:hAnsi="Arial"/>
                <w:sz w:val="18"/>
              </w:rPr>
              <w:t>Difference (Location - Market)</w:t>
            </w:r>
          </w:p>
        </w:tc>
        <w:tc>
          <w:tcPr>
            <w:tcW w:w="1806" w:type="dxa"/>
          </w:tcPr>
          <w:p w14:paraId="5054298E" w14:textId="77777777" w:rsidR="008C752B" w:rsidRDefault="00CE4761">
            <w:pPr>
              <w:jc w:val="right"/>
            </w:pPr>
            <w:r>
              <w:rPr>
                <w:rFonts w:ascii="Arial" w:hAnsi="Arial"/>
                <w:sz w:val="18"/>
              </w:rPr>
              <w:t>1.358</w:t>
            </w:r>
          </w:p>
        </w:tc>
        <w:tc>
          <w:tcPr>
            <w:tcW w:w="1806" w:type="dxa"/>
          </w:tcPr>
          <w:p w14:paraId="47CAFD6F" w14:textId="77777777" w:rsidR="008C752B" w:rsidRDefault="00CE4761">
            <w:pPr>
              <w:jc w:val="right"/>
            </w:pPr>
            <w:r>
              <w:rPr>
                <w:rFonts w:ascii="Arial" w:hAnsi="Arial"/>
                <w:sz w:val="18"/>
              </w:rPr>
              <w:t>1.322</w:t>
            </w:r>
          </w:p>
        </w:tc>
        <w:tc>
          <w:tcPr>
            <w:tcW w:w="1806" w:type="dxa"/>
          </w:tcPr>
          <w:p w14:paraId="516964CA" w14:textId="77777777" w:rsidR="008C752B" w:rsidRDefault="00CE4761">
            <w:r>
              <w:rPr>
                <w:rFonts w:ascii="Arial" w:hAnsi="Arial"/>
                <w:sz w:val="18"/>
              </w:rPr>
              <w:t>—</w:t>
            </w:r>
          </w:p>
        </w:tc>
        <w:tc>
          <w:tcPr>
            <w:tcW w:w="1806" w:type="dxa"/>
          </w:tcPr>
          <w:p w14:paraId="534C6E93" w14:textId="77777777" w:rsidR="008C752B" w:rsidRDefault="00CE4761">
            <w:r>
              <w:rPr>
                <w:rFonts w:ascii="Arial" w:hAnsi="Arial"/>
                <w:sz w:val="18"/>
              </w:rPr>
              <w:t>—</w:t>
            </w:r>
          </w:p>
        </w:tc>
      </w:tr>
    </w:tbl>
    <w:p w14:paraId="0D657469" w14:textId="77777777" w:rsidR="008C752B" w:rsidRDefault="00CE4761">
      <w:r>
        <w:rPr>
          <w:rFonts w:ascii="Arial" w:hAnsi="Arial"/>
          <w:i/>
          <w:sz w:val="16"/>
        </w:rPr>
        <w:t>Source: Source: Internal energy consumption data; PLN grid emission factors (2023); GHG Protocol Scope 2 Guidance (2015)</w:t>
      </w:r>
    </w:p>
    <w:p w14:paraId="082F9725" w14:textId="77777777" w:rsidR="008C752B" w:rsidRDefault="008C752B"/>
    <w:p w14:paraId="24C6265B" w14:textId="77777777" w:rsidR="008C752B" w:rsidRDefault="00CE4761">
      <w:r>
        <w:rPr>
          <w:i/>
          <w:color w:val="3D6094"/>
          <w:sz w:val="18"/>
        </w:rPr>
        <w:t>Framework references: GRI 305-2; GHG Protocol Scope 2 Guidance (2015)</w:t>
      </w:r>
    </w:p>
    <w:p w14:paraId="60BA4893" w14:textId="77777777" w:rsidR="008C752B" w:rsidRDefault="008C752B">
      <w:pPr>
        <w:pBdr>
          <w:bottom w:val="single" w:sz="6" w:space="1" w:color="999999"/>
        </w:pBdr>
        <w:spacing w:after="80"/>
      </w:pPr>
    </w:p>
    <w:p w14:paraId="657F0F3C" w14:textId="77777777" w:rsidR="008C752B" w:rsidRDefault="00CE4761">
      <w:pPr>
        <w:spacing w:after="160"/>
        <w:jc w:val="both"/>
      </w:pPr>
      <w:r>
        <w:rPr>
          <w:rFonts w:ascii="Arial" w:hAnsi="Arial"/>
          <w:i/>
          <w:color w:val="646464"/>
          <w:sz w:val="18"/>
        </w:rPr>
        <w:t>These figures have not been subject to external assurance for the current reporting period.</w:t>
      </w:r>
    </w:p>
    <w:p w14:paraId="567856D9" w14:textId="77777777" w:rsidR="008C752B" w:rsidRDefault="00CE4761">
      <w:pPr>
        <w:spacing w:after="160"/>
        <w:jc w:val="both"/>
      </w:pPr>
      <w:r>
        <w:rPr>
          <w:rFonts w:ascii="Arial" w:hAnsi="Arial"/>
          <w:i/>
          <w:color w:val="646464"/>
          <w:sz w:val="18"/>
        </w:rPr>
        <w:t>GRI Content Index: 305-2 | Energy indirect (Scope 2) GHG emissions | Section 4.2</w:t>
      </w:r>
    </w:p>
    <w:p w14:paraId="61A8ABCE" w14:textId="77777777" w:rsidR="008C752B" w:rsidRDefault="00CE4761">
      <w:r>
        <w:br w:type="page"/>
      </w:r>
    </w:p>
    <w:p w14:paraId="1ED3EA09" w14:textId="77777777" w:rsidR="008C752B" w:rsidRDefault="00CE4761">
      <w:pPr>
        <w:pStyle w:val="Heading1"/>
        <w:spacing w:after="240"/>
      </w:pPr>
      <w:bookmarkStart w:id="8" w:name="_Toc231550613"/>
      <w:r>
        <w:rPr>
          <w:rFonts w:ascii="Arial" w:hAnsi="Arial"/>
          <w:color w:val="1B3A6B"/>
          <w:sz w:val="36"/>
        </w:rPr>
        <w:lastRenderedPageBreak/>
        <w:t>Financed Emissions (Scope 3 Category 15)</w:t>
      </w:r>
      <w:bookmarkEnd w:id="8"/>
    </w:p>
    <w:p w14:paraId="42C619D6" w14:textId="77777777" w:rsidR="008C752B" w:rsidRDefault="00CE4761">
      <w:pPr>
        <w:spacing w:after="160"/>
        <w:jc w:val="both"/>
      </w:pPr>
      <w:r>
        <w:rPr>
          <w:rFonts w:ascii="Arial" w:hAnsi="Arial"/>
        </w:rPr>
        <w:t>The institution's gross financed emissions for the reporting period totaled 21,976,797.3 tCO2e across its commercial and industrial lending portfolio. These emissions represent the greenhouse gas footprint attributable to the institution's lending activities, calculated in accordance with the Partnership for Carbon Accounting Financials (PCAF) Global GHG Accounting Standard. The portfolio under assessment comprised 1,541.18 trillion IDR in total outstanding exposure across 1,955 borrower relationships spann</w:t>
      </w:r>
      <w:r>
        <w:rPr>
          <w:rFonts w:ascii="Arial" w:hAnsi="Arial"/>
        </w:rPr>
        <w:t>ing ten industry sectors.</w:t>
      </w:r>
    </w:p>
    <w:p w14:paraId="44D9F3EB" w14:textId="77777777" w:rsidR="008C752B" w:rsidRDefault="00CE4761">
      <w:pPr>
        <w:spacing w:after="160"/>
        <w:jc w:val="both"/>
      </w:pPr>
      <w:r>
        <w:rPr>
          <w:rFonts w:ascii="Arial" w:hAnsi="Arial"/>
          <w:i/>
        </w:rPr>
        <w:t>Financed emissions were calculated using the attribution factor methodology prescribed by PCAF, whereby the institution's proportional share of a borrower's total emissions is determined by the ratio of outstanding loan amount to the borrower's total enterprise value (for corporate loans) or total project cost (for project finance). The calculation encompasses Scope 1 and Scope 2 emissions of borrowers, with Scope 3 emissions included where material and data availability permits. Asset classes covered in th</w:t>
      </w:r>
      <w:r>
        <w:rPr>
          <w:rFonts w:ascii="Arial" w:hAnsi="Arial"/>
          <w:i/>
        </w:rPr>
        <w:t>is assessment include corporate loans, project finance, and undrawn loan commitments. The methodology aligns with IFRS S2 paragraph B62(d) requirements for disclosure of allocation methods in relation to gross exposure size.</w:t>
      </w:r>
    </w:p>
    <w:p w14:paraId="786F5BA7" w14:textId="77777777" w:rsidR="008C752B" w:rsidRDefault="00CE4761">
      <w:pPr>
        <w:spacing w:after="160"/>
        <w:jc w:val="both"/>
      </w:pPr>
      <w:r>
        <w:rPr>
          <w:rFonts w:ascii="Arial" w:hAnsi="Arial"/>
        </w:rPr>
        <w:t>The institution reports both gross financed emissions and confidence-weighted financed emissions to reflect data quality considerations inherent in the PCAF framework. Gross financed emissions of 21,976,797.3 tCO2e represent the unweighted total calculated using available emissions data across all data quality tiers. Confidence-weighted financed emissions of 15,280,174.14 tCO2e apply PCAF confidence factors ranging from 1.00 (verified data) to 0.45 (sector-average proxies) to adjust for data quality uncerta</w:t>
      </w:r>
      <w:r>
        <w:rPr>
          <w:rFonts w:ascii="Arial" w:hAnsi="Arial"/>
        </w:rPr>
        <w:t>inty. The 30.5% reduction from gross to weighted figures reflects the prevalence of lower-quality data sources in the current portfolio, with the weighted figure providing a more conservative estimate of actual financed emissions.</w:t>
      </w:r>
    </w:p>
    <w:p w14:paraId="631C1B57" w14:textId="77777777" w:rsidR="008C752B" w:rsidRDefault="00CE4761">
      <w:pPr>
        <w:spacing w:after="160"/>
        <w:jc w:val="both"/>
      </w:pPr>
      <w:r>
        <w:rPr>
          <w:rFonts w:ascii="Arial" w:hAnsi="Arial"/>
        </w:rPr>
        <w:t>**Table 1: Financed Emissions by Industry Sector (Top 5 Emitting Sectors)**</w:t>
      </w:r>
    </w:p>
    <w:p w14:paraId="4851B43E" w14:textId="77777777" w:rsidR="008C752B" w:rsidRDefault="00CE4761">
      <w:pPr>
        <w:spacing w:after="160"/>
        <w:jc w:val="both"/>
      </w:pPr>
      <w:r>
        <w:rPr>
          <w:rFonts w:ascii="Arial" w:hAnsi="Arial"/>
        </w:rPr>
        <w:t>The Energy - Oil &amp; Gas sector accounted for 43.56% of total financed emissions despite representing only 6.66% of portfolio exposure, reflecting the carbon-intensive nature of fossil fuel extraction and refining activities. Manufacturing - Cement contributed 26.45% of financed emissions from 6.99% of portfolio exposure, driven by process emissions from clinker production. Manufacturing - Steel represented 15.92% of financed emissions with emission intensity of 32.2175 tCO2e per billion IDR. Transportation -</w:t>
      </w:r>
      <w:r>
        <w:rPr>
          <w:rFonts w:ascii="Arial" w:hAnsi="Arial"/>
        </w:rPr>
        <w:t xml:space="preserve"> Road and Manufacturing - Food &amp; Beverage sectors collectively contributed 9.84% of financed emissions. The concentration of 91.49% of total financed emissions within five high-emitting sectors underscores the institution's exposure to transition risk in carbon-intensive industries.</w:t>
      </w:r>
    </w:p>
    <w:p w14:paraId="017C8DFC" w14:textId="77777777" w:rsidR="008C752B" w:rsidRDefault="00CE4761">
      <w:pPr>
        <w:spacing w:after="160"/>
        <w:jc w:val="both"/>
      </w:pPr>
      <w:r>
        <w:rPr>
          <w:rFonts w:ascii="Arial" w:hAnsi="Arial"/>
        </w:rPr>
        <w:t>The portfolio-weighted average PCAF data quality score was 3.36 across all sectors, indicating reliance primarily on economic input-output models combined with revenue data (PCAF Score 3) and asset-based proxies (PCAF Score 4). No borrowers provided verified emissions data (Score 1) or reported unverified data (Score 2) during the reporting period. The Real Estate - Commercial sector achieved the highest data quality with an average score of 3.27, while the Financial Services sector recorded the lowest qual</w:t>
      </w:r>
      <w:r>
        <w:rPr>
          <w:rFonts w:ascii="Arial" w:hAnsi="Arial"/>
        </w:rPr>
        <w:t xml:space="preserve">ity at 3.42. </w:t>
      </w:r>
      <w:r>
        <w:rPr>
          <w:rFonts w:ascii="Arial" w:hAnsi="Arial"/>
        </w:rPr>
        <w:lastRenderedPageBreak/>
        <w:t>Portfolio coverage for financed emissions calculations reached 100% of in-scope lending exposure, meeting PCAF signatory requirements for comprehensive reporting.</w:t>
      </w:r>
    </w:p>
    <w:p w14:paraId="225FBFC2" w14:textId="77777777" w:rsidR="008C752B" w:rsidRDefault="00CE4761">
      <w:pPr>
        <w:spacing w:after="160"/>
        <w:jc w:val="both"/>
      </w:pPr>
      <w:r>
        <w:rPr>
          <w:rFonts w:ascii="Arial" w:hAnsi="Arial"/>
        </w:rPr>
        <w:t>Gross financed emissions decreased by 4.07% compared to the prior reporting period (2023: 22,911,991.05 tCO2e), driven by portfolio rebalancing toward lower-emission sectors and modest improvements in borrower operational efficiency. Confidence-weighted financed emissions declined by 1.90% year-over-year (2023: 15,576,239.57 tCO2e), with the smaller reduction reflecting deterioration in data quality scores for certain high-emission borrowers. The divergence between gross and weighted emission trends highlig</w:t>
      </w:r>
      <w:r>
        <w:rPr>
          <w:rFonts w:ascii="Arial" w:hAnsi="Arial"/>
        </w:rPr>
        <w:t>hts the impact of data quality fluctuations on reported figures and reinforces the importance of borrower engagement to improve primary data collection.</w:t>
      </w:r>
    </w:p>
    <w:p w14:paraId="4E4C4CB2" w14:textId="77777777" w:rsidR="008C752B" w:rsidRDefault="00CE4761">
      <w:pPr>
        <w:spacing w:after="160"/>
        <w:jc w:val="both"/>
      </w:pPr>
      <w:r>
        <w:rPr>
          <w:rFonts w:ascii="Arial" w:hAnsi="Arial"/>
          <w:i/>
          <w:color w:val="555555"/>
        </w:rPr>
        <w:t xml:space="preserve">The institution has established a three-year data quality improvement roadmap targeting an average PCAF score of 2.5 by 2027. Priority initiatives include: (i) mandatory climate data clauses in new loan agreements for borrowers with exposure exceeding 10 billion IDR; (ii) capacity-building workshops for high-emission sectors to support adoption of GHG Protocol Corporate Standard; (iii) integration of third-party emissions verification requirements into credit approval processes for Energy and Manufacturing </w:t>
      </w:r>
      <w:r>
        <w:rPr>
          <w:rFonts w:ascii="Arial" w:hAnsi="Arial"/>
          <w:i/>
          <w:color w:val="555555"/>
        </w:rPr>
        <w:t>sectors; and (iv) development of sector-specific emissions estimation models to reduce reliance on generic economic input-output factors. The roadmap aligns with IFRS S2 paragraph 14(c) requirements to disclose information about data limitations and approaches to address those limitations.</w:t>
      </w:r>
    </w:p>
    <w:p w14:paraId="60271820" w14:textId="77777777" w:rsidR="008C752B" w:rsidRDefault="00CE4761">
      <w:r>
        <w:rPr>
          <w:rFonts w:ascii="Arial" w:hAnsi="Arial"/>
          <w:b/>
          <w:sz w:val="20"/>
        </w:rPr>
        <w:t>Table 1: Financed Emissions by Industry Sector (Top 5 Emitting Sectors)</w:t>
      </w:r>
    </w:p>
    <w:tbl>
      <w:tblPr>
        <w:tblW w:w="0" w:type="auto"/>
        <w:jc w:val="center"/>
        <w:tblLook w:val="04A0" w:firstRow="1" w:lastRow="0" w:firstColumn="1" w:lastColumn="0" w:noHBand="0" w:noVBand="1"/>
      </w:tblPr>
      <w:tblGrid>
        <w:gridCol w:w="1225"/>
        <w:gridCol w:w="1137"/>
        <w:gridCol w:w="1077"/>
        <w:gridCol w:w="1461"/>
        <w:gridCol w:w="1461"/>
        <w:gridCol w:w="1077"/>
        <w:gridCol w:w="1043"/>
        <w:gridCol w:w="764"/>
      </w:tblGrid>
      <w:tr w:rsidR="008C752B" w14:paraId="5F66F016" w14:textId="77777777">
        <w:trPr>
          <w:jc w:val="center"/>
        </w:trPr>
        <w:tc>
          <w:tcPr>
            <w:tcW w:w="1129" w:type="dxa"/>
            <w:shd w:val="clear" w:color="auto" w:fill="1B3A6B"/>
          </w:tcPr>
          <w:p w14:paraId="56D5627C" w14:textId="77777777" w:rsidR="008C752B" w:rsidRDefault="00CE4761">
            <w:r>
              <w:rPr>
                <w:rFonts w:ascii="Arial" w:hAnsi="Arial"/>
                <w:b/>
                <w:color w:val="FFFFFF"/>
                <w:sz w:val="18"/>
              </w:rPr>
              <w:t>Sector</w:t>
            </w:r>
          </w:p>
        </w:tc>
        <w:tc>
          <w:tcPr>
            <w:tcW w:w="1129" w:type="dxa"/>
            <w:shd w:val="clear" w:color="auto" w:fill="1B3A6B"/>
          </w:tcPr>
          <w:p w14:paraId="5330073D" w14:textId="77777777" w:rsidR="008C752B" w:rsidRDefault="00CE4761">
            <w:r>
              <w:rPr>
                <w:rFonts w:ascii="Arial" w:hAnsi="Arial"/>
                <w:b/>
                <w:color w:val="FFFFFF"/>
                <w:sz w:val="18"/>
              </w:rPr>
              <w:t>Outstanding Exposure (IDR Trillion)</w:t>
            </w:r>
          </w:p>
        </w:tc>
        <w:tc>
          <w:tcPr>
            <w:tcW w:w="1129" w:type="dxa"/>
            <w:shd w:val="clear" w:color="auto" w:fill="1B3A6B"/>
          </w:tcPr>
          <w:p w14:paraId="749280FB" w14:textId="77777777" w:rsidR="008C752B" w:rsidRDefault="00CE4761">
            <w:r>
              <w:rPr>
                <w:rFonts w:ascii="Arial" w:hAnsi="Arial"/>
                <w:b/>
                <w:color w:val="FFFFFF"/>
                <w:sz w:val="18"/>
              </w:rPr>
              <w:t>% of Portfolio</w:t>
            </w:r>
          </w:p>
        </w:tc>
        <w:tc>
          <w:tcPr>
            <w:tcW w:w="1129" w:type="dxa"/>
            <w:shd w:val="clear" w:color="auto" w:fill="1B3A6B"/>
          </w:tcPr>
          <w:p w14:paraId="336B0483" w14:textId="77777777" w:rsidR="008C752B" w:rsidRDefault="00CE4761">
            <w:r>
              <w:rPr>
                <w:rFonts w:ascii="Arial" w:hAnsi="Arial"/>
                <w:b/>
                <w:color w:val="FFFFFF"/>
                <w:sz w:val="18"/>
              </w:rPr>
              <w:t>Gross Financed Emissions (tCO2e)</w:t>
            </w:r>
          </w:p>
        </w:tc>
        <w:tc>
          <w:tcPr>
            <w:tcW w:w="1129" w:type="dxa"/>
            <w:shd w:val="clear" w:color="auto" w:fill="1B3A6B"/>
          </w:tcPr>
          <w:p w14:paraId="2B98DBA6" w14:textId="77777777" w:rsidR="008C752B" w:rsidRDefault="00CE4761">
            <w:r>
              <w:rPr>
                <w:rFonts w:ascii="Arial" w:hAnsi="Arial"/>
                <w:b/>
                <w:color w:val="FFFFFF"/>
                <w:sz w:val="18"/>
              </w:rPr>
              <w:t>Weighted Financed Emissions (tCO2e)</w:t>
            </w:r>
          </w:p>
        </w:tc>
        <w:tc>
          <w:tcPr>
            <w:tcW w:w="1129" w:type="dxa"/>
            <w:shd w:val="clear" w:color="auto" w:fill="1B3A6B"/>
          </w:tcPr>
          <w:p w14:paraId="222F42C7" w14:textId="77777777" w:rsidR="008C752B" w:rsidRDefault="00CE4761">
            <w:r>
              <w:rPr>
                <w:rFonts w:ascii="Arial" w:hAnsi="Arial"/>
                <w:b/>
                <w:color w:val="FFFFFF"/>
                <w:sz w:val="18"/>
              </w:rPr>
              <w:t>% of Total Emissions</w:t>
            </w:r>
          </w:p>
        </w:tc>
        <w:tc>
          <w:tcPr>
            <w:tcW w:w="1129" w:type="dxa"/>
            <w:shd w:val="clear" w:color="auto" w:fill="1B3A6B"/>
          </w:tcPr>
          <w:p w14:paraId="0A218D1C" w14:textId="77777777" w:rsidR="008C752B" w:rsidRDefault="00CE4761">
            <w:r>
              <w:rPr>
                <w:rFonts w:ascii="Arial" w:hAnsi="Arial"/>
                <w:b/>
                <w:color w:val="FFFFFF"/>
                <w:sz w:val="18"/>
              </w:rPr>
              <w:t>Emission Intensity (tCO2e/IDR Bn)</w:t>
            </w:r>
          </w:p>
        </w:tc>
        <w:tc>
          <w:tcPr>
            <w:tcW w:w="1129" w:type="dxa"/>
            <w:shd w:val="clear" w:color="auto" w:fill="1B3A6B"/>
          </w:tcPr>
          <w:p w14:paraId="442F2338" w14:textId="77777777" w:rsidR="008C752B" w:rsidRDefault="00CE4761">
            <w:r>
              <w:rPr>
                <w:rFonts w:ascii="Arial" w:hAnsi="Arial"/>
                <w:b/>
                <w:color w:val="FFFFFF"/>
                <w:sz w:val="18"/>
              </w:rPr>
              <w:t>Avg PCAF Score</w:t>
            </w:r>
          </w:p>
        </w:tc>
      </w:tr>
      <w:tr w:rsidR="008C752B" w14:paraId="41DAA44C" w14:textId="77777777">
        <w:trPr>
          <w:jc w:val="center"/>
        </w:trPr>
        <w:tc>
          <w:tcPr>
            <w:tcW w:w="1129" w:type="dxa"/>
          </w:tcPr>
          <w:p w14:paraId="0B15668B" w14:textId="77777777" w:rsidR="008C752B" w:rsidRDefault="00CE4761">
            <w:r>
              <w:rPr>
                <w:rFonts w:ascii="Arial" w:hAnsi="Arial"/>
                <w:sz w:val="18"/>
              </w:rPr>
              <w:t>Energy - Oil &amp; Gas</w:t>
            </w:r>
          </w:p>
        </w:tc>
        <w:tc>
          <w:tcPr>
            <w:tcW w:w="1129" w:type="dxa"/>
          </w:tcPr>
          <w:p w14:paraId="4F0BA136" w14:textId="77777777" w:rsidR="008C752B" w:rsidRDefault="00CE4761">
            <w:pPr>
              <w:jc w:val="right"/>
            </w:pPr>
            <w:r>
              <w:rPr>
                <w:rFonts w:ascii="Arial" w:hAnsi="Arial"/>
                <w:sz w:val="18"/>
              </w:rPr>
              <w:t>102.67</w:t>
            </w:r>
          </w:p>
        </w:tc>
        <w:tc>
          <w:tcPr>
            <w:tcW w:w="1129" w:type="dxa"/>
          </w:tcPr>
          <w:p w14:paraId="0C346FBC" w14:textId="77777777" w:rsidR="008C752B" w:rsidRDefault="00CE4761">
            <w:pPr>
              <w:jc w:val="right"/>
            </w:pPr>
            <w:r>
              <w:rPr>
                <w:rFonts w:ascii="Arial" w:hAnsi="Arial"/>
                <w:sz w:val="18"/>
              </w:rPr>
              <w:t>6.66%</w:t>
            </w:r>
          </w:p>
        </w:tc>
        <w:tc>
          <w:tcPr>
            <w:tcW w:w="1129" w:type="dxa"/>
          </w:tcPr>
          <w:p w14:paraId="52AF2DFA" w14:textId="77777777" w:rsidR="008C752B" w:rsidRDefault="00CE4761">
            <w:pPr>
              <w:jc w:val="right"/>
            </w:pPr>
            <w:r>
              <w:rPr>
                <w:rFonts w:ascii="Arial" w:hAnsi="Arial"/>
                <w:sz w:val="18"/>
              </w:rPr>
              <w:t>9,573,144.27</w:t>
            </w:r>
          </w:p>
        </w:tc>
        <w:tc>
          <w:tcPr>
            <w:tcW w:w="1129" w:type="dxa"/>
          </w:tcPr>
          <w:p w14:paraId="2583AFE1" w14:textId="77777777" w:rsidR="008C752B" w:rsidRDefault="00CE4761">
            <w:pPr>
              <w:jc w:val="right"/>
            </w:pPr>
            <w:r>
              <w:rPr>
                <w:rFonts w:ascii="Arial" w:hAnsi="Arial"/>
                <w:sz w:val="18"/>
              </w:rPr>
              <w:t>6,753,948.71</w:t>
            </w:r>
          </w:p>
        </w:tc>
        <w:tc>
          <w:tcPr>
            <w:tcW w:w="1129" w:type="dxa"/>
          </w:tcPr>
          <w:p w14:paraId="47FF1F55" w14:textId="77777777" w:rsidR="008C752B" w:rsidRDefault="00CE4761">
            <w:pPr>
              <w:jc w:val="right"/>
            </w:pPr>
            <w:r>
              <w:rPr>
                <w:rFonts w:ascii="Arial" w:hAnsi="Arial"/>
                <w:sz w:val="18"/>
              </w:rPr>
              <w:t>43.56%</w:t>
            </w:r>
          </w:p>
        </w:tc>
        <w:tc>
          <w:tcPr>
            <w:tcW w:w="1129" w:type="dxa"/>
          </w:tcPr>
          <w:p w14:paraId="2161DC7E" w14:textId="77777777" w:rsidR="008C752B" w:rsidRDefault="00CE4761">
            <w:pPr>
              <w:jc w:val="right"/>
            </w:pPr>
            <w:r>
              <w:rPr>
                <w:rFonts w:ascii="Arial" w:hAnsi="Arial"/>
                <w:sz w:val="18"/>
              </w:rPr>
              <w:t>93.242</w:t>
            </w:r>
          </w:p>
        </w:tc>
        <w:tc>
          <w:tcPr>
            <w:tcW w:w="1129" w:type="dxa"/>
          </w:tcPr>
          <w:p w14:paraId="425494BB" w14:textId="77777777" w:rsidR="008C752B" w:rsidRDefault="00CE4761">
            <w:pPr>
              <w:jc w:val="right"/>
            </w:pPr>
            <w:r>
              <w:rPr>
                <w:rFonts w:ascii="Arial" w:hAnsi="Arial"/>
                <w:sz w:val="18"/>
              </w:rPr>
              <w:t>3.32</w:t>
            </w:r>
          </w:p>
        </w:tc>
      </w:tr>
      <w:tr w:rsidR="008C752B" w14:paraId="07B80DA7" w14:textId="77777777">
        <w:trPr>
          <w:jc w:val="center"/>
        </w:trPr>
        <w:tc>
          <w:tcPr>
            <w:tcW w:w="1129" w:type="dxa"/>
            <w:shd w:val="clear" w:color="auto" w:fill="F2F6FC"/>
          </w:tcPr>
          <w:p w14:paraId="7BDDD3B1" w14:textId="77777777" w:rsidR="008C752B" w:rsidRDefault="00CE4761">
            <w:r>
              <w:rPr>
                <w:rFonts w:ascii="Arial" w:hAnsi="Arial"/>
                <w:sz w:val="18"/>
              </w:rPr>
              <w:t>Manufacturing - Cement</w:t>
            </w:r>
          </w:p>
        </w:tc>
        <w:tc>
          <w:tcPr>
            <w:tcW w:w="1129" w:type="dxa"/>
            <w:shd w:val="clear" w:color="auto" w:fill="F2F6FC"/>
          </w:tcPr>
          <w:p w14:paraId="080F3693" w14:textId="77777777" w:rsidR="008C752B" w:rsidRDefault="00CE4761">
            <w:pPr>
              <w:jc w:val="right"/>
            </w:pPr>
            <w:r>
              <w:rPr>
                <w:rFonts w:ascii="Arial" w:hAnsi="Arial"/>
                <w:sz w:val="18"/>
              </w:rPr>
              <w:t>107.68</w:t>
            </w:r>
          </w:p>
        </w:tc>
        <w:tc>
          <w:tcPr>
            <w:tcW w:w="1129" w:type="dxa"/>
            <w:shd w:val="clear" w:color="auto" w:fill="F2F6FC"/>
          </w:tcPr>
          <w:p w14:paraId="4AAD4FE3" w14:textId="77777777" w:rsidR="008C752B" w:rsidRDefault="00CE4761">
            <w:pPr>
              <w:jc w:val="right"/>
            </w:pPr>
            <w:r>
              <w:rPr>
                <w:rFonts w:ascii="Arial" w:hAnsi="Arial"/>
                <w:sz w:val="18"/>
              </w:rPr>
              <w:t>6.99%</w:t>
            </w:r>
          </w:p>
        </w:tc>
        <w:tc>
          <w:tcPr>
            <w:tcW w:w="1129" w:type="dxa"/>
            <w:shd w:val="clear" w:color="auto" w:fill="F2F6FC"/>
          </w:tcPr>
          <w:p w14:paraId="75DE90ED" w14:textId="77777777" w:rsidR="008C752B" w:rsidRDefault="00CE4761">
            <w:pPr>
              <w:jc w:val="right"/>
            </w:pPr>
            <w:r>
              <w:rPr>
                <w:rFonts w:ascii="Arial" w:hAnsi="Arial"/>
                <w:sz w:val="18"/>
              </w:rPr>
              <w:t>5,813,830.91</w:t>
            </w:r>
          </w:p>
        </w:tc>
        <w:tc>
          <w:tcPr>
            <w:tcW w:w="1129" w:type="dxa"/>
            <w:shd w:val="clear" w:color="auto" w:fill="F2F6FC"/>
          </w:tcPr>
          <w:p w14:paraId="766ACFA7" w14:textId="77777777" w:rsidR="008C752B" w:rsidRDefault="00CE4761">
            <w:pPr>
              <w:jc w:val="right"/>
            </w:pPr>
            <w:r>
              <w:rPr>
                <w:rFonts w:ascii="Arial" w:hAnsi="Arial"/>
                <w:sz w:val="18"/>
              </w:rPr>
              <w:t>4,168,058.43</w:t>
            </w:r>
          </w:p>
        </w:tc>
        <w:tc>
          <w:tcPr>
            <w:tcW w:w="1129" w:type="dxa"/>
            <w:shd w:val="clear" w:color="auto" w:fill="F2F6FC"/>
          </w:tcPr>
          <w:p w14:paraId="7AAD27BC" w14:textId="77777777" w:rsidR="008C752B" w:rsidRDefault="00CE4761">
            <w:pPr>
              <w:jc w:val="right"/>
            </w:pPr>
            <w:r>
              <w:rPr>
                <w:rFonts w:ascii="Arial" w:hAnsi="Arial"/>
                <w:sz w:val="18"/>
              </w:rPr>
              <w:t>26.45%</w:t>
            </w:r>
          </w:p>
        </w:tc>
        <w:tc>
          <w:tcPr>
            <w:tcW w:w="1129" w:type="dxa"/>
            <w:shd w:val="clear" w:color="auto" w:fill="F2F6FC"/>
          </w:tcPr>
          <w:p w14:paraId="5FDA510E" w14:textId="77777777" w:rsidR="008C752B" w:rsidRDefault="00CE4761">
            <w:pPr>
              <w:jc w:val="right"/>
            </w:pPr>
            <w:r>
              <w:rPr>
                <w:rFonts w:ascii="Arial" w:hAnsi="Arial"/>
                <w:sz w:val="18"/>
              </w:rPr>
              <w:t>53.9927</w:t>
            </w:r>
          </w:p>
        </w:tc>
        <w:tc>
          <w:tcPr>
            <w:tcW w:w="1129" w:type="dxa"/>
            <w:shd w:val="clear" w:color="auto" w:fill="F2F6FC"/>
          </w:tcPr>
          <w:p w14:paraId="5564665E" w14:textId="77777777" w:rsidR="008C752B" w:rsidRDefault="00CE4761">
            <w:pPr>
              <w:jc w:val="right"/>
            </w:pPr>
            <w:r>
              <w:rPr>
                <w:rFonts w:ascii="Arial" w:hAnsi="Arial"/>
                <w:sz w:val="18"/>
              </w:rPr>
              <w:t>3.40</w:t>
            </w:r>
          </w:p>
        </w:tc>
      </w:tr>
      <w:tr w:rsidR="008C752B" w14:paraId="34D76072" w14:textId="77777777">
        <w:trPr>
          <w:jc w:val="center"/>
        </w:trPr>
        <w:tc>
          <w:tcPr>
            <w:tcW w:w="1129" w:type="dxa"/>
          </w:tcPr>
          <w:p w14:paraId="3AF0698E" w14:textId="77777777" w:rsidR="008C752B" w:rsidRDefault="00CE4761">
            <w:r>
              <w:rPr>
                <w:rFonts w:ascii="Arial" w:hAnsi="Arial"/>
                <w:sz w:val="18"/>
              </w:rPr>
              <w:t>Manufacturing - Steel</w:t>
            </w:r>
          </w:p>
        </w:tc>
        <w:tc>
          <w:tcPr>
            <w:tcW w:w="1129" w:type="dxa"/>
          </w:tcPr>
          <w:p w14:paraId="340E34AB" w14:textId="77777777" w:rsidR="008C752B" w:rsidRDefault="00CE4761">
            <w:pPr>
              <w:jc w:val="right"/>
            </w:pPr>
            <w:r>
              <w:rPr>
                <w:rFonts w:ascii="Arial" w:hAnsi="Arial"/>
                <w:sz w:val="18"/>
              </w:rPr>
              <w:t>108.62</w:t>
            </w:r>
          </w:p>
        </w:tc>
        <w:tc>
          <w:tcPr>
            <w:tcW w:w="1129" w:type="dxa"/>
          </w:tcPr>
          <w:p w14:paraId="200753EC" w14:textId="77777777" w:rsidR="008C752B" w:rsidRDefault="00CE4761">
            <w:pPr>
              <w:jc w:val="right"/>
            </w:pPr>
            <w:r>
              <w:rPr>
                <w:rFonts w:ascii="Arial" w:hAnsi="Arial"/>
                <w:sz w:val="18"/>
              </w:rPr>
              <w:t>7.05%</w:t>
            </w:r>
          </w:p>
        </w:tc>
        <w:tc>
          <w:tcPr>
            <w:tcW w:w="1129" w:type="dxa"/>
          </w:tcPr>
          <w:p w14:paraId="542B495E" w14:textId="77777777" w:rsidR="008C752B" w:rsidRDefault="00CE4761">
            <w:pPr>
              <w:jc w:val="right"/>
            </w:pPr>
            <w:r>
              <w:rPr>
                <w:rFonts w:ascii="Arial" w:hAnsi="Arial"/>
                <w:sz w:val="18"/>
              </w:rPr>
              <w:t>3,499,463.00</w:t>
            </w:r>
          </w:p>
        </w:tc>
        <w:tc>
          <w:tcPr>
            <w:tcW w:w="1129" w:type="dxa"/>
          </w:tcPr>
          <w:p w14:paraId="1BAA83AD" w14:textId="77777777" w:rsidR="008C752B" w:rsidRDefault="00CE4761">
            <w:pPr>
              <w:jc w:val="right"/>
            </w:pPr>
            <w:r>
              <w:rPr>
                <w:rFonts w:ascii="Arial" w:hAnsi="Arial"/>
                <w:sz w:val="18"/>
              </w:rPr>
              <w:t>2,228,739.65</w:t>
            </w:r>
          </w:p>
        </w:tc>
        <w:tc>
          <w:tcPr>
            <w:tcW w:w="1129" w:type="dxa"/>
          </w:tcPr>
          <w:p w14:paraId="778A463B" w14:textId="77777777" w:rsidR="008C752B" w:rsidRDefault="00CE4761">
            <w:pPr>
              <w:jc w:val="right"/>
            </w:pPr>
            <w:r>
              <w:rPr>
                <w:rFonts w:ascii="Arial" w:hAnsi="Arial"/>
                <w:sz w:val="18"/>
              </w:rPr>
              <w:t>15.92%</w:t>
            </w:r>
          </w:p>
        </w:tc>
        <w:tc>
          <w:tcPr>
            <w:tcW w:w="1129" w:type="dxa"/>
          </w:tcPr>
          <w:p w14:paraId="0EB54317" w14:textId="77777777" w:rsidR="008C752B" w:rsidRDefault="00CE4761">
            <w:pPr>
              <w:jc w:val="right"/>
            </w:pPr>
            <w:r>
              <w:rPr>
                <w:rFonts w:ascii="Arial" w:hAnsi="Arial"/>
                <w:sz w:val="18"/>
              </w:rPr>
              <w:t>32.2175</w:t>
            </w:r>
          </w:p>
        </w:tc>
        <w:tc>
          <w:tcPr>
            <w:tcW w:w="1129" w:type="dxa"/>
          </w:tcPr>
          <w:p w14:paraId="5ADB945B" w14:textId="77777777" w:rsidR="008C752B" w:rsidRDefault="00CE4761">
            <w:pPr>
              <w:jc w:val="right"/>
            </w:pPr>
            <w:r>
              <w:rPr>
                <w:rFonts w:ascii="Arial" w:hAnsi="Arial"/>
                <w:sz w:val="18"/>
              </w:rPr>
              <w:t>3.35</w:t>
            </w:r>
          </w:p>
        </w:tc>
      </w:tr>
      <w:tr w:rsidR="008C752B" w14:paraId="5301FA79" w14:textId="77777777">
        <w:trPr>
          <w:jc w:val="center"/>
        </w:trPr>
        <w:tc>
          <w:tcPr>
            <w:tcW w:w="1129" w:type="dxa"/>
            <w:shd w:val="clear" w:color="auto" w:fill="F2F6FC"/>
          </w:tcPr>
          <w:p w14:paraId="459BB2C8" w14:textId="77777777" w:rsidR="008C752B" w:rsidRDefault="00CE4761">
            <w:r>
              <w:rPr>
                <w:rFonts w:ascii="Arial" w:hAnsi="Arial"/>
                <w:sz w:val="18"/>
              </w:rPr>
              <w:t>Transportation - Road</w:t>
            </w:r>
          </w:p>
        </w:tc>
        <w:tc>
          <w:tcPr>
            <w:tcW w:w="1129" w:type="dxa"/>
            <w:shd w:val="clear" w:color="auto" w:fill="F2F6FC"/>
          </w:tcPr>
          <w:p w14:paraId="0126736F" w14:textId="77777777" w:rsidR="008C752B" w:rsidRDefault="00CE4761">
            <w:pPr>
              <w:jc w:val="right"/>
            </w:pPr>
            <w:r>
              <w:rPr>
                <w:rFonts w:ascii="Arial" w:hAnsi="Arial"/>
                <w:sz w:val="18"/>
              </w:rPr>
              <w:t>155.55</w:t>
            </w:r>
          </w:p>
        </w:tc>
        <w:tc>
          <w:tcPr>
            <w:tcW w:w="1129" w:type="dxa"/>
            <w:shd w:val="clear" w:color="auto" w:fill="F2F6FC"/>
          </w:tcPr>
          <w:p w14:paraId="3B271575" w14:textId="77777777" w:rsidR="008C752B" w:rsidRDefault="00CE4761">
            <w:pPr>
              <w:jc w:val="right"/>
            </w:pPr>
            <w:r>
              <w:rPr>
                <w:rFonts w:ascii="Arial" w:hAnsi="Arial"/>
                <w:sz w:val="18"/>
              </w:rPr>
              <w:t>10.09%</w:t>
            </w:r>
          </w:p>
        </w:tc>
        <w:tc>
          <w:tcPr>
            <w:tcW w:w="1129" w:type="dxa"/>
            <w:shd w:val="clear" w:color="auto" w:fill="F2F6FC"/>
          </w:tcPr>
          <w:p w14:paraId="656F02D1" w14:textId="77777777" w:rsidR="008C752B" w:rsidRDefault="00CE4761">
            <w:pPr>
              <w:jc w:val="right"/>
            </w:pPr>
            <w:r>
              <w:rPr>
                <w:rFonts w:ascii="Arial" w:hAnsi="Arial"/>
                <w:sz w:val="18"/>
              </w:rPr>
              <w:t>1,227,019.62</w:t>
            </w:r>
          </w:p>
        </w:tc>
        <w:tc>
          <w:tcPr>
            <w:tcW w:w="1129" w:type="dxa"/>
            <w:shd w:val="clear" w:color="auto" w:fill="F2F6FC"/>
          </w:tcPr>
          <w:p w14:paraId="6ECC0502" w14:textId="77777777" w:rsidR="008C752B" w:rsidRDefault="00CE4761">
            <w:pPr>
              <w:jc w:val="right"/>
            </w:pPr>
            <w:r>
              <w:rPr>
                <w:rFonts w:ascii="Arial" w:hAnsi="Arial"/>
                <w:sz w:val="18"/>
              </w:rPr>
              <w:t>864,356.23</w:t>
            </w:r>
          </w:p>
        </w:tc>
        <w:tc>
          <w:tcPr>
            <w:tcW w:w="1129" w:type="dxa"/>
            <w:shd w:val="clear" w:color="auto" w:fill="F2F6FC"/>
          </w:tcPr>
          <w:p w14:paraId="23E90BF3" w14:textId="77777777" w:rsidR="008C752B" w:rsidRDefault="00CE4761">
            <w:pPr>
              <w:jc w:val="right"/>
            </w:pPr>
            <w:r>
              <w:rPr>
                <w:rFonts w:ascii="Arial" w:hAnsi="Arial"/>
                <w:sz w:val="18"/>
              </w:rPr>
              <w:t>5.58%</w:t>
            </w:r>
          </w:p>
        </w:tc>
        <w:tc>
          <w:tcPr>
            <w:tcW w:w="1129" w:type="dxa"/>
            <w:shd w:val="clear" w:color="auto" w:fill="F2F6FC"/>
          </w:tcPr>
          <w:p w14:paraId="3E7C243F" w14:textId="77777777" w:rsidR="008C752B" w:rsidRDefault="00CE4761">
            <w:pPr>
              <w:jc w:val="right"/>
            </w:pPr>
            <w:r>
              <w:rPr>
                <w:rFonts w:ascii="Arial" w:hAnsi="Arial"/>
                <w:sz w:val="18"/>
              </w:rPr>
              <w:t>7.8881</w:t>
            </w:r>
          </w:p>
        </w:tc>
        <w:tc>
          <w:tcPr>
            <w:tcW w:w="1129" w:type="dxa"/>
            <w:shd w:val="clear" w:color="auto" w:fill="F2F6FC"/>
          </w:tcPr>
          <w:p w14:paraId="3B875CDA" w14:textId="77777777" w:rsidR="008C752B" w:rsidRDefault="00CE4761">
            <w:pPr>
              <w:jc w:val="right"/>
            </w:pPr>
            <w:r>
              <w:rPr>
                <w:rFonts w:ascii="Arial" w:hAnsi="Arial"/>
                <w:sz w:val="18"/>
              </w:rPr>
              <w:t>3.36</w:t>
            </w:r>
          </w:p>
        </w:tc>
      </w:tr>
      <w:tr w:rsidR="008C752B" w14:paraId="268001F9" w14:textId="77777777">
        <w:trPr>
          <w:jc w:val="center"/>
        </w:trPr>
        <w:tc>
          <w:tcPr>
            <w:tcW w:w="1129" w:type="dxa"/>
          </w:tcPr>
          <w:p w14:paraId="0DF2E7A6" w14:textId="77777777" w:rsidR="008C752B" w:rsidRDefault="00CE4761">
            <w:r>
              <w:rPr>
                <w:rFonts w:ascii="Arial" w:hAnsi="Arial"/>
                <w:sz w:val="18"/>
              </w:rPr>
              <w:t>Manufacturing - Food &amp; Beverage</w:t>
            </w:r>
          </w:p>
        </w:tc>
        <w:tc>
          <w:tcPr>
            <w:tcW w:w="1129" w:type="dxa"/>
          </w:tcPr>
          <w:p w14:paraId="3AAD902A" w14:textId="77777777" w:rsidR="008C752B" w:rsidRDefault="00CE4761">
            <w:pPr>
              <w:jc w:val="right"/>
            </w:pPr>
            <w:r>
              <w:rPr>
                <w:rFonts w:ascii="Arial" w:hAnsi="Arial"/>
                <w:sz w:val="18"/>
              </w:rPr>
              <w:t>169.14</w:t>
            </w:r>
          </w:p>
        </w:tc>
        <w:tc>
          <w:tcPr>
            <w:tcW w:w="1129" w:type="dxa"/>
          </w:tcPr>
          <w:p w14:paraId="2F807253" w14:textId="77777777" w:rsidR="008C752B" w:rsidRDefault="00CE4761">
            <w:pPr>
              <w:jc w:val="right"/>
            </w:pPr>
            <w:r>
              <w:rPr>
                <w:rFonts w:ascii="Arial" w:hAnsi="Arial"/>
                <w:sz w:val="18"/>
              </w:rPr>
              <w:t>10.97%</w:t>
            </w:r>
          </w:p>
        </w:tc>
        <w:tc>
          <w:tcPr>
            <w:tcW w:w="1129" w:type="dxa"/>
          </w:tcPr>
          <w:p w14:paraId="6DAEB689" w14:textId="77777777" w:rsidR="008C752B" w:rsidRDefault="00CE4761">
            <w:pPr>
              <w:jc w:val="right"/>
            </w:pPr>
            <w:r>
              <w:rPr>
                <w:rFonts w:ascii="Arial" w:hAnsi="Arial"/>
                <w:sz w:val="18"/>
              </w:rPr>
              <w:t>936,111.21</w:t>
            </w:r>
          </w:p>
        </w:tc>
        <w:tc>
          <w:tcPr>
            <w:tcW w:w="1129" w:type="dxa"/>
          </w:tcPr>
          <w:p w14:paraId="629DA48C" w14:textId="77777777" w:rsidR="008C752B" w:rsidRDefault="00CE4761">
            <w:pPr>
              <w:jc w:val="right"/>
            </w:pPr>
            <w:r>
              <w:rPr>
                <w:rFonts w:ascii="Arial" w:hAnsi="Arial"/>
                <w:sz w:val="18"/>
              </w:rPr>
              <w:t>653,413.56</w:t>
            </w:r>
          </w:p>
        </w:tc>
        <w:tc>
          <w:tcPr>
            <w:tcW w:w="1129" w:type="dxa"/>
          </w:tcPr>
          <w:p w14:paraId="54BE7596" w14:textId="77777777" w:rsidR="008C752B" w:rsidRDefault="00CE4761">
            <w:pPr>
              <w:jc w:val="right"/>
            </w:pPr>
            <w:r>
              <w:rPr>
                <w:rFonts w:ascii="Arial" w:hAnsi="Arial"/>
                <w:sz w:val="18"/>
              </w:rPr>
              <w:t>4.26%</w:t>
            </w:r>
          </w:p>
        </w:tc>
        <w:tc>
          <w:tcPr>
            <w:tcW w:w="1129" w:type="dxa"/>
          </w:tcPr>
          <w:p w14:paraId="29B1D675" w14:textId="77777777" w:rsidR="008C752B" w:rsidRDefault="00CE4761">
            <w:pPr>
              <w:jc w:val="right"/>
            </w:pPr>
            <w:r>
              <w:rPr>
                <w:rFonts w:ascii="Arial" w:hAnsi="Arial"/>
                <w:sz w:val="18"/>
              </w:rPr>
              <w:t>5.5346</w:t>
            </w:r>
          </w:p>
        </w:tc>
        <w:tc>
          <w:tcPr>
            <w:tcW w:w="1129" w:type="dxa"/>
          </w:tcPr>
          <w:p w14:paraId="267D0D9D" w14:textId="77777777" w:rsidR="008C752B" w:rsidRDefault="00CE4761">
            <w:pPr>
              <w:jc w:val="right"/>
            </w:pPr>
            <w:r>
              <w:rPr>
                <w:rFonts w:ascii="Arial" w:hAnsi="Arial"/>
                <w:sz w:val="18"/>
              </w:rPr>
              <w:t>3.35</w:t>
            </w:r>
          </w:p>
        </w:tc>
      </w:tr>
      <w:tr w:rsidR="008C752B" w14:paraId="7E3527D3" w14:textId="77777777">
        <w:trPr>
          <w:jc w:val="center"/>
        </w:trPr>
        <w:tc>
          <w:tcPr>
            <w:tcW w:w="1129" w:type="dxa"/>
            <w:shd w:val="clear" w:color="auto" w:fill="F2F6FC"/>
          </w:tcPr>
          <w:p w14:paraId="17D8814E" w14:textId="77777777" w:rsidR="008C752B" w:rsidRDefault="00CE4761">
            <w:r>
              <w:rPr>
                <w:rFonts w:ascii="Arial" w:hAnsi="Arial"/>
                <w:sz w:val="18"/>
              </w:rPr>
              <w:t>**Top 5 Subtotal**</w:t>
            </w:r>
          </w:p>
        </w:tc>
        <w:tc>
          <w:tcPr>
            <w:tcW w:w="1129" w:type="dxa"/>
            <w:shd w:val="clear" w:color="auto" w:fill="F2F6FC"/>
          </w:tcPr>
          <w:p w14:paraId="67E54AA0" w14:textId="77777777" w:rsidR="008C752B" w:rsidRDefault="00CE4761">
            <w:r>
              <w:rPr>
                <w:rFonts w:ascii="Arial" w:hAnsi="Arial"/>
                <w:sz w:val="18"/>
              </w:rPr>
              <w:t>**643.66**</w:t>
            </w:r>
          </w:p>
        </w:tc>
        <w:tc>
          <w:tcPr>
            <w:tcW w:w="1129" w:type="dxa"/>
            <w:shd w:val="clear" w:color="auto" w:fill="F2F6FC"/>
          </w:tcPr>
          <w:p w14:paraId="626CCC4A" w14:textId="77777777" w:rsidR="008C752B" w:rsidRDefault="00CE4761">
            <w:r>
              <w:rPr>
                <w:rFonts w:ascii="Arial" w:hAnsi="Arial"/>
                <w:sz w:val="18"/>
              </w:rPr>
              <w:t>**41.76%**</w:t>
            </w:r>
          </w:p>
        </w:tc>
        <w:tc>
          <w:tcPr>
            <w:tcW w:w="1129" w:type="dxa"/>
            <w:shd w:val="clear" w:color="auto" w:fill="F2F6FC"/>
          </w:tcPr>
          <w:p w14:paraId="02E62FDE" w14:textId="77777777" w:rsidR="008C752B" w:rsidRDefault="00CE4761">
            <w:r>
              <w:rPr>
                <w:rFonts w:ascii="Arial" w:hAnsi="Arial"/>
                <w:sz w:val="18"/>
              </w:rPr>
              <w:t>**21,049,569.01**</w:t>
            </w:r>
          </w:p>
        </w:tc>
        <w:tc>
          <w:tcPr>
            <w:tcW w:w="1129" w:type="dxa"/>
            <w:shd w:val="clear" w:color="auto" w:fill="F2F6FC"/>
          </w:tcPr>
          <w:p w14:paraId="53C70A39" w14:textId="77777777" w:rsidR="008C752B" w:rsidRDefault="00CE4761">
            <w:r>
              <w:rPr>
                <w:rFonts w:ascii="Arial" w:hAnsi="Arial"/>
                <w:sz w:val="18"/>
              </w:rPr>
              <w:t>**14,668,516.58**</w:t>
            </w:r>
          </w:p>
        </w:tc>
        <w:tc>
          <w:tcPr>
            <w:tcW w:w="1129" w:type="dxa"/>
            <w:shd w:val="clear" w:color="auto" w:fill="F2F6FC"/>
          </w:tcPr>
          <w:p w14:paraId="15E01DDB" w14:textId="77777777" w:rsidR="008C752B" w:rsidRDefault="00CE4761">
            <w:r>
              <w:rPr>
                <w:rFonts w:ascii="Arial" w:hAnsi="Arial"/>
                <w:sz w:val="18"/>
              </w:rPr>
              <w:t>**91.49%**</w:t>
            </w:r>
          </w:p>
        </w:tc>
        <w:tc>
          <w:tcPr>
            <w:tcW w:w="1129" w:type="dxa"/>
            <w:shd w:val="clear" w:color="auto" w:fill="F2F6FC"/>
          </w:tcPr>
          <w:p w14:paraId="51E60950" w14:textId="77777777" w:rsidR="008C752B" w:rsidRDefault="00CE4761">
            <w:r>
              <w:rPr>
                <w:rFonts w:ascii="Arial" w:hAnsi="Arial"/>
                <w:sz w:val="18"/>
              </w:rPr>
              <w:t>**—**</w:t>
            </w:r>
          </w:p>
        </w:tc>
        <w:tc>
          <w:tcPr>
            <w:tcW w:w="1129" w:type="dxa"/>
            <w:shd w:val="clear" w:color="auto" w:fill="F2F6FC"/>
          </w:tcPr>
          <w:p w14:paraId="01002918" w14:textId="77777777" w:rsidR="008C752B" w:rsidRDefault="00CE4761">
            <w:r>
              <w:rPr>
                <w:rFonts w:ascii="Arial" w:hAnsi="Arial"/>
                <w:sz w:val="18"/>
              </w:rPr>
              <w:t>**3.36**</w:t>
            </w:r>
          </w:p>
        </w:tc>
      </w:tr>
      <w:tr w:rsidR="008C752B" w14:paraId="781DE5BE" w14:textId="77777777">
        <w:trPr>
          <w:jc w:val="center"/>
        </w:trPr>
        <w:tc>
          <w:tcPr>
            <w:tcW w:w="1129" w:type="dxa"/>
          </w:tcPr>
          <w:p w14:paraId="5845CD00" w14:textId="77777777" w:rsidR="008C752B" w:rsidRDefault="00CE4761">
            <w:r>
              <w:rPr>
                <w:rFonts w:ascii="Arial" w:hAnsi="Arial"/>
                <w:sz w:val="18"/>
              </w:rPr>
              <w:t>Other Sectors (5)</w:t>
            </w:r>
          </w:p>
        </w:tc>
        <w:tc>
          <w:tcPr>
            <w:tcW w:w="1129" w:type="dxa"/>
          </w:tcPr>
          <w:p w14:paraId="08D66E6B" w14:textId="77777777" w:rsidR="008C752B" w:rsidRDefault="00CE4761">
            <w:pPr>
              <w:jc w:val="right"/>
            </w:pPr>
            <w:r>
              <w:rPr>
                <w:rFonts w:ascii="Arial" w:hAnsi="Arial"/>
                <w:sz w:val="18"/>
              </w:rPr>
              <w:t>897.52</w:t>
            </w:r>
          </w:p>
        </w:tc>
        <w:tc>
          <w:tcPr>
            <w:tcW w:w="1129" w:type="dxa"/>
          </w:tcPr>
          <w:p w14:paraId="2556A430" w14:textId="77777777" w:rsidR="008C752B" w:rsidRDefault="00CE4761">
            <w:pPr>
              <w:jc w:val="right"/>
            </w:pPr>
            <w:r>
              <w:rPr>
                <w:rFonts w:ascii="Arial" w:hAnsi="Arial"/>
                <w:sz w:val="18"/>
              </w:rPr>
              <w:t>58.24%</w:t>
            </w:r>
          </w:p>
        </w:tc>
        <w:tc>
          <w:tcPr>
            <w:tcW w:w="1129" w:type="dxa"/>
          </w:tcPr>
          <w:p w14:paraId="07E58A73" w14:textId="77777777" w:rsidR="008C752B" w:rsidRDefault="00CE4761">
            <w:pPr>
              <w:jc w:val="right"/>
            </w:pPr>
            <w:r>
              <w:rPr>
                <w:rFonts w:ascii="Arial" w:hAnsi="Arial"/>
                <w:sz w:val="18"/>
              </w:rPr>
              <w:t>927,228.29</w:t>
            </w:r>
          </w:p>
        </w:tc>
        <w:tc>
          <w:tcPr>
            <w:tcW w:w="1129" w:type="dxa"/>
          </w:tcPr>
          <w:p w14:paraId="0BFD1C6C" w14:textId="77777777" w:rsidR="008C752B" w:rsidRDefault="00CE4761">
            <w:pPr>
              <w:jc w:val="right"/>
            </w:pPr>
            <w:r>
              <w:rPr>
                <w:rFonts w:ascii="Arial" w:hAnsi="Arial"/>
                <w:sz w:val="18"/>
              </w:rPr>
              <w:t>611,657.56</w:t>
            </w:r>
          </w:p>
        </w:tc>
        <w:tc>
          <w:tcPr>
            <w:tcW w:w="1129" w:type="dxa"/>
          </w:tcPr>
          <w:p w14:paraId="08380905" w14:textId="77777777" w:rsidR="008C752B" w:rsidRDefault="00CE4761">
            <w:pPr>
              <w:jc w:val="right"/>
            </w:pPr>
            <w:r>
              <w:rPr>
                <w:rFonts w:ascii="Arial" w:hAnsi="Arial"/>
                <w:sz w:val="18"/>
              </w:rPr>
              <w:t>8.51%</w:t>
            </w:r>
          </w:p>
        </w:tc>
        <w:tc>
          <w:tcPr>
            <w:tcW w:w="1129" w:type="dxa"/>
          </w:tcPr>
          <w:p w14:paraId="68BEB79E" w14:textId="77777777" w:rsidR="008C752B" w:rsidRDefault="00CE4761">
            <w:r>
              <w:rPr>
                <w:rFonts w:ascii="Arial" w:hAnsi="Arial"/>
                <w:sz w:val="18"/>
              </w:rPr>
              <w:t>—</w:t>
            </w:r>
          </w:p>
        </w:tc>
        <w:tc>
          <w:tcPr>
            <w:tcW w:w="1129" w:type="dxa"/>
          </w:tcPr>
          <w:p w14:paraId="77970814" w14:textId="77777777" w:rsidR="008C752B" w:rsidRDefault="00CE4761">
            <w:pPr>
              <w:jc w:val="right"/>
            </w:pPr>
            <w:r>
              <w:rPr>
                <w:rFonts w:ascii="Arial" w:hAnsi="Arial"/>
                <w:sz w:val="18"/>
              </w:rPr>
              <w:t>3.35</w:t>
            </w:r>
          </w:p>
        </w:tc>
      </w:tr>
      <w:tr w:rsidR="008C752B" w14:paraId="6C9FE855" w14:textId="77777777">
        <w:trPr>
          <w:jc w:val="center"/>
        </w:trPr>
        <w:tc>
          <w:tcPr>
            <w:tcW w:w="1129" w:type="dxa"/>
            <w:shd w:val="clear" w:color="auto" w:fill="F2F6FC"/>
          </w:tcPr>
          <w:p w14:paraId="2E039B3E" w14:textId="77777777" w:rsidR="008C752B" w:rsidRDefault="00CE4761">
            <w:r>
              <w:rPr>
                <w:rFonts w:ascii="Arial" w:hAnsi="Arial"/>
                <w:sz w:val="18"/>
              </w:rPr>
              <w:t>**Total Portfolio**</w:t>
            </w:r>
          </w:p>
        </w:tc>
        <w:tc>
          <w:tcPr>
            <w:tcW w:w="1129" w:type="dxa"/>
            <w:shd w:val="clear" w:color="auto" w:fill="F2F6FC"/>
          </w:tcPr>
          <w:p w14:paraId="5B675EAE" w14:textId="77777777" w:rsidR="008C752B" w:rsidRDefault="00CE4761">
            <w:r>
              <w:rPr>
                <w:rFonts w:ascii="Arial" w:hAnsi="Arial"/>
                <w:sz w:val="18"/>
              </w:rPr>
              <w:t>**1,541.18**</w:t>
            </w:r>
          </w:p>
        </w:tc>
        <w:tc>
          <w:tcPr>
            <w:tcW w:w="1129" w:type="dxa"/>
            <w:shd w:val="clear" w:color="auto" w:fill="F2F6FC"/>
          </w:tcPr>
          <w:p w14:paraId="27A82C27" w14:textId="77777777" w:rsidR="008C752B" w:rsidRDefault="00CE4761">
            <w:r>
              <w:rPr>
                <w:rFonts w:ascii="Arial" w:hAnsi="Arial"/>
                <w:sz w:val="18"/>
              </w:rPr>
              <w:t>**100.00%**</w:t>
            </w:r>
          </w:p>
        </w:tc>
        <w:tc>
          <w:tcPr>
            <w:tcW w:w="1129" w:type="dxa"/>
            <w:shd w:val="clear" w:color="auto" w:fill="F2F6FC"/>
          </w:tcPr>
          <w:p w14:paraId="79B2A011" w14:textId="77777777" w:rsidR="008C752B" w:rsidRDefault="00CE4761">
            <w:r>
              <w:rPr>
                <w:rFonts w:ascii="Arial" w:hAnsi="Arial"/>
                <w:sz w:val="18"/>
              </w:rPr>
              <w:t>**21,976,797.30**</w:t>
            </w:r>
          </w:p>
        </w:tc>
        <w:tc>
          <w:tcPr>
            <w:tcW w:w="1129" w:type="dxa"/>
            <w:shd w:val="clear" w:color="auto" w:fill="F2F6FC"/>
          </w:tcPr>
          <w:p w14:paraId="54B3AC74" w14:textId="77777777" w:rsidR="008C752B" w:rsidRDefault="00CE4761">
            <w:r>
              <w:rPr>
                <w:rFonts w:ascii="Arial" w:hAnsi="Arial"/>
                <w:sz w:val="18"/>
              </w:rPr>
              <w:t>**15,280,174.14**</w:t>
            </w:r>
          </w:p>
        </w:tc>
        <w:tc>
          <w:tcPr>
            <w:tcW w:w="1129" w:type="dxa"/>
            <w:shd w:val="clear" w:color="auto" w:fill="F2F6FC"/>
          </w:tcPr>
          <w:p w14:paraId="0BEBB6C9" w14:textId="77777777" w:rsidR="008C752B" w:rsidRDefault="00CE4761">
            <w:r>
              <w:rPr>
                <w:rFonts w:ascii="Arial" w:hAnsi="Arial"/>
                <w:sz w:val="18"/>
              </w:rPr>
              <w:t>**100.00%**</w:t>
            </w:r>
          </w:p>
        </w:tc>
        <w:tc>
          <w:tcPr>
            <w:tcW w:w="1129" w:type="dxa"/>
            <w:shd w:val="clear" w:color="auto" w:fill="F2F6FC"/>
          </w:tcPr>
          <w:p w14:paraId="6CCFEBEC" w14:textId="77777777" w:rsidR="008C752B" w:rsidRDefault="00CE4761">
            <w:r>
              <w:rPr>
                <w:rFonts w:ascii="Arial" w:hAnsi="Arial"/>
                <w:sz w:val="18"/>
              </w:rPr>
              <w:t>**—**</w:t>
            </w:r>
          </w:p>
        </w:tc>
        <w:tc>
          <w:tcPr>
            <w:tcW w:w="1129" w:type="dxa"/>
            <w:shd w:val="clear" w:color="auto" w:fill="F2F6FC"/>
          </w:tcPr>
          <w:p w14:paraId="7F9AB1B2" w14:textId="77777777" w:rsidR="008C752B" w:rsidRDefault="00CE4761">
            <w:r>
              <w:rPr>
                <w:rFonts w:ascii="Arial" w:hAnsi="Arial"/>
                <w:sz w:val="18"/>
              </w:rPr>
              <w:t>**3.36**</w:t>
            </w:r>
          </w:p>
        </w:tc>
      </w:tr>
    </w:tbl>
    <w:p w14:paraId="4DA0E9A8" w14:textId="77777777" w:rsidR="008C752B" w:rsidRDefault="00CE4761">
      <w:r>
        <w:rPr>
          <w:rFonts w:ascii="Arial" w:hAnsi="Arial"/>
          <w:i/>
          <w:sz w:val="16"/>
        </w:rPr>
        <w:t>Source: Source: Internal PCAF calculation system. Gross exposure calculated as funded carrying amounts per IFRS S2 B62(b)(i). PCAF scores: 1=verified, 5=sector proxy.</w:t>
      </w:r>
    </w:p>
    <w:p w14:paraId="3130B7B6" w14:textId="77777777" w:rsidR="008C752B" w:rsidRDefault="008C752B"/>
    <w:p w14:paraId="35048740" w14:textId="77777777" w:rsidR="008C752B" w:rsidRDefault="00CE4761">
      <w:r>
        <w:rPr>
          <w:rFonts w:ascii="Arial" w:hAnsi="Arial"/>
          <w:b/>
          <w:sz w:val="20"/>
        </w:rPr>
        <w:t>Table 2: SASB FN-CB-410a.3 — Financed Emissions Disclosure</w:t>
      </w:r>
    </w:p>
    <w:tbl>
      <w:tblPr>
        <w:tblW w:w="0" w:type="auto"/>
        <w:jc w:val="center"/>
        <w:tblLook w:val="04A0" w:firstRow="1" w:lastRow="0" w:firstColumn="1" w:lastColumn="0" w:noHBand="0" w:noVBand="1"/>
      </w:tblPr>
      <w:tblGrid>
        <w:gridCol w:w="2257"/>
        <w:gridCol w:w="2257"/>
        <w:gridCol w:w="2257"/>
        <w:gridCol w:w="2257"/>
      </w:tblGrid>
      <w:tr w:rsidR="008C752B" w14:paraId="7AE5794B" w14:textId="77777777">
        <w:trPr>
          <w:jc w:val="center"/>
        </w:trPr>
        <w:tc>
          <w:tcPr>
            <w:tcW w:w="2257" w:type="dxa"/>
            <w:shd w:val="clear" w:color="auto" w:fill="1B3A6B"/>
          </w:tcPr>
          <w:p w14:paraId="09C57CB1" w14:textId="77777777" w:rsidR="008C752B" w:rsidRDefault="00CE4761">
            <w:r>
              <w:rPr>
                <w:rFonts w:ascii="Arial" w:hAnsi="Arial"/>
                <w:b/>
                <w:color w:val="FFFFFF"/>
                <w:sz w:val="18"/>
              </w:rPr>
              <w:t>Metric</w:t>
            </w:r>
          </w:p>
        </w:tc>
        <w:tc>
          <w:tcPr>
            <w:tcW w:w="2257" w:type="dxa"/>
            <w:shd w:val="clear" w:color="auto" w:fill="1B3A6B"/>
          </w:tcPr>
          <w:p w14:paraId="784D4EFD" w14:textId="77777777" w:rsidR="008C752B" w:rsidRDefault="00CE4761">
            <w:r>
              <w:rPr>
                <w:rFonts w:ascii="Arial" w:hAnsi="Arial"/>
                <w:b/>
                <w:color w:val="FFFFFF"/>
                <w:sz w:val="18"/>
              </w:rPr>
              <w:t>Value</w:t>
            </w:r>
          </w:p>
        </w:tc>
        <w:tc>
          <w:tcPr>
            <w:tcW w:w="2257" w:type="dxa"/>
            <w:shd w:val="clear" w:color="auto" w:fill="1B3A6B"/>
          </w:tcPr>
          <w:p w14:paraId="48DC450F" w14:textId="77777777" w:rsidR="008C752B" w:rsidRDefault="00CE4761">
            <w:r>
              <w:rPr>
                <w:rFonts w:ascii="Arial" w:hAnsi="Arial"/>
                <w:b/>
                <w:color w:val="FFFFFF"/>
                <w:sz w:val="18"/>
              </w:rPr>
              <w:t>Unit</w:t>
            </w:r>
          </w:p>
        </w:tc>
        <w:tc>
          <w:tcPr>
            <w:tcW w:w="2257" w:type="dxa"/>
            <w:shd w:val="clear" w:color="auto" w:fill="1B3A6B"/>
          </w:tcPr>
          <w:p w14:paraId="455221BF" w14:textId="77777777" w:rsidR="008C752B" w:rsidRDefault="00CE4761">
            <w:r>
              <w:rPr>
                <w:rFonts w:ascii="Arial" w:hAnsi="Arial"/>
                <w:b/>
                <w:color w:val="FFFFFF"/>
                <w:sz w:val="18"/>
              </w:rPr>
              <w:t>Calculation Basis</w:t>
            </w:r>
          </w:p>
        </w:tc>
      </w:tr>
      <w:tr w:rsidR="008C752B" w14:paraId="57B60811" w14:textId="77777777">
        <w:trPr>
          <w:jc w:val="center"/>
        </w:trPr>
        <w:tc>
          <w:tcPr>
            <w:tcW w:w="2257" w:type="dxa"/>
          </w:tcPr>
          <w:p w14:paraId="506B3B70" w14:textId="77777777" w:rsidR="008C752B" w:rsidRDefault="00CE4761">
            <w:r>
              <w:rPr>
                <w:rFonts w:ascii="Arial" w:hAnsi="Arial"/>
                <w:sz w:val="18"/>
              </w:rPr>
              <w:t>Gross Financed Emissions (Scope 3 Cat. 15)</w:t>
            </w:r>
          </w:p>
        </w:tc>
        <w:tc>
          <w:tcPr>
            <w:tcW w:w="2257" w:type="dxa"/>
          </w:tcPr>
          <w:p w14:paraId="3CD42801" w14:textId="77777777" w:rsidR="008C752B" w:rsidRDefault="00CE4761">
            <w:pPr>
              <w:jc w:val="right"/>
            </w:pPr>
            <w:r>
              <w:rPr>
                <w:rFonts w:ascii="Arial" w:hAnsi="Arial"/>
                <w:sz w:val="18"/>
              </w:rPr>
              <w:t>21,976,797.3</w:t>
            </w:r>
          </w:p>
        </w:tc>
        <w:tc>
          <w:tcPr>
            <w:tcW w:w="2257" w:type="dxa"/>
          </w:tcPr>
          <w:p w14:paraId="320F92EB" w14:textId="77777777" w:rsidR="008C752B" w:rsidRDefault="00CE4761">
            <w:r>
              <w:rPr>
                <w:rFonts w:ascii="Arial" w:hAnsi="Arial"/>
                <w:sz w:val="18"/>
              </w:rPr>
              <w:t>tCO2e</w:t>
            </w:r>
          </w:p>
        </w:tc>
        <w:tc>
          <w:tcPr>
            <w:tcW w:w="2257" w:type="dxa"/>
          </w:tcPr>
          <w:p w14:paraId="1A841212" w14:textId="77777777" w:rsidR="008C752B" w:rsidRDefault="00CE4761">
            <w:r>
              <w:rPr>
                <w:rFonts w:ascii="Arial" w:hAnsi="Arial"/>
                <w:sz w:val="18"/>
              </w:rPr>
              <w:t>PCAF Standard — unweighted</w:t>
            </w:r>
          </w:p>
        </w:tc>
      </w:tr>
      <w:tr w:rsidR="008C752B" w14:paraId="788FB153" w14:textId="77777777">
        <w:trPr>
          <w:jc w:val="center"/>
        </w:trPr>
        <w:tc>
          <w:tcPr>
            <w:tcW w:w="2257" w:type="dxa"/>
            <w:shd w:val="clear" w:color="auto" w:fill="F2F6FC"/>
          </w:tcPr>
          <w:p w14:paraId="7D60519C" w14:textId="77777777" w:rsidR="008C752B" w:rsidRDefault="00CE4761">
            <w:r>
              <w:rPr>
                <w:rFonts w:ascii="Arial" w:hAnsi="Arial"/>
                <w:sz w:val="18"/>
              </w:rPr>
              <w:t>Confidence-Weighted Financed Emissions</w:t>
            </w:r>
          </w:p>
        </w:tc>
        <w:tc>
          <w:tcPr>
            <w:tcW w:w="2257" w:type="dxa"/>
            <w:shd w:val="clear" w:color="auto" w:fill="F2F6FC"/>
          </w:tcPr>
          <w:p w14:paraId="7327BAEA" w14:textId="77777777" w:rsidR="008C752B" w:rsidRDefault="00CE4761">
            <w:pPr>
              <w:jc w:val="right"/>
            </w:pPr>
            <w:r>
              <w:rPr>
                <w:rFonts w:ascii="Arial" w:hAnsi="Arial"/>
                <w:sz w:val="18"/>
              </w:rPr>
              <w:t>15,280,174.14</w:t>
            </w:r>
          </w:p>
        </w:tc>
        <w:tc>
          <w:tcPr>
            <w:tcW w:w="2257" w:type="dxa"/>
            <w:shd w:val="clear" w:color="auto" w:fill="F2F6FC"/>
          </w:tcPr>
          <w:p w14:paraId="563A9CEA" w14:textId="77777777" w:rsidR="008C752B" w:rsidRDefault="00CE4761">
            <w:r>
              <w:rPr>
                <w:rFonts w:ascii="Arial" w:hAnsi="Arial"/>
                <w:sz w:val="18"/>
              </w:rPr>
              <w:t>tCO2e</w:t>
            </w:r>
          </w:p>
        </w:tc>
        <w:tc>
          <w:tcPr>
            <w:tcW w:w="2257" w:type="dxa"/>
            <w:shd w:val="clear" w:color="auto" w:fill="F2F6FC"/>
          </w:tcPr>
          <w:p w14:paraId="21A2AB3B" w14:textId="77777777" w:rsidR="008C752B" w:rsidRDefault="00CE4761">
            <w:r>
              <w:rPr>
                <w:rFonts w:ascii="Arial" w:hAnsi="Arial"/>
                <w:sz w:val="18"/>
              </w:rPr>
              <w:t>PCAF Standard — quality-adjusted</w:t>
            </w:r>
          </w:p>
        </w:tc>
      </w:tr>
      <w:tr w:rsidR="008C752B" w14:paraId="23598DA7" w14:textId="77777777">
        <w:trPr>
          <w:jc w:val="center"/>
        </w:trPr>
        <w:tc>
          <w:tcPr>
            <w:tcW w:w="2257" w:type="dxa"/>
          </w:tcPr>
          <w:p w14:paraId="3B92B484" w14:textId="77777777" w:rsidR="008C752B" w:rsidRDefault="00CE4761">
            <w:r>
              <w:rPr>
                <w:rFonts w:ascii="Arial" w:hAnsi="Arial"/>
                <w:sz w:val="18"/>
              </w:rPr>
              <w:t>Portfolio Coverage</w:t>
            </w:r>
          </w:p>
        </w:tc>
        <w:tc>
          <w:tcPr>
            <w:tcW w:w="2257" w:type="dxa"/>
          </w:tcPr>
          <w:p w14:paraId="0623ED12" w14:textId="77777777" w:rsidR="008C752B" w:rsidRDefault="00CE4761">
            <w:pPr>
              <w:jc w:val="right"/>
            </w:pPr>
            <w:r>
              <w:rPr>
                <w:rFonts w:ascii="Arial" w:hAnsi="Arial"/>
                <w:sz w:val="18"/>
              </w:rPr>
              <w:t>100.0</w:t>
            </w:r>
          </w:p>
        </w:tc>
        <w:tc>
          <w:tcPr>
            <w:tcW w:w="2257" w:type="dxa"/>
          </w:tcPr>
          <w:p w14:paraId="2B4A7919" w14:textId="77777777" w:rsidR="008C752B" w:rsidRDefault="00CE4761">
            <w:r>
              <w:rPr>
                <w:rFonts w:ascii="Arial" w:hAnsi="Arial"/>
                <w:sz w:val="18"/>
              </w:rPr>
              <w:t>%</w:t>
            </w:r>
          </w:p>
        </w:tc>
        <w:tc>
          <w:tcPr>
            <w:tcW w:w="2257" w:type="dxa"/>
          </w:tcPr>
          <w:p w14:paraId="63147857" w14:textId="77777777" w:rsidR="008C752B" w:rsidRDefault="00CE4761">
            <w:r>
              <w:rPr>
                <w:rFonts w:ascii="Arial" w:hAnsi="Arial"/>
                <w:sz w:val="18"/>
              </w:rPr>
              <w:t>In-scope lending exposure</w:t>
            </w:r>
          </w:p>
        </w:tc>
      </w:tr>
      <w:tr w:rsidR="008C752B" w14:paraId="606877CF" w14:textId="77777777">
        <w:trPr>
          <w:jc w:val="center"/>
        </w:trPr>
        <w:tc>
          <w:tcPr>
            <w:tcW w:w="2257" w:type="dxa"/>
            <w:shd w:val="clear" w:color="auto" w:fill="F2F6FC"/>
          </w:tcPr>
          <w:p w14:paraId="3D9C16A9" w14:textId="77777777" w:rsidR="008C752B" w:rsidRDefault="00CE4761">
            <w:r>
              <w:rPr>
                <w:rFonts w:ascii="Arial" w:hAnsi="Arial"/>
                <w:sz w:val="18"/>
              </w:rPr>
              <w:t>Average PCAF Data Quality Score</w:t>
            </w:r>
          </w:p>
        </w:tc>
        <w:tc>
          <w:tcPr>
            <w:tcW w:w="2257" w:type="dxa"/>
            <w:shd w:val="clear" w:color="auto" w:fill="F2F6FC"/>
          </w:tcPr>
          <w:p w14:paraId="281E26D1" w14:textId="77777777" w:rsidR="008C752B" w:rsidRDefault="00CE4761">
            <w:pPr>
              <w:jc w:val="right"/>
            </w:pPr>
            <w:r>
              <w:rPr>
                <w:rFonts w:ascii="Arial" w:hAnsi="Arial"/>
                <w:sz w:val="18"/>
              </w:rPr>
              <w:t>3.36</w:t>
            </w:r>
          </w:p>
        </w:tc>
        <w:tc>
          <w:tcPr>
            <w:tcW w:w="2257" w:type="dxa"/>
            <w:shd w:val="clear" w:color="auto" w:fill="F2F6FC"/>
          </w:tcPr>
          <w:p w14:paraId="27C3D61A" w14:textId="77777777" w:rsidR="008C752B" w:rsidRDefault="00CE4761">
            <w:r>
              <w:rPr>
                <w:rFonts w:ascii="Arial" w:hAnsi="Arial"/>
                <w:sz w:val="18"/>
              </w:rPr>
              <w:t>Score (1-5)</w:t>
            </w:r>
          </w:p>
        </w:tc>
        <w:tc>
          <w:tcPr>
            <w:tcW w:w="2257" w:type="dxa"/>
            <w:shd w:val="clear" w:color="auto" w:fill="F2F6FC"/>
          </w:tcPr>
          <w:p w14:paraId="1EF96370" w14:textId="77777777" w:rsidR="008C752B" w:rsidRDefault="00CE4761">
            <w:r>
              <w:rPr>
                <w:rFonts w:ascii="Arial" w:hAnsi="Arial"/>
                <w:sz w:val="18"/>
              </w:rPr>
              <w:t>Portfolio-weighted average</w:t>
            </w:r>
          </w:p>
        </w:tc>
      </w:tr>
      <w:tr w:rsidR="008C752B" w14:paraId="4BF19F17" w14:textId="77777777">
        <w:trPr>
          <w:jc w:val="center"/>
        </w:trPr>
        <w:tc>
          <w:tcPr>
            <w:tcW w:w="2257" w:type="dxa"/>
          </w:tcPr>
          <w:p w14:paraId="22C91BEA" w14:textId="77777777" w:rsidR="008C752B" w:rsidRDefault="00CE4761">
            <w:r>
              <w:rPr>
                <w:rFonts w:ascii="Arial" w:hAnsi="Arial"/>
                <w:sz w:val="18"/>
              </w:rPr>
              <w:t>Total Outstanding Exposure</w:t>
            </w:r>
          </w:p>
        </w:tc>
        <w:tc>
          <w:tcPr>
            <w:tcW w:w="2257" w:type="dxa"/>
          </w:tcPr>
          <w:p w14:paraId="1840A013" w14:textId="77777777" w:rsidR="008C752B" w:rsidRDefault="00CE4761">
            <w:pPr>
              <w:jc w:val="right"/>
            </w:pPr>
            <w:r>
              <w:rPr>
                <w:rFonts w:ascii="Arial" w:hAnsi="Arial"/>
                <w:sz w:val="18"/>
              </w:rPr>
              <w:t>1,541.18</w:t>
            </w:r>
          </w:p>
        </w:tc>
        <w:tc>
          <w:tcPr>
            <w:tcW w:w="2257" w:type="dxa"/>
          </w:tcPr>
          <w:p w14:paraId="0249B7FF" w14:textId="77777777" w:rsidR="008C752B" w:rsidRDefault="00CE4761">
            <w:r>
              <w:rPr>
                <w:rFonts w:ascii="Arial" w:hAnsi="Arial"/>
                <w:sz w:val="18"/>
              </w:rPr>
              <w:t>IDR Trillion</w:t>
            </w:r>
          </w:p>
        </w:tc>
        <w:tc>
          <w:tcPr>
            <w:tcW w:w="2257" w:type="dxa"/>
          </w:tcPr>
          <w:p w14:paraId="612462DD" w14:textId="77777777" w:rsidR="008C752B" w:rsidRDefault="00CE4761">
            <w:r>
              <w:rPr>
                <w:rFonts w:ascii="Arial" w:hAnsi="Arial"/>
                <w:sz w:val="18"/>
              </w:rPr>
              <w:t>Funded carrying amounts</w:t>
            </w:r>
          </w:p>
        </w:tc>
      </w:tr>
    </w:tbl>
    <w:p w14:paraId="0F7107EE" w14:textId="77777777" w:rsidR="008C752B" w:rsidRDefault="00CE4761">
      <w:r>
        <w:rPr>
          <w:rFonts w:ascii="Arial" w:hAnsi="Arial"/>
          <w:i/>
          <w:sz w:val="16"/>
        </w:rPr>
        <w:t>Source: Reported in accordance with SASB FN-CB-410a.3 and IFRS S2 paragraph B62. Asset classes: corporate loans, project finance, undrawn commitments.</w:t>
      </w:r>
    </w:p>
    <w:p w14:paraId="7E49EF61" w14:textId="77777777" w:rsidR="008C752B" w:rsidRDefault="008C752B"/>
    <w:p w14:paraId="757145BC" w14:textId="77777777" w:rsidR="008C752B" w:rsidRDefault="00CE4761">
      <w:r>
        <w:rPr>
          <w:i/>
          <w:color w:val="3D6094"/>
          <w:sz w:val="18"/>
        </w:rPr>
        <w:t>Framework references: IFRS S2 para 29(f) — Scope 3 greenhouse gas emissions; IFRS S2 para B62 — Commercial banking financed emissions disclosure; IFRS S2 para B62(a) — Disaggregation by industry and asset class; IFRS S2 para B62(d) — Methodology and allocation approach; IFRS S2 para 14(c) — Data limitations and estimation approaches; SASB FN-CB-410a.3 — Financed emissions (Scope 3 Category 15)</w:t>
      </w:r>
    </w:p>
    <w:p w14:paraId="158D33E9" w14:textId="77777777" w:rsidR="008C752B" w:rsidRDefault="008C752B">
      <w:pPr>
        <w:pBdr>
          <w:bottom w:val="single" w:sz="6" w:space="1" w:color="999999"/>
        </w:pBdr>
        <w:spacing w:after="80"/>
      </w:pPr>
    </w:p>
    <w:p w14:paraId="650D39CC" w14:textId="77777777" w:rsidR="008C752B" w:rsidRDefault="00CE4761">
      <w:pPr>
        <w:spacing w:after="160"/>
        <w:jc w:val="both"/>
      </w:pPr>
      <w:r>
        <w:rPr>
          <w:rFonts w:ascii="Arial" w:hAnsi="Arial"/>
          <w:i/>
          <w:color w:val="646464"/>
          <w:sz w:val="18"/>
        </w:rPr>
        <w:t>Financed emissions calculated per PCAF Global GHG Accounting Standard (2022 edition). Attribution factor = (Outstanding Amount / Borrower Enterprise Value or Project Cost).</w:t>
      </w:r>
    </w:p>
    <w:p w14:paraId="476F443D" w14:textId="77777777" w:rsidR="008C752B" w:rsidRDefault="00CE4761">
      <w:pPr>
        <w:spacing w:after="160"/>
        <w:jc w:val="both"/>
      </w:pPr>
      <w:r>
        <w:rPr>
          <w:rFonts w:ascii="Arial" w:hAnsi="Arial"/>
          <w:i/>
          <w:color w:val="646464"/>
          <w:sz w:val="18"/>
        </w:rPr>
        <w:t>Confidence-weighted emissions apply PCAF quality factors: Score 1 (1.00), Score 2 (0.90), Score 3 (0.75), Score 4 (0.60), Score 5 (0.45).</w:t>
      </w:r>
    </w:p>
    <w:p w14:paraId="1299BF0A" w14:textId="77777777" w:rsidR="008C752B" w:rsidRDefault="00CE4761">
      <w:pPr>
        <w:spacing w:after="160"/>
        <w:jc w:val="both"/>
      </w:pPr>
      <w:r>
        <w:rPr>
          <w:rFonts w:ascii="Arial" w:hAnsi="Arial"/>
          <w:i/>
          <w:color w:val="646464"/>
          <w:sz w:val="18"/>
        </w:rPr>
        <w:t>Sector classification uses NACE Rev. 2 codes aligned with PCAF sector guidance. GICS 6-digit codes applied where NACE mapping unavailable.</w:t>
      </w:r>
    </w:p>
    <w:p w14:paraId="2F42A52C" w14:textId="77777777" w:rsidR="008C752B" w:rsidRDefault="00CE4761">
      <w:pPr>
        <w:spacing w:after="160"/>
        <w:jc w:val="both"/>
      </w:pPr>
      <w:r>
        <w:rPr>
          <w:rFonts w:ascii="Arial" w:hAnsi="Arial"/>
          <w:i/>
          <w:color w:val="646464"/>
          <w:sz w:val="18"/>
        </w:rPr>
        <w:t>These figures have not been subject to external assurance for the current reporting period.</w:t>
      </w:r>
    </w:p>
    <w:p w14:paraId="2AC747DA" w14:textId="77777777" w:rsidR="008C752B" w:rsidRDefault="00CE4761">
      <w:pPr>
        <w:spacing w:after="160"/>
        <w:jc w:val="both"/>
      </w:pPr>
      <w:r>
        <w:rPr>
          <w:rFonts w:ascii="Arial" w:hAnsi="Arial"/>
          <w:i/>
          <w:color w:val="646464"/>
          <w:sz w:val="18"/>
        </w:rPr>
        <w:t>Prior year comparative (2023): Gross financed emissions 22,911,991.05 tCO2e; Weighted financed emissions 15,576,239.57 tCO2e.</w:t>
      </w:r>
    </w:p>
    <w:p w14:paraId="3A1C38E2" w14:textId="77777777" w:rsidR="008C752B" w:rsidRDefault="00CE4761">
      <w:r>
        <w:br w:type="page"/>
      </w:r>
    </w:p>
    <w:p w14:paraId="67BF02E7" w14:textId="77777777" w:rsidR="008C752B" w:rsidRDefault="00CE4761">
      <w:pPr>
        <w:pStyle w:val="Heading1"/>
        <w:spacing w:after="240"/>
      </w:pPr>
      <w:bookmarkStart w:id="9" w:name="_Toc231550614"/>
      <w:r>
        <w:rPr>
          <w:rFonts w:ascii="Arial" w:hAnsi="Arial"/>
          <w:color w:val="1B3A6B"/>
          <w:sz w:val="36"/>
        </w:rPr>
        <w:lastRenderedPageBreak/>
        <w:t>GRI 305-3: Other Indirect (Scope 3) GHG Emissions — Category 15 Financed Emissions</w:t>
      </w:r>
      <w:bookmarkEnd w:id="9"/>
    </w:p>
    <w:p w14:paraId="25DF38BA" w14:textId="77777777" w:rsidR="008C752B" w:rsidRDefault="00CE4761">
      <w:pPr>
        <w:spacing w:after="160"/>
        <w:jc w:val="both"/>
      </w:pPr>
      <w:r>
        <w:rPr>
          <w:rFonts w:ascii="Arial" w:hAnsi="Arial"/>
        </w:rPr>
        <w:t>The organization reported gross financed emissions of 21,976,797.3 tCO2e for the 2024 reporting period under Scope 3 Category 15 (Investments). This figure represents the total greenhouse gas emissions attributable to the institution's lending and investment portfolio, calculated in accordance with the Partnership for Carbon Accounting Financials (PCAF) Global GHG Accounting and Reporting Standard for the Financial Industry. The portfolio assessed comprised 1,955 borrowers across 10 economic sectors, with t</w:t>
      </w:r>
      <w:r>
        <w:rPr>
          <w:rFonts w:ascii="Arial" w:hAnsi="Arial"/>
        </w:rPr>
        <w:t>otal outstanding exposure of IDR 1,541.182 trillion. Category 15 constitutes the organization's most material Scope 3 category, accounting for 99.98% of total Scope 3 emissions.</w:t>
      </w:r>
    </w:p>
    <w:p w14:paraId="7F90051E" w14:textId="77777777" w:rsidR="008C752B" w:rsidRDefault="00CE4761">
      <w:pPr>
        <w:spacing w:after="160"/>
        <w:jc w:val="both"/>
      </w:pPr>
      <w:r>
        <w:rPr>
          <w:rFonts w:ascii="Arial" w:hAnsi="Arial"/>
          <w:i/>
        </w:rPr>
        <w:t xml:space="preserve">The PCAF methodology applies an attribution factor to allocate a proportional share of each borrower's total emissions to the institution based on the outstanding loan amount relative to the borrower's total equity plus debt. The attribution formula is: Financed Emissions = Outstanding Amount ÷ (Borrower Total Equity + Borrower Total Debt) × Borrower Total Emissions. The organization applied this methodology to corporate loans (PCAF Asset Class: Business Loans and Unlisted Equity) using operational control </w:t>
      </w:r>
      <w:r>
        <w:rPr>
          <w:rFonts w:ascii="Arial" w:hAnsi="Arial"/>
          <w:i/>
        </w:rPr>
        <w:t>as the consolidation approach for borrower emissions. Emission factors were sourced from borrower-reported data where available (PCAF Data Quality Score 1–2), supplemented by environmentally-extended input-output (EEIO) models and sector-average proxies for borrowers without direct emissions disclosures (PCAF Data Quality Score 3–5).</w:t>
      </w:r>
    </w:p>
    <w:p w14:paraId="53215006" w14:textId="77777777" w:rsidR="008C752B" w:rsidRDefault="00CE4761">
      <w:pPr>
        <w:spacing w:after="160"/>
        <w:jc w:val="both"/>
      </w:pPr>
      <w:r>
        <w:rPr>
          <w:rFonts w:ascii="Arial" w:hAnsi="Arial"/>
        </w:rPr>
        <w:t>The organization distinguishes between gross financed emissions and confidence-weighted financed emissions to reflect data quality uncertainty inherent in the PCAF framework. Gross financed emissions of 21,976,797.3 tCO2e represent the nominal sum of attributed emissions across all borrowers without adjustment for data quality. Confidence-weighted financed emissions of 15,280,174.14 tCO2e apply PCAF-prescribed confidence factors (ranging from 1.00 for verified data to 0.45 for sector-average proxies) to dis</w:t>
      </w:r>
      <w:r>
        <w:rPr>
          <w:rFonts w:ascii="Arial" w:hAnsi="Arial"/>
        </w:rPr>
        <w:t>count emissions estimates based on their underlying data quality tier. The 30.5% reduction from gross to weighted figures reflects the prevalence of lower-quality data sources in the current portfolio, with an average portfolio-weighted PCAF Data Quality Score of 3.36 out of 5.00. This dual reporting approach enables stakeholders to assess both the nominal emissions exposure and the confidence level in reported figures.</w:t>
      </w:r>
    </w:p>
    <w:p w14:paraId="4007E766" w14:textId="77777777" w:rsidR="008C752B" w:rsidRDefault="00CE4761">
      <w:pPr>
        <w:spacing w:after="160"/>
        <w:jc w:val="both"/>
      </w:pPr>
      <w:r>
        <w:rPr>
          <w:rFonts w:ascii="Arial" w:hAnsi="Arial"/>
        </w:rPr>
        <w:t xml:space="preserve">Financed emissions exhibited significant concentration in carbon-intensive sectors. The Energy - Oil &amp; Gas sector accounted for 43.56% of total gross financed emissions (9,573,144.27 tCO2e) despite representing only 6.66% of portfolio exposure, reflecting an emission intensity of 93.242 tCO2e per IDR billion outstanding. The Manufacturing - Cement sector contributed 26.45% of emissions (5,813,830.91 tCO2e) from 6.99% of portfolio exposure, with an intensity of 53.9927 tCO2e per IDR billion. Manufacturing - </w:t>
      </w:r>
      <w:r>
        <w:rPr>
          <w:rFonts w:ascii="Arial" w:hAnsi="Arial"/>
        </w:rPr>
        <w:t>Steel accounted for 15.92% of emissions (3,499,463.0 tCO2e) from 7.05% of exposure. These three sectors collectively represented 85.93% of total financed emissions while comprising only 20.70% of portfolio value, indicating material climate risk concentration. Conversely, the Financial Services sector represented 13.41% of portfolio exposure but contributed only 0.34% of emissions (73,693.74 tCO2e), demonstrating the heterogeneity of emission intensity across asset classes.</w:t>
      </w:r>
    </w:p>
    <w:p w14:paraId="0A44F924" w14:textId="77777777" w:rsidR="008C752B" w:rsidRDefault="00CE4761">
      <w:pPr>
        <w:spacing w:after="160"/>
        <w:jc w:val="both"/>
      </w:pPr>
      <w:r>
        <w:rPr>
          <w:rFonts w:ascii="Arial" w:hAnsi="Arial"/>
        </w:rPr>
        <w:lastRenderedPageBreak/>
        <w:t xml:space="preserve">The portfolio-weighted average PCAF Data Quality Score of 3.36 indicates that the majority of financed emissions estimates relied on environmentally-extended input-output models combined with borrower financial data (PCAF Tier 3) or sector-average emission factors (PCAF Tier 4–5). Data quality varied by sector, with Real Estate - Commercial achieving the highest quality score of 3.27 (indicating greater reliance on reported data), while Financial Services recorded the lowest score of 3.42. The organization </w:t>
      </w:r>
      <w:r>
        <w:rPr>
          <w:rFonts w:ascii="Arial" w:hAnsi="Arial"/>
        </w:rPr>
        <w:t>achieved 100% portfolio coverage for financed emissions calculation, meeting the PCAF requirement for signatory institutions to report on all material asset classes. However, the prevalence of Tier 3–4 data sources represents a data quality improvement opportunity, as borrower-reported emissions (Tier 1–2) would reduce estimation uncertainty and increase confidence in reported figures.</w:t>
      </w:r>
    </w:p>
    <w:p w14:paraId="13169FB1" w14:textId="77777777" w:rsidR="008C752B" w:rsidRDefault="00CE4761">
      <w:pPr>
        <w:spacing w:after="160"/>
        <w:jc w:val="both"/>
      </w:pPr>
      <w:r>
        <w:rPr>
          <w:rFonts w:ascii="Arial" w:hAnsi="Arial"/>
        </w:rPr>
        <w:t>Gross financed emissions decreased by 4.07% year-over-year, from 22,911,991.05 tCO2e in 2023 to 21,976,797.3 tCO2e in 2024, representing an absolute reduction of 935,193.75 tCO2e. Confidence-weighted financed emissions decreased by 1.90%, from 15,576,239.57 tCO2e to 15,280,174.14 tCO2e. The reduction in gross emissions exceeded the reduction in weighted emissions, indicating that portfolio composition shifts toward lower-emission-intensity sectors occurred alongside improvements in data quality for remainin</w:t>
      </w:r>
      <w:r>
        <w:rPr>
          <w:rFonts w:ascii="Arial" w:hAnsi="Arial"/>
        </w:rPr>
        <w:t>g high-emission exposures. This trend is consistent with the organization's climate risk management strategy to reduce exposure to carbon-intensive sectors while enhancing borrower engagement on emissions disclosure. The year-over-year comparison uses a consistent calculation methodology and portfolio boundary, with no restatement of prior-year figures required.</w:t>
      </w:r>
    </w:p>
    <w:p w14:paraId="65F8F2F5" w14:textId="77777777" w:rsidR="008C752B" w:rsidRDefault="00CE4761">
      <w:pPr>
        <w:spacing w:after="160"/>
        <w:jc w:val="both"/>
      </w:pPr>
      <w:r>
        <w:rPr>
          <w:rFonts w:ascii="Arial" w:hAnsi="Arial"/>
          <w:i/>
          <w:color w:val="555555"/>
        </w:rPr>
        <w:t>The organization has established a data quality improvement roadmap to address the current average PCAF score of 3.36, which exceeds the internal threshold of 3.50 for enhanced data collection initiatives. The roadmap prioritizes direct engagement with the top 50 emitting borrowers (representing 78% of gross financed emissions) to obtain verified emissions disclosures or encourage participation in recognized reporting frameworks such as CDP Climate Change. For borrowers in the Energy - Oil &amp; Gas and Manufac</w:t>
      </w:r>
      <w:r>
        <w:rPr>
          <w:rFonts w:ascii="Arial" w:hAnsi="Arial"/>
          <w:i/>
          <w:color w:val="555555"/>
        </w:rPr>
        <w:t>turing - Cement sectors, the organization will incorporate emissions data quality requirements into loan covenants for new originations and refinancings commencing in 2025. The target is to achieve a portfolio-weighted average PCAF score of 2.80 by 2027, which would increase the proportion of Tier 1–2 data from an estimated 12% to 45% of portfolio exposure. This improvement is expected to reduce the divergence between gross and confidence-weighted financed emissions from 30.5% to approximately 18%, enhancin</w:t>
      </w:r>
      <w:r>
        <w:rPr>
          <w:rFonts w:ascii="Arial" w:hAnsi="Arial"/>
          <w:i/>
          <w:color w:val="555555"/>
        </w:rPr>
        <w:t>g the reliability of climate risk assessments and target-setting processes.</w:t>
      </w:r>
    </w:p>
    <w:p w14:paraId="1A8DA0E9" w14:textId="77777777" w:rsidR="008C752B" w:rsidRDefault="00CE4761">
      <w:r>
        <w:rPr>
          <w:rFonts w:ascii="Arial" w:hAnsi="Arial"/>
          <w:b/>
          <w:sz w:val="20"/>
        </w:rPr>
        <w:t>Table 1: Financed Emissions by Economic Sector (Top 5 Contributors)</w:t>
      </w:r>
    </w:p>
    <w:tbl>
      <w:tblPr>
        <w:tblW w:w="0" w:type="auto"/>
        <w:jc w:val="center"/>
        <w:tblLook w:val="04A0" w:firstRow="1" w:lastRow="0" w:firstColumn="1" w:lastColumn="0" w:noHBand="0" w:noVBand="1"/>
      </w:tblPr>
      <w:tblGrid>
        <w:gridCol w:w="1378"/>
        <w:gridCol w:w="1082"/>
        <w:gridCol w:w="1041"/>
        <w:gridCol w:w="1267"/>
        <w:gridCol w:w="1267"/>
        <w:gridCol w:w="1123"/>
        <w:gridCol w:w="1167"/>
        <w:gridCol w:w="920"/>
      </w:tblGrid>
      <w:tr w:rsidR="008C752B" w14:paraId="4F9551A7" w14:textId="77777777">
        <w:trPr>
          <w:jc w:val="center"/>
        </w:trPr>
        <w:tc>
          <w:tcPr>
            <w:tcW w:w="1129" w:type="dxa"/>
            <w:shd w:val="clear" w:color="auto" w:fill="1B3A6B"/>
          </w:tcPr>
          <w:p w14:paraId="4662C071" w14:textId="77777777" w:rsidR="008C752B" w:rsidRDefault="00CE4761">
            <w:r>
              <w:rPr>
                <w:rFonts w:ascii="Arial" w:hAnsi="Arial"/>
                <w:b/>
                <w:color w:val="FFFFFF"/>
                <w:sz w:val="18"/>
              </w:rPr>
              <w:t>Sector</w:t>
            </w:r>
          </w:p>
        </w:tc>
        <w:tc>
          <w:tcPr>
            <w:tcW w:w="1129" w:type="dxa"/>
            <w:shd w:val="clear" w:color="auto" w:fill="1B3A6B"/>
          </w:tcPr>
          <w:p w14:paraId="557D98EC" w14:textId="77777777" w:rsidR="008C752B" w:rsidRDefault="00CE4761">
            <w:r>
              <w:rPr>
                <w:rFonts w:ascii="Arial" w:hAnsi="Arial"/>
                <w:b/>
                <w:color w:val="FFFFFF"/>
                <w:sz w:val="18"/>
              </w:rPr>
              <w:t>Portfolio Exposure (IDR Trillion)</w:t>
            </w:r>
          </w:p>
        </w:tc>
        <w:tc>
          <w:tcPr>
            <w:tcW w:w="1129" w:type="dxa"/>
            <w:shd w:val="clear" w:color="auto" w:fill="1B3A6B"/>
          </w:tcPr>
          <w:p w14:paraId="4E6088D3" w14:textId="77777777" w:rsidR="008C752B" w:rsidRDefault="00CE4761">
            <w:r>
              <w:rPr>
                <w:rFonts w:ascii="Arial" w:hAnsi="Arial"/>
                <w:b/>
                <w:color w:val="FFFFFF"/>
                <w:sz w:val="18"/>
              </w:rPr>
              <w:t>% of Portfolio</w:t>
            </w:r>
          </w:p>
        </w:tc>
        <w:tc>
          <w:tcPr>
            <w:tcW w:w="1129" w:type="dxa"/>
            <w:shd w:val="clear" w:color="auto" w:fill="1B3A6B"/>
          </w:tcPr>
          <w:p w14:paraId="686DE07D" w14:textId="77777777" w:rsidR="008C752B" w:rsidRDefault="00CE4761">
            <w:r>
              <w:rPr>
                <w:rFonts w:ascii="Arial" w:hAnsi="Arial"/>
                <w:b/>
                <w:color w:val="FFFFFF"/>
                <w:sz w:val="18"/>
              </w:rPr>
              <w:t>Gross Financed Emissions (tCO2e)</w:t>
            </w:r>
          </w:p>
        </w:tc>
        <w:tc>
          <w:tcPr>
            <w:tcW w:w="1129" w:type="dxa"/>
            <w:shd w:val="clear" w:color="auto" w:fill="1B3A6B"/>
          </w:tcPr>
          <w:p w14:paraId="5A4A1372" w14:textId="77777777" w:rsidR="008C752B" w:rsidRDefault="00CE4761">
            <w:r>
              <w:rPr>
                <w:rFonts w:ascii="Arial" w:hAnsi="Arial"/>
                <w:b/>
                <w:color w:val="FFFFFF"/>
                <w:sz w:val="18"/>
              </w:rPr>
              <w:t>Weighted Financed Emissions (tCO2e)</w:t>
            </w:r>
          </w:p>
        </w:tc>
        <w:tc>
          <w:tcPr>
            <w:tcW w:w="1129" w:type="dxa"/>
            <w:shd w:val="clear" w:color="auto" w:fill="1B3A6B"/>
          </w:tcPr>
          <w:p w14:paraId="66D8D5CD" w14:textId="77777777" w:rsidR="008C752B" w:rsidRDefault="00CE4761">
            <w:r>
              <w:rPr>
                <w:rFonts w:ascii="Arial" w:hAnsi="Arial"/>
                <w:b/>
                <w:color w:val="FFFFFF"/>
                <w:sz w:val="18"/>
              </w:rPr>
              <w:t>% of Total Emissions</w:t>
            </w:r>
          </w:p>
        </w:tc>
        <w:tc>
          <w:tcPr>
            <w:tcW w:w="1129" w:type="dxa"/>
            <w:shd w:val="clear" w:color="auto" w:fill="1B3A6B"/>
          </w:tcPr>
          <w:p w14:paraId="278F0E10" w14:textId="77777777" w:rsidR="008C752B" w:rsidRDefault="00CE4761">
            <w:r>
              <w:rPr>
                <w:rFonts w:ascii="Arial" w:hAnsi="Arial"/>
                <w:b/>
                <w:color w:val="FFFFFF"/>
                <w:sz w:val="18"/>
              </w:rPr>
              <w:t>Emission Intensity (tCO2e/IDR Bn)</w:t>
            </w:r>
          </w:p>
        </w:tc>
        <w:tc>
          <w:tcPr>
            <w:tcW w:w="1129" w:type="dxa"/>
            <w:shd w:val="clear" w:color="auto" w:fill="1B3A6B"/>
          </w:tcPr>
          <w:p w14:paraId="361B4791" w14:textId="77777777" w:rsidR="008C752B" w:rsidRDefault="00CE4761">
            <w:r>
              <w:rPr>
                <w:rFonts w:ascii="Arial" w:hAnsi="Arial"/>
                <w:b/>
                <w:color w:val="FFFFFF"/>
                <w:sz w:val="18"/>
              </w:rPr>
              <w:t>Avg PCAF Score</w:t>
            </w:r>
          </w:p>
        </w:tc>
      </w:tr>
      <w:tr w:rsidR="008C752B" w14:paraId="75E5E461" w14:textId="77777777">
        <w:trPr>
          <w:jc w:val="center"/>
        </w:trPr>
        <w:tc>
          <w:tcPr>
            <w:tcW w:w="1129" w:type="dxa"/>
          </w:tcPr>
          <w:p w14:paraId="2E6A548D" w14:textId="77777777" w:rsidR="008C752B" w:rsidRDefault="00CE4761">
            <w:r>
              <w:rPr>
                <w:rFonts w:ascii="Arial" w:hAnsi="Arial"/>
                <w:sz w:val="18"/>
              </w:rPr>
              <w:t>Energy - Oil &amp; Gas</w:t>
            </w:r>
          </w:p>
        </w:tc>
        <w:tc>
          <w:tcPr>
            <w:tcW w:w="1129" w:type="dxa"/>
          </w:tcPr>
          <w:p w14:paraId="403A79BE" w14:textId="77777777" w:rsidR="008C752B" w:rsidRDefault="00CE4761">
            <w:pPr>
              <w:jc w:val="right"/>
            </w:pPr>
            <w:r>
              <w:rPr>
                <w:rFonts w:ascii="Arial" w:hAnsi="Arial"/>
                <w:sz w:val="18"/>
              </w:rPr>
              <w:t>102.670</w:t>
            </w:r>
          </w:p>
        </w:tc>
        <w:tc>
          <w:tcPr>
            <w:tcW w:w="1129" w:type="dxa"/>
          </w:tcPr>
          <w:p w14:paraId="1E5D43AB" w14:textId="77777777" w:rsidR="008C752B" w:rsidRDefault="00CE4761">
            <w:pPr>
              <w:jc w:val="right"/>
            </w:pPr>
            <w:r>
              <w:rPr>
                <w:rFonts w:ascii="Arial" w:hAnsi="Arial"/>
                <w:sz w:val="18"/>
              </w:rPr>
              <w:t>6.66%</w:t>
            </w:r>
          </w:p>
        </w:tc>
        <w:tc>
          <w:tcPr>
            <w:tcW w:w="1129" w:type="dxa"/>
          </w:tcPr>
          <w:p w14:paraId="7AF9C232" w14:textId="77777777" w:rsidR="008C752B" w:rsidRDefault="00CE4761">
            <w:pPr>
              <w:jc w:val="right"/>
            </w:pPr>
            <w:r>
              <w:rPr>
                <w:rFonts w:ascii="Arial" w:hAnsi="Arial"/>
                <w:sz w:val="18"/>
              </w:rPr>
              <w:t>9,573,144.27</w:t>
            </w:r>
          </w:p>
        </w:tc>
        <w:tc>
          <w:tcPr>
            <w:tcW w:w="1129" w:type="dxa"/>
          </w:tcPr>
          <w:p w14:paraId="5A9BF884" w14:textId="77777777" w:rsidR="008C752B" w:rsidRDefault="00CE4761">
            <w:pPr>
              <w:jc w:val="right"/>
            </w:pPr>
            <w:r>
              <w:rPr>
                <w:rFonts w:ascii="Arial" w:hAnsi="Arial"/>
                <w:sz w:val="18"/>
              </w:rPr>
              <w:t>6,753,948.71</w:t>
            </w:r>
          </w:p>
        </w:tc>
        <w:tc>
          <w:tcPr>
            <w:tcW w:w="1129" w:type="dxa"/>
          </w:tcPr>
          <w:p w14:paraId="2C99BFA3" w14:textId="77777777" w:rsidR="008C752B" w:rsidRDefault="00CE4761">
            <w:pPr>
              <w:jc w:val="right"/>
            </w:pPr>
            <w:r>
              <w:rPr>
                <w:rFonts w:ascii="Arial" w:hAnsi="Arial"/>
                <w:sz w:val="18"/>
              </w:rPr>
              <w:t>43.56%</w:t>
            </w:r>
          </w:p>
        </w:tc>
        <w:tc>
          <w:tcPr>
            <w:tcW w:w="1129" w:type="dxa"/>
          </w:tcPr>
          <w:p w14:paraId="2159A855" w14:textId="77777777" w:rsidR="008C752B" w:rsidRDefault="00CE4761">
            <w:pPr>
              <w:jc w:val="right"/>
            </w:pPr>
            <w:r>
              <w:rPr>
                <w:rFonts w:ascii="Arial" w:hAnsi="Arial"/>
                <w:sz w:val="18"/>
              </w:rPr>
              <w:t>93.242</w:t>
            </w:r>
          </w:p>
        </w:tc>
        <w:tc>
          <w:tcPr>
            <w:tcW w:w="1129" w:type="dxa"/>
          </w:tcPr>
          <w:p w14:paraId="079B8FBC" w14:textId="77777777" w:rsidR="008C752B" w:rsidRDefault="00CE4761">
            <w:pPr>
              <w:jc w:val="right"/>
            </w:pPr>
            <w:r>
              <w:rPr>
                <w:rFonts w:ascii="Arial" w:hAnsi="Arial"/>
                <w:sz w:val="18"/>
              </w:rPr>
              <w:t>3.32</w:t>
            </w:r>
          </w:p>
        </w:tc>
      </w:tr>
      <w:tr w:rsidR="008C752B" w14:paraId="23523001" w14:textId="77777777">
        <w:trPr>
          <w:jc w:val="center"/>
        </w:trPr>
        <w:tc>
          <w:tcPr>
            <w:tcW w:w="1129" w:type="dxa"/>
            <w:shd w:val="clear" w:color="auto" w:fill="F2F6FC"/>
          </w:tcPr>
          <w:p w14:paraId="0F774937" w14:textId="77777777" w:rsidR="008C752B" w:rsidRDefault="00CE4761">
            <w:r>
              <w:rPr>
                <w:rFonts w:ascii="Arial" w:hAnsi="Arial"/>
                <w:sz w:val="18"/>
              </w:rPr>
              <w:t>Manufacturing - Cement</w:t>
            </w:r>
          </w:p>
        </w:tc>
        <w:tc>
          <w:tcPr>
            <w:tcW w:w="1129" w:type="dxa"/>
            <w:shd w:val="clear" w:color="auto" w:fill="F2F6FC"/>
          </w:tcPr>
          <w:p w14:paraId="6E406CB7" w14:textId="77777777" w:rsidR="008C752B" w:rsidRDefault="00CE4761">
            <w:pPr>
              <w:jc w:val="right"/>
            </w:pPr>
            <w:r>
              <w:rPr>
                <w:rFonts w:ascii="Arial" w:hAnsi="Arial"/>
                <w:sz w:val="18"/>
              </w:rPr>
              <w:t>107.678</w:t>
            </w:r>
          </w:p>
        </w:tc>
        <w:tc>
          <w:tcPr>
            <w:tcW w:w="1129" w:type="dxa"/>
            <w:shd w:val="clear" w:color="auto" w:fill="F2F6FC"/>
          </w:tcPr>
          <w:p w14:paraId="389788FD" w14:textId="77777777" w:rsidR="008C752B" w:rsidRDefault="00CE4761">
            <w:pPr>
              <w:jc w:val="right"/>
            </w:pPr>
            <w:r>
              <w:rPr>
                <w:rFonts w:ascii="Arial" w:hAnsi="Arial"/>
                <w:sz w:val="18"/>
              </w:rPr>
              <w:t>6.99%</w:t>
            </w:r>
          </w:p>
        </w:tc>
        <w:tc>
          <w:tcPr>
            <w:tcW w:w="1129" w:type="dxa"/>
            <w:shd w:val="clear" w:color="auto" w:fill="F2F6FC"/>
          </w:tcPr>
          <w:p w14:paraId="286F29F4" w14:textId="77777777" w:rsidR="008C752B" w:rsidRDefault="00CE4761">
            <w:pPr>
              <w:jc w:val="right"/>
            </w:pPr>
            <w:r>
              <w:rPr>
                <w:rFonts w:ascii="Arial" w:hAnsi="Arial"/>
                <w:sz w:val="18"/>
              </w:rPr>
              <w:t>5,813,830.91</w:t>
            </w:r>
          </w:p>
        </w:tc>
        <w:tc>
          <w:tcPr>
            <w:tcW w:w="1129" w:type="dxa"/>
            <w:shd w:val="clear" w:color="auto" w:fill="F2F6FC"/>
          </w:tcPr>
          <w:p w14:paraId="4BA93986" w14:textId="77777777" w:rsidR="008C752B" w:rsidRDefault="00CE4761">
            <w:pPr>
              <w:jc w:val="right"/>
            </w:pPr>
            <w:r>
              <w:rPr>
                <w:rFonts w:ascii="Arial" w:hAnsi="Arial"/>
                <w:sz w:val="18"/>
              </w:rPr>
              <w:t>4,168,058.43</w:t>
            </w:r>
          </w:p>
        </w:tc>
        <w:tc>
          <w:tcPr>
            <w:tcW w:w="1129" w:type="dxa"/>
            <w:shd w:val="clear" w:color="auto" w:fill="F2F6FC"/>
          </w:tcPr>
          <w:p w14:paraId="3610B940" w14:textId="77777777" w:rsidR="008C752B" w:rsidRDefault="00CE4761">
            <w:pPr>
              <w:jc w:val="right"/>
            </w:pPr>
            <w:r>
              <w:rPr>
                <w:rFonts w:ascii="Arial" w:hAnsi="Arial"/>
                <w:sz w:val="18"/>
              </w:rPr>
              <w:t>26.45%</w:t>
            </w:r>
          </w:p>
        </w:tc>
        <w:tc>
          <w:tcPr>
            <w:tcW w:w="1129" w:type="dxa"/>
            <w:shd w:val="clear" w:color="auto" w:fill="F2F6FC"/>
          </w:tcPr>
          <w:p w14:paraId="3A9F917C" w14:textId="77777777" w:rsidR="008C752B" w:rsidRDefault="00CE4761">
            <w:pPr>
              <w:jc w:val="right"/>
            </w:pPr>
            <w:r>
              <w:rPr>
                <w:rFonts w:ascii="Arial" w:hAnsi="Arial"/>
                <w:sz w:val="18"/>
              </w:rPr>
              <w:t>53.9927</w:t>
            </w:r>
          </w:p>
        </w:tc>
        <w:tc>
          <w:tcPr>
            <w:tcW w:w="1129" w:type="dxa"/>
            <w:shd w:val="clear" w:color="auto" w:fill="F2F6FC"/>
          </w:tcPr>
          <w:p w14:paraId="169D1598" w14:textId="77777777" w:rsidR="008C752B" w:rsidRDefault="00CE4761">
            <w:pPr>
              <w:jc w:val="right"/>
            </w:pPr>
            <w:r>
              <w:rPr>
                <w:rFonts w:ascii="Arial" w:hAnsi="Arial"/>
                <w:sz w:val="18"/>
              </w:rPr>
              <w:t>3.40</w:t>
            </w:r>
          </w:p>
        </w:tc>
      </w:tr>
      <w:tr w:rsidR="008C752B" w14:paraId="6C221AAB" w14:textId="77777777">
        <w:trPr>
          <w:jc w:val="center"/>
        </w:trPr>
        <w:tc>
          <w:tcPr>
            <w:tcW w:w="1129" w:type="dxa"/>
          </w:tcPr>
          <w:p w14:paraId="23084A4A" w14:textId="77777777" w:rsidR="008C752B" w:rsidRDefault="00CE4761">
            <w:r>
              <w:rPr>
                <w:rFonts w:ascii="Arial" w:hAnsi="Arial"/>
                <w:sz w:val="18"/>
              </w:rPr>
              <w:t xml:space="preserve">Manufacturing </w:t>
            </w:r>
            <w:r>
              <w:rPr>
                <w:rFonts w:ascii="Arial" w:hAnsi="Arial"/>
                <w:sz w:val="18"/>
              </w:rPr>
              <w:lastRenderedPageBreak/>
              <w:t>- Steel</w:t>
            </w:r>
          </w:p>
        </w:tc>
        <w:tc>
          <w:tcPr>
            <w:tcW w:w="1129" w:type="dxa"/>
          </w:tcPr>
          <w:p w14:paraId="1016CE01" w14:textId="77777777" w:rsidR="008C752B" w:rsidRDefault="00CE4761">
            <w:pPr>
              <w:jc w:val="right"/>
            </w:pPr>
            <w:r>
              <w:rPr>
                <w:rFonts w:ascii="Arial" w:hAnsi="Arial"/>
                <w:sz w:val="18"/>
              </w:rPr>
              <w:lastRenderedPageBreak/>
              <w:t>108.620</w:t>
            </w:r>
          </w:p>
        </w:tc>
        <w:tc>
          <w:tcPr>
            <w:tcW w:w="1129" w:type="dxa"/>
          </w:tcPr>
          <w:p w14:paraId="55E9BD06" w14:textId="77777777" w:rsidR="008C752B" w:rsidRDefault="00CE4761">
            <w:pPr>
              <w:jc w:val="right"/>
            </w:pPr>
            <w:r>
              <w:rPr>
                <w:rFonts w:ascii="Arial" w:hAnsi="Arial"/>
                <w:sz w:val="18"/>
              </w:rPr>
              <w:t>7.05%</w:t>
            </w:r>
          </w:p>
        </w:tc>
        <w:tc>
          <w:tcPr>
            <w:tcW w:w="1129" w:type="dxa"/>
          </w:tcPr>
          <w:p w14:paraId="03058605" w14:textId="77777777" w:rsidR="008C752B" w:rsidRDefault="00CE4761">
            <w:pPr>
              <w:jc w:val="right"/>
            </w:pPr>
            <w:r>
              <w:rPr>
                <w:rFonts w:ascii="Arial" w:hAnsi="Arial"/>
                <w:sz w:val="18"/>
              </w:rPr>
              <w:t>3,499,463.0</w:t>
            </w:r>
          </w:p>
        </w:tc>
        <w:tc>
          <w:tcPr>
            <w:tcW w:w="1129" w:type="dxa"/>
          </w:tcPr>
          <w:p w14:paraId="05F32471" w14:textId="77777777" w:rsidR="008C752B" w:rsidRDefault="00CE4761">
            <w:pPr>
              <w:jc w:val="right"/>
            </w:pPr>
            <w:r>
              <w:rPr>
                <w:rFonts w:ascii="Arial" w:hAnsi="Arial"/>
                <w:sz w:val="18"/>
              </w:rPr>
              <w:t>2,228,739.65</w:t>
            </w:r>
          </w:p>
        </w:tc>
        <w:tc>
          <w:tcPr>
            <w:tcW w:w="1129" w:type="dxa"/>
          </w:tcPr>
          <w:p w14:paraId="5BC9C67D" w14:textId="77777777" w:rsidR="008C752B" w:rsidRDefault="00CE4761">
            <w:pPr>
              <w:jc w:val="right"/>
            </w:pPr>
            <w:r>
              <w:rPr>
                <w:rFonts w:ascii="Arial" w:hAnsi="Arial"/>
                <w:sz w:val="18"/>
              </w:rPr>
              <w:t>15.92%</w:t>
            </w:r>
          </w:p>
        </w:tc>
        <w:tc>
          <w:tcPr>
            <w:tcW w:w="1129" w:type="dxa"/>
          </w:tcPr>
          <w:p w14:paraId="66D08629" w14:textId="77777777" w:rsidR="008C752B" w:rsidRDefault="00CE4761">
            <w:pPr>
              <w:jc w:val="right"/>
            </w:pPr>
            <w:r>
              <w:rPr>
                <w:rFonts w:ascii="Arial" w:hAnsi="Arial"/>
                <w:sz w:val="18"/>
              </w:rPr>
              <w:t>32.2175</w:t>
            </w:r>
          </w:p>
        </w:tc>
        <w:tc>
          <w:tcPr>
            <w:tcW w:w="1129" w:type="dxa"/>
          </w:tcPr>
          <w:p w14:paraId="68B7BEDD" w14:textId="77777777" w:rsidR="008C752B" w:rsidRDefault="00CE4761">
            <w:pPr>
              <w:jc w:val="right"/>
            </w:pPr>
            <w:r>
              <w:rPr>
                <w:rFonts w:ascii="Arial" w:hAnsi="Arial"/>
                <w:sz w:val="18"/>
              </w:rPr>
              <w:t>3.35</w:t>
            </w:r>
          </w:p>
        </w:tc>
      </w:tr>
      <w:tr w:rsidR="008C752B" w14:paraId="713E28A8" w14:textId="77777777">
        <w:trPr>
          <w:jc w:val="center"/>
        </w:trPr>
        <w:tc>
          <w:tcPr>
            <w:tcW w:w="1129" w:type="dxa"/>
            <w:shd w:val="clear" w:color="auto" w:fill="F2F6FC"/>
          </w:tcPr>
          <w:p w14:paraId="73661205" w14:textId="77777777" w:rsidR="008C752B" w:rsidRDefault="00CE4761">
            <w:r>
              <w:rPr>
                <w:rFonts w:ascii="Arial" w:hAnsi="Arial"/>
                <w:sz w:val="18"/>
              </w:rPr>
              <w:t>Transportation - Road</w:t>
            </w:r>
          </w:p>
        </w:tc>
        <w:tc>
          <w:tcPr>
            <w:tcW w:w="1129" w:type="dxa"/>
            <w:shd w:val="clear" w:color="auto" w:fill="F2F6FC"/>
          </w:tcPr>
          <w:p w14:paraId="2DCE4C6B" w14:textId="77777777" w:rsidR="008C752B" w:rsidRDefault="00CE4761">
            <w:pPr>
              <w:jc w:val="right"/>
            </w:pPr>
            <w:r>
              <w:rPr>
                <w:rFonts w:ascii="Arial" w:hAnsi="Arial"/>
                <w:sz w:val="18"/>
              </w:rPr>
              <w:t>155.553</w:t>
            </w:r>
          </w:p>
        </w:tc>
        <w:tc>
          <w:tcPr>
            <w:tcW w:w="1129" w:type="dxa"/>
            <w:shd w:val="clear" w:color="auto" w:fill="F2F6FC"/>
          </w:tcPr>
          <w:p w14:paraId="5E566F6C" w14:textId="77777777" w:rsidR="008C752B" w:rsidRDefault="00CE4761">
            <w:pPr>
              <w:jc w:val="right"/>
            </w:pPr>
            <w:r>
              <w:rPr>
                <w:rFonts w:ascii="Arial" w:hAnsi="Arial"/>
                <w:sz w:val="18"/>
              </w:rPr>
              <w:t>10.09%</w:t>
            </w:r>
          </w:p>
        </w:tc>
        <w:tc>
          <w:tcPr>
            <w:tcW w:w="1129" w:type="dxa"/>
            <w:shd w:val="clear" w:color="auto" w:fill="F2F6FC"/>
          </w:tcPr>
          <w:p w14:paraId="34FD782C" w14:textId="77777777" w:rsidR="008C752B" w:rsidRDefault="00CE4761">
            <w:pPr>
              <w:jc w:val="right"/>
            </w:pPr>
            <w:r>
              <w:rPr>
                <w:rFonts w:ascii="Arial" w:hAnsi="Arial"/>
                <w:sz w:val="18"/>
              </w:rPr>
              <w:t>1,227,019.62</w:t>
            </w:r>
          </w:p>
        </w:tc>
        <w:tc>
          <w:tcPr>
            <w:tcW w:w="1129" w:type="dxa"/>
            <w:shd w:val="clear" w:color="auto" w:fill="F2F6FC"/>
          </w:tcPr>
          <w:p w14:paraId="7AF80613" w14:textId="77777777" w:rsidR="008C752B" w:rsidRDefault="00CE4761">
            <w:pPr>
              <w:jc w:val="right"/>
            </w:pPr>
            <w:r>
              <w:rPr>
                <w:rFonts w:ascii="Arial" w:hAnsi="Arial"/>
                <w:sz w:val="18"/>
              </w:rPr>
              <w:t>864,356.23</w:t>
            </w:r>
          </w:p>
        </w:tc>
        <w:tc>
          <w:tcPr>
            <w:tcW w:w="1129" w:type="dxa"/>
            <w:shd w:val="clear" w:color="auto" w:fill="F2F6FC"/>
          </w:tcPr>
          <w:p w14:paraId="180DFBCB" w14:textId="77777777" w:rsidR="008C752B" w:rsidRDefault="00CE4761">
            <w:pPr>
              <w:jc w:val="right"/>
            </w:pPr>
            <w:r>
              <w:rPr>
                <w:rFonts w:ascii="Arial" w:hAnsi="Arial"/>
                <w:sz w:val="18"/>
              </w:rPr>
              <w:t>5.58%</w:t>
            </w:r>
          </w:p>
        </w:tc>
        <w:tc>
          <w:tcPr>
            <w:tcW w:w="1129" w:type="dxa"/>
            <w:shd w:val="clear" w:color="auto" w:fill="F2F6FC"/>
          </w:tcPr>
          <w:p w14:paraId="6B815C02" w14:textId="77777777" w:rsidR="008C752B" w:rsidRDefault="00CE4761">
            <w:pPr>
              <w:jc w:val="right"/>
            </w:pPr>
            <w:r>
              <w:rPr>
                <w:rFonts w:ascii="Arial" w:hAnsi="Arial"/>
                <w:sz w:val="18"/>
              </w:rPr>
              <w:t>7.8881</w:t>
            </w:r>
          </w:p>
        </w:tc>
        <w:tc>
          <w:tcPr>
            <w:tcW w:w="1129" w:type="dxa"/>
            <w:shd w:val="clear" w:color="auto" w:fill="F2F6FC"/>
          </w:tcPr>
          <w:p w14:paraId="5CB39A95" w14:textId="77777777" w:rsidR="008C752B" w:rsidRDefault="00CE4761">
            <w:pPr>
              <w:jc w:val="right"/>
            </w:pPr>
            <w:r>
              <w:rPr>
                <w:rFonts w:ascii="Arial" w:hAnsi="Arial"/>
                <w:sz w:val="18"/>
              </w:rPr>
              <w:t>3.36</w:t>
            </w:r>
          </w:p>
        </w:tc>
      </w:tr>
      <w:tr w:rsidR="008C752B" w14:paraId="3EE3F1EB" w14:textId="77777777">
        <w:trPr>
          <w:jc w:val="center"/>
        </w:trPr>
        <w:tc>
          <w:tcPr>
            <w:tcW w:w="1129" w:type="dxa"/>
          </w:tcPr>
          <w:p w14:paraId="78AAAFC3" w14:textId="77777777" w:rsidR="008C752B" w:rsidRDefault="00CE4761">
            <w:r>
              <w:rPr>
                <w:rFonts w:ascii="Arial" w:hAnsi="Arial"/>
                <w:sz w:val="18"/>
              </w:rPr>
              <w:t>Manufacturing - Food &amp; Beverage</w:t>
            </w:r>
          </w:p>
        </w:tc>
        <w:tc>
          <w:tcPr>
            <w:tcW w:w="1129" w:type="dxa"/>
          </w:tcPr>
          <w:p w14:paraId="4725BA0F" w14:textId="77777777" w:rsidR="008C752B" w:rsidRDefault="00CE4761">
            <w:pPr>
              <w:jc w:val="right"/>
            </w:pPr>
            <w:r>
              <w:rPr>
                <w:rFonts w:ascii="Arial" w:hAnsi="Arial"/>
                <w:sz w:val="18"/>
              </w:rPr>
              <w:t>169.139</w:t>
            </w:r>
          </w:p>
        </w:tc>
        <w:tc>
          <w:tcPr>
            <w:tcW w:w="1129" w:type="dxa"/>
          </w:tcPr>
          <w:p w14:paraId="0D5FB2C9" w14:textId="77777777" w:rsidR="008C752B" w:rsidRDefault="00CE4761">
            <w:pPr>
              <w:jc w:val="right"/>
            </w:pPr>
            <w:r>
              <w:rPr>
                <w:rFonts w:ascii="Arial" w:hAnsi="Arial"/>
                <w:sz w:val="18"/>
              </w:rPr>
              <w:t>10.97%</w:t>
            </w:r>
          </w:p>
        </w:tc>
        <w:tc>
          <w:tcPr>
            <w:tcW w:w="1129" w:type="dxa"/>
          </w:tcPr>
          <w:p w14:paraId="2B5A7AA0" w14:textId="77777777" w:rsidR="008C752B" w:rsidRDefault="00CE4761">
            <w:pPr>
              <w:jc w:val="right"/>
            </w:pPr>
            <w:r>
              <w:rPr>
                <w:rFonts w:ascii="Arial" w:hAnsi="Arial"/>
                <w:sz w:val="18"/>
              </w:rPr>
              <w:t>936,111.21</w:t>
            </w:r>
          </w:p>
        </w:tc>
        <w:tc>
          <w:tcPr>
            <w:tcW w:w="1129" w:type="dxa"/>
          </w:tcPr>
          <w:p w14:paraId="491F090B" w14:textId="77777777" w:rsidR="008C752B" w:rsidRDefault="00CE4761">
            <w:pPr>
              <w:jc w:val="right"/>
            </w:pPr>
            <w:r>
              <w:rPr>
                <w:rFonts w:ascii="Arial" w:hAnsi="Arial"/>
                <w:sz w:val="18"/>
              </w:rPr>
              <w:t>653,413.56</w:t>
            </w:r>
          </w:p>
        </w:tc>
        <w:tc>
          <w:tcPr>
            <w:tcW w:w="1129" w:type="dxa"/>
          </w:tcPr>
          <w:p w14:paraId="46AAB852" w14:textId="77777777" w:rsidR="008C752B" w:rsidRDefault="00CE4761">
            <w:pPr>
              <w:jc w:val="right"/>
            </w:pPr>
            <w:r>
              <w:rPr>
                <w:rFonts w:ascii="Arial" w:hAnsi="Arial"/>
                <w:sz w:val="18"/>
              </w:rPr>
              <w:t>4.26%</w:t>
            </w:r>
          </w:p>
        </w:tc>
        <w:tc>
          <w:tcPr>
            <w:tcW w:w="1129" w:type="dxa"/>
          </w:tcPr>
          <w:p w14:paraId="1E6E0D04" w14:textId="77777777" w:rsidR="008C752B" w:rsidRDefault="00CE4761">
            <w:pPr>
              <w:jc w:val="right"/>
            </w:pPr>
            <w:r>
              <w:rPr>
                <w:rFonts w:ascii="Arial" w:hAnsi="Arial"/>
                <w:sz w:val="18"/>
              </w:rPr>
              <w:t>5.5346</w:t>
            </w:r>
          </w:p>
        </w:tc>
        <w:tc>
          <w:tcPr>
            <w:tcW w:w="1129" w:type="dxa"/>
          </w:tcPr>
          <w:p w14:paraId="7EF60327" w14:textId="77777777" w:rsidR="008C752B" w:rsidRDefault="00CE4761">
            <w:pPr>
              <w:jc w:val="right"/>
            </w:pPr>
            <w:r>
              <w:rPr>
                <w:rFonts w:ascii="Arial" w:hAnsi="Arial"/>
                <w:sz w:val="18"/>
              </w:rPr>
              <w:t>3.35</w:t>
            </w:r>
          </w:p>
        </w:tc>
      </w:tr>
    </w:tbl>
    <w:p w14:paraId="49C49CDC" w14:textId="77777777" w:rsidR="008C752B" w:rsidRDefault="00CE4761">
      <w:r>
        <w:rPr>
          <w:rFonts w:ascii="Arial" w:hAnsi="Arial"/>
          <w:i/>
          <w:sz w:val="16"/>
        </w:rPr>
        <w:t>Source: Source: Internal portfolio emissions calculation per PCAF Global GHG Accounting Standard. Emission intensity calculated as gross financed emissions divided by outstanding exposure.</w:t>
      </w:r>
    </w:p>
    <w:p w14:paraId="16C2919F" w14:textId="77777777" w:rsidR="008C752B" w:rsidRDefault="008C752B"/>
    <w:p w14:paraId="4159313E" w14:textId="77777777" w:rsidR="008C752B" w:rsidRDefault="00CE4761">
      <w:r>
        <w:rPr>
          <w:rFonts w:ascii="Arial" w:hAnsi="Arial"/>
          <w:b/>
          <w:sz w:val="20"/>
        </w:rPr>
        <w:t>Table 2: PCAF Data Quality Distribution</w:t>
      </w:r>
    </w:p>
    <w:tbl>
      <w:tblPr>
        <w:tblW w:w="0" w:type="auto"/>
        <w:jc w:val="center"/>
        <w:tblLook w:val="04A0" w:firstRow="1" w:lastRow="0" w:firstColumn="1" w:lastColumn="0" w:noHBand="0" w:noVBand="1"/>
      </w:tblPr>
      <w:tblGrid>
        <w:gridCol w:w="2257"/>
        <w:gridCol w:w="2257"/>
        <w:gridCol w:w="2257"/>
        <w:gridCol w:w="2257"/>
      </w:tblGrid>
      <w:tr w:rsidR="008C752B" w14:paraId="0DC9A939" w14:textId="77777777">
        <w:trPr>
          <w:jc w:val="center"/>
        </w:trPr>
        <w:tc>
          <w:tcPr>
            <w:tcW w:w="2257" w:type="dxa"/>
            <w:shd w:val="clear" w:color="auto" w:fill="1B3A6B"/>
          </w:tcPr>
          <w:p w14:paraId="15C2DF02" w14:textId="77777777" w:rsidR="008C752B" w:rsidRDefault="00CE4761">
            <w:r>
              <w:rPr>
                <w:rFonts w:ascii="Arial" w:hAnsi="Arial"/>
                <w:b/>
                <w:color w:val="FFFFFF"/>
                <w:sz w:val="18"/>
              </w:rPr>
              <w:t>PCAF Data Quality Score</w:t>
            </w:r>
          </w:p>
        </w:tc>
        <w:tc>
          <w:tcPr>
            <w:tcW w:w="2257" w:type="dxa"/>
            <w:shd w:val="clear" w:color="auto" w:fill="1B3A6B"/>
          </w:tcPr>
          <w:p w14:paraId="6FF20E24" w14:textId="77777777" w:rsidR="008C752B" w:rsidRDefault="00CE4761">
            <w:r>
              <w:rPr>
                <w:rFonts w:ascii="Arial" w:hAnsi="Arial"/>
                <w:b/>
                <w:color w:val="FFFFFF"/>
                <w:sz w:val="18"/>
              </w:rPr>
              <w:t>Description</w:t>
            </w:r>
          </w:p>
        </w:tc>
        <w:tc>
          <w:tcPr>
            <w:tcW w:w="2257" w:type="dxa"/>
            <w:shd w:val="clear" w:color="auto" w:fill="1B3A6B"/>
          </w:tcPr>
          <w:p w14:paraId="341560AF" w14:textId="77777777" w:rsidR="008C752B" w:rsidRDefault="00CE4761">
            <w:r>
              <w:rPr>
                <w:rFonts w:ascii="Arial" w:hAnsi="Arial"/>
                <w:b/>
                <w:color w:val="FFFFFF"/>
                <w:sz w:val="18"/>
              </w:rPr>
              <w:t>Confidence Factor</w:t>
            </w:r>
          </w:p>
        </w:tc>
        <w:tc>
          <w:tcPr>
            <w:tcW w:w="2257" w:type="dxa"/>
            <w:shd w:val="clear" w:color="auto" w:fill="1B3A6B"/>
          </w:tcPr>
          <w:p w14:paraId="332AD8BD" w14:textId="77777777" w:rsidR="008C752B" w:rsidRDefault="00CE4761">
            <w:r>
              <w:rPr>
                <w:rFonts w:ascii="Arial" w:hAnsi="Arial"/>
                <w:b/>
                <w:color w:val="FFFFFF"/>
                <w:sz w:val="18"/>
              </w:rPr>
              <w:t>Estimated % of Portfolio Exposure</w:t>
            </w:r>
          </w:p>
        </w:tc>
      </w:tr>
      <w:tr w:rsidR="008C752B" w14:paraId="5601B69C" w14:textId="77777777">
        <w:trPr>
          <w:jc w:val="center"/>
        </w:trPr>
        <w:tc>
          <w:tcPr>
            <w:tcW w:w="2257" w:type="dxa"/>
          </w:tcPr>
          <w:p w14:paraId="0C6DAC07" w14:textId="77777777" w:rsidR="008C752B" w:rsidRDefault="00CE4761">
            <w:pPr>
              <w:jc w:val="right"/>
            </w:pPr>
            <w:r>
              <w:rPr>
                <w:rFonts w:ascii="Arial" w:hAnsi="Arial"/>
                <w:sz w:val="18"/>
              </w:rPr>
              <w:t>1</w:t>
            </w:r>
          </w:p>
        </w:tc>
        <w:tc>
          <w:tcPr>
            <w:tcW w:w="2257" w:type="dxa"/>
          </w:tcPr>
          <w:p w14:paraId="666D447C" w14:textId="77777777" w:rsidR="008C752B" w:rsidRDefault="00CE4761">
            <w:r>
              <w:rPr>
                <w:rFonts w:ascii="Arial" w:hAnsi="Arial"/>
                <w:sz w:val="18"/>
              </w:rPr>
              <w:t>Verified emissions (CDP/equivalent)</w:t>
            </w:r>
          </w:p>
        </w:tc>
        <w:tc>
          <w:tcPr>
            <w:tcW w:w="2257" w:type="dxa"/>
          </w:tcPr>
          <w:p w14:paraId="08E92EE1" w14:textId="77777777" w:rsidR="008C752B" w:rsidRDefault="00CE4761">
            <w:pPr>
              <w:jc w:val="right"/>
            </w:pPr>
            <w:r>
              <w:rPr>
                <w:rFonts w:ascii="Arial" w:hAnsi="Arial"/>
                <w:sz w:val="18"/>
              </w:rPr>
              <w:t>1.00</w:t>
            </w:r>
          </w:p>
        </w:tc>
        <w:tc>
          <w:tcPr>
            <w:tcW w:w="2257" w:type="dxa"/>
          </w:tcPr>
          <w:p w14:paraId="74B81B71" w14:textId="77777777" w:rsidR="008C752B" w:rsidRDefault="00CE4761">
            <w:r>
              <w:rPr>
                <w:rFonts w:ascii="Arial" w:hAnsi="Arial"/>
                <w:sz w:val="18"/>
              </w:rPr>
              <w:t>~5%</w:t>
            </w:r>
          </w:p>
        </w:tc>
      </w:tr>
      <w:tr w:rsidR="008C752B" w14:paraId="43C3E1F7" w14:textId="77777777">
        <w:trPr>
          <w:jc w:val="center"/>
        </w:trPr>
        <w:tc>
          <w:tcPr>
            <w:tcW w:w="2257" w:type="dxa"/>
            <w:shd w:val="clear" w:color="auto" w:fill="F2F6FC"/>
          </w:tcPr>
          <w:p w14:paraId="1AC7628E" w14:textId="77777777" w:rsidR="008C752B" w:rsidRDefault="00CE4761">
            <w:pPr>
              <w:jc w:val="right"/>
            </w:pPr>
            <w:r>
              <w:rPr>
                <w:rFonts w:ascii="Arial" w:hAnsi="Arial"/>
                <w:sz w:val="18"/>
              </w:rPr>
              <w:t>2</w:t>
            </w:r>
          </w:p>
        </w:tc>
        <w:tc>
          <w:tcPr>
            <w:tcW w:w="2257" w:type="dxa"/>
            <w:shd w:val="clear" w:color="auto" w:fill="F2F6FC"/>
          </w:tcPr>
          <w:p w14:paraId="6E1C99EE" w14:textId="77777777" w:rsidR="008C752B" w:rsidRDefault="00CE4761">
            <w:r>
              <w:rPr>
                <w:rFonts w:ascii="Arial" w:hAnsi="Arial"/>
                <w:sz w:val="18"/>
              </w:rPr>
              <w:t>Reported, unverified emissions</w:t>
            </w:r>
          </w:p>
        </w:tc>
        <w:tc>
          <w:tcPr>
            <w:tcW w:w="2257" w:type="dxa"/>
            <w:shd w:val="clear" w:color="auto" w:fill="F2F6FC"/>
          </w:tcPr>
          <w:p w14:paraId="5A4A3014" w14:textId="77777777" w:rsidR="008C752B" w:rsidRDefault="00CE4761">
            <w:pPr>
              <w:jc w:val="right"/>
            </w:pPr>
            <w:r>
              <w:rPr>
                <w:rFonts w:ascii="Arial" w:hAnsi="Arial"/>
                <w:sz w:val="18"/>
              </w:rPr>
              <w:t>0.90</w:t>
            </w:r>
          </w:p>
        </w:tc>
        <w:tc>
          <w:tcPr>
            <w:tcW w:w="2257" w:type="dxa"/>
            <w:shd w:val="clear" w:color="auto" w:fill="F2F6FC"/>
          </w:tcPr>
          <w:p w14:paraId="6B234967" w14:textId="77777777" w:rsidR="008C752B" w:rsidRDefault="00CE4761">
            <w:r>
              <w:rPr>
                <w:rFonts w:ascii="Arial" w:hAnsi="Arial"/>
                <w:sz w:val="18"/>
              </w:rPr>
              <w:t>~7%</w:t>
            </w:r>
          </w:p>
        </w:tc>
      </w:tr>
      <w:tr w:rsidR="008C752B" w14:paraId="4646CB3D" w14:textId="77777777">
        <w:trPr>
          <w:jc w:val="center"/>
        </w:trPr>
        <w:tc>
          <w:tcPr>
            <w:tcW w:w="2257" w:type="dxa"/>
          </w:tcPr>
          <w:p w14:paraId="4CC089C9" w14:textId="77777777" w:rsidR="008C752B" w:rsidRDefault="00CE4761">
            <w:pPr>
              <w:jc w:val="right"/>
            </w:pPr>
            <w:r>
              <w:rPr>
                <w:rFonts w:ascii="Arial" w:hAnsi="Arial"/>
                <w:sz w:val="18"/>
              </w:rPr>
              <w:t>3</w:t>
            </w:r>
          </w:p>
        </w:tc>
        <w:tc>
          <w:tcPr>
            <w:tcW w:w="2257" w:type="dxa"/>
          </w:tcPr>
          <w:p w14:paraId="1172C1AF" w14:textId="77777777" w:rsidR="008C752B" w:rsidRDefault="00CE4761">
            <w:r>
              <w:rPr>
                <w:rFonts w:ascii="Arial" w:hAnsi="Arial"/>
                <w:sz w:val="18"/>
              </w:rPr>
              <w:t>EEIO model + revenue data</w:t>
            </w:r>
          </w:p>
        </w:tc>
        <w:tc>
          <w:tcPr>
            <w:tcW w:w="2257" w:type="dxa"/>
          </w:tcPr>
          <w:p w14:paraId="7A7D0BFF" w14:textId="77777777" w:rsidR="008C752B" w:rsidRDefault="00CE4761">
            <w:pPr>
              <w:jc w:val="right"/>
            </w:pPr>
            <w:r>
              <w:rPr>
                <w:rFonts w:ascii="Arial" w:hAnsi="Arial"/>
                <w:sz w:val="18"/>
              </w:rPr>
              <w:t>0.75</w:t>
            </w:r>
          </w:p>
        </w:tc>
        <w:tc>
          <w:tcPr>
            <w:tcW w:w="2257" w:type="dxa"/>
          </w:tcPr>
          <w:p w14:paraId="2A422309" w14:textId="77777777" w:rsidR="008C752B" w:rsidRDefault="00CE4761">
            <w:r>
              <w:rPr>
                <w:rFonts w:ascii="Arial" w:hAnsi="Arial"/>
                <w:sz w:val="18"/>
              </w:rPr>
              <w:t>~38%</w:t>
            </w:r>
          </w:p>
        </w:tc>
      </w:tr>
      <w:tr w:rsidR="008C752B" w14:paraId="37639379" w14:textId="77777777">
        <w:trPr>
          <w:jc w:val="center"/>
        </w:trPr>
        <w:tc>
          <w:tcPr>
            <w:tcW w:w="2257" w:type="dxa"/>
            <w:shd w:val="clear" w:color="auto" w:fill="F2F6FC"/>
          </w:tcPr>
          <w:p w14:paraId="24EFBB21" w14:textId="77777777" w:rsidR="008C752B" w:rsidRDefault="00CE4761">
            <w:pPr>
              <w:jc w:val="right"/>
            </w:pPr>
            <w:r>
              <w:rPr>
                <w:rFonts w:ascii="Arial" w:hAnsi="Arial"/>
                <w:sz w:val="18"/>
              </w:rPr>
              <w:t>4</w:t>
            </w:r>
          </w:p>
        </w:tc>
        <w:tc>
          <w:tcPr>
            <w:tcW w:w="2257" w:type="dxa"/>
            <w:shd w:val="clear" w:color="auto" w:fill="F2F6FC"/>
          </w:tcPr>
          <w:p w14:paraId="1BEA9DE8" w14:textId="77777777" w:rsidR="008C752B" w:rsidRDefault="00CE4761">
            <w:r>
              <w:rPr>
                <w:rFonts w:ascii="Arial" w:hAnsi="Arial"/>
                <w:sz w:val="18"/>
              </w:rPr>
              <w:t>EEIO model + asset data</w:t>
            </w:r>
          </w:p>
        </w:tc>
        <w:tc>
          <w:tcPr>
            <w:tcW w:w="2257" w:type="dxa"/>
            <w:shd w:val="clear" w:color="auto" w:fill="F2F6FC"/>
          </w:tcPr>
          <w:p w14:paraId="12B89A9C" w14:textId="77777777" w:rsidR="008C752B" w:rsidRDefault="00CE4761">
            <w:pPr>
              <w:jc w:val="right"/>
            </w:pPr>
            <w:r>
              <w:rPr>
                <w:rFonts w:ascii="Arial" w:hAnsi="Arial"/>
                <w:sz w:val="18"/>
              </w:rPr>
              <w:t>0.60</w:t>
            </w:r>
          </w:p>
        </w:tc>
        <w:tc>
          <w:tcPr>
            <w:tcW w:w="2257" w:type="dxa"/>
            <w:shd w:val="clear" w:color="auto" w:fill="F2F6FC"/>
          </w:tcPr>
          <w:p w14:paraId="4F101788" w14:textId="77777777" w:rsidR="008C752B" w:rsidRDefault="00CE4761">
            <w:r>
              <w:rPr>
                <w:rFonts w:ascii="Arial" w:hAnsi="Arial"/>
                <w:sz w:val="18"/>
              </w:rPr>
              <w:t>~35%</w:t>
            </w:r>
          </w:p>
        </w:tc>
      </w:tr>
      <w:tr w:rsidR="008C752B" w14:paraId="71611E16" w14:textId="77777777">
        <w:trPr>
          <w:jc w:val="center"/>
        </w:trPr>
        <w:tc>
          <w:tcPr>
            <w:tcW w:w="2257" w:type="dxa"/>
          </w:tcPr>
          <w:p w14:paraId="021D6559" w14:textId="77777777" w:rsidR="008C752B" w:rsidRDefault="00CE4761">
            <w:pPr>
              <w:jc w:val="right"/>
            </w:pPr>
            <w:r>
              <w:rPr>
                <w:rFonts w:ascii="Arial" w:hAnsi="Arial"/>
                <w:sz w:val="18"/>
              </w:rPr>
              <w:t>5</w:t>
            </w:r>
          </w:p>
        </w:tc>
        <w:tc>
          <w:tcPr>
            <w:tcW w:w="2257" w:type="dxa"/>
          </w:tcPr>
          <w:p w14:paraId="3CC5B962" w14:textId="77777777" w:rsidR="008C752B" w:rsidRDefault="00CE4761">
            <w:r>
              <w:rPr>
                <w:rFonts w:ascii="Arial" w:hAnsi="Arial"/>
                <w:sz w:val="18"/>
              </w:rPr>
              <w:t>Sector-average proxy</w:t>
            </w:r>
          </w:p>
        </w:tc>
        <w:tc>
          <w:tcPr>
            <w:tcW w:w="2257" w:type="dxa"/>
          </w:tcPr>
          <w:p w14:paraId="0865CB56" w14:textId="77777777" w:rsidR="008C752B" w:rsidRDefault="00CE4761">
            <w:pPr>
              <w:jc w:val="right"/>
            </w:pPr>
            <w:r>
              <w:rPr>
                <w:rFonts w:ascii="Arial" w:hAnsi="Arial"/>
                <w:sz w:val="18"/>
              </w:rPr>
              <w:t>0.45</w:t>
            </w:r>
          </w:p>
        </w:tc>
        <w:tc>
          <w:tcPr>
            <w:tcW w:w="2257" w:type="dxa"/>
          </w:tcPr>
          <w:p w14:paraId="4436477B" w14:textId="77777777" w:rsidR="008C752B" w:rsidRDefault="00CE4761">
            <w:r>
              <w:rPr>
                <w:rFonts w:ascii="Arial" w:hAnsi="Arial"/>
                <w:sz w:val="18"/>
              </w:rPr>
              <w:t>~15%</w:t>
            </w:r>
          </w:p>
        </w:tc>
      </w:tr>
    </w:tbl>
    <w:p w14:paraId="35CC1B1E" w14:textId="77777777" w:rsidR="008C752B" w:rsidRDefault="00CE4761">
      <w:r>
        <w:rPr>
          <w:rFonts w:ascii="Arial" w:hAnsi="Arial"/>
          <w:i/>
          <w:sz w:val="16"/>
        </w:rPr>
        <w:t>Source: Source: PCAF Global GHG Accounting Standard. Portfolio-weighted average score: 3.36. Distribution percentages are estimates based on aggregate data quality metrics.</w:t>
      </w:r>
    </w:p>
    <w:p w14:paraId="723921BE" w14:textId="77777777" w:rsidR="008C752B" w:rsidRDefault="008C752B"/>
    <w:p w14:paraId="14D059AE" w14:textId="77777777" w:rsidR="008C752B" w:rsidRDefault="00CE4761">
      <w:r>
        <w:rPr>
          <w:i/>
          <w:color w:val="3D6094"/>
          <w:sz w:val="18"/>
        </w:rPr>
        <w:t>Framework references: GRI 305-3: Other indirect (Scope 3) GHG emissions; GRI 305-3-a: Gross other indirect (Scope 3) GHG emissions in metric tons of CO2 equivalent; GRI 305-3-b: If available, the gases included in the calculation; GRI 305-3-c: Biogenic CO2 emissions in metric tons of CO2 equivalent (not material for financial services); GRI 305-3-d: Other indirect (Scope 3) GHG emissions categories and activities included in the calculation; GRI 305-3-e: Source of the emission factors and the global warming</w:t>
      </w:r>
      <w:r>
        <w:rPr>
          <w:i/>
          <w:color w:val="3D6094"/>
          <w:sz w:val="18"/>
        </w:rPr>
        <w:t xml:space="preserve"> potential (GWP) rates used, or a reference to the GWP source; GRI 305-3-f: Standards, methodologies, assumptions, and/or calculation tools used</w:t>
      </w:r>
    </w:p>
    <w:p w14:paraId="180D322B" w14:textId="77777777" w:rsidR="008C752B" w:rsidRDefault="008C752B">
      <w:pPr>
        <w:pBdr>
          <w:bottom w:val="single" w:sz="6" w:space="1" w:color="999999"/>
        </w:pBdr>
        <w:spacing w:after="80"/>
      </w:pPr>
    </w:p>
    <w:p w14:paraId="4D4A59D0" w14:textId="77777777" w:rsidR="008C752B" w:rsidRDefault="00CE4761">
      <w:pPr>
        <w:spacing w:after="160"/>
        <w:jc w:val="both"/>
      </w:pPr>
      <w:r>
        <w:rPr>
          <w:rFonts w:ascii="Arial" w:hAnsi="Arial"/>
          <w:i/>
          <w:color w:val="646464"/>
          <w:sz w:val="18"/>
        </w:rPr>
        <w:t>These figures have not been subject to external assurance for the current reporting period.</w:t>
      </w:r>
    </w:p>
    <w:p w14:paraId="38645143" w14:textId="77777777" w:rsidR="008C752B" w:rsidRDefault="00CE4761">
      <w:pPr>
        <w:spacing w:after="160"/>
        <w:jc w:val="both"/>
      </w:pPr>
      <w:r>
        <w:rPr>
          <w:rFonts w:ascii="Arial" w:hAnsi="Arial"/>
          <w:i/>
          <w:color w:val="646464"/>
          <w:sz w:val="18"/>
        </w:rPr>
        <w:t>Gross financed emissions represent the nominal sum of attributed emissions without data quality adjustment. Confidence-weighted financed emissions apply PCAF-prescribed confidence factors (1.00 for Tier 1 to 0.45 for Tier 5) to reflect estimation uncertainty. The 30.5% reduction from gross to weighted reflects the portfolio-weighted average PCAF Data Quality Score of 3.36.</w:t>
      </w:r>
    </w:p>
    <w:p w14:paraId="7B8E42DD" w14:textId="77777777" w:rsidR="008C752B" w:rsidRDefault="00CE4761">
      <w:pPr>
        <w:spacing w:after="160"/>
        <w:jc w:val="both"/>
      </w:pPr>
      <w:r>
        <w:rPr>
          <w:rFonts w:ascii="Arial" w:hAnsi="Arial"/>
          <w:i/>
          <w:color w:val="646464"/>
          <w:sz w:val="18"/>
        </w:rPr>
        <w:t>Year-over-year comparison uses consistent methodology and portfolio boundary. Prior year figures have not been restated.</w:t>
      </w:r>
    </w:p>
    <w:p w14:paraId="1BA81C16" w14:textId="77777777" w:rsidR="008C752B" w:rsidRDefault="00CE4761">
      <w:pPr>
        <w:spacing w:after="160"/>
        <w:jc w:val="both"/>
      </w:pPr>
      <w:r>
        <w:rPr>
          <w:rFonts w:ascii="Arial" w:hAnsi="Arial"/>
          <w:i/>
          <w:color w:val="646464"/>
          <w:sz w:val="18"/>
        </w:rPr>
        <w:t>Emission intensity calculated as gross financed emissions divided by outstanding loan exposure for each sector.</w:t>
      </w:r>
    </w:p>
    <w:p w14:paraId="1B4A3EF4" w14:textId="77777777" w:rsidR="008C752B" w:rsidRDefault="00CE4761">
      <w:pPr>
        <w:spacing w:after="160"/>
        <w:jc w:val="both"/>
      </w:pPr>
      <w:r>
        <w:rPr>
          <w:rFonts w:ascii="Arial" w:hAnsi="Arial"/>
          <w:i/>
          <w:color w:val="646464"/>
          <w:sz w:val="18"/>
        </w:rPr>
        <w:t>Portfolio coverage of 100% achieved for Scope 3 Category 15 calculation, meeting PCAF signatory reporting requirements.</w:t>
      </w:r>
    </w:p>
    <w:p w14:paraId="0A5DCAA5" w14:textId="77777777" w:rsidR="008C752B" w:rsidRDefault="00CE4761">
      <w:r>
        <w:br w:type="page"/>
      </w:r>
    </w:p>
    <w:p w14:paraId="4B33D1AA" w14:textId="77777777" w:rsidR="008C752B" w:rsidRDefault="00CE4761">
      <w:pPr>
        <w:pStyle w:val="Heading1"/>
        <w:spacing w:after="240"/>
      </w:pPr>
      <w:bookmarkStart w:id="10" w:name="_Toc231550615"/>
      <w:r>
        <w:rPr>
          <w:rFonts w:ascii="Arial" w:hAnsi="Arial"/>
          <w:color w:val="1B3A6B"/>
          <w:sz w:val="36"/>
        </w:rPr>
        <w:lastRenderedPageBreak/>
        <w:t>Emisi Pembiayaan (Financed Emissions) — Scope 3 Kategori 15</w:t>
      </w:r>
      <w:bookmarkEnd w:id="10"/>
    </w:p>
    <w:p w14:paraId="1DFF49AA" w14:textId="77777777" w:rsidR="008C752B" w:rsidRDefault="00CE4761">
      <w:pPr>
        <w:spacing w:after="160"/>
        <w:jc w:val="both"/>
      </w:pPr>
      <w:r>
        <w:rPr>
          <w:rFonts w:ascii="Arial" w:hAnsi="Arial"/>
        </w:rPr>
        <w:t>The institution's gross financed emissions for Reporting Year 2024 totaled 21,976,797.3 tCO2e, representing the absolute greenhouse gas emissions attributable to the institution's lending and investment portfolio under the Partnership for Carbon Accounting Financials (PCAF) Global GHG Accounting Standard. This figure encompasses emissions from 1,955 borrowers across 10 economic sectors, with total outstanding exposure of IDR 1,541.181.902.000.000. The calculation follows PCAF methodology for corporate loans</w:t>
      </w:r>
      <w:r>
        <w:rPr>
          <w:rFonts w:ascii="Arial" w:hAnsi="Arial"/>
        </w:rPr>
        <w:t xml:space="preserve"> and project finance, applying attribution factors based on the institution's proportional share of each borrower's total enterprise value plus debt.</w:t>
      </w:r>
    </w:p>
    <w:p w14:paraId="65B9CF9A" w14:textId="77777777" w:rsidR="008C752B" w:rsidRDefault="00CE4761">
      <w:pPr>
        <w:spacing w:after="160"/>
        <w:jc w:val="both"/>
      </w:pPr>
      <w:r>
        <w:rPr>
          <w:rFonts w:ascii="Arial" w:hAnsi="Arial"/>
          <w:i/>
        </w:rPr>
        <w:t>The PCAF attribution methodology calculates financed emissions using the formula: Financed Emissions = Outstanding Amount ÷ (Total Equity + Total Debt) × Borrower Emissions. For Reporting Year 2024, the institution applied this approach to corporate loans (NACE sectors A through S) and project finance facilities. Borrower emissions were sourced from verified disclosures (PCAF Data Quality Score 1-2) for 34.2% of the portfolio, with the remainder estimated using economic input-output models calibrated to Ind</w:t>
      </w:r>
      <w:r>
        <w:rPr>
          <w:rFonts w:ascii="Arial" w:hAnsi="Arial"/>
          <w:i/>
        </w:rPr>
        <w:t>onesian sectoral emission factors published by the Ministry of Environment and Forestry (KLHK). Asset classes covered include corporate loans, project finance, and commercial real estate mortgages. Residential mortgages, consumer loans, and sovereign debt are excluded from this calculation pending PCAF methodology finalization for these asset classes.</w:t>
      </w:r>
    </w:p>
    <w:p w14:paraId="245E46C6" w14:textId="77777777" w:rsidR="008C752B" w:rsidRDefault="00CE4761">
      <w:pPr>
        <w:spacing w:after="160"/>
        <w:jc w:val="both"/>
      </w:pPr>
      <w:r>
        <w:rPr>
          <w:rFonts w:ascii="Arial" w:hAnsi="Arial"/>
        </w:rPr>
        <w:t xml:space="preserve">Confidence-weighted financed emissions for Reporting Year 2024 totaled 15,280,174.14 tCO2e, representing a 30.5% reduction from the gross figure. This adjustment applies PCAF confidence factors ranging from 0.45 (sector-average proxy) to 1.00 (verified data) to account for data quality uncertainty. The weighted figure provides a more conservative estimate of the institution's true financed emissions footprint, reflecting the reliability of underlying borrower emission data. The 6.7 million tCO2e difference </w:t>
      </w:r>
      <w:r>
        <w:rPr>
          <w:rFonts w:ascii="Arial" w:hAnsi="Arial"/>
        </w:rPr>
        <w:t>between gross and weighted totals indicates significant reliance on estimated data, particularly in the Energy - Oil &amp; Gas and Manufacturing - Cement sectors where borrower-level disclosures remain limited in the Indonesian market.</w:t>
      </w:r>
    </w:p>
    <w:p w14:paraId="4FCDEF1F" w14:textId="77777777" w:rsidR="008C752B" w:rsidRDefault="00CE4761">
      <w:pPr>
        <w:spacing w:after="160"/>
        <w:jc w:val="both"/>
      </w:pPr>
      <w:r>
        <w:rPr>
          <w:rFonts w:ascii="Arial" w:hAnsi="Arial"/>
        </w:rPr>
        <w:t>Portfolio-weighted data quality for Reporting Year 2024 averaged 3.36 on the PCAF 1-5 scale, indicating predominant use of economic input-output models with revenue-based allocation (PCAF Tier 3). High-quality data (PCAF Score 1-2, representing verified or reported borrower disclosures) covered 34.2% of financed emissions by value. The Financial Services sector achieved the highest data quality (Score 3.21), benefiting from mandatory climate disclosures under POJK No. 51/POJK.03/2017 tentang Penerapan Keuan</w:t>
      </w:r>
      <w:r>
        <w:rPr>
          <w:rFonts w:ascii="Arial" w:hAnsi="Arial"/>
        </w:rPr>
        <w:t>gan Berkelanjutan bagi Lembaga Jasa Keuangan, Emiten, dan Perusahaan Publik (POJK 51/2017). Conversely, the Agriculture sector recorded the lowest quality (Score 3.41) due to limited emission reporting infrastructure among smallholder cooperatives and family-owned agribusinesses.</w:t>
      </w:r>
    </w:p>
    <w:p w14:paraId="2A5B6642" w14:textId="77777777" w:rsidR="008C752B" w:rsidRDefault="00CE4761">
      <w:pPr>
        <w:spacing w:after="160"/>
        <w:jc w:val="both"/>
      </w:pPr>
      <w:r>
        <w:rPr>
          <w:rFonts w:ascii="Arial" w:hAnsi="Arial"/>
          <w:i/>
          <w:color w:val="555555"/>
        </w:rPr>
        <w:t xml:space="preserve">The institution has initiated a three-year data quality improvement roadmap targeting portfolio-weighted PCAF Score ≤ 3.0 by 2027. Key initiatives include: (1) mandatory borrower emission disclosure clauses in loan agreements for facilities exceeding IDR 50 billion, effective January 2025; (2) capacity-building workshops for 500+ corporate borrowers </w:t>
      </w:r>
      <w:r>
        <w:rPr>
          <w:rFonts w:ascii="Arial" w:hAnsi="Arial"/>
          <w:i/>
          <w:color w:val="555555"/>
        </w:rPr>
        <w:lastRenderedPageBreak/>
        <w:t>on GHG Protocol Corporate Standard implementation; (3) partnership with Indonesia Climate Change Trust Fund (ICCTF) to subsidize third-party verification costs for MSME borrowers; and (4) integration of CDP Supply Chain questionnaires into annual credit review processes for investment-grade counterparties. These measures align with OJK expectations for KBMI 3 banks to achieve &gt;70% high-quality data coverage by 2028 under the enhanced PSPK framework.</w:t>
      </w:r>
    </w:p>
    <w:p w14:paraId="0F6EBE55" w14:textId="77777777" w:rsidR="008C752B" w:rsidRDefault="00CE4761">
      <w:pPr>
        <w:spacing w:after="160"/>
        <w:jc w:val="both"/>
      </w:pPr>
      <w:r>
        <w:rPr>
          <w:rFonts w:ascii="Arial" w:hAnsi="Arial"/>
        </w:rPr>
        <w:t>Year-over-year comparison is not available for Reporting Year 2024 as this represents the institution's first full reporting cycle under PCAF methodology. Prior Year 2023 figures were calculated using a legacy approach not compliant with PCAF Global GHG Accounting Standard and are therefore not directly comparable. Baseline establishment for trend analysis will commence with Reporting Year 2024 data, with subsequent annual disclosures enabling assessment of portfolio decarbonization progress against Indones</w:t>
      </w:r>
      <w:r>
        <w:rPr>
          <w:rFonts w:ascii="Arial" w:hAnsi="Arial"/>
        </w:rPr>
        <w:t>ia's Enhanced Nationally Determined Contribution (NDC) target of 31.89% unconditional emission reduction by 2030 and Net Zero by 2060 commitment under the Long-Term Strategy for Low Carbon and Climate Resilience 2050 (LTS-LCCR 2050).</w:t>
      </w:r>
    </w:p>
    <w:p w14:paraId="268879E1" w14:textId="77777777" w:rsidR="008C752B" w:rsidRDefault="00CE4761">
      <w:r>
        <w:rPr>
          <w:rFonts w:ascii="Arial" w:hAnsi="Arial"/>
          <w:b/>
          <w:sz w:val="20"/>
        </w:rPr>
        <w:t>Tabel 1: Emisi Pembiayaan per Sektor Ekonomi (NACE Classification) — Tahun Pelaporan 2024</w:t>
      </w:r>
    </w:p>
    <w:tbl>
      <w:tblPr>
        <w:tblW w:w="0" w:type="auto"/>
        <w:jc w:val="center"/>
        <w:tblLook w:val="04A0" w:firstRow="1" w:lastRow="0" w:firstColumn="1" w:lastColumn="0" w:noHBand="0" w:noVBand="1"/>
      </w:tblPr>
      <w:tblGrid>
        <w:gridCol w:w="490"/>
        <w:gridCol w:w="1314"/>
        <w:gridCol w:w="907"/>
        <w:gridCol w:w="1523"/>
        <w:gridCol w:w="1475"/>
        <w:gridCol w:w="1570"/>
        <w:gridCol w:w="1153"/>
        <w:gridCol w:w="813"/>
      </w:tblGrid>
      <w:tr w:rsidR="008C752B" w14:paraId="3789B174" w14:textId="77777777">
        <w:trPr>
          <w:jc w:val="center"/>
        </w:trPr>
        <w:tc>
          <w:tcPr>
            <w:tcW w:w="1129" w:type="dxa"/>
            <w:shd w:val="clear" w:color="auto" w:fill="1B3A6B"/>
          </w:tcPr>
          <w:p w14:paraId="5CB86CA7" w14:textId="77777777" w:rsidR="008C752B" w:rsidRDefault="00CE4761">
            <w:r>
              <w:rPr>
                <w:rFonts w:ascii="Arial" w:hAnsi="Arial"/>
                <w:b/>
                <w:color w:val="FFFFFF"/>
                <w:sz w:val="18"/>
              </w:rPr>
              <w:t>No.</w:t>
            </w:r>
          </w:p>
        </w:tc>
        <w:tc>
          <w:tcPr>
            <w:tcW w:w="1129" w:type="dxa"/>
            <w:shd w:val="clear" w:color="auto" w:fill="1B3A6B"/>
          </w:tcPr>
          <w:p w14:paraId="2A2D1A30" w14:textId="77777777" w:rsidR="008C752B" w:rsidRDefault="00CE4761">
            <w:r>
              <w:rPr>
                <w:rFonts w:ascii="Arial" w:hAnsi="Arial"/>
                <w:b/>
                <w:color w:val="FFFFFF"/>
                <w:sz w:val="18"/>
              </w:rPr>
              <w:t>Sektor</w:t>
            </w:r>
          </w:p>
        </w:tc>
        <w:tc>
          <w:tcPr>
            <w:tcW w:w="1129" w:type="dxa"/>
            <w:shd w:val="clear" w:color="auto" w:fill="1B3A6B"/>
          </w:tcPr>
          <w:p w14:paraId="1F525CE9" w14:textId="77777777" w:rsidR="008C752B" w:rsidRDefault="00CE4761">
            <w:r>
              <w:rPr>
                <w:rFonts w:ascii="Arial" w:hAnsi="Arial"/>
                <w:b/>
                <w:color w:val="FFFFFF"/>
                <w:sz w:val="18"/>
              </w:rPr>
              <w:t>Jumlah Debitur</w:t>
            </w:r>
          </w:p>
        </w:tc>
        <w:tc>
          <w:tcPr>
            <w:tcW w:w="1129" w:type="dxa"/>
            <w:shd w:val="clear" w:color="auto" w:fill="1B3A6B"/>
          </w:tcPr>
          <w:p w14:paraId="35C31656" w14:textId="77777777" w:rsidR="008C752B" w:rsidRDefault="00CE4761">
            <w:r>
              <w:rPr>
                <w:rFonts w:ascii="Arial" w:hAnsi="Arial"/>
                <w:b/>
                <w:color w:val="FFFFFF"/>
                <w:sz w:val="18"/>
              </w:rPr>
              <w:t>Outstanding (IDR Triliun)</w:t>
            </w:r>
          </w:p>
        </w:tc>
        <w:tc>
          <w:tcPr>
            <w:tcW w:w="1129" w:type="dxa"/>
            <w:shd w:val="clear" w:color="auto" w:fill="1B3A6B"/>
          </w:tcPr>
          <w:p w14:paraId="183CA3DB" w14:textId="77777777" w:rsidR="008C752B" w:rsidRDefault="00CE4761">
            <w:r>
              <w:rPr>
                <w:rFonts w:ascii="Arial" w:hAnsi="Arial"/>
                <w:b/>
                <w:color w:val="FFFFFF"/>
                <w:sz w:val="18"/>
              </w:rPr>
              <w:t>Emisi Gross (tCO2e)</w:t>
            </w:r>
          </w:p>
        </w:tc>
        <w:tc>
          <w:tcPr>
            <w:tcW w:w="1129" w:type="dxa"/>
            <w:shd w:val="clear" w:color="auto" w:fill="1B3A6B"/>
          </w:tcPr>
          <w:p w14:paraId="6966CE64" w14:textId="77777777" w:rsidR="008C752B" w:rsidRDefault="00CE4761">
            <w:r>
              <w:rPr>
                <w:rFonts w:ascii="Arial" w:hAnsi="Arial"/>
                <w:b/>
                <w:color w:val="FFFFFF"/>
                <w:sz w:val="18"/>
              </w:rPr>
              <w:t>Emisi Weighted (tCO2e)</w:t>
            </w:r>
          </w:p>
        </w:tc>
        <w:tc>
          <w:tcPr>
            <w:tcW w:w="1129" w:type="dxa"/>
            <w:shd w:val="clear" w:color="auto" w:fill="1B3A6B"/>
          </w:tcPr>
          <w:p w14:paraId="2808B742" w14:textId="77777777" w:rsidR="008C752B" w:rsidRDefault="00CE4761">
            <w:r>
              <w:rPr>
                <w:rFonts w:ascii="Arial" w:hAnsi="Arial"/>
                <w:b/>
                <w:color w:val="FFFFFF"/>
                <w:sz w:val="18"/>
              </w:rPr>
              <w:t>% dari Total Emisi</w:t>
            </w:r>
          </w:p>
        </w:tc>
        <w:tc>
          <w:tcPr>
            <w:tcW w:w="1129" w:type="dxa"/>
            <w:shd w:val="clear" w:color="auto" w:fill="1B3A6B"/>
          </w:tcPr>
          <w:p w14:paraId="716B2C26" w14:textId="77777777" w:rsidR="008C752B" w:rsidRDefault="00CE4761">
            <w:r>
              <w:rPr>
                <w:rFonts w:ascii="Arial" w:hAnsi="Arial"/>
                <w:b/>
                <w:color w:val="FFFFFF"/>
                <w:sz w:val="18"/>
              </w:rPr>
              <w:t>Skor PCAF</w:t>
            </w:r>
          </w:p>
        </w:tc>
      </w:tr>
      <w:tr w:rsidR="008C752B" w14:paraId="418C1BC1" w14:textId="77777777">
        <w:trPr>
          <w:jc w:val="center"/>
        </w:trPr>
        <w:tc>
          <w:tcPr>
            <w:tcW w:w="1129" w:type="dxa"/>
          </w:tcPr>
          <w:p w14:paraId="38698E86" w14:textId="77777777" w:rsidR="008C752B" w:rsidRDefault="00CE4761">
            <w:pPr>
              <w:jc w:val="right"/>
            </w:pPr>
            <w:r>
              <w:rPr>
                <w:rFonts w:ascii="Arial" w:hAnsi="Arial"/>
                <w:sz w:val="18"/>
              </w:rPr>
              <w:t>1</w:t>
            </w:r>
          </w:p>
        </w:tc>
        <w:tc>
          <w:tcPr>
            <w:tcW w:w="1129" w:type="dxa"/>
          </w:tcPr>
          <w:p w14:paraId="448D8D49" w14:textId="77777777" w:rsidR="008C752B" w:rsidRDefault="00CE4761">
            <w:r>
              <w:rPr>
                <w:rFonts w:ascii="Arial" w:hAnsi="Arial"/>
                <w:sz w:val="18"/>
              </w:rPr>
              <w:t>Energy - Oil &amp; Gas</w:t>
            </w:r>
          </w:p>
        </w:tc>
        <w:tc>
          <w:tcPr>
            <w:tcW w:w="1129" w:type="dxa"/>
          </w:tcPr>
          <w:p w14:paraId="057204DC" w14:textId="77777777" w:rsidR="008C752B" w:rsidRDefault="00CE4761">
            <w:pPr>
              <w:jc w:val="right"/>
            </w:pPr>
            <w:r>
              <w:rPr>
                <w:rFonts w:ascii="Arial" w:hAnsi="Arial"/>
                <w:sz w:val="18"/>
              </w:rPr>
              <w:t>135</w:t>
            </w:r>
          </w:p>
        </w:tc>
        <w:tc>
          <w:tcPr>
            <w:tcW w:w="1129" w:type="dxa"/>
          </w:tcPr>
          <w:p w14:paraId="02312F83" w14:textId="77777777" w:rsidR="008C752B" w:rsidRDefault="00CE4761">
            <w:pPr>
              <w:jc w:val="right"/>
            </w:pPr>
            <w:r>
              <w:rPr>
                <w:rFonts w:ascii="Arial" w:hAnsi="Arial"/>
                <w:sz w:val="18"/>
              </w:rPr>
              <w:t>102.669871</w:t>
            </w:r>
          </w:p>
        </w:tc>
        <w:tc>
          <w:tcPr>
            <w:tcW w:w="1129" w:type="dxa"/>
          </w:tcPr>
          <w:p w14:paraId="33F861EC" w14:textId="77777777" w:rsidR="008C752B" w:rsidRDefault="00CE4761">
            <w:pPr>
              <w:jc w:val="right"/>
            </w:pPr>
            <w:r>
              <w:rPr>
                <w:rFonts w:ascii="Arial" w:hAnsi="Arial"/>
                <w:sz w:val="18"/>
              </w:rPr>
              <w:t>9,573,144.27</w:t>
            </w:r>
          </w:p>
        </w:tc>
        <w:tc>
          <w:tcPr>
            <w:tcW w:w="1129" w:type="dxa"/>
          </w:tcPr>
          <w:p w14:paraId="5AD17074" w14:textId="77777777" w:rsidR="008C752B" w:rsidRDefault="00CE4761">
            <w:pPr>
              <w:jc w:val="right"/>
            </w:pPr>
            <w:r>
              <w:rPr>
                <w:rFonts w:ascii="Arial" w:hAnsi="Arial"/>
                <w:sz w:val="18"/>
              </w:rPr>
              <w:t>6,753,948.71</w:t>
            </w:r>
          </w:p>
        </w:tc>
        <w:tc>
          <w:tcPr>
            <w:tcW w:w="1129" w:type="dxa"/>
          </w:tcPr>
          <w:p w14:paraId="2FD3FB31" w14:textId="77777777" w:rsidR="008C752B" w:rsidRDefault="00CE4761">
            <w:pPr>
              <w:jc w:val="right"/>
            </w:pPr>
            <w:r>
              <w:rPr>
                <w:rFonts w:ascii="Arial" w:hAnsi="Arial"/>
                <w:sz w:val="18"/>
              </w:rPr>
              <w:t>43.56%</w:t>
            </w:r>
          </w:p>
        </w:tc>
        <w:tc>
          <w:tcPr>
            <w:tcW w:w="1129" w:type="dxa"/>
          </w:tcPr>
          <w:p w14:paraId="72585399" w14:textId="77777777" w:rsidR="008C752B" w:rsidRDefault="00CE4761">
            <w:pPr>
              <w:jc w:val="right"/>
            </w:pPr>
            <w:r>
              <w:rPr>
                <w:rFonts w:ascii="Arial" w:hAnsi="Arial"/>
                <w:sz w:val="18"/>
              </w:rPr>
              <w:t>3.32</w:t>
            </w:r>
          </w:p>
        </w:tc>
      </w:tr>
      <w:tr w:rsidR="008C752B" w14:paraId="1F181B09" w14:textId="77777777">
        <w:trPr>
          <w:jc w:val="center"/>
        </w:trPr>
        <w:tc>
          <w:tcPr>
            <w:tcW w:w="1129" w:type="dxa"/>
            <w:shd w:val="clear" w:color="auto" w:fill="F2F6FC"/>
          </w:tcPr>
          <w:p w14:paraId="371188AA" w14:textId="77777777" w:rsidR="008C752B" w:rsidRDefault="00CE4761">
            <w:pPr>
              <w:jc w:val="right"/>
            </w:pPr>
            <w:r>
              <w:rPr>
                <w:rFonts w:ascii="Arial" w:hAnsi="Arial"/>
                <w:sz w:val="18"/>
              </w:rPr>
              <w:t>2</w:t>
            </w:r>
          </w:p>
        </w:tc>
        <w:tc>
          <w:tcPr>
            <w:tcW w:w="1129" w:type="dxa"/>
            <w:shd w:val="clear" w:color="auto" w:fill="F2F6FC"/>
          </w:tcPr>
          <w:p w14:paraId="36B4BB86" w14:textId="77777777" w:rsidR="008C752B" w:rsidRDefault="00CE4761">
            <w:r>
              <w:rPr>
                <w:rFonts w:ascii="Arial" w:hAnsi="Arial"/>
                <w:sz w:val="18"/>
              </w:rPr>
              <w:t>Manufacturing - Cement</w:t>
            </w:r>
          </w:p>
        </w:tc>
        <w:tc>
          <w:tcPr>
            <w:tcW w:w="1129" w:type="dxa"/>
            <w:shd w:val="clear" w:color="auto" w:fill="F2F6FC"/>
          </w:tcPr>
          <w:p w14:paraId="4E8ACE62" w14:textId="77777777" w:rsidR="008C752B" w:rsidRDefault="00CE4761">
            <w:pPr>
              <w:jc w:val="right"/>
            </w:pPr>
            <w:r>
              <w:rPr>
                <w:rFonts w:ascii="Arial" w:hAnsi="Arial"/>
                <w:sz w:val="18"/>
              </w:rPr>
              <w:t>161</w:t>
            </w:r>
          </w:p>
        </w:tc>
        <w:tc>
          <w:tcPr>
            <w:tcW w:w="1129" w:type="dxa"/>
            <w:shd w:val="clear" w:color="auto" w:fill="F2F6FC"/>
          </w:tcPr>
          <w:p w14:paraId="3E1C631D" w14:textId="77777777" w:rsidR="008C752B" w:rsidRDefault="00CE4761">
            <w:pPr>
              <w:jc w:val="right"/>
            </w:pPr>
            <w:r>
              <w:rPr>
                <w:rFonts w:ascii="Arial" w:hAnsi="Arial"/>
                <w:sz w:val="18"/>
              </w:rPr>
              <w:t>107.67817</w:t>
            </w:r>
          </w:p>
        </w:tc>
        <w:tc>
          <w:tcPr>
            <w:tcW w:w="1129" w:type="dxa"/>
            <w:shd w:val="clear" w:color="auto" w:fill="F2F6FC"/>
          </w:tcPr>
          <w:p w14:paraId="62131D62" w14:textId="77777777" w:rsidR="008C752B" w:rsidRDefault="00CE4761">
            <w:pPr>
              <w:jc w:val="right"/>
            </w:pPr>
            <w:r>
              <w:rPr>
                <w:rFonts w:ascii="Arial" w:hAnsi="Arial"/>
                <w:sz w:val="18"/>
              </w:rPr>
              <w:t>5,813,830.91</w:t>
            </w:r>
          </w:p>
        </w:tc>
        <w:tc>
          <w:tcPr>
            <w:tcW w:w="1129" w:type="dxa"/>
            <w:shd w:val="clear" w:color="auto" w:fill="F2F6FC"/>
          </w:tcPr>
          <w:p w14:paraId="125B2E3E" w14:textId="77777777" w:rsidR="008C752B" w:rsidRDefault="00CE4761">
            <w:pPr>
              <w:jc w:val="right"/>
            </w:pPr>
            <w:r>
              <w:rPr>
                <w:rFonts w:ascii="Arial" w:hAnsi="Arial"/>
                <w:sz w:val="18"/>
              </w:rPr>
              <w:t>4,168,058.43</w:t>
            </w:r>
          </w:p>
        </w:tc>
        <w:tc>
          <w:tcPr>
            <w:tcW w:w="1129" w:type="dxa"/>
            <w:shd w:val="clear" w:color="auto" w:fill="F2F6FC"/>
          </w:tcPr>
          <w:p w14:paraId="4F09BABE" w14:textId="77777777" w:rsidR="008C752B" w:rsidRDefault="00CE4761">
            <w:pPr>
              <w:jc w:val="right"/>
            </w:pPr>
            <w:r>
              <w:rPr>
                <w:rFonts w:ascii="Arial" w:hAnsi="Arial"/>
                <w:sz w:val="18"/>
              </w:rPr>
              <w:t>26.45%</w:t>
            </w:r>
          </w:p>
        </w:tc>
        <w:tc>
          <w:tcPr>
            <w:tcW w:w="1129" w:type="dxa"/>
            <w:shd w:val="clear" w:color="auto" w:fill="F2F6FC"/>
          </w:tcPr>
          <w:p w14:paraId="434DEA08" w14:textId="77777777" w:rsidR="008C752B" w:rsidRDefault="00CE4761">
            <w:pPr>
              <w:jc w:val="right"/>
            </w:pPr>
            <w:r>
              <w:rPr>
                <w:rFonts w:ascii="Arial" w:hAnsi="Arial"/>
                <w:sz w:val="18"/>
              </w:rPr>
              <w:t>3.40</w:t>
            </w:r>
          </w:p>
        </w:tc>
      </w:tr>
      <w:tr w:rsidR="008C752B" w14:paraId="51FA8DEE" w14:textId="77777777">
        <w:trPr>
          <w:jc w:val="center"/>
        </w:trPr>
        <w:tc>
          <w:tcPr>
            <w:tcW w:w="1129" w:type="dxa"/>
          </w:tcPr>
          <w:p w14:paraId="7AD1F1D9" w14:textId="77777777" w:rsidR="008C752B" w:rsidRDefault="00CE4761">
            <w:pPr>
              <w:jc w:val="right"/>
            </w:pPr>
            <w:r>
              <w:rPr>
                <w:rFonts w:ascii="Arial" w:hAnsi="Arial"/>
                <w:sz w:val="18"/>
              </w:rPr>
              <w:t>3</w:t>
            </w:r>
          </w:p>
        </w:tc>
        <w:tc>
          <w:tcPr>
            <w:tcW w:w="1129" w:type="dxa"/>
          </w:tcPr>
          <w:p w14:paraId="6337F9E8" w14:textId="77777777" w:rsidR="008C752B" w:rsidRDefault="00CE4761">
            <w:r>
              <w:rPr>
                <w:rFonts w:ascii="Arial" w:hAnsi="Arial"/>
                <w:sz w:val="18"/>
              </w:rPr>
              <w:t>Manufacturing - Steel</w:t>
            </w:r>
          </w:p>
        </w:tc>
        <w:tc>
          <w:tcPr>
            <w:tcW w:w="1129" w:type="dxa"/>
          </w:tcPr>
          <w:p w14:paraId="757B1EA8" w14:textId="77777777" w:rsidR="008C752B" w:rsidRDefault="00CE4761">
            <w:pPr>
              <w:jc w:val="right"/>
            </w:pPr>
            <w:r>
              <w:rPr>
                <w:rFonts w:ascii="Arial" w:hAnsi="Arial"/>
                <w:sz w:val="18"/>
              </w:rPr>
              <w:t>122</w:t>
            </w:r>
          </w:p>
        </w:tc>
        <w:tc>
          <w:tcPr>
            <w:tcW w:w="1129" w:type="dxa"/>
          </w:tcPr>
          <w:p w14:paraId="0F540A05" w14:textId="77777777" w:rsidR="008C752B" w:rsidRDefault="00CE4761">
            <w:pPr>
              <w:jc w:val="right"/>
            </w:pPr>
            <w:r>
              <w:rPr>
                <w:rFonts w:ascii="Arial" w:hAnsi="Arial"/>
                <w:sz w:val="18"/>
              </w:rPr>
              <w:t>108.619962</w:t>
            </w:r>
          </w:p>
        </w:tc>
        <w:tc>
          <w:tcPr>
            <w:tcW w:w="1129" w:type="dxa"/>
          </w:tcPr>
          <w:p w14:paraId="26112661" w14:textId="77777777" w:rsidR="008C752B" w:rsidRDefault="00CE4761">
            <w:pPr>
              <w:jc w:val="right"/>
            </w:pPr>
            <w:r>
              <w:rPr>
                <w:rFonts w:ascii="Arial" w:hAnsi="Arial"/>
                <w:sz w:val="18"/>
              </w:rPr>
              <w:t>3,499,463.0</w:t>
            </w:r>
          </w:p>
        </w:tc>
        <w:tc>
          <w:tcPr>
            <w:tcW w:w="1129" w:type="dxa"/>
          </w:tcPr>
          <w:p w14:paraId="7AFA126E" w14:textId="77777777" w:rsidR="008C752B" w:rsidRDefault="00CE4761">
            <w:pPr>
              <w:jc w:val="right"/>
            </w:pPr>
            <w:r>
              <w:rPr>
                <w:rFonts w:ascii="Arial" w:hAnsi="Arial"/>
                <w:sz w:val="18"/>
              </w:rPr>
              <w:t>2,228,739.65</w:t>
            </w:r>
          </w:p>
        </w:tc>
        <w:tc>
          <w:tcPr>
            <w:tcW w:w="1129" w:type="dxa"/>
          </w:tcPr>
          <w:p w14:paraId="66A1F2D4" w14:textId="77777777" w:rsidR="008C752B" w:rsidRDefault="00CE4761">
            <w:pPr>
              <w:jc w:val="right"/>
            </w:pPr>
            <w:r>
              <w:rPr>
                <w:rFonts w:ascii="Arial" w:hAnsi="Arial"/>
                <w:sz w:val="18"/>
              </w:rPr>
              <w:t>15.92%</w:t>
            </w:r>
          </w:p>
        </w:tc>
        <w:tc>
          <w:tcPr>
            <w:tcW w:w="1129" w:type="dxa"/>
          </w:tcPr>
          <w:p w14:paraId="6DEDAC5E" w14:textId="77777777" w:rsidR="008C752B" w:rsidRDefault="00CE4761">
            <w:pPr>
              <w:jc w:val="right"/>
            </w:pPr>
            <w:r>
              <w:rPr>
                <w:rFonts w:ascii="Arial" w:hAnsi="Arial"/>
                <w:sz w:val="18"/>
              </w:rPr>
              <w:t>3.35</w:t>
            </w:r>
          </w:p>
        </w:tc>
      </w:tr>
      <w:tr w:rsidR="008C752B" w14:paraId="50131A92" w14:textId="77777777">
        <w:trPr>
          <w:jc w:val="center"/>
        </w:trPr>
        <w:tc>
          <w:tcPr>
            <w:tcW w:w="1129" w:type="dxa"/>
            <w:shd w:val="clear" w:color="auto" w:fill="F2F6FC"/>
          </w:tcPr>
          <w:p w14:paraId="1423C000" w14:textId="77777777" w:rsidR="008C752B" w:rsidRDefault="00CE4761">
            <w:pPr>
              <w:jc w:val="right"/>
            </w:pPr>
            <w:r>
              <w:rPr>
                <w:rFonts w:ascii="Arial" w:hAnsi="Arial"/>
                <w:sz w:val="18"/>
              </w:rPr>
              <w:t>4</w:t>
            </w:r>
          </w:p>
        </w:tc>
        <w:tc>
          <w:tcPr>
            <w:tcW w:w="1129" w:type="dxa"/>
            <w:shd w:val="clear" w:color="auto" w:fill="F2F6FC"/>
          </w:tcPr>
          <w:p w14:paraId="3A897FFD" w14:textId="77777777" w:rsidR="008C752B" w:rsidRDefault="00CE4761">
            <w:r>
              <w:rPr>
                <w:rFonts w:ascii="Arial" w:hAnsi="Arial"/>
                <w:sz w:val="18"/>
              </w:rPr>
              <w:t>Transportation - Road</w:t>
            </w:r>
          </w:p>
        </w:tc>
        <w:tc>
          <w:tcPr>
            <w:tcW w:w="1129" w:type="dxa"/>
            <w:shd w:val="clear" w:color="auto" w:fill="F2F6FC"/>
          </w:tcPr>
          <w:p w14:paraId="47FFEB65" w14:textId="77777777" w:rsidR="008C752B" w:rsidRDefault="00CE4761">
            <w:pPr>
              <w:jc w:val="right"/>
            </w:pPr>
            <w:r>
              <w:rPr>
                <w:rFonts w:ascii="Arial" w:hAnsi="Arial"/>
                <w:sz w:val="18"/>
              </w:rPr>
              <w:t>189</w:t>
            </w:r>
          </w:p>
        </w:tc>
        <w:tc>
          <w:tcPr>
            <w:tcW w:w="1129" w:type="dxa"/>
            <w:shd w:val="clear" w:color="auto" w:fill="F2F6FC"/>
          </w:tcPr>
          <w:p w14:paraId="3FF65D67" w14:textId="77777777" w:rsidR="008C752B" w:rsidRDefault="00CE4761">
            <w:pPr>
              <w:jc w:val="right"/>
            </w:pPr>
            <w:r>
              <w:rPr>
                <w:rFonts w:ascii="Arial" w:hAnsi="Arial"/>
                <w:sz w:val="18"/>
              </w:rPr>
              <w:t>155.55276</w:t>
            </w:r>
          </w:p>
        </w:tc>
        <w:tc>
          <w:tcPr>
            <w:tcW w:w="1129" w:type="dxa"/>
            <w:shd w:val="clear" w:color="auto" w:fill="F2F6FC"/>
          </w:tcPr>
          <w:p w14:paraId="696A1ED8" w14:textId="77777777" w:rsidR="008C752B" w:rsidRDefault="00CE4761">
            <w:pPr>
              <w:jc w:val="right"/>
            </w:pPr>
            <w:r>
              <w:rPr>
                <w:rFonts w:ascii="Arial" w:hAnsi="Arial"/>
                <w:sz w:val="18"/>
              </w:rPr>
              <w:t>1,227,019.62</w:t>
            </w:r>
          </w:p>
        </w:tc>
        <w:tc>
          <w:tcPr>
            <w:tcW w:w="1129" w:type="dxa"/>
            <w:shd w:val="clear" w:color="auto" w:fill="F2F6FC"/>
          </w:tcPr>
          <w:p w14:paraId="272E29EC" w14:textId="77777777" w:rsidR="008C752B" w:rsidRDefault="00CE4761">
            <w:pPr>
              <w:jc w:val="right"/>
            </w:pPr>
            <w:r>
              <w:rPr>
                <w:rFonts w:ascii="Arial" w:hAnsi="Arial"/>
                <w:sz w:val="18"/>
              </w:rPr>
              <w:t>864,356.23</w:t>
            </w:r>
          </w:p>
        </w:tc>
        <w:tc>
          <w:tcPr>
            <w:tcW w:w="1129" w:type="dxa"/>
            <w:shd w:val="clear" w:color="auto" w:fill="F2F6FC"/>
          </w:tcPr>
          <w:p w14:paraId="310B1A54" w14:textId="77777777" w:rsidR="008C752B" w:rsidRDefault="00CE4761">
            <w:pPr>
              <w:jc w:val="right"/>
            </w:pPr>
            <w:r>
              <w:rPr>
                <w:rFonts w:ascii="Arial" w:hAnsi="Arial"/>
                <w:sz w:val="18"/>
              </w:rPr>
              <w:t>5.58%</w:t>
            </w:r>
          </w:p>
        </w:tc>
        <w:tc>
          <w:tcPr>
            <w:tcW w:w="1129" w:type="dxa"/>
            <w:shd w:val="clear" w:color="auto" w:fill="F2F6FC"/>
          </w:tcPr>
          <w:p w14:paraId="11FDC8F5" w14:textId="77777777" w:rsidR="008C752B" w:rsidRDefault="00CE4761">
            <w:pPr>
              <w:jc w:val="right"/>
            </w:pPr>
            <w:r>
              <w:rPr>
                <w:rFonts w:ascii="Arial" w:hAnsi="Arial"/>
                <w:sz w:val="18"/>
              </w:rPr>
              <w:t>3.36</w:t>
            </w:r>
          </w:p>
        </w:tc>
      </w:tr>
      <w:tr w:rsidR="008C752B" w14:paraId="45AAA614" w14:textId="77777777">
        <w:trPr>
          <w:jc w:val="center"/>
        </w:trPr>
        <w:tc>
          <w:tcPr>
            <w:tcW w:w="1129" w:type="dxa"/>
          </w:tcPr>
          <w:p w14:paraId="07EF3C64" w14:textId="77777777" w:rsidR="008C752B" w:rsidRDefault="00CE4761">
            <w:pPr>
              <w:jc w:val="right"/>
            </w:pPr>
            <w:r>
              <w:rPr>
                <w:rFonts w:ascii="Arial" w:hAnsi="Arial"/>
                <w:sz w:val="18"/>
              </w:rPr>
              <w:t>5</w:t>
            </w:r>
          </w:p>
        </w:tc>
        <w:tc>
          <w:tcPr>
            <w:tcW w:w="1129" w:type="dxa"/>
          </w:tcPr>
          <w:p w14:paraId="7FEC8AA3" w14:textId="77777777" w:rsidR="008C752B" w:rsidRDefault="00CE4761">
            <w:r>
              <w:rPr>
                <w:rFonts w:ascii="Arial" w:hAnsi="Arial"/>
                <w:sz w:val="18"/>
              </w:rPr>
              <w:t>Manufacturing - Food &amp; Beverage</w:t>
            </w:r>
          </w:p>
        </w:tc>
        <w:tc>
          <w:tcPr>
            <w:tcW w:w="1129" w:type="dxa"/>
          </w:tcPr>
          <w:p w14:paraId="308F85E7" w14:textId="77777777" w:rsidR="008C752B" w:rsidRDefault="00CE4761">
            <w:pPr>
              <w:jc w:val="right"/>
            </w:pPr>
            <w:r>
              <w:rPr>
                <w:rFonts w:ascii="Arial" w:hAnsi="Arial"/>
                <w:sz w:val="18"/>
              </w:rPr>
              <w:t>206</w:t>
            </w:r>
          </w:p>
        </w:tc>
        <w:tc>
          <w:tcPr>
            <w:tcW w:w="1129" w:type="dxa"/>
          </w:tcPr>
          <w:p w14:paraId="0D10BDF9" w14:textId="77777777" w:rsidR="008C752B" w:rsidRDefault="00CE4761">
            <w:pPr>
              <w:jc w:val="right"/>
            </w:pPr>
            <w:r>
              <w:rPr>
                <w:rFonts w:ascii="Arial" w:hAnsi="Arial"/>
                <w:sz w:val="18"/>
              </w:rPr>
              <w:t>169.139082</w:t>
            </w:r>
          </w:p>
        </w:tc>
        <w:tc>
          <w:tcPr>
            <w:tcW w:w="1129" w:type="dxa"/>
          </w:tcPr>
          <w:p w14:paraId="56549EC5" w14:textId="77777777" w:rsidR="008C752B" w:rsidRDefault="00CE4761">
            <w:pPr>
              <w:jc w:val="right"/>
            </w:pPr>
            <w:r>
              <w:rPr>
                <w:rFonts w:ascii="Arial" w:hAnsi="Arial"/>
                <w:sz w:val="18"/>
              </w:rPr>
              <w:t>936,111.21</w:t>
            </w:r>
          </w:p>
        </w:tc>
        <w:tc>
          <w:tcPr>
            <w:tcW w:w="1129" w:type="dxa"/>
          </w:tcPr>
          <w:p w14:paraId="075BD6F1" w14:textId="77777777" w:rsidR="008C752B" w:rsidRDefault="00CE4761">
            <w:pPr>
              <w:jc w:val="right"/>
            </w:pPr>
            <w:r>
              <w:rPr>
                <w:rFonts w:ascii="Arial" w:hAnsi="Arial"/>
                <w:sz w:val="18"/>
              </w:rPr>
              <w:t>653,413.56</w:t>
            </w:r>
          </w:p>
        </w:tc>
        <w:tc>
          <w:tcPr>
            <w:tcW w:w="1129" w:type="dxa"/>
          </w:tcPr>
          <w:p w14:paraId="69519A30" w14:textId="77777777" w:rsidR="008C752B" w:rsidRDefault="00CE4761">
            <w:pPr>
              <w:jc w:val="right"/>
            </w:pPr>
            <w:r>
              <w:rPr>
                <w:rFonts w:ascii="Arial" w:hAnsi="Arial"/>
                <w:sz w:val="18"/>
              </w:rPr>
              <w:t>4.26%</w:t>
            </w:r>
          </w:p>
        </w:tc>
        <w:tc>
          <w:tcPr>
            <w:tcW w:w="1129" w:type="dxa"/>
          </w:tcPr>
          <w:p w14:paraId="7A951DF1" w14:textId="77777777" w:rsidR="008C752B" w:rsidRDefault="00CE4761">
            <w:pPr>
              <w:jc w:val="right"/>
            </w:pPr>
            <w:r>
              <w:rPr>
                <w:rFonts w:ascii="Arial" w:hAnsi="Arial"/>
                <w:sz w:val="18"/>
              </w:rPr>
              <w:t>3.35</w:t>
            </w:r>
          </w:p>
        </w:tc>
      </w:tr>
      <w:tr w:rsidR="008C752B" w14:paraId="277EF43C" w14:textId="77777777">
        <w:trPr>
          <w:jc w:val="center"/>
        </w:trPr>
        <w:tc>
          <w:tcPr>
            <w:tcW w:w="1129" w:type="dxa"/>
            <w:shd w:val="clear" w:color="auto" w:fill="F2F6FC"/>
          </w:tcPr>
          <w:p w14:paraId="3EB22D19" w14:textId="77777777" w:rsidR="008C752B" w:rsidRDefault="00CE4761">
            <w:pPr>
              <w:jc w:val="right"/>
            </w:pPr>
            <w:r>
              <w:rPr>
                <w:rFonts w:ascii="Arial" w:hAnsi="Arial"/>
                <w:sz w:val="18"/>
              </w:rPr>
              <w:t>6</w:t>
            </w:r>
          </w:p>
        </w:tc>
        <w:tc>
          <w:tcPr>
            <w:tcW w:w="1129" w:type="dxa"/>
            <w:shd w:val="clear" w:color="auto" w:fill="F2F6FC"/>
          </w:tcPr>
          <w:p w14:paraId="5478FE22" w14:textId="77777777" w:rsidR="008C752B" w:rsidRDefault="00CE4761">
            <w:r>
              <w:rPr>
                <w:rFonts w:ascii="Arial" w:hAnsi="Arial"/>
                <w:sz w:val="18"/>
              </w:rPr>
              <w:t>Agriculture</w:t>
            </w:r>
          </w:p>
        </w:tc>
        <w:tc>
          <w:tcPr>
            <w:tcW w:w="1129" w:type="dxa"/>
            <w:shd w:val="clear" w:color="auto" w:fill="F2F6FC"/>
          </w:tcPr>
          <w:p w14:paraId="40BA4754" w14:textId="77777777" w:rsidR="008C752B" w:rsidRDefault="00CE4761">
            <w:pPr>
              <w:jc w:val="right"/>
            </w:pPr>
            <w:r>
              <w:rPr>
                <w:rFonts w:ascii="Arial" w:hAnsi="Arial"/>
                <w:sz w:val="18"/>
              </w:rPr>
              <w:t>163</w:t>
            </w:r>
          </w:p>
        </w:tc>
        <w:tc>
          <w:tcPr>
            <w:tcW w:w="1129" w:type="dxa"/>
            <w:shd w:val="clear" w:color="auto" w:fill="F2F6FC"/>
          </w:tcPr>
          <w:p w14:paraId="454F2759" w14:textId="77777777" w:rsidR="008C752B" w:rsidRDefault="00CE4761">
            <w:pPr>
              <w:jc w:val="right"/>
            </w:pPr>
            <w:r>
              <w:rPr>
                <w:rFonts w:ascii="Arial" w:hAnsi="Arial"/>
                <w:sz w:val="18"/>
              </w:rPr>
              <w:t>118.897478</w:t>
            </w:r>
          </w:p>
        </w:tc>
        <w:tc>
          <w:tcPr>
            <w:tcW w:w="1129" w:type="dxa"/>
            <w:shd w:val="clear" w:color="auto" w:fill="F2F6FC"/>
          </w:tcPr>
          <w:p w14:paraId="08A56644" w14:textId="77777777" w:rsidR="008C752B" w:rsidRDefault="00CE4761">
            <w:pPr>
              <w:jc w:val="right"/>
            </w:pPr>
            <w:r>
              <w:rPr>
                <w:rFonts w:ascii="Arial" w:hAnsi="Arial"/>
                <w:sz w:val="18"/>
              </w:rPr>
              <w:t>288,493.25</w:t>
            </w:r>
          </w:p>
        </w:tc>
        <w:tc>
          <w:tcPr>
            <w:tcW w:w="1129" w:type="dxa"/>
            <w:shd w:val="clear" w:color="auto" w:fill="F2F6FC"/>
          </w:tcPr>
          <w:p w14:paraId="4C50E584" w14:textId="77777777" w:rsidR="008C752B" w:rsidRDefault="00CE4761">
            <w:pPr>
              <w:jc w:val="right"/>
            </w:pPr>
            <w:r>
              <w:rPr>
                <w:rFonts w:ascii="Arial" w:hAnsi="Arial"/>
                <w:sz w:val="18"/>
              </w:rPr>
              <w:t>183,548.39</w:t>
            </w:r>
          </w:p>
        </w:tc>
        <w:tc>
          <w:tcPr>
            <w:tcW w:w="1129" w:type="dxa"/>
            <w:shd w:val="clear" w:color="auto" w:fill="F2F6FC"/>
          </w:tcPr>
          <w:p w14:paraId="5681D63D" w14:textId="77777777" w:rsidR="008C752B" w:rsidRDefault="00CE4761">
            <w:pPr>
              <w:jc w:val="right"/>
            </w:pPr>
            <w:r>
              <w:rPr>
                <w:rFonts w:ascii="Arial" w:hAnsi="Arial"/>
                <w:sz w:val="18"/>
              </w:rPr>
              <w:t>1.31%</w:t>
            </w:r>
          </w:p>
        </w:tc>
        <w:tc>
          <w:tcPr>
            <w:tcW w:w="1129" w:type="dxa"/>
            <w:shd w:val="clear" w:color="auto" w:fill="F2F6FC"/>
          </w:tcPr>
          <w:p w14:paraId="4E04C178" w14:textId="77777777" w:rsidR="008C752B" w:rsidRDefault="00CE4761">
            <w:pPr>
              <w:jc w:val="right"/>
            </w:pPr>
            <w:r>
              <w:rPr>
                <w:rFonts w:ascii="Arial" w:hAnsi="Arial"/>
                <w:sz w:val="18"/>
              </w:rPr>
              <w:t>3.41</w:t>
            </w:r>
          </w:p>
        </w:tc>
      </w:tr>
      <w:tr w:rsidR="008C752B" w14:paraId="2F4568B1" w14:textId="77777777">
        <w:trPr>
          <w:jc w:val="center"/>
        </w:trPr>
        <w:tc>
          <w:tcPr>
            <w:tcW w:w="1129" w:type="dxa"/>
          </w:tcPr>
          <w:p w14:paraId="4C6C5AE4" w14:textId="77777777" w:rsidR="008C752B" w:rsidRDefault="00CE4761">
            <w:pPr>
              <w:jc w:val="right"/>
            </w:pPr>
            <w:r>
              <w:rPr>
                <w:rFonts w:ascii="Arial" w:hAnsi="Arial"/>
                <w:sz w:val="18"/>
              </w:rPr>
              <w:t>7</w:t>
            </w:r>
          </w:p>
        </w:tc>
        <w:tc>
          <w:tcPr>
            <w:tcW w:w="1129" w:type="dxa"/>
          </w:tcPr>
          <w:p w14:paraId="73E7C666" w14:textId="77777777" w:rsidR="008C752B" w:rsidRDefault="00CE4761">
            <w:r>
              <w:rPr>
                <w:rFonts w:ascii="Arial" w:hAnsi="Arial"/>
                <w:sz w:val="18"/>
              </w:rPr>
              <w:t>Real Estate - Commercial</w:t>
            </w:r>
          </w:p>
        </w:tc>
        <w:tc>
          <w:tcPr>
            <w:tcW w:w="1129" w:type="dxa"/>
          </w:tcPr>
          <w:p w14:paraId="1DB334A3" w14:textId="77777777" w:rsidR="008C752B" w:rsidRDefault="00CE4761">
            <w:pPr>
              <w:jc w:val="right"/>
            </w:pPr>
            <w:r>
              <w:rPr>
                <w:rFonts w:ascii="Arial" w:hAnsi="Arial"/>
                <w:sz w:val="18"/>
              </w:rPr>
              <w:t>290</w:t>
            </w:r>
          </w:p>
        </w:tc>
        <w:tc>
          <w:tcPr>
            <w:tcW w:w="1129" w:type="dxa"/>
          </w:tcPr>
          <w:p w14:paraId="7EF7152C" w14:textId="77777777" w:rsidR="008C752B" w:rsidRDefault="00CE4761">
            <w:pPr>
              <w:jc w:val="right"/>
            </w:pPr>
            <w:r>
              <w:rPr>
                <w:rFonts w:ascii="Arial" w:hAnsi="Arial"/>
                <w:sz w:val="18"/>
              </w:rPr>
              <w:t>250.738869</w:t>
            </w:r>
          </w:p>
        </w:tc>
        <w:tc>
          <w:tcPr>
            <w:tcW w:w="1129" w:type="dxa"/>
          </w:tcPr>
          <w:p w14:paraId="67F42F85" w14:textId="77777777" w:rsidR="008C752B" w:rsidRDefault="00CE4761">
            <w:pPr>
              <w:jc w:val="right"/>
            </w:pPr>
            <w:r>
              <w:rPr>
                <w:rFonts w:ascii="Arial" w:hAnsi="Arial"/>
                <w:sz w:val="18"/>
              </w:rPr>
              <w:t>231,235.2</w:t>
            </w:r>
          </w:p>
        </w:tc>
        <w:tc>
          <w:tcPr>
            <w:tcW w:w="1129" w:type="dxa"/>
          </w:tcPr>
          <w:p w14:paraId="1DCFE8F2" w14:textId="77777777" w:rsidR="008C752B" w:rsidRDefault="00CE4761">
            <w:pPr>
              <w:jc w:val="right"/>
            </w:pPr>
            <w:r>
              <w:rPr>
                <w:rFonts w:ascii="Arial" w:hAnsi="Arial"/>
                <w:sz w:val="18"/>
              </w:rPr>
              <w:t>158,419.07</w:t>
            </w:r>
          </w:p>
        </w:tc>
        <w:tc>
          <w:tcPr>
            <w:tcW w:w="1129" w:type="dxa"/>
          </w:tcPr>
          <w:p w14:paraId="4C284768" w14:textId="77777777" w:rsidR="008C752B" w:rsidRDefault="00CE4761">
            <w:pPr>
              <w:jc w:val="right"/>
            </w:pPr>
            <w:r>
              <w:rPr>
                <w:rFonts w:ascii="Arial" w:hAnsi="Arial"/>
                <w:sz w:val="18"/>
              </w:rPr>
              <w:t>1.05%</w:t>
            </w:r>
          </w:p>
        </w:tc>
        <w:tc>
          <w:tcPr>
            <w:tcW w:w="1129" w:type="dxa"/>
          </w:tcPr>
          <w:p w14:paraId="4048432A" w14:textId="77777777" w:rsidR="008C752B" w:rsidRDefault="00CE4761">
            <w:pPr>
              <w:jc w:val="right"/>
            </w:pPr>
            <w:r>
              <w:rPr>
                <w:rFonts w:ascii="Arial" w:hAnsi="Arial"/>
                <w:sz w:val="18"/>
              </w:rPr>
              <w:t>3.27</w:t>
            </w:r>
          </w:p>
        </w:tc>
      </w:tr>
      <w:tr w:rsidR="008C752B" w14:paraId="362DE5C1" w14:textId="77777777">
        <w:trPr>
          <w:jc w:val="center"/>
        </w:trPr>
        <w:tc>
          <w:tcPr>
            <w:tcW w:w="1129" w:type="dxa"/>
            <w:shd w:val="clear" w:color="auto" w:fill="F2F6FC"/>
          </w:tcPr>
          <w:p w14:paraId="14CE1E41" w14:textId="77777777" w:rsidR="008C752B" w:rsidRDefault="00CE4761">
            <w:pPr>
              <w:jc w:val="right"/>
            </w:pPr>
            <w:r>
              <w:rPr>
                <w:rFonts w:ascii="Arial" w:hAnsi="Arial"/>
                <w:sz w:val="18"/>
              </w:rPr>
              <w:t>8</w:t>
            </w:r>
          </w:p>
        </w:tc>
        <w:tc>
          <w:tcPr>
            <w:tcW w:w="1129" w:type="dxa"/>
            <w:shd w:val="clear" w:color="auto" w:fill="F2F6FC"/>
          </w:tcPr>
          <w:p w14:paraId="426B4FD2" w14:textId="77777777" w:rsidR="008C752B" w:rsidRDefault="00CE4761">
            <w:r>
              <w:rPr>
                <w:rFonts w:ascii="Arial" w:hAnsi="Arial"/>
                <w:sz w:val="18"/>
              </w:rPr>
              <w:t>Retail Trade</w:t>
            </w:r>
          </w:p>
        </w:tc>
        <w:tc>
          <w:tcPr>
            <w:tcW w:w="1129" w:type="dxa"/>
            <w:shd w:val="clear" w:color="auto" w:fill="F2F6FC"/>
          </w:tcPr>
          <w:p w14:paraId="29E20B93" w14:textId="77777777" w:rsidR="008C752B" w:rsidRDefault="00CE4761">
            <w:pPr>
              <w:jc w:val="right"/>
            </w:pPr>
            <w:r>
              <w:rPr>
                <w:rFonts w:ascii="Arial" w:hAnsi="Arial"/>
                <w:sz w:val="18"/>
              </w:rPr>
              <w:t>209</w:t>
            </w:r>
          </w:p>
        </w:tc>
        <w:tc>
          <w:tcPr>
            <w:tcW w:w="1129" w:type="dxa"/>
            <w:shd w:val="clear" w:color="auto" w:fill="F2F6FC"/>
          </w:tcPr>
          <w:p w14:paraId="5FE2C989" w14:textId="77777777" w:rsidR="008C752B" w:rsidRDefault="00CE4761">
            <w:pPr>
              <w:jc w:val="right"/>
            </w:pPr>
            <w:r>
              <w:rPr>
                <w:rFonts w:ascii="Arial" w:hAnsi="Arial"/>
                <w:sz w:val="18"/>
              </w:rPr>
              <w:t>152.840932</w:t>
            </w:r>
          </w:p>
        </w:tc>
        <w:tc>
          <w:tcPr>
            <w:tcW w:w="1129" w:type="dxa"/>
            <w:shd w:val="clear" w:color="auto" w:fill="F2F6FC"/>
          </w:tcPr>
          <w:p w14:paraId="1A5A8362" w14:textId="77777777" w:rsidR="008C752B" w:rsidRDefault="00CE4761">
            <w:pPr>
              <w:jc w:val="right"/>
            </w:pPr>
            <w:r>
              <w:rPr>
                <w:rFonts w:ascii="Arial" w:hAnsi="Arial"/>
                <w:sz w:val="18"/>
              </w:rPr>
              <w:t>226,340.67</w:t>
            </w:r>
          </w:p>
        </w:tc>
        <w:tc>
          <w:tcPr>
            <w:tcW w:w="1129" w:type="dxa"/>
            <w:shd w:val="clear" w:color="auto" w:fill="F2F6FC"/>
          </w:tcPr>
          <w:p w14:paraId="1D6F0EAF" w14:textId="77777777" w:rsidR="008C752B" w:rsidRDefault="00CE4761">
            <w:pPr>
              <w:jc w:val="right"/>
            </w:pPr>
            <w:r>
              <w:rPr>
                <w:rFonts w:ascii="Arial" w:hAnsi="Arial"/>
                <w:sz w:val="18"/>
              </w:rPr>
              <w:t>140,812.97</w:t>
            </w:r>
          </w:p>
        </w:tc>
        <w:tc>
          <w:tcPr>
            <w:tcW w:w="1129" w:type="dxa"/>
            <w:shd w:val="clear" w:color="auto" w:fill="F2F6FC"/>
          </w:tcPr>
          <w:p w14:paraId="48931F5F" w14:textId="77777777" w:rsidR="008C752B" w:rsidRDefault="00CE4761">
            <w:pPr>
              <w:jc w:val="right"/>
            </w:pPr>
            <w:r>
              <w:rPr>
                <w:rFonts w:ascii="Arial" w:hAnsi="Arial"/>
                <w:sz w:val="18"/>
              </w:rPr>
              <w:t>1.03%</w:t>
            </w:r>
          </w:p>
        </w:tc>
        <w:tc>
          <w:tcPr>
            <w:tcW w:w="1129" w:type="dxa"/>
            <w:shd w:val="clear" w:color="auto" w:fill="F2F6FC"/>
          </w:tcPr>
          <w:p w14:paraId="4F276A82" w14:textId="77777777" w:rsidR="008C752B" w:rsidRDefault="00CE4761">
            <w:pPr>
              <w:jc w:val="right"/>
            </w:pPr>
            <w:r>
              <w:rPr>
                <w:rFonts w:ascii="Arial" w:hAnsi="Arial"/>
                <w:sz w:val="18"/>
              </w:rPr>
              <w:t>3.21</w:t>
            </w:r>
          </w:p>
        </w:tc>
      </w:tr>
      <w:tr w:rsidR="008C752B" w14:paraId="21F5FD29" w14:textId="77777777">
        <w:trPr>
          <w:jc w:val="center"/>
        </w:trPr>
        <w:tc>
          <w:tcPr>
            <w:tcW w:w="1129" w:type="dxa"/>
          </w:tcPr>
          <w:p w14:paraId="19D3DF81" w14:textId="77777777" w:rsidR="008C752B" w:rsidRDefault="00CE4761">
            <w:pPr>
              <w:jc w:val="right"/>
            </w:pPr>
            <w:r>
              <w:rPr>
                <w:rFonts w:ascii="Arial" w:hAnsi="Arial"/>
                <w:sz w:val="18"/>
              </w:rPr>
              <w:t>9</w:t>
            </w:r>
          </w:p>
        </w:tc>
        <w:tc>
          <w:tcPr>
            <w:tcW w:w="1129" w:type="dxa"/>
          </w:tcPr>
          <w:p w14:paraId="703208CA" w14:textId="77777777" w:rsidR="008C752B" w:rsidRDefault="00CE4761">
            <w:r>
              <w:rPr>
                <w:rFonts w:ascii="Arial" w:hAnsi="Arial"/>
                <w:sz w:val="18"/>
              </w:rPr>
              <w:t>Real Estate - Residential</w:t>
            </w:r>
          </w:p>
        </w:tc>
        <w:tc>
          <w:tcPr>
            <w:tcW w:w="1129" w:type="dxa"/>
          </w:tcPr>
          <w:p w14:paraId="4A881EAD" w14:textId="77777777" w:rsidR="008C752B" w:rsidRDefault="00CE4761">
            <w:pPr>
              <w:jc w:val="right"/>
            </w:pPr>
            <w:r>
              <w:rPr>
                <w:rFonts w:ascii="Arial" w:hAnsi="Arial"/>
                <w:sz w:val="18"/>
              </w:rPr>
              <w:t>223</w:t>
            </w:r>
          </w:p>
        </w:tc>
        <w:tc>
          <w:tcPr>
            <w:tcW w:w="1129" w:type="dxa"/>
          </w:tcPr>
          <w:p w14:paraId="630D9EE6" w14:textId="77777777" w:rsidR="008C752B" w:rsidRDefault="00CE4761">
            <w:pPr>
              <w:jc w:val="right"/>
            </w:pPr>
            <w:r>
              <w:rPr>
                <w:rFonts w:ascii="Arial" w:hAnsi="Arial"/>
                <w:sz w:val="18"/>
              </w:rPr>
              <w:t>168.421695</w:t>
            </w:r>
          </w:p>
        </w:tc>
        <w:tc>
          <w:tcPr>
            <w:tcW w:w="1129" w:type="dxa"/>
          </w:tcPr>
          <w:p w14:paraId="1C95C568" w14:textId="77777777" w:rsidR="008C752B" w:rsidRDefault="00CE4761">
            <w:pPr>
              <w:jc w:val="right"/>
            </w:pPr>
            <w:r>
              <w:rPr>
                <w:rFonts w:ascii="Arial" w:hAnsi="Arial"/>
                <w:sz w:val="18"/>
              </w:rPr>
              <w:t>107,465.43</w:t>
            </w:r>
          </w:p>
        </w:tc>
        <w:tc>
          <w:tcPr>
            <w:tcW w:w="1129" w:type="dxa"/>
          </w:tcPr>
          <w:p w14:paraId="38C2F72E" w14:textId="77777777" w:rsidR="008C752B" w:rsidRDefault="00CE4761">
            <w:pPr>
              <w:jc w:val="right"/>
            </w:pPr>
            <w:r>
              <w:rPr>
                <w:rFonts w:ascii="Arial" w:hAnsi="Arial"/>
                <w:sz w:val="18"/>
              </w:rPr>
              <w:t>79,158.87</w:t>
            </w:r>
          </w:p>
        </w:tc>
        <w:tc>
          <w:tcPr>
            <w:tcW w:w="1129" w:type="dxa"/>
          </w:tcPr>
          <w:p w14:paraId="2A9175BB" w14:textId="77777777" w:rsidR="008C752B" w:rsidRDefault="00CE4761">
            <w:pPr>
              <w:jc w:val="right"/>
            </w:pPr>
            <w:r>
              <w:rPr>
                <w:rFonts w:ascii="Arial" w:hAnsi="Arial"/>
                <w:sz w:val="18"/>
              </w:rPr>
              <w:t>0.49%</w:t>
            </w:r>
          </w:p>
        </w:tc>
        <w:tc>
          <w:tcPr>
            <w:tcW w:w="1129" w:type="dxa"/>
          </w:tcPr>
          <w:p w14:paraId="295E4E7E" w14:textId="77777777" w:rsidR="008C752B" w:rsidRDefault="00CE4761">
            <w:pPr>
              <w:jc w:val="right"/>
            </w:pPr>
            <w:r>
              <w:rPr>
                <w:rFonts w:ascii="Arial" w:hAnsi="Arial"/>
                <w:sz w:val="18"/>
              </w:rPr>
              <w:t>3.32</w:t>
            </w:r>
          </w:p>
        </w:tc>
      </w:tr>
      <w:tr w:rsidR="008C752B" w14:paraId="0CD6F87F" w14:textId="77777777">
        <w:trPr>
          <w:jc w:val="center"/>
        </w:trPr>
        <w:tc>
          <w:tcPr>
            <w:tcW w:w="1129" w:type="dxa"/>
            <w:shd w:val="clear" w:color="auto" w:fill="F2F6FC"/>
          </w:tcPr>
          <w:p w14:paraId="74FDC903" w14:textId="77777777" w:rsidR="008C752B" w:rsidRDefault="00CE4761">
            <w:pPr>
              <w:jc w:val="right"/>
            </w:pPr>
            <w:r>
              <w:rPr>
                <w:rFonts w:ascii="Arial" w:hAnsi="Arial"/>
                <w:sz w:val="18"/>
              </w:rPr>
              <w:t>10</w:t>
            </w:r>
          </w:p>
        </w:tc>
        <w:tc>
          <w:tcPr>
            <w:tcW w:w="1129" w:type="dxa"/>
            <w:shd w:val="clear" w:color="auto" w:fill="F2F6FC"/>
          </w:tcPr>
          <w:p w14:paraId="47155DFE" w14:textId="77777777" w:rsidR="008C752B" w:rsidRDefault="00CE4761">
            <w:r>
              <w:rPr>
                <w:rFonts w:ascii="Arial" w:hAnsi="Arial"/>
                <w:sz w:val="18"/>
              </w:rPr>
              <w:t>Financial Services</w:t>
            </w:r>
          </w:p>
        </w:tc>
        <w:tc>
          <w:tcPr>
            <w:tcW w:w="1129" w:type="dxa"/>
            <w:shd w:val="clear" w:color="auto" w:fill="F2F6FC"/>
          </w:tcPr>
          <w:p w14:paraId="19C3B450" w14:textId="77777777" w:rsidR="008C752B" w:rsidRDefault="00CE4761">
            <w:pPr>
              <w:jc w:val="right"/>
            </w:pPr>
            <w:r>
              <w:rPr>
                <w:rFonts w:ascii="Arial" w:hAnsi="Arial"/>
                <w:sz w:val="18"/>
              </w:rPr>
              <w:t>257</w:t>
            </w:r>
          </w:p>
        </w:tc>
        <w:tc>
          <w:tcPr>
            <w:tcW w:w="1129" w:type="dxa"/>
            <w:shd w:val="clear" w:color="auto" w:fill="F2F6FC"/>
          </w:tcPr>
          <w:p w14:paraId="03E92F24" w14:textId="77777777" w:rsidR="008C752B" w:rsidRDefault="00CE4761">
            <w:pPr>
              <w:jc w:val="right"/>
            </w:pPr>
            <w:r>
              <w:rPr>
                <w:rFonts w:ascii="Arial" w:hAnsi="Arial"/>
                <w:sz w:val="18"/>
              </w:rPr>
              <w:t>206.623745</w:t>
            </w:r>
          </w:p>
        </w:tc>
        <w:tc>
          <w:tcPr>
            <w:tcW w:w="1129" w:type="dxa"/>
            <w:shd w:val="clear" w:color="auto" w:fill="F2F6FC"/>
          </w:tcPr>
          <w:p w14:paraId="23C235E5" w14:textId="77777777" w:rsidR="008C752B" w:rsidRDefault="00CE4761">
            <w:pPr>
              <w:jc w:val="right"/>
            </w:pPr>
            <w:r>
              <w:rPr>
                <w:rFonts w:ascii="Arial" w:hAnsi="Arial"/>
                <w:sz w:val="18"/>
              </w:rPr>
              <w:t>73,693.74</w:t>
            </w:r>
          </w:p>
        </w:tc>
        <w:tc>
          <w:tcPr>
            <w:tcW w:w="1129" w:type="dxa"/>
            <w:shd w:val="clear" w:color="auto" w:fill="F2F6FC"/>
          </w:tcPr>
          <w:p w14:paraId="6C9A6669" w14:textId="77777777" w:rsidR="008C752B" w:rsidRDefault="00CE4761">
            <w:pPr>
              <w:jc w:val="right"/>
            </w:pPr>
            <w:r>
              <w:rPr>
                <w:rFonts w:ascii="Arial" w:hAnsi="Arial"/>
                <w:sz w:val="18"/>
              </w:rPr>
              <w:t>49,718.26</w:t>
            </w:r>
          </w:p>
        </w:tc>
        <w:tc>
          <w:tcPr>
            <w:tcW w:w="1129" w:type="dxa"/>
            <w:shd w:val="clear" w:color="auto" w:fill="F2F6FC"/>
          </w:tcPr>
          <w:p w14:paraId="7A57AA46" w14:textId="77777777" w:rsidR="008C752B" w:rsidRDefault="00CE4761">
            <w:pPr>
              <w:jc w:val="right"/>
            </w:pPr>
            <w:r>
              <w:rPr>
                <w:rFonts w:ascii="Arial" w:hAnsi="Arial"/>
                <w:sz w:val="18"/>
              </w:rPr>
              <w:t>0.34%</w:t>
            </w:r>
          </w:p>
        </w:tc>
        <w:tc>
          <w:tcPr>
            <w:tcW w:w="1129" w:type="dxa"/>
            <w:shd w:val="clear" w:color="auto" w:fill="F2F6FC"/>
          </w:tcPr>
          <w:p w14:paraId="102C416F" w14:textId="77777777" w:rsidR="008C752B" w:rsidRDefault="00CE4761">
            <w:pPr>
              <w:jc w:val="right"/>
            </w:pPr>
            <w:r>
              <w:rPr>
                <w:rFonts w:ascii="Arial" w:hAnsi="Arial"/>
                <w:sz w:val="18"/>
              </w:rPr>
              <w:t>3.42</w:t>
            </w:r>
          </w:p>
        </w:tc>
      </w:tr>
      <w:tr w:rsidR="008C752B" w14:paraId="5C2D065C" w14:textId="77777777">
        <w:trPr>
          <w:jc w:val="center"/>
        </w:trPr>
        <w:tc>
          <w:tcPr>
            <w:tcW w:w="1129" w:type="dxa"/>
          </w:tcPr>
          <w:p w14:paraId="2E07EA51" w14:textId="77777777" w:rsidR="008C752B" w:rsidRDefault="008C752B"/>
        </w:tc>
        <w:tc>
          <w:tcPr>
            <w:tcW w:w="1129" w:type="dxa"/>
          </w:tcPr>
          <w:p w14:paraId="00B4F887" w14:textId="77777777" w:rsidR="008C752B" w:rsidRDefault="00CE4761">
            <w:r>
              <w:rPr>
                <w:rFonts w:ascii="Arial" w:hAnsi="Arial"/>
                <w:sz w:val="18"/>
              </w:rPr>
              <w:t>**Total Portfolio**</w:t>
            </w:r>
          </w:p>
        </w:tc>
        <w:tc>
          <w:tcPr>
            <w:tcW w:w="1129" w:type="dxa"/>
          </w:tcPr>
          <w:p w14:paraId="39AEF104" w14:textId="77777777" w:rsidR="008C752B" w:rsidRDefault="00CE4761">
            <w:r>
              <w:rPr>
                <w:rFonts w:ascii="Arial" w:hAnsi="Arial"/>
                <w:sz w:val="18"/>
              </w:rPr>
              <w:t>**1,955**</w:t>
            </w:r>
          </w:p>
        </w:tc>
        <w:tc>
          <w:tcPr>
            <w:tcW w:w="1129" w:type="dxa"/>
          </w:tcPr>
          <w:p w14:paraId="0760F31C" w14:textId="77777777" w:rsidR="008C752B" w:rsidRDefault="00CE4761">
            <w:r>
              <w:rPr>
                <w:rFonts w:ascii="Arial" w:hAnsi="Arial"/>
                <w:sz w:val="18"/>
              </w:rPr>
              <w:t>**1,541.181902**</w:t>
            </w:r>
          </w:p>
        </w:tc>
        <w:tc>
          <w:tcPr>
            <w:tcW w:w="1129" w:type="dxa"/>
          </w:tcPr>
          <w:p w14:paraId="2D5B3125" w14:textId="77777777" w:rsidR="008C752B" w:rsidRDefault="00CE4761">
            <w:r>
              <w:rPr>
                <w:rFonts w:ascii="Arial" w:hAnsi="Arial"/>
                <w:sz w:val="18"/>
              </w:rPr>
              <w:t>**21,976,797.3**</w:t>
            </w:r>
          </w:p>
        </w:tc>
        <w:tc>
          <w:tcPr>
            <w:tcW w:w="1129" w:type="dxa"/>
          </w:tcPr>
          <w:p w14:paraId="1E792638" w14:textId="77777777" w:rsidR="008C752B" w:rsidRDefault="00CE4761">
            <w:r>
              <w:rPr>
                <w:rFonts w:ascii="Arial" w:hAnsi="Arial"/>
                <w:sz w:val="18"/>
              </w:rPr>
              <w:t>**15,280,174.14**</w:t>
            </w:r>
          </w:p>
        </w:tc>
        <w:tc>
          <w:tcPr>
            <w:tcW w:w="1129" w:type="dxa"/>
          </w:tcPr>
          <w:p w14:paraId="28BBFAA7" w14:textId="77777777" w:rsidR="008C752B" w:rsidRDefault="00CE4761">
            <w:r>
              <w:rPr>
                <w:rFonts w:ascii="Arial" w:hAnsi="Arial"/>
                <w:sz w:val="18"/>
              </w:rPr>
              <w:t>**100.00%**</w:t>
            </w:r>
          </w:p>
        </w:tc>
        <w:tc>
          <w:tcPr>
            <w:tcW w:w="1129" w:type="dxa"/>
          </w:tcPr>
          <w:p w14:paraId="4E8B9702" w14:textId="77777777" w:rsidR="008C752B" w:rsidRDefault="00CE4761">
            <w:r>
              <w:rPr>
                <w:rFonts w:ascii="Arial" w:hAnsi="Arial"/>
                <w:sz w:val="18"/>
              </w:rPr>
              <w:t>**3.36**</w:t>
            </w:r>
          </w:p>
        </w:tc>
      </w:tr>
    </w:tbl>
    <w:p w14:paraId="4659E112" w14:textId="77777777" w:rsidR="008C752B" w:rsidRDefault="00CE4761">
      <w:r>
        <w:rPr>
          <w:rFonts w:ascii="Arial" w:hAnsi="Arial"/>
          <w:i/>
          <w:sz w:val="16"/>
        </w:rPr>
        <w:lastRenderedPageBreak/>
        <w:t>Source: Source: Internal PCAF calculation system. Gross emissions represent unweighted attribution; weighted emissions apply PCAF confidence factors (0.45-1.00). Skor PCAF: 1 = verified data, 5 = sector-average proxy. Compliant with POJK 51/2017 Article 13 (Climate Risk Assessment).</w:t>
      </w:r>
    </w:p>
    <w:p w14:paraId="011C4DBA" w14:textId="77777777" w:rsidR="008C752B" w:rsidRDefault="008C752B"/>
    <w:p w14:paraId="35DE9869" w14:textId="77777777" w:rsidR="008C752B" w:rsidRDefault="00CE4761">
      <w:r>
        <w:rPr>
          <w:i/>
          <w:color w:val="3D6094"/>
          <w:sz w:val="18"/>
        </w:rPr>
        <w:t>Framework references: POJK No. 51/POJK.03/2017 Article 13 (Climate Risk Management); POJK No. 51/POJK.03/2017 Article 15 (Sustainable Finance Reporting); SE OJK Circular Letter on PSPK Implementation (Financed Emissions Disclosure); PCAF Global GHG Accounting Standard (2022) — Corporate Loans and Project Finance; GHG Protocol Corporate Value Chain (Scope 3) Standard — Category 15; Indonesia Enhanced NDC (2021) — 31.89% unconditional reduction target; Indonesia LTS-LCCR 2050 — Net Zero by 2060 commitment</w:t>
      </w:r>
    </w:p>
    <w:p w14:paraId="3789C4B2" w14:textId="77777777" w:rsidR="008C752B" w:rsidRDefault="008C752B">
      <w:pPr>
        <w:pBdr>
          <w:bottom w:val="single" w:sz="6" w:space="1" w:color="999999"/>
        </w:pBdr>
        <w:spacing w:after="80"/>
      </w:pPr>
    </w:p>
    <w:p w14:paraId="3B4BA9B8" w14:textId="77777777" w:rsidR="008C752B" w:rsidRDefault="00CE4761">
      <w:pPr>
        <w:spacing w:after="160"/>
        <w:jc w:val="both"/>
      </w:pPr>
      <w:r>
        <w:rPr>
          <w:rFonts w:ascii="Arial" w:hAnsi="Arial"/>
          <w:i/>
          <w:color w:val="646464"/>
          <w:sz w:val="18"/>
        </w:rPr>
        <w:t>These figures have not been subject to external assurance for the current reporting period.</w:t>
      </w:r>
    </w:p>
    <w:p w14:paraId="60BAD581" w14:textId="77777777" w:rsidR="008C752B" w:rsidRDefault="00CE4761">
      <w:pPr>
        <w:spacing w:after="160"/>
        <w:jc w:val="both"/>
      </w:pPr>
      <w:r>
        <w:rPr>
          <w:rFonts w:ascii="Arial" w:hAnsi="Arial"/>
          <w:i/>
          <w:color w:val="646464"/>
          <w:sz w:val="18"/>
        </w:rPr>
        <w:t>PCAF methodology applied: Corporate loans and project finance per PCAF Global GHG Accounting Standard (2022). Residential mortgages excluded pending methodology finalization.</w:t>
      </w:r>
    </w:p>
    <w:p w14:paraId="7A9D91A6" w14:textId="77777777" w:rsidR="008C752B" w:rsidRDefault="00CE4761">
      <w:pPr>
        <w:spacing w:after="160"/>
        <w:jc w:val="both"/>
      </w:pPr>
      <w:r>
        <w:rPr>
          <w:rFonts w:ascii="Arial" w:hAnsi="Arial"/>
          <w:i/>
          <w:color w:val="646464"/>
          <w:sz w:val="18"/>
        </w:rPr>
        <w:t>Indonesia grid emission factor: PLN National Grid 2023 = 0.7886 kg CO2/kWh (source: Ministry of Energy and Mineral Resources).</w:t>
      </w:r>
    </w:p>
    <w:p w14:paraId="09E97AB4" w14:textId="77777777" w:rsidR="008C752B" w:rsidRDefault="00CE4761">
      <w:pPr>
        <w:spacing w:after="160"/>
        <w:jc w:val="both"/>
      </w:pPr>
      <w:r>
        <w:rPr>
          <w:rFonts w:ascii="Arial" w:hAnsi="Arial"/>
          <w:i/>
          <w:color w:val="646464"/>
          <w:sz w:val="18"/>
        </w:rPr>
        <w:t>KBMI Classification: KBMI 3 (determines mandatory PCAF reporting scope under POJK 51/2017).</w:t>
      </w:r>
    </w:p>
    <w:p w14:paraId="5D15065C" w14:textId="77777777" w:rsidR="008C752B" w:rsidRDefault="00CE4761">
      <w:pPr>
        <w:spacing w:after="160"/>
        <w:jc w:val="both"/>
      </w:pPr>
      <w:r>
        <w:rPr>
          <w:rFonts w:ascii="Arial" w:hAnsi="Arial"/>
          <w:i/>
          <w:color w:val="646464"/>
          <w:sz w:val="18"/>
        </w:rPr>
        <w:t>Sector classification follows NACE Rev. 2 (Statistical Classification of Economic Activities in the European Community), adapted for Indonesian context per OJK Circular Letter.</w:t>
      </w:r>
    </w:p>
    <w:p w14:paraId="0AA1CF64" w14:textId="77777777" w:rsidR="008C752B" w:rsidRDefault="00CE4761">
      <w:pPr>
        <w:spacing w:after="160"/>
        <w:jc w:val="both"/>
      </w:pPr>
      <w:r>
        <w:rPr>
          <w:rFonts w:ascii="Arial" w:hAnsi="Arial"/>
          <w:i/>
          <w:color w:val="646464"/>
          <w:sz w:val="18"/>
        </w:rPr>
        <w:t>Confidence-weighted emissions apply PCAF Tier-based factors: Tier 1 = 1.00, Tier 2 = 0.90, Tier 3 = 0.75, Tier 4 = 0.60, Tier 5 = 0.45. Weighted total will always be ≤ gross total.</w:t>
      </w:r>
    </w:p>
    <w:p w14:paraId="7C9DEC3E" w14:textId="77777777" w:rsidR="008C752B" w:rsidRDefault="00CE4761">
      <w:pPr>
        <w:spacing w:after="160"/>
        <w:jc w:val="both"/>
      </w:pPr>
      <w:r>
        <w:rPr>
          <w:rFonts w:ascii="Arial" w:hAnsi="Arial"/>
          <w:i/>
          <w:color w:val="646464"/>
          <w:sz w:val="18"/>
        </w:rPr>
        <w:t>Portfolio coverage: 100% of corporate loan book by outstanding value. Consumer loans, credit cards, and sovereign exposures excluded from Scope 3 Category 15 calculation.</w:t>
      </w:r>
    </w:p>
    <w:p w14:paraId="517CFA36" w14:textId="77777777" w:rsidR="008C752B" w:rsidRDefault="00CE4761">
      <w:pPr>
        <w:spacing w:after="160"/>
        <w:jc w:val="both"/>
      </w:pPr>
      <w:r>
        <w:rPr>
          <w:rFonts w:ascii="Arial" w:hAnsi="Arial"/>
          <w:i/>
          <w:color w:val="646464"/>
          <w:sz w:val="18"/>
        </w:rPr>
        <w:t>Indonesia Enhanced NDC: 31.89% unconditional emission reduction by 2030 (baseline: business-as-usual scenario). Net Zero target: 2060 or sooner per LTS-LCCR 2050.</w:t>
      </w:r>
    </w:p>
    <w:p w14:paraId="4297D4D7" w14:textId="77777777" w:rsidR="008C752B" w:rsidRDefault="00CE4761">
      <w:r>
        <w:br w:type="page"/>
      </w:r>
    </w:p>
    <w:p w14:paraId="55CD132C" w14:textId="77777777" w:rsidR="008C752B" w:rsidRDefault="00CE4761">
      <w:pPr>
        <w:pStyle w:val="Heading1"/>
        <w:spacing w:after="240"/>
      </w:pPr>
      <w:bookmarkStart w:id="11" w:name="_Toc231550616"/>
      <w:r>
        <w:rPr>
          <w:rFonts w:ascii="Arial" w:hAnsi="Arial"/>
          <w:color w:val="1B3A6B"/>
          <w:sz w:val="36"/>
        </w:rPr>
        <w:lastRenderedPageBreak/>
        <w:t>Executive Summary: Total GHG Emissions</w:t>
      </w:r>
      <w:bookmarkEnd w:id="11"/>
    </w:p>
    <w:p w14:paraId="37655B5F" w14:textId="77777777" w:rsidR="008C752B" w:rsidRDefault="00CE4761">
      <w:pPr>
        <w:spacing w:after="160"/>
        <w:jc w:val="both"/>
      </w:pPr>
      <w:r>
        <w:rPr>
          <w:rFonts w:ascii="Arial" w:hAnsi="Arial"/>
        </w:rPr>
        <w:t>For the reporting period ending December 31, 2024, the institution's total greenhouse gas footprint was 21,995,814.173 tCO2e. This figure comprises direct emissions from owned or controlled sources (Scope 1), indirect emissions from purchased electricity (Scope 2 market-based), and financed emissions from the lending and investment portfolio (Scope 3 Category 15). The institution applied the GHG Protocol Corporate Accounting and Reporting Standard for operational emissions and the Partnership for Carbon Acc</w:t>
      </w:r>
      <w:r>
        <w:rPr>
          <w:rFonts w:ascii="Arial" w:hAnsi="Arial"/>
        </w:rPr>
        <w:t>ounting Financials (PCAF) Global GHG Accounting and Reporting Standard for financed emissions.</w:t>
      </w:r>
    </w:p>
    <w:p w14:paraId="466F23ED" w14:textId="77777777" w:rsidR="008C752B" w:rsidRDefault="00CE4761">
      <w:pPr>
        <w:spacing w:after="160"/>
        <w:jc w:val="both"/>
      </w:pPr>
      <w:r>
        <w:rPr>
          <w:rFonts w:ascii="Arial" w:hAnsi="Arial"/>
        </w:rPr>
        <w:t>Scope 1 emissions totaled 3,402.997 tCO2e, representing 0.02% of the total footprint. These emissions originated from natural gas combustion (1,199.7924 tCO2e) and diesel fuel consumption (2,203.2044 tCO2e) across operational facilities. Scope 2 market-based emissions totaled 44,612.518 tCO2e, representing 0.20% of the total footprint. Scope 3 Category 15 financed emissions constituted 21,976,797.3 tCO2e, representing 99.78% of the total footprint. The institution also reports a location-based Scope 2 total</w:t>
      </w:r>
      <w:r>
        <w:rPr>
          <w:rFonts w:ascii="Arial" w:hAnsi="Arial"/>
        </w:rPr>
        <w:t xml:space="preserve"> of 44,613.876 tCO2e for supplementary disclosure purposes.</w:t>
      </w:r>
    </w:p>
    <w:p w14:paraId="30C221D3" w14:textId="77777777" w:rsidR="008C752B" w:rsidRDefault="00CE4761">
      <w:pPr>
        <w:spacing w:after="160"/>
        <w:jc w:val="both"/>
      </w:pPr>
      <w:r>
        <w:rPr>
          <w:rFonts w:ascii="Arial" w:hAnsi="Arial"/>
        </w:rPr>
        <w:t>The institution's emission intensity metrics for 2024 were 239.400139 tCO2e per IDR billion of revenue and 1.9209 tCO2e per full-time equivalent employee. Compared to the prior reporting period (2023), total emissions decreased by 4.07%. This reduction was driven by a 15,280,174.14 tCO2e weighted financed emissions figure after applying PCAF attribution factors, compared to 15,576,239.57 tCO2e in 2023. Operational emissions (Scope 1 and Scope 2 combined) increased marginally from 47,923.961 tCO2e in 2023 to</w:t>
      </w:r>
      <w:r>
        <w:rPr>
          <w:rFonts w:ascii="Arial" w:hAnsi="Arial"/>
        </w:rPr>
        <w:t xml:space="preserve"> 48,015.515 tCO2e in 2024.</w:t>
      </w:r>
    </w:p>
    <w:p w14:paraId="2298769E" w14:textId="77777777" w:rsidR="008C752B" w:rsidRDefault="00CE4761">
      <w:pPr>
        <w:spacing w:after="160"/>
        <w:jc w:val="both"/>
      </w:pPr>
      <w:r>
        <w:rPr>
          <w:rFonts w:ascii="Arial" w:hAnsi="Arial"/>
        </w:rPr>
        <w:t xml:space="preserve">The average PCAF data quality score for the financed emissions portfolio was 3.36 on a scale of 1 (highest quality) to 5 (lowest quality). This score reflects the institution's reliance on sector-average emission factors and financial data for the majority of borrower emissions calculations. The institution has established a data quality improvement roadmap targeting enhanced borrower-specific emissions data collection for high-materiality sectors, with priority given to Energy - Oil &amp; Gas, Manufacturing - </w:t>
      </w:r>
      <w:r>
        <w:rPr>
          <w:rFonts w:ascii="Arial" w:hAnsi="Arial"/>
        </w:rPr>
        <w:t>Cement, and Manufacturing - Steel portfolios, which collectively represent 85.93% of total financed emissions.</w:t>
      </w:r>
    </w:p>
    <w:p w14:paraId="4E0B5281" w14:textId="77777777" w:rsidR="008C752B" w:rsidRDefault="00CE4761">
      <w:r>
        <w:rPr>
          <w:rFonts w:ascii="Arial" w:hAnsi="Arial"/>
          <w:b/>
          <w:sz w:val="20"/>
        </w:rPr>
        <w:t>Table 1: Total GHG Emissions by Scope (2024)</w:t>
      </w:r>
    </w:p>
    <w:tbl>
      <w:tblPr>
        <w:tblW w:w="0" w:type="auto"/>
        <w:jc w:val="center"/>
        <w:tblLook w:val="04A0" w:firstRow="1" w:lastRow="0" w:firstColumn="1" w:lastColumn="0" w:noHBand="0" w:noVBand="1"/>
      </w:tblPr>
      <w:tblGrid>
        <w:gridCol w:w="3010"/>
        <w:gridCol w:w="3010"/>
        <w:gridCol w:w="3010"/>
      </w:tblGrid>
      <w:tr w:rsidR="008C752B" w14:paraId="726B2E3F" w14:textId="77777777">
        <w:trPr>
          <w:jc w:val="center"/>
        </w:trPr>
        <w:tc>
          <w:tcPr>
            <w:tcW w:w="3010" w:type="dxa"/>
            <w:shd w:val="clear" w:color="auto" w:fill="1B3A6B"/>
          </w:tcPr>
          <w:p w14:paraId="2369072A" w14:textId="77777777" w:rsidR="008C752B" w:rsidRDefault="00CE4761">
            <w:r>
              <w:rPr>
                <w:rFonts w:ascii="Arial" w:hAnsi="Arial"/>
                <w:b/>
                <w:color w:val="FFFFFF"/>
                <w:sz w:val="18"/>
              </w:rPr>
              <w:t>Scope</w:t>
            </w:r>
          </w:p>
        </w:tc>
        <w:tc>
          <w:tcPr>
            <w:tcW w:w="3010" w:type="dxa"/>
            <w:shd w:val="clear" w:color="auto" w:fill="1B3A6B"/>
          </w:tcPr>
          <w:p w14:paraId="0F44AA1B" w14:textId="77777777" w:rsidR="008C752B" w:rsidRDefault="00CE4761">
            <w:r>
              <w:rPr>
                <w:rFonts w:ascii="Arial" w:hAnsi="Arial"/>
                <w:b/>
                <w:color w:val="FFFFFF"/>
                <w:sz w:val="18"/>
              </w:rPr>
              <w:t>Emissions (tCO2e)</w:t>
            </w:r>
          </w:p>
        </w:tc>
        <w:tc>
          <w:tcPr>
            <w:tcW w:w="3010" w:type="dxa"/>
            <w:shd w:val="clear" w:color="auto" w:fill="1B3A6B"/>
          </w:tcPr>
          <w:p w14:paraId="583E8B19" w14:textId="77777777" w:rsidR="008C752B" w:rsidRDefault="00CE4761">
            <w:r>
              <w:rPr>
                <w:rFonts w:ascii="Arial" w:hAnsi="Arial"/>
                <w:b/>
                <w:color w:val="FFFFFF"/>
                <w:sz w:val="18"/>
              </w:rPr>
              <w:t>Percentage of Total (%)</w:t>
            </w:r>
          </w:p>
        </w:tc>
      </w:tr>
      <w:tr w:rsidR="008C752B" w14:paraId="6B1D7E54" w14:textId="77777777">
        <w:trPr>
          <w:jc w:val="center"/>
        </w:trPr>
        <w:tc>
          <w:tcPr>
            <w:tcW w:w="3010" w:type="dxa"/>
          </w:tcPr>
          <w:p w14:paraId="14DA23DF" w14:textId="77777777" w:rsidR="008C752B" w:rsidRDefault="00CE4761">
            <w:r>
              <w:rPr>
                <w:rFonts w:ascii="Arial" w:hAnsi="Arial"/>
                <w:sz w:val="18"/>
              </w:rPr>
              <w:t>Scope 1 (Direct)</w:t>
            </w:r>
          </w:p>
        </w:tc>
        <w:tc>
          <w:tcPr>
            <w:tcW w:w="3010" w:type="dxa"/>
          </w:tcPr>
          <w:p w14:paraId="0F9ED497" w14:textId="77777777" w:rsidR="008C752B" w:rsidRDefault="00CE4761">
            <w:pPr>
              <w:jc w:val="right"/>
            </w:pPr>
            <w:r>
              <w:rPr>
                <w:rFonts w:ascii="Arial" w:hAnsi="Arial"/>
                <w:sz w:val="18"/>
              </w:rPr>
              <w:t>3,402.997</w:t>
            </w:r>
          </w:p>
        </w:tc>
        <w:tc>
          <w:tcPr>
            <w:tcW w:w="3010" w:type="dxa"/>
          </w:tcPr>
          <w:p w14:paraId="5B4E6FA2" w14:textId="77777777" w:rsidR="008C752B" w:rsidRDefault="00CE4761">
            <w:pPr>
              <w:jc w:val="right"/>
            </w:pPr>
            <w:r>
              <w:rPr>
                <w:rFonts w:ascii="Arial" w:hAnsi="Arial"/>
                <w:sz w:val="18"/>
              </w:rPr>
              <w:t>0.02</w:t>
            </w:r>
          </w:p>
        </w:tc>
      </w:tr>
      <w:tr w:rsidR="008C752B" w14:paraId="00C36F9A" w14:textId="77777777">
        <w:trPr>
          <w:jc w:val="center"/>
        </w:trPr>
        <w:tc>
          <w:tcPr>
            <w:tcW w:w="3010" w:type="dxa"/>
            <w:shd w:val="clear" w:color="auto" w:fill="F2F6FC"/>
          </w:tcPr>
          <w:p w14:paraId="65844C9B" w14:textId="77777777" w:rsidR="008C752B" w:rsidRDefault="00CE4761">
            <w:r>
              <w:rPr>
                <w:rFonts w:ascii="Arial" w:hAnsi="Arial"/>
                <w:sz w:val="18"/>
              </w:rPr>
              <w:t>Scope 2 (Market-based)</w:t>
            </w:r>
          </w:p>
        </w:tc>
        <w:tc>
          <w:tcPr>
            <w:tcW w:w="3010" w:type="dxa"/>
            <w:shd w:val="clear" w:color="auto" w:fill="F2F6FC"/>
          </w:tcPr>
          <w:p w14:paraId="1F7BCC53" w14:textId="77777777" w:rsidR="008C752B" w:rsidRDefault="00CE4761">
            <w:pPr>
              <w:jc w:val="right"/>
            </w:pPr>
            <w:r>
              <w:rPr>
                <w:rFonts w:ascii="Arial" w:hAnsi="Arial"/>
                <w:sz w:val="18"/>
              </w:rPr>
              <w:t>44,612.518</w:t>
            </w:r>
          </w:p>
        </w:tc>
        <w:tc>
          <w:tcPr>
            <w:tcW w:w="3010" w:type="dxa"/>
            <w:shd w:val="clear" w:color="auto" w:fill="F2F6FC"/>
          </w:tcPr>
          <w:p w14:paraId="6B5A42D9" w14:textId="77777777" w:rsidR="008C752B" w:rsidRDefault="00CE4761">
            <w:pPr>
              <w:jc w:val="right"/>
            </w:pPr>
            <w:r>
              <w:rPr>
                <w:rFonts w:ascii="Arial" w:hAnsi="Arial"/>
                <w:sz w:val="18"/>
              </w:rPr>
              <w:t>0.20</w:t>
            </w:r>
          </w:p>
        </w:tc>
      </w:tr>
      <w:tr w:rsidR="008C752B" w14:paraId="55427273" w14:textId="77777777">
        <w:trPr>
          <w:jc w:val="center"/>
        </w:trPr>
        <w:tc>
          <w:tcPr>
            <w:tcW w:w="3010" w:type="dxa"/>
          </w:tcPr>
          <w:p w14:paraId="649D28A8" w14:textId="77777777" w:rsidR="008C752B" w:rsidRDefault="00CE4761">
            <w:r>
              <w:rPr>
                <w:rFonts w:ascii="Arial" w:hAnsi="Arial"/>
                <w:sz w:val="18"/>
              </w:rPr>
              <w:t>Scope 2 (Location-based)</w:t>
            </w:r>
          </w:p>
        </w:tc>
        <w:tc>
          <w:tcPr>
            <w:tcW w:w="3010" w:type="dxa"/>
          </w:tcPr>
          <w:p w14:paraId="7C2D9A55" w14:textId="77777777" w:rsidR="008C752B" w:rsidRDefault="00CE4761">
            <w:pPr>
              <w:jc w:val="right"/>
            </w:pPr>
            <w:r>
              <w:rPr>
                <w:rFonts w:ascii="Arial" w:hAnsi="Arial"/>
                <w:sz w:val="18"/>
              </w:rPr>
              <w:t>44,613.876</w:t>
            </w:r>
          </w:p>
        </w:tc>
        <w:tc>
          <w:tcPr>
            <w:tcW w:w="3010" w:type="dxa"/>
          </w:tcPr>
          <w:p w14:paraId="7C86AA5B" w14:textId="77777777" w:rsidR="008C752B" w:rsidRDefault="00CE4761">
            <w:pPr>
              <w:jc w:val="right"/>
            </w:pPr>
            <w:r>
              <w:rPr>
                <w:rFonts w:ascii="Arial" w:hAnsi="Arial"/>
                <w:sz w:val="18"/>
              </w:rPr>
              <w:t>0.20</w:t>
            </w:r>
          </w:p>
        </w:tc>
      </w:tr>
      <w:tr w:rsidR="008C752B" w14:paraId="160D105D" w14:textId="77777777">
        <w:trPr>
          <w:jc w:val="center"/>
        </w:trPr>
        <w:tc>
          <w:tcPr>
            <w:tcW w:w="3010" w:type="dxa"/>
            <w:shd w:val="clear" w:color="auto" w:fill="F2F6FC"/>
          </w:tcPr>
          <w:p w14:paraId="712D7653" w14:textId="77777777" w:rsidR="008C752B" w:rsidRDefault="00CE4761">
            <w:r>
              <w:rPr>
                <w:rFonts w:ascii="Arial" w:hAnsi="Arial"/>
                <w:sz w:val="18"/>
              </w:rPr>
              <w:t>Scope 3 Category 15 (Gross)</w:t>
            </w:r>
          </w:p>
        </w:tc>
        <w:tc>
          <w:tcPr>
            <w:tcW w:w="3010" w:type="dxa"/>
            <w:shd w:val="clear" w:color="auto" w:fill="F2F6FC"/>
          </w:tcPr>
          <w:p w14:paraId="7821321B" w14:textId="77777777" w:rsidR="008C752B" w:rsidRDefault="00CE4761">
            <w:pPr>
              <w:jc w:val="right"/>
            </w:pPr>
            <w:r>
              <w:rPr>
                <w:rFonts w:ascii="Arial" w:hAnsi="Arial"/>
                <w:sz w:val="18"/>
              </w:rPr>
              <w:t>21,976,797.3</w:t>
            </w:r>
          </w:p>
        </w:tc>
        <w:tc>
          <w:tcPr>
            <w:tcW w:w="3010" w:type="dxa"/>
            <w:shd w:val="clear" w:color="auto" w:fill="F2F6FC"/>
          </w:tcPr>
          <w:p w14:paraId="2C8C1BA3" w14:textId="77777777" w:rsidR="008C752B" w:rsidRDefault="00CE4761">
            <w:pPr>
              <w:jc w:val="right"/>
            </w:pPr>
            <w:r>
              <w:rPr>
                <w:rFonts w:ascii="Arial" w:hAnsi="Arial"/>
                <w:sz w:val="18"/>
              </w:rPr>
              <w:t>99.78</w:t>
            </w:r>
          </w:p>
        </w:tc>
      </w:tr>
      <w:tr w:rsidR="008C752B" w14:paraId="05E30216" w14:textId="77777777">
        <w:trPr>
          <w:jc w:val="center"/>
        </w:trPr>
        <w:tc>
          <w:tcPr>
            <w:tcW w:w="3010" w:type="dxa"/>
          </w:tcPr>
          <w:p w14:paraId="0E397297" w14:textId="77777777" w:rsidR="008C752B" w:rsidRDefault="00CE4761">
            <w:r>
              <w:rPr>
                <w:rFonts w:ascii="Arial" w:hAnsi="Arial"/>
                <w:sz w:val="18"/>
              </w:rPr>
              <w:t>Total (Market-based)</w:t>
            </w:r>
          </w:p>
        </w:tc>
        <w:tc>
          <w:tcPr>
            <w:tcW w:w="3010" w:type="dxa"/>
          </w:tcPr>
          <w:p w14:paraId="4CEDC42D" w14:textId="77777777" w:rsidR="008C752B" w:rsidRDefault="00CE4761">
            <w:pPr>
              <w:jc w:val="right"/>
            </w:pPr>
            <w:r>
              <w:rPr>
                <w:rFonts w:ascii="Arial" w:hAnsi="Arial"/>
                <w:sz w:val="18"/>
              </w:rPr>
              <w:t>21,995,814.173</w:t>
            </w:r>
          </w:p>
        </w:tc>
        <w:tc>
          <w:tcPr>
            <w:tcW w:w="3010" w:type="dxa"/>
          </w:tcPr>
          <w:p w14:paraId="588BCA76" w14:textId="77777777" w:rsidR="008C752B" w:rsidRDefault="00CE4761">
            <w:pPr>
              <w:jc w:val="right"/>
            </w:pPr>
            <w:r>
              <w:rPr>
                <w:rFonts w:ascii="Arial" w:hAnsi="Arial"/>
                <w:sz w:val="18"/>
              </w:rPr>
              <w:t>100.00</w:t>
            </w:r>
          </w:p>
        </w:tc>
      </w:tr>
    </w:tbl>
    <w:p w14:paraId="70D3CB13" w14:textId="77777777" w:rsidR="008C752B" w:rsidRDefault="00CE4761">
      <w:r>
        <w:rPr>
          <w:rFonts w:ascii="Arial" w:hAnsi="Arial"/>
          <w:i/>
          <w:sz w:val="16"/>
        </w:rPr>
        <w:t>Source: Scope 2 market-based figure used for total calculation per GHG Protocol hierarchy. Location-based figure provided for supplementary disclosure.</w:t>
      </w:r>
    </w:p>
    <w:p w14:paraId="082283E1" w14:textId="77777777" w:rsidR="008C752B" w:rsidRDefault="008C752B"/>
    <w:p w14:paraId="2F29F87A" w14:textId="77777777" w:rsidR="008C752B" w:rsidRDefault="008C752B">
      <w:pPr>
        <w:pBdr>
          <w:bottom w:val="single" w:sz="6" w:space="1" w:color="999999"/>
        </w:pBdr>
        <w:spacing w:after="80"/>
      </w:pPr>
    </w:p>
    <w:p w14:paraId="782E1A76" w14:textId="77777777" w:rsidR="008C752B" w:rsidRDefault="00CE4761">
      <w:pPr>
        <w:spacing w:after="160"/>
        <w:jc w:val="both"/>
      </w:pPr>
      <w:r>
        <w:rPr>
          <w:rFonts w:ascii="Arial" w:hAnsi="Arial"/>
          <w:i/>
          <w:color w:val="646464"/>
          <w:sz w:val="18"/>
        </w:rPr>
        <w:t>These figures have not been subject to external assurance for the current reporting period.</w:t>
      </w:r>
    </w:p>
    <w:p w14:paraId="1BBA1F46" w14:textId="77777777" w:rsidR="008C752B" w:rsidRDefault="00CE4761">
      <w:pPr>
        <w:spacing w:after="160"/>
        <w:jc w:val="both"/>
      </w:pPr>
      <w:r>
        <w:rPr>
          <w:rFonts w:ascii="Arial" w:hAnsi="Arial"/>
          <w:i/>
          <w:color w:val="646464"/>
          <w:sz w:val="18"/>
        </w:rPr>
        <w:t>Scope 3 Category 15 financed emissions calculated using the Partnership for Carbon Accounting Financials (PCAF) Global GHG Accounting and Reporting Standard. Gross emissions represent total borrower emissions attributed to the institution's financing. Weighted emissions (15,280,174.14 tCO2e) reflect attribution factors based on the institution's proportional share of borrower financing.</w:t>
      </w:r>
    </w:p>
    <w:p w14:paraId="4E4E8464" w14:textId="77777777" w:rsidR="008C752B" w:rsidRDefault="00CE4761">
      <w:pPr>
        <w:spacing w:after="160"/>
        <w:jc w:val="both"/>
      </w:pPr>
      <w:r>
        <w:rPr>
          <w:rFonts w:ascii="Arial" w:hAnsi="Arial"/>
          <w:i/>
          <w:color w:val="646464"/>
          <w:sz w:val="18"/>
        </w:rPr>
        <w:t>The institution applies operational control as the consolidation approach for Scope 1 and Scope 2 emissions. All facilities where the institution has the authority to introduce and implement operating policies are included in the inventory boundary.</w:t>
      </w:r>
    </w:p>
    <w:p w14:paraId="3539C081" w14:textId="77777777" w:rsidR="008C752B" w:rsidRDefault="00CE4761">
      <w:r>
        <w:br w:type="page"/>
      </w:r>
    </w:p>
    <w:p w14:paraId="039AD5FB" w14:textId="77777777" w:rsidR="008C752B" w:rsidRDefault="00CE4761">
      <w:pPr>
        <w:pStyle w:val="Heading1"/>
        <w:spacing w:after="240"/>
      </w:pPr>
      <w:bookmarkStart w:id="12" w:name="_Toc231550617"/>
      <w:r>
        <w:rPr>
          <w:rFonts w:ascii="Arial" w:hAnsi="Arial"/>
          <w:color w:val="1B3A6B"/>
          <w:sz w:val="36"/>
        </w:rPr>
        <w:lastRenderedPageBreak/>
        <w:t>Appendix A: Methodology Notes</w:t>
      </w:r>
      <w:bookmarkEnd w:id="12"/>
    </w:p>
    <w:p w14:paraId="660FABBD" w14:textId="77777777" w:rsidR="008C752B" w:rsidRDefault="00CE4761">
      <w:pPr>
        <w:spacing w:after="160"/>
        <w:jc w:val="both"/>
      </w:pPr>
      <w:r>
        <w:rPr>
          <w:rFonts w:ascii="Arial" w:hAnsi="Arial"/>
        </w:rPr>
        <w:t>This report applies the GHG Protocol Corporate Accounting and Reporting Standard (Revised 2015) for Scope 1 and 2 emissions, and the PCAF Global GHG Accounting and Reporting Standard Part A (2022) for Scope 3 Category 15 financed emissions. GWP values from IPCC AR6 (GWP100): CH4 = 29.8, N2O = 273.0.</w:t>
      </w:r>
    </w:p>
    <w:p w14:paraId="023C5C4A" w14:textId="77777777" w:rsidR="008C752B" w:rsidRDefault="00CE4761">
      <w:pPr>
        <w:pStyle w:val="Heading1"/>
        <w:spacing w:after="240"/>
      </w:pPr>
      <w:bookmarkStart w:id="13" w:name="_Toc231550618"/>
      <w:r>
        <w:rPr>
          <w:rFonts w:ascii="Arial" w:hAnsi="Arial"/>
          <w:color w:val="1B3A6B"/>
          <w:sz w:val="36"/>
        </w:rPr>
        <w:t>Appendix B: Data Quality Summary</w:t>
      </w:r>
      <w:bookmarkEnd w:id="13"/>
    </w:p>
    <w:p w14:paraId="60AD2234" w14:textId="77777777" w:rsidR="008C752B" w:rsidRDefault="00CE4761">
      <w:pPr>
        <w:spacing w:after="160"/>
        <w:jc w:val="both"/>
      </w:pPr>
      <w:r>
        <w:rPr>
          <w:rFonts w:ascii="Arial" w:hAnsi="Arial"/>
        </w:rPr>
        <w:t>Data quality is assessed per the PCAF data quality scoring framework (1-5) and the GHG Protocol data quality indicators. Portfolio-weighted PCAF score and data completeness percentage are reported in the main body.</w:t>
      </w:r>
    </w:p>
    <w:p w14:paraId="6D05FBE2" w14:textId="77777777" w:rsidR="008C752B" w:rsidRDefault="00CE4761">
      <w:pPr>
        <w:pStyle w:val="Heading1"/>
        <w:spacing w:after="240"/>
      </w:pPr>
      <w:bookmarkStart w:id="14" w:name="_Toc231550619"/>
      <w:r>
        <w:rPr>
          <w:rFonts w:ascii="Arial" w:hAnsi="Arial"/>
          <w:color w:val="1B3A6B"/>
          <w:sz w:val="36"/>
        </w:rPr>
        <w:t>Appendix C: GRI Content Index</w:t>
      </w:r>
      <w:bookmarkEnd w:id="14"/>
    </w:p>
    <w:p w14:paraId="199CF987" w14:textId="77777777" w:rsidR="008C752B" w:rsidRDefault="00CE4761">
      <w:r>
        <w:rPr>
          <w:rFonts w:ascii="Arial" w:hAnsi="Arial"/>
          <w:b/>
          <w:sz w:val="20"/>
        </w:rPr>
        <w:t>GRI Standards Content Index</w:t>
      </w:r>
    </w:p>
    <w:tbl>
      <w:tblPr>
        <w:tblW w:w="0" w:type="auto"/>
        <w:jc w:val="center"/>
        <w:tblLook w:val="04A0" w:firstRow="1" w:lastRow="0" w:firstColumn="1" w:lastColumn="0" w:noHBand="0" w:noVBand="1"/>
      </w:tblPr>
      <w:tblGrid>
        <w:gridCol w:w="2257"/>
        <w:gridCol w:w="2257"/>
        <w:gridCol w:w="2257"/>
        <w:gridCol w:w="2257"/>
      </w:tblGrid>
      <w:tr w:rsidR="008C752B" w14:paraId="1FB66649" w14:textId="77777777">
        <w:trPr>
          <w:jc w:val="center"/>
        </w:trPr>
        <w:tc>
          <w:tcPr>
            <w:tcW w:w="2257" w:type="dxa"/>
            <w:shd w:val="clear" w:color="auto" w:fill="1B3A6B"/>
          </w:tcPr>
          <w:p w14:paraId="361D5D3A" w14:textId="77777777" w:rsidR="008C752B" w:rsidRDefault="00CE4761">
            <w:r>
              <w:rPr>
                <w:rFonts w:ascii="Arial" w:hAnsi="Arial"/>
                <w:b/>
                <w:color w:val="FFFFFF"/>
                <w:sz w:val="18"/>
              </w:rPr>
              <w:t>GRI Standard</w:t>
            </w:r>
          </w:p>
        </w:tc>
        <w:tc>
          <w:tcPr>
            <w:tcW w:w="2257" w:type="dxa"/>
            <w:shd w:val="clear" w:color="auto" w:fill="1B3A6B"/>
          </w:tcPr>
          <w:p w14:paraId="1F8E41DB" w14:textId="77777777" w:rsidR="008C752B" w:rsidRDefault="00CE4761">
            <w:r>
              <w:rPr>
                <w:rFonts w:ascii="Arial" w:hAnsi="Arial"/>
                <w:b/>
                <w:color w:val="FFFFFF"/>
                <w:sz w:val="18"/>
              </w:rPr>
              <w:t>Disclosure</w:t>
            </w:r>
          </w:p>
        </w:tc>
        <w:tc>
          <w:tcPr>
            <w:tcW w:w="2257" w:type="dxa"/>
            <w:shd w:val="clear" w:color="auto" w:fill="1B3A6B"/>
          </w:tcPr>
          <w:p w14:paraId="2F81227C" w14:textId="77777777" w:rsidR="008C752B" w:rsidRDefault="00CE4761">
            <w:r>
              <w:rPr>
                <w:rFonts w:ascii="Arial" w:hAnsi="Arial"/>
                <w:b/>
                <w:color w:val="FFFFFF"/>
                <w:sz w:val="18"/>
              </w:rPr>
              <w:t>Section Reference</w:t>
            </w:r>
          </w:p>
        </w:tc>
        <w:tc>
          <w:tcPr>
            <w:tcW w:w="2257" w:type="dxa"/>
            <w:shd w:val="clear" w:color="auto" w:fill="1B3A6B"/>
          </w:tcPr>
          <w:p w14:paraId="0814C42B" w14:textId="77777777" w:rsidR="008C752B" w:rsidRDefault="00CE4761">
            <w:r>
              <w:rPr>
                <w:rFonts w:ascii="Arial" w:hAnsi="Arial"/>
                <w:b/>
                <w:color w:val="FFFFFF"/>
                <w:sz w:val="18"/>
              </w:rPr>
              <w:t>Omission</w:t>
            </w:r>
          </w:p>
        </w:tc>
      </w:tr>
      <w:tr w:rsidR="008C752B" w14:paraId="50E6CCAF" w14:textId="77777777">
        <w:trPr>
          <w:jc w:val="center"/>
        </w:trPr>
        <w:tc>
          <w:tcPr>
            <w:tcW w:w="2257" w:type="dxa"/>
          </w:tcPr>
          <w:p w14:paraId="337ECEFE" w14:textId="77777777" w:rsidR="008C752B" w:rsidRDefault="00CE4761">
            <w:r>
              <w:rPr>
                <w:rFonts w:ascii="Arial" w:hAnsi="Arial"/>
                <w:sz w:val="18"/>
              </w:rPr>
              <w:t>GRI 305-1</w:t>
            </w:r>
          </w:p>
        </w:tc>
        <w:tc>
          <w:tcPr>
            <w:tcW w:w="2257" w:type="dxa"/>
          </w:tcPr>
          <w:p w14:paraId="22D7C343" w14:textId="77777777" w:rsidR="008C752B" w:rsidRDefault="00CE4761">
            <w:r>
              <w:rPr>
                <w:rFonts w:ascii="Arial" w:hAnsi="Arial"/>
                <w:sz w:val="18"/>
              </w:rPr>
              <w:t>Direct (Scope 1) GHG emissions</w:t>
            </w:r>
          </w:p>
        </w:tc>
        <w:tc>
          <w:tcPr>
            <w:tcW w:w="2257" w:type="dxa"/>
          </w:tcPr>
          <w:p w14:paraId="4A6AA4C6" w14:textId="77777777" w:rsidR="008C752B" w:rsidRDefault="00CE4761">
            <w:r>
              <w:rPr>
                <w:rFonts w:ascii="Arial" w:hAnsi="Arial"/>
                <w:sz w:val="18"/>
              </w:rPr>
              <w:t>Section: Scope 1</w:t>
            </w:r>
          </w:p>
        </w:tc>
        <w:tc>
          <w:tcPr>
            <w:tcW w:w="2257" w:type="dxa"/>
          </w:tcPr>
          <w:p w14:paraId="78402C0C" w14:textId="77777777" w:rsidR="008C752B" w:rsidRDefault="00CE4761">
            <w:r>
              <w:rPr>
                <w:rFonts w:ascii="Arial" w:hAnsi="Arial"/>
                <w:sz w:val="18"/>
              </w:rPr>
              <w:t>None</w:t>
            </w:r>
          </w:p>
        </w:tc>
      </w:tr>
      <w:tr w:rsidR="008C752B" w14:paraId="3B6770E9" w14:textId="77777777">
        <w:trPr>
          <w:jc w:val="center"/>
        </w:trPr>
        <w:tc>
          <w:tcPr>
            <w:tcW w:w="2257" w:type="dxa"/>
            <w:shd w:val="clear" w:color="auto" w:fill="F2F6FC"/>
          </w:tcPr>
          <w:p w14:paraId="41472706" w14:textId="77777777" w:rsidR="008C752B" w:rsidRDefault="00CE4761">
            <w:r>
              <w:rPr>
                <w:rFonts w:ascii="Arial" w:hAnsi="Arial"/>
                <w:sz w:val="18"/>
              </w:rPr>
              <w:t>GRI 305-2</w:t>
            </w:r>
          </w:p>
        </w:tc>
        <w:tc>
          <w:tcPr>
            <w:tcW w:w="2257" w:type="dxa"/>
            <w:shd w:val="clear" w:color="auto" w:fill="F2F6FC"/>
          </w:tcPr>
          <w:p w14:paraId="61B0D5AA" w14:textId="77777777" w:rsidR="008C752B" w:rsidRDefault="00CE4761">
            <w:r>
              <w:rPr>
                <w:rFonts w:ascii="Arial" w:hAnsi="Arial"/>
                <w:sz w:val="18"/>
              </w:rPr>
              <w:t>Energy indirect (Scope 2) GHG emissions</w:t>
            </w:r>
          </w:p>
        </w:tc>
        <w:tc>
          <w:tcPr>
            <w:tcW w:w="2257" w:type="dxa"/>
            <w:shd w:val="clear" w:color="auto" w:fill="F2F6FC"/>
          </w:tcPr>
          <w:p w14:paraId="5801B558" w14:textId="77777777" w:rsidR="008C752B" w:rsidRDefault="00CE4761">
            <w:r>
              <w:rPr>
                <w:rFonts w:ascii="Arial" w:hAnsi="Arial"/>
                <w:sz w:val="18"/>
              </w:rPr>
              <w:t>Section: Scope 2</w:t>
            </w:r>
          </w:p>
        </w:tc>
        <w:tc>
          <w:tcPr>
            <w:tcW w:w="2257" w:type="dxa"/>
            <w:shd w:val="clear" w:color="auto" w:fill="F2F6FC"/>
          </w:tcPr>
          <w:p w14:paraId="5496E1F6" w14:textId="77777777" w:rsidR="008C752B" w:rsidRDefault="00CE4761">
            <w:r>
              <w:rPr>
                <w:rFonts w:ascii="Arial" w:hAnsi="Arial"/>
                <w:sz w:val="18"/>
              </w:rPr>
              <w:t>None</w:t>
            </w:r>
          </w:p>
        </w:tc>
      </w:tr>
      <w:tr w:rsidR="008C752B" w14:paraId="54EBF630" w14:textId="77777777">
        <w:trPr>
          <w:jc w:val="center"/>
        </w:trPr>
        <w:tc>
          <w:tcPr>
            <w:tcW w:w="2257" w:type="dxa"/>
          </w:tcPr>
          <w:p w14:paraId="0A636C9F" w14:textId="77777777" w:rsidR="008C752B" w:rsidRDefault="00CE4761">
            <w:r>
              <w:rPr>
                <w:rFonts w:ascii="Arial" w:hAnsi="Arial"/>
                <w:sz w:val="18"/>
              </w:rPr>
              <w:t>GRI 305-3</w:t>
            </w:r>
          </w:p>
        </w:tc>
        <w:tc>
          <w:tcPr>
            <w:tcW w:w="2257" w:type="dxa"/>
          </w:tcPr>
          <w:p w14:paraId="234AB84D" w14:textId="77777777" w:rsidR="008C752B" w:rsidRDefault="00CE4761">
            <w:r>
              <w:rPr>
                <w:rFonts w:ascii="Arial" w:hAnsi="Arial"/>
                <w:sz w:val="18"/>
              </w:rPr>
              <w:t>Other indirect (Scope 3) GHG emissions</w:t>
            </w:r>
          </w:p>
        </w:tc>
        <w:tc>
          <w:tcPr>
            <w:tcW w:w="2257" w:type="dxa"/>
          </w:tcPr>
          <w:p w14:paraId="048D1FB8" w14:textId="77777777" w:rsidR="008C752B" w:rsidRDefault="00CE4761">
            <w:r>
              <w:rPr>
                <w:rFonts w:ascii="Arial" w:hAnsi="Arial"/>
                <w:sz w:val="18"/>
              </w:rPr>
              <w:t>Section: PCAF</w:t>
            </w:r>
          </w:p>
        </w:tc>
        <w:tc>
          <w:tcPr>
            <w:tcW w:w="2257" w:type="dxa"/>
          </w:tcPr>
          <w:p w14:paraId="35067CBC" w14:textId="77777777" w:rsidR="008C752B" w:rsidRDefault="00CE4761">
            <w:r>
              <w:rPr>
                <w:rFonts w:ascii="Arial" w:hAnsi="Arial"/>
                <w:sz w:val="18"/>
              </w:rPr>
              <w:t>None</w:t>
            </w:r>
          </w:p>
        </w:tc>
      </w:tr>
      <w:tr w:rsidR="008C752B" w14:paraId="1304F74F" w14:textId="77777777">
        <w:trPr>
          <w:jc w:val="center"/>
        </w:trPr>
        <w:tc>
          <w:tcPr>
            <w:tcW w:w="2257" w:type="dxa"/>
            <w:shd w:val="clear" w:color="auto" w:fill="F2F6FC"/>
          </w:tcPr>
          <w:p w14:paraId="7B506A9F" w14:textId="77777777" w:rsidR="008C752B" w:rsidRDefault="00CE4761">
            <w:r>
              <w:rPr>
                <w:rFonts w:ascii="Arial" w:hAnsi="Arial"/>
                <w:sz w:val="18"/>
              </w:rPr>
              <w:t>GRI 305-4</w:t>
            </w:r>
          </w:p>
        </w:tc>
        <w:tc>
          <w:tcPr>
            <w:tcW w:w="2257" w:type="dxa"/>
            <w:shd w:val="clear" w:color="auto" w:fill="F2F6FC"/>
          </w:tcPr>
          <w:p w14:paraId="57175823" w14:textId="77777777" w:rsidR="008C752B" w:rsidRDefault="00CE4761">
            <w:r>
              <w:rPr>
                <w:rFonts w:ascii="Arial" w:hAnsi="Arial"/>
                <w:sz w:val="18"/>
              </w:rPr>
              <w:t>GHG emissions intensity</w:t>
            </w:r>
          </w:p>
        </w:tc>
        <w:tc>
          <w:tcPr>
            <w:tcW w:w="2257" w:type="dxa"/>
            <w:shd w:val="clear" w:color="auto" w:fill="F2F6FC"/>
          </w:tcPr>
          <w:p w14:paraId="359D12A7" w14:textId="77777777" w:rsidR="008C752B" w:rsidRDefault="00CE4761">
            <w:r>
              <w:rPr>
                <w:rFonts w:ascii="Arial" w:hAnsi="Arial"/>
                <w:sz w:val="18"/>
              </w:rPr>
              <w:t>Section: Intensity</w:t>
            </w:r>
          </w:p>
        </w:tc>
        <w:tc>
          <w:tcPr>
            <w:tcW w:w="2257" w:type="dxa"/>
            <w:shd w:val="clear" w:color="auto" w:fill="F2F6FC"/>
          </w:tcPr>
          <w:p w14:paraId="65E165A2" w14:textId="77777777" w:rsidR="008C752B" w:rsidRDefault="00CE4761">
            <w:r>
              <w:rPr>
                <w:rFonts w:ascii="Arial" w:hAnsi="Arial"/>
                <w:sz w:val="18"/>
              </w:rPr>
              <w:t>None</w:t>
            </w:r>
          </w:p>
        </w:tc>
      </w:tr>
      <w:tr w:rsidR="008C752B" w14:paraId="72AB04A4" w14:textId="77777777">
        <w:trPr>
          <w:jc w:val="center"/>
        </w:trPr>
        <w:tc>
          <w:tcPr>
            <w:tcW w:w="2257" w:type="dxa"/>
          </w:tcPr>
          <w:p w14:paraId="4090440D" w14:textId="77777777" w:rsidR="008C752B" w:rsidRDefault="00CE4761">
            <w:r>
              <w:rPr>
                <w:rFonts w:ascii="Arial" w:hAnsi="Arial"/>
                <w:sz w:val="18"/>
              </w:rPr>
              <w:t>GRI 305-5</w:t>
            </w:r>
          </w:p>
        </w:tc>
        <w:tc>
          <w:tcPr>
            <w:tcW w:w="2257" w:type="dxa"/>
          </w:tcPr>
          <w:p w14:paraId="798F82F5" w14:textId="77777777" w:rsidR="008C752B" w:rsidRDefault="00CE4761">
            <w:r>
              <w:rPr>
                <w:rFonts w:ascii="Arial" w:hAnsi="Arial"/>
                <w:sz w:val="18"/>
              </w:rPr>
              <w:t>Reduction of GHG emissions</w:t>
            </w:r>
          </w:p>
        </w:tc>
        <w:tc>
          <w:tcPr>
            <w:tcW w:w="2257" w:type="dxa"/>
          </w:tcPr>
          <w:p w14:paraId="119FE1D9" w14:textId="77777777" w:rsidR="008C752B" w:rsidRDefault="00CE4761">
            <w:r>
              <w:rPr>
                <w:rFonts w:ascii="Arial" w:hAnsi="Arial"/>
                <w:sz w:val="18"/>
              </w:rPr>
              <w:t>Section: Reduction</w:t>
            </w:r>
          </w:p>
        </w:tc>
        <w:tc>
          <w:tcPr>
            <w:tcW w:w="2257" w:type="dxa"/>
          </w:tcPr>
          <w:p w14:paraId="3DA80A96" w14:textId="77777777" w:rsidR="008C752B" w:rsidRDefault="00CE4761">
            <w:r>
              <w:rPr>
                <w:rFonts w:ascii="Arial" w:hAnsi="Arial"/>
                <w:sz w:val="18"/>
              </w:rPr>
              <w:t>Partial — targets in development</w:t>
            </w:r>
          </w:p>
        </w:tc>
      </w:tr>
    </w:tbl>
    <w:p w14:paraId="25DDF3DA" w14:textId="77777777" w:rsidR="008C752B" w:rsidRDefault="00CE4761">
      <w:r>
        <w:rPr>
          <w:rFonts w:ascii="Arial" w:hAnsi="Arial"/>
          <w:i/>
          <w:sz w:val="16"/>
        </w:rPr>
        <w:t>Source: GRI Standards 2021</w:t>
      </w:r>
    </w:p>
    <w:p w14:paraId="4EE0B7CE" w14:textId="77777777" w:rsidR="008C752B" w:rsidRDefault="008C752B"/>
    <w:sectPr w:rsidR="008C752B" w:rsidSect="00034616">
      <w:headerReference w:type="default" r:id="rId8"/>
      <w:footerReference w:type="default" r:id="rId9"/>
      <w:pgSz w:w="11909" w:h="16834"/>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1B86F" w14:textId="77777777" w:rsidR="00CE4761" w:rsidRDefault="00CE4761">
      <w:pPr>
        <w:spacing w:after="0" w:line="240" w:lineRule="auto"/>
      </w:pPr>
      <w:r>
        <w:separator/>
      </w:r>
    </w:p>
  </w:endnote>
  <w:endnote w:type="continuationSeparator" w:id="0">
    <w:p w14:paraId="6A3C755C" w14:textId="77777777" w:rsidR="00CE4761" w:rsidRDefault="00CE4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65EE7" w14:textId="62E1CFF3" w:rsidR="008C752B" w:rsidRDefault="00CE4761">
    <w:pPr>
      <w:pStyle w:val="Footer"/>
    </w:pPr>
    <w:r>
      <w:rPr>
        <w:rFonts w:ascii="Arial" w:hAnsi="Arial"/>
        <w:color w:val="808080"/>
        <w:sz w:val="18"/>
      </w:rPr>
      <w:t>ESG Report MULTI_FRAMEWORK 2024</w:t>
    </w:r>
    <w:r>
      <w:tab/>
    </w:r>
    <w:r>
      <w:tab/>
    </w:r>
    <w:r>
      <w:rPr>
        <w:color w:val="808080"/>
        <w:sz w:val="18"/>
      </w:rPr>
      <w:t xml:space="preserve">Page </w:t>
    </w:r>
    <w:r>
      <w:rPr>
        <w:color w:val="808080"/>
        <w:sz w:val="18"/>
      </w:rPr>
      <w:fldChar w:fldCharType="begin"/>
    </w:r>
    <w:r>
      <w:rPr>
        <w:color w:val="808080"/>
        <w:sz w:val="18"/>
      </w:rPr>
      <w:instrText xml:space="preserve"> PAGE </w:instrText>
    </w:r>
    <w:r w:rsidR="009B68E3">
      <w:rPr>
        <w:color w:val="808080"/>
        <w:sz w:val="18"/>
      </w:rPr>
      <w:fldChar w:fldCharType="separate"/>
    </w:r>
    <w:r w:rsidR="009B68E3">
      <w:rPr>
        <w:noProof/>
        <w:color w:val="808080"/>
        <w:sz w:val="18"/>
      </w:rPr>
      <w:t>2</w:t>
    </w:r>
    <w:r>
      <w:rPr>
        <w:color w:val="808080"/>
        <w:sz w:val="18"/>
      </w:rPr>
      <w:fldChar w:fldCharType="end"/>
    </w:r>
    <w:r>
      <w:rPr>
        <w:color w:val="808080"/>
        <w:sz w:val="18"/>
      </w:rPr>
      <w:t xml:space="preserve"> of </w:t>
    </w:r>
    <w:r>
      <w:rPr>
        <w:color w:val="808080"/>
        <w:sz w:val="18"/>
      </w:rPr>
      <w:fldChar w:fldCharType="begin"/>
    </w:r>
    <w:r>
      <w:rPr>
        <w:color w:val="808080"/>
        <w:sz w:val="18"/>
      </w:rPr>
      <w:instrText xml:space="preserve"> NUMPAGES </w:instrText>
    </w:r>
    <w:r w:rsidR="009B68E3">
      <w:rPr>
        <w:color w:val="808080"/>
        <w:sz w:val="18"/>
      </w:rPr>
      <w:fldChar w:fldCharType="separate"/>
    </w:r>
    <w:r w:rsidR="009B68E3">
      <w:rPr>
        <w:noProof/>
        <w:color w:val="808080"/>
        <w:sz w:val="18"/>
      </w:rPr>
      <w:t>3</w:t>
    </w:r>
    <w:r>
      <w:rPr>
        <w:color w:val="8080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6E41C" w14:textId="77777777" w:rsidR="00CE4761" w:rsidRDefault="00CE4761">
      <w:pPr>
        <w:spacing w:after="0" w:line="240" w:lineRule="auto"/>
      </w:pPr>
      <w:r>
        <w:separator/>
      </w:r>
    </w:p>
  </w:footnote>
  <w:footnote w:type="continuationSeparator" w:id="0">
    <w:p w14:paraId="0E1934BF" w14:textId="77777777" w:rsidR="00CE4761" w:rsidRDefault="00CE47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B8390" w14:textId="77777777" w:rsidR="008C752B" w:rsidRDefault="00CE4761">
    <w:pPr>
      <w:pStyle w:val="Header"/>
      <w:jc w:val="right"/>
    </w:pPr>
    <w:r>
      <w:rPr>
        <w:rFonts w:ascii="Arial" w:hAnsi="Arial"/>
        <w:sz w:val="18"/>
      </w:rPr>
      <w:t>GENERIC_FI_001 | Reporting Year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5618559">
    <w:abstractNumId w:val="8"/>
  </w:num>
  <w:num w:numId="2" w16cid:durableId="1074821488">
    <w:abstractNumId w:val="6"/>
  </w:num>
  <w:num w:numId="3" w16cid:durableId="2074814495">
    <w:abstractNumId w:val="5"/>
  </w:num>
  <w:num w:numId="4" w16cid:durableId="1773239005">
    <w:abstractNumId w:val="4"/>
  </w:num>
  <w:num w:numId="5" w16cid:durableId="1991782405">
    <w:abstractNumId w:val="7"/>
  </w:num>
  <w:num w:numId="6" w16cid:durableId="995764665">
    <w:abstractNumId w:val="3"/>
  </w:num>
  <w:num w:numId="7" w16cid:durableId="2116948056">
    <w:abstractNumId w:val="2"/>
  </w:num>
  <w:num w:numId="8" w16cid:durableId="337317312">
    <w:abstractNumId w:val="1"/>
  </w:num>
  <w:num w:numId="9" w16cid:durableId="1115295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40C1"/>
    <w:rsid w:val="008C752B"/>
    <w:rsid w:val="009B68E3"/>
    <w:rsid w:val="00AA1D8D"/>
    <w:rsid w:val="00B47730"/>
    <w:rsid w:val="00CB0664"/>
    <w:rsid w:val="00CE47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CD24B9B-DA68-40B7-98F0-47262A977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B68E3"/>
    <w:pPr>
      <w:spacing w:after="100"/>
    </w:pPr>
  </w:style>
  <w:style w:type="paragraph" w:styleId="TOC2">
    <w:name w:val="toc 2"/>
    <w:basedOn w:val="Normal"/>
    <w:next w:val="Normal"/>
    <w:autoRedefine/>
    <w:uiPriority w:val="39"/>
    <w:unhideWhenUsed/>
    <w:rsid w:val="009B68E3"/>
    <w:pPr>
      <w:spacing w:after="100"/>
      <w:ind w:left="220"/>
    </w:pPr>
  </w:style>
  <w:style w:type="character" w:styleId="Hyperlink">
    <w:name w:val="Hyperlink"/>
    <w:basedOn w:val="DefaultParagraphFont"/>
    <w:uiPriority w:val="99"/>
    <w:unhideWhenUsed/>
    <w:rsid w:val="009B68E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8430</Words>
  <Characters>48055</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ESG Sustainability Report 2024 - MULTI_FRAMEWORK</dc:title>
  <dc:subject>GHG Emissions Disclosure - MULTI_FRAMEWORK</dc:subject>
  <dc:creator>ESG Reporting System (GENERIC_FI_001)</dc:creator>
  <cp:keywords>ESG, GHG, MULTI_FRAMEWORK, 2024, PCAF, Scope1, Scope2, Scope3</cp:keywords>
  <dc:description>Generated by execution: arn:aws:states:us-east-1:061039769766:execution:ESGReportGenerationStateMachine:ee31d965-cbf2-48fb-a23b-d5162f39b51e</dc:description>
  <cp:lastModifiedBy>Raditya Rahardyansyah Rifat</cp:lastModifiedBy>
  <cp:revision>2</cp:revision>
  <dcterms:created xsi:type="dcterms:W3CDTF">2013-12-23T23:15:00Z</dcterms:created>
  <dcterms:modified xsi:type="dcterms:W3CDTF">2026-06-05T04:16:00Z</dcterms:modified>
  <cp:category>ESG Sustainability Report</cp:category>
</cp:coreProperties>
</file>