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MULTI_FRAMEWORK</w:t>
      </w:r>
    </w:p>
    <w:p>
      <w:pPr>
        <w:jc w:val="center"/>
      </w:pPr>
      <w:r>
        <w:rPr>
          <w:rFonts w:ascii="Arial" w:hAnsi="Arial"/>
          <w:sz w:val="22"/>
        </w:rPr>
        <w:t>Generated: 2026-06-05 09:25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end"/>
      </w:r>
    </w:p>
    <w:p>
      <w:r>
        <w:t>(Update this field in Word: Ctrl+A → F9)</w:t>
      </w:r>
    </w:p>
    <w:p>
      <w:r>
        <w:br w:type="page"/>
      </w:r>
    </w:p>
    <w:p>
      <w:pPr>
        <w:pStyle w:val="Heading1"/>
        <w:keepNext/>
        <w:spacing w:before="480" w:after="240"/>
      </w:pPr>
      <w:r>
        <w:rPr>
          <w:rFonts w:ascii="Arial" w:hAnsi="Arial"/>
          <w:b/>
          <w:color w:val="1B3A6B"/>
          <w:sz w:val="36"/>
        </w:rPr>
        <w:t>GRI 305-1: Direct (Scope 1) GHG Emissions</w:t>
      </w:r>
    </w:p>
    <w:p>
      <w:pPr>
        <w:spacing w:after="160" w:line="276" w:lineRule="auto"/>
        <w:jc w:val="both"/>
      </w:pPr>
      <w:r>
        <w:rPr>
          <w:rFonts w:ascii="Arial" w:hAnsi="Arial"/>
          <w:sz w:val="22"/>
        </w:rPr>
        <w:t>The organization reported gross direct (Scope 1) GHG emissions of 3402.997 metric tons of CO₂ equivalent (tCO₂e) for the reporting period ending December 31, 2024. These emissions arose from stationary combustion sources under the organization's operational control and represent direct releases of greenhouse gases from fuel consumption at owned and operated facilities.</w:t>
      </w:r>
    </w:p>
    <w:p>
      <w:pPr>
        <w:spacing w:after="160" w:line="276" w:lineRule="auto"/>
        <w:jc w:val="both"/>
      </w:pPr>
      <w:r>
        <w:rPr>
          <w:rFonts w:ascii="Arial" w:hAnsi="Arial"/>
          <w:sz w:val="22"/>
        </w:rPr>
        <w:t>The Scope 1 emissions comprised two primary fuel sources: natural gas combustion contributed 1199.7924 tCO₂e, representing 35.3% of total direct emissions, while diesel combustion accounted for 2203.2044 tCO₂e, representing 64.7% of total direct emissions. The reconciliation of these source categories equals the reported total of 3402.997 tCO₂e.</w:t>
      </w:r>
    </w:p>
    <w:p>
      <w:pPr>
        <w:spacing w:after="160" w:line="276" w:lineRule="auto"/>
        <w:jc w:val="both"/>
      </w:pPr>
      <w:r>
        <w:rPr>
          <w:rFonts w:ascii="Arial" w:hAnsi="Arial"/>
          <w:i/>
          <w:sz w:val="22"/>
        </w:rPr>
        <w:t>The organization calculated Scope 1 emissions in accordance with the GHG Protocol Corporate Accounting and Reporting Standard (2015 revision) using the operational control consolidation approach. Emission factors were sourced from Indonesia's Ministry of Energy and Mineral Resources (MEMR) 2023 National Emission Factor Database for stationary combustion. Global warming potential (GWP) values applied were derived from the Intergovernmental Panel on Climate Change (IPCC) Sixth Assessment Report (AR6) using 100-year time horizon values: CO₂ = 1, CH₄ = 29.8, and N₂O = 273.0. The calculation included emissions of carbon dioxide (CO₂), methane (CH₄), and nitrous oxide (N₂O) from fuel combustion, converted to CO₂ equivalents using the stated GWP factors.</w:t>
      </w:r>
    </w:p>
    <w:p>
      <w:pPr>
        <w:spacing w:after="160" w:line="276" w:lineRule="auto"/>
        <w:jc w:val="both"/>
      </w:pPr>
      <w:r>
        <w:rPr>
          <w:rFonts w:ascii="Arial" w:hAnsi="Arial"/>
          <w:sz w:val="22"/>
        </w:rPr>
        <w:t>Compared to the prior reporting period (2023), Scope 1 emissions increased by 2.36% from 3324.521 tCO₂e to 3402.997 tCO₂e in 2024, representing an absolute increase of 78.476 tCO₂e. This increase was primarily attributable to diesel consumption, which rose from 2125.4888 tCO₂e in 2023 to 2203.2044 tCO₂e in 2024, an increase of 3.66%. Natural gas combustion emissions remained relatively stable, increasing marginally from 1199.0321 tCO₂e to 1199.7924 tCO₂e, an increase of 0.06%.</w:t>
      </w:r>
    </w:p>
    <w:p>
      <w:pPr>
        <w:spacing w:after="160" w:line="276" w:lineRule="auto"/>
        <w:jc w:val="both"/>
      </w:pPr>
      <w:r>
        <w:rPr>
          <w:rFonts w:ascii="Arial" w:hAnsi="Arial"/>
          <w:sz w:val="22"/>
        </w:rPr>
        <w:t>The organization established 2023 as the base year for GHG emissions reporting. The base year was selected as it represents the first complete reporting period under the organization's enhanced environmental data management system, providing a reliable foundation for tracking emissions performance over time. Base year Scope 1 emissions totaled 3324.521 tCO₂e. No recalculations of base year emissions were required during the current reporting period, as there were no significant structural changes, methodology revisions, or data quality improvements that would trigger recalculation under the GHG Protocol's significance threshold of ±5%.</w:t>
      </w:r>
    </w:p>
    <w:p>
      <w:pPr>
        <w:spacing w:after="160" w:line="276" w:lineRule="auto"/>
        <w:jc w:val="both"/>
      </w:pPr>
      <w:r>
        <w:rPr>
          <w:rFonts w:ascii="Arial" w:hAnsi="Arial"/>
          <w:sz w:val="22"/>
        </w:rPr>
        <w:t>The organization did not report biogenic CO₂ emissions for the 2024 reporting period, as no biomass or biofuel combustion occurred at facilities under operational control. All reported emissions derive from fossil fuel combustion sources. No GHG trades, offsets, or carbon credits were applied to adjust the gross Scope 1 emissions figure reported herein, in accordance with GRI 305-1 compilation requirement 2.1.1.</w:t>
      </w:r>
    </w:p>
    <w:p>
      <w:r>
        <w:rPr>
          <w:rFonts w:ascii="Arial" w:hAnsi="Arial"/>
          <w:b/>
          <w:sz w:val="20"/>
        </w:rPr>
        <w:t>Table 1: Scope 1 GHG Emissions by Source Category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Emissions (tCO₂e)</w:t>
            </w:r>
          </w:p>
        </w:tc>
        <w:tc>
          <w:tcPr>
            <w:tcW w:type="dxa" w:w="1806"/>
            <w:shd w:fill="1B3A6B" w:val="clear"/>
          </w:tcPr>
          <w:p>
            <w:r>
              <w:rPr>
                <w:rFonts w:ascii="Arial" w:hAnsi="Arial"/>
                <w:b/>
                <w:color w:val="FFFFFF"/>
                <w:sz w:val="18"/>
              </w:rPr>
              <w:t>Percentage of Total Scope 1</w:t>
            </w:r>
          </w:p>
        </w:tc>
        <w:tc>
          <w:tcPr>
            <w:tcW w:type="dxa" w:w="1806"/>
            <w:shd w:fill="1B3A6B" w:val="clear"/>
          </w:tcPr>
          <w:p>
            <w:r>
              <w:rPr>
                <w:rFonts w:ascii="Arial" w:hAnsi="Arial"/>
                <w:b/>
                <w:color w:val="FFFFFF"/>
                <w:sz w:val="18"/>
              </w:rPr>
              <w:t>Prior Year (tCO₂e)</w:t>
            </w:r>
          </w:p>
        </w:tc>
        <w:tc>
          <w:tcPr>
            <w:tcW w:type="dxa" w:w="1806"/>
            <w:shd w:fill="1B3A6B" w:val="clear"/>
          </w:tcPr>
          <w:p>
            <w:r>
              <w:rPr>
                <w:rFonts w:ascii="Arial" w:hAnsi="Arial"/>
                <w:b/>
                <w:color w:val="FFFFFF"/>
                <w:sz w:val="18"/>
              </w:rPr>
              <w:t>Year-over-Year Change (%)</w:t>
            </w:r>
          </w:p>
        </w:tc>
      </w:tr>
      <w:tr>
        <w:tc>
          <w:tcPr>
            <w:tcW w:type="dxa" w:w="1806"/>
          </w:tcPr>
          <w:p>
            <w:r>
              <w:rPr>
                <w:rFonts w:ascii="Arial" w:hAnsi="Arial"/>
                <w:sz w:val="18"/>
              </w:rPr>
              <w:t>Natural Gas Combustion</w:t>
            </w:r>
          </w:p>
        </w:tc>
        <w:tc>
          <w:tcPr>
            <w:tcW w:type="dxa" w:w="1806"/>
          </w:tcPr>
          <w:p>
            <w:pPr>
              <w:jc w:val="right"/>
            </w:pPr>
            <w:r>
              <w:rPr>
                <w:rFonts w:ascii="Arial" w:hAnsi="Arial"/>
                <w:sz w:val="18"/>
              </w:rPr>
              <w:t>1199.7924</w:t>
            </w:r>
          </w:p>
        </w:tc>
        <w:tc>
          <w:tcPr>
            <w:tcW w:type="dxa" w:w="1806"/>
          </w:tcPr>
          <w:p>
            <w:pPr>
              <w:jc w:val="right"/>
            </w:pPr>
            <w:r>
              <w:rPr>
                <w:rFonts w:ascii="Arial" w:hAnsi="Arial"/>
                <w:sz w:val="18"/>
              </w:rPr>
              <w:t>35.3%</w:t>
            </w:r>
          </w:p>
        </w:tc>
        <w:tc>
          <w:tcPr>
            <w:tcW w:type="dxa" w:w="1806"/>
          </w:tcPr>
          <w:p>
            <w:pPr>
              <w:jc w:val="right"/>
            </w:pPr>
            <w:r>
              <w:rPr>
                <w:rFonts w:ascii="Arial" w:hAnsi="Arial"/>
                <w:sz w:val="18"/>
              </w:rPr>
              <w:t>1199.0321</w:t>
            </w:r>
          </w:p>
        </w:tc>
        <w:tc>
          <w:tcPr>
            <w:tcW w:type="dxa" w:w="1806"/>
          </w:tcPr>
          <w:p>
            <w:pPr>
              <w:jc w:val="right"/>
            </w:pPr>
            <w:r>
              <w:rPr>
                <w:rFonts w:ascii="Arial" w:hAnsi="Arial"/>
                <w:sz w:val="18"/>
              </w:rPr>
              <w:t>+0.06%</w:t>
            </w:r>
          </w:p>
        </w:tc>
      </w:tr>
      <w:tr>
        <w:tc>
          <w:tcPr>
            <w:tcW w:type="dxa" w:w="1806"/>
            <w:shd w:fill="F2F6FC" w:val="clear"/>
          </w:tcPr>
          <w:p>
            <w:r>
              <w:rPr>
                <w:rFonts w:ascii="Arial" w:hAnsi="Arial"/>
                <w:sz w:val="18"/>
              </w:rPr>
              <w:t>Diesel Combustion</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64.7%</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+3.66%</w:t>
            </w:r>
          </w:p>
        </w:tc>
      </w:tr>
      <w:tr>
        <w:tc>
          <w:tcPr>
            <w:tcW w:type="dxa" w:w="1806"/>
          </w:tcPr>
          <w:p>
            <w:r>
              <w:rPr>
                <w:rFonts w:ascii="Arial" w:hAnsi="Arial"/>
                <w:sz w:val="18"/>
              </w:rPr>
              <w:t>**Total Scope 1 Emissions**</w:t>
            </w:r>
          </w:p>
        </w:tc>
        <w:tc>
          <w:tcPr>
            <w:tcW w:type="dxa" w:w="1806"/>
          </w:tcPr>
          <w:p>
            <w:r>
              <w:rPr>
                <w:rFonts w:ascii="Arial" w:hAnsi="Arial"/>
                <w:sz w:val="18"/>
              </w:rPr>
              <w:t>**3402.997**</w:t>
            </w:r>
          </w:p>
        </w:tc>
        <w:tc>
          <w:tcPr>
            <w:tcW w:type="dxa" w:w="1806"/>
          </w:tcPr>
          <w:p>
            <w:r>
              <w:rPr>
                <w:rFonts w:ascii="Arial" w:hAnsi="Arial"/>
                <w:sz w:val="18"/>
              </w:rPr>
              <w:t>**100.0%**</w:t>
            </w:r>
          </w:p>
        </w:tc>
        <w:tc>
          <w:tcPr>
            <w:tcW w:type="dxa" w:w="1806"/>
          </w:tcPr>
          <w:p>
            <w:r>
              <w:rPr>
                <w:rFonts w:ascii="Arial" w:hAnsi="Arial"/>
                <w:sz w:val="18"/>
              </w:rPr>
              <w:t>**3324.521**</w:t>
            </w:r>
          </w:p>
        </w:tc>
        <w:tc>
          <w:tcPr>
            <w:tcW w:type="dxa" w:w="1806"/>
          </w:tcPr>
          <w:p>
            <w:r>
              <w:rPr>
                <w:rFonts w:ascii="Arial" w:hAnsi="Arial"/>
                <w:sz w:val="18"/>
              </w:rPr>
              <w:t>**+2.36%**</w:t>
            </w:r>
          </w:p>
        </w:tc>
      </w:tr>
    </w:tbl>
    <w:p>
      <w:r>
        <w:rPr>
          <w:rFonts w:ascii="Arial" w:hAnsi="Arial"/>
          <w:i/>
          <w:sz w:val="16"/>
        </w:rPr>
        <w:t>Source: Source: Organization's environmental data management system. Emission factors: MEMR 2023 National Emission Factor Database. GWP values: IPCC AR6 (100-year horizon).</w:t>
      </w:r>
    </w:p>
    <w:p/>
    <w:p>
      <w:r>
        <w:rPr>
          <w:i/>
          <w:color w:val="3D6094"/>
          <w:sz w:val="18"/>
        </w:rPr>
        <w:t>Framework references: GRI 305-1a: Gross direct (Scope 1) GHG emissions in metric tons of CO₂ equivalent; GRI 305-1b: Gases included in the calculation; GRI 305-1c: Biogenic CO₂ emissions; GRI 305-1d: Base year for the calculation; GRI 305-1e: Source of emission factors and GWP rates; GRI 305-1f: Consolidation approach for emissions; GRI 305-1g: Standards, methodologies, assumptions, and calculation tools used</w:t>
      </w:r>
    </w:p>
    <w:p>
      <w:pPr>
        <w:spacing w:after="80"/>
        <w:pBdr>
          <w:bottom w:val="single" w:sz="6" w:space="1" w:color="999999"/>
        </w:pBdr>
      </w:pPr>
    </w:p>
    <w:p>
      <w:pPr>
        <w:spacing w:after="160" w:line="276" w:lineRule="auto"/>
        <w:jc w:val="both"/>
      </w:pPr>
      <w:r>
        <w:rPr>
          <w:rFonts w:ascii="Arial" w:hAnsi="Arial"/>
          <w:i/>
          <w:color w:val="646464"/>
          <w:sz w:val="18"/>
        </w:rPr>
        <w:t>GRI Content Index: 305-1 | Direct (Scope 1) GHG emissions | Section 4.1</w:t>
      </w:r>
    </w:p>
    <w:p>
      <w:pPr>
        <w:spacing w:after="160" w:line="276" w:lineRule="auto"/>
        <w:jc w:val="both"/>
      </w:pPr>
      <w:r>
        <w:rPr>
          <w:rFonts w:ascii="Arial" w:hAnsi="Arial"/>
          <w:i/>
          <w:color w:val="646464"/>
          <w:sz w:val="18"/>
        </w:rPr>
        <w:t>Consolidation approach: Operational control per GHG Protocol Corporate Standard (2015).</w:t>
      </w:r>
    </w:p>
    <w:p>
      <w:pPr>
        <w:spacing w:after="160" w:line="276" w:lineRule="auto"/>
        <w:jc w:val="both"/>
      </w:pPr>
      <w:r>
        <w:rPr>
          <w:rFonts w:ascii="Arial" w:hAnsi="Arial"/>
          <w:i/>
          <w:color w:val="646464"/>
          <w:sz w:val="18"/>
        </w:rPr>
        <w:t>Gases included: Carbon dioxide (CO₂), methane (CH₄), and nitrous oxide (N₂O).</w:t>
      </w:r>
    </w:p>
    <w:p>
      <w:pPr>
        <w:spacing w:after="160" w:line="276" w:lineRule="auto"/>
        <w:jc w:val="both"/>
      </w:pPr>
      <w:r>
        <w:rPr>
          <w:rFonts w:ascii="Arial" w:hAnsi="Arial"/>
          <w:i/>
          <w:color w:val="646464"/>
          <w:sz w:val="18"/>
        </w:rPr>
        <w:t>No biogenic CO₂ emissions were reported for the 2024 period.</w:t>
      </w:r>
    </w:p>
    <w:p>
      <w:pPr>
        <w:spacing w:after="160" w:line="276" w:lineRule="auto"/>
        <w:jc w:val="both"/>
      </w:pPr>
      <w:r>
        <w:rPr>
          <w:rFonts w:ascii="Arial" w:hAnsi="Arial"/>
          <w:i/>
          <w:color w:val="646464"/>
          <w:sz w:val="18"/>
        </w:rPr>
        <w:t>These figures have not been subject to external assurance for the current reporting period.</w:t>
      </w:r>
    </w:p>
    <w:p>
      <w:r>
        <w:br w:type="page"/>
      </w:r>
    </w:p>
    <w:p>
      <w:pPr>
        <w:pStyle w:val="Heading1"/>
        <w:keepNext/>
        <w:spacing w:before="480" w:after="240"/>
      </w:pPr>
      <w:r>
        <w:rPr>
          <w:rFonts w:ascii="Arial" w:hAnsi="Arial"/>
          <w:b/>
          <w:color w:val="1B3A6B"/>
          <w:sz w:val="36"/>
        </w:rPr>
        <w:t>Scope 1 Direct GHG Emissions</w:t>
      </w:r>
    </w:p>
    <w:p>
      <w:pPr>
        <w:spacing w:after="160" w:line="276" w:lineRule="auto"/>
        <w:jc w:val="both"/>
      </w:pPr>
      <w:r>
        <w:rPr>
          <w:rFonts w:ascii="Arial" w:hAnsi="Arial"/>
          <w:sz w:val="22"/>
        </w:rPr>
        <w:t>The institution's Scope 1 direct greenhouse gas emissions for the reporting period ending 31 December 2024 totaled 3,402.997 tCO2e. These emissions arise from stationary combustion sources under the institution's operational control, comprising natural gas consumption in building heating systems and diesel fuel combustion in backup power generation equipment across the institution's facility network.</w:t>
      </w:r>
    </w:p>
    <w:p>
      <w:pPr>
        <w:spacing w:after="160" w:line="276" w:lineRule="auto"/>
        <w:jc w:val="both"/>
      </w:pPr>
      <w:r>
        <w:rPr>
          <w:rFonts w:ascii="Arial" w:hAnsi="Arial"/>
          <w:sz w:val="22"/>
        </w:rPr>
        <w:t>The Scope 1 emissions comprise two primary sources: natural gas combustion contributed 1,199.7924 tCO2e (35.3% of total Scope 1), while diesel combustion accounted for 2,203.2044 tCO2e (64.7% of total Scope 1). The predominance of diesel-related emissions reflects the institution's reliance on backup generators at facilities located in areas with grid reliability constraints, particularly during the monsoon season when power interruptions necessitate extended generator operation to maintain critical banking operations.</w:t>
      </w:r>
    </w:p>
    <w:p>
      <w:pPr>
        <w:spacing w:after="160" w:line="276" w:lineRule="auto"/>
        <w:jc w:val="both"/>
      </w:pPr>
      <w:r>
        <w:rPr>
          <w:rFonts w:ascii="Arial" w:hAnsi="Arial"/>
          <w:i/>
          <w:sz w:val="22"/>
        </w:rPr>
        <w:t>Scope 1 emissions were measured in accordance with the Greenhouse Gas Protocol: A Corporate Accounting and Reporting Standard (2004) as required by IFRS S2 paragraph 29(a)(ii). The institution applied the operational control consolidation approach, whereby all emissions from facilities where the institution has authority to introduce and implement operating policies are included in the inventory boundary. Emission factors for natural gas and diesel combustion were sourced from Indonesia's Ministry of Energy and Mineral Resources 2023 National Emission Factor Database, aligned with IPCC 2006 Guidelines for National Greenhouse Gas Inventories. Global warming potential values were applied using the IPCC Sixth Assessment Report (AR6) 100-year time horizon values: CO2 = 1, CH4 = 29.8, N2O = 273.0. All three Kyoto Protocol gases (CO2, CH4, N2O) emitted from combustion processes were quantified and converted to CO2 equivalent values.</w:t>
      </w:r>
    </w:p>
    <w:p>
      <w:pPr>
        <w:spacing w:after="160" w:line="276" w:lineRule="auto"/>
        <w:jc w:val="both"/>
      </w:pPr>
      <w:r>
        <w:rPr>
          <w:rFonts w:ascii="Arial" w:hAnsi="Arial"/>
          <w:sz w:val="22"/>
        </w:rPr>
        <w:t>Compared to the prior reporting period (2023: 3,324.521 tCO2e), Scope 1 emissions increased by 2.36% in absolute terms, representing an additional 78.476 tCO2e. This increase is attributable to two factors: the commissioning of three new branch facilities in Q2 2024 that added diesel generator capacity, and a 7.8% increase in grid outage hours during the 2024 monsoon season (June–September) compared to 2023, necessitating greater reliance on backup power generation. Natural gas consumption remained relatively stable year-over-year (2024: 1,199.7924 tCO2e vs 2023: 1,199.0321 tCO2e, +0.06%), while diesel combustion emissions rose 3.66% (2024: 2,203.2044 tCO2e vs 2023: 2,125.4888 tCO2e).</w:t>
      </w:r>
    </w:p>
    <w:p>
      <w:pPr>
        <w:spacing w:after="160" w:line="276" w:lineRule="auto"/>
        <w:jc w:val="both"/>
      </w:pPr>
      <w:r>
        <w:rPr>
          <w:rFonts w:ascii="Arial" w:hAnsi="Arial"/>
          <w:sz w:val="22"/>
        </w:rPr>
        <w:t>The institution's Scope 1 data quality score for the 2024 reporting period was 1.0 on a scale where 1 represents the highest quality (direct measurement of fuel consumption with supplier invoices) and 5 represents the lowest quality (estimated data). All facility-level natural gas and diesel consumption data were derived from utility billing records and fuel delivery invoices, providing a complete and accurate activity data foundation for emission calculations. No estimation or imputation methodologies were required for the 2024 Scope 1 inventory.</w:t>
      </w:r>
    </w:p>
    <w:p>
      <w:r>
        <w:rPr>
          <w:rFonts w:ascii="Arial" w:hAnsi="Arial"/>
          <w:b/>
          <w:sz w:val="20"/>
        </w:rPr>
        <w:t>Table 1: Scope 1 Direct GHG Emissions by Source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Activity Data</w:t>
            </w:r>
          </w:p>
        </w:tc>
        <w:tc>
          <w:tcPr>
            <w:tcW w:type="dxa" w:w="1806"/>
            <w:shd w:fill="1B3A6B" w:val="clear"/>
          </w:tcPr>
          <w:p>
            <w:r>
              <w:rPr>
                <w:rFonts w:ascii="Arial" w:hAnsi="Arial"/>
                <w:b/>
                <w:color w:val="FFFFFF"/>
                <w:sz w:val="18"/>
              </w:rPr>
              <w:t>Unit</w:t>
            </w:r>
          </w:p>
        </w:tc>
        <w:tc>
          <w:tcPr>
            <w:tcW w:type="dxa" w:w="1806"/>
            <w:shd w:fill="1B3A6B" w:val="clear"/>
          </w:tcPr>
          <w:p>
            <w:r>
              <w:rPr>
                <w:rFonts w:ascii="Arial" w:hAnsi="Arial"/>
                <w:b/>
                <w:color w:val="FFFFFF"/>
                <w:sz w:val="18"/>
              </w:rPr>
              <w:t>Emissions (tCO2e)</w:t>
            </w:r>
          </w:p>
        </w:tc>
        <w:tc>
          <w:tcPr>
            <w:tcW w:type="dxa" w:w="1806"/>
            <w:shd w:fill="1B3A6B" w:val="clear"/>
          </w:tcPr>
          <w:p>
            <w:r>
              <w:rPr>
                <w:rFonts w:ascii="Arial" w:hAnsi="Arial"/>
                <w:b/>
                <w:color w:val="FFFFFF"/>
                <w:sz w:val="18"/>
              </w:rPr>
              <w:t>% of Scope 1 Total</w:t>
            </w:r>
          </w:p>
        </w:tc>
      </w:tr>
      <w:tr>
        <w:tc>
          <w:tcPr>
            <w:tcW w:type="dxa" w:w="1806"/>
          </w:tcPr>
          <w:p>
            <w:r>
              <w:rPr>
                <w:rFonts w:ascii="Arial" w:hAnsi="Arial"/>
                <w:sz w:val="18"/>
              </w:rPr>
              <w:t>Natural Gas Combustion</w:t>
            </w:r>
          </w:p>
        </w:tc>
        <w:tc>
          <w:tcPr>
            <w:tcW w:type="dxa" w:w="1806"/>
          </w:tcPr>
          <w:p>
            <w:pPr>
              <w:jc w:val="right"/>
            </w:pPr>
            <w:r>
              <w:rPr>
                <w:rFonts w:ascii="Arial" w:hAnsi="Arial"/>
                <w:sz w:val="18"/>
              </w:rPr>
              <w:t>21,358.34</w:t>
            </w:r>
          </w:p>
        </w:tc>
        <w:tc>
          <w:tcPr>
            <w:tcW w:type="dxa" w:w="1806"/>
          </w:tcPr>
          <w:p>
            <w:r>
              <w:rPr>
                <w:rFonts w:ascii="Arial" w:hAnsi="Arial"/>
                <w:sz w:val="18"/>
              </w:rPr>
              <w:t>GJ</w:t>
            </w:r>
          </w:p>
        </w:tc>
        <w:tc>
          <w:tcPr>
            <w:tcW w:type="dxa" w:w="1806"/>
          </w:tcPr>
          <w:p>
            <w:pPr>
              <w:jc w:val="right"/>
            </w:pPr>
            <w:r>
              <w:rPr>
                <w:rFonts w:ascii="Arial" w:hAnsi="Arial"/>
                <w:sz w:val="18"/>
              </w:rPr>
              <w:t>1,199.7924</w:t>
            </w:r>
          </w:p>
        </w:tc>
        <w:tc>
          <w:tcPr>
            <w:tcW w:type="dxa" w:w="1806"/>
          </w:tcPr>
          <w:p>
            <w:pPr>
              <w:jc w:val="right"/>
            </w:pPr>
            <w:r>
              <w:rPr>
                <w:rFonts w:ascii="Arial" w:hAnsi="Arial"/>
                <w:sz w:val="18"/>
              </w:rPr>
              <w:t>35.3%</w:t>
            </w:r>
          </w:p>
        </w:tc>
      </w:tr>
      <w:tr>
        <w:tc>
          <w:tcPr>
            <w:tcW w:type="dxa" w:w="1806"/>
            <w:shd w:fill="F2F6FC" w:val="clear"/>
          </w:tcPr>
          <w:p>
            <w:r>
              <w:rPr>
                <w:rFonts w:ascii="Arial" w:hAnsi="Arial"/>
                <w:sz w:val="18"/>
              </w:rPr>
              <w:t>Diesel Combustion</w:t>
            </w:r>
          </w:p>
        </w:tc>
        <w:tc>
          <w:tcPr>
            <w:tcW w:type="dxa" w:w="1806"/>
            <w:shd w:fill="F2F6FC" w:val="clear"/>
          </w:tcPr>
          <w:p>
            <w:pPr>
              <w:jc w:val="right"/>
            </w:pPr>
            <w:r>
              <w:rPr>
                <w:rFonts w:ascii="Arial" w:hAnsi="Arial"/>
                <w:sz w:val="18"/>
              </w:rPr>
              <w:t>856,806.78</w:t>
            </w:r>
          </w:p>
        </w:tc>
        <w:tc>
          <w:tcPr>
            <w:tcW w:type="dxa" w:w="1806"/>
            <w:shd w:fill="F2F6FC" w:val="clear"/>
          </w:tcPr>
          <w:p>
            <w:r>
              <w:rPr>
                <w:rFonts w:ascii="Arial" w:hAnsi="Arial"/>
                <w:sz w:val="18"/>
              </w:rPr>
              <w:t>liters</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64.7%</w:t>
            </w:r>
          </w:p>
        </w:tc>
      </w:tr>
      <w:tr>
        <w:tc>
          <w:tcPr>
            <w:tcW w:type="dxa" w:w="1806"/>
          </w:tcPr>
          <w:p>
            <w:r>
              <w:rPr>
                <w:rFonts w:ascii="Arial" w:hAnsi="Arial"/>
                <w:sz w:val="18"/>
              </w:rPr>
              <w:t>**Total Scope 1**</w:t>
            </w:r>
          </w:p>
        </w:tc>
        <w:tc>
          <w:tcPr>
            <w:tcW w:type="dxa" w:w="1806"/>
          </w:tcPr>
          <w:p>
            <w:r>
              <w:rPr>
                <w:rFonts w:ascii="Arial" w:hAnsi="Arial"/>
                <w:sz w:val="18"/>
              </w:rPr>
              <w:t>—</w:t>
            </w:r>
          </w:p>
        </w:tc>
        <w:tc>
          <w:tcPr>
            <w:tcW w:type="dxa" w:w="1806"/>
          </w:tcPr>
          <w:p>
            <w:r>
              <w:rPr>
                <w:rFonts w:ascii="Arial" w:hAnsi="Arial"/>
                <w:sz w:val="18"/>
              </w:rPr>
              <w:t>—</w:t>
            </w:r>
          </w:p>
        </w:tc>
        <w:tc>
          <w:tcPr>
            <w:tcW w:type="dxa" w:w="1806"/>
          </w:tcPr>
          <w:p>
            <w:r>
              <w:rPr>
                <w:rFonts w:ascii="Arial" w:hAnsi="Arial"/>
                <w:sz w:val="18"/>
              </w:rPr>
              <w:t>**3,402.997**</w:t>
            </w:r>
          </w:p>
        </w:tc>
        <w:tc>
          <w:tcPr>
            <w:tcW w:type="dxa" w:w="1806"/>
          </w:tcPr>
          <w:p>
            <w:r>
              <w:rPr>
                <w:rFonts w:ascii="Arial" w:hAnsi="Arial"/>
                <w:sz w:val="18"/>
              </w:rPr>
              <w:t>**100.0%**</w:t>
            </w:r>
          </w:p>
        </w:tc>
      </w:tr>
    </w:tbl>
    <w:p>
      <w:r>
        <w:rPr>
          <w:rFonts w:ascii="Arial" w:hAnsi="Arial"/>
          <w:i/>
          <w:sz w:val="16"/>
        </w:rPr>
        <w:t>Source: Activity data derived from utility invoices and fuel delivery records for all facilities under operational control. Emission factors: natural gas 56.16 kgCO2e/GJ, diesel 2.571 kgCO2e/liter (Indonesia Ministry of Energy and Mineral Resources 2023). GWP values per IPCC AR6.</w:t>
      </w:r>
    </w:p>
    <w:p/>
    <w:p>
      <w:r>
        <w:rPr>
          <w:i/>
          <w:color w:val="3D6094"/>
          <w:sz w:val="18"/>
        </w:rPr>
        <w:t>Framework references: IFRS S2 para 29(a)(i) — Scope 1 greenhouse gas emissions; IFRS S2 para B19 — Greenhouse gas emissions measurement; IFRS S2 para B23 — Greenhouse Gas Protocol application; IFRS S2 para 29(b) — Measurement approach disclosure; GHG Protocol Corporate Standard (2004) Chapter 4 — Setting the boundary</w:t>
      </w:r>
    </w:p>
    <w:p>
      <w:pPr>
        <w:spacing w:after="80"/>
        <w:pBdr>
          <w:bottom w:val="single" w:sz="6" w:space="1" w:color="999999"/>
        </w:pBdr>
      </w:pPr>
    </w:p>
    <w:p>
      <w:pPr>
        <w:spacing w:after="160" w:line="276" w:lineRule="auto"/>
        <w:jc w:val="both"/>
      </w:pPr>
      <w:r>
        <w:rPr>
          <w:rFonts w:ascii="Arial" w:hAnsi="Arial"/>
          <w:i/>
          <w:color w:val="646464"/>
          <w:sz w:val="18"/>
        </w:rPr>
        <w:t>Scope 1 emissions are reported in metric tonnes of carbon dioxide equivalent (tCO2e) using global warming potential values from the IPCC Sixth Assessment Report (AR6) with a 100-year time horizon.</w:t>
      </w:r>
    </w:p>
    <w:p>
      <w:pPr>
        <w:spacing w:after="160" w:line="276" w:lineRule="auto"/>
        <w:jc w:val="both"/>
      </w:pPr>
      <w:r>
        <w:rPr>
          <w:rFonts w:ascii="Arial" w:hAnsi="Arial"/>
          <w:i/>
          <w:color w:val="646464"/>
          <w:sz w:val="18"/>
        </w:rPr>
        <w:t>The operational control consolidation approach was applied consistent with the Greenhouse Gas Protocol Corporate Standard. All facilities where the institution has authority to introduce operating policies are included in the inventory boundary.</w:t>
      </w:r>
    </w:p>
    <w:p>
      <w:pPr>
        <w:spacing w:after="160" w:line="276" w:lineRule="auto"/>
        <w:jc w:val="both"/>
      </w:pPr>
      <w:r>
        <w:rPr>
          <w:rFonts w:ascii="Arial" w:hAnsi="Arial"/>
          <w:i/>
          <w:color w:val="646464"/>
          <w:sz w:val="18"/>
        </w:rPr>
        <w:t>Emission factor sources: Indonesia Ministry of Energy and Mineral Resources National Emission Factor Database (2023 edition), aligned with IPCC 2006 Guidelines for National Greenhouse Gas Inventories Volume 2 (Energy).</w:t>
      </w:r>
    </w:p>
    <w:p>
      <w:pPr>
        <w:spacing w:after="160" w:line="276" w:lineRule="auto"/>
        <w:jc w:val="both"/>
      </w:pPr>
      <w:r>
        <w:rPr>
          <w:rFonts w:ascii="Arial" w:hAnsi="Arial"/>
          <w:i/>
          <w:color w:val="646464"/>
          <w:sz w:val="18"/>
        </w:rPr>
        <w:t>Activity data quality score: 1.0 (highest quality). All consumption data derived from primary source documents (utility bills, fuel invoices) with no estimation required.</w:t>
      </w:r>
    </w:p>
    <w:p>
      <w:r>
        <w:br w:type="page"/>
      </w:r>
    </w:p>
    <w:p>
      <w:pPr>
        <w:pStyle w:val="Heading1"/>
        <w:keepNext/>
        <w:spacing w:before="480" w:after="240"/>
      </w:pPr>
      <w:r>
        <w:rPr>
          <w:rFonts w:ascii="Arial" w:hAnsi="Arial"/>
          <w:b/>
          <w:color w:val="1B3A6B"/>
          <w:sz w:val="36"/>
        </w:rPr>
        <w:t>E1-6: Scope 1 Direct GHG Emissions</w:t>
      </w:r>
    </w:p>
    <w:p>
      <w:pPr>
        <w:spacing w:after="160" w:line="276" w:lineRule="auto"/>
        <w:jc w:val="both"/>
      </w:pPr>
      <w:r>
        <w:rPr>
          <w:rFonts w:ascii="Arial" w:hAnsi="Arial"/>
          <w:sz w:val="22"/>
        </w:rPr>
        <w:t>**Double Materiality Context**: Climate change has been assessed as material under both impact materiality (the institution's impact on climate through GHG emissions) and financial materiality (climate-related risks and opportunities affecting the institution's financial position, performance, and cash flows). Scope 1 emissions represent the institution's direct contribution to climate change through combustion of fossil fuels in owned or controlled sources.</w:t>
      </w:r>
    </w:p>
    <w:p>
      <w:pPr>
        <w:spacing w:after="160" w:line="276" w:lineRule="auto"/>
        <w:jc w:val="both"/>
      </w:pPr>
      <w:r>
        <w:rPr>
          <w:rFonts w:ascii="Arial" w:hAnsi="Arial"/>
          <w:sz w:val="22"/>
        </w:rPr>
        <w:t>For the reporting period ending 31 December 2024, the institution's total Scope 1 direct greenhouse gas emissions were 3402.997 tCO2e. These emissions arise from stationary combustion sources at facilities under the institution's operational control, comprising natural gas consumption in heating and backup power systems, and diesel fuel consumption in emergency generators and fleet vehicles.</w:t>
      </w:r>
    </w:p>
    <w:p>
      <w:pPr>
        <w:spacing w:after="160" w:line="276" w:lineRule="auto"/>
        <w:jc w:val="both"/>
      </w:pPr>
      <w:r>
        <w:rPr>
          <w:rFonts w:ascii="Arial" w:hAnsi="Arial"/>
          <w:sz w:val="22"/>
        </w:rPr>
        <w:t>The Scope 1 emissions inventory comprises two primary fuel sources: natural gas combustion contributed 1199.7924 tCO2e (35.3% of total Scope 1), while diesel combustion accounted for 2203.2044 tCO2e (64.7% of total Scope 1). The predominance of diesel-related emissions reflects the institution's reliance on backup diesel generators across its branch network and data center operations, particularly in locations with unreliable grid electricity supply.</w:t>
      </w:r>
    </w:p>
    <w:p>
      <w:pPr>
        <w:spacing w:after="160" w:line="276" w:lineRule="auto"/>
        <w:jc w:val="both"/>
      </w:pPr>
      <w:r>
        <w:rPr>
          <w:rFonts w:ascii="Arial" w:hAnsi="Arial"/>
          <w:i/>
          <w:sz w:val="22"/>
        </w:rPr>
        <w:t>**Methodology and Calculation Approach**: Scope 1 emissions were calculated in accordance with the GHG Protocol Corporate Accounting and Reporting Standard (2015 revision) using the operational control consolidation approach. All facilities where the institution has the authority to introduce and implement operating policies were included in the inventory boundary. Emissions were quantified by applying country-specific emission factors to measured fuel consumption data obtained from utility invoices and fuel purchase records. For natural gas, the emission factor applied was 56.16 kgCO2e/GJ (source: Indonesia Ministry of Energy and Mineral Resources, 2023). For diesel fuel, the emission factor applied was 2.571 kgCO2e/liter (source: IPCC 2006 Guidelines, Indonesia-specific net calorific value). Global Warming Potential (GWP) values from the IPCC Sixth Assessment Report (AR6) were applied for non-CO2 gases: methane (CH4) = 29.8 kgCO2e/kg; nitrous oxide (N2O) = 273.0 kgCO2e/kg. The inventory includes emissions of carbon dioxide (CO2), methane (CH4), and nitrous oxide (N2O) from combustion processes.</w:t>
      </w:r>
    </w:p>
    <w:p>
      <w:pPr>
        <w:spacing w:after="160" w:line="276" w:lineRule="auto"/>
        <w:jc w:val="both"/>
      </w:pPr>
      <w:r>
        <w:rPr>
          <w:rFonts w:ascii="Arial" w:hAnsi="Arial"/>
          <w:sz w:val="22"/>
        </w:rPr>
        <w:t>**Year-over-Year Trend Analysis**: Compared to the prior reporting period (2023: 3324.521 tCO2e), Scope 1 emissions increased by 78.476 tCO2e, representing a 2.36% increase. This increase is attributable to two factors: (1) expansion of the branch network with the addition of three new facilities in Q2 2024, each equipped with diesel backup generators; and (2) increased frequency of grid power outages in the Jakarta metropolitan area during Q3 2024, resulting in higher diesel generator runtime. Natural gas consumption remained relatively stable year-over-year (2024: 1199.7924 tCO2e vs 2023: 1199.0321 tCO2e, +0.06%), while diesel consumption increased by 3.66% (2024: 2203.2044 tCO2e vs 2023: 2125.4888 tCO2e).</w:t>
      </w:r>
    </w:p>
    <w:p>
      <w:pPr>
        <w:spacing w:after="160" w:line="276" w:lineRule="auto"/>
        <w:jc w:val="both"/>
      </w:pPr>
      <w:r>
        <w:rPr>
          <w:rFonts w:ascii="Arial" w:hAnsi="Arial"/>
          <w:sz w:val="22"/>
        </w:rPr>
        <w:t>**Base Year Comparison**: The reporting year 2024 serves as the base year for the institution's GHG inventory under ESRS E1 requirements. Future reporting periods will reference 2024 as the baseline for tracking progress toward emission reduction targets established in the institution's climate transition plan (refer to E1-1 and E1-4 disclosures).</w:t>
      </w:r>
    </w:p>
    <w:p>
      <w:pPr>
        <w:spacing w:after="160" w:line="276" w:lineRule="auto"/>
        <w:jc w:val="both"/>
      </w:pPr>
      <w:r>
        <w:rPr>
          <w:rFonts w:ascii="Arial" w:hAnsi="Arial"/>
          <w:sz w:val="22"/>
        </w:rPr>
        <w:t>**Value Chain Context**: Scope 1 emissions represent the institution's own operations component of its climate impact. These direct emissions constitute 0.02% of the institution's total GHG footprint when combined with Scope 2 (location-based: 44613.876 tCO2e) and Scope 3 Category 15 financed emissions (weighted: 15280174.14 tCO2e). The institution recognizes that its most material climate impact occurs through its lending and investment activities (downstream value chain), as disclosed under E1-6 Scope 3 and detailed in the PCAF-aligned financed emissions section. Nevertheless, operational emissions reduction remains a strategic priority, with actions including energy efficiency retrofits, renewable energy procurement, and diesel generator replacement programs detailed in E1-3.</w:t>
      </w:r>
    </w:p>
    <w:p>
      <w:r>
        <w:rPr>
          <w:rFonts w:ascii="Arial" w:hAnsi="Arial"/>
          <w:b/>
          <w:sz w:val="20"/>
        </w:rPr>
        <w:t>Table E1-6a: Scope 1 Direct GHG Emissions by Source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Fuel Type</w:t>
            </w:r>
          </w:p>
        </w:tc>
        <w:tc>
          <w:tcPr>
            <w:tcW w:type="dxa" w:w="1806"/>
            <w:shd w:fill="1B3A6B" w:val="clear"/>
          </w:tcPr>
          <w:p>
            <w:r>
              <w:rPr>
                <w:rFonts w:ascii="Arial" w:hAnsi="Arial"/>
                <w:b/>
                <w:color w:val="FFFFFF"/>
                <w:sz w:val="18"/>
              </w:rPr>
              <w:t>Emissions (tCO2e)</w:t>
            </w:r>
          </w:p>
        </w:tc>
        <w:tc>
          <w:tcPr>
            <w:tcW w:type="dxa" w:w="1806"/>
            <w:shd w:fill="1B3A6B" w:val="clear"/>
          </w:tcPr>
          <w:p>
            <w:r>
              <w:rPr>
                <w:rFonts w:ascii="Arial" w:hAnsi="Arial"/>
                <w:b/>
                <w:color w:val="FFFFFF"/>
                <w:sz w:val="18"/>
              </w:rPr>
              <w:t>% of Scope 1 Total</w:t>
            </w:r>
          </w:p>
        </w:tc>
        <w:tc>
          <w:tcPr>
            <w:tcW w:type="dxa" w:w="1806"/>
            <w:shd w:fill="1B3A6B" w:val="clear"/>
          </w:tcPr>
          <w:p>
            <w:r>
              <w:rPr>
                <w:rFonts w:ascii="Arial" w:hAnsi="Arial"/>
                <w:b/>
                <w:color w:val="FFFFFF"/>
                <w:sz w:val="18"/>
              </w:rPr>
              <w:t>Primary Use</w:t>
            </w:r>
          </w:p>
        </w:tc>
      </w:tr>
      <w:tr>
        <w:tc>
          <w:tcPr>
            <w:tcW w:type="dxa" w:w="1806"/>
          </w:tcPr>
          <w:p>
            <w:r>
              <w:rPr>
                <w:rFonts w:ascii="Arial" w:hAnsi="Arial"/>
                <w:sz w:val="18"/>
              </w:rPr>
              <w:t>Stationary combustion</w:t>
            </w:r>
          </w:p>
        </w:tc>
        <w:tc>
          <w:tcPr>
            <w:tcW w:type="dxa" w:w="1806"/>
          </w:tcPr>
          <w:p>
            <w:r>
              <w:rPr>
                <w:rFonts w:ascii="Arial" w:hAnsi="Arial"/>
                <w:sz w:val="18"/>
              </w:rPr>
              <w:t>Natural gas</w:t>
            </w:r>
          </w:p>
        </w:tc>
        <w:tc>
          <w:tcPr>
            <w:tcW w:type="dxa" w:w="1806"/>
          </w:tcPr>
          <w:p>
            <w:pPr>
              <w:jc w:val="right"/>
            </w:pPr>
            <w:r>
              <w:rPr>
                <w:rFonts w:ascii="Arial" w:hAnsi="Arial"/>
                <w:sz w:val="18"/>
              </w:rPr>
              <w:t>1199.7924</w:t>
            </w:r>
          </w:p>
        </w:tc>
        <w:tc>
          <w:tcPr>
            <w:tcW w:type="dxa" w:w="1806"/>
          </w:tcPr>
          <w:p>
            <w:pPr>
              <w:jc w:val="right"/>
            </w:pPr>
            <w:r>
              <w:rPr>
                <w:rFonts w:ascii="Arial" w:hAnsi="Arial"/>
                <w:sz w:val="18"/>
              </w:rPr>
              <w:t>35.3%</w:t>
            </w:r>
          </w:p>
        </w:tc>
        <w:tc>
          <w:tcPr>
            <w:tcW w:type="dxa" w:w="1806"/>
          </w:tcPr>
          <w:p>
            <w:r>
              <w:rPr>
                <w:rFonts w:ascii="Arial" w:hAnsi="Arial"/>
                <w:sz w:val="18"/>
              </w:rPr>
              <w:t>Heating systems, backup power</w:t>
            </w:r>
          </w:p>
        </w:tc>
      </w:tr>
      <w:tr>
        <w:tc>
          <w:tcPr>
            <w:tcW w:type="dxa" w:w="1806"/>
            <w:shd w:fill="F2F6FC" w:val="clear"/>
          </w:tcPr>
          <w:p>
            <w:r>
              <w:rPr>
                <w:rFonts w:ascii="Arial" w:hAnsi="Arial"/>
                <w:sz w:val="18"/>
              </w:rPr>
              <w:t>Stationary combustion</w:t>
            </w:r>
          </w:p>
        </w:tc>
        <w:tc>
          <w:tcPr>
            <w:tcW w:type="dxa" w:w="1806"/>
            <w:shd w:fill="F2F6FC" w:val="clear"/>
          </w:tcPr>
          <w:p>
            <w:r>
              <w:rPr>
                <w:rFonts w:ascii="Arial" w:hAnsi="Arial"/>
                <w:sz w:val="18"/>
              </w:rPr>
              <w:t>Diesel</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64.7%</w:t>
            </w:r>
          </w:p>
        </w:tc>
        <w:tc>
          <w:tcPr>
            <w:tcW w:type="dxa" w:w="1806"/>
            <w:shd w:fill="F2F6FC" w:val="clear"/>
          </w:tcPr>
          <w:p>
            <w:r>
              <w:rPr>
                <w:rFonts w:ascii="Arial" w:hAnsi="Arial"/>
                <w:sz w:val="18"/>
              </w:rPr>
              <w:t>Emergency generators, fleet vehicles</w:t>
            </w:r>
          </w:p>
        </w:tc>
      </w:tr>
      <w:tr>
        <w:tc>
          <w:tcPr>
            <w:tcW w:type="dxa" w:w="1806"/>
          </w:tcPr>
          <w:p>
            <w:r>
              <w:rPr>
                <w:rFonts w:ascii="Arial" w:hAnsi="Arial"/>
                <w:sz w:val="18"/>
              </w:rPr>
              <w:t>**Total Scope 1**</w:t>
            </w:r>
          </w:p>
        </w:tc>
        <w:tc>
          <w:tcPr>
            <w:tcW w:type="dxa" w:w="1806"/>
          </w:tcPr>
          <w:p>
            <w:r>
              <w:rPr>
                <w:rFonts w:ascii="Arial" w:hAnsi="Arial"/>
                <w:sz w:val="18"/>
              </w:rPr>
              <w:t>—</w:t>
            </w:r>
          </w:p>
        </w:tc>
        <w:tc>
          <w:tcPr>
            <w:tcW w:type="dxa" w:w="1806"/>
          </w:tcPr>
          <w:p>
            <w:r>
              <w:rPr>
                <w:rFonts w:ascii="Arial" w:hAnsi="Arial"/>
                <w:sz w:val="18"/>
              </w:rPr>
              <w:t>**3402.997**</w:t>
            </w:r>
          </w:p>
        </w:tc>
        <w:tc>
          <w:tcPr>
            <w:tcW w:type="dxa" w:w="1806"/>
          </w:tcPr>
          <w:p>
            <w:r>
              <w:rPr>
                <w:rFonts w:ascii="Arial" w:hAnsi="Arial"/>
                <w:sz w:val="18"/>
              </w:rPr>
              <w:t>**100.0%**</w:t>
            </w:r>
          </w:p>
        </w:tc>
        <w:tc>
          <w:tcPr>
            <w:tcW w:type="dxa" w:w="1806"/>
          </w:tcPr>
          <w:p>
            <w:r>
              <w:rPr>
                <w:rFonts w:ascii="Arial" w:hAnsi="Arial"/>
                <w:sz w:val="18"/>
              </w:rPr>
              <w:t>—</w:t>
            </w:r>
          </w:p>
        </w:tc>
      </w:tr>
    </w:tbl>
    <w:p>
      <w:r>
        <w:rPr>
          <w:rFonts w:ascii="Arial" w:hAnsi="Arial"/>
          <w:i/>
          <w:sz w:val="16"/>
        </w:rPr>
        <w:t>Source: Source: Internal fuel consumption records and utility invoices. Emission factors: Indonesia Ministry of Energy and Mineral Resources (2023) for natural gas; IPCC 2006 Guidelines for diesel. GWP values: IPCC AR6. Consolidation approach: Operational control per GHG Protocol Corporate Standard (2015).</w:t>
      </w:r>
    </w:p>
    <w:p/>
    <w:p>
      <w:r>
        <w:rPr>
          <w:rFonts w:ascii="Arial" w:hAnsi="Arial"/>
          <w:b/>
          <w:sz w:val="20"/>
        </w:rPr>
        <w:t>Table E1-6b: Scope 1 Emissions Trend (2023–2024)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Reporting Period</w:t>
            </w:r>
          </w:p>
        </w:tc>
        <w:tc>
          <w:tcPr>
            <w:tcW w:type="dxa" w:w="1806"/>
            <w:shd w:fill="1B3A6B" w:val="clear"/>
          </w:tcPr>
          <w:p>
            <w:r>
              <w:rPr>
                <w:rFonts w:ascii="Arial" w:hAnsi="Arial"/>
                <w:b/>
                <w:color w:val="FFFFFF"/>
                <w:sz w:val="18"/>
              </w:rPr>
              <w:t>Natural Gas (tCO2e)</w:t>
            </w:r>
          </w:p>
        </w:tc>
        <w:tc>
          <w:tcPr>
            <w:tcW w:type="dxa" w:w="1806"/>
            <w:shd w:fill="1B3A6B" w:val="clear"/>
          </w:tcPr>
          <w:p>
            <w:r>
              <w:rPr>
                <w:rFonts w:ascii="Arial" w:hAnsi="Arial"/>
                <w:b/>
                <w:color w:val="FFFFFF"/>
                <w:sz w:val="18"/>
              </w:rPr>
              <w:t>Diesel (tCO2e)</w:t>
            </w:r>
          </w:p>
        </w:tc>
        <w:tc>
          <w:tcPr>
            <w:tcW w:type="dxa" w:w="1806"/>
            <w:shd w:fill="1B3A6B" w:val="clear"/>
          </w:tcPr>
          <w:p>
            <w:r>
              <w:rPr>
                <w:rFonts w:ascii="Arial" w:hAnsi="Arial"/>
                <w:b/>
                <w:color w:val="FFFFFF"/>
                <w:sz w:val="18"/>
              </w:rPr>
              <w:t>Total Scope 1 (tCO2e)</w:t>
            </w:r>
          </w:p>
        </w:tc>
        <w:tc>
          <w:tcPr>
            <w:tcW w:type="dxa" w:w="1806"/>
            <w:shd w:fill="1B3A6B" w:val="clear"/>
          </w:tcPr>
          <w:p>
            <w:r>
              <w:rPr>
                <w:rFonts w:ascii="Arial" w:hAnsi="Arial"/>
                <w:b/>
                <w:color w:val="FFFFFF"/>
                <w:sz w:val="18"/>
              </w:rPr>
              <w:t>YoY Change (%)</w:t>
            </w:r>
          </w:p>
        </w:tc>
      </w:tr>
      <w:tr>
        <w:tc>
          <w:tcPr>
            <w:tcW w:type="dxa" w:w="1806"/>
          </w:tcPr>
          <w:p>
            <w:pPr>
              <w:jc w:val="right"/>
            </w:pPr>
            <w:r>
              <w:rPr>
                <w:rFonts w:ascii="Arial" w:hAnsi="Arial"/>
                <w:sz w:val="18"/>
              </w:rPr>
              <w:t>2023</w:t>
            </w:r>
          </w:p>
        </w:tc>
        <w:tc>
          <w:tcPr>
            <w:tcW w:type="dxa" w:w="1806"/>
          </w:tcPr>
          <w:p>
            <w:pPr>
              <w:jc w:val="right"/>
            </w:pPr>
            <w:r>
              <w:rPr>
                <w:rFonts w:ascii="Arial" w:hAnsi="Arial"/>
                <w:sz w:val="18"/>
              </w:rPr>
              <w:t>1199.0321</w:t>
            </w:r>
          </w:p>
        </w:tc>
        <w:tc>
          <w:tcPr>
            <w:tcW w:type="dxa" w:w="1806"/>
          </w:tcPr>
          <w:p>
            <w:pPr>
              <w:jc w:val="right"/>
            </w:pPr>
            <w:r>
              <w:rPr>
                <w:rFonts w:ascii="Arial" w:hAnsi="Arial"/>
                <w:sz w:val="18"/>
              </w:rPr>
              <w:t>2125.4888</w:t>
            </w:r>
          </w:p>
        </w:tc>
        <w:tc>
          <w:tcPr>
            <w:tcW w:type="dxa" w:w="1806"/>
          </w:tcPr>
          <w:p>
            <w:pPr>
              <w:jc w:val="right"/>
            </w:pPr>
            <w:r>
              <w:rPr>
                <w:rFonts w:ascii="Arial" w:hAnsi="Arial"/>
                <w:sz w:val="18"/>
              </w:rPr>
              <w:t>3324.521</w:t>
            </w:r>
          </w:p>
        </w:tc>
        <w:tc>
          <w:tcPr>
            <w:tcW w:type="dxa" w:w="1806"/>
          </w:tcPr>
          <w:p>
            <w:r>
              <w:rPr>
                <w:rFonts w:ascii="Arial" w:hAnsi="Arial"/>
                <w:sz w:val="18"/>
              </w:rPr>
              <w:t>—</w:t>
            </w:r>
          </w:p>
        </w:tc>
      </w:tr>
      <w:tr>
        <w:tc>
          <w:tcPr>
            <w:tcW w:type="dxa" w:w="1806"/>
            <w:shd w:fill="F2F6FC" w:val="clear"/>
          </w:tcPr>
          <w:p>
            <w:pPr>
              <w:jc w:val="right"/>
            </w:pPr>
            <w:r>
              <w:rPr>
                <w:rFonts w:ascii="Arial" w:hAnsi="Arial"/>
                <w:sz w:val="18"/>
              </w:rPr>
              <w:t>2024</w:t>
            </w:r>
          </w:p>
        </w:tc>
        <w:tc>
          <w:tcPr>
            <w:tcW w:type="dxa" w:w="1806"/>
            <w:shd w:fill="F2F6FC" w:val="clear"/>
          </w:tcPr>
          <w:p>
            <w:pPr>
              <w:jc w:val="right"/>
            </w:pPr>
            <w:r>
              <w:rPr>
                <w:rFonts w:ascii="Arial" w:hAnsi="Arial"/>
                <w:sz w:val="18"/>
              </w:rPr>
              <w:t>1199.7924</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3402.997</w:t>
            </w:r>
          </w:p>
        </w:tc>
        <w:tc>
          <w:tcPr>
            <w:tcW w:type="dxa" w:w="1806"/>
            <w:shd w:fill="F2F6FC" w:val="clear"/>
          </w:tcPr>
          <w:p>
            <w:pPr>
              <w:jc w:val="right"/>
            </w:pPr>
            <w:r>
              <w:rPr>
                <w:rFonts w:ascii="Arial" w:hAnsi="Arial"/>
                <w:sz w:val="18"/>
              </w:rPr>
              <w:t>+2.36%</w:t>
            </w:r>
          </w:p>
        </w:tc>
      </w:tr>
    </w:tbl>
    <w:p>
      <w:r>
        <w:rPr>
          <w:rFonts w:ascii="Arial" w:hAnsi="Arial"/>
          <w:i/>
          <w:sz w:val="16"/>
        </w:rPr>
        <w:t>Source: Source: Annual GHG inventory calculations. Base year: 2024.</w:t>
      </w:r>
    </w:p>
    <w:p/>
    <w:p>
      <w:r>
        <w:rPr>
          <w:i/>
          <w:color w:val="3D6094"/>
          <w:sz w:val="18"/>
        </w:rPr>
        <w:t>Framework references: ESRS E1-6 (Gross Scopes 1, 2, 3 and Total GHG emissions); GHG Protocol Corporate Accounting and Reporting Standard (2015); IPCC Sixth Assessment Report (AR6) — GWP100 values; IPCC 2006 Guidelines for National Greenhouse Gas Inventories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Reconciliation check: Natural gas emissions (1199.7924 tCO2e) + Diesel emissions (2203.2044 tCO2e) = Total Scope 1 (3402.997 tCO2e). Values reconcile to reported total.</w:t>
      </w:r>
    </w:p>
    <w:p>
      <w:pPr>
        <w:spacing w:after="160" w:line="276" w:lineRule="auto"/>
        <w:jc w:val="both"/>
      </w:pPr>
      <w:r>
        <w:rPr>
          <w:rFonts w:ascii="Arial" w:hAnsi="Arial"/>
          <w:i/>
          <w:color w:val="646464"/>
          <w:sz w:val="18"/>
        </w:rPr>
        <w:t>Data quality score: 1/4 (primary data from direct measurement). All fuel consumption data derived from utility invoices and fuel purchase records with monthly meter readings. No estimation or proxy data applied for 2024 reporting period.</w:t>
      </w:r>
    </w:p>
    <w:p>
      <w:pPr>
        <w:spacing w:after="160" w:line="276" w:lineRule="auto"/>
        <w:jc w:val="both"/>
      </w:pPr>
      <w:r>
        <w:rPr>
          <w:rFonts w:ascii="Arial" w:hAnsi="Arial"/>
          <w:i/>
          <w:color w:val="646464"/>
          <w:sz w:val="18"/>
        </w:rPr>
        <w:t>Organizational boundary: All facilities under operational control per GHG Protocol. Includes 10 facilities with highest emissions (FAC-0197 through FAC-0208 representing top emitters); full facility-level inventory available in supplementary data appendix.</w:t>
      </w:r>
    </w:p>
    <w:p>
      <w:pPr>
        <w:spacing w:after="160" w:line="276" w:lineRule="auto"/>
        <w:jc w:val="both"/>
      </w:pPr>
      <w:r>
        <w:rPr>
          <w:rFonts w:ascii="Arial" w:hAnsi="Arial"/>
          <w:i/>
          <w:color w:val="646464"/>
          <w:sz w:val="18"/>
        </w:rPr>
        <w:t>Gases included: Carbon dioxide (CO2), methane (CH4), nitrous oxide (N2O). Hydrofluorocarbons (HFCs), perfluorocarbons (PFCs), sulfur hexafluoride (SF6), and nitrogen trifluoride (NF3) are not material to the institution's Scope 1 inventory.</w:t>
      </w:r>
    </w:p>
    <w:p>
      <w:r>
        <w:br w:type="page"/>
      </w:r>
    </w:p>
    <w:p>
      <w:pPr>
        <w:pStyle w:val="Heading1"/>
        <w:keepNext/>
        <w:spacing w:before="480" w:after="240"/>
      </w:pPr>
      <w:r>
        <w:rPr>
          <w:rFonts w:ascii="Arial" w:hAnsi="Arial"/>
          <w:b/>
          <w:color w:val="1B3A6B"/>
          <w:sz w:val="36"/>
        </w:rPr>
        <w:t>Emisi GRK Langsung (Scope 1) / Scope 1 Direct GHG Emissions</w:t>
      </w:r>
    </w:p>
    <w:p>
      <w:pPr>
        <w:spacing w:after="160" w:line="276" w:lineRule="auto"/>
        <w:jc w:val="both"/>
      </w:pPr>
      <w:r>
        <w:rPr>
          <w:rFonts w:ascii="Arial" w:hAnsi="Arial"/>
          <w:sz w:val="22"/>
        </w:rPr>
        <w:t>The institution reported total Scope 1 direct greenhouse gas emissions of 3,402.997 tCO2e for the reporting year 2024. Scope 1 emissions encompass direct emissions from sources owned or controlled by the institution, including stationary combustion of natural gas and mobile combustion of diesel fuel across operational facilities. These emissions are reported in accordance with POJK No. 51/POJK.03/2017 tentang Penerapan Keuangan Berkelanjutan bagi Lembaga Jasa Keuangan, Emiten, dan Perusahaan Publik (POJK 51/2017) and the GHG Protocol Corporate Accounting and Reporting Standard (2015 Revised Edition).</w:t>
      </w:r>
    </w:p>
    <w:p>
      <w:pPr>
        <w:spacing w:after="160" w:line="276" w:lineRule="auto"/>
        <w:jc w:val="both"/>
      </w:pPr>
      <w:r>
        <w:rPr>
          <w:rFonts w:ascii="Arial" w:hAnsi="Arial"/>
          <w:sz w:val="22"/>
        </w:rPr>
        <w:t>The Scope 1 emission inventory comprises two primary sources: natural gas combustion contributing 1,199.7924 tCO2e (35.3% of total Scope 1) and diesel combustion contributing 2,203.2044 tCO2e (64.7% of total Scope 1). Natural gas is utilized primarily for heating and backup power generation at branch facilities, while diesel fuel powers emergency generators, fleet vehicles, and temporary power systems. The emission source breakdown demonstrates the institution's reliance on diesel as the dominant Scope 1 emission source, reflecting operational requirements for business continuity and mobile asset deployment.</w:t>
      </w:r>
    </w:p>
    <w:p>
      <w:pPr>
        <w:spacing w:after="160" w:line="276" w:lineRule="auto"/>
        <w:jc w:val="both"/>
      </w:pPr>
      <w:r>
        <w:rPr>
          <w:rFonts w:ascii="Arial" w:hAnsi="Arial"/>
          <w:sz w:val="22"/>
        </w:rPr>
        <w:t>Scope 1 emissions increased by 2.36% compared to the prior reporting year 2023, rising from 3,324.521 tCO2e to 3,402.997 tCO2e. The year-over-year increase of 78.476 tCO2e is attributable to expanded branch network operations and increased diesel consumption for fleet vehicles supporting business growth. Natural gas consumption remained relatively stable with emissions increasing from 1,199.0321 tCO2e to 1,199.7924 tCO2e (0.06% increase), while diesel emissions increased from 2,125.4888 tCO2e to 2,203.2044 tCO2e (3.65% increase). The institution continues to monitor Scope 1 emission trends as part of its climate risk management framework under POJK 51/2017 Article 13-16 requirements.</w:t>
      </w:r>
    </w:p>
    <w:p>
      <w:pPr>
        <w:spacing w:after="160" w:line="276" w:lineRule="auto"/>
        <w:jc w:val="both"/>
      </w:pPr>
      <w:r>
        <w:rPr>
          <w:rFonts w:ascii="Arial" w:hAnsi="Arial"/>
          <w:i/>
          <w:sz w:val="22"/>
        </w:rPr>
        <w:t>Scope 1 emissions are calculated using the GHG Protocol Corporate Standard methodology with emission factors sourced from Indonesia's Ministry of Environment and Forestry (KLHK) 2023 National Emission Factors and IPCC 2006 Guidelines for National Greenhouse Gas Inventories. Global Warming Potential (GWP) values are based on the IPCC Sixth Assessment Report (AR6) with a 100-year time horizon: CO2 = 1, CH4 = 29.8, N2O = 273.0. The consolidation approach follows the operational control method, whereby the institution accounts for 100% of emissions from facilities and assets over which it has operational control, consistent with POJK 51/2017 requirements for KBMI 3 classification banks. Greenhouse gases included in the inventory are carbon dioxide (CO2), methane (CH4), and nitrous oxide (N2O), converted to carbon dioxide equivalents (CO2e) using AR6 GWP100 factors.</w:t>
      </w:r>
    </w:p>
    <w:p>
      <w:r>
        <w:rPr>
          <w:rFonts w:ascii="Arial" w:hAnsi="Arial"/>
          <w:b/>
          <w:sz w:val="20"/>
        </w:rPr>
        <w:t>Tabel Rincian Emisi Scope 1 Tahun Pelaporan 2024 / Scope 1 Emission Source Breakdown for Reporting Year 2024</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No.</w:t>
            </w:r>
          </w:p>
        </w:tc>
        <w:tc>
          <w:tcPr>
            <w:tcW w:type="dxa" w:w="1290"/>
            <w:shd w:fill="1B3A6B" w:val="clear"/>
          </w:tcPr>
          <w:p>
            <w:r>
              <w:rPr>
                <w:rFonts w:ascii="Arial" w:hAnsi="Arial"/>
                <w:b/>
                <w:color w:val="FFFFFF"/>
                <w:sz w:val="18"/>
              </w:rPr>
              <w:t>Sumber Emisi / Emission Source</w:t>
            </w:r>
          </w:p>
        </w:tc>
        <w:tc>
          <w:tcPr>
            <w:tcW w:type="dxa" w:w="1290"/>
            <w:shd w:fill="1B3A6B" w:val="clear"/>
          </w:tcPr>
          <w:p>
            <w:r>
              <w:rPr>
                <w:rFonts w:ascii="Arial" w:hAnsi="Arial"/>
                <w:b/>
                <w:color w:val="FFFFFF"/>
                <w:sz w:val="18"/>
              </w:rPr>
              <w:t>Satuan / Unit</w:t>
            </w:r>
          </w:p>
        </w:tc>
        <w:tc>
          <w:tcPr>
            <w:tcW w:type="dxa" w:w="1290"/>
            <w:shd w:fill="1B3A6B" w:val="clear"/>
          </w:tcPr>
          <w:p>
            <w:r>
              <w:rPr>
                <w:rFonts w:ascii="Arial" w:hAnsi="Arial"/>
                <w:b/>
                <w:color w:val="FFFFFF"/>
                <w:sz w:val="18"/>
              </w:rPr>
              <w:t>Tahun Berjalan / Current Year (2024)</w:t>
            </w:r>
          </w:p>
        </w:tc>
        <w:tc>
          <w:tcPr>
            <w:tcW w:type="dxa" w:w="1290"/>
            <w:shd w:fill="1B3A6B" w:val="clear"/>
          </w:tcPr>
          <w:p>
            <w:r>
              <w:rPr>
                <w:rFonts w:ascii="Arial" w:hAnsi="Arial"/>
                <w:b/>
                <w:color w:val="FFFFFF"/>
                <w:sz w:val="18"/>
              </w:rPr>
              <w:t>Tahun Sebelumnya / Prior Year (2023)</w:t>
            </w:r>
          </w:p>
        </w:tc>
        <w:tc>
          <w:tcPr>
            <w:tcW w:type="dxa" w:w="1290"/>
            <w:shd w:fill="1B3A6B" w:val="clear"/>
          </w:tcPr>
          <w:p>
            <w:r>
              <w:rPr>
                <w:rFonts w:ascii="Arial" w:hAnsi="Arial"/>
                <w:b/>
                <w:color w:val="FFFFFF"/>
                <w:sz w:val="18"/>
              </w:rPr>
              <w:t>Perubahan / Change (%)</w:t>
            </w:r>
          </w:p>
        </w:tc>
        <w:tc>
          <w:tcPr>
            <w:tcW w:type="dxa" w:w="1290"/>
            <w:shd w:fill="1B3A6B" w:val="clear"/>
          </w:tcPr>
          <w:p>
            <w:r>
              <w:rPr>
                <w:rFonts w:ascii="Arial" w:hAnsi="Arial"/>
                <w:b/>
                <w:color w:val="FFFFFF"/>
                <w:sz w:val="18"/>
              </w:rPr>
              <w:t>Proporsi / Proportion (%)</w:t>
            </w:r>
          </w:p>
        </w:tc>
      </w:tr>
      <w:tr>
        <w:tc>
          <w:tcPr>
            <w:tcW w:type="dxa" w:w="1290"/>
          </w:tcPr>
          <w:p>
            <w:pPr>
              <w:jc w:val="right"/>
            </w:pPr>
            <w:r>
              <w:rPr>
                <w:rFonts w:ascii="Arial" w:hAnsi="Arial"/>
                <w:sz w:val="18"/>
              </w:rPr>
              <w:t>1</w:t>
            </w:r>
          </w:p>
        </w:tc>
        <w:tc>
          <w:tcPr>
            <w:tcW w:type="dxa" w:w="1290"/>
          </w:tcPr>
          <w:p>
            <w:r>
              <w:rPr>
                <w:rFonts w:ascii="Arial" w:hAnsi="Arial"/>
                <w:sz w:val="18"/>
              </w:rPr>
              <w:t>Pembakaran Gas Alam (Stasioner) / Natural Gas Combustion (Stationary)</w:t>
            </w:r>
          </w:p>
        </w:tc>
        <w:tc>
          <w:tcPr>
            <w:tcW w:type="dxa" w:w="1290"/>
          </w:tcPr>
          <w:p>
            <w:r>
              <w:rPr>
                <w:rFonts w:ascii="Arial" w:hAnsi="Arial"/>
                <w:sz w:val="18"/>
              </w:rPr>
              <w:t>tCO2e</w:t>
            </w:r>
          </w:p>
        </w:tc>
        <w:tc>
          <w:tcPr>
            <w:tcW w:type="dxa" w:w="1290"/>
          </w:tcPr>
          <w:p>
            <w:pPr>
              <w:jc w:val="right"/>
            </w:pPr>
            <w:r>
              <w:rPr>
                <w:rFonts w:ascii="Arial" w:hAnsi="Arial"/>
                <w:sz w:val="18"/>
              </w:rPr>
              <w:t>1,199.7924</w:t>
            </w:r>
          </w:p>
        </w:tc>
        <w:tc>
          <w:tcPr>
            <w:tcW w:type="dxa" w:w="1290"/>
          </w:tcPr>
          <w:p>
            <w:pPr>
              <w:jc w:val="right"/>
            </w:pPr>
            <w:r>
              <w:rPr>
                <w:rFonts w:ascii="Arial" w:hAnsi="Arial"/>
                <w:sz w:val="18"/>
              </w:rPr>
              <w:t>1,199.0321</w:t>
            </w:r>
          </w:p>
        </w:tc>
        <w:tc>
          <w:tcPr>
            <w:tcW w:type="dxa" w:w="1290"/>
          </w:tcPr>
          <w:p>
            <w:pPr>
              <w:jc w:val="right"/>
            </w:pPr>
            <w:r>
              <w:rPr>
                <w:rFonts w:ascii="Arial" w:hAnsi="Arial"/>
                <w:sz w:val="18"/>
              </w:rPr>
              <w:t>0.06</w:t>
            </w:r>
          </w:p>
        </w:tc>
        <w:tc>
          <w:tcPr>
            <w:tcW w:type="dxa" w:w="1290"/>
          </w:tcPr>
          <w:p>
            <w:pPr>
              <w:jc w:val="right"/>
            </w:pPr>
            <w:r>
              <w:rPr>
                <w:rFonts w:ascii="Arial" w:hAnsi="Arial"/>
                <w:sz w:val="18"/>
              </w:rPr>
              <w:t>35.3</w:t>
            </w:r>
          </w:p>
        </w:tc>
      </w:tr>
      <w:tr>
        <w:tc>
          <w:tcPr>
            <w:tcW w:type="dxa" w:w="1290"/>
            <w:shd w:fill="F2F6FC" w:val="clear"/>
          </w:tcPr>
          <w:p>
            <w:pPr>
              <w:jc w:val="right"/>
            </w:pPr>
            <w:r>
              <w:rPr>
                <w:rFonts w:ascii="Arial" w:hAnsi="Arial"/>
                <w:sz w:val="18"/>
              </w:rPr>
              <w:t>2</w:t>
            </w:r>
          </w:p>
        </w:tc>
        <w:tc>
          <w:tcPr>
            <w:tcW w:type="dxa" w:w="1290"/>
            <w:shd w:fill="F2F6FC" w:val="clear"/>
          </w:tcPr>
          <w:p>
            <w:r>
              <w:rPr>
                <w:rFonts w:ascii="Arial" w:hAnsi="Arial"/>
                <w:sz w:val="18"/>
              </w:rPr>
              <w:t>Pembakaran Solar (Mobile &amp; Stasioner) / Diesel Combustion (Mobile &amp; Stationary)</w:t>
            </w:r>
          </w:p>
        </w:tc>
        <w:tc>
          <w:tcPr>
            <w:tcW w:type="dxa" w:w="1290"/>
            <w:shd w:fill="F2F6FC" w:val="clear"/>
          </w:tcPr>
          <w:p>
            <w:r>
              <w:rPr>
                <w:rFonts w:ascii="Arial" w:hAnsi="Arial"/>
                <w:sz w:val="18"/>
              </w:rPr>
              <w:t>tCO2e</w:t>
            </w:r>
          </w:p>
        </w:tc>
        <w:tc>
          <w:tcPr>
            <w:tcW w:type="dxa" w:w="1290"/>
            <w:shd w:fill="F2F6FC" w:val="clear"/>
          </w:tcPr>
          <w:p>
            <w:pPr>
              <w:jc w:val="right"/>
            </w:pPr>
            <w:r>
              <w:rPr>
                <w:rFonts w:ascii="Arial" w:hAnsi="Arial"/>
                <w:sz w:val="18"/>
              </w:rPr>
              <w:t>2,203.2044</w:t>
            </w:r>
          </w:p>
        </w:tc>
        <w:tc>
          <w:tcPr>
            <w:tcW w:type="dxa" w:w="1290"/>
            <w:shd w:fill="F2F6FC" w:val="clear"/>
          </w:tcPr>
          <w:p>
            <w:pPr>
              <w:jc w:val="right"/>
            </w:pPr>
            <w:r>
              <w:rPr>
                <w:rFonts w:ascii="Arial" w:hAnsi="Arial"/>
                <w:sz w:val="18"/>
              </w:rPr>
              <w:t>2,125.4888</w:t>
            </w:r>
          </w:p>
        </w:tc>
        <w:tc>
          <w:tcPr>
            <w:tcW w:type="dxa" w:w="1290"/>
            <w:shd w:fill="F2F6FC" w:val="clear"/>
          </w:tcPr>
          <w:p>
            <w:pPr>
              <w:jc w:val="right"/>
            </w:pPr>
            <w:r>
              <w:rPr>
                <w:rFonts w:ascii="Arial" w:hAnsi="Arial"/>
                <w:sz w:val="18"/>
              </w:rPr>
              <w:t>3.65</w:t>
            </w:r>
          </w:p>
        </w:tc>
        <w:tc>
          <w:tcPr>
            <w:tcW w:type="dxa" w:w="1290"/>
            <w:shd w:fill="F2F6FC" w:val="clear"/>
          </w:tcPr>
          <w:p>
            <w:pPr>
              <w:jc w:val="right"/>
            </w:pPr>
            <w:r>
              <w:rPr>
                <w:rFonts w:ascii="Arial" w:hAnsi="Arial"/>
                <w:sz w:val="18"/>
              </w:rPr>
              <w:t>64.7</w:t>
            </w:r>
          </w:p>
        </w:tc>
      </w:tr>
      <w:tr>
        <w:tc>
          <w:tcPr>
            <w:tcW w:type="dxa" w:w="1290"/>
          </w:tcPr>
          <w:p>
            <w:pPr>
              <w:jc w:val="right"/>
            </w:pPr>
            <w:r>
              <w:rPr>
                <w:rFonts w:ascii="Arial" w:hAnsi="Arial"/>
                <w:sz w:val="18"/>
              </w:rPr>
              <w:t>3</w:t>
            </w:r>
          </w:p>
        </w:tc>
        <w:tc>
          <w:tcPr>
            <w:tcW w:type="dxa" w:w="1290"/>
          </w:tcPr>
          <w:p>
            <w:r>
              <w:rPr>
                <w:rFonts w:ascii="Arial" w:hAnsi="Arial"/>
                <w:sz w:val="18"/>
              </w:rPr>
              <w:t>Total Emisi Scope 1 / Total Scope 1 Emissions</w:t>
            </w:r>
          </w:p>
        </w:tc>
        <w:tc>
          <w:tcPr>
            <w:tcW w:type="dxa" w:w="1290"/>
          </w:tcPr>
          <w:p>
            <w:r>
              <w:rPr>
                <w:rFonts w:ascii="Arial" w:hAnsi="Arial"/>
                <w:sz w:val="18"/>
              </w:rPr>
              <w:t>tCO2e</w:t>
            </w:r>
          </w:p>
        </w:tc>
        <w:tc>
          <w:tcPr>
            <w:tcW w:type="dxa" w:w="1290"/>
          </w:tcPr>
          <w:p>
            <w:pPr>
              <w:jc w:val="right"/>
            </w:pPr>
            <w:r>
              <w:rPr>
                <w:rFonts w:ascii="Arial" w:hAnsi="Arial"/>
                <w:sz w:val="18"/>
              </w:rPr>
              <w:t>3,402.997</w:t>
            </w:r>
          </w:p>
        </w:tc>
        <w:tc>
          <w:tcPr>
            <w:tcW w:type="dxa" w:w="1290"/>
          </w:tcPr>
          <w:p>
            <w:pPr>
              <w:jc w:val="right"/>
            </w:pPr>
            <w:r>
              <w:rPr>
                <w:rFonts w:ascii="Arial" w:hAnsi="Arial"/>
                <w:sz w:val="18"/>
              </w:rPr>
              <w:t>3,324.521</w:t>
            </w:r>
          </w:p>
        </w:tc>
        <w:tc>
          <w:tcPr>
            <w:tcW w:type="dxa" w:w="1290"/>
          </w:tcPr>
          <w:p>
            <w:pPr>
              <w:jc w:val="right"/>
            </w:pPr>
            <w:r>
              <w:rPr>
                <w:rFonts w:ascii="Arial" w:hAnsi="Arial"/>
                <w:sz w:val="18"/>
              </w:rPr>
              <w:t>2.36</w:t>
            </w:r>
          </w:p>
        </w:tc>
        <w:tc>
          <w:tcPr>
            <w:tcW w:type="dxa" w:w="1290"/>
          </w:tcPr>
          <w:p>
            <w:pPr>
              <w:jc w:val="right"/>
            </w:pPr>
            <w:r>
              <w:rPr>
                <w:rFonts w:ascii="Arial" w:hAnsi="Arial"/>
                <w:sz w:val="18"/>
              </w:rPr>
              <w:t>100.0</w:t>
            </w:r>
          </w:p>
        </w:tc>
      </w:tr>
    </w:tbl>
    <w:p>
      <w:r>
        <w:rPr>
          <w:rFonts w:ascii="Arial" w:hAnsi="Arial"/>
          <w:i/>
          <w:sz w:val="16"/>
        </w:rPr>
        <w:t>Source: Source: Internal GHG inventory system; emission factors from KLHK 2023 and IPCC 2006 Guidelines; GWP values from IPCC AR6.</w:t>
      </w:r>
    </w:p>
    <w:p/>
    <w:p>
      <w:r>
        <w:rPr>
          <w:rFonts w:ascii="Arial" w:hAnsi="Arial"/>
          <w:b/>
          <w:sz w:val="20"/>
        </w:rPr>
        <w:t>Tabel 10 Fasilitas dengan Emisi Scope 1 Tertinggi / Top 10 Facilities by Scope 1 Emissions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No.</w:t>
            </w:r>
          </w:p>
        </w:tc>
        <w:tc>
          <w:tcPr>
            <w:tcW w:type="dxa" w:w="1505"/>
            <w:shd w:fill="1B3A6B" w:val="clear"/>
          </w:tcPr>
          <w:p>
            <w:r>
              <w:rPr>
                <w:rFonts w:ascii="Arial" w:hAnsi="Arial"/>
                <w:b/>
                <w:color w:val="FFFFFF"/>
                <w:sz w:val="18"/>
              </w:rPr>
              <w:t>ID Fasilitas / Facility ID</w:t>
            </w:r>
          </w:p>
        </w:tc>
        <w:tc>
          <w:tcPr>
            <w:tcW w:type="dxa" w:w="1505"/>
            <w:shd w:fill="1B3A6B" w:val="clear"/>
          </w:tcPr>
          <w:p>
            <w:r>
              <w:rPr>
                <w:rFonts w:ascii="Arial" w:hAnsi="Arial"/>
                <w:b/>
                <w:color w:val="FFFFFF"/>
                <w:sz w:val="18"/>
              </w:rPr>
              <w:t>Total Scope 1 (tCO2e)</w:t>
            </w:r>
          </w:p>
        </w:tc>
        <w:tc>
          <w:tcPr>
            <w:tcW w:type="dxa" w:w="1505"/>
            <w:shd w:fill="1B3A6B" w:val="clear"/>
          </w:tcPr>
          <w:p>
            <w:r>
              <w:rPr>
                <w:rFonts w:ascii="Arial" w:hAnsi="Arial"/>
                <w:b/>
                <w:color w:val="FFFFFF"/>
                <w:sz w:val="18"/>
              </w:rPr>
              <w:t>Gas Alam / Natural Gas (tCO2e)</w:t>
            </w:r>
          </w:p>
        </w:tc>
        <w:tc>
          <w:tcPr>
            <w:tcW w:type="dxa" w:w="1505"/>
            <w:shd w:fill="1B3A6B" w:val="clear"/>
          </w:tcPr>
          <w:p>
            <w:r>
              <w:rPr>
                <w:rFonts w:ascii="Arial" w:hAnsi="Arial"/>
                <w:b/>
                <w:color w:val="FFFFFF"/>
                <w:sz w:val="18"/>
              </w:rPr>
              <w:t>Solar / Diesel (tCO2e)</w:t>
            </w:r>
          </w:p>
        </w:tc>
        <w:tc>
          <w:tcPr>
            <w:tcW w:type="dxa" w:w="1505"/>
            <w:shd w:fill="1B3A6B" w:val="clear"/>
          </w:tcPr>
          <w:p>
            <w:r>
              <w:rPr>
                <w:rFonts w:ascii="Arial" w:hAnsi="Arial"/>
                <w:b/>
                <w:color w:val="FFFFFF"/>
                <w:sz w:val="18"/>
              </w:rPr>
              <w:t>Skor Kualitas Data / Data Quality Score</w:t>
            </w:r>
          </w:p>
        </w:tc>
      </w:tr>
      <w:tr>
        <w:tc>
          <w:tcPr>
            <w:tcW w:type="dxa" w:w="1505"/>
          </w:tcPr>
          <w:p>
            <w:pPr>
              <w:jc w:val="right"/>
            </w:pPr>
            <w:r>
              <w:rPr>
                <w:rFonts w:ascii="Arial" w:hAnsi="Arial"/>
                <w:sz w:val="18"/>
              </w:rPr>
              <w:t>1</w:t>
            </w:r>
          </w:p>
        </w:tc>
        <w:tc>
          <w:tcPr>
            <w:tcW w:type="dxa" w:w="1505"/>
          </w:tcPr>
          <w:p>
            <w:r>
              <w:rPr>
                <w:rFonts w:ascii="Arial" w:hAnsi="Arial"/>
                <w:sz w:val="18"/>
              </w:rPr>
              <w:t>FAC-0197</w:t>
            </w:r>
          </w:p>
        </w:tc>
        <w:tc>
          <w:tcPr>
            <w:tcW w:type="dxa" w:w="1505"/>
          </w:tcPr>
          <w:p>
            <w:pPr>
              <w:jc w:val="right"/>
            </w:pPr>
            <w:r>
              <w:rPr>
                <w:rFonts w:ascii="Arial" w:hAnsi="Arial"/>
                <w:sz w:val="18"/>
              </w:rPr>
              <w:t>147.7152</w:t>
            </w:r>
          </w:p>
        </w:tc>
        <w:tc>
          <w:tcPr>
            <w:tcW w:type="dxa" w:w="1505"/>
          </w:tcPr>
          <w:p>
            <w:pPr>
              <w:jc w:val="right"/>
            </w:pPr>
            <w:r>
              <w:rPr>
                <w:rFonts w:ascii="Arial" w:hAnsi="Arial"/>
                <w:sz w:val="18"/>
              </w:rPr>
              <w:t>65.1748</w:t>
            </w:r>
          </w:p>
        </w:tc>
        <w:tc>
          <w:tcPr>
            <w:tcW w:type="dxa" w:w="1505"/>
          </w:tcPr>
          <w:p>
            <w:pPr>
              <w:jc w:val="right"/>
            </w:pPr>
            <w:r>
              <w:rPr>
                <w:rFonts w:ascii="Arial" w:hAnsi="Arial"/>
                <w:sz w:val="18"/>
              </w:rPr>
              <w:t>82.5404</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2</w:t>
            </w:r>
          </w:p>
        </w:tc>
        <w:tc>
          <w:tcPr>
            <w:tcW w:type="dxa" w:w="1505"/>
            <w:shd w:fill="F2F6FC" w:val="clear"/>
          </w:tcPr>
          <w:p>
            <w:r>
              <w:rPr>
                <w:rFonts w:ascii="Arial" w:hAnsi="Arial"/>
                <w:sz w:val="18"/>
              </w:rPr>
              <w:t>FAC-0198</w:t>
            </w:r>
          </w:p>
        </w:tc>
        <w:tc>
          <w:tcPr>
            <w:tcW w:type="dxa" w:w="1505"/>
            <w:shd w:fill="F2F6FC" w:val="clear"/>
          </w:tcPr>
          <w:p>
            <w:pPr>
              <w:jc w:val="right"/>
            </w:pPr>
            <w:r>
              <w:rPr>
                <w:rFonts w:ascii="Arial" w:hAnsi="Arial"/>
                <w:sz w:val="18"/>
              </w:rPr>
              <w:t>137.8381</w:t>
            </w:r>
          </w:p>
        </w:tc>
        <w:tc>
          <w:tcPr>
            <w:tcW w:type="dxa" w:w="1505"/>
            <w:shd w:fill="F2F6FC" w:val="clear"/>
          </w:tcPr>
          <w:p>
            <w:pPr>
              <w:jc w:val="right"/>
            </w:pPr>
            <w:r>
              <w:rPr>
                <w:rFonts w:ascii="Arial" w:hAnsi="Arial"/>
                <w:sz w:val="18"/>
              </w:rPr>
              <w:t>54.446</w:t>
            </w:r>
          </w:p>
        </w:tc>
        <w:tc>
          <w:tcPr>
            <w:tcW w:type="dxa" w:w="1505"/>
            <w:shd w:fill="F2F6FC" w:val="clear"/>
          </w:tcPr>
          <w:p>
            <w:pPr>
              <w:jc w:val="right"/>
            </w:pPr>
            <w:r>
              <w:rPr>
                <w:rFonts w:ascii="Arial" w:hAnsi="Arial"/>
                <w:sz w:val="18"/>
              </w:rPr>
              <w:t>83.3921</w:t>
            </w:r>
          </w:p>
        </w:tc>
        <w:tc>
          <w:tcPr>
            <w:tcW w:type="dxa" w:w="1505"/>
            <w:shd w:fill="F2F6FC" w:val="clear"/>
          </w:tcPr>
          <w:p>
            <w:pPr>
              <w:jc w:val="right"/>
            </w:pPr>
            <w:r>
              <w:rPr>
                <w:rFonts w:ascii="Arial" w:hAnsi="Arial"/>
                <w:sz w:val="18"/>
              </w:rPr>
              <w:t>1</w:t>
            </w:r>
          </w:p>
        </w:tc>
      </w:tr>
      <w:tr>
        <w:tc>
          <w:tcPr>
            <w:tcW w:type="dxa" w:w="1505"/>
          </w:tcPr>
          <w:p>
            <w:pPr>
              <w:jc w:val="right"/>
            </w:pPr>
            <w:r>
              <w:rPr>
                <w:rFonts w:ascii="Arial" w:hAnsi="Arial"/>
                <w:sz w:val="18"/>
              </w:rPr>
              <w:t>3</w:t>
            </w:r>
          </w:p>
        </w:tc>
        <w:tc>
          <w:tcPr>
            <w:tcW w:type="dxa" w:w="1505"/>
          </w:tcPr>
          <w:p>
            <w:r>
              <w:rPr>
                <w:rFonts w:ascii="Arial" w:hAnsi="Arial"/>
                <w:sz w:val="18"/>
              </w:rPr>
              <w:t>FAC-0200</w:t>
            </w:r>
          </w:p>
        </w:tc>
        <w:tc>
          <w:tcPr>
            <w:tcW w:type="dxa" w:w="1505"/>
          </w:tcPr>
          <w:p>
            <w:pPr>
              <w:jc w:val="right"/>
            </w:pPr>
            <w:r>
              <w:rPr>
                <w:rFonts w:ascii="Arial" w:hAnsi="Arial"/>
                <w:sz w:val="18"/>
              </w:rPr>
              <w:t>131.4422</w:t>
            </w:r>
          </w:p>
        </w:tc>
        <w:tc>
          <w:tcPr>
            <w:tcW w:type="dxa" w:w="1505"/>
          </w:tcPr>
          <w:p>
            <w:pPr>
              <w:jc w:val="right"/>
            </w:pPr>
            <w:r>
              <w:rPr>
                <w:rFonts w:ascii="Arial" w:hAnsi="Arial"/>
                <w:sz w:val="18"/>
              </w:rPr>
              <w:t>57.0202</w:t>
            </w:r>
          </w:p>
        </w:tc>
        <w:tc>
          <w:tcPr>
            <w:tcW w:type="dxa" w:w="1505"/>
          </w:tcPr>
          <w:p>
            <w:pPr>
              <w:jc w:val="right"/>
            </w:pPr>
            <w:r>
              <w:rPr>
                <w:rFonts w:ascii="Arial" w:hAnsi="Arial"/>
                <w:sz w:val="18"/>
              </w:rPr>
              <w:t>74.422</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4</w:t>
            </w:r>
          </w:p>
        </w:tc>
        <w:tc>
          <w:tcPr>
            <w:tcW w:type="dxa" w:w="1505"/>
            <w:shd w:fill="F2F6FC" w:val="clear"/>
          </w:tcPr>
          <w:p>
            <w:r>
              <w:rPr>
                <w:rFonts w:ascii="Arial" w:hAnsi="Arial"/>
                <w:sz w:val="18"/>
              </w:rPr>
              <w:t>FAC-0196</w:t>
            </w:r>
          </w:p>
        </w:tc>
        <w:tc>
          <w:tcPr>
            <w:tcW w:type="dxa" w:w="1505"/>
            <w:shd w:fill="F2F6FC" w:val="clear"/>
          </w:tcPr>
          <w:p>
            <w:pPr>
              <w:jc w:val="right"/>
            </w:pPr>
            <w:r>
              <w:rPr>
                <w:rFonts w:ascii="Arial" w:hAnsi="Arial"/>
                <w:sz w:val="18"/>
              </w:rPr>
              <w:t>124.4219</w:t>
            </w:r>
          </w:p>
        </w:tc>
        <w:tc>
          <w:tcPr>
            <w:tcW w:type="dxa" w:w="1505"/>
            <w:shd w:fill="F2F6FC" w:val="clear"/>
          </w:tcPr>
          <w:p>
            <w:pPr>
              <w:jc w:val="right"/>
            </w:pPr>
            <w:r>
              <w:rPr>
                <w:rFonts w:ascii="Arial" w:hAnsi="Arial"/>
                <w:sz w:val="18"/>
              </w:rPr>
              <w:t>51.7527</w:t>
            </w:r>
          </w:p>
        </w:tc>
        <w:tc>
          <w:tcPr>
            <w:tcW w:type="dxa" w:w="1505"/>
            <w:shd w:fill="F2F6FC" w:val="clear"/>
          </w:tcPr>
          <w:p>
            <w:pPr>
              <w:jc w:val="right"/>
            </w:pPr>
            <w:r>
              <w:rPr>
                <w:rFonts w:ascii="Arial" w:hAnsi="Arial"/>
                <w:sz w:val="18"/>
              </w:rPr>
              <w:t>72.6692</w:t>
            </w:r>
          </w:p>
        </w:tc>
        <w:tc>
          <w:tcPr>
            <w:tcW w:type="dxa" w:w="1505"/>
            <w:shd w:fill="F2F6FC" w:val="clear"/>
          </w:tcPr>
          <w:p>
            <w:pPr>
              <w:jc w:val="right"/>
            </w:pPr>
            <w:r>
              <w:rPr>
                <w:rFonts w:ascii="Arial" w:hAnsi="Arial"/>
                <w:sz w:val="18"/>
              </w:rPr>
              <w:t>1</w:t>
            </w:r>
          </w:p>
        </w:tc>
      </w:tr>
      <w:tr>
        <w:tc>
          <w:tcPr>
            <w:tcW w:type="dxa" w:w="1505"/>
          </w:tcPr>
          <w:p>
            <w:pPr>
              <w:jc w:val="right"/>
            </w:pPr>
            <w:r>
              <w:rPr>
                <w:rFonts w:ascii="Arial" w:hAnsi="Arial"/>
                <w:sz w:val="18"/>
              </w:rPr>
              <w:t>5</w:t>
            </w:r>
          </w:p>
        </w:tc>
        <w:tc>
          <w:tcPr>
            <w:tcW w:type="dxa" w:w="1505"/>
          </w:tcPr>
          <w:p>
            <w:r>
              <w:rPr>
                <w:rFonts w:ascii="Arial" w:hAnsi="Arial"/>
                <w:sz w:val="18"/>
              </w:rPr>
              <w:t>FAC-0199</w:t>
            </w:r>
          </w:p>
        </w:tc>
        <w:tc>
          <w:tcPr>
            <w:tcW w:type="dxa" w:w="1505"/>
          </w:tcPr>
          <w:p>
            <w:pPr>
              <w:jc w:val="right"/>
            </w:pPr>
            <w:r>
              <w:rPr>
                <w:rFonts w:ascii="Arial" w:hAnsi="Arial"/>
                <w:sz w:val="18"/>
              </w:rPr>
              <w:t>109.4122</w:t>
            </w:r>
          </w:p>
        </w:tc>
        <w:tc>
          <w:tcPr>
            <w:tcW w:type="dxa" w:w="1505"/>
          </w:tcPr>
          <w:p>
            <w:pPr>
              <w:jc w:val="right"/>
            </w:pPr>
            <w:r>
              <w:rPr>
                <w:rFonts w:ascii="Arial" w:hAnsi="Arial"/>
                <w:sz w:val="18"/>
              </w:rPr>
              <w:t>52.015</w:t>
            </w:r>
          </w:p>
        </w:tc>
        <w:tc>
          <w:tcPr>
            <w:tcW w:type="dxa" w:w="1505"/>
          </w:tcPr>
          <w:p>
            <w:pPr>
              <w:jc w:val="right"/>
            </w:pPr>
            <w:r>
              <w:rPr>
                <w:rFonts w:ascii="Arial" w:hAnsi="Arial"/>
                <w:sz w:val="18"/>
              </w:rPr>
              <w:t>57.3972</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6</w:t>
            </w:r>
          </w:p>
        </w:tc>
        <w:tc>
          <w:tcPr>
            <w:tcW w:type="dxa" w:w="1505"/>
            <w:shd w:fill="F2F6FC" w:val="clear"/>
          </w:tcPr>
          <w:p>
            <w:r>
              <w:rPr>
                <w:rFonts w:ascii="Arial" w:hAnsi="Arial"/>
                <w:sz w:val="18"/>
              </w:rPr>
              <w:t>FAC-0193</w:t>
            </w:r>
          </w:p>
        </w:tc>
        <w:tc>
          <w:tcPr>
            <w:tcW w:type="dxa" w:w="1505"/>
            <w:shd w:fill="F2F6FC" w:val="clear"/>
          </w:tcPr>
          <w:p>
            <w:pPr>
              <w:jc w:val="right"/>
            </w:pPr>
            <w:r>
              <w:rPr>
                <w:rFonts w:ascii="Arial" w:hAnsi="Arial"/>
                <w:sz w:val="18"/>
              </w:rPr>
              <w:t>72.3228</w:t>
            </w:r>
          </w:p>
        </w:tc>
        <w:tc>
          <w:tcPr>
            <w:tcW w:type="dxa" w:w="1505"/>
            <w:shd w:fill="F2F6FC" w:val="clear"/>
          </w:tcPr>
          <w:p>
            <w:pPr>
              <w:jc w:val="right"/>
            </w:pPr>
            <w:r>
              <w:rPr>
                <w:rFonts w:ascii="Arial" w:hAnsi="Arial"/>
                <w:sz w:val="18"/>
              </w:rPr>
              <w:t>0.0</w:t>
            </w:r>
          </w:p>
        </w:tc>
        <w:tc>
          <w:tcPr>
            <w:tcW w:type="dxa" w:w="1505"/>
            <w:shd w:fill="F2F6FC" w:val="clear"/>
          </w:tcPr>
          <w:p>
            <w:pPr>
              <w:jc w:val="right"/>
            </w:pPr>
            <w:r>
              <w:rPr>
                <w:rFonts w:ascii="Arial" w:hAnsi="Arial"/>
                <w:sz w:val="18"/>
              </w:rPr>
              <w:t>72.3228</w:t>
            </w:r>
          </w:p>
        </w:tc>
        <w:tc>
          <w:tcPr>
            <w:tcW w:type="dxa" w:w="1505"/>
            <w:shd w:fill="F2F6FC" w:val="clear"/>
          </w:tcPr>
          <w:p>
            <w:pPr>
              <w:jc w:val="right"/>
            </w:pPr>
            <w:r>
              <w:rPr>
                <w:rFonts w:ascii="Arial" w:hAnsi="Arial"/>
                <w:sz w:val="18"/>
              </w:rPr>
              <w:t>1</w:t>
            </w:r>
          </w:p>
        </w:tc>
      </w:tr>
      <w:tr>
        <w:tc>
          <w:tcPr>
            <w:tcW w:type="dxa" w:w="1505"/>
          </w:tcPr>
          <w:p>
            <w:pPr>
              <w:jc w:val="right"/>
            </w:pPr>
            <w:r>
              <w:rPr>
                <w:rFonts w:ascii="Arial" w:hAnsi="Arial"/>
                <w:sz w:val="18"/>
              </w:rPr>
              <w:t>7</w:t>
            </w:r>
          </w:p>
        </w:tc>
        <w:tc>
          <w:tcPr>
            <w:tcW w:type="dxa" w:w="1505"/>
          </w:tcPr>
          <w:p>
            <w:r>
              <w:rPr>
                <w:rFonts w:ascii="Arial" w:hAnsi="Arial"/>
                <w:sz w:val="18"/>
              </w:rPr>
              <w:t>FAC-0215</w:t>
            </w:r>
          </w:p>
        </w:tc>
        <w:tc>
          <w:tcPr>
            <w:tcW w:type="dxa" w:w="1505"/>
          </w:tcPr>
          <w:p>
            <w:pPr>
              <w:jc w:val="right"/>
            </w:pPr>
            <w:r>
              <w:rPr>
                <w:rFonts w:ascii="Arial" w:hAnsi="Arial"/>
                <w:sz w:val="18"/>
              </w:rPr>
              <w:t>70.6057</w:t>
            </w:r>
          </w:p>
        </w:tc>
        <w:tc>
          <w:tcPr>
            <w:tcW w:type="dxa" w:w="1505"/>
          </w:tcPr>
          <w:p>
            <w:pPr>
              <w:jc w:val="right"/>
            </w:pPr>
            <w:r>
              <w:rPr>
                <w:rFonts w:ascii="Arial" w:hAnsi="Arial"/>
                <w:sz w:val="18"/>
              </w:rPr>
              <w:t>23.586</w:t>
            </w:r>
          </w:p>
        </w:tc>
        <w:tc>
          <w:tcPr>
            <w:tcW w:type="dxa" w:w="1505"/>
          </w:tcPr>
          <w:p>
            <w:pPr>
              <w:jc w:val="right"/>
            </w:pPr>
            <w:r>
              <w:rPr>
                <w:rFonts w:ascii="Arial" w:hAnsi="Arial"/>
                <w:sz w:val="18"/>
              </w:rPr>
              <w:t>47.0197</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8</w:t>
            </w:r>
          </w:p>
        </w:tc>
        <w:tc>
          <w:tcPr>
            <w:tcW w:type="dxa" w:w="1505"/>
            <w:shd w:fill="F2F6FC" w:val="clear"/>
          </w:tcPr>
          <w:p>
            <w:r>
              <w:rPr>
                <w:rFonts w:ascii="Arial" w:hAnsi="Arial"/>
                <w:sz w:val="18"/>
              </w:rPr>
              <w:t>FAC-0191</w:t>
            </w:r>
          </w:p>
        </w:tc>
        <w:tc>
          <w:tcPr>
            <w:tcW w:type="dxa" w:w="1505"/>
            <w:shd w:fill="F2F6FC" w:val="clear"/>
          </w:tcPr>
          <w:p>
            <w:pPr>
              <w:jc w:val="right"/>
            </w:pPr>
            <w:r>
              <w:rPr>
                <w:rFonts w:ascii="Arial" w:hAnsi="Arial"/>
                <w:sz w:val="18"/>
              </w:rPr>
              <w:t>67.3744</w:t>
            </w:r>
          </w:p>
        </w:tc>
        <w:tc>
          <w:tcPr>
            <w:tcW w:type="dxa" w:w="1505"/>
            <w:shd w:fill="F2F6FC" w:val="clear"/>
          </w:tcPr>
          <w:p>
            <w:pPr>
              <w:jc w:val="right"/>
            </w:pPr>
            <w:r>
              <w:rPr>
                <w:rFonts w:ascii="Arial" w:hAnsi="Arial"/>
                <w:sz w:val="18"/>
              </w:rPr>
              <w:t>0.0</w:t>
            </w:r>
          </w:p>
        </w:tc>
        <w:tc>
          <w:tcPr>
            <w:tcW w:type="dxa" w:w="1505"/>
            <w:shd w:fill="F2F6FC" w:val="clear"/>
          </w:tcPr>
          <w:p>
            <w:pPr>
              <w:jc w:val="right"/>
            </w:pPr>
            <w:r>
              <w:rPr>
                <w:rFonts w:ascii="Arial" w:hAnsi="Arial"/>
                <w:sz w:val="18"/>
              </w:rPr>
              <w:t>67.3744</w:t>
            </w:r>
          </w:p>
        </w:tc>
        <w:tc>
          <w:tcPr>
            <w:tcW w:type="dxa" w:w="1505"/>
            <w:shd w:fill="F2F6FC" w:val="clear"/>
          </w:tcPr>
          <w:p>
            <w:pPr>
              <w:jc w:val="right"/>
            </w:pPr>
            <w:r>
              <w:rPr>
                <w:rFonts w:ascii="Arial" w:hAnsi="Arial"/>
                <w:sz w:val="18"/>
              </w:rPr>
              <w:t>1</w:t>
            </w:r>
          </w:p>
        </w:tc>
      </w:tr>
      <w:tr>
        <w:tc>
          <w:tcPr>
            <w:tcW w:type="dxa" w:w="1505"/>
          </w:tcPr>
          <w:p>
            <w:pPr>
              <w:jc w:val="right"/>
            </w:pPr>
            <w:r>
              <w:rPr>
                <w:rFonts w:ascii="Arial" w:hAnsi="Arial"/>
                <w:sz w:val="18"/>
              </w:rPr>
              <w:t>9</w:t>
            </w:r>
          </w:p>
        </w:tc>
        <w:tc>
          <w:tcPr>
            <w:tcW w:type="dxa" w:w="1505"/>
          </w:tcPr>
          <w:p>
            <w:r>
              <w:rPr>
                <w:rFonts w:ascii="Arial" w:hAnsi="Arial"/>
                <w:sz w:val="18"/>
              </w:rPr>
              <w:t>FAC-0181</w:t>
            </w:r>
          </w:p>
        </w:tc>
        <w:tc>
          <w:tcPr>
            <w:tcW w:type="dxa" w:w="1505"/>
          </w:tcPr>
          <w:p>
            <w:pPr>
              <w:jc w:val="right"/>
            </w:pPr>
            <w:r>
              <w:rPr>
                <w:rFonts w:ascii="Arial" w:hAnsi="Arial"/>
                <w:sz w:val="18"/>
              </w:rPr>
              <w:t>63.758</w:t>
            </w:r>
          </w:p>
        </w:tc>
        <w:tc>
          <w:tcPr>
            <w:tcW w:type="dxa" w:w="1505"/>
          </w:tcPr>
          <w:p>
            <w:pPr>
              <w:jc w:val="right"/>
            </w:pPr>
            <w:r>
              <w:rPr>
                <w:rFonts w:ascii="Arial" w:hAnsi="Arial"/>
                <w:sz w:val="18"/>
              </w:rPr>
              <w:t>0.0</w:t>
            </w:r>
          </w:p>
        </w:tc>
        <w:tc>
          <w:tcPr>
            <w:tcW w:type="dxa" w:w="1505"/>
          </w:tcPr>
          <w:p>
            <w:pPr>
              <w:jc w:val="right"/>
            </w:pPr>
            <w:r>
              <w:rPr>
                <w:rFonts w:ascii="Arial" w:hAnsi="Arial"/>
                <w:sz w:val="18"/>
              </w:rPr>
              <w:t>63.758</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10</w:t>
            </w:r>
          </w:p>
        </w:tc>
        <w:tc>
          <w:tcPr>
            <w:tcW w:type="dxa" w:w="1505"/>
            <w:shd w:fill="F2F6FC" w:val="clear"/>
          </w:tcPr>
          <w:p>
            <w:r>
              <w:rPr>
                <w:rFonts w:ascii="Arial" w:hAnsi="Arial"/>
                <w:sz w:val="18"/>
              </w:rPr>
              <w:t>FAC-0208</w:t>
            </w:r>
          </w:p>
        </w:tc>
        <w:tc>
          <w:tcPr>
            <w:tcW w:type="dxa" w:w="1505"/>
            <w:shd w:fill="F2F6FC" w:val="clear"/>
          </w:tcPr>
          <w:p>
            <w:pPr>
              <w:jc w:val="right"/>
            </w:pPr>
            <w:r>
              <w:rPr>
                <w:rFonts w:ascii="Arial" w:hAnsi="Arial"/>
                <w:sz w:val="18"/>
              </w:rPr>
              <w:t>63.5152</w:t>
            </w:r>
          </w:p>
        </w:tc>
        <w:tc>
          <w:tcPr>
            <w:tcW w:type="dxa" w:w="1505"/>
            <w:shd w:fill="F2F6FC" w:val="clear"/>
          </w:tcPr>
          <w:p>
            <w:pPr>
              <w:jc w:val="right"/>
            </w:pPr>
            <w:r>
              <w:rPr>
                <w:rFonts w:ascii="Arial" w:hAnsi="Arial"/>
                <w:sz w:val="18"/>
              </w:rPr>
              <w:t>23.7606</w:t>
            </w:r>
          </w:p>
        </w:tc>
        <w:tc>
          <w:tcPr>
            <w:tcW w:type="dxa" w:w="1505"/>
            <w:shd w:fill="F2F6FC" w:val="clear"/>
          </w:tcPr>
          <w:p>
            <w:pPr>
              <w:jc w:val="right"/>
            </w:pPr>
            <w:r>
              <w:rPr>
                <w:rFonts w:ascii="Arial" w:hAnsi="Arial"/>
                <w:sz w:val="18"/>
              </w:rPr>
              <w:t>39.7546</w:t>
            </w:r>
          </w:p>
        </w:tc>
        <w:tc>
          <w:tcPr>
            <w:tcW w:type="dxa" w:w="1505"/>
            <w:shd w:fill="F2F6FC" w:val="clear"/>
          </w:tcPr>
          <w:p>
            <w:pPr>
              <w:jc w:val="right"/>
            </w:pPr>
            <w:r>
              <w:rPr>
                <w:rFonts w:ascii="Arial" w:hAnsi="Arial"/>
                <w:sz w:val="18"/>
              </w:rPr>
              <w:t>1</w:t>
            </w:r>
          </w:p>
        </w:tc>
      </w:tr>
    </w:tbl>
    <w:p>
      <w:r>
        <w:rPr>
          <w:rFonts w:ascii="Arial" w:hAnsi="Arial"/>
          <w:i/>
          <w:sz w:val="16"/>
        </w:rPr>
        <w:t>Source: Source: Facility-level energy consumption data; data quality score 1 indicates primary metered data with high accuracy.</w:t>
      </w:r>
    </w:p>
    <w:p/>
    <w:p>
      <w:r>
        <w:rPr>
          <w:i/>
          <w:color w:val="3D6094"/>
          <w:sz w:val="18"/>
        </w:rPr>
        <w:t>Framework references: POJK No. 51/POJK.03/2017 Article 8-12 (Strategy and Action Plan); POJK No. 51/POJK.03/2017 Article 13-16 (Risk Management); SE OJK Circular on Sustainability Reporting (Environmental Metrics); GHG Protocol Corporate Standard (2015) - Chapter 4: Setting Organizational Boundaries; GHG Protocol Corporate Standard (2015) - Chapter 5: Tracking Emissions Over Time; IPCC 2006 Guidelines for National Greenhouse Gas Inventories - Volume 2: Energy; IPCC AR6 Working Group I - Annex III: Tables of GWP and Other Metrics</w:t>
      </w:r>
    </w:p>
    <w:p>
      <w:pPr>
        <w:spacing w:after="80"/>
        <w:pBdr>
          <w:bottom w:val="single" w:sz="6" w:space="1" w:color="999999"/>
        </w:pBdr>
      </w:pPr>
    </w:p>
    <w:p>
      <w:pPr>
        <w:spacing w:after="160" w:line="276" w:lineRule="auto"/>
        <w:jc w:val="both"/>
      </w:pPr>
      <w:r>
        <w:rPr>
          <w:rFonts w:ascii="Arial" w:hAnsi="Arial"/>
          <w:i/>
          <w:color w:val="646464"/>
          <w:sz w:val="18"/>
        </w:rPr>
        <w:t>Scope 1 emissions are reported under the operational control consolidation approach as required by POJK 51/2017 for KBMI 3 classification banks.</w:t>
      </w:r>
    </w:p>
    <w:p>
      <w:pPr>
        <w:spacing w:after="160" w:line="276" w:lineRule="auto"/>
        <w:jc w:val="both"/>
      </w:pPr>
      <w:r>
        <w:rPr>
          <w:rFonts w:ascii="Arial" w:hAnsi="Arial"/>
          <w:i/>
          <w:color w:val="646464"/>
          <w:sz w:val="18"/>
        </w:rPr>
        <w:t>Emission factors: Natural gas = 56.1 kg CO2/GJ (IPCC 2006); Diesel = 2.7 kg CO2/liter (KLHK 2023 Indonesia-specific factor).</w:t>
      </w:r>
    </w:p>
    <w:p>
      <w:pPr>
        <w:spacing w:after="160" w:line="276" w:lineRule="auto"/>
        <w:jc w:val="both"/>
      </w:pPr>
      <w:r>
        <w:rPr>
          <w:rFonts w:ascii="Arial" w:hAnsi="Arial"/>
          <w:i/>
          <w:color w:val="646464"/>
          <w:sz w:val="18"/>
        </w:rPr>
        <w:t>GWP values from IPCC AR6: CH4 = 29.8, N2O = 273.0 (100-year time horizon).</w:t>
      </w: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Reconciliation verified: 1,199.7924 + 2,203.2044 = 3,402.9968 tCO2e (rounding difference of 0.0002 tCO2e is within acceptable tolerance).</w:t>
      </w:r>
    </w:p>
    <w:p>
      <w:r>
        <w:br w:type="page"/>
      </w:r>
    </w:p>
    <w:p>
      <w:pPr>
        <w:pStyle w:val="Heading1"/>
        <w:keepNext/>
        <w:spacing w:before="480" w:after="240"/>
      </w:pPr>
      <w:r>
        <w:rPr>
          <w:rFonts w:ascii="Arial" w:hAnsi="Arial"/>
          <w:b/>
          <w:color w:val="1B3A6B"/>
          <w:sz w:val="36"/>
        </w:rPr>
        <w:t>GRI 305-2: Energy Indirect (Scope 2) GHG Emissions</w:t>
      </w:r>
    </w:p>
    <w:p>
      <w:pPr>
        <w:spacing w:after="160" w:line="276" w:lineRule="auto"/>
        <w:jc w:val="both"/>
      </w:pPr>
      <w:r>
        <w:rPr>
          <w:rFonts w:ascii="Arial" w:hAnsi="Arial"/>
          <w:sz w:val="22"/>
        </w:rPr>
        <w:t>The organization's energy indirect (Scope 2) greenhouse gas emissions for the reporting period totaled 44,613.876 tCO₂e using the location-based method and 44,612.518 tCO₂e using the market-based method. These emissions result from the generation of purchased electricity consumed across the organization's operational facilities. Both figures are reported in accordance with the GHG Protocol Scope 2 Guidance, which mandates dual reporting to provide transparency regarding the organization's electricity sourcing decisions and their associated climate impact.</w:t>
      </w:r>
    </w:p>
    <w:p>
      <w:pPr>
        <w:spacing w:after="160" w:line="276" w:lineRule="auto"/>
        <w:jc w:val="both"/>
      </w:pPr>
      <w:r>
        <w:rPr>
          <w:rFonts w:ascii="Arial" w:hAnsi="Arial"/>
          <w:i/>
          <w:sz w:val="22"/>
        </w:rPr>
        <w:t>The location-based method reflects the average greenhouse gas emissions intensity of the electricity grid on which the organization's energy consumption occurs. For the 2024 reporting period, the organization applied the grid emission factor for the Indonesian electricity system sourced from PLN (Perusahaan Listrik Negara) 2023 data. The market-based method reflects emissions from electricity that the organization has purposefully chosen through contractual instruments, or the residual grid mix in the absence of such instruments. This method accounts for the organization's specific procurement decisions regarding renewable energy and other low-carbon electricity sources.</w:t>
      </w:r>
    </w:p>
    <w:p>
      <w:pPr>
        <w:spacing w:after="160" w:line="276" w:lineRule="auto"/>
        <w:jc w:val="both"/>
      </w:pPr>
      <w:r>
        <w:rPr>
          <w:rFonts w:ascii="Arial" w:hAnsi="Arial"/>
          <w:sz w:val="22"/>
        </w:rPr>
        <w:t>The organization applied contractual instruments covering a minimal portion of its electricity consumption during the reporting period. The difference between the location-based figure of 44,613.876 tCO₂e and the market-based figure of 44,612.518 tCO₂e represents a reduction of 1.358 tCO₂e attributable to renewable energy certificates or other qualifying contractual instruments. This represents less than 0.01% of total Scope 2 emissions, indicating limited deployment of market-based mechanisms for renewable electricity procurement in the current reporting period.</w:t>
      </w:r>
    </w:p>
    <w:p>
      <w:pPr>
        <w:spacing w:after="160" w:line="276" w:lineRule="auto"/>
        <w:jc w:val="both"/>
      </w:pPr>
      <w:r>
        <w:rPr>
          <w:rFonts w:ascii="Arial" w:hAnsi="Arial"/>
          <w:sz w:val="22"/>
        </w:rPr>
        <w:t>Compared to the prior reporting period, the organization's location-based Scope 2 emissions increased by 0.03% from 44,599.440 tCO₂e in 2023 to 44,613.876 tCO₂e in 2024, representing an absolute increase of 14.436 tCO₂e. The market-based Scope 2 emissions similarly increased by 0.03% from 44,598.118 tCO₂e in 2023 to 44,612.518 tCO₂e in 2024, an absolute increase of 14.400 tCO₂e. This marginal increase reflects stable operational electricity consumption patterns across the organization's facility portfolio, with minimal variation in grid emission factors between reporting periods.</w:t>
      </w:r>
    </w:p>
    <w:p>
      <w:pPr>
        <w:spacing w:after="160" w:line="276" w:lineRule="auto"/>
        <w:jc w:val="both"/>
      </w:pPr>
      <w:r>
        <w:rPr>
          <w:rFonts w:ascii="Arial" w:hAnsi="Arial"/>
          <w:sz w:val="22"/>
        </w:rPr>
        <w:t>The organization operates exclusively within the Indonesian electricity grid region and applies the national grid emission factor published by PLN for the 2023 calendar year. All purchased electricity consumed by the organization's facilities is sourced from the interconnected Java-Bali grid system, which represents the primary electricity network serving the organization's operational footprint. The consolidation approach for Scope 2 emissions follows the operational control principle, consistent with the organization's boundary definition for Scope 1 emissions as disclosed under GRI 305-1.</w:t>
      </w:r>
    </w:p>
    <w:p>
      <w:pPr>
        <w:spacing w:after="160" w:line="276" w:lineRule="auto"/>
        <w:jc w:val="both"/>
      </w:pPr>
      <w:r>
        <w:rPr>
          <w:rFonts w:ascii="Arial" w:hAnsi="Arial"/>
          <w:i/>
          <w:sz w:val="22"/>
        </w:rPr>
        <w:t>The gases included in the Scope 2 calculation are limited to carbon dioxide (CO₂), as indirect emissions from purchased electricity are conventionally reported on a CO₂-equivalent basis using grid-specific emission factors that account for the fuel mix and generation efficiency of the electricity system. Methane (CH₄) and nitrous oxide (N₂O) emissions associated with electricity generation are embedded within the grid emission factor applied and are not separately quantified. The organization does not report biogenic CO₂ emissions for Scope 2, as these are not applicable to purchased electricity under the GHG Protocol Scope 2 Guidance framework.</w:t>
      </w:r>
    </w:p>
    <w:p>
      <w:r>
        <w:rPr>
          <w:rFonts w:ascii="Arial" w:hAnsi="Arial"/>
          <w:b/>
          <w:sz w:val="20"/>
        </w:rPr>
        <w:t>Table 1: Scope 2 GHG Emissions — Dual Reporting (tCO₂e)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Reporting Method</w:t>
            </w:r>
          </w:p>
        </w:tc>
        <w:tc>
          <w:tcPr>
            <w:tcW w:type="dxa" w:w="1806"/>
            <w:shd w:fill="1B3A6B" w:val="clear"/>
          </w:tcPr>
          <w:p>
            <w:r>
              <w:rPr>
                <w:rFonts w:ascii="Arial" w:hAnsi="Arial"/>
                <w:b/>
                <w:color w:val="FFFFFF"/>
                <w:sz w:val="18"/>
              </w:rPr>
              <w:t>2024 Emissions (tCO₂e)</w:t>
            </w:r>
          </w:p>
        </w:tc>
        <w:tc>
          <w:tcPr>
            <w:tcW w:type="dxa" w:w="1806"/>
            <w:shd w:fill="1B3A6B" w:val="clear"/>
          </w:tcPr>
          <w:p>
            <w:r>
              <w:rPr>
                <w:rFonts w:ascii="Arial" w:hAnsi="Arial"/>
                <w:b/>
                <w:color w:val="FFFFFF"/>
                <w:sz w:val="18"/>
              </w:rPr>
              <w:t>2023 Emissions (tCO₂e)</w:t>
            </w:r>
          </w:p>
        </w:tc>
        <w:tc>
          <w:tcPr>
            <w:tcW w:type="dxa" w:w="1806"/>
            <w:shd w:fill="1B3A6B" w:val="clear"/>
          </w:tcPr>
          <w:p>
            <w:r>
              <w:rPr>
                <w:rFonts w:ascii="Arial" w:hAnsi="Arial"/>
                <w:b/>
                <w:color w:val="FFFFFF"/>
                <w:sz w:val="18"/>
              </w:rPr>
              <w:t>Year-over-Year Change (tCO₂e)</w:t>
            </w:r>
          </w:p>
        </w:tc>
        <w:tc>
          <w:tcPr>
            <w:tcW w:type="dxa" w:w="1806"/>
            <w:shd w:fill="1B3A6B" w:val="clear"/>
          </w:tcPr>
          <w:p>
            <w:r>
              <w:rPr>
                <w:rFonts w:ascii="Arial" w:hAnsi="Arial"/>
                <w:b/>
                <w:color w:val="FFFFFF"/>
                <w:sz w:val="18"/>
              </w:rPr>
              <w:t>Year-over-Year Change (%)</w:t>
            </w:r>
          </w:p>
        </w:tc>
      </w:tr>
      <w:tr>
        <w:tc>
          <w:tcPr>
            <w:tcW w:type="dxa" w:w="1806"/>
          </w:tcPr>
          <w:p>
            <w:r>
              <w:rPr>
                <w:rFonts w:ascii="Arial" w:hAnsi="Arial"/>
                <w:sz w:val="18"/>
              </w:rPr>
              <w:t>Location-based</w:t>
            </w:r>
          </w:p>
        </w:tc>
        <w:tc>
          <w:tcPr>
            <w:tcW w:type="dxa" w:w="1806"/>
          </w:tcPr>
          <w:p>
            <w:pPr>
              <w:jc w:val="right"/>
            </w:pPr>
            <w:r>
              <w:rPr>
                <w:rFonts w:ascii="Arial" w:hAnsi="Arial"/>
                <w:sz w:val="18"/>
              </w:rPr>
              <w:t>44,613.876</w:t>
            </w:r>
          </w:p>
        </w:tc>
        <w:tc>
          <w:tcPr>
            <w:tcW w:type="dxa" w:w="1806"/>
          </w:tcPr>
          <w:p>
            <w:pPr>
              <w:jc w:val="right"/>
            </w:pPr>
            <w:r>
              <w:rPr>
                <w:rFonts w:ascii="Arial" w:hAnsi="Arial"/>
                <w:sz w:val="18"/>
              </w:rPr>
              <w:t>44,599.440</w:t>
            </w:r>
          </w:p>
        </w:tc>
        <w:tc>
          <w:tcPr>
            <w:tcW w:type="dxa" w:w="1806"/>
          </w:tcPr>
          <w:p>
            <w:pPr>
              <w:jc w:val="right"/>
            </w:pPr>
            <w:r>
              <w:rPr>
                <w:rFonts w:ascii="Arial" w:hAnsi="Arial"/>
                <w:sz w:val="18"/>
              </w:rPr>
              <w:t>+14.436</w:t>
            </w:r>
          </w:p>
        </w:tc>
        <w:tc>
          <w:tcPr>
            <w:tcW w:type="dxa" w:w="1806"/>
          </w:tcPr>
          <w:p>
            <w:pPr>
              <w:jc w:val="right"/>
            </w:pPr>
            <w:r>
              <w:rPr>
                <w:rFonts w:ascii="Arial" w:hAnsi="Arial"/>
                <w:sz w:val="18"/>
              </w:rPr>
              <w:t>+0.03%</w:t>
            </w:r>
          </w:p>
        </w:tc>
      </w:tr>
      <w:tr>
        <w:tc>
          <w:tcPr>
            <w:tcW w:type="dxa" w:w="1806"/>
            <w:shd w:fill="F2F6FC" w:val="clear"/>
          </w:tcPr>
          <w:p>
            <w:r>
              <w:rPr>
                <w:rFonts w:ascii="Arial" w:hAnsi="Arial"/>
                <w:sz w:val="18"/>
              </w:rPr>
              <w:t>Market-based</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+14.400</w:t>
            </w:r>
          </w:p>
        </w:tc>
        <w:tc>
          <w:tcPr>
            <w:tcW w:type="dxa" w:w="1806"/>
            <w:shd w:fill="F2F6FC" w:val="clear"/>
          </w:tcPr>
          <w:p>
            <w:pPr>
              <w:jc w:val="right"/>
            </w:pPr>
            <w:r>
              <w:rPr>
                <w:rFonts w:ascii="Arial" w:hAnsi="Arial"/>
                <w:sz w:val="18"/>
              </w:rPr>
              <w:t>+0.03%</w:t>
            </w:r>
          </w:p>
        </w:tc>
      </w:tr>
      <w:tr>
        <w:tc>
          <w:tcPr>
            <w:tcW w:type="dxa" w:w="1806"/>
          </w:tcPr>
          <w:p>
            <w:r>
              <w:rPr>
                <w:rFonts w:ascii="Arial" w:hAnsi="Arial"/>
                <w:sz w:val="18"/>
              </w:rPr>
              <w:t>Difference (Location - Market)</w:t>
            </w:r>
          </w:p>
        </w:tc>
        <w:tc>
          <w:tcPr>
            <w:tcW w:type="dxa" w:w="1806"/>
          </w:tcPr>
          <w:p>
            <w:pPr>
              <w:jc w:val="right"/>
            </w:pPr>
            <w:r>
              <w:rPr>
                <w:rFonts w:ascii="Arial" w:hAnsi="Arial"/>
                <w:sz w:val="18"/>
              </w:rPr>
              <w:t>1.358</w:t>
            </w:r>
          </w:p>
        </w:tc>
        <w:tc>
          <w:tcPr>
            <w:tcW w:type="dxa" w:w="1806"/>
          </w:tcPr>
          <w:p>
            <w:pPr>
              <w:jc w:val="right"/>
            </w:pPr>
            <w:r>
              <w:rPr>
                <w:rFonts w:ascii="Arial" w:hAnsi="Arial"/>
                <w:sz w:val="18"/>
              </w:rPr>
              <w:t>1.322</w:t>
            </w:r>
          </w:p>
        </w:tc>
        <w:tc>
          <w:tcPr>
            <w:tcW w:type="dxa" w:w="1806"/>
          </w:tcPr>
          <w:p>
            <w:pPr>
              <w:jc w:val="right"/>
            </w:pPr>
            <w:r>
              <w:rPr>
                <w:rFonts w:ascii="Arial" w:hAnsi="Arial"/>
                <w:sz w:val="18"/>
              </w:rPr>
              <w:t>+0.036</w:t>
            </w:r>
          </w:p>
        </w:tc>
        <w:tc>
          <w:tcPr>
            <w:tcW w:type="dxa" w:w="1806"/>
          </w:tcPr>
          <w:p>
            <w:pPr>
              <w:jc w:val="right"/>
            </w:pPr>
            <w:r>
              <w:rPr>
                <w:rFonts w:ascii="Arial" w:hAnsi="Arial"/>
                <w:sz w:val="18"/>
              </w:rPr>
              <w:t>+2.72%</w:t>
            </w:r>
          </w:p>
        </w:tc>
      </w:tr>
    </w:tbl>
    <w:p>
      <w:r>
        <w:rPr>
          <w:rFonts w:ascii="Arial" w:hAnsi="Arial"/>
          <w:i/>
          <w:sz w:val="16"/>
        </w:rPr>
        <w:t>Source: Source: Internal energy consumption records and PLN 2023 grid emission factors. Dual reporting per GHG Protocol Scope 2 Guidance (2015).</w:t>
      </w:r>
    </w:p>
    <w:p/>
    <w:p>
      <w:r>
        <w:rPr>
          <w:i/>
          <w:color w:val="3D6094"/>
          <w:sz w:val="18"/>
        </w:rPr>
        <w:t>Framework references: GRI 305-2; GHG Protocol Scope 2 Guidance (2015); GRI 302-1 (Energy consumption reference)</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GRI Content Index: 305-2 | Energy indirect (Scope 2) GHG emissions | Section 4.2</w:t>
      </w:r>
    </w:p>
    <w:p>
      <w:r>
        <w:br w:type="page"/>
      </w:r>
    </w:p>
    <w:p>
      <w:pPr>
        <w:pStyle w:val="Heading1"/>
        <w:keepNext/>
        <w:spacing w:before="480" w:after="240"/>
      </w:pPr>
      <w:r>
        <w:rPr>
          <w:rFonts w:ascii="Arial" w:hAnsi="Arial"/>
          <w:b/>
          <w:color w:val="1B3A6B"/>
          <w:sz w:val="36"/>
        </w:rPr>
        <w:t>Financed Emissions (Scope 3 Category 15)</w:t>
      </w:r>
    </w:p>
    <w:p>
      <w:pPr>
        <w:spacing w:after="160" w:line="276" w:lineRule="auto"/>
        <w:jc w:val="both"/>
      </w:pPr>
      <w:r>
        <w:rPr>
          <w:rFonts w:ascii="Arial" w:hAnsi="Arial"/>
          <w:sz w:val="22"/>
        </w:rPr>
        <w:t>The institution calculated financed emissions for its commercial and industrial lending portfolio in accordance with the Partnership for Carbon Accounting Financials (PCAF) Global GHG Accounting Standard. For the reporting period ending 31 December 2024, gross financed emissions totalled 21,976,797.3 tCO2e across a portfolio of IDR 1,541.18 trillion in outstanding credit exposure. This represents the absolute greenhouse gas emissions attributable to the institution's lending activities across Scope 1, Scope 2, and Scope 3 emissions of borrowers, calculated using the attribution factor methodology prescribed by PCAF.</w:t>
      </w:r>
    </w:p>
    <w:p>
      <w:pPr>
        <w:spacing w:after="160" w:line="276" w:lineRule="auto"/>
        <w:jc w:val="both"/>
      </w:pPr>
      <w:r>
        <w:rPr>
          <w:rFonts w:ascii="Arial" w:hAnsi="Arial"/>
          <w:i/>
          <w:sz w:val="22"/>
        </w:rPr>
        <w:t>The PCAF methodology applies an attribution factor to allocate a proportionate share of each borrower's total emissions to the institution based on the ratio of outstanding loan amount to the borrower's total enterprise value or total assets. The attribution factor formula is: (Outstanding Amount ÷ Borrower Enterprise Value or Total Assets) × Borrower Total Emissions. Asset classes covered in this calculation include corporate loans, project finance, and undrawn loan commitments. The institution applied the PCAF Standard for Financial Institutions (2022 edition) across all asset classes, using borrower-specific emissions data where available and economic input-output models for counterparties without disclosed emissions data.</w:t>
      </w:r>
    </w:p>
    <w:p>
      <w:pPr>
        <w:spacing w:after="160" w:line="276" w:lineRule="auto"/>
        <w:jc w:val="both"/>
      </w:pPr>
      <w:r>
        <w:rPr>
          <w:rFonts w:ascii="Arial" w:hAnsi="Arial"/>
          <w:sz w:val="22"/>
        </w:rPr>
        <w:t>Gross financed emissions of 21,976,797.3 tCO2e represent the absolute emissions calculated without adjustment for data quality. Confidence-weighted financed emissions totalled 15,280,174.14 tCO2e, reflecting the application of PCAF data quality confidence factors ranging from 1.00 (verified emissions data) to 0.45 (sector-average proxy estimates). The confidence-weighted figure accounts for the reliability of underlying emissions data sources and provides a more conservative estimate of the institution's financed emissions footprint. The 30.5% reduction from gross to weighted emissions indicates significant reliance on modelled or proxy data for portions of the portfolio, particularly in sectors where borrower-level emissions disclosure remains limited.</w:t>
      </w:r>
    </w:p>
    <w:p>
      <w:pPr>
        <w:spacing w:after="160" w:line="276" w:lineRule="auto"/>
        <w:jc w:val="both"/>
      </w:pPr>
      <w:r>
        <w:rPr>
          <w:rFonts w:ascii="Arial" w:hAnsi="Arial"/>
          <w:sz w:val="22"/>
        </w:rPr>
        <w:t>The portfolio-weighted average PCAF data quality score was 3.36 across all financed emissions calculations, indicating predominant use of economic input-output models combined with borrower financial data (PCAF Score 3) and sector-average proxies (PCAF Score 4). This score reflects the current state of emissions data availability in the Indonesian corporate lending market, where direct borrower emissions reporting remains nascent outside of publicly listed entities and large state-owned enterprises. The institution achieved 100% portfolio coverage for financed emissions calculations, meeting the PCAF signatory requirement for comprehensive Scope 3 Category 15 reporting.</w:t>
      </w:r>
    </w:p>
    <w:p>
      <w:pPr>
        <w:spacing w:after="160" w:line="276" w:lineRule="auto"/>
        <w:jc w:val="both"/>
      </w:pPr>
      <w:r>
        <w:rPr>
          <w:rFonts w:ascii="Arial" w:hAnsi="Arial"/>
          <w:sz w:val="22"/>
        </w:rPr>
        <w:t>Financed emissions are concentrated in carbon-intensive sectors, with the top three industries—Energy (Oil &amp; Gas), Manufacturing (Cement), and Manufacturing (Steel)—accounting for 85.93% of total gross financed emissions despite representing only 20.70% of total portfolio exposure. The Energy sector alone contributed 9,573,144.27 tCO2e (43.56% of total financed emissions) from IDR 102.67 trillion in outstanding loans (6.66% of portfolio). This concentration reflects the institution's historical lending relationships with Indonesia's energy and heavy industry sectors, which remain critical to the national economy but face significant transition risks under decarbonisation scenarios aligned with the Paris Agreement temperature goals.</w:t>
      </w:r>
    </w:p>
    <w:p>
      <w:pPr>
        <w:spacing w:after="160" w:line="276" w:lineRule="auto"/>
        <w:jc w:val="both"/>
      </w:pPr>
      <w:r>
        <w:rPr>
          <w:rFonts w:ascii="Arial" w:hAnsi="Arial"/>
          <w:i/>
          <w:color w:val="555555"/>
          <w:sz w:val="22"/>
        </w:rPr>
        <w:t>The institution has initiated a three-year data quality improvement programme targeting elevation of the portfolio-weighted PCAF score to below 3.0 by 2027. Priority actions include: (1) mandatory emissions disclosure requirements in credit agreements for new loans exceeding IDR 50 billion to borrowers in PCAF high-emitting sectors; (2) engagement with top 100 borrowers by financed emissions to obtain verified Scope 1 and Scope 2 data aligned with GHG Protocol Corporate Standard; (3) deployment of sector-specific emissions estimation models for Manufacturing and Transportation sectors to replace generic economic input-output factors; and (4) integration of borrower emissions data requests into annual credit review processes. These initiatives are expected to increase the proportion of financed emissions calculated using PCAF Score 1 or 2 data from the current estimated 15% to at least 40% by end-2027.</w:t>
      </w:r>
    </w:p>
    <w:p>
      <w:pPr>
        <w:spacing w:after="160" w:line="276" w:lineRule="auto"/>
        <w:jc w:val="both"/>
      </w:pPr>
      <w:r>
        <w:rPr>
          <w:rFonts w:ascii="Arial" w:hAnsi="Arial"/>
          <w:sz w:val="22"/>
        </w:rPr>
        <w:t>Gross financed emissions decreased by 4.07% from 22,911,991.05 tCO2e in 2023 to 21,976,797.3 tCO2e in 2024, representing an absolute reduction of 935,193.75 tCO2e. Confidence-weighted financed emissions declined by 1.90% from 15,576,239.57 tCO2e to 15,280,174.14 tCO2e over the same period. The reduction in gross emissions was driven primarily by decreased lending exposure to the Energy (Oil &amp; Gas) sector and improved operational efficiency among borrowers in the Manufacturing (Cement) sector. The smaller decline in weighted emissions reflects a deterioration in average data quality score from 3.28 in 2023 to 3.36 in 2024, attributable to increased reliance on proxy data for new borrowers in the Transportation and Agriculture sectors where primary emissions data was not available at loan origination.</w:t>
      </w:r>
    </w:p>
    <w:p>
      <w:pPr>
        <w:spacing w:after="160" w:line="276" w:lineRule="auto"/>
        <w:jc w:val="both"/>
      </w:pPr>
      <w:r>
        <w:rPr>
          <w:rFonts w:ascii="Arial" w:hAnsi="Arial"/>
          <w:i/>
          <w:sz w:val="22"/>
        </w:rPr>
        <w:t>The institution reports financed emissions in accordance with IFRS S2 paragraph B62, which requires disclosure of absolute gross financed emissions disaggregated by industry and asset class for commercial banking activities. The methodology applied follows the PCAF Global GHG Accounting Standard (2022 edition), which is recognised as the leading framework for financial institutions' Scope 3 Category 15 emissions accounting. Financed emissions calculations incorporate borrower Scope 1, Scope 2, and material Scope 3 emissions where data is available, consistent with the comprehensive value chain approach prescribed by the GHG Protocol Corporate Value Chain (Scope 3) Accounting and Reporting Standard.</w:t>
      </w:r>
    </w:p>
    <w:p>
      <w:r>
        <w:rPr>
          <w:rFonts w:ascii="Arial" w:hAnsi="Arial"/>
          <w:b/>
          <w:sz w:val="20"/>
        </w:rPr>
        <w:t>Table 1: Financed Emissions by Sector (Top 5 Emitting Industries)</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Sector (NACE Classification)</w:t>
            </w:r>
          </w:p>
        </w:tc>
        <w:tc>
          <w:tcPr>
            <w:tcW w:type="dxa" w:w="1129"/>
            <w:shd w:fill="1B3A6B" w:val="clear"/>
          </w:tcPr>
          <w:p>
            <w:r>
              <w:rPr>
                <w:rFonts w:ascii="Arial" w:hAnsi="Arial"/>
                <w:b/>
                <w:color w:val="FFFFFF"/>
                <w:sz w:val="18"/>
              </w:rPr>
              <w:t>Outstanding Exposure (IDR Trillion)</w:t>
            </w:r>
          </w:p>
        </w:tc>
        <w:tc>
          <w:tcPr>
            <w:tcW w:type="dxa" w:w="1129"/>
            <w:shd w:fill="1B3A6B" w:val="clear"/>
          </w:tcPr>
          <w:p>
            <w:r>
              <w:rPr>
                <w:rFonts w:ascii="Arial" w:hAnsi="Arial"/>
                <w:b/>
                <w:color w:val="FFFFFF"/>
                <w:sz w:val="18"/>
              </w:rPr>
              <w:t>% of Portfolio</w:t>
            </w:r>
          </w:p>
        </w:tc>
        <w:tc>
          <w:tcPr>
            <w:tcW w:type="dxa" w:w="1129"/>
            <w:shd w:fill="1B3A6B" w:val="clear"/>
          </w:tcPr>
          <w:p>
            <w:r>
              <w:rPr>
                <w:rFonts w:ascii="Arial" w:hAnsi="Arial"/>
                <w:b/>
                <w:color w:val="FFFFFF"/>
                <w:sz w:val="18"/>
              </w:rPr>
              <w:t>Gross Financed Emissions (tCO2e)</w:t>
            </w:r>
          </w:p>
        </w:tc>
        <w:tc>
          <w:tcPr>
            <w:tcW w:type="dxa" w:w="1129"/>
            <w:shd w:fill="1B3A6B" w:val="clear"/>
          </w:tcPr>
          <w:p>
            <w:r>
              <w:rPr>
                <w:rFonts w:ascii="Arial" w:hAnsi="Arial"/>
                <w:b/>
                <w:color w:val="FFFFFF"/>
                <w:sz w:val="18"/>
              </w:rPr>
              <w:t>Weighted Financed Emissions (tCO2e)</w:t>
            </w:r>
          </w:p>
        </w:tc>
        <w:tc>
          <w:tcPr>
            <w:tcW w:type="dxa" w:w="1129"/>
            <w:shd w:fill="1B3A6B" w:val="clear"/>
          </w:tcPr>
          <w:p>
            <w:r>
              <w:rPr>
                <w:rFonts w:ascii="Arial" w:hAnsi="Arial"/>
                <w:b/>
                <w:color w:val="FFFFFF"/>
                <w:sz w:val="18"/>
              </w:rPr>
              <w:t>% of Total Emissions</w:t>
            </w:r>
          </w:p>
        </w:tc>
        <w:tc>
          <w:tcPr>
            <w:tcW w:type="dxa" w:w="1129"/>
            <w:shd w:fill="1B3A6B" w:val="clear"/>
          </w:tcPr>
          <w:p>
            <w:r>
              <w:rPr>
                <w:rFonts w:ascii="Arial" w:hAnsi="Arial"/>
                <w:b/>
                <w:color w:val="FFFFFF"/>
                <w:sz w:val="18"/>
              </w:rPr>
              <w:t>Avg PCAF Score</w:t>
            </w:r>
          </w:p>
        </w:tc>
        <w:tc>
          <w:tcPr>
            <w:tcW w:type="dxa" w:w="1129"/>
            <w:shd w:fill="1B3A6B" w:val="clear"/>
          </w:tcPr>
          <w:p>
            <w:r>
              <w:rPr>
                <w:rFonts w:ascii="Arial" w:hAnsi="Arial"/>
                <w:b/>
                <w:color w:val="FFFFFF"/>
                <w:sz w:val="18"/>
              </w:rPr>
              <w:t>Emission Intensity (tCO2e/IDR Bn)</w:t>
            </w:r>
          </w:p>
        </w:tc>
      </w:tr>
      <w:tr>
        <w:tc>
          <w:tcPr>
            <w:tcW w:type="dxa" w:w="1129"/>
          </w:tcPr>
          <w:p>
            <w:r>
              <w:rPr>
                <w:rFonts w:ascii="Arial" w:hAnsi="Arial"/>
                <w:sz w:val="18"/>
              </w:rPr>
              <w:t>Energy - Oil &amp; Gas</w:t>
            </w:r>
          </w:p>
        </w:tc>
        <w:tc>
          <w:tcPr>
            <w:tcW w:type="dxa" w:w="1129"/>
          </w:tcPr>
          <w:p>
            <w:pPr>
              <w:jc w:val="right"/>
            </w:pPr>
            <w:r>
              <w:rPr>
                <w:rFonts w:ascii="Arial" w:hAnsi="Arial"/>
                <w:sz w:val="18"/>
              </w:rPr>
              <w:t>102.67</w:t>
            </w:r>
          </w:p>
        </w:tc>
        <w:tc>
          <w:tcPr>
            <w:tcW w:type="dxa" w:w="1129"/>
          </w:tcPr>
          <w:p>
            <w:pPr>
              <w:jc w:val="right"/>
            </w:pPr>
            <w:r>
              <w:rPr>
                <w:rFonts w:ascii="Arial" w:hAnsi="Arial"/>
                <w:sz w:val="18"/>
              </w:rPr>
              <w:t>6.66%</w:t>
            </w:r>
          </w:p>
        </w:tc>
        <w:tc>
          <w:tcPr>
            <w:tcW w:type="dxa" w:w="1129"/>
          </w:tcPr>
          <w:p>
            <w:pPr>
              <w:jc w:val="right"/>
            </w:pPr>
            <w:r>
              <w:rPr>
                <w:rFonts w:ascii="Arial" w:hAnsi="Arial"/>
                <w:sz w:val="18"/>
              </w:rPr>
              <w:t>9,573,144.27</w:t>
            </w:r>
          </w:p>
        </w:tc>
        <w:tc>
          <w:tcPr>
            <w:tcW w:type="dxa" w:w="1129"/>
          </w:tcPr>
          <w:p>
            <w:pPr>
              <w:jc w:val="right"/>
            </w:pPr>
            <w:r>
              <w:rPr>
                <w:rFonts w:ascii="Arial" w:hAnsi="Arial"/>
                <w:sz w:val="18"/>
              </w:rPr>
              <w:t>6,753,948.71</w:t>
            </w:r>
          </w:p>
        </w:tc>
        <w:tc>
          <w:tcPr>
            <w:tcW w:type="dxa" w:w="1129"/>
          </w:tcPr>
          <w:p>
            <w:pPr>
              <w:jc w:val="right"/>
            </w:pPr>
            <w:r>
              <w:rPr>
                <w:rFonts w:ascii="Arial" w:hAnsi="Arial"/>
                <w:sz w:val="18"/>
              </w:rPr>
              <w:t>43.56%</w:t>
            </w:r>
          </w:p>
        </w:tc>
        <w:tc>
          <w:tcPr>
            <w:tcW w:type="dxa" w:w="1129"/>
          </w:tcPr>
          <w:p>
            <w:pPr>
              <w:jc w:val="right"/>
            </w:pPr>
            <w:r>
              <w:rPr>
                <w:rFonts w:ascii="Arial" w:hAnsi="Arial"/>
                <w:sz w:val="18"/>
              </w:rPr>
              <w:t>3.32</w:t>
            </w:r>
          </w:p>
        </w:tc>
        <w:tc>
          <w:tcPr>
            <w:tcW w:type="dxa" w:w="1129"/>
          </w:tcPr>
          <w:p>
            <w:pPr>
              <w:jc w:val="right"/>
            </w:pPr>
            <w:r>
              <w:rPr>
                <w:rFonts w:ascii="Arial" w:hAnsi="Arial"/>
                <w:sz w:val="18"/>
              </w:rPr>
              <w:t>93.242</w:t>
            </w:r>
          </w:p>
        </w:tc>
      </w:tr>
      <w:tr>
        <w:tc>
          <w:tcPr>
            <w:tcW w:type="dxa" w:w="1129"/>
            <w:shd w:fill="F2F6FC" w:val="clear"/>
          </w:tcPr>
          <w:p>
            <w:r>
              <w:rPr>
                <w:rFonts w:ascii="Arial" w:hAnsi="Arial"/>
                <w:sz w:val="18"/>
              </w:rPr>
              <w:t>Manufacturing - Cement</w:t>
            </w:r>
          </w:p>
        </w:tc>
        <w:tc>
          <w:tcPr>
            <w:tcW w:type="dxa" w:w="1129"/>
            <w:shd w:fill="F2F6FC" w:val="clear"/>
          </w:tcPr>
          <w:p>
            <w:pPr>
              <w:jc w:val="right"/>
            </w:pPr>
            <w:r>
              <w:rPr>
                <w:rFonts w:ascii="Arial" w:hAnsi="Arial"/>
                <w:sz w:val="18"/>
              </w:rPr>
              <w:t>107.68</w:t>
            </w:r>
          </w:p>
        </w:tc>
        <w:tc>
          <w:tcPr>
            <w:tcW w:type="dxa" w:w="1129"/>
            <w:shd w:fill="F2F6FC" w:val="clear"/>
          </w:tcPr>
          <w:p>
            <w:pPr>
              <w:jc w:val="right"/>
            </w:pPr>
            <w:r>
              <w:rPr>
                <w:rFonts w:ascii="Arial" w:hAnsi="Arial"/>
                <w:sz w:val="18"/>
              </w:rPr>
              <w:t>6.99%</w:t>
            </w:r>
          </w:p>
        </w:tc>
        <w:tc>
          <w:tcPr>
            <w:tcW w:type="dxa" w:w="1129"/>
            <w:shd w:fill="F2F6FC" w:val="clear"/>
          </w:tcPr>
          <w:p>
            <w:pPr>
              <w:jc w:val="right"/>
            </w:pPr>
            <w:r>
              <w:rPr>
                <w:rFonts w:ascii="Arial" w:hAnsi="Arial"/>
                <w:sz w:val="18"/>
              </w:rPr>
              <w:t>5,813,830.91</w:t>
            </w:r>
          </w:p>
        </w:tc>
        <w:tc>
          <w:tcPr>
            <w:tcW w:type="dxa" w:w="1129"/>
            <w:shd w:fill="F2F6FC" w:val="clear"/>
          </w:tcPr>
          <w:p>
            <w:pPr>
              <w:jc w:val="right"/>
            </w:pPr>
            <w:r>
              <w:rPr>
                <w:rFonts w:ascii="Arial" w:hAnsi="Arial"/>
                <w:sz w:val="18"/>
              </w:rPr>
              <w:t>4,168,058.43</w:t>
            </w:r>
          </w:p>
        </w:tc>
        <w:tc>
          <w:tcPr>
            <w:tcW w:type="dxa" w:w="1129"/>
            <w:shd w:fill="F2F6FC" w:val="clear"/>
          </w:tcPr>
          <w:p>
            <w:pPr>
              <w:jc w:val="right"/>
            </w:pPr>
            <w:r>
              <w:rPr>
                <w:rFonts w:ascii="Arial" w:hAnsi="Arial"/>
                <w:sz w:val="18"/>
              </w:rPr>
              <w:t>26.45%</w:t>
            </w:r>
          </w:p>
        </w:tc>
        <w:tc>
          <w:tcPr>
            <w:tcW w:type="dxa" w:w="1129"/>
            <w:shd w:fill="F2F6FC" w:val="clear"/>
          </w:tcPr>
          <w:p>
            <w:pPr>
              <w:jc w:val="right"/>
            </w:pPr>
            <w:r>
              <w:rPr>
                <w:rFonts w:ascii="Arial" w:hAnsi="Arial"/>
                <w:sz w:val="18"/>
              </w:rPr>
              <w:t>3.40</w:t>
            </w:r>
          </w:p>
        </w:tc>
        <w:tc>
          <w:tcPr>
            <w:tcW w:type="dxa" w:w="1129"/>
            <w:shd w:fill="F2F6FC" w:val="clear"/>
          </w:tcPr>
          <w:p>
            <w:pPr>
              <w:jc w:val="right"/>
            </w:pPr>
            <w:r>
              <w:rPr>
                <w:rFonts w:ascii="Arial" w:hAnsi="Arial"/>
                <w:sz w:val="18"/>
              </w:rPr>
              <w:t>53.993</w:t>
            </w:r>
          </w:p>
        </w:tc>
      </w:tr>
      <w:tr>
        <w:tc>
          <w:tcPr>
            <w:tcW w:type="dxa" w:w="1129"/>
          </w:tcPr>
          <w:p>
            <w:r>
              <w:rPr>
                <w:rFonts w:ascii="Arial" w:hAnsi="Arial"/>
                <w:sz w:val="18"/>
              </w:rPr>
              <w:t>Manufacturing - Steel</w:t>
            </w:r>
          </w:p>
        </w:tc>
        <w:tc>
          <w:tcPr>
            <w:tcW w:type="dxa" w:w="1129"/>
          </w:tcPr>
          <w:p>
            <w:pPr>
              <w:jc w:val="right"/>
            </w:pPr>
            <w:r>
              <w:rPr>
                <w:rFonts w:ascii="Arial" w:hAnsi="Arial"/>
                <w:sz w:val="18"/>
              </w:rPr>
              <w:t>108.62</w:t>
            </w:r>
          </w:p>
        </w:tc>
        <w:tc>
          <w:tcPr>
            <w:tcW w:type="dxa" w:w="1129"/>
          </w:tcPr>
          <w:p>
            <w:pPr>
              <w:jc w:val="right"/>
            </w:pPr>
            <w:r>
              <w:rPr>
                <w:rFonts w:ascii="Arial" w:hAnsi="Arial"/>
                <w:sz w:val="18"/>
              </w:rPr>
              <w:t>7.05%</w:t>
            </w:r>
          </w:p>
        </w:tc>
        <w:tc>
          <w:tcPr>
            <w:tcW w:type="dxa" w:w="1129"/>
          </w:tcPr>
          <w:p>
            <w:pPr>
              <w:jc w:val="right"/>
            </w:pPr>
            <w:r>
              <w:rPr>
                <w:rFonts w:ascii="Arial" w:hAnsi="Arial"/>
                <w:sz w:val="18"/>
              </w:rPr>
              <w:t>3,499,463.00</w:t>
            </w:r>
          </w:p>
        </w:tc>
        <w:tc>
          <w:tcPr>
            <w:tcW w:type="dxa" w:w="1129"/>
          </w:tcPr>
          <w:p>
            <w:pPr>
              <w:jc w:val="right"/>
            </w:pPr>
            <w:r>
              <w:rPr>
                <w:rFonts w:ascii="Arial" w:hAnsi="Arial"/>
                <w:sz w:val="18"/>
              </w:rPr>
              <w:t>2,228,739.65</w:t>
            </w:r>
          </w:p>
        </w:tc>
        <w:tc>
          <w:tcPr>
            <w:tcW w:type="dxa" w:w="1129"/>
          </w:tcPr>
          <w:p>
            <w:pPr>
              <w:jc w:val="right"/>
            </w:pPr>
            <w:r>
              <w:rPr>
                <w:rFonts w:ascii="Arial" w:hAnsi="Arial"/>
                <w:sz w:val="18"/>
              </w:rPr>
              <w:t>15.92%</w:t>
            </w:r>
          </w:p>
        </w:tc>
        <w:tc>
          <w:tcPr>
            <w:tcW w:type="dxa" w:w="1129"/>
          </w:tcPr>
          <w:p>
            <w:pPr>
              <w:jc w:val="right"/>
            </w:pPr>
            <w:r>
              <w:rPr>
                <w:rFonts w:ascii="Arial" w:hAnsi="Arial"/>
                <w:sz w:val="18"/>
              </w:rPr>
              <w:t>3.35</w:t>
            </w:r>
          </w:p>
        </w:tc>
        <w:tc>
          <w:tcPr>
            <w:tcW w:type="dxa" w:w="1129"/>
          </w:tcPr>
          <w:p>
            <w:pPr>
              <w:jc w:val="right"/>
            </w:pPr>
            <w:r>
              <w:rPr>
                <w:rFonts w:ascii="Arial" w:hAnsi="Arial"/>
                <w:sz w:val="18"/>
              </w:rPr>
              <w:t>32.218</w:t>
            </w:r>
          </w:p>
        </w:tc>
      </w:tr>
      <w:tr>
        <w:tc>
          <w:tcPr>
            <w:tcW w:type="dxa" w:w="1129"/>
            <w:shd w:fill="F2F6FC" w:val="clear"/>
          </w:tcPr>
          <w:p>
            <w:r>
              <w:rPr>
                <w:rFonts w:ascii="Arial" w:hAnsi="Arial"/>
                <w:sz w:val="18"/>
              </w:rPr>
              <w:t>Transportation - Road</w:t>
            </w:r>
          </w:p>
        </w:tc>
        <w:tc>
          <w:tcPr>
            <w:tcW w:type="dxa" w:w="1129"/>
            <w:shd w:fill="F2F6FC" w:val="clear"/>
          </w:tcPr>
          <w:p>
            <w:pPr>
              <w:jc w:val="right"/>
            </w:pPr>
            <w:r>
              <w:rPr>
                <w:rFonts w:ascii="Arial" w:hAnsi="Arial"/>
                <w:sz w:val="18"/>
              </w:rPr>
              <w:t>155.55</w:t>
            </w:r>
          </w:p>
        </w:tc>
        <w:tc>
          <w:tcPr>
            <w:tcW w:type="dxa" w:w="1129"/>
            <w:shd w:fill="F2F6FC" w:val="clear"/>
          </w:tcPr>
          <w:p>
            <w:pPr>
              <w:jc w:val="right"/>
            </w:pPr>
            <w:r>
              <w:rPr>
                <w:rFonts w:ascii="Arial" w:hAnsi="Arial"/>
                <w:sz w:val="18"/>
              </w:rPr>
              <w:t>10.09%</w:t>
            </w:r>
          </w:p>
        </w:tc>
        <w:tc>
          <w:tcPr>
            <w:tcW w:type="dxa" w:w="1129"/>
            <w:shd w:fill="F2F6FC" w:val="clear"/>
          </w:tcPr>
          <w:p>
            <w:pPr>
              <w:jc w:val="right"/>
            </w:pPr>
            <w:r>
              <w:rPr>
                <w:rFonts w:ascii="Arial" w:hAnsi="Arial"/>
                <w:sz w:val="18"/>
              </w:rPr>
              <w:t>1,227,019.62</w:t>
            </w:r>
          </w:p>
        </w:tc>
        <w:tc>
          <w:tcPr>
            <w:tcW w:type="dxa" w:w="1129"/>
            <w:shd w:fill="F2F6FC" w:val="clear"/>
          </w:tcPr>
          <w:p>
            <w:pPr>
              <w:jc w:val="right"/>
            </w:pPr>
            <w:r>
              <w:rPr>
                <w:rFonts w:ascii="Arial" w:hAnsi="Arial"/>
                <w:sz w:val="18"/>
              </w:rPr>
              <w:t>864,356.23</w:t>
            </w:r>
          </w:p>
        </w:tc>
        <w:tc>
          <w:tcPr>
            <w:tcW w:type="dxa" w:w="1129"/>
            <w:shd w:fill="F2F6FC" w:val="clear"/>
          </w:tcPr>
          <w:p>
            <w:pPr>
              <w:jc w:val="right"/>
            </w:pPr>
            <w:r>
              <w:rPr>
                <w:rFonts w:ascii="Arial" w:hAnsi="Arial"/>
                <w:sz w:val="18"/>
              </w:rPr>
              <w:t>5.58%</w:t>
            </w:r>
          </w:p>
        </w:tc>
        <w:tc>
          <w:tcPr>
            <w:tcW w:type="dxa" w:w="1129"/>
            <w:shd w:fill="F2F6FC" w:val="clear"/>
          </w:tcPr>
          <w:p>
            <w:pPr>
              <w:jc w:val="right"/>
            </w:pPr>
            <w:r>
              <w:rPr>
                <w:rFonts w:ascii="Arial" w:hAnsi="Arial"/>
                <w:sz w:val="18"/>
              </w:rPr>
              <w:t>3.36</w:t>
            </w:r>
          </w:p>
        </w:tc>
        <w:tc>
          <w:tcPr>
            <w:tcW w:type="dxa" w:w="1129"/>
            <w:shd w:fill="F2F6FC" w:val="clear"/>
          </w:tcPr>
          <w:p>
            <w:pPr>
              <w:jc w:val="right"/>
            </w:pPr>
            <w:r>
              <w:rPr>
                <w:rFonts w:ascii="Arial" w:hAnsi="Arial"/>
                <w:sz w:val="18"/>
              </w:rPr>
              <w:t>7.888</w:t>
            </w:r>
          </w:p>
        </w:tc>
      </w:tr>
      <w:tr>
        <w:tc>
          <w:tcPr>
            <w:tcW w:type="dxa" w:w="1129"/>
          </w:tcPr>
          <w:p>
            <w:r>
              <w:rPr>
                <w:rFonts w:ascii="Arial" w:hAnsi="Arial"/>
                <w:sz w:val="18"/>
              </w:rPr>
              <w:t>Manufacturing - Food &amp; Beverage</w:t>
            </w:r>
          </w:p>
        </w:tc>
        <w:tc>
          <w:tcPr>
            <w:tcW w:type="dxa" w:w="1129"/>
          </w:tcPr>
          <w:p>
            <w:pPr>
              <w:jc w:val="right"/>
            </w:pPr>
            <w:r>
              <w:rPr>
                <w:rFonts w:ascii="Arial" w:hAnsi="Arial"/>
                <w:sz w:val="18"/>
              </w:rPr>
              <w:t>169.14</w:t>
            </w:r>
          </w:p>
        </w:tc>
        <w:tc>
          <w:tcPr>
            <w:tcW w:type="dxa" w:w="1129"/>
          </w:tcPr>
          <w:p>
            <w:pPr>
              <w:jc w:val="right"/>
            </w:pPr>
            <w:r>
              <w:rPr>
                <w:rFonts w:ascii="Arial" w:hAnsi="Arial"/>
                <w:sz w:val="18"/>
              </w:rPr>
              <w:t>10.97%</w:t>
            </w:r>
          </w:p>
        </w:tc>
        <w:tc>
          <w:tcPr>
            <w:tcW w:type="dxa" w:w="1129"/>
          </w:tcPr>
          <w:p>
            <w:pPr>
              <w:jc w:val="right"/>
            </w:pPr>
            <w:r>
              <w:rPr>
                <w:rFonts w:ascii="Arial" w:hAnsi="Arial"/>
                <w:sz w:val="18"/>
              </w:rPr>
              <w:t>936,111.21</w:t>
            </w:r>
          </w:p>
        </w:tc>
        <w:tc>
          <w:tcPr>
            <w:tcW w:type="dxa" w:w="1129"/>
          </w:tcPr>
          <w:p>
            <w:pPr>
              <w:jc w:val="right"/>
            </w:pPr>
            <w:r>
              <w:rPr>
                <w:rFonts w:ascii="Arial" w:hAnsi="Arial"/>
                <w:sz w:val="18"/>
              </w:rPr>
              <w:t>653,413.56</w:t>
            </w:r>
          </w:p>
        </w:tc>
        <w:tc>
          <w:tcPr>
            <w:tcW w:type="dxa" w:w="1129"/>
          </w:tcPr>
          <w:p>
            <w:pPr>
              <w:jc w:val="right"/>
            </w:pPr>
            <w:r>
              <w:rPr>
                <w:rFonts w:ascii="Arial" w:hAnsi="Arial"/>
                <w:sz w:val="18"/>
              </w:rPr>
              <w:t>4.26%</w:t>
            </w:r>
          </w:p>
        </w:tc>
        <w:tc>
          <w:tcPr>
            <w:tcW w:type="dxa" w:w="1129"/>
          </w:tcPr>
          <w:p>
            <w:pPr>
              <w:jc w:val="right"/>
            </w:pPr>
            <w:r>
              <w:rPr>
                <w:rFonts w:ascii="Arial" w:hAnsi="Arial"/>
                <w:sz w:val="18"/>
              </w:rPr>
              <w:t>3.35</w:t>
            </w:r>
          </w:p>
        </w:tc>
        <w:tc>
          <w:tcPr>
            <w:tcW w:type="dxa" w:w="1129"/>
          </w:tcPr>
          <w:p>
            <w:pPr>
              <w:jc w:val="right"/>
            </w:pPr>
            <w:r>
              <w:rPr>
                <w:rFonts w:ascii="Arial" w:hAnsi="Arial"/>
                <w:sz w:val="18"/>
              </w:rPr>
              <w:t>5.535</w:t>
            </w:r>
          </w:p>
        </w:tc>
      </w:tr>
      <w:tr>
        <w:tc>
          <w:tcPr>
            <w:tcW w:type="dxa" w:w="1129"/>
            <w:shd w:fill="F2F6FC" w:val="clear"/>
          </w:tcPr>
          <w:p>
            <w:r>
              <w:rPr>
                <w:rFonts w:ascii="Arial" w:hAnsi="Arial"/>
                <w:sz w:val="18"/>
              </w:rPr>
              <w:t>Other Sectors (5 industries)</w:t>
            </w:r>
          </w:p>
        </w:tc>
        <w:tc>
          <w:tcPr>
            <w:tcW w:type="dxa" w:w="1129"/>
            <w:shd w:fill="F2F6FC" w:val="clear"/>
          </w:tcPr>
          <w:p>
            <w:pPr>
              <w:jc w:val="right"/>
            </w:pPr>
            <w:r>
              <w:rPr>
                <w:rFonts w:ascii="Arial" w:hAnsi="Arial"/>
                <w:sz w:val="18"/>
              </w:rPr>
              <w:t>897.52</w:t>
            </w:r>
          </w:p>
        </w:tc>
        <w:tc>
          <w:tcPr>
            <w:tcW w:type="dxa" w:w="1129"/>
            <w:shd w:fill="F2F6FC" w:val="clear"/>
          </w:tcPr>
          <w:p>
            <w:pPr>
              <w:jc w:val="right"/>
            </w:pPr>
            <w:r>
              <w:rPr>
                <w:rFonts w:ascii="Arial" w:hAnsi="Arial"/>
                <w:sz w:val="18"/>
              </w:rPr>
              <w:t>58.24%</w:t>
            </w:r>
          </w:p>
        </w:tc>
        <w:tc>
          <w:tcPr>
            <w:tcW w:type="dxa" w:w="1129"/>
            <w:shd w:fill="F2F6FC" w:val="clear"/>
          </w:tcPr>
          <w:p>
            <w:pPr>
              <w:jc w:val="right"/>
            </w:pPr>
            <w:r>
              <w:rPr>
                <w:rFonts w:ascii="Arial" w:hAnsi="Arial"/>
                <w:sz w:val="18"/>
              </w:rPr>
              <w:t>927,228.29</w:t>
            </w:r>
          </w:p>
        </w:tc>
        <w:tc>
          <w:tcPr>
            <w:tcW w:type="dxa" w:w="1129"/>
            <w:shd w:fill="F2F6FC" w:val="clear"/>
          </w:tcPr>
          <w:p>
            <w:pPr>
              <w:jc w:val="right"/>
            </w:pPr>
            <w:r>
              <w:rPr>
                <w:rFonts w:ascii="Arial" w:hAnsi="Arial"/>
                <w:sz w:val="18"/>
              </w:rPr>
              <w:t>611,657.56</w:t>
            </w:r>
          </w:p>
        </w:tc>
        <w:tc>
          <w:tcPr>
            <w:tcW w:type="dxa" w:w="1129"/>
            <w:shd w:fill="F2F6FC" w:val="clear"/>
          </w:tcPr>
          <w:p>
            <w:pPr>
              <w:jc w:val="right"/>
            </w:pPr>
            <w:r>
              <w:rPr>
                <w:rFonts w:ascii="Arial" w:hAnsi="Arial"/>
                <w:sz w:val="18"/>
              </w:rPr>
              <w:t>4.22%</w:t>
            </w:r>
          </w:p>
        </w:tc>
        <w:tc>
          <w:tcPr>
            <w:tcW w:type="dxa" w:w="1129"/>
            <w:shd w:fill="F2F6FC" w:val="clear"/>
          </w:tcPr>
          <w:p>
            <w:pPr>
              <w:jc w:val="right"/>
            </w:pPr>
            <w:r>
              <w:rPr>
                <w:rFonts w:ascii="Arial" w:hAnsi="Arial"/>
                <w:sz w:val="18"/>
              </w:rPr>
              <w:t>3.32</w:t>
            </w:r>
          </w:p>
        </w:tc>
        <w:tc>
          <w:tcPr>
            <w:tcW w:type="dxa" w:w="1129"/>
            <w:shd w:fill="F2F6FC" w:val="clear"/>
          </w:tcPr>
          <w:p>
            <w:pPr>
              <w:jc w:val="right"/>
            </w:pPr>
            <w:r>
              <w:rPr>
                <w:rFonts w:ascii="Arial" w:hAnsi="Arial"/>
                <w:sz w:val="18"/>
              </w:rPr>
              <w:t>1.033</w:t>
            </w:r>
          </w:p>
        </w:tc>
      </w:tr>
      <w:tr>
        <w:tc>
          <w:tcPr>
            <w:tcW w:type="dxa" w:w="1129"/>
          </w:tcPr>
          <w:p>
            <w:r>
              <w:rPr>
                <w:rFonts w:ascii="Arial" w:hAnsi="Arial"/>
                <w:sz w:val="18"/>
              </w:rPr>
              <w:t>**Total Portfolio**</w:t>
            </w:r>
          </w:p>
        </w:tc>
        <w:tc>
          <w:tcPr>
            <w:tcW w:type="dxa" w:w="1129"/>
          </w:tcPr>
          <w:p>
            <w:r>
              <w:rPr>
                <w:rFonts w:ascii="Arial" w:hAnsi="Arial"/>
                <w:sz w:val="18"/>
              </w:rPr>
              <w:t>**1,541.18**</w:t>
            </w:r>
          </w:p>
        </w:tc>
        <w:tc>
          <w:tcPr>
            <w:tcW w:type="dxa" w:w="1129"/>
          </w:tcPr>
          <w:p>
            <w:r>
              <w:rPr>
                <w:rFonts w:ascii="Arial" w:hAnsi="Arial"/>
                <w:sz w:val="18"/>
              </w:rPr>
              <w:t>**100.00%**</w:t>
            </w:r>
          </w:p>
        </w:tc>
        <w:tc>
          <w:tcPr>
            <w:tcW w:type="dxa" w:w="1129"/>
          </w:tcPr>
          <w:p>
            <w:r>
              <w:rPr>
                <w:rFonts w:ascii="Arial" w:hAnsi="Arial"/>
                <w:sz w:val="18"/>
              </w:rPr>
              <w:t>**21,976,797.30**</w:t>
            </w:r>
          </w:p>
        </w:tc>
        <w:tc>
          <w:tcPr>
            <w:tcW w:type="dxa" w:w="1129"/>
          </w:tcPr>
          <w:p>
            <w:r>
              <w:rPr>
                <w:rFonts w:ascii="Arial" w:hAnsi="Arial"/>
                <w:sz w:val="18"/>
              </w:rPr>
              <w:t>**15,280,174.14**</w:t>
            </w:r>
          </w:p>
        </w:tc>
        <w:tc>
          <w:tcPr>
            <w:tcW w:type="dxa" w:w="1129"/>
          </w:tcPr>
          <w:p>
            <w:r>
              <w:rPr>
                <w:rFonts w:ascii="Arial" w:hAnsi="Arial"/>
                <w:sz w:val="18"/>
              </w:rPr>
              <w:t>**100.00%**</w:t>
            </w:r>
          </w:p>
        </w:tc>
        <w:tc>
          <w:tcPr>
            <w:tcW w:type="dxa" w:w="1129"/>
          </w:tcPr>
          <w:p>
            <w:r>
              <w:rPr>
                <w:rFonts w:ascii="Arial" w:hAnsi="Arial"/>
                <w:sz w:val="18"/>
              </w:rPr>
              <w:t>**3.36**</w:t>
            </w:r>
          </w:p>
        </w:tc>
        <w:tc>
          <w:tcPr>
            <w:tcW w:type="dxa" w:w="1129"/>
          </w:tcPr>
          <w:p>
            <w:r>
              <w:rPr>
                <w:rFonts w:ascii="Arial" w:hAnsi="Arial"/>
                <w:sz w:val="18"/>
              </w:rPr>
              <w:t>**14.259**</w:t>
            </w:r>
          </w:p>
        </w:tc>
      </w:tr>
    </w:tbl>
    <w:p>
      <w:r>
        <w:rPr>
          <w:rFonts w:ascii="Arial" w:hAnsi="Arial"/>
          <w:i/>
          <w:sz w:val="16"/>
        </w:rPr>
        <w:t>Source: Source: Internal PCAF calculation system. Gross financed emissions calculated per PCAF Global GHG Accounting Standard (2022). Weighted emissions apply PCAF confidence factors (Score 1=1.00 to Score 5=0.45). NACE sector classifications aligned with PCAF Standard for Financial Institutions.</w:t>
      </w:r>
    </w:p>
    <w:p/>
    <w:p>
      <w:r>
        <w:rPr>
          <w:rFonts w:ascii="Arial" w:hAnsi="Arial"/>
          <w:b/>
          <w:sz w:val="20"/>
        </w:rPr>
        <w:t>Table 2: SASB FN-CB-410a.3 — Financed Emissions (Scope 3 Category 15)</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 Value</w:t>
            </w:r>
          </w:p>
        </w:tc>
        <w:tc>
          <w:tcPr>
            <w:tcW w:type="dxa" w:w="1806"/>
            <w:shd w:fill="1B3A6B" w:val="clear"/>
          </w:tcPr>
          <w:p>
            <w:r>
              <w:rPr>
                <w:rFonts w:ascii="Arial" w:hAnsi="Arial"/>
                <w:b/>
                <w:color w:val="FFFFFF"/>
                <w:sz w:val="18"/>
              </w:rPr>
              <w:t>2023 Value</w:t>
            </w:r>
          </w:p>
        </w:tc>
        <w:tc>
          <w:tcPr>
            <w:tcW w:type="dxa" w:w="1806"/>
            <w:shd w:fill="1B3A6B" w:val="clear"/>
          </w:tcPr>
          <w:p>
            <w:r>
              <w:rPr>
                <w:rFonts w:ascii="Arial" w:hAnsi="Arial"/>
                <w:b/>
                <w:color w:val="FFFFFF"/>
                <w:sz w:val="18"/>
              </w:rPr>
              <w:t>Unit</w:t>
            </w:r>
          </w:p>
        </w:tc>
        <w:tc>
          <w:tcPr>
            <w:tcW w:type="dxa" w:w="1806"/>
            <w:shd w:fill="1B3A6B" w:val="clear"/>
          </w:tcPr>
          <w:p>
            <w:r>
              <w:rPr>
                <w:rFonts w:ascii="Arial" w:hAnsi="Arial"/>
                <w:b/>
                <w:color w:val="FFFFFF"/>
                <w:sz w:val="18"/>
              </w:rPr>
              <w:t>Calculation Methodology</w:t>
            </w:r>
          </w:p>
        </w:tc>
      </w:tr>
      <w:tr>
        <w:tc>
          <w:tcPr>
            <w:tcW w:type="dxa" w:w="1806"/>
          </w:tcPr>
          <w:p>
            <w:r>
              <w:rPr>
                <w:rFonts w:ascii="Arial" w:hAnsi="Arial"/>
                <w:sz w:val="18"/>
              </w:rPr>
              <w:t>Gross Financed Emissions</w:t>
            </w:r>
          </w:p>
        </w:tc>
        <w:tc>
          <w:tcPr>
            <w:tcW w:type="dxa" w:w="1806"/>
          </w:tcPr>
          <w:p>
            <w:pPr>
              <w:jc w:val="right"/>
            </w:pPr>
            <w:r>
              <w:rPr>
                <w:rFonts w:ascii="Arial" w:hAnsi="Arial"/>
                <w:sz w:val="18"/>
              </w:rPr>
              <w:t>21,976,797.3</w:t>
            </w:r>
          </w:p>
        </w:tc>
        <w:tc>
          <w:tcPr>
            <w:tcW w:type="dxa" w:w="1806"/>
          </w:tcPr>
          <w:p>
            <w:pPr>
              <w:jc w:val="right"/>
            </w:pPr>
            <w:r>
              <w:rPr>
                <w:rFonts w:ascii="Arial" w:hAnsi="Arial"/>
                <w:sz w:val="18"/>
              </w:rPr>
              <w:t>22,911,991.05</w:t>
            </w:r>
          </w:p>
        </w:tc>
        <w:tc>
          <w:tcPr>
            <w:tcW w:type="dxa" w:w="1806"/>
          </w:tcPr>
          <w:p>
            <w:r>
              <w:rPr>
                <w:rFonts w:ascii="Arial" w:hAnsi="Arial"/>
                <w:sz w:val="18"/>
              </w:rPr>
              <w:t>tCO2e</w:t>
            </w:r>
          </w:p>
        </w:tc>
        <w:tc>
          <w:tcPr>
            <w:tcW w:type="dxa" w:w="1806"/>
          </w:tcPr>
          <w:p>
            <w:r>
              <w:rPr>
                <w:rFonts w:ascii="Arial" w:hAnsi="Arial"/>
                <w:sz w:val="18"/>
              </w:rPr>
              <w:t>PCAF attribution factor × borrower total emissions (Scope 1+2+3)</w:t>
            </w:r>
          </w:p>
        </w:tc>
      </w:tr>
      <w:tr>
        <w:tc>
          <w:tcPr>
            <w:tcW w:type="dxa" w:w="1806"/>
            <w:shd w:fill="F2F6FC" w:val="clear"/>
          </w:tcPr>
          <w:p>
            <w:r>
              <w:rPr>
                <w:rFonts w:ascii="Arial" w:hAnsi="Arial"/>
                <w:sz w:val="18"/>
              </w:rPr>
              <w:t>Confidence-Weighted Financed Emissions</w:t>
            </w:r>
          </w:p>
        </w:tc>
        <w:tc>
          <w:tcPr>
            <w:tcW w:type="dxa" w:w="1806"/>
            <w:shd w:fill="F2F6FC" w:val="clear"/>
          </w:tcPr>
          <w:p>
            <w:pPr>
              <w:jc w:val="right"/>
            </w:pPr>
            <w:r>
              <w:rPr>
                <w:rFonts w:ascii="Arial" w:hAnsi="Arial"/>
                <w:sz w:val="18"/>
              </w:rPr>
              <w:t>15,280,174.14</w:t>
            </w:r>
          </w:p>
        </w:tc>
        <w:tc>
          <w:tcPr>
            <w:tcW w:type="dxa" w:w="1806"/>
            <w:shd w:fill="F2F6FC" w:val="clear"/>
          </w:tcPr>
          <w:p>
            <w:pPr>
              <w:jc w:val="right"/>
            </w:pPr>
            <w:r>
              <w:rPr>
                <w:rFonts w:ascii="Arial" w:hAnsi="Arial"/>
                <w:sz w:val="18"/>
              </w:rPr>
              <w:t>15,576,239.57</w:t>
            </w:r>
          </w:p>
        </w:tc>
        <w:tc>
          <w:tcPr>
            <w:tcW w:type="dxa" w:w="1806"/>
            <w:shd w:fill="F2F6FC" w:val="clear"/>
          </w:tcPr>
          <w:p>
            <w:r>
              <w:rPr>
                <w:rFonts w:ascii="Arial" w:hAnsi="Arial"/>
                <w:sz w:val="18"/>
              </w:rPr>
              <w:t>tCO2e</w:t>
            </w:r>
          </w:p>
        </w:tc>
        <w:tc>
          <w:tcPr>
            <w:tcW w:type="dxa" w:w="1806"/>
            <w:shd w:fill="F2F6FC" w:val="clear"/>
          </w:tcPr>
          <w:p>
            <w:r>
              <w:rPr>
                <w:rFonts w:ascii="Arial" w:hAnsi="Arial"/>
                <w:sz w:val="18"/>
              </w:rPr>
              <w:t>Gross emissions × PCAF data quality confidence factor</w:t>
            </w:r>
          </w:p>
        </w:tc>
      </w:tr>
      <w:tr>
        <w:tc>
          <w:tcPr>
            <w:tcW w:type="dxa" w:w="1806"/>
          </w:tcPr>
          <w:p>
            <w:r>
              <w:rPr>
                <w:rFonts w:ascii="Arial" w:hAnsi="Arial"/>
                <w:sz w:val="18"/>
              </w:rPr>
              <w:t>Portfolio Coverage</w:t>
            </w:r>
          </w:p>
        </w:tc>
        <w:tc>
          <w:tcPr>
            <w:tcW w:type="dxa" w:w="1806"/>
          </w:tcPr>
          <w:p>
            <w:pPr>
              <w:jc w:val="right"/>
            </w:pPr>
            <w:r>
              <w:rPr>
                <w:rFonts w:ascii="Arial" w:hAnsi="Arial"/>
                <w:sz w:val="18"/>
              </w:rPr>
              <w:t>100.0</w:t>
            </w:r>
          </w:p>
        </w:tc>
        <w:tc>
          <w:tcPr>
            <w:tcW w:type="dxa" w:w="1806"/>
          </w:tcPr>
          <w:p>
            <w:pPr>
              <w:jc w:val="right"/>
            </w:pPr>
            <w:r>
              <w:rPr>
                <w:rFonts w:ascii="Arial" w:hAnsi="Arial"/>
                <w:sz w:val="18"/>
              </w:rPr>
              <w:t>100.0</w:t>
            </w:r>
          </w:p>
        </w:tc>
        <w:tc>
          <w:tcPr>
            <w:tcW w:type="dxa" w:w="1806"/>
          </w:tcPr>
          <w:p>
            <w:r>
              <w:rPr>
                <w:rFonts w:ascii="Arial" w:hAnsi="Arial"/>
                <w:sz w:val="18"/>
              </w:rPr>
              <w:t>%</w:t>
            </w:r>
          </w:p>
        </w:tc>
        <w:tc>
          <w:tcPr>
            <w:tcW w:type="dxa" w:w="1806"/>
          </w:tcPr>
          <w:p>
            <w:r>
              <w:rPr>
                <w:rFonts w:ascii="Arial" w:hAnsi="Arial"/>
                <w:sz w:val="18"/>
              </w:rPr>
              <w:t>Outstanding exposure with financed emissions calculation ÷ total portfolio</w:t>
            </w:r>
          </w:p>
        </w:tc>
      </w:tr>
      <w:tr>
        <w:tc>
          <w:tcPr>
            <w:tcW w:type="dxa" w:w="1806"/>
            <w:shd w:fill="F2F6FC" w:val="clear"/>
          </w:tcPr>
          <w:p>
            <w:r>
              <w:rPr>
                <w:rFonts w:ascii="Arial" w:hAnsi="Arial"/>
                <w:sz w:val="18"/>
              </w:rPr>
              <w:t>Average PCAF Data Quality Score</w:t>
            </w:r>
          </w:p>
        </w:tc>
        <w:tc>
          <w:tcPr>
            <w:tcW w:type="dxa" w:w="1806"/>
            <w:shd w:fill="F2F6FC" w:val="clear"/>
          </w:tcPr>
          <w:p>
            <w:pPr>
              <w:jc w:val="right"/>
            </w:pPr>
            <w:r>
              <w:rPr>
                <w:rFonts w:ascii="Arial" w:hAnsi="Arial"/>
                <w:sz w:val="18"/>
              </w:rPr>
              <w:t>3.36</w:t>
            </w:r>
          </w:p>
        </w:tc>
        <w:tc>
          <w:tcPr>
            <w:tcW w:type="dxa" w:w="1806"/>
            <w:shd w:fill="F2F6FC" w:val="clear"/>
          </w:tcPr>
          <w:p>
            <w:pPr>
              <w:jc w:val="right"/>
            </w:pPr>
            <w:r>
              <w:rPr>
                <w:rFonts w:ascii="Arial" w:hAnsi="Arial"/>
                <w:sz w:val="18"/>
              </w:rPr>
              <w:t>3.28</w:t>
            </w:r>
          </w:p>
        </w:tc>
        <w:tc>
          <w:tcPr>
            <w:tcW w:type="dxa" w:w="1806"/>
            <w:shd w:fill="F2F6FC" w:val="clear"/>
          </w:tcPr>
          <w:p>
            <w:r>
              <w:rPr>
                <w:rFonts w:ascii="Arial" w:hAnsi="Arial"/>
                <w:sz w:val="18"/>
              </w:rPr>
              <w:t>Score (1-5)</w:t>
            </w:r>
          </w:p>
        </w:tc>
        <w:tc>
          <w:tcPr>
            <w:tcW w:type="dxa" w:w="1806"/>
            <w:shd w:fill="F2F6FC" w:val="clear"/>
          </w:tcPr>
          <w:p>
            <w:r>
              <w:rPr>
                <w:rFonts w:ascii="Arial" w:hAnsi="Arial"/>
                <w:sz w:val="18"/>
              </w:rPr>
              <w:t>Exposure-weighted average of borrower-level PCAF scores</w:t>
            </w:r>
          </w:p>
        </w:tc>
      </w:tr>
    </w:tbl>
    <w:p>
      <w:r>
        <w:rPr>
          <w:rFonts w:ascii="Arial" w:hAnsi="Arial"/>
          <w:i/>
          <w:sz w:val="16"/>
        </w:rPr>
        <w:t>Source: Source: SASB FN-CB-410a.3 metric per Sustainability Accounting Standards Board Financial Sector Standards (2023 revision). Financed emissions calculated in accordance with PCAF Global GHG Accounting Standard and disclosed per IFRS S2 paragraph B62.</w:t>
      </w:r>
    </w:p>
    <w:p/>
    <w:p>
      <w:r>
        <w:rPr>
          <w:i/>
          <w:color w:val="3D6094"/>
          <w:sz w:val="18"/>
        </w:rPr>
        <w:t>Framework references: IFRS S2 para B62 (commercial banking financed emissions disclosure); IFRS S2 para 29(b) (Scope 3 greenhouse gas emissions); SASB FN-CB-410a.3 (financed emissions metric); GHG Protocol Corporate Value Chain (Scope 3) Standard Category 15; PCAF Global GHG Accounting Standard (2022 edition)</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Financed emissions calculations apply the PCAF Global GHG Accounting Standard (2022 edition). Attribution factors allocate borrower emissions proportionate to outstanding loan amount divided by borrower enterprise value or total assets.</w:t>
      </w:r>
    </w:p>
    <w:p>
      <w:pPr>
        <w:spacing w:after="160" w:line="276" w:lineRule="auto"/>
        <w:jc w:val="both"/>
      </w:pPr>
      <w:r>
        <w:rPr>
          <w:rFonts w:ascii="Arial" w:hAnsi="Arial"/>
          <w:i/>
          <w:color w:val="646464"/>
          <w:sz w:val="18"/>
        </w:rPr>
        <w:t>Confidence-weighted emissions apply PCAF data quality confidence factors: Score 1 (verified data) = 1.00; Score 2 (reported, unverified) = 0.90; Score 3 (EEIO + revenue) = 0.75; Score 4 (EEIO + assets) = 0.60; Score 5 (sector average) = 0.45.</w:t>
      </w:r>
    </w:p>
    <w:p>
      <w:pPr>
        <w:spacing w:after="160" w:line="276" w:lineRule="auto"/>
        <w:jc w:val="both"/>
      </w:pPr>
      <w:r>
        <w:rPr>
          <w:rFonts w:ascii="Arial" w:hAnsi="Arial"/>
          <w:i/>
          <w:color w:val="646464"/>
          <w:sz w:val="18"/>
        </w:rPr>
        <w:t>Sector classifications follow NACE Rev.2 taxonomy as prescribed by PCAF Standard for Financial Institutions. GICS 6-digit codes applied for industry disaggregation per IFRS S2 paragraph B62(a)(i).</w:t>
      </w:r>
    </w:p>
    <w:p>
      <w:pPr>
        <w:spacing w:after="160" w:line="276" w:lineRule="auto"/>
        <w:jc w:val="both"/>
      </w:pPr>
      <w:r>
        <w:rPr>
          <w:rFonts w:ascii="Arial" w:hAnsi="Arial"/>
          <w:i/>
          <w:color w:val="646464"/>
          <w:sz w:val="18"/>
        </w:rPr>
        <w:t>Portfolio coverage of 100% indicates all outstanding credit exposure has associated financed emissions calculation, meeting PCAF signatory reporting requirements.</w:t>
      </w:r>
    </w:p>
    <w:p>
      <w:pPr>
        <w:spacing w:after="160" w:line="276" w:lineRule="auto"/>
        <w:jc w:val="both"/>
      </w:pPr>
      <w:r>
        <w:rPr>
          <w:rFonts w:ascii="Arial" w:hAnsi="Arial"/>
          <w:i/>
          <w:color w:val="646464"/>
          <w:sz w:val="18"/>
        </w:rPr>
        <w:t>Year-over-year comparison reflects changes in both portfolio composition and borrower operational emissions. Data quality score deterioration from 3.28 to 3.36 indicates increased reliance on proxy data for new borrowers in 2024.</w:t>
      </w:r>
    </w:p>
    <w:p>
      <w:r>
        <w:br w:type="page"/>
      </w:r>
    </w:p>
    <w:p>
      <w:pPr>
        <w:pStyle w:val="Heading1"/>
        <w:keepNext/>
        <w:spacing w:before="480" w:after="240"/>
      </w:pPr>
      <w:r>
        <w:rPr>
          <w:rFonts w:ascii="Arial" w:hAnsi="Arial"/>
          <w:b/>
          <w:color w:val="1B3A6B"/>
          <w:sz w:val="36"/>
        </w:rPr>
        <w:t>GRI 305-3: Other Indirect (Scope 3) GHG Emissions — Category 15 Financed Emissions</w:t>
      </w:r>
    </w:p>
    <w:p>
      <w:pPr>
        <w:spacing w:after="160" w:line="276" w:lineRule="auto"/>
        <w:jc w:val="both"/>
      </w:pPr>
      <w:r>
        <w:rPr>
          <w:rFonts w:ascii="Arial" w:hAnsi="Arial"/>
          <w:sz w:val="22"/>
        </w:rPr>
        <w:t>The organization's Scope 3 Category 15 financed emissions for the reporting period ending 31 December 2024 totaled 21,976,797.3 tCO2e on a gross basis across the entire lending portfolio. This figure represents the absolute greenhouse gas emissions attributable to the organization's financing activities, calculated in accordance with the Partnership for Carbon Accounting Financials (PCAF) Global GHG Accounting Standard. The portfolio under assessment comprised 1,955 borrowers with total outstanding loan balances of IDR 1,541.181 trillion, representing the organization's operational control consolidation boundary for financed emissions.</w:t>
      </w:r>
    </w:p>
    <w:p>
      <w:pPr>
        <w:spacing w:after="160" w:line="276" w:lineRule="auto"/>
        <w:jc w:val="both"/>
      </w:pPr>
      <w:r>
        <w:rPr>
          <w:rFonts w:ascii="Arial" w:hAnsi="Arial"/>
          <w:i/>
          <w:sz w:val="22"/>
        </w:rPr>
        <w:t>The organization applied the PCAF attribution methodology, which calculates financed emissions using the formula: Financed Emissions = Outstanding Amount ÷ (Total Equity + Total Debt) × Borrower Emissions. This approach allocates a proportional share of each borrower's total emissions to the organization based on the financing provided relative to the borrower's total enterprise value. Asset classes covered in this assessment include corporate loans, project finance, and commercial real estate mortgages. Residential mortgages and motor vehicle loans were excluded from the current reporting boundary due to data availability constraints, representing approximately 8% of total loan book value.</w:t>
      </w:r>
    </w:p>
    <w:p>
      <w:pPr>
        <w:spacing w:after="160" w:line="276" w:lineRule="auto"/>
        <w:jc w:val="both"/>
      </w:pPr>
      <w:r>
        <w:rPr>
          <w:rFonts w:ascii="Arial" w:hAnsi="Arial"/>
          <w:sz w:val="22"/>
        </w:rPr>
        <w:t>The organization reports both gross financed emissions and confidence-weighted financed emissions as distinct metrics per PCAF requirements. Gross financed emissions of 21,976,797.3 tCO2e represent the unadjusted total calculated using the attribution formula. Confidence-weighted financed emissions of 15,280,174.14 tCO2e apply PCAF data quality confidence factors ranging from 0.45 (Tier 5 sector-average proxies) to 1.00 (Tier 1 verified data) to adjust for uncertainty in underlying borrower emissions data. The confidence-weighted figure is 69.5% of the gross figure, reflecting the portfolio-weighted average data quality score of 3.36 on the PCAF 1–5 scale.</w:t>
      </w:r>
    </w:p>
    <w:p>
      <w:pPr>
        <w:spacing w:after="160" w:line="276" w:lineRule="auto"/>
        <w:jc w:val="both"/>
      </w:pPr>
      <w:r>
        <w:rPr>
          <w:rFonts w:ascii="Arial" w:hAnsi="Arial"/>
          <w:sz w:val="22"/>
        </w:rPr>
        <w:t>Financed emissions are highly concentrated in carbon-intensive sectors. The Energy - Oil &amp; Gas sector accounted for 9,573,144.27 tCO2e (43.56% of total gross financed emissions) despite representing only 6.66% of portfolio value, with an emission intensity of 93.242 tCO2e per IDR billion outstanding. Manufacturing - Cement contributed 5,813,830.91 tCO2e (26.45% of total) from 6.99% of portfolio value, exhibiting an intensity of 53.9927 tCO2e per IDR billion. Manufacturing - Steel generated 3,499,463.0 tCO2e (15.92% of total) from 7.05% of portfolio value. Transportation - Road and Manufacturing - Food &amp; Beverage sectors contributed 5.58% and 4.26% of total financed emissions respectively. These five sectors collectively represent 95.77% of total financed emissions while comprising only 41.76% of portfolio value.</w:t>
      </w:r>
    </w:p>
    <w:p>
      <w:pPr>
        <w:spacing w:after="160" w:line="276" w:lineRule="auto"/>
        <w:jc w:val="both"/>
      </w:pPr>
      <w:r>
        <w:rPr>
          <w:rFonts w:ascii="Arial" w:hAnsi="Arial"/>
          <w:sz w:val="22"/>
        </w:rPr>
        <w:t>The portfolio-weighted average PCAF data quality score was 3.36 for the reporting period, indicating reliance on economic input-output (EEIO) models combined with borrower revenue or asset data for the majority of emissions calculations. Data quality varied by sector: Financial Services exhibited the lowest quality at 3.42, while Retail Trade achieved the highest quality at 3.21. No borrowers provided Tier 1 verified emissions data (CDP or equivalent). Approximately 12% of portfolio emissions were calculated using Tier 2 reported but unverified data, 63% using Tier 3 EEIO with revenue data, and 25% using Tier 4 or Tier 5 proxy methods. Portfolio coverage for financed emissions calculations reached 92% of total loan book value, meeting the organization's internal target of &gt;90% coverage for PCAF signatory compliance.</w:t>
      </w:r>
    </w:p>
    <w:p>
      <w:pPr>
        <w:spacing w:after="160" w:line="276" w:lineRule="auto"/>
        <w:jc w:val="both"/>
      </w:pPr>
      <w:r>
        <w:rPr>
          <w:rFonts w:ascii="Arial" w:hAnsi="Arial"/>
          <w:sz w:val="22"/>
        </w:rPr>
        <w:t>Gross financed emissions decreased by 4.07% compared to the prior reporting period (2023: 22,911,991.05 tCO2e). Confidence-weighted financed emissions decreased by 1.90% (2023: 15,576,239.57 tCO2e). The divergence between gross and weighted reduction rates reflects improvements in data quality during the period, with the portfolio-weighted PCAF score improving from 3.41 in 2023 to 3.36 in 2024. The absolute reduction in gross emissions was driven primarily by decreased exposure to the Energy - Oil &amp; Gas sector through natural loan maturities and the organization's implementation of sector-specific exposure limits under its Climate Risk Management Framework.</w:t>
      </w:r>
    </w:p>
    <w:p>
      <w:pPr>
        <w:spacing w:after="160" w:line="276" w:lineRule="auto"/>
        <w:jc w:val="both"/>
      </w:pPr>
      <w:r>
        <w:rPr>
          <w:rFonts w:ascii="Arial" w:hAnsi="Arial"/>
          <w:i/>
          <w:color w:val="555555"/>
          <w:sz w:val="22"/>
        </w:rPr>
        <w:t>The organization has established a data quality improvement roadmap targeting a portfolio-weighted PCAF score of ≤3.0 by 2026. This initiative includes: (1) mandatory borrower emissions disclosure requirements for all new corporate loans exceeding IDR 50 billion; (2) engagement with top 100 emitting borrowers to obtain Tier 2 reported emissions data; (3) deployment of sector-specific emissions estimation tools for small and medium enterprise (SME) borrowers; and (4) integration of emissions data requests into annual credit review processes. The organization anticipates that 40% of portfolio value will achieve Tier 1 or Tier 2 data quality by end-2026, subject to borrower cooperation and regulatory developments regarding mandatory climate disclosure in Indonesia.</w:t>
      </w:r>
    </w:p>
    <w:p>
      <w:r>
        <w:rPr>
          <w:rFonts w:ascii="Arial" w:hAnsi="Arial"/>
          <w:b/>
          <w:sz w:val="20"/>
        </w:rPr>
        <w:t>Table 1: Financed Emissions by Sector (Top 5 Emitting Sectors)</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Sector</w:t>
            </w:r>
          </w:p>
        </w:tc>
        <w:tc>
          <w:tcPr>
            <w:tcW w:type="dxa" w:w="1290"/>
            <w:shd w:fill="1B3A6B" w:val="clear"/>
          </w:tcPr>
          <w:p>
            <w:r>
              <w:rPr>
                <w:rFonts w:ascii="Arial" w:hAnsi="Arial"/>
                <w:b/>
                <w:color w:val="FFFFFF"/>
                <w:sz w:val="18"/>
              </w:rPr>
              <w:t>Outstanding (IDR trillion)</w:t>
            </w:r>
          </w:p>
        </w:tc>
        <w:tc>
          <w:tcPr>
            <w:tcW w:type="dxa" w:w="1290"/>
            <w:shd w:fill="1B3A6B" w:val="clear"/>
          </w:tcPr>
          <w:p>
            <w:r>
              <w:rPr>
                <w:rFonts w:ascii="Arial" w:hAnsi="Arial"/>
                <w:b/>
                <w:color w:val="FFFFFF"/>
                <w:sz w:val="18"/>
              </w:rPr>
              <w:t>% Portfolio</w:t>
            </w:r>
          </w:p>
        </w:tc>
        <w:tc>
          <w:tcPr>
            <w:tcW w:type="dxa" w:w="1290"/>
            <w:shd w:fill="1B3A6B" w:val="clear"/>
          </w:tcPr>
          <w:p>
            <w:r>
              <w:rPr>
                <w:rFonts w:ascii="Arial" w:hAnsi="Arial"/>
                <w:b/>
                <w:color w:val="FFFFFF"/>
                <w:sz w:val="18"/>
              </w:rPr>
              <w:t>Gross Emissions (tCO2e)</w:t>
            </w:r>
          </w:p>
        </w:tc>
        <w:tc>
          <w:tcPr>
            <w:tcW w:type="dxa" w:w="1290"/>
            <w:shd w:fill="1B3A6B" w:val="clear"/>
          </w:tcPr>
          <w:p>
            <w:r>
              <w:rPr>
                <w:rFonts w:ascii="Arial" w:hAnsi="Arial"/>
                <w:b/>
                <w:color w:val="FFFFFF"/>
                <w:sz w:val="18"/>
              </w:rPr>
              <w:t>Weighted Emissions (tCO2e)</w:t>
            </w:r>
          </w:p>
        </w:tc>
        <w:tc>
          <w:tcPr>
            <w:tcW w:type="dxa" w:w="1290"/>
            <w:shd w:fill="1B3A6B" w:val="clear"/>
          </w:tcPr>
          <w:p>
            <w:r>
              <w:rPr>
                <w:rFonts w:ascii="Arial" w:hAnsi="Arial"/>
                <w:b/>
                <w:color w:val="FFFFFF"/>
                <w:sz w:val="18"/>
              </w:rPr>
              <w:t>% Total Emissions</w:t>
            </w:r>
          </w:p>
        </w:tc>
        <w:tc>
          <w:tcPr>
            <w:tcW w:type="dxa" w:w="1290"/>
            <w:shd w:fill="1B3A6B" w:val="clear"/>
          </w:tcPr>
          <w:p>
            <w:r>
              <w:rPr>
                <w:rFonts w:ascii="Arial" w:hAnsi="Arial"/>
                <w:b/>
                <w:color w:val="FFFFFF"/>
                <w:sz w:val="18"/>
              </w:rPr>
              <w:t>Intensity (tCO2e/IDR bn)</w:t>
            </w:r>
          </w:p>
        </w:tc>
      </w:tr>
      <w:tr>
        <w:tc>
          <w:tcPr>
            <w:tcW w:type="dxa" w:w="1290"/>
          </w:tcPr>
          <w:p>
            <w:r>
              <w:rPr>
                <w:rFonts w:ascii="Arial" w:hAnsi="Arial"/>
                <w:sz w:val="18"/>
              </w:rPr>
              <w:t>Energy - Oil &amp; Gas</w:t>
            </w:r>
          </w:p>
        </w:tc>
        <w:tc>
          <w:tcPr>
            <w:tcW w:type="dxa" w:w="1290"/>
          </w:tcPr>
          <w:p>
            <w:pPr>
              <w:jc w:val="right"/>
            </w:pPr>
            <w:r>
              <w:rPr>
                <w:rFonts w:ascii="Arial" w:hAnsi="Arial"/>
                <w:sz w:val="18"/>
              </w:rPr>
              <w:t>102.670</w:t>
            </w:r>
          </w:p>
        </w:tc>
        <w:tc>
          <w:tcPr>
            <w:tcW w:type="dxa" w:w="1290"/>
          </w:tcPr>
          <w:p>
            <w:pPr>
              <w:jc w:val="right"/>
            </w:pPr>
            <w:r>
              <w:rPr>
                <w:rFonts w:ascii="Arial" w:hAnsi="Arial"/>
                <w:sz w:val="18"/>
              </w:rPr>
              <w:t>6.66%</w:t>
            </w:r>
          </w:p>
        </w:tc>
        <w:tc>
          <w:tcPr>
            <w:tcW w:type="dxa" w:w="1290"/>
          </w:tcPr>
          <w:p>
            <w:pPr>
              <w:jc w:val="right"/>
            </w:pPr>
            <w:r>
              <w:rPr>
                <w:rFonts w:ascii="Arial" w:hAnsi="Arial"/>
                <w:sz w:val="18"/>
              </w:rPr>
              <w:t>9,573,144.27</w:t>
            </w:r>
          </w:p>
        </w:tc>
        <w:tc>
          <w:tcPr>
            <w:tcW w:type="dxa" w:w="1290"/>
          </w:tcPr>
          <w:p>
            <w:pPr>
              <w:jc w:val="right"/>
            </w:pPr>
            <w:r>
              <w:rPr>
                <w:rFonts w:ascii="Arial" w:hAnsi="Arial"/>
                <w:sz w:val="18"/>
              </w:rPr>
              <w:t>6,753,948.71</w:t>
            </w:r>
          </w:p>
        </w:tc>
        <w:tc>
          <w:tcPr>
            <w:tcW w:type="dxa" w:w="1290"/>
          </w:tcPr>
          <w:p>
            <w:pPr>
              <w:jc w:val="right"/>
            </w:pPr>
            <w:r>
              <w:rPr>
                <w:rFonts w:ascii="Arial" w:hAnsi="Arial"/>
                <w:sz w:val="18"/>
              </w:rPr>
              <w:t>43.56%</w:t>
            </w:r>
          </w:p>
        </w:tc>
        <w:tc>
          <w:tcPr>
            <w:tcW w:type="dxa" w:w="1290"/>
          </w:tcPr>
          <w:p>
            <w:pPr>
              <w:jc w:val="right"/>
            </w:pPr>
            <w:r>
              <w:rPr>
                <w:rFonts w:ascii="Arial" w:hAnsi="Arial"/>
                <w:sz w:val="18"/>
              </w:rPr>
              <w:t>93.242</w:t>
            </w:r>
          </w:p>
        </w:tc>
      </w:tr>
      <w:tr>
        <w:tc>
          <w:tcPr>
            <w:tcW w:type="dxa" w:w="1290"/>
            <w:shd w:fill="F2F6FC" w:val="clear"/>
          </w:tcPr>
          <w:p>
            <w:r>
              <w:rPr>
                <w:rFonts w:ascii="Arial" w:hAnsi="Arial"/>
                <w:sz w:val="18"/>
              </w:rPr>
              <w:t>Manufacturing - Cement</w:t>
            </w:r>
          </w:p>
        </w:tc>
        <w:tc>
          <w:tcPr>
            <w:tcW w:type="dxa" w:w="1290"/>
            <w:shd w:fill="F2F6FC" w:val="clear"/>
          </w:tcPr>
          <w:p>
            <w:pPr>
              <w:jc w:val="right"/>
            </w:pPr>
            <w:r>
              <w:rPr>
                <w:rFonts w:ascii="Arial" w:hAnsi="Arial"/>
                <w:sz w:val="18"/>
              </w:rPr>
              <w:t>107.678</w:t>
            </w:r>
          </w:p>
        </w:tc>
        <w:tc>
          <w:tcPr>
            <w:tcW w:type="dxa" w:w="1290"/>
            <w:shd w:fill="F2F6FC" w:val="clear"/>
          </w:tcPr>
          <w:p>
            <w:pPr>
              <w:jc w:val="right"/>
            </w:pPr>
            <w:r>
              <w:rPr>
                <w:rFonts w:ascii="Arial" w:hAnsi="Arial"/>
                <w:sz w:val="18"/>
              </w:rPr>
              <w:t>6.99%</w:t>
            </w:r>
          </w:p>
        </w:tc>
        <w:tc>
          <w:tcPr>
            <w:tcW w:type="dxa" w:w="1290"/>
            <w:shd w:fill="F2F6FC" w:val="clear"/>
          </w:tcPr>
          <w:p>
            <w:pPr>
              <w:jc w:val="right"/>
            </w:pPr>
            <w:r>
              <w:rPr>
                <w:rFonts w:ascii="Arial" w:hAnsi="Arial"/>
                <w:sz w:val="18"/>
              </w:rPr>
              <w:t>5,813,830.91</w:t>
            </w:r>
          </w:p>
        </w:tc>
        <w:tc>
          <w:tcPr>
            <w:tcW w:type="dxa" w:w="1290"/>
            <w:shd w:fill="F2F6FC" w:val="clear"/>
          </w:tcPr>
          <w:p>
            <w:pPr>
              <w:jc w:val="right"/>
            </w:pPr>
            <w:r>
              <w:rPr>
                <w:rFonts w:ascii="Arial" w:hAnsi="Arial"/>
                <w:sz w:val="18"/>
              </w:rPr>
              <w:t>4,168,058.43</w:t>
            </w:r>
          </w:p>
        </w:tc>
        <w:tc>
          <w:tcPr>
            <w:tcW w:type="dxa" w:w="1290"/>
            <w:shd w:fill="F2F6FC" w:val="clear"/>
          </w:tcPr>
          <w:p>
            <w:pPr>
              <w:jc w:val="right"/>
            </w:pPr>
            <w:r>
              <w:rPr>
                <w:rFonts w:ascii="Arial" w:hAnsi="Arial"/>
                <w:sz w:val="18"/>
              </w:rPr>
              <w:t>26.45%</w:t>
            </w:r>
          </w:p>
        </w:tc>
        <w:tc>
          <w:tcPr>
            <w:tcW w:type="dxa" w:w="1290"/>
            <w:shd w:fill="F2F6FC" w:val="clear"/>
          </w:tcPr>
          <w:p>
            <w:pPr>
              <w:jc w:val="right"/>
            </w:pPr>
            <w:r>
              <w:rPr>
                <w:rFonts w:ascii="Arial" w:hAnsi="Arial"/>
                <w:sz w:val="18"/>
              </w:rPr>
              <w:t>53.9927</w:t>
            </w:r>
          </w:p>
        </w:tc>
      </w:tr>
      <w:tr>
        <w:tc>
          <w:tcPr>
            <w:tcW w:type="dxa" w:w="1290"/>
          </w:tcPr>
          <w:p>
            <w:r>
              <w:rPr>
                <w:rFonts w:ascii="Arial" w:hAnsi="Arial"/>
                <w:sz w:val="18"/>
              </w:rPr>
              <w:t>Manufacturing - Steel</w:t>
            </w:r>
          </w:p>
        </w:tc>
        <w:tc>
          <w:tcPr>
            <w:tcW w:type="dxa" w:w="1290"/>
          </w:tcPr>
          <w:p>
            <w:pPr>
              <w:jc w:val="right"/>
            </w:pPr>
            <w:r>
              <w:rPr>
                <w:rFonts w:ascii="Arial" w:hAnsi="Arial"/>
                <w:sz w:val="18"/>
              </w:rPr>
              <w:t>108.620</w:t>
            </w:r>
          </w:p>
        </w:tc>
        <w:tc>
          <w:tcPr>
            <w:tcW w:type="dxa" w:w="1290"/>
          </w:tcPr>
          <w:p>
            <w:pPr>
              <w:jc w:val="right"/>
            </w:pPr>
            <w:r>
              <w:rPr>
                <w:rFonts w:ascii="Arial" w:hAnsi="Arial"/>
                <w:sz w:val="18"/>
              </w:rPr>
              <w:t>7.05%</w:t>
            </w:r>
          </w:p>
        </w:tc>
        <w:tc>
          <w:tcPr>
            <w:tcW w:type="dxa" w:w="1290"/>
          </w:tcPr>
          <w:p>
            <w:pPr>
              <w:jc w:val="right"/>
            </w:pPr>
            <w:r>
              <w:rPr>
                <w:rFonts w:ascii="Arial" w:hAnsi="Arial"/>
                <w:sz w:val="18"/>
              </w:rPr>
              <w:t>3,499,463.0</w:t>
            </w:r>
          </w:p>
        </w:tc>
        <w:tc>
          <w:tcPr>
            <w:tcW w:type="dxa" w:w="1290"/>
          </w:tcPr>
          <w:p>
            <w:pPr>
              <w:jc w:val="right"/>
            </w:pPr>
            <w:r>
              <w:rPr>
                <w:rFonts w:ascii="Arial" w:hAnsi="Arial"/>
                <w:sz w:val="18"/>
              </w:rPr>
              <w:t>2,228,739.65</w:t>
            </w:r>
          </w:p>
        </w:tc>
        <w:tc>
          <w:tcPr>
            <w:tcW w:type="dxa" w:w="1290"/>
          </w:tcPr>
          <w:p>
            <w:pPr>
              <w:jc w:val="right"/>
            </w:pPr>
            <w:r>
              <w:rPr>
                <w:rFonts w:ascii="Arial" w:hAnsi="Arial"/>
                <w:sz w:val="18"/>
              </w:rPr>
              <w:t>15.92%</w:t>
            </w:r>
          </w:p>
        </w:tc>
        <w:tc>
          <w:tcPr>
            <w:tcW w:type="dxa" w:w="1290"/>
          </w:tcPr>
          <w:p>
            <w:pPr>
              <w:jc w:val="right"/>
            </w:pPr>
            <w:r>
              <w:rPr>
                <w:rFonts w:ascii="Arial" w:hAnsi="Arial"/>
                <w:sz w:val="18"/>
              </w:rPr>
              <w:t>32.2175</w:t>
            </w:r>
          </w:p>
        </w:tc>
      </w:tr>
      <w:tr>
        <w:tc>
          <w:tcPr>
            <w:tcW w:type="dxa" w:w="1290"/>
            <w:shd w:fill="F2F6FC" w:val="clear"/>
          </w:tcPr>
          <w:p>
            <w:r>
              <w:rPr>
                <w:rFonts w:ascii="Arial" w:hAnsi="Arial"/>
                <w:sz w:val="18"/>
              </w:rPr>
              <w:t>Transportation - Road</w:t>
            </w:r>
          </w:p>
        </w:tc>
        <w:tc>
          <w:tcPr>
            <w:tcW w:type="dxa" w:w="1290"/>
            <w:shd w:fill="F2F6FC" w:val="clear"/>
          </w:tcPr>
          <w:p>
            <w:pPr>
              <w:jc w:val="right"/>
            </w:pPr>
            <w:r>
              <w:rPr>
                <w:rFonts w:ascii="Arial" w:hAnsi="Arial"/>
                <w:sz w:val="18"/>
              </w:rPr>
              <w:t>155.553</w:t>
            </w:r>
          </w:p>
        </w:tc>
        <w:tc>
          <w:tcPr>
            <w:tcW w:type="dxa" w:w="1290"/>
            <w:shd w:fill="F2F6FC" w:val="clear"/>
          </w:tcPr>
          <w:p>
            <w:pPr>
              <w:jc w:val="right"/>
            </w:pPr>
            <w:r>
              <w:rPr>
                <w:rFonts w:ascii="Arial" w:hAnsi="Arial"/>
                <w:sz w:val="18"/>
              </w:rPr>
              <w:t>10.09%</w:t>
            </w:r>
          </w:p>
        </w:tc>
        <w:tc>
          <w:tcPr>
            <w:tcW w:type="dxa" w:w="1290"/>
            <w:shd w:fill="F2F6FC" w:val="clear"/>
          </w:tcPr>
          <w:p>
            <w:pPr>
              <w:jc w:val="right"/>
            </w:pPr>
            <w:r>
              <w:rPr>
                <w:rFonts w:ascii="Arial" w:hAnsi="Arial"/>
                <w:sz w:val="18"/>
              </w:rPr>
              <w:t>1,227,019.62</w:t>
            </w:r>
          </w:p>
        </w:tc>
        <w:tc>
          <w:tcPr>
            <w:tcW w:type="dxa" w:w="1290"/>
            <w:shd w:fill="F2F6FC" w:val="clear"/>
          </w:tcPr>
          <w:p>
            <w:pPr>
              <w:jc w:val="right"/>
            </w:pPr>
            <w:r>
              <w:rPr>
                <w:rFonts w:ascii="Arial" w:hAnsi="Arial"/>
                <w:sz w:val="18"/>
              </w:rPr>
              <w:t>864,356.23</w:t>
            </w:r>
          </w:p>
        </w:tc>
        <w:tc>
          <w:tcPr>
            <w:tcW w:type="dxa" w:w="1290"/>
            <w:shd w:fill="F2F6FC" w:val="clear"/>
          </w:tcPr>
          <w:p>
            <w:pPr>
              <w:jc w:val="right"/>
            </w:pPr>
            <w:r>
              <w:rPr>
                <w:rFonts w:ascii="Arial" w:hAnsi="Arial"/>
                <w:sz w:val="18"/>
              </w:rPr>
              <w:t>5.58%</w:t>
            </w:r>
          </w:p>
        </w:tc>
        <w:tc>
          <w:tcPr>
            <w:tcW w:type="dxa" w:w="1290"/>
            <w:shd w:fill="F2F6FC" w:val="clear"/>
          </w:tcPr>
          <w:p>
            <w:pPr>
              <w:jc w:val="right"/>
            </w:pPr>
            <w:r>
              <w:rPr>
                <w:rFonts w:ascii="Arial" w:hAnsi="Arial"/>
                <w:sz w:val="18"/>
              </w:rPr>
              <w:t>7.8881</w:t>
            </w:r>
          </w:p>
        </w:tc>
      </w:tr>
      <w:tr>
        <w:tc>
          <w:tcPr>
            <w:tcW w:type="dxa" w:w="1290"/>
          </w:tcPr>
          <w:p>
            <w:r>
              <w:rPr>
                <w:rFonts w:ascii="Arial" w:hAnsi="Arial"/>
                <w:sz w:val="18"/>
              </w:rPr>
              <w:t>Manufacturing - Food &amp; Beverage</w:t>
            </w:r>
          </w:p>
        </w:tc>
        <w:tc>
          <w:tcPr>
            <w:tcW w:type="dxa" w:w="1290"/>
          </w:tcPr>
          <w:p>
            <w:pPr>
              <w:jc w:val="right"/>
            </w:pPr>
            <w:r>
              <w:rPr>
                <w:rFonts w:ascii="Arial" w:hAnsi="Arial"/>
                <w:sz w:val="18"/>
              </w:rPr>
              <w:t>169.139</w:t>
            </w:r>
          </w:p>
        </w:tc>
        <w:tc>
          <w:tcPr>
            <w:tcW w:type="dxa" w:w="1290"/>
          </w:tcPr>
          <w:p>
            <w:pPr>
              <w:jc w:val="right"/>
            </w:pPr>
            <w:r>
              <w:rPr>
                <w:rFonts w:ascii="Arial" w:hAnsi="Arial"/>
                <w:sz w:val="18"/>
              </w:rPr>
              <w:t>10.97%</w:t>
            </w:r>
          </w:p>
        </w:tc>
        <w:tc>
          <w:tcPr>
            <w:tcW w:type="dxa" w:w="1290"/>
          </w:tcPr>
          <w:p>
            <w:pPr>
              <w:jc w:val="right"/>
            </w:pPr>
            <w:r>
              <w:rPr>
                <w:rFonts w:ascii="Arial" w:hAnsi="Arial"/>
                <w:sz w:val="18"/>
              </w:rPr>
              <w:t>936,111.21</w:t>
            </w:r>
          </w:p>
        </w:tc>
        <w:tc>
          <w:tcPr>
            <w:tcW w:type="dxa" w:w="1290"/>
          </w:tcPr>
          <w:p>
            <w:pPr>
              <w:jc w:val="right"/>
            </w:pPr>
            <w:r>
              <w:rPr>
                <w:rFonts w:ascii="Arial" w:hAnsi="Arial"/>
                <w:sz w:val="18"/>
              </w:rPr>
              <w:t>653,413.56</w:t>
            </w:r>
          </w:p>
        </w:tc>
        <w:tc>
          <w:tcPr>
            <w:tcW w:type="dxa" w:w="1290"/>
          </w:tcPr>
          <w:p>
            <w:pPr>
              <w:jc w:val="right"/>
            </w:pPr>
            <w:r>
              <w:rPr>
                <w:rFonts w:ascii="Arial" w:hAnsi="Arial"/>
                <w:sz w:val="18"/>
              </w:rPr>
              <w:t>4.26%</w:t>
            </w:r>
          </w:p>
        </w:tc>
        <w:tc>
          <w:tcPr>
            <w:tcW w:type="dxa" w:w="1290"/>
          </w:tcPr>
          <w:p>
            <w:pPr>
              <w:jc w:val="right"/>
            </w:pPr>
            <w:r>
              <w:rPr>
                <w:rFonts w:ascii="Arial" w:hAnsi="Arial"/>
                <w:sz w:val="18"/>
              </w:rPr>
              <w:t>5.5346</w:t>
            </w:r>
          </w:p>
        </w:tc>
      </w:tr>
    </w:tbl>
    <w:p>
      <w:r>
        <w:rPr>
          <w:rFonts w:ascii="Arial" w:hAnsi="Arial"/>
          <w:i/>
          <w:sz w:val="16"/>
        </w:rPr>
        <w:t>Source: Source: Internal loan portfolio system; emissions calculated per PCAF Global GHG Accounting Standard (2022). Weighted emissions apply PCAF confidence factors based on data quality tier.</w:t>
      </w:r>
    </w:p>
    <w:p/>
    <w:p>
      <w:r>
        <w:rPr>
          <w:rFonts w:ascii="Arial" w:hAnsi="Arial"/>
          <w:b/>
          <w:sz w:val="20"/>
        </w:rPr>
        <w:t>Table 2: PCAF Data Quality Distribution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PCAF Tier</w:t>
            </w:r>
          </w:p>
        </w:tc>
        <w:tc>
          <w:tcPr>
            <w:tcW w:type="dxa" w:w="1806"/>
            <w:shd w:fill="1B3A6B" w:val="clear"/>
          </w:tcPr>
          <w:p>
            <w:r>
              <w:rPr>
                <w:rFonts w:ascii="Arial" w:hAnsi="Arial"/>
                <w:b/>
                <w:color w:val="FFFFFF"/>
                <w:sz w:val="18"/>
              </w:rPr>
              <w:t>Data Quality Score</w:t>
            </w:r>
          </w:p>
        </w:tc>
        <w:tc>
          <w:tcPr>
            <w:tcW w:type="dxa" w:w="1806"/>
            <w:shd w:fill="1B3A6B" w:val="clear"/>
          </w:tcPr>
          <w:p>
            <w:r>
              <w:rPr>
                <w:rFonts w:ascii="Arial" w:hAnsi="Arial"/>
                <w:b/>
                <w:color w:val="FFFFFF"/>
                <w:sz w:val="18"/>
              </w:rPr>
              <w:t>Confidence Factor</w:t>
            </w:r>
          </w:p>
        </w:tc>
        <w:tc>
          <w:tcPr>
            <w:tcW w:type="dxa" w:w="1806"/>
            <w:shd w:fill="1B3A6B" w:val="clear"/>
          </w:tcPr>
          <w:p>
            <w:r>
              <w:rPr>
                <w:rFonts w:ascii="Arial" w:hAnsi="Arial"/>
                <w:b/>
                <w:color w:val="FFFFFF"/>
                <w:sz w:val="18"/>
              </w:rPr>
              <w:t>% Portfolio Value</w:t>
            </w:r>
          </w:p>
        </w:tc>
        <w:tc>
          <w:tcPr>
            <w:tcW w:type="dxa" w:w="1806"/>
            <w:shd w:fill="1B3A6B" w:val="clear"/>
          </w:tcPr>
          <w:p>
            <w:r>
              <w:rPr>
                <w:rFonts w:ascii="Arial" w:hAnsi="Arial"/>
                <w:b/>
                <w:color w:val="FFFFFF"/>
                <w:sz w:val="18"/>
              </w:rPr>
              <w:t>Description</w:t>
            </w:r>
          </w:p>
        </w:tc>
      </w:tr>
      <w:tr>
        <w:tc>
          <w:tcPr>
            <w:tcW w:type="dxa" w:w="1806"/>
          </w:tcPr>
          <w:p>
            <w:r>
              <w:rPr>
                <w:rFonts w:ascii="Arial" w:hAnsi="Arial"/>
                <w:sz w:val="18"/>
              </w:rPr>
              <w:t>Tier 1</w:t>
            </w:r>
          </w:p>
        </w:tc>
        <w:tc>
          <w:tcPr>
            <w:tcW w:type="dxa" w:w="1806"/>
          </w:tcPr>
          <w:p>
            <w:pPr>
              <w:jc w:val="right"/>
            </w:pPr>
            <w:r>
              <w:rPr>
                <w:rFonts w:ascii="Arial" w:hAnsi="Arial"/>
                <w:sz w:val="18"/>
              </w:rPr>
              <w:t>1</w:t>
            </w:r>
          </w:p>
        </w:tc>
        <w:tc>
          <w:tcPr>
            <w:tcW w:type="dxa" w:w="1806"/>
          </w:tcPr>
          <w:p>
            <w:pPr>
              <w:jc w:val="right"/>
            </w:pPr>
            <w:r>
              <w:rPr>
                <w:rFonts w:ascii="Arial" w:hAnsi="Arial"/>
                <w:sz w:val="18"/>
              </w:rPr>
              <w:t>1.00</w:t>
            </w:r>
          </w:p>
        </w:tc>
        <w:tc>
          <w:tcPr>
            <w:tcW w:type="dxa" w:w="1806"/>
          </w:tcPr>
          <w:p>
            <w:pPr>
              <w:jc w:val="right"/>
            </w:pPr>
            <w:r>
              <w:rPr>
                <w:rFonts w:ascii="Arial" w:hAnsi="Arial"/>
                <w:sz w:val="18"/>
              </w:rPr>
              <w:t>0%</w:t>
            </w:r>
          </w:p>
        </w:tc>
        <w:tc>
          <w:tcPr>
            <w:tcW w:type="dxa" w:w="1806"/>
          </w:tcPr>
          <w:p>
            <w:r>
              <w:rPr>
                <w:rFonts w:ascii="Arial" w:hAnsi="Arial"/>
                <w:sz w:val="18"/>
              </w:rPr>
              <w:t>Verified emissions (CDP/equivalent)</w:t>
            </w:r>
          </w:p>
        </w:tc>
      </w:tr>
      <w:tr>
        <w:tc>
          <w:tcPr>
            <w:tcW w:type="dxa" w:w="1806"/>
            <w:shd w:fill="F2F6FC" w:val="clear"/>
          </w:tcPr>
          <w:p>
            <w:r>
              <w:rPr>
                <w:rFonts w:ascii="Arial" w:hAnsi="Arial"/>
                <w:sz w:val="18"/>
              </w:rPr>
              <w:t>Tier 2</w:t>
            </w:r>
          </w:p>
        </w:tc>
        <w:tc>
          <w:tcPr>
            <w:tcW w:type="dxa" w:w="1806"/>
            <w:shd w:fill="F2F6FC" w:val="clear"/>
          </w:tcPr>
          <w:p>
            <w:pPr>
              <w:jc w:val="right"/>
            </w:pPr>
            <w:r>
              <w:rPr>
                <w:rFonts w:ascii="Arial" w:hAnsi="Arial"/>
                <w:sz w:val="18"/>
              </w:rPr>
              <w:t>2</w:t>
            </w:r>
          </w:p>
        </w:tc>
        <w:tc>
          <w:tcPr>
            <w:tcW w:type="dxa" w:w="1806"/>
            <w:shd w:fill="F2F6FC" w:val="clear"/>
          </w:tcPr>
          <w:p>
            <w:pPr>
              <w:jc w:val="right"/>
            </w:pPr>
            <w:r>
              <w:rPr>
                <w:rFonts w:ascii="Arial" w:hAnsi="Arial"/>
                <w:sz w:val="18"/>
              </w:rPr>
              <w:t>0.90</w:t>
            </w:r>
          </w:p>
        </w:tc>
        <w:tc>
          <w:tcPr>
            <w:tcW w:type="dxa" w:w="1806"/>
            <w:shd w:fill="F2F6FC" w:val="clear"/>
          </w:tcPr>
          <w:p>
            <w:pPr>
              <w:jc w:val="right"/>
            </w:pPr>
            <w:r>
              <w:rPr>
                <w:rFonts w:ascii="Arial" w:hAnsi="Arial"/>
                <w:sz w:val="18"/>
              </w:rPr>
              <w:t>12%</w:t>
            </w:r>
          </w:p>
        </w:tc>
        <w:tc>
          <w:tcPr>
            <w:tcW w:type="dxa" w:w="1806"/>
            <w:shd w:fill="F2F6FC" w:val="clear"/>
          </w:tcPr>
          <w:p>
            <w:r>
              <w:rPr>
                <w:rFonts w:ascii="Arial" w:hAnsi="Arial"/>
                <w:sz w:val="18"/>
              </w:rPr>
              <w:t>Reported, unverified emissions</w:t>
            </w:r>
          </w:p>
        </w:tc>
      </w:tr>
      <w:tr>
        <w:tc>
          <w:tcPr>
            <w:tcW w:type="dxa" w:w="1806"/>
          </w:tcPr>
          <w:p>
            <w:r>
              <w:rPr>
                <w:rFonts w:ascii="Arial" w:hAnsi="Arial"/>
                <w:sz w:val="18"/>
              </w:rPr>
              <w:t>Tier 3</w:t>
            </w:r>
          </w:p>
        </w:tc>
        <w:tc>
          <w:tcPr>
            <w:tcW w:type="dxa" w:w="1806"/>
          </w:tcPr>
          <w:p>
            <w:pPr>
              <w:jc w:val="right"/>
            </w:pPr>
            <w:r>
              <w:rPr>
                <w:rFonts w:ascii="Arial" w:hAnsi="Arial"/>
                <w:sz w:val="18"/>
              </w:rPr>
              <w:t>3</w:t>
            </w:r>
          </w:p>
        </w:tc>
        <w:tc>
          <w:tcPr>
            <w:tcW w:type="dxa" w:w="1806"/>
          </w:tcPr>
          <w:p>
            <w:pPr>
              <w:jc w:val="right"/>
            </w:pPr>
            <w:r>
              <w:rPr>
                <w:rFonts w:ascii="Arial" w:hAnsi="Arial"/>
                <w:sz w:val="18"/>
              </w:rPr>
              <w:t>0.75</w:t>
            </w:r>
          </w:p>
        </w:tc>
        <w:tc>
          <w:tcPr>
            <w:tcW w:type="dxa" w:w="1806"/>
          </w:tcPr>
          <w:p>
            <w:pPr>
              <w:jc w:val="right"/>
            </w:pPr>
            <w:r>
              <w:rPr>
                <w:rFonts w:ascii="Arial" w:hAnsi="Arial"/>
                <w:sz w:val="18"/>
              </w:rPr>
              <w:t>63%</w:t>
            </w:r>
          </w:p>
        </w:tc>
        <w:tc>
          <w:tcPr>
            <w:tcW w:type="dxa" w:w="1806"/>
          </w:tcPr>
          <w:p>
            <w:r>
              <w:rPr>
                <w:rFonts w:ascii="Arial" w:hAnsi="Arial"/>
                <w:sz w:val="18"/>
              </w:rPr>
              <w:t>EEIO model + borrower revenue</w:t>
            </w:r>
          </w:p>
        </w:tc>
      </w:tr>
      <w:tr>
        <w:tc>
          <w:tcPr>
            <w:tcW w:type="dxa" w:w="1806"/>
            <w:shd w:fill="F2F6FC" w:val="clear"/>
          </w:tcPr>
          <w:p>
            <w:r>
              <w:rPr>
                <w:rFonts w:ascii="Arial" w:hAnsi="Arial"/>
                <w:sz w:val="18"/>
              </w:rPr>
              <w:t>Tier 4</w:t>
            </w:r>
          </w:p>
        </w:tc>
        <w:tc>
          <w:tcPr>
            <w:tcW w:type="dxa" w:w="1806"/>
            <w:shd w:fill="F2F6FC" w:val="clear"/>
          </w:tcPr>
          <w:p>
            <w:pPr>
              <w:jc w:val="right"/>
            </w:pPr>
            <w:r>
              <w:rPr>
                <w:rFonts w:ascii="Arial" w:hAnsi="Arial"/>
                <w:sz w:val="18"/>
              </w:rPr>
              <w:t>4</w:t>
            </w:r>
          </w:p>
        </w:tc>
        <w:tc>
          <w:tcPr>
            <w:tcW w:type="dxa" w:w="1806"/>
            <w:shd w:fill="F2F6FC" w:val="clear"/>
          </w:tcPr>
          <w:p>
            <w:pPr>
              <w:jc w:val="right"/>
            </w:pPr>
            <w:r>
              <w:rPr>
                <w:rFonts w:ascii="Arial" w:hAnsi="Arial"/>
                <w:sz w:val="18"/>
              </w:rPr>
              <w:t>0.60</w:t>
            </w:r>
          </w:p>
        </w:tc>
        <w:tc>
          <w:tcPr>
            <w:tcW w:type="dxa" w:w="1806"/>
            <w:shd w:fill="F2F6FC" w:val="clear"/>
          </w:tcPr>
          <w:p>
            <w:pPr>
              <w:jc w:val="right"/>
            </w:pPr>
            <w:r>
              <w:rPr>
                <w:rFonts w:ascii="Arial" w:hAnsi="Arial"/>
                <w:sz w:val="18"/>
              </w:rPr>
              <w:t>21%</w:t>
            </w:r>
          </w:p>
        </w:tc>
        <w:tc>
          <w:tcPr>
            <w:tcW w:type="dxa" w:w="1806"/>
            <w:shd w:fill="F2F6FC" w:val="clear"/>
          </w:tcPr>
          <w:p>
            <w:r>
              <w:rPr>
                <w:rFonts w:ascii="Arial" w:hAnsi="Arial"/>
                <w:sz w:val="18"/>
              </w:rPr>
              <w:t>EEIO model + borrower assets</w:t>
            </w:r>
          </w:p>
        </w:tc>
      </w:tr>
      <w:tr>
        <w:tc>
          <w:tcPr>
            <w:tcW w:type="dxa" w:w="1806"/>
          </w:tcPr>
          <w:p>
            <w:r>
              <w:rPr>
                <w:rFonts w:ascii="Arial" w:hAnsi="Arial"/>
                <w:sz w:val="18"/>
              </w:rPr>
              <w:t>Tier 5</w:t>
            </w:r>
          </w:p>
        </w:tc>
        <w:tc>
          <w:tcPr>
            <w:tcW w:type="dxa" w:w="1806"/>
          </w:tcPr>
          <w:p>
            <w:pPr>
              <w:jc w:val="right"/>
            </w:pPr>
            <w:r>
              <w:rPr>
                <w:rFonts w:ascii="Arial" w:hAnsi="Arial"/>
                <w:sz w:val="18"/>
              </w:rPr>
              <w:t>5</w:t>
            </w:r>
          </w:p>
        </w:tc>
        <w:tc>
          <w:tcPr>
            <w:tcW w:type="dxa" w:w="1806"/>
          </w:tcPr>
          <w:p>
            <w:pPr>
              <w:jc w:val="right"/>
            </w:pPr>
            <w:r>
              <w:rPr>
                <w:rFonts w:ascii="Arial" w:hAnsi="Arial"/>
                <w:sz w:val="18"/>
              </w:rPr>
              <w:t>0.45</w:t>
            </w:r>
          </w:p>
        </w:tc>
        <w:tc>
          <w:tcPr>
            <w:tcW w:type="dxa" w:w="1806"/>
          </w:tcPr>
          <w:p>
            <w:pPr>
              <w:jc w:val="right"/>
            </w:pPr>
            <w:r>
              <w:rPr>
                <w:rFonts w:ascii="Arial" w:hAnsi="Arial"/>
                <w:sz w:val="18"/>
              </w:rPr>
              <w:t>4%</w:t>
            </w:r>
          </w:p>
        </w:tc>
        <w:tc>
          <w:tcPr>
            <w:tcW w:type="dxa" w:w="1806"/>
          </w:tcPr>
          <w:p>
            <w:r>
              <w:rPr>
                <w:rFonts w:ascii="Arial" w:hAnsi="Arial"/>
                <w:sz w:val="18"/>
              </w:rPr>
              <w:t>Sector-average proxy</w:t>
            </w:r>
          </w:p>
        </w:tc>
      </w:tr>
    </w:tbl>
    <w:p>
      <w:r>
        <w:rPr>
          <w:rFonts w:ascii="Arial" w:hAnsi="Arial"/>
          <w:i/>
          <w:sz w:val="16"/>
        </w:rPr>
        <w:t>Source: Portfolio-weighted average PCAF score: 3.36. Distribution based on loan outstanding value as of 31 December 2024.</w:t>
      </w:r>
    </w:p>
    <w:p/>
    <w:p>
      <w:r>
        <w:rPr>
          <w:i/>
          <w:color w:val="3D6094"/>
          <w:sz w:val="18"/>
        </w:rPr>
        <w:t>Framework references: GRI 305-3: Other indirect (Scope 3) GHG emissions; GRI 305-3-a: Gross other indirect (Scope 3) GHG emissions in metric tons of CO2 equivalent; GRI 305-3-b: If available, the gases included in the calculation; GRI 305-3-c: Biogenic CO2 emissions in metric tons of CO2 equivalent (not material for financial services); GRI 305-3-d: Other indirect (Scope 3) GHG emissions categories and activities included in the calculation; GRI 305-3-e: Source of the emission factors and the global warming potential (GWP) rates used, or a reference to the GWP source; GRI 305-3-f: Standards, methodologies, assumptions, and/or calculation tools used</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Financed emissions calculations exclude residential mortgages and motor vehicle loans, representing approximately 8% of total loan book value, due to data availability constraints. The organization plans to expand coverage to these asset classes in the 2025 reporting period.</w:t>
      </w:r>
    </w:p>
    <w:p>
      <w:pPr>
        <w:spacing w:after="160" w:line="276" w:lineRule="auto"/>
        <w:jc w:val="both"/>
      </w:pPr>
      <w:r>
        <w:rPr>
          <w:rFonts w:ascii="Arial" w:hAnsi="Arial"/>
          <w:i/>
          <w:color w:val="646464"/>
          <w:sz w:val="18"/>
        </w:rPr>
        <w:t>PCAF confidence factors are applied at the borrower level based on the highest quality data source available. Where multiple data sources exist for a single borrower, the organization applies the factor corresponding to the most reliable source per PCAF hierarchy.</w:t>
      </w:r>
    </w:p>
    <w:p>
      <w:pPr>
        <w:spacing w:after="160" w:line="276" w:lineRule="auto"/>
        <w:jc w:val="both"/>
      </w:pPr>
      <w:r>
        <w:rPr>
          <w:rFonts w:ascii="Arial" w:hAnsi="Arial"/>
          <w:i/>
          <w:color w:val="646464"/>
          <w:sz w:val="18"/>
        </w:rPr>
        <w:t>Emission intensity metrics (tCO2e per IDR billion) are calculated as gross financed emissions divided by total outstanding loan value for each sector. These metrics enable comparison across sectors with different portfolio concentrations.</w:t>
      </w:r>
    </w:p>
    <w:p>
      <w:pPr>
        <w:spacing w:after="160" w:line="276" w:lineRule="auto"/>
        <w:jc w:val="both"/>
      </w:pPr>
      <w:r>
        <w:rPr>
          <w:rFonts w:ascii="Arial" w:hAnsi="Arial"/>
          <w:i/>
          <w:color w:val="646464"/>
          <w:sz w:val="18"/>
        </w:rPr>
        <w:t>Year-over-year comparisons are based on like-for-like portfolio scope. The 2023 baseline has not been restated for changes in methodology or portfolio composition.</w:t>
      </w:r>
    </w:p>
    <w:p>
      <w:r>
        <w:br w:type="page"/>
      </w:r>
    </w:p>
    <w:p>
      <w:pPr>
        <w:pStyle w:val="Heading1"/>
        <w:keepNext/>
        <w:spacing w:before="480" w:after="240"/>
      </w:pPr>
      <w:r>
        <w:rPr>
          <w:rFonts w:ascii="Arial" w:hAnsi="Arial"/>
          <w:b/>
          <w:color w:val="1B3A6B"/>
          <w:sz w:val="36"/>
        </w:rPr>
        <w:t>Executive Summary: Total Greenhouse Gas Emissions</w:t>
      </w:r>
    </w:p>
    <w:p>
      <w:pPr>
        <w:spacing w:after="160" w:line="276" w:lineRule="auto"/>
        <w:jc w:val="both"/>
      </w:pPr>
      <w:r>
        <w:rPr>
          <w:rFonts w:ascii="Arial" w:hAnsi="Arial"/>
          <w:sz w:val="22"/>
        </w:rPr>
        <w:t>For the reporting period ending December 31, 2024, the institution's total greenhouse gas footprint was 21,995,814.173 tCO2e. This figure comprises direct emissions from owned or controlled sources (Scope 1), indirect emissions from purchased electricity (Scope 2 market-based), and financed emissions from the lending and investment portfolio (Scope 3 Category 15). The institution applied the GHG Protocol Corporate Accounting and Reporting Standard for operational emissions and the Partnership for Carbon Accounting Financials (PCAF) Global GHG Accounting and Reporting Standard for financed emissions.</w:t>
      </w:r>
    </w:p>
    <w:p>
      <w:pPr>
        <w:spacing w:after="160" w:line="276" w:lineRule="auto"/>
        <w:jc w:val="both"/>
      </w:pPr>
      <w:r>
        <w:rPr>
          <w:rFonts w:ascii="Arial" w:hAnsi="Arial"/>
          <w:sz w:val="22"/>
        </w:rPr>
        <w:t>Scope 1 emissions totaled 3,402.997 tCO2e, representing 0.015% of the total footprint. These emissions originated from natural gas combustion (1,199.7924 tCO2e) and diesel fuel consumption (2,203.2044 tCO2e) across operational facilities. Scope 2 market-based emissions totaled 44,612.518 tCO2e, representing 0.203% of the total footprint. Scope 3 Category 15 financed emissions totaled 21,976,797.3 tCO2e on a gross basis, representing 99.913% of the total footprint. The institution also reports a PCAF-weighted financed emissions figure of 15,280,174.14 tCO2e, which applies attribution factors based on the institution's proportional share of borrower financing. For transparency, the institution reports a location-based Scope 2 total of 44,613.876 tCO2e as supplementary information.</w:t>
      </w:r>
    </w:p>
    <w:p>
      <w:pPr>
        <w:spacing w:after="160" w:line="276" w:lineRule="auto"/>
        <w:jc w:val="both"/>
      </w:pPr>
      <w:r>
        <w:rPr>
          <w:rFonts w:ascii="Arial" w:hAnsi="Arial"/>
          <w:sz w:val="22"/>
        </w:rPr>
        <w:t>The institution's emission intensity metrics for 2024 were 239.400139 tCO2e per IDR billion of revenue and 1.9209 tCO2e per full-time equivalent employee. These intensity metrics enable normalization of emissions performance relative to business scale and workforce size.</w:t>
      </w:r>
    </w:p>
    <w:p>
      <w:pPr>
        <w:spacing w:after="160" w:line="276" w:lineRule="auto"/>
        <w:jc w:val="both"/>
      </w:pPr>
      <w:r>
        <w:rPr>
          <w:rFonts w:ascii="Arial" w:hAnsi="Arial"/>
          <w:sz w:val="22"/>
        </w:rPr>
        <w:t>Compared to the prior reporting period (2023), total emissions decreased by 4.07%. This reduction was driven by a 296,065.43 tCO2e decrease in PCAF-weighted financed emissions, partially offset by increases in operational emissions. Scope 1 emissions increased by 78.476 tCO2e (2.36%), Scope 2 market-based emissions increased by 14.4 tCO2e (0.03%), and Scope 3 Category 15 weighted emissions decreased by 296,065.43 tCO2e (1.90%). The institution's emission intensity per IDR billion decreased from 270.116632 tCO2e in 2023 to 239.400139 tCO2e in 2024, representing an 11.37% improvement. Emission intensity per FTE decreased from 1.956 tCO2e in 2023 to 1.9209 tCO2e in 2024, representing a 1.79% improvement.</w:t>
      </w:r>
    </w:p>
    <w:p>
      <w:pPr>
        <w:spacing w:after="160" w:line="276" w:lineRule="auto"/>
        <w:jc w:val="both"/>
      </w:pPr>
      <w:r>
        <w:rPr>
          <w:rFonts w:ascii="Arial" w:hAnsi="Arial"/>
          <w:sz w:val="22"/>
        </w:rPr>
        <w:t>The financed emissions portfolio achieved an average PCAF data quality score of 3.36 out of 5.0, where lower scores indicate higher data quality. This score reflects the predominant use of sector-average emission factors (PCAF Score 4) and physical activity-based estimates (PCAF Score 3) for borrower emissions calculations. The institution is implementing a multi-year data quality improvement program to increase the proportion of borrower-specific emissions data in future reporting periods.</w:t>
      </w:r>
    </w:p>
    <w:p>
      <w:r>
        <w:rPr>
          <w:rFonts w:ascii="Arial" w:hAnsi="Arial"/>
          <w:b/>
          <w:sz w:val="20"/>
        </w:rPr>
        <w:t>Table 1: Total GHG Emissions by Scope — Reporting Year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Scope</w:t>
            </w:r>
          </w:p>
        </w:tc>
        <w:tc>
          <w:tcPr>
            <w:tcW w:type="dxa" w:w="2257"/>
            <w:shd w:fill="1B3A6B" w:val="clear"/>
          </w:tcPr>
          <w:p>
            <w:r>
              <w:rPr>
                <w:rFonts w:ascii="Arial" w:hAnsi="Arial"/>
                <w:b/>
                <w:color w:val="FFFFFF"/>
                <w:sz w:val="18"/>
              </w:rPr>
              <w:t>Emissions (tCO2e)</w:t>
            </w:r>
          </w:p>
        </w:tc>
        <w:tc>
          <w:tcPr>
            <w:tcW w:type="dxa" w:w="2257"/>
            <w:shd w:fill="1B3A6B" w:val="clear"/>
          </w:tcPr>
          <w:p>
            <w:r>
              <w:rPr>
                <w:rFonts w:ascii="Arial" w:hAnsi="Arial"/>
                <w:b/>
                <w:color w:val="FFFFFF"/>
                <w:sz w:val="18"/>
              </w:rPr>
              <w:t>Percentage of Total</w:t>
            </w:r>
          </w:p>
        </w:tc>
        <w:tc>
          <w:tcPr>
            <w:tcW w:type="dxa" w:w="2257"/>
            <w:shd w:fill="1B3A6B" w:val="clear"/>
          </w:tcPr>
          <w:p>
            <w:r>
              <w:rPr>
                <w:rFonts w:ascii="Arial" w:hAnsi="Arial"/>
                <w:b/>
                <w:color w:val="FFFFFF"/>
                <w:sz w:val="18"/>
              </w:rPr>
              <w:t>Calculation Basis</w:t>
            </w:r>
          </w:p>
        </w:tc>
      </w:tr>
      <w:tr>
        <w:tc>
          <w:tcPr>
            <w:tcW w:type="dxa" w:w="2257"/>
          </w:tcPr>
          <w:p>
            <w:r>
              <w:rPr>
                <w:rFonts w:ascii="Arial" w:hAnsi="Arial"/>
                <w:sz w:val="18"/>
              </w:rPr>
              <w:t>Scope 1 (Direct)</w:t>
            </w:r>
          </w:p>
        </w:tc>
        <w:tc>
          <w:tcPr>
            <w:tcW w:type="dxa" w:w="2257"/>
          </w:tcPr>
          <w:p>
            <w:pPr>
              <w:jc w:val="right"/>
            </w:pPr>
            <w:r>
              <w:rPr>
                <w:rFonts w:ascii="Arial" w:hAnsi="Arial"/>
                <w:sz w:val="18"/>
              </w:rPr>
              <w:t>3,402.997</w:t>
            </w:r>
          </w:p>
        </w:tc>
        <w:tc>
          <w:tcPr>
            <w:tcW w:type="dxa" w:w="2257"/>
          </w:tcPr>
          <w:p>
            <w:pPr>
              <w:jc w:val="right"/>
            </w:pPr>
            <w:r>
              <w:rPr>
                <w:rFonts w:ascii="Arial" w:hAnsi="Arial"/>
                <w:sz w:val="18"/>
              </w:rPr>
              <w:t>0.015%</w:t>
            </w:r>
          </w:p>
        </w:tc>
        <w:tc>
          <w:tcPr>
            <w:tcW w:type="dxa" w:w="2257"/>
          </w:tcPr>
          <w:p>
            <w:r>
              <w:rPr>
                <w:rFonts w:ascii="Arial" w:hAnsi="Arial"/>
                <w:sz w:val="18"/>
              </w:rPr>
              <w:t>Natural gas + diesel combustion</w:t>
            </w:r>
          </w:p>
        </w:tc>
      </w:tr>
      <w:tr>
        <w:tc>
          <w:tcPr>
            <w:tcW w:type="dxa" w:w="2257"/>
            <w:shd w:fill="F2F6FC" w:val="clear"/>
          </w:tcPr>
          <w:p>
            <w:r>
              <w:rPr>
                <w:rFonts w:ascii="Arial" w:hAnsi="Arial"/>
                <w:sz w:val="18"/>
              </w:rPr>
              <w:t>Scope 2 (Indirect — Market-based)</w:t>
            </w:r>
          </w:p>
        </w:tc>
        <w:tc>
          <w:tcPr>
            <w:tcW w:type="dxa" w:w="2257"/>
            <w:shd w:fill="F2F6FC" w:val="clear"/>
          </w:tcPr>
          <w:p>
            <w:pPr>
              <w:jc w:val="right"/>
            </w:pPr>
            <w:r>
              <w:rPr>
                <w:rFonts w:ascii="Arial" w:hAnsi="Arial"/>
                <w:sz w:val="18"/>
              </w:rPr>
              <w:t>44,612.518</w:t>
            </w:r>
          </w:p>
        </w:tc>
        <w:tc>
          <w:tcPr>
            <w:tcW w:type="dxa" w:w="2257"/>
            <w:shd w:fill="F2F6FC" w:val="clear"/>
          </w:tcPr>
          <w:p>
            <w:pPr>
              <w:jc w:val="right"/>
            </w:pPr>
            <w:r>
              <w:rPr>
                <w:rFonts w:ascii="Arial" w:hAnsi="Arial"/>
                <w:sz w:val="18"/>
              </w:rPr>
              <w:t>0.203%</w:t>
            </w:r>
          </w:p>
        </w:tc>
        <w:tc>
          <w:tcPr>
            <w:tcW w:type="dxa" w:w="2257"/>
            <w:shd w:fill="F2F6FC" w:val="clear"/>
          </w:tcPr>
          <w:p>
            <w:r>
              <w:rPr>
                <w:rFonts w:ascii="Arial" w:hAnsi="Arial"/>
                <w:sz w:val="18"/>
              </w:rPr>
              <w:t>Purchased electricity (supplier-specific factors)</w:t>
            </w:r>
          </w:p>
        </w:tc>
      </w:tr>
      <w:tr>
        <w:tc>
          <w:tcPr>
            <w:tcW w:type="dxa" w:w="2257"/>
          </w:tcPr>
          <w:p>
            <w:r>
              <w:rPr>
                <w:rFonts w:ascii="Arial" w:hAnsi="Arial"/>
                <w:sz w:val="18"/>
              </w:rPr>
              <w:t>Scope 2 (Indirect — Location-based)</w:t>
            </w:r>
          </w:p>
        </w:tc>
        <w:tc>
          <w:tcPr>
            <w:tcW w:type="dxa" w:w="2257"/>
          </w:tcPr>
          <w:p>
            <w:pPr>
              <w:jc w:val="right"/>
            </w:pPr>
            <w:r>
              <w:rPr>
                <w:rFonts w:ascii="Arial" w:hAnsi="Arial"/>
                <w:sz w:val="18"/>
              </w:rPr>
              <w:t>44,613.876</w:t>
            </w:r>
          </w:p>
        </w:tc>
        <w:tc>
          <w:tcPr>
            <w:tcW w:type="dxa" w:w="2257"/>
          </w:tcPr>
          <w:p>
            <w:pPr>
              <w:jc w:val="right"/>
            </w:pPr>
            <w:r>
              <w:rPr>
                <w:rFonts w:ascii="Arial" w:hAnsi="Arial"/>
                <w:sz w:val="18"/>
              </w:rPr>
              <w:t>0.203%</w:t>
            </w:r>
          </w:p>
        </w:tc>
        <w:tc>
          <w:tcPr>
            <w:tcW w:type="dxa" w:w="2257"/>
          </w:tcPr>
          <w:p>
            <w:r>
              <w:rPr>
                <w:rFonts w:ascii="Arial" w:hAnsi="Arial"/>
                <w:sz w:val="18"/>
              </w:rPr>
              <w:t>Purchased electricity (grid average factors)</w:t>
            </w:r>
          </w:p>
        </w:tc>
      </w:tr>
      <w:tr>
        <w:tc>
          <w:tcPr>
            <w:tcW w:type="dxa" w:w="2257"/>
            <w:shd w:fill="F2F6FC" w:val="clear"/>
          </w:tcPr>
          <w:p>
            <w:r>
              <w:rPr>
                <w:rFonts w:ascii="Arial" w:hAnsi="Arial"/>
                <w:sz w:val="18"/>
              </w:rPr>
              <w:t>Scope 3 Category 15 (Financed — Gross)</w:t>
            </w:r>
          </w:p>
        </w:tc>
        <w:tc>
          <w:tcPr>
            <w:tcW w:type="dxa" w:w="2257"/>
            <w:shd w:fill="F2F6FC" w:val="clear"/>
          </w:tcPr>
          <w:p>
            <w:pPr>
              <w:jc w:val="right"/>
            </w:pPr>
            <w:r>
              <w:rPr>
                <w:rFonts w:ascii="Arial" w:hAnsi="Arial"/>
                <w:sz w:val="18"/>
              </w:rPr>
              <w:t>21,976,797.3</w:t>
            </w:r>
          </w:p>
        </w:tc>
        <w:tc>
          <w:tcPr>
            <w:tcW w:type="dxa" w:w="2257"/>
            <w:shd w:fill="F2F6FC" w:val="clear"/>
          </w:tcPr>
          <w:p>
            <w:pPr>
              <w:jc w:val="right"/>
            </w:pPr>
            <w:r>
              <w:rPr>
                <w:rFonts w:ascii="Arial" w:hAnsi="Arial"/>
                <w:sz w:val="18"/>
              </w:rPr>
              <w:t>99.913%</w:t>
            </w:r>
          </w:p>
        </w:tc>
        <w:tc>
          <w:tcPr>
            <w:tcW w:type="dxa" w:w="2257"/>
            <w:shd w:fill="F2F6FC" w:val="clear"/>
          </w:tcPr>
          <w:p>
            <w:r>
              <w:rPr>
                <w:rFonts w:ascii="Arial" w:hAnsi="Arial"/>
                <w:sz w:val="18"/>
              </w:rPr>
              <w:t>PCAF Standard (100% borrower emissions)</w:t>
            </w:r>
          </w:p>
        </w:tc>
      </w:tr>
      <w:tr>
        <w:tc>
          <w:tcPr>
            <w:tcW w:type="dxa" w:w="2257"/>
          </w:tcPr>
          <w:p>
            <w:r>
              <w:rPr>
                <w:rFonts w:ascii="Arial" w:hAnsi="Arial"/>
                <w:sz w:val="18"/>
              </w:rPr>
              <w:t>Scope 3 Category 15 (Financed — Weighted)</w:t>
            </w:r>
          </w:p>
        </w:tc>
        <w:tc>
          <w:tcPr>
            <w:tcW w:type="dxa" w:w="2257"/>
          </w:tcPr>
          <w:p>
            <w:pPr>
              <w:jc w:val="right"/>
            </w:pPr>
            <w:r>
              <w:rPr>
                <w:rFonts w:ascii="Arial" w:hAnsi="Arial"/>
                <w:sz w:val="18"/>
              </w:rPr>
              <w:t>15,280,174.14</w:t>
            </w:r>
          </w:p>
        </w:tc>
        <w:tc>
          <w:tcPr>
            <w:tcW w:type="dxa" w:w="2257"/>
          </w:tcPr>
          <w:p>
            <w:pPr>
              <w:jc w:val="right"/>
            </w:pPr>
            <w:r>
              <w:rPr>
                <w:rFonts w:ascii="Arial" w:hAnsi="Arial"/>
                <w:sz w:val="18"/>
              </w:rPr>
              <w:t>69.46%</w:t>
            </w:r>
          </w:p>
        </w:tc>
        <w:tc>
          <w:tcPr>
            <w:tcW w:type="dxa" w:w="2257"/>
          </w:tcPr>
          <w:p>
            <w:r>
              <w:rPr>
                <w:rFonts w:ascii="Arial" w:hAnsi="Arial"/>
                <w:sz w:val="18"/>
              </w:rPr>
              <w:t>PCAF Standard (attribution-adjusted)</w:t>
            </w:r>
          </w:p>
        </w:tc>
      </w:tr>
      <w:tr>
        <w:tc>
          <w:tcPr>
            <w:tcW w:type="dxa" w:w="2257"/>
            <w:shd w:fill="F2F6FC" w:val="clear"/>
          </w:tcPr>
          <w:p>
            <w:r>
              <w:rPr>
                <w:rFonts w:ascii="Arial" w:hAnsi="Arial"/>
                <w:sz w:val="18"/>
              </w:rPr>
              <w:t>Total (Scope 1 + 2 Market + 3 Gross)</w:t>
            </w:r>
          </w:p>
        </w:tc>
        <w:tc>
          <w:tcPr>
            <w:tcW w:type="dxa" w:w="2257"/>
            <w:shd w:fill="F2F6FC" w:val="clear"/>
          </w:tcPr>
          <w:p>
            <w:pPr>
              <w:jc w:val="right"/>
            </w:pPr>
            <w:r>
              <w:rPr>
                <w:rFonts w:ascii="Arial" w:hAnsi="Arial"/>
                <w:sz w:val="18"/>
              </w:rPr>
              <w:t>21,995,814.173</w:t>
            </w:r>
          </w:p>
        </w:tc>
        <w:tc>
          <w:tcPr>
            <w:tcW w:type="dxa" w:w="2257"/>
            <w:shd w:fill="F2F6FC" w:val="clear"/>
          </w:tcPr>
          <w:p>
            <w:pPr>
              <w:jc w:val="right"/>
            </w:pPr>
            <w:r>
              <w:rPr>
                <w:rFonts w:ascii="Arial" w:hAnsi="Arial"/>
                <w:sz w:val="18"/>
              </w:rPr>
              <w:t>100.00%</w:t>
            </w:r>
          </w:p>
        </w:tc>
        <w:tc>
          <w:tcPr>
            <w:tcW w:type="dxa" w:w="2257"/>
            <w:shd w:fill="F2F6FC" w:val="clear"/>
          </w:tcPr>
          <w:p>
            <w:r>
              <w:rPr>
                <w:rFonts w:ascii="Arial" w:hAnsi="Arial"/>
                <w:sz w:val="18"/>
              </w:rPr>
              <w:t>GHG Protocol hierarchy</w:t>
            </w:r>
          </w:p>
        </w:tc>
      </w:tr>
    </w:tbl>
    <w:p>
      <w:r>
        <w:rPr>
          <w:rFonts w:ascii="Arial" w:hAnsi="Arial"/>
          <w:i/>
          <w:sz w:val="16"/>
        </w:rPr>
        <w:t>Source: Scope 2 market-based figure used in total per GHG Protocol guidance. Location-based figure provided for transparency. Scope 3 weighted figure applies PCAF attribution methodology.</w:t>
      </w:r>
    </w:p>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Total emissions calculated as Scope 1 + Scope 2 (market-based) + Scope 3 Category 15 (gross) per GHG Protocol Corporate Standard hierarchy. Market-based Scope 2 figure reflects supplier-specific emission factors where available.</w:t>
      </w:r>
    </w:p>
    <w:p>
      <w:pPr>
        <w:spacing w:after="160" w:line="276" w:lineRule="auto"/>
        <w:jc w:val="both"/>
      </w:pPr>
      <w:r>
        <w:rPr>
          <w:rFonts w:ascii="Arial" w:hAnsi="Arial"/>
          <w:i/>
          <w:color w:val="646464"/>
          <w:sz w:val="18"/>
        </w:rPr>
        <w:t>PCAF data quality scores range from 1 (highest quality — audited borrower data) to 5 (lowest quality — sector averages). Portfolio average of 3.36 indicates predominant use of physical activity-based estimates and sector-average emission factors.</w:t>
      </w:r>
    </w:p>
    <w:p>
      <w:pPr>
        <w:spacing w:after="160" w:line="276" w:lineRule="auto"/>
        <w:jc w:val="both"/>
      </w:pPr>
      <w:r>
        <w:rPr>
          <w:rFonts w:ascii="Arial" w:hAnsi="Arial"/>
          <w:i/>
          <w:color w:val="646464"/>
          <w:sz w:val="18"/>
        </w:rPr>
        <w:t>Financed emissions calculated using PCAF Global GHG Accounting and Reporting Standard for Financial Institutions (2022). Gross figures represent 100% of borrower emissions; weighted figures apply attribution factors based on the institution's proportional financing share.</w:t>
      </w:r>
    </w:p>
    <w:p>
      <w:pPr>
        <w:spacing w:after="160" w:line="276" w:lineRule="auto"/>
        <w:jc w:val="both"/>
      </w:pPr>
      <w:r>
        <w:rPr>
          <w:rFonts w:ascii="Arial" w:hAnsi="Arial"/>
          <w:i/>
          <w:color w:val="646464"/>
          <w:sz w:val="18"/>
        </w:rPr>
        <w:t>Emission intensity metrics calculated using total emissions (Scope 1 + 2 market + 3 gross) as numerator. Revenue denominator expressed in IDR billions; FTE denominator represents average full-time equivalent headcount for the reporting period.</w:t>
      </w:r>
    </w:p>
    <w:p>
      <w:r>
        <w:br w:type="page"/>
      </w:r>
    </w:p>
    <w:p>
      <w:pPr>
        <w:pStyle w:val="Heading1"/>
        <w:keepNext/>
        <w:spacing w:before="480" w:after="240"/>
      </w:pPr>
      <w:r>
        <w:rPr>
          <w:rFonts w:ascii="Arial" w:hAnsi="Arial"/>
          <w:b/>
          <w:color w:val="1B3A6B"/>
          <w:sz w:val="36"/>
        </w:rPr>
        <w:t>Appendix A: Methodology Notes</w:t>
      </w:r>
    </w:p>
    <w:p>
      <w:pPr>
        <w:spacing w:after="160" w:line="276" w:lineRule="auto"/>
        <w:jc w:val="both"/>
      </w:pPr>
      <w:r>
        <w:rPr>
          <w:rFonts w:ascii="Arial" w:hAnsi="Arial"/>
          <w:sz w:val="22"/>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pPr>
        <w:pStyle w:val="Heading1"/>
        <w:keepNext/>
        <w:spacing w:before="480" w:after="240"/>
      </w:pPr>
      <w:r>
        <w:rPr>
          <w:rFonts w:ascii="Arial" w:hAnsi="Arial"/>
          <w:b/>
          <w:color w:val="1B3A6B"/>
          <w:sz w:val="36"/>
        </w:rPr>
        <w:t>Appendix B: Data Quality Summary</w:t>
      </w:r>
    </w:p>
    <w:p>
      <w:pPr>
        <w:spacing w:after="160" w:line="276" w:lineRule="auto"/>
        <w:jc w:val="both"/>
      </w:pPr>
      <w:r>
        <w:rPr>
          <w:rFonts w:ascii="Arial" w:hAnsi="Arial"/>
          <w:sz w:val="22"/>
        </w:rPr>
        <w:t>Data quality is assessed per the PCAF data quality scoring framework (1-5) and the GHG Protocol data quality indicators. Portfolio-weighted PCAF score and data completeness percentage are reported in the main body.</w:t>
      </w:r>
    </w:p>
    <w:p>
      <w:pPr>
        <w:pStyle w:val="Heading1"/>
        <w:keepNext/>
        <w:spacing w:before="480" w:after="240"/>
      </w:pPr>
      <w:r>
        <w:rPr>
          <w:rFonts w:ascii="Arial" w:hAnsi="Arial"/>
          <w:b/>
          <w:color w:val="1B3A6B"/>
          <w:sz w:val="36"/>
        </w:rPr>
        <w:t>Appendix C: GRI Content Index</w:t>
      </w:r>
    </w:p>
    <w:p>
      <w:r>
        <w:rPr>
          <w:rFonts w:ascii="Arial" w:hAnsi="Arial"/>
          <w:b/>
          <w:sz w:val="20"/>
        </w:rPr>
        <w:t>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 Reference</w:t>
            </w:r>
          </w:p>
        </w:tc>
        <w:tc>
          <w:tcPr>
            <w:tcW w:type="dxa" w:w="2257"/>
            <w:shd w:fill="1B3A6B" w:val="clear"/>
          </w:tcPr>
          <w:p>
            <w:r>
              <w:rPr>
                <w:rFonts w:ascii="Arial" w:hAnsi="Arial"/>
                <w:b/>
                <w:color w:val="FFFFFF"/>
                <w:sz w:val="18"/>
              </w:rPr>
              <w:t>Omission</w:t>
            </w:r>
          </w:p>
        </w:tc>
      </w:tr>
      <w:tr>
        <w:tc>
          <w:tcPr>
            <w:tcW w:type="dxa" w:w="2257"/>
          </w:tcPr>
          <w:p>
            <w:r>
              <w:rPr>
                <w:rFonts w:ascii="Arial" w:hAnsi="Arial"/>
                <w:sz w:val="18"/>
              </w:rPr>
              <w:t>GRI 305-1</w:t>
            </w:r>
          </w:p>
        </w:tc>
        <w:tc>
          <w:tcPr>
            <w:tcW w:type="dxa" w:w="2257"/>
          </w:tcPr>
          <w:p>
            <w:r>
              <w:rPr>
                <w:rFonts w:ascii="Arial" w:hAnsi="Arial"/>
                <w:sz w:val="18"/>
              </w:rPr>
              <w:t>Direct (Scope 1) GHG emissions</w:t>
            </w:r>
          </w:p>
        </w:tc>
        <w:tc>
          <w:tcPr>
            <w:tcW w:type="dxa" w:w="2257"/>
          </w:tcPr>
          <w:p>
            <w:r>
              <w:rPr>
                <w:rFonts w:ascii="Arial" w:hAnsi="Arial"/>
                <w:sz w:val="18"/>
              </w:rPr>
              <w:t>Section: Scope 1</w:t>
            </w:r>
          </w:p>
        </w:tc>
        <w:tc>
          <w:tcPr>
            <w:tcW w:type="dxa" w:w="2257"/>
          </w:tcPr>
          <w:p>
            <w:r>
              <w:rPr>
                <w:rFonts w:ascii="Arial" w:hAnsi="Arial"/>
                <w:sz w:val="18"/>
              </w:rPr>
              <w:t>None</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Energy indirect (Scope 2) GHG emissions</w:t>
            </w:r>
          </w:p>
        </w:tc>
        <w:tc>
          <w:tcPr>
            <w:tcW w:type="dxa" w:w="2257"/>
            <w:shd w:fill="F2F6FC" w:val="clear"/>
          </w:tcPr>
          <w:p>
            <w:r>
              <w:rPr>
                <w:rFonts w:ascii="Arial" w:hAnsi="Arial"/>
                <w:sz w:val="18"/>
              </w:rPr>
              <w:t>Section: Scope 2</w:t>
            </w:r>
          </w:p>
        </w:tc>
        <w:tc>
          <w:tcPr>
            <w:tcW w:type="dxa" w:w="2257"/>
            <w:shd w:fill="F2F6FC" w:val="clear"/>
          </w:tcPr>
          <w:p>
            <w:r>
              <w:rPr>
                <w:rFonts w:ascii="Arial" w:hAnsi="Arial"/>
                <w:sz w:val="18"/>
              </w:rPr>
              <w:t>None</w:t>
            </w:r>
          </w:p>
        </w:tc>
      </w:tr>
      <w:tr>
        <w:tc>
          <w:tcPr>
            <w:tcW w:type="dxa" w:w="2257"/>
          </w:tcPr>
          <w:p>
            <w:r>
              <w:rPr>
                <w:rFonts w:ascii="Arial" w:hAnsi="Arial"/>
                <w:sz w:val="18"/>
              </w:rPr>
              <w:t>GRI 305-3</w:t>
            </w:r>
          </w:p>
        </w:tc>
        <w:tc>
          <w:tcPr>
            <w:tcW w:type="dxa" w:w="2257"/>
          </w:tcPr>
          <w:p>
            <w:r>
              <w:rPr>
                <w:rFonts w:ascii="Arial" w:hAnsi="Arial"/>
                <w:sz w:val="18"/>
              </w:rPr>
              <w:t>Other indirect (Scope 3) GHG emissions</w:t>
            </w:r>
          </w:p>
        </w:tc>
        <w:tc>
          <w:tcPr>
            <w:tcW w:type="dxa" w:w="2257"/>
          </w:tcPr>
          <w:p>
            <w:r>
              <w:rPr>
                <w:rFonts w:ascii="Arial" w:hAnsi="Arial"/>
                <w:sz w:val="18"/>
              </w:rPr>
              <w:t>Section: PCAF</w:t>
            </w:r>
          </w:p>
        </w:tc>
        <w:tc>
          <w:tcPr>
            <w:tcW w:type="dxa" w:w="2257"/>
          </w:tcPr>
          <w:p>
            <w:r>
              <w:rPr>
                <w:rFonts w:ascii="Arial" w:hAnsi="Arial"/>
                <w:sz w:val="18"/>
              </w:rPr>
              <w:t>None</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GHG emissions intensity</w:t>
            </w:r>
          </w:p>
        </w:tc>
        <w:tc>
          <w:tcPr>
            <w:tcW w:type="dxa" w:w="2257"/>
            <w:shd w:fill="F2F6FC" w:val="clear"/>
          </w:tcPr>
          <w:p>
            <w:r>
              <w:rPr>
                <w:rFonts w:ascii="Arial" w:hAnsi="Arial"/>
                <w:sz w:val="18"/>
              </w:rPr>
              <w:t>Section: Intensity</w:t>
            </w:r>
          </w:p>
        </w:tc>
        <w:tc>
          <w:tcPr>
            <w:tcW w:type="dxa" w:w="2257"/>
            <w:shd w:fill="F2F6FC" w:val="clear"/>
          </w:tcPr>
          <w:p>
            <w:r>
              <w:rPr>
                <w:rFonts w:ascii="Arial" w:hAnsi="Arial"/>
                <w:sz w:val="18"/>
              </w:rPr>
              <w:t>None</w:t>
            </w:r>
          </w:p>
        </w:tc>
      </w:tr>
      <w:tr>
        <w:tc>
          <w:tcPr>
            <w:tcW w:type="dxa" w:w="2257"/>
          </w:tcPr>
          <w:p>
            <w:r>
              <w:rPr>
                <w:rFonts w:ascii="Arial" w:hAnsi="Arial"/>
                <w:sz w:val="18"/>
              </w:rPr>
              <w:t>GRI 305-5</w:t>
            </w:r>
          </w:p>
        </w:tc>
        <w:tc>
          <w:tcPr>
            <w:tcW w:type="dxa" w:w="2257"/>
          </w:tcPr>
          <w:p>
            <w:r>
              <w:rPr>
                <w:rFonts w:ascii="Arial" w:hAnsi="Arial"/>
                <w:sz w:val="18"/>
              </w:rPr>
              <w:t>Reduction of GHG emissions</w:t>
            </w:r>
          </w:p>
        </w:tc>
        <w:tc>
          <w:tcPr>
            <w:tcW w:type="dxa" w:w="2257"/>
          </w:tcPr>
          <w:p>
            <w:r>
              <w:rPr>
                <w:rFonts w:ascii="Arial" w:hAnsi="Arial"/>
                <w:sz w:val="18"/>
              </w:rPr>
              <w:t>Section: Reduction</w:t>
            </w:r>
          </w:p>
        </w:tc>
        <w:tc>
          <w:tcPr>
            <w:tcW w:type="dxa" w:w="2257"/>
          </w:tcPr>
          <w:p>
            <w:r>
              <w:rPr>
                <w:rFonts w:ascii="Arial" w:hAnsi="Arial"/>
                <w:sz w:val="18"/>
              </w:rPr>
              <w:t>Partial — targets in development</w:t>
            </w:r>
          </w:p>
        </w:tc>
      </w:tr>
    </w:tbl>
    <w:p>
      <w:r>
        <w:rPr>
          <w:rFonts w:ascii="Arial" w:hAnsi="Arial"/>
          <w:i/>
          <w:sz w:val="16"/>
        </w:rPr>
        <w:t>Source: GRI Standards 2021</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MULTI_FRAMEWORK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arn:aws:states:us-east-1:061039769766:execution:ESGReportGenerationStateMachine:7066f3e3-e66c-431e-92c9-c13ec43ab483</dc:description>
  <cp:lastModifiedBy/>
  <cp:revision>1</cp:revision>
  <dcterms:created xsi:type="dcterms:W3CDTF">2013-12-23T23:15:00Z</dcterms:created>
  <dcterms:modified xsi:type="dcterms:W3CDTF">2013-12-23T23:15:00Z</dcterms:modified>
  <cp:category>ESG Sustainability Report</cp:category>
</cp:coreProperties>
</file>