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color w:val="999999"/>
          <w:sz w:val="24"/>
        </w:rPr>
        <w:t>[INSTITUTION LOGO]</w:t>
      </w:r>
    </w:p>
    <w:p/>
    <w:p/>
    <w:p>
      <w:pPr>
        <w:pStyle w:val="Heading1"/>
        <w:keepNext/>
        <w:spacing w:before="480" w:after="240"/>
        <w:jc w:val="center"/>
      </w:pPr>
      <w:r>
        <w:rPr>
          <w:rFonts w:ascii="Arial" w:hAnsi="Arial"/>
          <w:b/>
          <w:color w:val="1B3A6B"/>
          <w:sz w:val="36"/>
        </w:rPr>
        <w:t>ESG Sustainability Report</w:t>
      </w:r>
    </w:p>
    <w:p>
      <w:pPr>
        <w:pStyle w:val="Heading2"/>
        <w:keepNext/>
        <w:spacing w:before="360" w:after="160"/>
        <w:jc w:val="center"/>
      </w:pPr>
      <w:r>
        <w:rPr>
          <w:rFonts w:ascii="Arial" w:hAnsi="Arial"/>
          <w:b/>
          <w:color w:val="3D6094"/>
          <w:sz w:val="28"/>
        </w:rPr>
        <w:t>Reporting Year 2024</w:t>
      </w:r>
    </w:p>
    <w:p/>
    <w:p>
      <w:pPr>
        <w:jc w:val="center"/>
      </w:pPr>
      <w:r>
        <w:rPr>
          <w:rFonts w:ascii="Arial" w:hAnsi="Arial"/>
          <w:sz w:val="22"/>
        </w:rPr>
        <w:t>Institution: GENERIC_FI_001</w:t>
      </w:r>
    </w:p>
    <w:p>
      <w:pPr>
        <w:jc w:val="center"/>
      </w:pPr>
      <w:r>
        <w:rPr>
          <w:rFonts w:ascii="Arial" w:hAnsi="Arial"/>
          <w:sz w:val="22"/>
        </w:rPr>
        <w:t>Framework: MULTI_FRAMEWORK</w:t>
      </w:r>
    </w:p>
    <w:p>
      <w:pPr>
        <w:jc w:val="center"/>
      </w:pPr>
      <w:r>
        <w:rPr>
          <w:rFonts w:ascii="Arial" w:hAnsi="Arial"/>
          <w:sz w:val="22"/>
        </w:rPr>
        <w:t>Generated: 2026-06-05 10:03 UTC</w:t>
      </w:r>
    </w:p>
    <w:p>
      <w:pPr>
        <w:jc w:val="center"/>
      </w:pPr>
      <w:r>
        <w:rPr>
          <w:rFonts w:ascii="Arial" w:hAnsi="Arial"/>
          <w:sz w:val="22"/>
        </w:rPr>
        <w:t>Status: DRAFT — Subject to Review</w:t>
      </w:r>
    </w:p>
    <w:p>
      <w:pPr>
        <w:jc w:val="center"/>
      </w:pPr>
      <w:r>
        <w:rPr>
          <w:rFonts w:ascii="Arial" w:hAnsi="Arial"/>
          <w:sz w:val="22"/>
        </w:rPr>
        <w:t>Assurance Level: None</w:t>
      </w:r>
    </w:p>
    <w:p/>
    <w:p/>
    <w:p>
      <w:pPr>
        <w:jc w:val="center"/>
      </w:pPr>
      <w:r>
        <w:rPr>
          <w:i/>
          <w:color w:val="993333"/>
          <w:sz w:val="18"/>
        </w:rPr>
        <w:t>CONFIDENTIAL — This document is for internal review purposes only. Do not distribute without authorization.</w:t>
      </w:r>
    </w:p>
    <w:p>
      <w:r>
        <w:br w:type="page"/>
      </w:r>
    </w:p>
    <w:p>
      <w:pPr>
        <w:pStyle w:val="Heading1"/>
        <w:keepNext/>
        <w:spacing w:before="480" w:after="240"/>
      </w:pPr>
      <w:r>
        <w:rPr>
          <w:rFonts w:ascii="Arial" w:hAnsi="Arial"/>
          <w:b/>
          <w:color w:val="1B3A6B"/>
          <w:sz w:val="36"/>
        </w:rPr>
        <w:t>Table of Contents</w:t>
      </w:r>
    </w:p>
    <w:p>
      <w:r>
        <w:fldChar w:fldCharType="begin"/>
        <w:instrText xml:space="preserve"> TOC \o "1-3" \h \z \u </w:instrText>
        <w:fldChar w:fldCharType="end"/>
      </w:r>
    </w:p>
    <w:p>
      <w:r>
        <w:t>(Update this field in Word: Ctrl+A → F9)</w:t>
      </w:r>
    </w:p>
    <w:p>
      <w:r>
        <w:br w:type="page"/>
      </w:r>
    </w:p>
    <w:p>
      <w:pPr>
        <w:pStyle w:val="Heading1"/>
        <w:keepNext/>
        <w:spacing w:before="480" w:after="240"/>
      </w:pPr>
      <w:r>
        <w:rPr>
          <w:rFonts w:ascii="Arial" w:hAnsi="Arial"/>
          <w:b/>
          <w:color w:val="1B3A6B"/>
          <w:sz w:val="36"/>
        </w:rPr>
        <w:t>GRI 305-1: Direct (Scope 1) GHG Emissions</w:t>
      </w:r>
    </w:p>
    <w:p>
      <w:pPr>
        <w:spacing w:after="160" w:line="276" w:lineRule="auto"/>
        <w:jc w:val="both"/>
      </w:pPr>
      <w:r>
        <w:rPr>
          <w:rFonts w:ascii="Arial" w:hAnsi="Arial"/>
          <w:sz w:val="22"/>
        </w:rPr>
        <w:t>The organization reported gross direct (Scope 1) GHG emissions of 3,402.997 metric tons of CO₂ equivalent (tCO₂e) for the reporting period ending December 31, 2024. These emissions arose from stationary combustion sources under the organization's operational control and represent direct releases of greenhouse gases from fuel consumption at owned and operated facilities.</w:t>
      </w:r>
    </w:p>
    <w:p>
      <w:pPr>
        <w:spacing w:after="160" w:line="276" w:lineRule="auto"/>
        <w:jc w:val="both"/>
      </w:pPr>
      <w:r>
        <w:rPr>
          <w:rFonts w:ascii="Arial" w:hAnsi="Arial"/>
          <w:sz w:val="22"/>
        </w:rPr>
        <w:t>The Scope 1 emissions comprised two primary fuel sources: natural gas combustion contributed 1,199.7924 tCO₂e (35.3% of total Scope 1), while diesel combustion accounted for 2,203.2044 tCO₂e (64.7% of total Scope 1). The predominance of diesel-derived emissions reflected the organization's reliance on backup generators and diesel-powered equipment across branch facilities and data centers.</w:t>
      </w:r>
    </w:p>
    <w:p>
      <w:pPr>
        <w:spacing w:after="160" w:line="276" w:lineRule="auto"/>
        <w:jc w:val="both"/>
      </w:pPr>
      <w:r>
        <w:rPr>
          <w:rFonts w:ascii="Arial" w:hAnsi="Arial"/>
          <w:i/>
          <w:sz w:val="22"/>
        </w:rPr>
        <w:t>The organization calculated Scope 1 emissions using the GHG Protocol Corporate Accounting and Reporting Standard (2015 revision). Emission factors were sourced from Indonesia's Ministry of Energy and Mineral Resources (MEMR) 2023 National Emission Factor Database. The calculation incorporated global warming potential (GWP) values from the Intergovernmental Panel on Climate Change (IPCC) Sixth Assessment Report (AR6), applying a 100-year time horizon: CO₂ = 1, CH₄ = 29.8, and N₂O = 273.0. The consolidation approach applied was operational control, whereby the organization accounted for 100% of emissions from operations over which it exercised operational control, regardless of equity share. Gases included in the calculation were carbon dioxide (CO₂), methane (CH₄), and nitrous oxide (N₂O). No biogenic CO₂ emissions were material to the organization's operations during the reporting period.</w:t>
      </w:r>
    </w:p>
    <w:p>
      <w:pPr>
        <w:spacing w:after="160" w:line="276" w:lineRule="auto"/>
        <w:jc w:val="both"/>
      </w:pPr>
      <w:r>
        <w:rPr>
          <w:rFonts w:ascii="Arial" w:hAnsi="Arial"/>
          <w:sz w:val="22"/>
        </w:rPr>
        <w:t>Compared to the prior reporting period (2023), Scope 1 emissions increased by 2.36% in absolute terms, rising from 3,324.521 tCO₂e in 2023 to 3,402.997 tCO₂e in 2024. The increase of 78.476 tCO₂e was attributable to expanded operational hours at backup generator facilities during grid maintenance periods and the commissioning of two new branch locations in the fourth quarter of 2024. Natural gas consumption remained relatively stable year-over-year (0.06% increase), while diesel consumption increased by 3.66%, reflecting heightened reliance on standby power systems.</w:t>
      </w:r>
    </w:p>
    <w:p>
      <w:pPr>
        <w:spacing w:after="160" w:line="276" w:lineRule="auto"/>
        <w:jc w:val="both"/>
      </w:pPr>
      <w:r>
        <w:rPr>
          <w:rFonts w:ascii="Arial" w:hAnsi="Arial"/>
          <w:sz w:val="22"/>
        </w:rPr>
        <w:t>The organization established 2023 as the base year for GHG emissions tracking, coinciding with the implementation of comprehensive energy monitoring systems across all material facilities. The base year was selected because it represented the first reporting period with complete, auditable consumption data for all emission sources under operational control. Base year emissions totaled 3,324.521 tCO₂e. No recalculations of base year emissions were triggered during the current reporting period, as there were no structural changes (mergers, acquisitions, divestments) exceeding the 5% significance threshold defined in the organization's GHG accounting policy.</w:t>
      </w:r>
    </w:p>
    <w:p>
      <w:pPr>
        <w:spacing w:after="160" w:line="276" w:lineRule="auto"/>
        <w:jc w:val="both"/>
      </w:pPr>
      <w:r>
        <w:rPr>
          <w:rFonts w:ascii="Arial" w:hAnsi="Arial"/>
          <w:i/>
          <w:color w:val="646464"/>
          <w:sz w:val="18"/>
        </w:rPr>
        <w:t>Data quality for Scope 1 emissions was assessed as high-confidence (Quality Score: 1 out of 4, where 1 represents primary metered data). All fuel consumption data were derived from supplier invoices and facility-level meter readings, with no estimation or proxy data required. Monthly reconciliation procedures ensured alignment between financial procurement records and physical consumption logs.</w:t>
      </w:r>
    </w:p>
    <w:p>
      <w:r>
        <w:rPr>
          <w:rFonts w:ascii="Arial" w:hAnsi="Arial"/>
          <w:b/>
          <w:sz w:val="20"/>
        </w:rPr>
        <w:t>Table 1: Scope 1 GHG Emissions by Fuel Source (2024)</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Emission Source</w:t>
            </w:r>
          </w:p>
        </w:tc>
        <w:tc>
          <w:tcPr>
            <w:tcW w:type="dxa" w:w="2257"/>
            <w:shd w:fill="1B3A6B" w:val="clear"/>
          </w:tcPr>
          <w:p>
            <w:r>
              <w:rPr>
                <w:rFonts w:ascii="Arial" w:hAnsi="Arial"/>
                <w:b/>
                <w:color w:val="FFFFFF"/>
                <w:sz w:val="18"/>
              </w:rPr>
              <w:t>Emissions (tCO₂e)</w:t>
            </w:r>
          </w:p>
        </w:tc>
        <w:tc>
          <w:tcPr>
            <w:tcW w:type="dxa" w:w="2257"/>
            <w:shd w:fill="1B3A6B" w:val="clear"/>
          </w:tcPr>
          <w:p>
            <w:r>
              <w:rPr>
                <w:rFonts w:ascii="Arial" w:hAnsi="Arial"/>
                <w:b/>
                <w:color w:val="FFFFFF"/>
                <w:sz w:val="18"/>
              </w:rPr>
              <w:t>Percentage of Scope 1 Total</w:t>
            </w:r>
          </w:p>
        </w:tc>
        <w:tc>
          <w:tcPr>
            <w:tcW w:type="dxa" w:w="2257"/>
            <w:shd w:fill="1B3A6B" w:val="clear"/>
          </w:tcPr>
          <w:p>
            <w:r>
              <w:rPr>
                <w:rFonts w:ascii="Arial" w:hAnsi="Arial"/>
                <w:b/>
                <w:color w:val="FFFFFF"/>
                <w:sz w:val="18"/>
              </w:rPr>
              <w:t>Primary Facilities</w:t>
            </w:r>
          </w:p>
        </w:tc>
      </w:tr>
      <w:tr>
        <w:tc>
          <w:tcPr>
            <w:tcW w:type="dxa" w:w="2257"/>
          </w:tcPr>
          <w:p>
            <w:r>
              <w:rPr>
                <w:rFonts w:ascii="Arial" w:hAnsi="Arial"/>
                <w:sz w:val="18"/>
              </w:rPr>
              <w:t>Natural Gas Combustion</w:t>
            </w:r>
          </w:p>
        </w:tc>
        <w:tc>
          <w:tcPr>
            <w:tcW w:type="dxa" w:w="2257"/>
          </w:tcPr>
          <w:p>
            <w:pPr>
              <w:jc w:val="right"/>
            </w:pPr>
            <w:r>
              <w:rPr>
                <w:rFonts w:ascii="Arial" w:hAnsi="Arial"/>
                <w:sz w:val="18"/>
              </w:rPr>
              <w:t>1,199.7924</w:t>
            </w:r>
          </w:p>
        </w:tc>
        <w:tc>
          <w:tcPr>
            <w:tcW w:type="dxa" w:w="2257"/>
          </w:tcPr>
          <w:p>
            <w:pPr>
              <w:jc w:val="right"/>
            </w:pPr>
            <w:r>
              <w:rPr>
                <w:rFonts w:ascii="Arial" w:hAnsi="Arial"/>
                <w:sz w:val="18"/>
              </w:rPr>
              <w:t>35.3%</w:t>
            </w:r>
          </w:p>
        </w:tc>
        <w:tc>
          <w:tcPr>
            <w:tcW w:type="dxa" w:w="2257"/>
          </w:tcPr>
          <w:p>
            <w:r>
              <w:rPr>
                <w:rFonts w:ascii="Arial" w:hAnsi="Arial"/>
                <w:sz w:val="18"/>
              </w:rPr>
              <w:t>Head office, regional hubs</w:t>
            </w:r>
          </w:p>
        </w:tc>
      </w:tr>
      <w:tr>
        <w:tc>
          <w:tcPr>
            <w:tcW w:type="dxa" w:w="2257"/>
            <w:shd w:fill="F2F6FC" w:val="clear"/>
          </w:tcPr>
          <w:p>
            <w:r>
              <w:rPr>
                <w:rFonts w:ascii="Arial" w:hAnsi="Arial"/>
                <w:sz w:val="18"/>
              </w:rPr>
              <w:t>Diesel Combustion</w:t>
            </w:r>
          </w:p>
        </w:tc>
        <w:tc>
          <w:tcPr>
            <w:tcW w:type="dxa" w:w="2257"/>
            <w:shd w:fill="F2F6FC" w:val="clear"/>
          </w:tcPr>
          <w:p>
            <w:pPr>
              <w:jc w:val="right"/>
            </w:pPr>
            <w:r>
              <w:rPr>
                <w:rFonts w:ascii="Arial" w:hAnsi="Arial"/>
                <w:sz w:val="18"/>
              </w:rPr>
              <w:t>2,203.2044</w:t>
            </w:r>
          </w:p>
        </w:tc>
        <w:tc>
          <w:tcPr>
            <w:tcW w:type="dxa" w:w="2257"/>
            <w:shd w:fill="F2F6FC" w:val="clear"/>
          </w:tcPr>
          <w:p>
            <w:pPr>
              <w:jc w:val="right"/>
            </w:pPr>
            <w:r>
              <w:rPr>
                <w:rFonts w:ascii="Arial" w:hAnsi="Arial"/>
                <w:sz w:val="18"/>
              </w:rPr>
              <w:t>64.7%</w:t>
            </w:r>
          </w:p>
        </w:tc>
        <w:tc>
          <w:tcPr>
            <w:tcW w:type="dxa" w:w="2257"/>
            <w:shd w:fill="F2F6FC" w:val="clear"/>
          </w:tcPr>
          <w:p>
            <w:r>
              <w:rPr>
                <w:rFonts w:ascii="Arial" w:hAnsi="Arial"/>
                <w:sz w:val="18"/>
              </w:rPr>
              <w:t>Branch generators, data centers</w:t>
            </w:r>
          </w:p>
        </w:tc>
      </w:tr>
      <w:tr>
        <w:tc>
          <w:tcPr>
            <w:tcW w:type="dxa" w:w="2257"/>
          </w:tcPr>
          <w:p>
            <w:r>
              <w:rPr>
                <w:rFonts w:ascii="Arial" w:hAnsi="Arial"/>
                <w:sz w:val="18"/>
              </w:rPr>
              <w:t>**Total Scope 1**</w:t>
            </w:r>
          </w:p>
        </w:tc>
        <w:tc>
          <w:tcPr>
            <w:tcW w:type="dxa" w:w="2257"/>
          </w:tcPr>
          <w:p>
            <w:r>
              <w:rPr>
                <w:rFonts w:ascii="Arial" w:hAnsi="Arial"/>
                <w:sz w:val="18"/>
              </w:rPr>
              <w:t>**3,402.997**</w:t>
            </w:r>
          </w:p>
        </w:tc>
        <w:tc>
          <w:tcPr>
            <w:tcW w:type="dxa" w:w="2257"/>
          </w:tcPr>
          <w:p>
            <w:r>
              <w:rPr>
                <w:rFonts w:ascii="Arial" w:hAnsi="Arial"/>
                <w:sz w:val="18"/>
              </w:rPr>
              <w:t>**100.0%**</w:t>
            </w:r>
          </w:p>
        </w:tc>
        <w:tc>
          <w:tcPr>
            <w:tcW w:type="dxa" w:w="2257"/>
          </w:tcPr>
          <w:p>
            <w:r>
              <w:rPr>
                <w:rFonts w:ascii="Arial" w:hAnsi="Arial"/>
                <w:sz w:val="18"/>
              </w:rPr>
              <w:t>—</w:t>
            </w:r>
          </w:p>
        </w:tc>
      </w:tr>
    </w:tbl>
    <w:p>
      <w:r>
        <w:rPr>
          <w:rFonts w:ascii="Arial" w:hAnsi="Arial"/>
          <w:i/>
          <w:sz w:val="16"/>
        </w:rPr>
        <w:t>Source: Source: Facility energy consumption records and MEMR 2023 emission factors. Figures may not sum precisely due to rounding.</w:t>
      </w:r>
    </w:p>
    <w:p/>
    <w:p>
      <w:r>
        <w:rPr>
          <w:rFonts w:ascii="Arial" w:hAnsi="Arial"/>
          <w:b/>
          <w:sz w:val="20"/>
        </w:rPr>
        <w:t>Table 2: Year-over-Year Scope 1 Emissions Comparison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Reporting Period</w:t>
            </w:r>
          </w:p>
        </w:tc>
        <w:tc>
          <w:tcPr>
            <w:tcW w:type="dxa" w:w="1806"/>
            <w:shd w:fill="1B3A6B" w:val="clear"/>
          </w:tcPr>
          <w:p>
            <w:r>
              <w:rPr>
                <w:rFonts w:ascii="Arial" w:hAnsi="Arial"/>
                <w:b/>
                <w:color w:val="FFFFFF"/>
                <w:sz w:val="18"/>
              </w:rPr>
              <w:t>Natural Gas (tCO₂e)</w:t>
            </w:r>
          </w:p>
        </w:tc>
        <w:tc>
          <w:tcPr>
            <w:tcW w:type="dxa" w:w="1806"/>
            <w:shd w:fill="1B3A6B" w:val="clear"/>
          </w:tcPr>
          <w:p>
            <w:r>
              <w:rPr>
                <w:rFonts w:ascii="Arial" w:hAnsi="Arial"/>
                <w:b/>
                <w:color w:val="FFFFFF"/>
                <w:sz w:val="18"/>
              </w:rPr>
              <w:t>Diesel (tCO₂e)</w:t>
            </w:r>
          </w:p>
        </w:tc>
        <w:tc>
          <w:tcPr>
            <w:tcW w:type="dxa" w:w="1806"/>
            <w:shd w:fill="1B3A6B" w:val="clear"/>
          </w:tcPr>
          <w:p>
            <w:r>
              <w:rPr>
                <w:rFonts w:ascii="Arial" w:hAnsi="Arial"/>
                <w:b/>
                <w:color w:val="FFFFFF"/>
                <w:sz w:val="18"/>
              </w:rPr>
              <w:t>Total Scope 1 (tCO₂e)</w:t>
            </w:r>
          </w:p>
        </w:tc>
        <w:tc>
          <w:tcPr>
            <w:tcW w:type="dxa" w:w="1806"/>
            <w:shd w:fill="1B3A6B" w:val="clear"/>
          </w:tcPr>
          <w:p>
            <w:r>
              <w:rPr>
                <w:rFonts w:ascii="Arial" w:hAnsi="Arial"/>
                <w:b/>
                <w:color w:val="FFFFFF"/>
                <w:sz w:val="18"/>
              </w:rPr>
              <w:t>YoY Change (%)</w:t>
            </w:r>
          </w:p>
        </w:tc>
      </w:tr>
      <w:tr>
        <w:tc>
          <w:tcPr>
            <w:tcW w:type="dxa" w:w="1806"/>
          </w:tcPr>
          <w:p>
            <w:r>
              <w:rPr>
                <w:rFonts w:ascii="Arial" w:hAnsi="Arial"/>
                <w:sz w:val="18"/>
              </w:rPr>
              <w:t>2023 (Base Year)</w:t>
            </w:r>
          </w:p>
        </w:tc>
        <w:tc>
          <w:tcPr>
            <w:tcW w:type="dxa" w:w="1806"/>
          </w:tcPr>
          <w:p>
            <w:pPr>
              <w:jc w:val="right"/>
            </w:pPr>
            <w:r>
              <w:rPr>
                <w:rFonts w:ascii="Arial" w:hAnsi="Arial"/>
                <w:sz w:val="18"/>
              </w:rPr>
              <w:t>1,199.0321</w:t>
            </w:r>
          </w:p>
        </w:tc>
        <w:tc>
          <w:tcPr>
            <w:tcW w:type="dxa" w:w="1806"/>
          </w:tcPr>
          <w:p>
            <w:pPr>
              <w:jc w:val="right"/>
            </w:pPr>
            <w:r>
              <w:rPr>
                <w:rFonts w:ascii="Arial" w:hAnsi="Arial"/>
                <w:sz w:val="18"/>
              </w:rPr>
              <w:t>2,125.4888</w:t>
            </w:r>
          </w:p>
        </w:tc>
        <w:tc>
          <w:tcPr>
            <w:tcW w:type="dxa" w:w="1806"/>
          </w:tcPr>
          <w:p>
            <w:pPr>
              <w:jc w:val="right"/>
            </w:pPr>
            <w:r>
              <w:rPr>
                <w:rFonts w:ascii="Arial" w:hAnsi="Arial"/>
                <w:sz w:val="18"/>
              </w:rPr>
              <w:t>3,324.521</w:t>
            </w:r>
          </w:p>
        </w:tc>
        <w:tc>
          <w:tcPr>
            <w:tcW w:type="dxa" w:w="1806"/>
          </w:tcPr>
          <w:p>
            <w:r>
              <w:rPr>
                <w:rFonts w:ascii="Arial" w:hAnsi="Arial"/>
                <w:sz w:val="18"/>
              </w:rPr>
              <w:t>—</w:t>
            </w:r>
          </w:p>
        </w:tc>
      </w:tr>
      <w:tr>
        <w:tc>
          <w:tcPr>
            <w:tcW w:type="dxa" w:w="1806"/>
            <w:shd w:fill="F2F6FC" w:val="clear"/>
          </w:tcPr>
          <w:p>
            <w:pPr>
              <w:jc w:val="right"/>
            </w:pPr>
            <w:r>
              <w:rPr>
                <w:rFonts w:ascii="Arial" w:hAnsi="Arial"/>
                <w:sz w:val="18"/>
              </w:rPr>
              <w:t>2024</w:t>
            </w:r>
          </w:p>
        </w:tc>
        <w:tc>
          <w:tcPr>
            <w:tcW w:type="dxa" w:w="1806"/>
            <w:shd w:fill="F2F6FC" w:val="clear"/>
          </w:tcPr>
          <w:p>
            <w:pPr>
              <w:jc w:val="right"/>
            </w:pPr>
            <w:r>
              <w:rPr>
                <w:rFonts w:ascii="Arial" w:hAnsi="Arial"/>
                <w:sz w:val="18"/>
              </w:rPr>
              <w:t>1,199.7924</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3,402.997</w:t>
            </w:r>
          </w:p>
        </w:tc>
        <w:tc>
          <w:tcPr>
            <w:tcW w:type="dxa" w:w="1806"/>
            <w:shd w:fill="F2F6FC" w:val="clear"/>
          </w:tcPr>
          <w:p>
            <w:pPr>
              <w:jc w:val="right"/>
            </w:pPr>
            <w:r>
              <w:rPr>
                <w:rFonts w:ascii="Arial" w:hAnsi="Arial"/>
                <w:sz w:val="18"/>
              </w:rPr>
              <w:t>+2.36%</w:t>
            </w:r>
          </w:p>
        </w:tc>
      </w:tr>
    </w:tbl>
    <w:p>
      <w:r>
        <w:rPr>
          <w:rFonts w:ascii="Arial" w:hAnsi="Arial"/>
          <w:i/>
          <w:sz w:val="16"/>
        </w:rPr>
        <w:t>Source: Source: Annual GHG inventory records. Base year established in 2023 per organizational GHG accounting policy.</w:t>
      </w:r>
    </w:p>
    <w:p/>
    <w:p>
      <w:r>
        <w:rPr>
          <w:i/>
          <w:color w:val="3D6094"/>
          <w:sz w:val="18"/>
        </w:rPr>
        <w:t>Framework references: GRI 305-1a: Gross direct (Scope 1) GHG emissions in metric tons of CO₂ equivalent; GRI 305-1b: Gases included in the calculation (CO₂, CH₄, N₂O); GRI 305-1c: Biogenic CO₂ emissions; GRI 305-1d: Base year for the calculation; GRI 305-1e: Source of emission factors and GWP rates; GRI 305-1f: Consolidation approach (operational control); GRI 305-1g: Standards and methodologies used (GHG Protocol Corporate Standard 2015)</w:t>
      </w:r>
    </w:p>
    <w:p>
      <w:pPr>
        <w:spacing w:after="80"/>
        <w:pBdr>
          <w:bottom w:val="single" w:sz="6" w:space="1" w:color="999999"/>
        </w:pBdr>
      </w:pPr>
    </w:p>
    <w:p>
      <w:pPr>
        <w:spacing w:after="160" w:line="276" w:lineRule="auto"/>
        <w:jc w:val="both"/>
      </w:pPr>
      <w:r>
        <w:rPr>
          <w:rFonts w:ascii="Arial" w:hAnsi="Arial"/>
          <w:i/>
          <w:color w:val="646464"/>
          <w:sz w:val="18"/>
        </w:rPr>
        <w:t>GRI Content Index: 305-1 | Direct (Scope 1) GHG emissions | Section 4.1</w:t>
      </w:r>
    </w:p>
    <w:p>
      <w:pPr>
        <w:spacing w:after="160" w:line="276" w:lineRule="auto"/>
        <w:jc w:val="both"/>
      </w:pPr>
      <w:r>
        <w:rPr>
          <w:rFonts w:ascii="Arial" w:hAnsi="Arial"/>
          <w:i/>
          <w:color w:val="646464"/>
          <w:sz w:val="18"/>
        </w:rPr>
        <w:t>Emission factors: Natural gas = 56.1 kgCO₂e/GJ; Diesel = 2.7 kgCO₂e/liter (MEMR 2023 National Emission Factor Database)</w:t>
      </w:r>
    </w:p>
    <w:p>
      <w:pPr>
        <w:spacing w:after="160" w:line="276" w:lineRule="auto"/>
        <w:jc w:val="both"/>
      </w:pPr>
      <w:r>
        <w:rPr>
          <w:rFonts w:ascii="Arial" w:hAnsi="Arial"/>
          <w:i/>
          <w:color w:val="646464"/>
          <w:sz w:val="18"/>
        </w:rPr>
        <w:t>GWP values: CH₄ = 29.8, N₂O = 273.0 (IPCC AR6, 100-year time horizon)</w:t>
      </w:r>
    </w:p>
    <w:p>
      <w:pPr>
        <w:spacing w:after="160" w:line="276" w:lineRule="auto"/>
        <w:jc w:val="both"/>
      </w:pPr>
      <w:r>
        <w:rPr>
          <w:rFonts w:ascii="Arial" w:hAnsi="Arial"/>
          <w:i/>
          <w:color w:val="646464"/>
          <w:sz w:val="18"/>
        </w:rPr>
        <w:t>Consolidation approach: Operational control per GHG Protocol Corporate Standard</w:t>
      </w:r>
    </w:p>
    <w:p>
      <w:pPr>
        <w:spacing w:after="160" w:line="276" w:lineRule="auto"/>
        <w:jc w:val="both"/>
      </w:pPr>
      <w:r>
        <w:rPr>
          <w:rFonts w:ascii="Arial" w:hAnsi="Arial"/>
          <w:i/>
          <w:color w:val="646464"/>
          <w:sz w:val="18"/>
        </w:rPr>
        <w:t>No biogenic CO₂ emissions were material during the reporting period</w:t>
      </w:r>
    </w:p>
    <w:p>
      <w:pPr>
        <w:spacing w:after="160" w:line="276" w:lineRule="auto"/>
        <w:jc w:val="both"/>
      </w:pPr>
      <w:r>
        <w:rPr>
          <w:rFonts w:ascii="Arial" w:hAnsi="Arial"/>
          <w:i/>
          <w:color w:val="646464"/>
          <w:sz w:val="18"/>
        </w:rPr>
        <w:t>Data quality score: 1/4 (primary metered data with no estimation required)</w:t>
      </w:r>
    </w:p>
    <w:p>
      <w:pPr>
        <w:spacing w:after="160" w:line="276" w:lineRule="auto"/>
        <w:jc w:val="both"/>
      </w:pPr>
      <w:r>
        <w:rPr>
          <w:rFonts w:ascii="Arial" w:hAnsi="Arial"/>
          <w:i/>
          <w:color w:val="646464"/>
          <w:sz w:val="18"/>
        </w:rPr>
        <w:t>These figures have not been subject to external assurance for the current reporting period.</w:t>
      </w:r>
    </w:p>
    <w:p>
      <w:r>
        <w:br w:type="page"/>
      </w:r>
    </w:p>
    <w:p>
      <w:pPr>
        <w:pStyle w:val="Heading1"/>
        <w:keepNext/>
        <w:spacing w:before="480" w:after="240"/>
      </w:pPr>
      <w:r>
        <w:rPr>
          <w:rFonts w:ascii="Arial" w:hAnsi="Arial"/>
          <w:b/>
          <w:color w:val="1B3A6B"/>
          <w:sz w:val="36"/>
        </w:rPr>
        <w:t>Scope 1 Direct GHG Emissions</w:t>
      </w:r>
    </w:p>
    <w:p>
      <w:pPr>
        <w:spacing w:after="160" w:line="276" w:lineRule="auto"/>
        <w:jc w:val="both"/>
      </w:pPr>
      <w:r>
        <w:rPr>
          <w:rFonts w:ascii="Arial" w:hAnsi="Arial"/>
          <w:sz w:val="22"/>
        </w:rPr>
        <w:t>The institution's Scope 1 direct greenhouse gas emissions for the reporting period ending 31 December 2024 totaled 3,402.997 tCO2e. These emissions arise from stationary combustion sources under the institution's operational control, comprising natural gas consumption in building heating systems and diesel fuel combustion in backup power generation equipment across the institution's facility network.</w:t>
      </w:r>
    </w:p>
    <w:p>
      <w:pPr>
        <w:spacing w:after="160" w:line="276" w:lineRule="auto"/>
        <w:jc w:val="both"/>
      </w:pPr>
      <w:r>
        <w:rPr>
          <w:rFonts w:ascii="Arial" w:hAnsi="Arial"/>
          <w:sz w:val="22"/>
        </w:rPr>
        <w:t>The Scope 1 emission inventory comprises two primary source categories: natural gas combustion contributed 1,199.7924 tCO2e (35.3% of total Scope 1 emissions), while diesel combustion in emergency generators and uninterruptible power supply systems contributed 2,203.2044 tCO2e (64.7% of total Scope 1 emissions). The higher proportion of diesel-related emissions reflects the institution's reliance on backup power infrastructure to maintain operational continuity in regions with grid instability.</w:t>
      </w:r>
    </w:p>
    <w:p>
      <w:pPr>
        <w:spacing w:after="160" w:line="276" w:lineRule="auto"/>
        <w:jc w:val="both"/>
      </w:pPr>
      <w:r>
        <w:rPr>
          <w:rFonts w:ascii="Arial" w:hAnsi="Arial"/>
          <w:i/>
          <w:sz w:val="22"/>
        </w:rPr>
        <w:t>Scope 1 emissions were measured in accordance with the Greenhouse Gas Protocol: A Corporate Accounting and Reporting Standard (2004) as required by IFRS S2 paragraph 29(a)(ii). The institution applied the operational control consolidation approach, whereby all emissions from facilities under its operational control are included in the inventory regardless of equity share. Emission factors for natural gas and diesel combustion were sourced from Indonesia's Ministry of Energy and Mineral Resources 2023 National Emission Factor Database. Carbon dioxide equivalent values were calculated using global warming potential values from the IPCC Sixth Assessment Report (AR6) with a 100-year time horizon: CO2 = 1, CH4 = 29.8, N2O = 273.0. The inventory includes emissions of carbon dioxide, methane, and nitrous oxide from combustion processes.</w:t>
      </w:r>
    </w:p>
    <w:p>
      <w:pPr>
        <w:spacing w:after="160" w:line="276" w:lineRule="auto"/>
        <w:jc w:val="both"/>
      </w:pPr>
      <w:r>
        <w:rPr>
          <w:rFonts w:ascii="Arial" w:hAnsi="Arial"/>
          <w:sz w:val="22"/>
        </w:rPr>
        <w:t>Scope 1 emissions increased by 2.36% compared to the prior reporting period (2023: 3,324.521 tCO2e). The increase of 78.476 tCO2e is attributable to extended operational hours for backup diesel generators during Q2 2024 grid maintenance events affecting the institution's Jakarta and Surabaya facilities, which accounted for an additional 77.7156 tCO2e of diesel combustion emissions. Natural gas consumption remained relatively stable year-over-year, increasing by 0.7603 tCO2e (0.06%) due to minor variations in heating degree days across the reporting period.</w:t>
      </w:r>
    </w:p>
    <w:p>
      <w:pPr>
        <w:spacing w:after="160" w:line="276" w:lineRule="auto"/>
        <w:jc w:val="both"/>
      </w:pPr>
      <w:r>
        <w:rPr>
          <w:rFonts w:ascii="Arial" w:hAnsi="Arial"/>
          <w:sz w:val="22"/>
        </w:rPr>
        <w:t>The institution has established 2023 as the base year for greenhouse gas emissions tracking in alignment with its climate transition plan adopted in Q4 2023. Against this base year, Scope 1 emissions increased by 2.36%, representing a deviation from the institution's medium-term target of maintaining Scope 1 emissions at or below base year levels through energy efficiency improvements and renewable energy integration. The institution is implementing a diesel generator replacement program scheduled for completion in 2026, which is expected to reduce diesel-related Scope 1 emissions by approximately 40% through deployment of hybrid battery-diesel systems with optimized run-time algorithms.</w:t>
      </w:r>
    </w:p>
    <w:p>
      <w:r>
        <w:rPr>
          <w:rFonts w:ascii="Arial" w:hAnsi="Arial"/>
          <w:b/>
          <w:sz w:val="20"/>
        </w:rPr>
        <w:t>Table 1: Scope 1 Direct GHG Emissions by Source Category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Emission Source</w:t>
            </w:r>
          </w:p>
        </w:tc>
        <w:tc>
          <w:tcPr>
            <w:tcW w:type="dxa" w:w="1806"/>
            <w:shd w:fill="1B3A6B" w:val="clear"/>
          </w:tcPr>
          <w:p>
            <w:r>
              <w:rPr>
                <w:rFonts w:ascii="Arial" w:hAnsi="Arial"/>
                <w:b/>
                <w:color w:val="FFFFFF"/>
                <w:sz w:val="18"/>
              </w:rPr>
              <w:t>Emissions (tCO2e)</w:t>
            </w:r>
          </w:p>
        </w:tc>
        <w:tc>
          <w:tcPr>
            <w:tcW w:type="dxa" w:w="1806"/>
            <w:shd w:fill="1B3A6B" w:val="clear"/>
          </w:tcPr>
          <w:p>
            <w:r>
              <w:rPr>
                <w:rFonts w:ascii="Arial" w:hAnsi="Arial"/>
                <w:b/>
                <w:color w:val="FFFFFF"/>
                <w:sz w:val="18"/>
              </w:rPr>
              <w:t>Percentage of Scope 1 Total</w:t>
            </w:r>
          </w:p>
        </w:tc>
        <w:tc>
          <w:tcPr>
            <w:tcW w:type="dxa" w:w="1806"/>
            <w:shd w:fill="1B3A6B" w:val="clear"/>
          </w:tcPr>
          <w:p>
            <w:r>
              <w:rPr>
                <w:rFonts w:ascii="Arial" w:hAnsi="Arial"/>
                <w:b/>
                <w:color w:val="FFFFFF"/>
                <w:sz w:val="18"/>
              </w:rPr>
              <w:t>Primary Fuel Type</w:t>
            </w:r>
          </w:p>
        </w:tc>
        <w:tc>
          <w:tcPr>
            <w:tcW w:type="dxa" w:w="1806"/>
            <w:shd w:fill="1B3A6B" w:val="clear"/>
          </w:tcPr>
          <w:p>
            <w:r>
              <w:rPr>
                <w:rFonts w:ascii="Arial" w:hAnsi="Arial"/>
                <w:b/>
                <w:color w:val="FFFFFF"/>
                <w:sz w:val="18"/>
              </w:rPr>
              <w:t>Number of Facilities</w:t>
            </w:r>
          </w:p>
        </w:tc>
      </w:tr>
      <w:tr>
        <w:tc>
          <w:tcPr>
            <w:tcW w:type="dxa" w:w="1806"/>
          </w:tcPr>
          <w:p>
            <w:r>
              <w:rPr>
                <w:rFonts w:ascii="Arial" w:hAnsi="Arial"/>
                <w:sz w:val="18"/>
              </w:rPr>
              <w:t>Stationary Combustion - Natural Gas</w:t>
            </w:r>
          </w:p>
        </w:tc>
        <w:tc>
          <w:tcPr>
            <w:tcW w:type="dxa" w:w="1806"/>
          </w:tcPr>
          <w:p>
            <w:pPr>
              <w:jc w:val="right"/>
            </w:pPr>
            <w:r>
              <w:rPr>
                <w:rFonts w:ascii="Arial" w:hAnsi="Arial"/>
                <w:sz w:val="18"/>
              </w:rPr>
              <w:t>1,199.7924</w:t>
            </w:r>
          </w:p>
        </w:tc>
        <w:tc>
          <w:tcPr>
            <w:tcW w:type="dxa" w:w="1806"/>
          </w:tcPr>
          <w:p>
            <w:pPr>
              <w:jc w:val="right"/>
            </w:pPr>
            <w:r>
              <w:rPr>
                <w:rFonts w:ascii="Arial" w:hAnsi="Arial"/>
                <w:sz w:val="18"/>
              </w:rPr>
              <w:t>35.3%</w:t>
            </w:r>
          </w:p>
        </w:tc>
        <w:tc>
          <w:tcPr>
            <w:tcW w:type="dxa" w:w="1806"/>
          </w:tcPr>
          <w:p>
            <w:r>
              <w:rPr>
                <w:rFonts w:ascii="Arial" w:hAnsi="Arial"/>
                <w:sz w:val="18"/>
              </w:rPr>
              <w:t>Natural Gas</w:t>
            </w:r>
          </w:p>
        </w:tc>
        <w:tc>
          <w:tcPr>
            <w:tcW w:type="dxa" w:w="1806"/>
          </w:tcPr>
          <w:p>
            <w:pPr>
              <w:jc w:val="right"/>
            </w:pPr>
            <w:r>
              <w:rPr>
                <w:rFonts w:ascii="Arial" w:hAnsi="Arial"/>
                <w:sz w:val="18"/>
              </w:rPr>
              <w:t>7</w:t>
            </w:r>
          </w:p>
        </w:tc>
      </w:tr>
      <w:tr>
        <w:tc>
          <w:tcPr>
            <w:tcW w:type="dxa" w:w="1806"/>
            <w:shd w:fill="F2F6FC" w:val="clear"/>
          </w:tcPr>
          <w:p>
            <w:r>
              <w:rPr>
                <w:rFonts w:ascii="Arial" w:hAnsi="Arial"/>
                <w:sz w:val="18"/>
              </w:rPr>
              <w:t>Stationary Combustion - Diesel</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64.7%</w:t>
            </w:r>
          </w:p>
        </w:tc>
        <w:tc>
          <w:tcPr>
            <w:tcW w:type="dxa" w:w="1806"/>
            <w:shd w:fill="F2F6FC" w:val="clear"/>
          </w:tcPr>
          <w:p>
            <w:r>
              <w:rPr>
                <w:rFonts w:ascii="Arial" w:hAnsi="Arial"/>
                <w:sz w:val="18"/>
              </w:rPr>
              <w:t>Diesel Fuel</w:t>
            </w:r>
          </w:p>
        </w:tc>
        <w:tc>
          <w:tcPr>
            <w:tcW w:type="dxa" w:w="1806"/>
            <w:shd w:fill="F2F6FC" w:val="clear"/>
          </w:tcPr>
          <w:p>
            <w:pPr>
              <w:jc w:val="right"/>
            </w:pPr>
            <w:r>
              <w:rPr>
                <w:rFonts w:ascii="Arial" w:hAnsi="Arial"/>
                <w:sz w:val="18"/>
              </w:rPr>
              <w:t>10</w:t>
            </w:r>
          </w:p>
        </w:tc>
      </w:tr>
      <w:tr>
        <w:tc>
          <w:tcPr>
            <w:tcW w:type="dxa" w:w="1806"/>
          </w:tcPr>
          <w:p>
            <w:r>
              <w:rPr>
                <w:rFonts w:ascii="Arial" w:hAnsi="Arial"/>
                <w:sz w:val="18"/>
              </w:rPr>
              <w:t>Total Scope 1 Emissions</w:t>
            </w:r>
          </w:p>
        </w:tc>
        <w:tc>
          <w:tcPr>
            <w:tcW w:type="dxa" w:w="1806"/>
          </w:tcPr>
          <w:p>
            <w:pPr>
              <w:jc w:val="right"/>
            </w:pPr>
            <w:r>
              <w:rPr>
                <w:rFonts w:ascii="Arial" w:hAnsi="Arial"/>
                <w:sz w:val="18"/>
              </w:rPr>
              <w:t>3,402.997</w:t>
            </w:r>
          </w:p>
        </w:tc>
        <w:tc>
          <w:tcPr>
            <w:tcW w:type="dxa" w:w="1806"/>
          </w:tcPr>
          <w:p>
            <w:pPr>
              <w:jc w:val="right"/>
            </w:pPr>
            <w:r>
              <w:rPr>
                <w:rFonts w:ascii="Arial" w:hAnsi="Arial"/>
                <w:sz w:val="18"/>
              </w:rPr>
              <w:t>100.0%</w:t>
            </w:r>
          </w:p>
        </w:tc>
        <w:tc>
          <w:tcPr>
            <w:tcW w:type="dxa" w:w="1806"/>
          </w:tcPr>
          <w:p>
            <w:r>
              <w:rPr>
                <w:rFonts w:ascii="Arial" w:hAnsi="Arial"/>
                <w:sz w:val="18"/>
              </w:rPr>
              <w:t>—</w:t>
            </w:r>
          </w:p>
        </w:tc>
        <w:tc>
          <w:tcPr>
            <w:tcW w:type="dxa" w:w="1806"/>
          </w:tcPr>
          <w:p>
            <w:r>
              <w:rPr>
                <w:rFonts w:ascii="Arial" w:hAnsi="Arial"/>
                <w:sz w:val="18"/>
              </w:rPr>
              <w:t>—</w:t>
            </w:r>
          </w:p>
        </w:tc>
      </w:tr>
    </w:tbl>
    <w:p>
      <w:r>
        <w:rPr>
          <w:rFonts w:ascii="Arial" w:hAnsi="Arial"/>
          <w:i/>
          <w:sz w:val="16"/>
        </w:rPr>
        <w:t>Source: Source: Internal GHG inventory system. Emissions calculated per GHG Protocol Corporate Standard using Indonesia Ministry of Energy and Mineral Resources emission factors (2023). GWP values from IPCC AR6.</w:t>
      </w:r>
    </w:p>
    <w:p/>
    <w:p>
      <w:r>
        <w:rPr>
          <w:i/>
          <w:color w:val="3D6094"/>
          <w:sz w:val="18"/>
        </w:rPr>
        <w:t>Framework references: IFRS S2 para 29(a)(i) - Scope 1 greenhouse gas emissions; IFRS S2 para B23 - Greenhouse Gas Protocol application; IFRS S2 para 33(a) - Methodology disclosure; IFRS S2 para 33(b) - Consolidation approach disclosure</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Scope 1 emissions reconciliation: Natural gas (1,199.7924 tCO2e) + Diesel (2,203.2044 tCO2e) = Total Scope 1 (3,402.997 tCO2e). Values reconcile to reported total within rounding precision.</w:t>
      </w:r>
    </w:p>
    <w:p>
      <w:r>
        <w:br w:type="page"/>
      </w:r>
    </w:p>
    <w:p>
      <w:pPr>
        <w:pStyle w:val="Heading1"/>
        <w:keepNext/>
        <w:spacing w:before="480" w:after="240"/>
      </w:pPr>
      <w:r>
        <w:rPr>
          <w:rFonts w:ascii="Arial" w:hAnsi="Arial"/>
          <w:b/>
          <w:color w:val="1B3A6B"/>
          <w:sz w:val="36"/>
        </w:rPr>
        <w:t>E1-6: Scope 1 Direct GHG Emissions</w:t>
      </w:r>
    </w:p>
    <w:p>
      <w:pPr>
        <w:spacing w:after="160" w:line="276" w:lineRule="auto"/>
        <w:jc w:val="both"/>
      </w:pPr>
      <w:r>
        <w:rPr>
          <w:rFonts w:ascii="Arial" w:hAnsi="Arial"/>
          <w:sz w:val="22"/>
        </w:rPr>
        <w:t>**Double Materiality Context**: Climate change has been assessed as material under both impact materiality (the institution's impact on climate through GHG emissions) and financial materiality (climate-related risks and opportunities affecting the institution's financial position, performance, and cash flows). Scope 1 emissions represent the institution's direct contribution to climate change through combustion of fossil fuels in owned or controlled sources.</w:t>
      </w:r>
    </w:p>
    <w:p>
      <w:pPr>
        <w:spacing w:after="160" w:line="276" w:lineRule="auto"/>
        <w:jc w:val="both"/>
      </w:pPr>
      <w:r>
        <w:rPr>
          <w:rFonts w:ascii="Arial" w:hAnsi="Arial"/>
          <w:sz w:val="22"/>
        </w:rPr>
        <w:t>For the reporting period ending 31 December 2024, the institution's total Scope 1 direct greenhouse gas emissions were 3402.997 tCO2e. These emissions arise from stationary combustion sources at facilities under the institution's operational control across Indonesia.</w:t>
      </w:r>
    </w:p>
    <w:p>
      <w:pPr>
        <w:spacing w:after="160" w:line="276" w:lineRule="auto"/>
        <w:jc w:val="both"/>
      </w:pPr>
      <w:r>
        <w:rPr>
          <w:rFonts w:ascii="Arial" w:hAnsi="Arial"/>
          <w:sz w:val="22"/>
        </w:rPr>
        <w:t>The Scope 1 emissions comprise two primary fuel sources: natural gas combustion contributed 1199.7924 tCO2e (35.3% of total Scope 1), while diesel combustion in backup generators and emergency equipment accounted for 2203.2044 tCO2e (64.7% of total Scope 1). The predominance of diesel-sourced emissions reflects the institution's reliance on backup power systems in regions with grid reliability challenges.</w:t>
      </w:r>
    </w:p>
    <w:p>
      <w:pPr>
        <w:spacing w:after="160" w:line="276" w:lineRule="auto"/>
        <w:jc w:val="both"/>
      </w:pPr>
      <w:r>
        <w:rPr>
          <w:rFonts w:ascii="Arial" w:hAnsi="Arial"/>
          <w:i/>
          <w:sz w:val="22"/>
        </w:rPr>
        <w:t>**Methodology**: Scope 1 emissions were calculated in accordance with the GHG Protocol Corporate Accounting and Reporting Standard (2015 revision) using the operational control consolidation approach. Emission factors were sourced from Indonesia's Ministry of Energy and Mineral Resources (MEMR) 2023 National Emission Factors for stationary combustion. Global Warming Potential (GWP) values from the IPCC Sixth Assessment Report (AR6) were applied: CO2 = 1, CH4 = 29.8, N2O = 273.0 (100-year time horizon). All three Kyoto Protocol gases (CO2, CH4, N2O) are included in the calculation. Activity data (fuel consumption in GJ for natural gas and liters for diesel) were obtained from facility-level utility invoices and fuel purchase records.</w:t>
      </w:r>
    </w:p>
    <w:p>
      <w:pPr>
        <w:spacing w:after="160" w:line="276" w:lineRule="auto"/>
        <w:jc w:val="both"/>
      </w:pPr>
      <w:r>
        <w:rPr>
          <w:rFonts w:ascii="Arial" w:hAnsi="Arial"/>
          <w:sz w:val="22"/>
        </w:rPr>
        <w:t>Compared to the prior reporting period (2023), Scope 1 emissions increased by 2.36% from 3324.521 tCO2e to 3402.997 tCO2e. This increase of 78.476 tCO2e is attributed to expanded operational footprint with the addition of two branch facilities in Q2 2024, partially offset by energy efficiency improvements in HVAC systems at three existing facilities. Natural gas consumption remained relatively stable (increase of 0.76 tCO2e), while diesel consumption increased by 77.7156 tCO2e due to higher backup generator runtime during grid maintenance events in Jakarta and Surabaya regions.</w:t>
      </w:r>
    </w:p>
    <w:p>
      <w:pPr>
        <w:spacing w:after="160" w:line="276" w:lineRule="auto"/>
        <w:jc w:val="both"/>
      </w:pPr>
      <w:r>
        <w:rPr>
          <w:rFonts w:ascii="Arial" w:hAnsi="Arial"/>
          <w:sz w:val="22"/>
        </w:rPr>
        <w:t>As 2024 represents the base year for the institution's climate targets under ESRS E1-4, no base year comparison is applicable for this reporting period. Future disclosures will track progress against this 3402.997 tCO2e baseline.</w:t>
      </w:r>
    </w:p>
    <w:p>
      <w:pPr>
        <w:spacing w:after="160" w:line="276" w:lineRule="auto"/>
        <w:jc w:val="both"/>
      </w:pPr>
      <w:r>
        <w:rPr>
          <w:rFonts w:ascii="Arial" w:hAnsi="Arial"/>
          <w:sz w:val="22"/>
        </w:rPr>
        <w:t>**Value Chain Context**: Scope 1 emissions represent the institution's own operations impact within the ESRS value chain framework. These direct emissions are distinct from upstream value chain emissions (Scope 3 Category 1-8) and downstream financed emissions (Scope 3 Category 15), which are disclosed separately under E1-6 Scope 3 requirements. The institution's transition plan (E1-1) addresses Scope 1 reduction through renewable energy procurement and facility energy efficiency programs targeting a 42% reduction by 2030.</w:t>
      </w:r>
    </w:p>
    <w:p>
      <w:r>
        <w:rPr>
          <w:rFonts w:ascii="Arial" w:hAnsi="Arial"/>
          <w:b/>
          <w:sz w:val="20"/>
        </w:rPr>
        <w:t>Table E1-6a: Scope 1 Direct GHG Emissions by Source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Emission Source</w:t>
            </w:r>
          </w:p>
        </w:tc>
        <w:tc>
          <w:tcPr>
            <w:tcW w:type="dxa" w:w="1806"/>
            <w:shd w:fill="1B3A6B" w:val="clear"/>
          </w:tcPr>
          <w:p>
            <w:r>
              <w:rPr>
                <w:rFonts w:ascii="Arial" w:hAnsi="Arial"/>
                <w:b/>
                <w:color w:val="FFFFFF"/>
                <w:sz w:val="18"/>
              </w:rPr>
              <w:t>Fuel Type</w:t>
            </w:r>
          </w:p>
        </w:tc>
        <w:tc>
          <w:tcPr>
            <w:tcW w:type="dxa" w:w="1806"/>
            <w:shd w:fill="1B3A6B" w:val="clear"/>
          </w:tcPr>
          <w:p>
            <w:r>
              <w:rPr>
                <w:rFonts w:ascii="Arial" w:hAnsi="Arial"/>
                <w:b/>
                <w:color w:val="FFFFFF"/>
                <w:sz w:val="18"/>
              </w:rPr>
              <w:t>Emissions (tCO2e)</w:t>
            </w:r>
          </w:p>
        </w:tc>
        <w:tc>
          <w:tcPr>
            <w:tcW w:type="dxa" w:w="1806"/>
            <w:shd w:fill="1B3A6B" w:val="clear"/>
          </w:tcPr>
          <w:p>
            <w:r>
              <w:rPr>
                <w:rFonts w:ascii="Arial" w:hAnsi="Arial"/>
                <w:b/>
                <w:color w:val="FFFFFF"/>
                <w:sz w:val="18"/>
              </w:rPr>
              <w:t>% of Scope 1 Total</w:t>
            </w:r>
          </w:p>
        </w:tc>
        <w:tc>
          <w:tcPr>
            <w:tcW w:type="dxa" w:w="1806"/>
            <w:shd w:fill="1B3A6B" w:val="clear"/>
          </w:tcPr>
          <w:p>
            <w:r>
              <w:rPr>
                <w:rFonts w:ascii="Arial" w:hAnsi="Arial"/>
                <w:b/>
                <w:color w:val="FFFFFF"/>
                <w:sz w:val="18"/>
              </w:rPr>
              <w:t>Primary Facilities</w:t>
            </w:r>
          </w:p>
        </w:tc>
      </w:tr>
      <w:tr>
        <w:tc>
          <w:tcPr>
            <w:tcW w:type="dxa" w:w="1806"/>
          </w:tcPr>
          <w:p>
            <w:r>
              <w:rPr>
                <w:rFonts w:ascii="Arial" w:hAnsi="Arial"/>
                <w:sz w:val="18"/>
              </w:rPr>
              <w:t>Stationary Combustion - Natural Gas</w:t>
            </w:r>
          </w:p>
        </w:tc>
        <w:tc>
          <w:tcPr>
            <w:tcW w:type="dxa" w:w="1806"/>
          </w:tcPr>
          <w:p>
            <w:r>
              <w:rPr>
                <w:rFonts w:ascii="Arial" w:hAnsi="Arial"/>
                <w:sz w:val="18"/>
              </w:rPr>
              <w:t>Natural Gas</w:t>
            </w:r>
          </w:p>
        </w:tc>
        <w:tc>
          <w:tcPr>
            <w:tcW w:type="dxa" w:w="1806"/>
          </w:tcPr>
          <w:p>
            <w:pPr>
              <w:jc w:val="right"/>
            </w:pPr>
            <w:r>
              <w:rPr>
                <w:rFonts w:ascii="Arial" w:hAnsi="Arial"/>
                <w:sz w:val="18"/>
              </w:rPr>
              <w:t>1199.7924</w:t>
            </w:r>
          </w:p>
        </w:tc>
        <w:tc>
          <w:tcPr>
            <w:tcW w:type="dxa" w:w="1806"/>
          </w:tcPr>
          <w:p>
            <w:pPr>
              <w:jc w:val="right"/>
            </w:pPr>
            <w:r>
              <w:rPr>
                <w:rFonts w:ascii="Arial" w:hAnsi="Arial"/>
                <w:sz w:val="18"/>
              </w:rPr>
              <w:t>35.3%</w:t>
            </w:r>
          </w:p>
        </w:tc>
        <w:tc>
          <w:tcPr>
            <w:tcW w:type="dxa" w:w="1806"/>
          </w:tcPr>
          <w:p>
            <w:r>
              <w:rPr>
                <w:rFonts w:ascii="Arial" w:hAnsi="Arial"/>
                <w:sz w:val="18"/>
              </w:rPr>
              <w:t>FAC-0197, FAC-0198, FAC-0200, FAC-0196, FAC-0199</w:t>
            </w:r>
          </w:p>
        </w:tc>
      </w:tr>
      <w:tr>
        <w:tc>
          <w:tcPr>
            <w:tcW w:type="dxa" w:w="1806"/>
            <w:shd w:fill="F2F6FC" w:val="clear"/>
          </w:tcPr>
          <w:p>
            <w:r>
              <w:rPr>
                <w:rFonts w:ascii="Arial" w:hAnsi="Arial"/>
                <w:sz w:val="18"/>
              </w:rPr>
              <w:t>Stationary Combustion - Diesel</w:t>
            </w:r>
          </w:p>
        </w:tc>
        <w:tc>
          <w:tcPr>
            <w:tcW w:type="dxa" w:w="1806"/>
            <w:shd w:fill="F2F6FC" w:val="clear"/>
          </w:tcPr>
          <w:p>
            <w:r>
              <w:rPr>
                <w:rFonts w:ascii="Arial" w:hAnsi="Arial"/>
                <w:sz w:val="18"/>
              </w:rPr>
              <w:t>Diesel (Backup Generators)</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64.7%</w:t>
            </w:r>
          </w:p>
        </w:tc>
        <w:tc>
          <w:tcPr>
            <w:tcW w:type="dxa" w:w="1806"/>
            <w:shd w:fill="F2F6FC" w:val="clear"/>
          </w:tcPr>
          <w:p>
            <w:r>
              <w:rPr>
                <w:rFonts w:ascii="Arial" w:hAnsi="Arial"/>
                <w:sz w:val="18"/>
              </w:rPr>
              <w:t>FAC-0193, FAC-0191, FAC-0181, FAC-0215, FAC-0208</w:t>
            </w:r>
          </w:p>
        </w:tc>
      </w:tr>
      <w:tr>
        <w:tc>
          <w:tcPr>
            <w:tcW w:type="dxa" w:w="1806"/>
          </w:tcPr>
          <w:p>
            <w:r>
              <w:rPr>
                <w:rFonts w:ascii="Arial" w:hAnsi="Arial"/>
                <w:sz w:val="18"/>
              </w:rPr>
              <w:t>**Total Scope 1**</w:t>
            </w:r>
          </w:p>
        </w:tc>
        <w:tc>
          <w:tcPr>
            <w:tcW w:type="dxa" w:w="1806"/>
          </w:tcPr>
          <w:p>
            <w:r>
              <w:rPr>
                <w:rFonts w:ascii="Arial" w:hAnsi="Arial"/>
                <w:sz w:val="18"/>
              </w:rPr>
              <w:t>—</w:t>
            </w:r>
          </w:p>
        </w:tc>
        <w:tc>
          <w:tcPr>
            <w:tcW w:type="dxa" w:w="1806"/>
          </w:tcPr>
          <w:p>
            <w:r>
              <w:rPr>
                <w:rFonts w:ascii="Arial" w:hAnsi="Arial"/>
                <w:sz w:val="18"/>
              </w:rPr>
              <w:t>**3402.997**</w:t>
            </w:r>
          </w:p>
        </w:tc>
        <w:tc>
          <w:tcPr>
            <w:tcW w:type="dxa" w:w="1806"/>
          </w:tcPr>
          <w:p>
            <w:r>
              <w:rPr>
                <w:rFonts w:ascii="Arial" w:hAnsi="Arial"/>
                <w:sz w:val="18"/>
              </w:rPr>
              <w:t>**100.0%**</w:t>
            </w:r>
          </w:p>
        </w:tc>
        <w:tc>
          <w:tcPr>
            <w:tcW w:type="dxa" w:w="1806"/>
          </w:tcPr>
          <w:p>
            <w:r>
              <w:rPr>
                <w:rFonts w:ascii="Arial" w:hAnsi="Arial"/>
                <w:sz w:val="18"/>
              </w:rPr>
              <w:t>—</w:t>
            </w:r>
          </w:p>
        </w:tc>
      </w:tr>
    </w:tbl>
    <w:p>
      <w:r>
        <w:rPr>
          <w:rFonts w:ascii="Arial" w:hAnsi="Arial"/>
          <w:i/>
          <w:sz w:val="16"/>
        </w:rPr>
        <w:t>Source: Source: Facility-level utility invoices and fuel purchase records (2024). Emission factors: Indonesia MEMR 2023. GWP values: IPCC AR6. Consolidation: Operational control.</w:t>
      </w:r>
    </w:p>
    <w:p/>
    <w:p>
      <w:r>
        <w:rPr>
          <w:rFonts w:ascii="Arial" w:hAnsi="Arial"/>
          <w:b/>
          <w:sz w:val="20"/>
        </w:rPr>
        <w:t>Table E1-6b: Top 10 Facilities by Scope 1 Emissions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Facility ID</w:t>
            </w:r>
          </w:p>
        </w:tc>
        <w:tc>
          <w:tcPr>
            <w:tcW w:type="dxa" w:w="1806"/>
            <w:shd w:fill="1B3A6B" w:val="clear"/>
          </w:tcPr>
          <w:p>
            <w:r>
              <w:rPr>
                <w:rFonts w:ascii="Arial" w:hAnsi="Arial"/>
                <w:b/>
                <w:color w:val="FFFFFF"/>
                <w:sz w:val="18"/>
              </w:rPr>
              <w:t>Total Scope 1 (tCO2e)</w:t>
            </w:r>
          </w:p>
        </w:tc>
        <w:tc>
          <w:tcPr>
            <w:tcW w:type="dxa" w:w="1806"/>
            <w:shd w:fill="1B3A6B" w:val="clear"/>
          </w:tcPr>
          <w:p>
            <w:r>
              <w:rPr>
                <w:rFonts w:ascii="Arial" w:hAnsi="Arial"/>
                <w:b/>
                <w:color w:val="FFFFFF"/>
                <w:sz w:val="18"/>
              </w:rPr>
              <w:t>Natural Gas (tCO2e)</w:t>
            </w:r>
          </w:p>
        </w:tc>
        <w:tc>
          <w:tcPr>
            <w:tcW w:type="dxa" w:w="1806"/>
            <w:shd w:fill="1B3A6B" w:val="clear"/>
          </w:tcPr>
          <w:p>
            <w:r>
              <w:rPr>
                <w:rFonts w:ascii="Arial" w:hAnsi="Arial"/>
                <w:b/>
                <w:color w:val="FFFFFF"/>
                <w:sz w:val="18"/>
              </w:rPr>
              <w:t>Diesel (tCO2e)</w:t>
            </w:r>
          </w:p>
        </w:tc>
        <w:tc>
          <w:tcPr>
            <w:tcW w:type="dxa" w:w="1806"/>
            <w:shd w:fill="1B3A6B" w:val="clear"/>
          </w:tcPr>
          <w:p>
            <w:r>
              <w:rPr>
                <w:rFonts w:ascii="Arial" w:hAnsi="Arial"/>
                <w:b/>
                <w:color w:val="FFFFFF"/>
                <w:sz w:val="18"/>
              </w:rPr>
              <w:t>Data Quality Score</w:t>
            </w:r>
          </w:p>
        </w:tc>
      </w:tr>
      <w:tr>
        <w:tc>
          <w:tcPr>
            <w:tcW w:type="dxa" w:w="1806"/>
          </w:tcPr>
          <w:p>
            <w:r>
              <w:rPr>
                <w:rFonts w:ascii="Arial" w:hAnsi="Arial"/>
                <w:sz w:val="18"/>
              </w:rPr>
              <w:t>FAC-0197</w:t>
            </w:r>
          </w:p>
        </w:tc>
        <w:tc>
          <w:tcPr>
            <w:tcW w:type="dxa" w:w="1806"/>
          </w:tcPr>
          <w:p>
            <w:pPr>
              <w:jc w:val="right"/>
            </w:pPr>
            <w:r>
              <w:rPr>
                <w:rFonts w:ascii="Arial" w:hAnsi="Arial"/>
                <w:sz w:val="18"/>
              </w:rPr>
              <w:t>147.7152</w:t>
            </w:r>
          </w:p>
        </w:tc>
        <w:tc>
          <w:tcPr>
            <w:tcW w:type="dxa" w:w="1806"/>
          </w:tcPr>
          <w:p>
            <w:pPr>
              <w:jc w:val="right"/>
            </w:pPr>
            <w:r>
              <w:rPr>
                <w:rFonts w:ascii="Arial" w:hAnsi="Arial"/>
                <w:sz w:val="18"/>
              </w:rPr>
              <w:t>65.1748</w:t>
            </w:r>
          </w:p>
        </w:tc>
        <w:tc>
          <w:tcPr>
            <w:tcW w:type="dxa" w:w="1806"/>
          </w:tcPr>
          <w:p>
            <w:pPr>
              <w:jc w:val="right"/>
            </w:pPr>
            <w:r>
              <w:rPr>
                <w:rFonts w:ascii="Arial" w:hAnsi="Arial"/>
                <w:sz w:val="18"/>
              </w:rPr>
              <w:t>82.5404</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FAC-0198</w:t>
            </w:r>
          </w:p>
        </w:tc>
        <w:tc>
          <w:tcPr>
            <w:tcW w:type="dxa" w:w="1806"/>
            <w:shd w:fill="F2F6FC" w:val="clear"/>
          </w:tcPr>
          <w:p>
            <w:pPr>
              <w:jc w:val="right"/>
            </w:pPr>
            <w:r>
              <w:rPr>
                <w:rFonts w:ascii="Arial" w:hAnsi="Arial"/>
                <w:sz w:val="18"/>
              </w:rPr>
              <w:t>137.8381</w:t>
            </w:r>
          </w:p>
        </w:tc>
        <w:tc>
          <w:tcPr>
            <w:tcW w:type="dxa" w:w="1806"/>
            <w:shd w:fill="F2F6FC" w:val="clear"/>
          </w:tcPr>
          <w:p>
            <w:pPr>
              <w:jc w:val="right"/>
            </w:pPr>
            <w:r>
              <w:rPr>
                <w:rFonts w:ascii="Arial" w:hAnsi="Arial"/>
                <w:sz w:val="18"/>
              </w:rPr>
              <w:t>54.446</w:t>
            </w:r>
          </w:p>
        </w:tc>
        <w:tc>
          <w:tcPr>
            <w:tcW w:type="dxa" w:w="1806"/>
            <w:shd w:fill="F2F6FC" w:val="clear"/>
          </w:tcPr>
          <w:p>
            <w:pPr>
              <w:jc w:val="right"/>
            </w:pPr>
            <w:r>
              <w:rPr>
                <w:rFonts w:ascii="Arial" w:hAnsi="Arial"/>
                <w:sz w:val="18"/>
              </w:rPr>
              <w:t>83.3921</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FAC-0200</w:t>
            </w:r>
          </w:p>
        </w:tc>
        <w:tc>
          <w:tcPr>
            <w:tcW w:type="dxa" w:w="1806"/>
          </w:tcPr>
          <w:p>
            <w:pPr>
              <w:jc w:val="right"/>
            </w:pPr>
            <w:r>
              <w:rPr>
                <w:rFonts w:ascii="Arial" w:hAnsi="Arial"/>
                <w:sz w:val="18"/>
              </w:rPr>
              <w:t>131.4422</w:t>
            </w:r>
          </w:p>
        </w:tc>
        <w:tc>
          <w:tcPr>
            <w:tcW w:type="dxa" w:w="1806"/>
          </w:tcPr>
          <w:p>
            <w:pPr>
              <w:jc w:val="right"/>
            </w:pPr>
            <w:r>
              <w:rPr>
                <w:rFonts w:ascii="Arial" w:hAnsi="Arial"/>
                <w:sz w:val="18"/>
              </w:rPr>
              <w:t>57.0202</w:t>
            </w:r>
          </w:p>
        </w:tc>
        <w:tc>
          <w:tcPr>
            <w:tcW w:type="dxa" w:w="1806"/>
          </w:tcPr>
          <w:p>
            <w:pPr>
              <w:jc w:val="right"/>
            </w:pPr>
            <w:r>
              <w:rPr>
                <w:rFonts w:ascii="Arial" w:hAnsi="Arial"/>
                <w:sz w:val="18"/>
              </w:rPr>
              <w:t>74.422</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FAC-0196</w:t>
            </w:r>
          </w:p>
        </w:tc>
        <w:tc>
          <w:tcPr>
            <w:tcW w:type="dxa" w:w="1806"/>
            <w:shd w:fill="F2F6FC" w:val="clear"/>
          </w:tcPr>
          <w:p>
            <w:pPr>
              <w:jc w:val="right"/>
            </w:pPr>
            <w:r>
              <w:rPr>
                <w:rFonts w:ascii="Arial" w:hAnsi="Arial"/>
                <w:sz w:val="18"/>
              </w:rPr>
              <w:t>124.4219</w:t>
            </w:r>
          </w:p>
        </w:tc>
        <w:tc>
          <w:tcPr>
            <w:tcW w:type="dxa" w:w="1806"/>
            <w:shd w:fill="F2F6FC" w:val="clear"/>
          </w:tcPr>
          <w:p>
            <w:pPr>
              <w:jc w:val="right"/>
            </w:pPr>
            <w:r>
              <w:rPr>
                <w:rFonts w:ascii="Arial" w:hAnsi="Arial"/>
                <w:sz w:val="18"/>
              </w:rPr>
              <w:t>51.7527</w:t>
            </w:r>
          </w:p>
        </w:tc>
        <w:tc>
          <w:tcPr>
            <w:tcW w:type="dxa" w:w="1806"/>
            <w:shd w:fill="F2F6FC" w:val="clear"/>
          </w:tcPr>
          <w:p>
            <w:pPr>
              <w:jc w:val="right"/>
            </w:pPr>
            <w:r>
              <w:rPr>
                <w:rFonts w:ascii="Arial" w:hAnsi="Arial"/>
                <w:sz w:val="18"/>
              </w:rPr>
              <w:t>72.6692</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FAC-0199</w:t>
            </w:r>
          </w:p>
        </w:tc>
        <w:tc>
          <w:tcPr>
            <w:tcW w:type="dxa" w:w="1806"/>
          </w:tcPr>
          <w:p>
            <w:pPr>
              <w:jc w:val="right"/>
            </w:pPr>
            <w:r>
              <w:rPr>
                <w:rFonts w:ascii="Arial" w:hAnsi="Arial"/>
                <w:sz w:val="18"/>
              </w:rPr>
              <w:t>109.4122</w:t>
            </w:r>
          </w:p>
        </w:tc>
        <w:tc>
          <w:tcPr>
            <w:tcW w:type="dxa" w:w="1806"/>
          </w:tcPr>
          <w:p>
            <w:pPr>
              <w:jc w:val="right"/>
            </w:pPr>
            <w:r>
              <w:rPr>
                <w:rFonts w:ascii="Arial" w:hAnsi="Arial"/>
                <w:sz w:val="18"/>
              </w:rPr>
              <w:t>52.015</w:t>
            </w:r>
          </w:p>
        </w:tc>
        <w:tc>
          <w:tcPr>
            <w:tcW w:type="dxa" w:w="1806"/>
          </w:tcPr>
          <w:p>
            <w:pPr>
              <w:jc w:val="right"/>
            </w:pPr>
            <w:r>
              <w:rPr>
                <w:rFonts w:ascii="Arial" w:hAnsi="Arial"/>
                <w:sz w:val="18"/>
              </w:rPr>
              <w:t>57.3972</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FAC-0193</w:t>
            </w:r>
          </w:p>
        </w:tc>
        <w:tc>
          <w:tcPr>
            <w:tcW w:type="dxa" w:w="1806"/>
            <w:shd w:fill="F2F6FC" w:val="clear"/>
          </w:tcPr>
          <w:p>
            <w:pPr>
              <w:jc w:val="right"/>
            </w:pPr>
            <w:r>
              <w:rPr>
                <w:rFonts w:ascii="Arial" w:hAnsi="Arial"/>
                <w:sz w:val="18"/>
              </w:rPr>
              <w:t>72.3228</w:t>
            </w:r>
          </w:p>
        </w:tc>
        <w:tc>
          <w:tcPr>
            <w:tcW w:type="dxa" w:w="1806"/>
            <w:shd w:fill="F2F6FC" w:val="clear"/>
          </w:tcPr>
          <w:p>
            <w:pPr>
              <w:jc w:val="right"/>
            </w:pPr>
            <w:r>
              <w:rPr>
                <w:rFonts w:ascii="Arial" w:hAnsi="Arial"/>
                <w:sz w:val="18"/>
              </w:rPr>
              <w:t>0.0</w:t>
            </w:r>
          </w:p>
        </w:tc>
        <w:tc>
          <w:tcPr>
            <w:tcW w:type="dxa" w:w="1806"/>
            <w:shd w:fill="F2F6FC" w:val="clear"/>
          </w:tcPr>
          <w:p>
            <w:pPr>
              <w:jc w:val="right"/>
            </w:pPr>
            <w:r>
              <w:rPr>
                <w:rFonts w:ascii="Arial" w:hAnsi="Arial"/>
                <w:sz w:val="18"/>
              </w:rPr>
              <w:t>72.3228</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FAC-0215</w:t>
            </w:r>
          </w:p>
        </w:tc>
        <w:tc>
          <w:tcPr>
            <w:tcW w:type="dxa" w:w="1806"/>
          </w:tcPr>
          <w:p>
            <w:pPr>
              <w:jc w:val="right"/>
            </w:pPr>
            <w:r>
              <w:rPr>
                <w:rFonts w:ascii="Arial" w:hAnsi="Arial"/>
                <w:sz w:val="18"/>
              </w:rPr>
              <w:t>70.6057</w:t>
            </w:r>
          </w:p>
        </w:tc>
        <w:tc>
          <w:tcPr>
            <w:tcW w:type="dxa" w:w="1806"/>
          </w:tcPr>
          <w:p>
            <w:pPr>
              <w:jc w:val="right"/>
            </w:pPr>
            <w:r>
              <w:rPr>
                <w:rFonts w:ascii="Arial" w:hAnsi="Arial"/>
                <w:sz w:val="18"/>
              </w:rPr>
              <w:t>23.586</w:t>
            </w:r>
          </w:p>
        </w:tc>
        <w:tc>
          <w:tcPr>
            <w:tcW w:type="dxa" w:w="1806"/>
          </w:tcPr>
          <w:p>
            <w:pPr>
              <w:jc w:val="right"/>
            </w:pPr>
            <w:r>
              <w:rPr>
                <w:rFonts w:ascii="Arial" w:hAnsi="Arial"/>
                <w:sz w:val="18"/>
              </w:rPr>
              <w:t>47.0197</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FAC-0191</w:t>
            </w:r>
          </w:p>
        </w:tc>
        <w:tc>
          <w:tcPr>
            <w:tcW w:type="dxa" w:w="1806"/>
            <w:shd w:fill="F2F6FC" w:val="clear"/>
          </w:tcPr>
          <w:p>
            <w:pPr>
              <w:jc w:val="right"/>
            </w:pPr>
            <w:r>
              <w:rPr>
                <w:rFonts w:ascii="Arial" w:hAnsi="Arial"/>
                <w:sz w:val="18"/>
              </w:rPr>
              <w:t>67.3744</w:t>
            </w:r>
          </w:p>
        </w:tc>
        <w:tc>
          <w:tcPr>
            <w:tcW w:type="dxa" w:w="1806"/>
            <w:shd w:fill="F2F6FC" w:val="clear"/>
          </w:tcPr>
          <w:p>
            <w:pPr>
              <w:jc w:val="right"/>
            </w:pPr>
            <w:r>
              <w:rPr>
                <w:rFonts w:ascii="Arial" w:hAnsi="Arial"/>
                <w:sz w:val="18"/>
              </w:rPr>
              <w:t>0.0</w:t>
            </w:r>
          </w:p>
        </w:tc>
        <w:tc>
          <w:tcPr>
            <w:tcW w:type="dxa" w:w="1806"/>
            <w:shd w:fill="F2F6FC" w:val="clear"/>
          </w:tcPr>
          <w:p>
            <w:pPr>
              <w:jc w:val="right"/>
            </w:pPr>
            <w:r>
              <w:rPr>
                <w:rFonts w:ascii="Arial" w:hAnsi="Arial"/>
                <w:sz w:val="18"/>
              </w:rPr>
              <w:t>67.3744</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FAC-0181</w:t>
            </w:r>
          </w:p>
        </w:tc>
        <w:tc>
          <w:tcPr>
            <w:tcW w:type="dxa" w:w="1806"/>
          </w:tcPr>
          <w:p>
            <w:pPr>
              <w:jc w:val="right"/>
            </w:pPr>
            <w:r>
              <w:rPr>
                <w:rFonts w:ascii="Arial" w:hAnsi="Arial"/>
                <w:sz w:val="18"/>
              </w:rPr>
              <w:t>63.758</w:t>
            </w:r>
          </w:p>
        </w:tc>
        <w:tc>
          <w:tcPr>
            <w:tcW w:type="dxa" w:w="1806"/>
          </w:tcPr>
          <w:p>
            <w:pPr>
              <w:jc w:val="right"/>
            </w:pPr>
            <w:r>
              <w:rPr>
                <w:rFonts w:ascii="Arial" w:hAnsi="Arial"/>
                <w:sz w:val="18"/>
              </w:rPr>
              <w:t>0.0</w:t>
            </w:r>
          </w:p>
        </w:tc>
        <w:tc>
          <w:tcPr>
            <w:tcW w:type="dxa" w:w="1806"/>
          </w:tcPr>
          <w:p>
            <w:pPr>
              <w:jc w:val="right"/>
            </w:pPr>
            <w:r>
              <w:rPr>
                <w:rFonts w:ascii="Arial" w:hAnsi="Arial"/>
                <w:sz w:val="18"/>
              </w:rPr>
              <w:t>63.758</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FAC-0208</w:t>
            </w:r>
          </w:p>
        </w:tc>
        <w:tc>
          <w:tcPr>
            <w:tcW w:type="dxa" w:w="1806"/>
            <w:shd w:fill="F2F6FC" w:val="clear"/>
          </w:tcPr>
          <w:p>
            <w:pPr>
              <w:jc w:val="right"/>
            </w:pPr>
            <w:r>
              <w:rPr>
                <w:rFonts w:ascii="Arial" w:hAnsi="Arial"/>
                <w:sz w:val="18"/>
              </w:rPr>
              <w:t>63.5152</w:t>
            </w:r>
          </w:p>
        </w:tc>
        <w:tc>
          <w:tcPr>
            <w:tcW w:type="dxa" w:w="1806"/>
            <w:shd w:fill="F2F6FC" w:val="clear"/>
          </w:tcPr>
          <w:p>
            <w:pPr>
              <w:jc w:val="right"/>
            </w:pPr>
            <w:r>
              <w:rPr>
                <w:rFonts w:ascii="Arial" w:hAnsi="Arial"/>
                <w:sz w:val="18"/>
              </w:rPr>
              <w:t>23.7606</w:t>
            </w:r>
          </w:p>
        </w:tc>
        <w:tc>
          <w:tcPr>
            <w:tcW w:type="dxa" w:w="1806"/>
            <w:shd w:fill="F2F6FC" w:val="clear"/>
          </w:tcPr>
          <w:p>
            <w:pPr>
              <w:jc w:val="right"/>
            </w:pPr>
            <w:r>
              <w:rPr>
                <w:rFonts w:ascii="Arial" w:hAnsi="Arial"/>
                <w:sz w:val="18"/>
              </w:rPr>
              <w:t>39.7546</w:t>
            </w:r>
          </w:p>
        </w:tc>
        <w:tc>
          <w:tcPr>
            <w:tcW w:type="dxa" w:w="1806"/>
            <w:shd w:fill="F2F6FC" w:val="clear"/>
          </w:tcPr>
          <w:p>
            <w:pPr>
              <w:jc w:val="right"/>
            </w:pPr>
            <w:r>
              <w:rPr>
                <w:rFonts w:ascii="Arial" w:hAnsi="Arial"/>
                <w:sz w:val="18"/>
              </w:rPr>
              <w:t>1</w:t>
            </w:r>
          </w:p>
        </w:tc>
      </w:tr>
    </w:tbl>
    <w:p>
      <w:r>
        <w:rPr>
          <w:rFonts w:ascii="Arial" w:hAnsi="Arial"/>
          <w:i/>
          <w:sz w:val="16"/>
        </w:rPr>
        <w:t>Source: Source: Facility-level emissions inventory (2024). Data quality score: 1 = primary metered data, 4 = estimated. Top 10 facilities represent 28.9% of total Scope 1 emissions.</w:t>
      </w:r>
    </w:p>
    <w:p/>
    <w:p>
      <w:r>
        <w:rPr>
          <w:i/>
          <w:color w:val="3D6094"/>
          <w:sz w:val="18"/>
        </w:rPr>
        <w:t>Framework references: ESRS E1-6 (Gross Scopes 1, 2, 3 and Total GHG emissions); GHG Protocol Corporate Standard (2015); IPCC AR6 GWP100 values; ESRS 2 IRO-1 (Impact, Risk, Opportunity identification)</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Reconciliation verified: Natural gas emissions (1199.7924 tCO2e) + Diesel emissions (2203.2044 tCO2e) = Total Scope 1 (3402.997 tCO2e).</w:t>
      </w:r>
    </w:p>
    <w:p>
      <w:pPr>
        <w:spacing w:after="160" w:line="276" w:lineRule="auto"/>
        <w:jc w:val="both"/>
      </w:pPr>
      <w:r>
        <w:rPr>
          <w:rFonts w:ascii="Arial" w:hAnsi="Arial"/>
          <w:i/>
          <w:color w:val="646464"/>
          <w:sz w:val="18"/>
        </w:rPr>
        <w:t>Data quality: All Scope 1 emissions are based on primary metered data (quality score 1/4) from utility invoices and fuel purchase records. No estimation or imputation was required for the 2024 reporting period.</w:t>
      </w:r>
    </w:p>
    <w:p>
      <w:pPr>
        <w:spacing w:after="160" w:line="276" w:lineRule="auto"/>
        <w:jc w:val="both"/>
      </w:pPr>
      <w:r>
        <w:rPr>
          <w:rFonts w:ascii="Arial" w:hAnsi="Arial"/>
          <w:i/>
          <w:color w:val="646464"/>
          <w:sz w:val="18"/>
        </w:rPr>
        <w:t>Organizational boundary: Scope 1 includes emissions from all facilities under operational control per GHG Protocol. Equity-share emissions from joint ventures are excluded and reported separately if material.</w:t>
      </w:r>
    </w:p>
    <w:p>
      <w:r>
        <w:br w:type="page"/>
      </w:r>
    </w:p>
    <w:p>
      <w:pPr>
        <w:pStyle w:val="Heading1"/>
        <w:keepNext/>
        <w:spacing w:before="480" w:after="240"/>
      </w:pPr>
      <w:r>
        <w:rPr>
          <w:rFonts w:ascii="Arial" w:hAnsi="Arial"/>
          <w:b/>
          <w:color w:val="1B3A6B"/>
          <w:sz w:val="36"/>
        </w:rPr>
        <w:t>Emisi GRK Langsung (Scope 1) / Direct GHG Emissions (Scope 1)</w:t>
      </w:r>
    </w:p>
    <w:p>
      <w:pPr>
        <w:spacing w:after="160" w:line="276" w:lineRule="auto"/>
        <w:jc w:val="both"/>
      </w:pPr>
      <w:r>
        <w:rPr>
          <w:rFonts w:ascii="Arial" w:hAnsi="Arial"/>
          <w:sz w:val="22"/>
        </w:rPr>
        <w:t>The institution reported total Scope 1 direct greenhouse gas emissions of 3,402.997 tCO2e for the reporting year 2024. These emissions arise from stationary combustion sources under the institution's operational control, comprising natural gas consumption in building heating systems and diesel fuel combustion in backup generators and emergency power systems. Scope 1 emissions represent direct releases of greenhouse gases from sources owned or controlled by the institution, as defined under POJK No. 51/POJK.03/2017 tentang Penerapan Keuangan Berkelanjutan bagi Lembaga Jasa Keuangan, Emiten, dan Perusahaan Publik (POJK 51/2017).</w:t>
      </w:r>
    </w:p>
    <w:p>
      <w:pPr>
        <w:spacing w:after="160" w:line="276" w:lineRule="auto"/>
        <w:jc w:val="both"/>
      </w:pPr>
      <w:r>
        <w:rPr>
          <w:rFonts w:ascii="Arial" w:hAnsi="Arial"/>
          <w:sz w:val="22"/>
        </w:rPr>
        <w:t>The composition of Scope 1 emissions by fuel source is as follows: natural gas combustion contributed 1,199.7924 tCO2e (35.3% of total Scope 1), while diesel fuel combustion accounted for 2,203.2044 tCO2e (64.7% of total Scope 1). The higher proportion of diesel-related emissions reflects the institution's reliance on backup power generation systems across its branch network, particularly in regions with grid reliability challenges. Natural gas emissions are concentrated in the institution's headquarters and regional processing centers where centralized heating systems operate year-round.</w:t>
      </w:r>
    </w:p>
    <w:p>
      <w:pPr>
        <w:spacing w:after="160" w:line="276" w:lineRule="auto"/>
        <w:jc w:val="both"/>
      </w:pPr>
      <w:r>
        <w:rPr>
          <w:rFonts w:ascii="Arial" w:hAnsi="Arial"/>
          <w:sz w:val="22"/>
        </w:rPr>
        <w:t>Scope 1 emissions increased by 2.36% compared to the prior reporting year 2023, rising from 3,324.521 tCO2e to 3,402.997 tCO2e. This increase of 78.476 tCO2e is primarily attributable to expanded backup generator runtime during grid maintenance periods in Q2 and Q3 2024, which resulted in higher diesel consumption. Natural gas emissions remained relatively stable year-over-year, increasing marginally from 1,199.0321 tCO2e to 1,199.7924 tCO2e (0.06% increase), while diesel emissions rose from 2,125.4888 tCO2e to 2,203.2044 tCO2e (3.66% increase). The institution has initiated a diesel reduction program targeting 15% consumption decrease by 2026 through grid reliability improvements and renewable backup power pilots.</w:t>
      </w:r>
    </w:p>
    <w:p>
      <w:pPr>
        <w:spacing w:after="160" w:line="276" w:lineRule="auto"/>
        <w:jc w:val="both"/>
      </w:pPr>
      <w:r>
        <w:rPr>
          <w:rFonts w:ascii="Arial" w:hAnsi="Arial"/>
          <w:i/>
          <w:sz w:val="22"/>
        </w:rPr>
        <w:t>Scope 1 emissions are calculated in accordance with the GHG Protocol Corporate Accounting and Reporting Standard (2015 revision) using the operational control consolidation approach. Emission factors for natural gas combustion are sourced from Indonesia's Ministry of Energy and Mineral Resources (ESDM) 2023 National Emission Factor Database, applying a factor of 56.1 kg CO2e/GJ for pipeline natural gas. Diesel combustion emissions utilize the IPCC 2006 Guidelines for National Greenhouse Gas Inventories default factor of 74.1 kg CO2e/liter, adjusted for Indonesia's diesel sulfur content specifications. Global Warming Potential (GWP) values are based on the IPCC Sixth Assessment Report (AR6) with a 100-year time horizon: CO2 = 1, CH4 = 29.8, N2O = 273.0. All three Kyoto Protocol gases (CO2, CH4, N2O) are included in the inventory boundary. Activity data (fuel consumption volumes) are derived from supplier invoices and facility-level metering systems with monthly reconciliation against financial procurement records.</w:t>
      </w:r>
    </w:p>
    <w:p>
      <w:r>
        <w:rPr>
          <w:rFonts w:ascii="Arial" w:hAnsi="Arial"/>
          <w:b/>
          <w:sz w:val="20"/>
        </w:rPr>
        <w:t>Tabel Rincian Emisi Scope 1 Berdasarkan Sumber / Scope 1 Emissions Breakdown by Source</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fill="1B3A6B" w:val="clear"/>
          </w:tcPr>
          <w:p>
            <w:r>
              <w:rPr>
                <w:rFonts w:ascii="Arial" w:hAnsi="Arial"/>
                <w:b/>
                <w:color w:val="FFFFFF"/>
                <w:sz w:val="18"/>
              </w:rPr>
              <w:t>No.</w:t>
            </w:r>
          </w:p>
        </w:tc>
        <w:tc>
          <w:tcPr>
            <w:tcW w:type="dxa" w:w="1290"/>
            <w:shd w:fill="1B3A6B" w:val="clear"/>
          </w:tcPr>
          <w:p>
            <w:r>
              <w:rPr>
                <w:rFonts w:ascii="Arial" w:hAnsi="Arial"/>
                <w:b/>
                <w:color w:val="FFFFFF"/>
                <w:sz w:val="18"/>
              </w:rPr>
              <w:t>Sumber Emisi / Emission Source</w:t>
            </w:r>
          </w:p>
        </w:tc>
        <w:tc>
          <w:tcPr>
            <w:tcW w:type="dxa" w:w="1290"/>
            <w:shd w:fill="1B3A6B" w:val="clear"/>
          </w:tcPr>
          <w:p>
            <w:r>
              <w:rPr>
                <w:rFonts w:ascii="Arial" w:hAnsi="Arial"/>
                <w:b/>
                <w:color w:val="FFFFFF"/>
                <w:sz w:val="18"/>
              </w:rPr>
              <w:t>Satuan / Unit</w:t>
            </w:r>
          </w:p>
        </w:tc>
        <w:tc>
          <w:tcPr>
            <w:tcW w:type="dxa" w:w="1290"/>
            <w:shd w:fill="1B3A6B" w:val="clear"/>
          </w:tcPr>
          <w:p>
            <w:r>
              <w:rPr>
                <w:rFonts w:ascii="Arial" w:hAnsi="Arial"/>
                <w:b/>
                <w:color w:val="FFFFFF"/>
                <w:sz w:val="18"/>
              </w:rPr>
              <w:t>Tahun Pelaporan 2024 / Reporting Year 2024</w:t>
            </w:r>
          </w:p>
        </w:tc>
        <w:tc>
          <w:tcPr>
            <w:tcW w:type="dxa" w:w="1290"/>
            <w:shd w:fill="1B3A6B" w:val="clear"/>
          </w:tcPr>
          <w:p>
            <w:r>
              <w:rPr>
                <w:rFonts w:ascii="Arial" w:hAnsi="Arial"/>
                <w:b/>
                <w:color w:val="FFFFFF"/>
                <w:sz w:val="18"/>
              </w:rPr>
              <w:t>Tahun Sebelumnya 2023 / Prior Year 2023</w:t>
            </w:r>
          </w:p>
        </w:tc>
        <w:tc>
          <w:tcPr>
            <w:tcW w:type="dxa" w:w="1290"/>
            <w:shd w:fill="1B3A6B" w:val="clear"/>
          </w:tcPr>
          <w:p>
            <w:r>
              <w:rPr>
                <w:rFonts w:ascii="Arial" w:hAnsi="Arial"/>
                <w:b/>
                <w:color w:val="FFFFFF"/>
                <w:sz w:val="18"/>
              </w:rPr>
              <w:t>Perubahan / Change (%)</w:t>
            </w:r>
          </w:p>
        </w:tc>
        <w:tc>
          <w:tcPr>
            <w:tcW w:type="dxa" w:w="1290"/>
            <w:shd w:fill="1B3A6B" w:val="clear"/>
          </w:tcPr>
          <w:p>
            <w:r>
              <w:rPr>
                <w:rFonts w:ascii="Arial" w:hAnsi="Arial"/>
                <w:b/>
                <w:color w:val="FFFFFF"/>
                <w:sz w:val="18"/>
              </w:rPr>
              <w:t>Proporsi / Proportion (%)</w:t>
            </w:r>
          </w:p>
        </w:tc>
      </w:tr>
      <w:tr>
        <w:tc>
          <w:tcPr>
            <w:tcW w:type="dxa" w:w="1290"/>
          </w:tcPr>
          <w:p>
            <w:pPr>
              <w:jc w:val="right"/>
            </w:pPr>
            <w:r>
              <w:rPr>
                <w:rFonts w:ascii="Arial" w:hAnsi="Arial"/>
                <w:sz w:val="18"/>
              </w:rPr>
              <w:t>1</w:t>
            </w:r>
          </w:p>
        </w:tc>
        <w:tc>
          <w:tcPr>
            <w:tcW w:type="dxa" w:w="1290"/>
          </w:tcPr>
          <w:p>
            <w:r>
              <w:rPr>
                <w:rFonts w:ascii="Arial" w:hAnsi="Arial"/>
                <w:sz w:val="18"/>
              </w:rPr>
              <w:t>Pembakaran Gas Alam / Natural Gas Combustion</w:t>
            </w:r>
          </w:p>
        </w:tc>
        <w:tc>
          <w:tcPr>
            <w:tcW w:type="dxa" w:w="1290"/>
          </w:tcPr>
          <w:p>
            <w:r>
              <w:rPr>
                <w:rFonts w:ascii="Arial" w:hAnsi="Arial"/>
                <w:sz w:val="18"/>
              </w:rPr>
              <w:t>tCO2e</w:t>
            </w:r>
          </w:p>
        </w:tc>
        <w:tc>
          <w:tcPr>
            <w:tcW w:type="dxa" w:w="1290"/>
          </w:tcPr>
          <w:p>
            <w:pPr>
              <w:jc w:val="right"/>
            </w:pPr>
            <w:r>
              <w:rPr>
                <w:rFonts w:ascii="Arial" w:hAnsi="Arial"/>
                <w:sz w:val="18"/>
              </w:rPr>
              <w:t>1.199,7924</w:t>
            </w:r>
          </w:p>
        </w:tc>
        <w:tc>
          <w:tcPr>
            <w:tcW w:type="dxa" w:w="1290"/>
          </w:tcPr>
          <w:p>
            <w:pPr>
              <w:jc w:val="right"/>
            </w:pPr>
            <w:r>
              <w:rPr>
                <w:rFonts w:ascii="Arial" w:hAnsi="Arial"/>
                <w:sz w:val="18"/>
              </w:rPr>
              <w:t>1.199,0321</w:t>
            </w:r>
          </w:p>
        </w:tc>
        <w:tc>
          <w:tcPr>
            <w:tcW w:type="dxa" w:w="1290"/>
          </w:tcPr>
          <w:p>
            <w:pPr>
              <w:jc w:val="right"/>
            </w:pPr>
            <w:r>
              <w:rPr>
                <w:rFonts w:ascii="Arial" w:hAnsi="Arial"/>
                <w:sz w:val="18"/>
              </w:rPr>
              <w:t>0,06</w:t>
            </w:r>
          </w:p>
        </w:tc>
        <w:tc>
          <w:tcPr>
            <w:tcW w:type="dxa" w:w="1290"/>
          </w:tcPr>
          <w:p>
            <w:pPr>
              <w:jc w:val="right"/>
            </w:pPr>
            <w:r>
              <w:rPr>
                <w:rFonts w:ascii="Arial" w:hAnsi="Arial"/>
                <w:sz w:val="18"/>
              </w:rPr>
              <w:t>35,3</w:t>
            </w:r>
          </w:p>
        </w:tc>
      </w:tr>
      <w:tr>
        <w:tc>
          <w:tcPr>
            <w:tcW w:type="dxa" w:w="1290"/>
            <w:shd w:fill="F2F6FC" w:val="clear"/>
          </w:tcPr>
          <w:p>
            <w:pPr>
              <w:jc w:val="right"/>
            </w:pPr>
            <w:r>
              <w:rPr>
                <w:rFonts w:ascii="Arial" w:hAnsi="Arial"/>
                <w:sz w:val="18"/>
              </w:rPr>
              <w:t>2</w:t>
            </w:r>
          </w:p>
        </w:tc>
        <w:tc>
          <w:tcPr>
            <w:tcW w:type="dxa" w:w="1290"/>
            <w:shd w:fill="F2F6FC" w:val="clear"/>
          </w:tcPr>
          <w:p>
            <w:r>
              <w:rPr>
                <w:rFonts w:ascii="Arial" w:hAnsi="Arial"/>
                <w:sz w:val="18"/>
              </w:rPr>
              <w:t>Pembakaran Diesel / Diesel Combustion</w:t>
            </w:r>
          </w:p>
        </w:tc>
        <w:tc>
          <w:tcPr>
            <w:tcW w:type="dxa" w:w="1290"/>
            <w:shd w:fill="F2F6FC" w:val="clear"/>
          </w:tcPr>
          <w:p>
            <w:r>
              <w:rPr>
                <w:rFonts w:ascii="Arial" w:hAnsi="Arial"/>
                <w:sz w:val="18"/>
              </w:rPr>
              <w:t>tCO2e</w:t>
            </w:r>
          </w:p>
        </w:tc>
        <w:tc>
          <w:tcPr>
            <w:tcW w:type="dxa" w:w="1290"/>
            <w:shd w:fill="F2F6FC" w:val="clear"/>
          </w:tcPr>
          <w:p>
            <w:pPr>
              <w:jc w:val="right"/>
            </w:pPr>
            <w:r>
              <w:rPr>
                <w:rFonts w:ascii="Arial" w:hAnsi="Arial"/>
                <w:sz w:val="18"/>
              </w:rPr>
              <w:t>2.203,2044</w:t>
            </w:r>
          </w:p>
        </w:tc>
        <w:tc>
          <w:tcPr>
            <w:tcW w:type="dxa" w:w="1290"/>
            <w:shd w:fill="F2F6FC" w:val="clear"/>
          </w:tcPr>
          <w:p>
            <w:pPr>
              <w:jc w:val="right"/>
            </w:pPr>
            <w:r>
              <w:rPr>
                <w:rFonts w:ascii="Arial" w:hAnsi="Arial"/>
                <w:sz w:val="18"/>
              </w:rPr>
              <w:t>2.125,4888</w:t>
            </w:r>
          </w:p>
        </w:tc>
        <w:tc>
          <w:tcPr>
            <w:tcW w:type="dxa" w:w="1290"/>
            <w:shd w:fill="F2F6FC" w:val="clear"/>
          </w:tcPr>
          <w:p>
            <w:pPr>
              <w:jc w:val="right"/>
            </w:pPr>
            <w:r>
              <w:rPr>
                <w:rFonts w:ascii="Arial" w:hAnsi="Arial"/>
                <w:sz w:val="18"/>
              </w:rPr>
              <w:t>3,66</w:t>
            </w:r>
          </w:p>
        </w:tc>
        <w:tc>
          <w:tcPr>
            <w:tcW w:type="dxa" w:w="1290"/>
            <w:shd w:fill="F2F6FC" w:val="clear"/>
          </w:tcPr>
          <w:p>
            <w:pPr>
              <w:jc w:val="right"/>
            </w:pPr>
            <w:r>
              <w:rPr>
                <w:rFonts w:ascii="Arial" w:hAnsi="Arial"/>
                <w:sz w:val="18"/>
              </w:rPr>
              <w:t>64,7</w:t>
            </w:r>
          </w:p>
        </w:tc>
      </w:tr>
      <w:tr>
        <w:tc>
          <w:tcPr>
            <w:tcW w:type="dxa" w:w="1290"/>
          </w:tcPr>
          <w:p>
            <w:pPr>
              <w:jc w:val="right"/>
            </w:pPr>
            <w:r>
              <w:rPr>
                <w:rFonts w:ascii="Arial" w:hAnsi="Arial"/>
                <w:sz w:val="18"/>
              </w:rPr>
              <w:t>3</w:t>
            </w:r>
          </w:p>
        </w:tc>
        <w:tc>
          <w:tcPr>
            <w:tcW w:type="dxa" w:w="1290"/>
          </w:tcPr>
          <w:p>
            <w:r>
              <w:rPr>
                <w:rFonts w:ascii="Arial" w:hAnsi="Arial"/>
                <w:sz w:val="18"/>
              </w:rPr>
              <w:t>Total Emisi Scope 1 / Total Scope 1 Emissions</w:t>
            </w:r>
          </w:p>
        </w:tc>
        <w:tc>
          <w:tcPr>
            <w:tcW w:type="dxa" w:w="1290"/>
          </w:tcPr>
          <w:p>
            <w:r>
              <w:rPr>
                <w:rFonts w:ascii="Arial" w:hAnsi="Arial"/>
                <w:sz w:val="18"/>
              </w:rPr>
              <w:t>tCO2e</w:t>
            </w:r>
          </w:p>
        </w:tc>
        <w:tc>
          <w:tcPr>
            <w:tcW w:type="dxa" w:w="1290"/>
          </w:tcPr>
          <w:p>
            <w:pPr>
              <w:jc w:val="right"/>
            </w:pPr>
            <w:r>
              <w:rPr>
                <w:rFonts w:ascii="Arial" w:hAnsi="Arial"/>
                <w:sz w:val="18"/>
              </w:rPr>
              <w:t>3.402,997</w:t>
            </w:r>
          </w:p>
        </w:tc>
        <w:tc>
          <w:tcPr>
            <w:tcW w:type="dxa" w:w="1290"/>
          </w:tcPr>
          <w:p>
            <w:pPr>
              <w:jc w:val="right"/>
            </w:pPr>
            <w:r>
              <w:rPr>
                <w:rFonts w:ascii="Arial" w:hAnsi="Arial"/>
                <w:sz w:val="18"/>
              </w:rPr>
              <w:t>3.324,521</w:t>
            </w:r>
          </w:p>
        </w:tc>
        <w:tc>
          <w:tcPr>
            <w:tcW w:type="dxa" w:w="1290"/>
          </w:tcPr>
          <w:p>
            <w:pPr>
              <w:jc w:val="right"/>
            </w:pPr>
            <w:r>
              <w:rPr>
                <w:rFonts w:ascii="Arial" w:hAnsi="Arial"/>
                <w:sz w:val="18"/>
              </w:rPr>
              <w:t>2,36</w:t>
            </w:r>
          </w:p>
        </w:tc>
        <w:tc>
          <w:tcPr>
            <w:tcW w:type="dxa" w:w="1290"/>
          </w:tcPr>
          <w:p>
            <w:pPr>
              <w:jc w:val="right"/>
            </w:pPr>
            <w:r>
              <w:rPr>
                <w:rFonts w:ascii="Arial" w:hAnsi="Arial"/>
                <w:sz w:val="18"/>
              </w:rPr>
              <w:t>100,0</w:t>
            </w:r>
          </w:p>
        </w:tc>
      </w:tr>
    </w:tbl>
    <w:p>
      <w:r>
        <w:rPr>
          <w:rFonts w:ascii="Arial" w:hAnsi="Arial"/>
          <w:i/>
          <w:sz w:val="16"/>
        </w:rPr>
        <w:t>Source: Sumber: Sistem Manajemen Energi Internal, direkonsiliasi dengan data pembelian bahan bakar tahun 2024. Faktor emisi: ESDM 2023 (gas alam), IPCC 2006 (diesel). / Source: Internal Energy Management System, reconciled with fuel procurement data for 2024. Emission factors: ESDM 2023 (natural gas), IPCC 2006 (diesel).</w:t>
      </w:r>
    </w:p>
    <w:p/>
    <w:p>
      <w:r>
        <w:rPr>
          <w:i/>
          <w:color w:val="3D6094"/>
          <w:sz w:val="18"/>
        </w:rPr>
        <w:t>Framework references: POJK No. 51/POJK.03/2017 Article 8 (Strategi Keuangan Berkelanjutan); POJK No. 51/POJK.03/2017 Article 13 (Manajemen Risiko Lingkungan); SE OJK Circular on Sustainability Reporting - Environmental Metrics Section; GHG Protocol Corporate Standard (2015) - Chapter 4: Setting Organizational Boundaries; GHG Protocol Corporate Standard (2015) - Chapter 5: Tracking Emissions Over Time; IPCC 2006 Guidelines for National Greenhouse Gas Inventories - Volume 2: Energy; IPCC AR6 Working Group I - Annex III: Tables of GWP and Other Metrics</w:t>
      </w:r>
    </w:p>
    <w:p>
      <w:pPr>
        <w:spacing w:after="80"/>
        <w:pBdr>
          <w:bottom w:val="single" w:sz="6" w:space="1" w:color="999999"/>
        </w:pBdr>
      </w:pPr>
    </w:p>
    <w:p>
      <w:pPr>
        <w:spacing w:after="160" w:line="276" w:lineRule="auto"/>
        <w:jc w:val="both"/>
      </w:pPr>
      <w:r>
        <w:rPr>
          <w:rFonts w:ascii="Arial" w:hAnsi="Arial"/>
          <w:i/>
          <w:color w:val="646464"/>
          <w:sz w:val="18"/>
        </w:rPr>
        <w:t>Reconciliation verification: Natural gas emissions (1,199.7924 tCO2e) + Diesel emissions (2,203.2044 tCO2e) = Total Scope 1 (3,402.997 tCO2e). Values reconcile within rounding tolerance.</w:t>
      </w:r>
    </w:p>
    <w:p>
      <w:pPr>
        <w:spacing w:after="160" w:line="276" w:lineRule="auto"/>
        <w:jc w:val="both"/>
      </w:pPr>
      <w:r>
        <w:rPr>
          <w:rFonts w:ascii="Arial" w:hAnsi="Arial"/>
          <w:i/>
          <w:color w:val="646464"/>
          <w:sz w:val="18"/>
        </w:rPr>
        <w:t>Konsolidasi menggunakan pendekatan kontrol operasional sesuai GHG Protocol. Semua fasilitas di mana institusi memiliki otoritas penuh atas kebijakan operasional dimasukkan dalam batas inventarisasi. / Consolidation uses operational control approach per GHG Protocol. All facilities where the institution has full authority over operational policies are included in the inventory boundary.</w:t>
      </w:r>
    </w:p>
    <w:p>
      <w:pPr>
        <w:spacing w:after="160" w:line="276" w:lineRule="auto"/>
        <w:jc w:val="both"/>
      </w:pPr>
      <w:r>
        <w:rPr>
          <w:rFonts w:ascii="Arial" w:hAnsi="Arial"/>
          <w:i/>
          <w:color w:val="646464"/>
          <w:sz w:val="18"/>
        </w:rPr>
        <w:t>Emisi Scope 1 belum diaudit oleh pihak eksternal untuk periode pelaporan 2024. Institusi berencana melakukan verifikasi pihak ketiga untuk laporan tahun 2025 sesuai persyaratan POJK 51/2017. / Scope 1 emissions have not been externally assured for the 2024 reporting period. The institution plans third-party verification for the 2025 report in accordance with POJK 51/2017 requirements.</w:t>
      </w:r>
    </w:p>
    <w:p>
      <w:r>
        <w:br w:type="page"/>
      </w:r>
    </w:p>
    <w:p>
      <w:pPr>
        <w:pStyle w:val="Heading1"/>
        <w:keepNext/>
        <w:spacing w:before="480" w:after="240"/>
      </w:pPr>
      <w:r>
        <w:rPr>
          <w:rFonts w:ascii="Arial" w:hAnsi="Arial"/>
          <w:b/>
          <w:color w:val="1B3A6B"/>
          <w:sz w:val="36"/>
        </w:rPr>
        <w:t>4.2 Energy Indirect (Scope 2) GHG Emissions</w:t>
      </w:r>
    </w:p>
    <w:p>
      <w:pPr>
        <w:spacing w:after="160" w:line="276" w:lineRule="auto"/>
        <w:jc w:val="both"/>
      </w:pPr>
      <w:r>
        <w:rPr>
          <w:rFonts w:ascii="Arial" w:hAnsi="Arial"/>
          <w:sz w:val="22"/>
        </w:rPr>
        <w:t>The organization's energy indirect (Scope 2) greenhouse gas emissions for the reporting period totaled 44,613.876 tCO₂e using the location-based method and 44,612.518 tCO₂e using the market-based method. These emissions result from the generation of purchased electricity consumed across the organization's operational facilities. The location-based figure reflects the average emissions intensity of the Indonesian electricity grid, while the market-based figure accounts for contractual instruments and the organization's electricity procurement choices.</w:t>
      </w:r>
    </w:p>
    <w:p>
      <w:pPr>
        <w:spacing w:after="160" w:line="276" w:lineRule="auto"/>
        <w:jc w:val="both"/>
      </w:pPr>
      <w:r>
        <w:rPr>
          <w:rFonts w:ascii="Arial" w:hAnsi="Arial"/>
          <w:i/>
          <w:sz w:val="22"/>
        </w:rPr>
        <w:t>The organization applies dual reporting in accordance with the GHG Protocol Scope 2 Guidance (2015). The location-based method uses grid-average emission factors from PLN (Perusahaan Listrik Negara) for the Indonesian electricity grid for the year 2023, reflecting the emissions intensity of the grid on which energy consumption occurs. The market-based method derives emission factors from contractual instruments and, where such instruments are not in place, applies residual mix factors or grid-average factors as a proxy. This dual approach ensures transparency regarding both the physical emissions associated with grid electricity consumption and the emissions profile resulting from the organization's procurement decisions.</w:t>
      </w:r>
    </w:p>
    <w:p>
      <w:pPr>
        <w:spacing w:after="160" w:line="276" w:lineRule="auto"/>
        <w:jc w:val="both"/>
      </w:pPr>
      <w:r>
        <w:rPr>
          <w:rFonts w:ascii="Arial" w:hAnsi="Arial"/>
          <w:sz w:val="22"/>
        </w:rPr>
        <w:t>The minimal difference of 1.358 tCO₂e between the location-based and market-based figures indicates that the organization has not applied significant contractual instruments such as Renewable Energy Certificates (RECs), Power Purchase Agreements (PPAs), or green tariffs during the reporting period. Both figures therefore closely reflect the grid-average emissions intensity of purchased electricity. The organization recognizes the potential to reduce market-based Scope 2 emissions through strategic procurement of renewable electricity and is evaluating opportunities to secure contractual instruments that would lower the market-based emissions profile in future reporting periods.</w:t>
      </w:r>
    </w:p>
    <w:p>
      <w:pPr>
        <w:spacing w:after="160" w:line="276" w:lineRule="auto"/>
        <w:jc w:val="both"/>
      </w:pPr>
      <w:r>
        <w:rPr>
          <w:rFonts w:ascii="Arial" w:hAnsi="Arial"/>
          <w:sz w:val="22"/>
        </w:rPr>
        <w:t>Compared to the prior reporting period, location-based Scope 2 emissions increased from 44,599.440 tCO₂e in 2023 to 44,613.876 tCO₂e in 2024, representing an increase of 0.03%. Market-based Scope 2 emissions similarly increased from 44,598.118 tCO₂e in 2023 to 44,612.518 tCO₂e in 2024, also representing an increase of 0.03%. This marginal increase reflects stable operational electricity consumption patterns across the organization's facilities, with minimal variation in grid emission factors between the two reporting periods.</w:t>
      </w:r>
    </w:p>
    <w:p>
      <w:pPr>
        <w:spacing w:after="160" w:line="276" w:lineRule="auto"/>
        <w:jc w:val="both"/>
      </w:pPr>
      <w:r>
        <w:rPr>
          <w:rFonts w:ascii="Arial" w:hAnsi="Arial"/>
          <w:i/>
          <w:sz w:val="22"/>
        </w:rPr>
        <w:t>The organization consolidates Scope 2 emissions using the operational control approach, consistent with its consolidation methodology for Scope 1 emissions. All facilities under the organization's operational control are included in the Scope 2 inventory. The emission factors applied are sourced from PLN's published grid emission factors for the Indonesian electricity system, which represent the most recent and geographically appropriate data available for the organization's operational footprint. The organization does not separately report biogenic CO₂ emissions for Scope 2, as these are accounted for in the grid emission factors provided by the electricity supplier.</w:t>
      </w:r>
    </w:p>
    <w:p>
      <w:r>
        <w:rPr>
          <w:rFonts w:ascii="Arial" w:hAnsi="Arial"/>
          <w:b/>
          <w:sz w:val="20"/>
        </w:rPr>
        <w:t>Table 4.2.1: Scope 2 Energy Indirect GHG Emissions — Dual Reporting</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Reporting Method</w:t>
            </w:r>
          </w:p>
        </w:tc>
        <w:tc>
          <w:tcPr>
            <w:tcW w:type="dxa" w:w="2257"/>
            <w:shd w:fill="1B3A6B" w:val="clear"/>
          </w:tcPr>
          <w:p>
            <w:r>
              <w:rPr>
                <w:rFonts w:ascii="Arial" w:hAnsi="Arial"/>
                <w:b/>
                <w:color w:val="FFFFFF"/>
                <w:sz w:val="18"/>
              </w:rPr>
              <w:t>Emissions (tCO₂e) 2024</w:t>
            </w:r>
          </w:p>
        </w:tc>
        <w:tc>
          <w:tcPr>
            <w:tcW w:type="dxa" w:w="2257"/>
            <w:shd w:fill="1B3A6B" w:val="clear"/>
          </w:tcPr>
          <w:p>
            <w:r>
              <w:rPr>
                <w:rFonts w:ascii="Arial" w:hAnsi="Arial"/>
                <w:b/>
                <w:color w:val="FFFFFF"/>
                <w:sz w:val="18"/>
              </w:rPr>
              <w:t>Emissions (tCO₂e) 2023</w:t>
            </w:r>
          </w:p>
        </w:tc>
        <w:tc>
          <w:tcPr>
            <w:tcW w:type="dxa" w:w="2257"/>
            <w:shd w:fill="1B3A6B" w:val="clear"/>
          </w:tcPr>
          <w:p>
            <w:r>
              <w:rPr>
                <w:rFonts w:ascii="Arial" w:hAnsi="Arial"/>
                <w:b/>
                <w:color w:val="FFFFFF"/>
                <w:sz w:val="18"/>
              </w:rPr>
              <w:t>Year-over-Year Change (%)</w:t>
            </w:r>
          </w:p>
        </w:tc>
      </w:tr>
      <w:tr>
        <w:tc>
          <w:tcPr>
            <w:tcW w:type="dxa" w:w="2257"/>
          </w:tcPr>
          <w:p>
            <w:r>
              <w:rPr>
                <w:rFonts w:ascii="Arial" w:hAnsi="Arial"/>
                <w:sz w:val="18"/>
              </w:rPr>
              <w:t>Location-based</w:t>
            </w:r>
          </w:p>
        </w:tc>
        <w:tc>
          <w:tcPr>
            <w:tcW w:type="dxa" w:w="2257"/>
          </w:tcPr>
          <w:p>
            <w:pPr>
              <w:jc w:val="right"/>
            </w:pPr>
            <w:r>
              <w:rPr>
                <w:rFonts w:ascii="Arial" w:hAnsi="Arial"/>
                <w:sz w:val="18"/>
              </w:rPr>
              <w:t>44,613.876</w:t>
            </w:r>
          </w:p>
        </w:tc>
        <w:tc>
          <w:tcPr>
            <w:tcW w:type="dxa" w:w="2257"/>
          </w:tcPr>
          <w:p>
            <w:pPr>
              <w:jc w:val="right"/>
            </w:pPr>
            <w:r>
              <w:rPr>
                <w:rFonts w:ascii="Arial" w:hAnsi="Arial"/>
                <w:sz w:val="18"/>
              </w:rPr>
              <w:t>44,599.440</w:t>
            </w:r>
          </w:p>
        </w:tc>
        <w:tc>
          <w:tcPr>
            <w:tcW w:type="dxa" w:w="2257"/>
          </w:tcPr>
          <w:p>
            <w:pPr>
              <w:jc w:val="right"/>
            </w:pPr>
            <w:r>
              <w:rPr>
                <w:rFonts w:ascii="Arial" w:hAnsi="Arial"/>
                <w:sz w:val="18"/>
              </w:rPr>
              <w:t>+0.03</w:t>
            </w:r>
          </w:p>
        </w:tc>
      </w:tr>
      <w:tr>
        <w:tc>
          <w:tcPr>
            <w:tcW w:type="dxa" w:w="2257"/>
            <w:shd w:fill="F2F6FC" w:val="clear"/>
          </w:tcPr>
          <w:p>
            <w:r>
              <w:rPr>
                <w:rFonts w:ascii="Arial" w:hAnsi="Arial"/>
                <w:sz w:val="18"/>
              </w:rPr>
              <w:t>Market-based</w:t>
            </w:r>
          </w:p>
        </w:tc>
        <w:tc>
          <w:tcPr>
            <w:tcW w:type="dxa" w:w="2257"/>
            <w:shd w:fill="F2F6FC" w:val="clear"/>
          </w:tcPr>
          <w:p>
            <w:pPr>
              <w:jc w:val="right"/>
            </w:pPr>
            <w:r>
              <w:rPr>
                <w:rFonts w:ascii="Arial" w:hAnsi="Arial"/>
                <w:sz w:val="18"/>
              </w:rPr>
              <w:t>44,612.518</w:t>
            </w:r>
          </w:p>
        </w:tc>
        <w:tc>
          <w:tcPr>
            <w:tcW w:type="dxa" w:w="2257"/>
            <w:shd w:fill="F2F6FC" w:val="clear"/>
          </w:tcPr>
          <w:p>
            <w:pPr>
              <w:jc w:val="right"/>
            </w:pPr>
            <w:r>
              <w:rPr>
                <w:rFonts w:ascii="Arial" w:hAnsi="Arial"/>
                <w:sz w:val="18"/>
              </w:rPr>
              <w:t>44,598.118</w:t>
            </w:r>
          </w:p>
        </w:tc>
        <w:tc>
          <w:tcPr>
            <w:tcW w:type="dxa" w:w="2257"/>
            <w:shd w:fill="F2F6FC" w:val="clear"/>
          </w:tcPr>
          <w:p>
            <w:pPr>
              <w:jc w:val="right"/>
            </w:pPr>
            <w:r>
              <w:rPr>
                <w:rFonts w:ascii="Arial" w:hAnsi="Arial"/>
                <w:sz w:val="18"/>
              </w:rPr>
              <w:t>+0.03</w:t>
            </w:r>
          </w:p>
        </w:tc>
      </w:tr>
      <w:tr>
        <w:tc>
          <w:tcPr>
            <w:tcW w:type="dxa" w:w="2257"/>
          </w:tcPr>
          <w:p>
            <w:r>
              <w:rPr>
                <w:rFonts w:ascii="Arial" w:hAnsi="Arial"/>
                <w:sz w:val="18"/>
              </w:rPr>
              <w:t>Difference (Location - Market)</w:t>
            </w:r>
          </w:p>
        </w:tc>
        <w:tc>
          <w:tcPr>
            <w:tcW w:type="dxa" w:w="2257"/>
          </w:tcPr>
          <w:p>
            <w:pPr>
              <w:jc w:val="right"/>
            </w:pPr>
            <w:r>
              <w:rPr>
                <w:rFonts w:ascii="Arial" w:hAnsi="Arial"/>
                <w:sz w:val="18"/>
              </w:rPr>
              <w:t>1.358</w:t>
            </w:r>
          </w:p>
        </w:tc>
        <w:tc>
          <w:tcPr>
            <w:tcW w:type="dxa" w:w="2257"/>
          </w:tcPr>
          <w:p>
            <w:pPr>
              <w:jc w:val="right"/>
            </w:pPr>
            <w:r>
              <w:rPr>
                <w:rFonts w:ascii="Arial" w:hAnsi="Arial"/>
                <w:sz w:val="18"/>
              </w:rPr>
              <w:t>1.322</w:t>
            </w:r>
          </w:p>
        </w:tc>
        <w:tc>
          <w:tcPr>
            <w:tcW w:type="dxa" w:w="2257"/>
          </w:tcPr>
          <w:p>
            <w:r>
              <w:rPr>
                <w:rFonts w:ascii="Arial" w:hAnsi="Arial"/>
                <w:sz w:val="18"/>
              </w:rPr>
              <w:t>—</w:t>
            </w:r>
          </w:p>
        </w:tc>
      </w:tr>
    </w:tbl>
    <w:p>
      <w:r>
        <w:rPr>
          <w:rFonts w:ascii="Arial" w:hAnsi="Arial"/>
          <w:i/>
          <w:sz w:val="16"/>
        </w:rPr>
        <w:t>Source: Source: Internal GHG inventory system. Emission factors: PLN 2023 grid average for Indonesian electricity system. Consolidation approach: Operational control.</w:t>
      </w:r>
    </w:p>
    <w:p/>
    <w:p>
      <w:r>
        <w:rPr>
          <w:i/>
          <w:color w:val="3D6094"/>
          <w:sz w:val="18"/>
        </w:rPr>
        <w:t>Framework references: GRI 305-2</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GRI Content Index: 305-2 | Energy indirect (Scope 2) GHG emissions | Section 4.2</w:t>
      </w:r>
    </w:p>
    <w:p>
      <w:r>
        <w:br w:type="page"/>
      </w:r>
    </w:p>
    <w:p>
      <w:pPr>
        <w:pStyle w:val="Heading1"/>
        <w:keepNext/>
        <w:spacing w:before="480" w:after="240"/>
      </w:pPr>
      <w:r>
        <w:rPr>
          <w:rFonts w:ascii="Arial" w:hAnsi="Arial"/>
          <w:b/>
          <w:color w:val="1B3A6B"/>
          <w:sz w:val="36"/>
        </w:rPr>
        <w:t>Governance</w:t>
      </w:r>
    </w:p>
    <w:p>
      <w:pPr>
        <w:spacing w:after="160" w:line="276" w:lineRule="auto"/>
        <w:jc w:val="both"/>
      </w:pPr>
      <w:r>
        <w:rPr>
          <w:rFonts w:ascii="Arial" w:hAnsi="Arial"/>
          <w:sz w:val="22"/>
        </w:rPr>
        <w:t>The institution has established governance structures to oversee climate-related risks and opportunities in accordance with IFRS S2 requirements. Oversight responsibility resides with the governing body, which reviews climate-related matters through its established committee structure. Management-level processes support the identification, assessment, and management of climate-related risks and opportunities, with defined escalation pathways to the governing body.</w:t>
      </w:r>
    </w:p>
    <w:p>
      <w:pPr>
        <w:spacing w:after="160" w:line="276" w:lineRule="auto"/>
        <w:jc w:val="both"/>
      </w:pPr>
      <w:r>
        <w:rPr>
          <w:rFonts w:ascii="Arial" w:hAnsi="Arial"/>
          <w:sz w:val="22"/>
        </w:rPr>
        <w:t>The governing body receives information on climate-related risks and opportunities through periodic reporting mechanisms. Climate considerations are integrated into the oversight of the institution's strategy, major transaction decisions, and risk management processes. The governing body evaluates trade-offs associated with climate-related risks and opportunities when making strategic decisions affecting the institution's business model and capital allocation.</w:t>
      </w:r>
    </w:p>
    <w:p>
      <w:pPr>
        <w:spacing w:after="160" w:line="276" w:lineRule="auto"/>
        <w:jc w:val="both"/>
      </w:pPr>
      <w:r>
        <w:rPr>
          <w:rFonts w:ascii="Arial" w:hAnsi="Arial"/>
          <w:sz w:val="22"/>
        </w:rPr>
        <w:t>Management-level responsibility for climate-related matters is delegated to designated positions within the institution's organizational structure. These management functions utilize controls and procedures to monitor and manage climate-related risks and opportunities, with integration into the institution's enterprise risk management framework. Management reports to the governing body on climate-related developments, risk exposures, and progress toward established objectives.</w:t>
      </w:r>
    </w:p>
    <w:p>
      <w:pPr>
        <w:spacing w:after="160" w:line="276" w:lineRule="auto"/>
        <w:jc w:val="both"/>
      </w:pPr>
      <w:r>
        <w:rPr>
          <w:rFonts w:ascii="Arial" w:hAnsi="Arial"/>
          <w:sz w:val="22"/>
        </w:rPr>
        <w:t>The governing body oversees the setting of targets related to climate-related risks and opportunities and monitors progress toward those targets. Target-setting processes consider the institution's strategic objectives, risk appetite, and stakeholder expectations. Progress monitoring occurs through regular reporting cycles that provide the governing body with quantitative and qualitative information on target achievement and implementation challenges.</w:t>
      </w:r>
    </w:p>
    <w:p>
      <w:r>
        <w:rPr>
          <w:i/>
          <w:color w:val="3D6094"/>
          <w:sz w:val="18"/>
        </w:rPr>
        <w:t>Framework references: IFRS S2 Para 6(a) - Governing body oversight; IFRS S2 Para 6(a)(i) - Terms of reference and role descriptions; IFRS S2 Para 6(a)(ii) - Skills and competencies; IFRS S2 Para 6(a)(iii) - Information frequency; IFRS S2 Para 6(a)(iv) - Strategy and risk management oversight; IFRS S2 Para 6(a)(v) - Target oversight and remuneration; IFRS S2 Para 6(b) - Management role; IFRS S2 Para 6(b)(i) - Delegation to management positions; IFRS S2 Para 6(b)(ii) - Controls and procedures integration; IFRS S2 Para 7 - Avoidance of unnecessary duplication</w:t>
      </w:r>
    </w:p>
    <w:p>
      <w:pPr>
        <w:spacing w:after="80"/>
        <w:pBdr>
          <w:bottom w:val="single" w:sz="6" w:space="1" w:color="999999"/>
        </w:pBdr>
      </w:pPr>
    </w:p>
    <w:p>
      <w:pPr>
        <w:spacing w:after="160" w:line="276" w:lineRule="auto"/>
        <w:jc w:val="both"/>
      </w:pPr>
      <w:r>
        <w:rPr>
          <w:rFonts w:ascii="Arial" w:hAnsi="Arial"/>
          <w:i/>
          <w:color w:val="646464"/>
          <w:sz w:val="18"/>
        </w:rPr>
        <w:t>Governance disclosures are prepared in accordance with IFRS S2 paragraphs 6-10, which require disclosure of governance processes, controls, and procedures used to monitor, manage, and oversee climate-related risks and opportunities.</w:t>
      </w:r>
    </w:p>
    <w:p>
      <w:pPr>
        <w:spacing w:after="160" w:line="276" w:lineRule="auto"/>
        <w:jc w:val="both"/>
      </w:pPr>
      <w:r>
        <w:rPr>
          <w:rFonts w:ascii="Arial" w:hAnsi="Arial"/>
          <w:i/>
          <w:color w:val="646464"/>
          <w:sz w:val="18"/>
        </w:rPr>
        <w:t>Data not available for this reporting period: specific board committee name, oversight frequency, climate expertise assessment, management committee structure, remuneration linkage details, and target-setting authority. The institution is developing enhanced governance disclosure capabilities for future reporting periods.</w:t>
      </w:r>
    </w:p>
    <w:p>
      <w:r>
        <w:br w:type="page"/>
      </w:r>
    </w:p>
    <w:p>
      <w:pPr>
        <w:pStyle w:val="Heading1"/>
        <w:keepNext/>
        <w:spacing w:before="480" w:after="240"/>
      </w:pPr>
      <w:r>
        <w:rPr>
          <w:rFonts w:ascii="Arial" w:hAnsi="Arial"/>
          <w:b/>
          <w:color w:val="1B3A6B"/>
          <w:sz w:val="36"/>
        </w:rPr>
        <w:t>Financed Emissions (Scope 3 Category 15)</w:t>
      </w:r>
    </w:p>
    <w:p>
      <w:pPr>
        <w:spacing w:after="160" w:line="276" w:lineRule="auto"/>
        <w:jc w:val="both"/>
      </w:pPr>
      <w:r>
        <w:rPr>
          <w:rFonts w:ascii="Arial" w:hAnsi="Arial"/>
          <w:sz w:val="22"/>
        </w:rPr>
        <w:t>The institution's gross financed emissions for the reporting period totaled 21,976,797.3 tCO2e across its commercial and industrial lending portfolio. This figure represents the absolute greenhouse gas emissions attributable to the institution's lending activities, calculated in accordance with the Partnership for Carbon Accounting Financials (PCAF) Global GHG Accounting Standard. The portfolio under assessment comprised 1,955 borrowers with total outstanding exposure of IDR 1,541.18 trillion, representing the institution's operational control boundary for financed emissions measurement.</w:t>
      </w:r>
    </w:p>
    <w:p>
      <w:pPr>
        <w:spacing w:after="160" w:line="276" w:lineRule="auto"/>
        <w:jc w:val="both"/>
      </w:pPr>
      <w:r>
        <w:rPr>
          <w:rFonts w:ascii="Arial" w:hAnsi="Arial"/>
          <w:i/>
          <w:sz w:val="22"/>
        </w:rPr>
        <w:t>Financed emissions were calculated using the attribution factor methodology prescribed by PCAF, whereby the institution's share of a borrower's total emissions is determined by the ratio of the outstanding loan amount to the borrower's total equity plus debt. The calculation covered five asset classes: corporate loans, project finance, bonds, equity investments, and undrawn loan commitments. Borrower emissions data were sourced from a combination of verified disclosures (PCAF Data Quality Score 1-2), economic input-output models adjusted for revenue or asset data (Score 3-4), and sector-average proxies (Score 5). The portfolio-weighted average data quality score was 3.36, indicating reliance on modeled estimates for the majority of exposures.</w:t>
      </w:r>
    </w:p>
    <w:p>
      <w:pPr>
        <w:spacing w:after="160" w:line="276" w:lineRule="auto"/>
        <w:jc w:val="both"/>
      </w:pPr>
      <w:r>
        <w:rPr>
          <w:rFonts w:ascii="Arial" w:hAnsi="Arial"/>
          <w:sz w:val="22"/>
        </w:rPr>
        <w:t>The institution reports both gross financed emissions and confidence-weighted financed emissions to reflect data quality uncertainty. Gross financed emissions of 21,976,797.3 tCO2e represent the unadjusted attribution of borrower emissions to the institution's lending portfolio. Confidence-weighted financed emissions of 15,280,174.14 tCO2e apply PCAF confidence factors ranging from 1.00 (verified data) to 0.45 (sector-average proxy) to adjust for estimation uncertainty. The 30.5% reduction from gross to weighted figures reflects the prevalence of modeled data in the portfolio, with confidence-weighted emissions providing a more conservative estimate of the institution's climate-related financial exposure.</w:t>
      </w:r>
    </w:p>
    <w:p>
      <w:pPr>
        <w:spacing w:after="160" w:line="276" w:lineRule="auto"/>
        <w:jc w:val="both"/>
      </w:pPr>
      <w:r>
        <w:rPr>
          <w:rFonts w:ascii="Arial" w:hAnsi="Arial"/>
          <w:sz w:val="22"/>
        </w:rPr>
        <w:t>Financed emissions were concentrated in carbon-intensive sectors. The Energy - Oil &amp; Gas sector accounted for 43.56% of total financed emissions (9,573,144.27 tCO2e gross; 6,753,948.71 tCO2e weighted) despite representing only 6.66% of portfolio exposure. The Manufacturing - Cement sector contributed 26.45% of emissions (5,813,830.91 tCO2e gross; 4,168,058.43 tCO2e weighted) from 6.99% of exposure. Manufacturing - Steel represented 15.92% of emissions (3,499,463.0 tCO2e gross; 2,228,739.65 tCO2e weighted) from 7.05% of exposure. Transportation - Road and Manufacturing - Food &amp; Beverage sectors contributed 5.58% and 4.26% of emissions respectively. These five sectors collectively accounted for 95.77% of total financed emissions while representing 41.76% of portfolio exposure, demonstrating significant emission intensity concentration.</w:t>
      </w:r>
    </w:p>
    <w:p>
      <w:pPr>
        <w:spacing w:after="160" w:line="276" w:lineRule="auto"/>
        <w:jc w:val="both"/>
      </w:pPr>
      <w:r>
        <w:rPr>
          <w:rFonts w:ascii="Arial" w:hAnsi="Arial"/>
          <w:sz w:val="22"/>
        </w:rPr>
        <w:t>Data quality assessment indicates substantial reliance on estimated emissions data. The portfolio-weighted average PCAF data quality score of 3.36 reflects predominant use of economic input-output models adjusted for borrower-specific revenue data (Score 3) and asset data (Score 4). Sector-level data quality scores ranged from 3.21 (Retail Trade) to 3.42 (Financial Services), with no sector achieving an average score below 3.0. The institution did not achieve the PCAF signatory target of maintaining data quality scores below 3.0 for priority sectors. High-quality data (Scores 1-2, representing verified or reported emissions) were not separately quantified in the current reporting period.</w:t>
      </w:r>
    </w:p>
    <w:p>
      <w:pPr>
        <w:spacing w:after="160" w:line="276" w:lineRule="auto"/>
        <w:jc w:val="both"/>
      </w:pPr>
      <w:r>
        <w:rPr>
          <w:rFonts w:ascii="Arial" w:hAnsi="Arial"/>
          <w:sz w:val="22"/>
        </w:rPr>
        <w:t>Year-over-year comparison of financed emissions was not available for the current reporting period due to portfolio composition changes and methodology refinements implemented during 2024. The institution transitioned from a simplified sectoral approach to borrower-specific attribution factors, resulting in non-comparable baseline data. Prior year gross financed emissions of 22,911,991.05 tCO2e (2023) were calculated under the previous methodology and are not directly comparable to the 2024 figure. The institution will establish a restated baseline for trend analysis in the 2025 reporting period following completion of the methodology transition across all asset classes.</w:t>
      </w:r>
    </w:p>
    <w:p>
      <w:pPr>
        <w:spacing w:after="160" w:line="276" w:lineRule="auto"/>
        <w:jc w:val="both"/>
      </w:pPr>
      <w:r>
        <w:rPr>
          <w:rFonts w:ascii="Arial" w:hAnsi="Arial"/>
          <w:sz w:val="22"/>
        </w:rPr>
        <w:t>Portfolio coverage for financed emissions measurement was 100% of in-scope lending exposures, meeting the PCAF signatory commitment to comprehensive portfolio assessment. All commercial and industrial loans, project finance facilities, bond holdings, equity investments, and material undrawn commitments were included in the calculation. Exclusions were limited to retail mortgage portfolios and consumer lending products, which are subject to separate residential real estate financed emissions methodology under PCAF. The institution's approach to asset class coverage aligns with IFRS S2 paragraph B62(a)(ii) requirements for commercial banking disclosures.</w:t>
      </w:r>
    </w:p>
    <w:p>
      <w:pPr>
        <w:spacing w:after="160" w:line="276" w:lineRule="auto"/>
        <w:jc w:val="both"/>
      </w:pPr>
      <w:r>
        <w:rPr>
          <w:rFonts w:ascii="Arial" w:hAnsi="Arial"/>
          <w:i/>
          <w:color w:val="555555"/>
          <w:sz w:val="22"/>
        </w:rPr>
        <w:t>The institution has established a three-year data quality improvement roadmap to address the elevated portfolio-weighted data quality score of 3.36. Priority initiatives include: (1) direct engagement with the top 100 borrowers by financed emissions to obtain verified or reported emissions data, targeting migration from Score 3-4 to Score 1-2 for 60% of high-emission exposures by 2026; (2) implementation of borrower-specific physical activity data collection for cement, steel, and oil &amp; gas sectors to replace revenue-based estimation models; (3) integration of third-party emissions databases (CDP, Science Based Targets initiative) into credit origination workflows; and (4) development of sector-specific estimation models calibrated to Indonesian emissions factors to improve Score 4-5 data accuracy. The roadmap targets achievement of portfolio-weighted data quality score below 3.0 by December 2027, subject to borrower cooperation and data availability constraints.</w:t>
      </w:r>
    </w:p>
    <w:p>
      <w:r>
        <w:rPr>
          <w:rFonts w:ascii="Arial" w:hAnsi="Arial"/>
          <w:b/>
          <w:sz w:val="20"/>
        </w:rPr>
        <w:t>Table 1: Financed Emissions by Sector (Top 5 Emitting Sectors)</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129"/>
            <w:shd w:fill="1B3A6B" w:val="clear"/>
          </w:tcPr>
          <w:p>
            <w:r>
              <w:rPr>
                <w:rFonts w:ascii="Arial" w:hAnsi="Arial"/>
                <w:b/>
                <w:color w:val="FFFFFF"/>
                <w:sz w:val="18"/>
              </w:rPr>
              <w:t>Sector</w:t>
            </w:r>
          </w:p>
        </w:tc>
        <w:tc>
          <w:tcPr>
            <w:tcW w:type="dxa" w:w="1129"/>
            <w:shd w:fill="1B3A6B" w:val="clear"/>
          </w:tcPr>
          <w:p>
            <w:r>
              <w:rPr>
                <w:rFonts w:ascii="Arial" w:hAnsi="Arial"/>
                <w:b/>
                <w:color w:val="FFFFFF"/>
                <w:sz w:val="18"/>
              </w:rPr>
              <w:t>Portfolio Exposure (IDR trillion)</w:t>
            </w:r>
          </w:p>
        </w:tc>
        <w:tc>
          <w:tcPr>
            <w:tcW w:type="dxa" w:w="1129"/>
            <w:shd w:fill="1B3A6B" w:val="clear"/>
          </w:tcPr>
          <w:p>
            <w:r>
              <w:rPr>
                <w:rFonts w:ascii="Arial" w:hAnsi="Arial"/>
                <w:b/>
                <w:color w:val="FFFFFF"/>
                <w:sz w:val="18"/>
              </w:rPr>
              <w:t>% of Total Portfolio</w:t>
            </w:r>
          </w:p>
        </w:tc>
        <w:tc>
          <w:tcPr>
            <w:tcW w:type="dxa" w:w="1129"/>
            <w:shd w:fill="1B3A6B" w:val="clear"/>
          </w:tcPr>
          <w:p>
            <w:r>
              <w:rPr>
                <w:rFonts w:ascii="Arial" w:hAnsi="Arial"/>
                <w:b/>
                <w:color w:val="FFFFFF"/>
                <w:sz w:val="18"/>
              </w:rPr>
              <w:t>Gross Financed Emissions (tCO2e)</w:t>
            </w:r>
          </w:p>
        </w:tc>
        <w:tc>
          <w:tcPr>
            <w:tcW w:type="dxa" w:w="1129"/>
            <w:shd w:fill="1B3A6B" w:val="clear"/>
          </w:tcPr>
          <w:p>
            <w:r>
              <w:rPr>
                <w:rFonts w:ascii="Arial" w:hAnsi="Arial"/>
                <w:b/>
                <w:color w:val="FFFFFF"/>
                <w:sz w:val="18"/>
              </w:rPr>
              <w:t>Weighted Financed Emissions (tCO2e)</w:t>
            </w:r>
          </w:p>
        </w:tc>
        <w:tc>
          <w:tcPr>
            <w:tcW w:type="dxa" w:w="1129"/>
            <w:shd w:fill="1B3A6B" w:val="clear"/>
          </w:tcPr>
          <w:p>
            <w:r>
              <w:rPr>
                <w:rFonts w:ascii="Arial" w:hAnsi="Arial"/>
                <w:b/>
                <w:color w:val="FFFFFF"/>
                <w:sz w:val="18"/>
              </w:rPr>
              <w:t>% of Total Emissions</w:t>
            </w:r>
          </w:p>
        </w:tc>
        <w:tc>
          <w:tcPr>
            <w:tcW w:type="dxa" w:w="1129"/>
            <w:shd w:fill="1B3A6B" w:val="clear"/>
          </w:tcPr>
          <w:p>
            <w:r>
              <w:rPr>
                <w:rFonts w:ascii="Arial" w:hAnsi="Arial"/>
                <w:b/>
                <w:color w:val="FFFFFF"/>
                <w:sz w:val="18"/>
              </w:rPr>
              <w:t>Emission Intensity (tCO2e per IDR billion)</w:t>
            </w:r>
          </w:p>
        </w:tc>
        <w:tc>
          <w:tcPr>
            <w:tcW w:type="dxa" w:w="1129"/>
            <w:shd w:fill="1B3A6B" w:val="clear"/>
          </w:tcPr>
          <w:p>
            <w:r>
              <w:rPr>
                <w:rFonts w:ascii="Arial" w:hAnsi="Arial"/>
                <w:b/>
                <w:color w:val="FFFFFF"/>
                <w:sz w:val="18"/>
              </w:rPr>
              <w:t>Avg PCAF Score</w:t>
            </w:r>
          </w:p>
        </w:tc>
      </w:tr>
      <w:tr>
        <w:tc>
          <w:tcPr>
            <w:tcW w:type="dxa" w:w="1129"/>
          </w:tcPr>
          <w:p>
            <w:r>
              <w:rPr>
                <w:rFonts w:ascii="Arial" w:hAnsi="Arial"/>
                <w:sz w:val="18"/>
              </w:rPr>
              <w:t>Energy - Oil &amp; Gas</w:t>
            </w:r>
          </w:p>
        </w:tc>
        <w:tc>
          <w:tcPr>
            <w:tcW w:type="dxa" w:w="1129"/>
          </w:tcPr>
          <w:p>
            <w:pPr>
              <w:jc w:val="right"/>
            </w:pPr>
            <w:r>
              <w:rPr>
                <w:rFonts w:ascii="Arial" w:hAnsi="Arial"/>
                <w:sz w:val="18"/>
              </w:rPr>
              <w:t>102.67</w:t>
            </w:r>
          </w:p>
        </w:tc>
        <w:tc>
          <w:tcPr>
            <w:tcW w:type="dxa" w:w="1129"/>
          </w:tcPr>
          <w:p>
            <w:pPr>
              <w:jc w:val="right"/>
            </w:pPr>
            <w:r>
              <w:rPr>
                <w:rFonts w:ascii="Arial" w:hAnsi="Arial"/>
                <w:sz w:val="18"/>
              </w:rPr>
              <w:t>6.66%</w:t>
            </w:r>
          </w:p>
        </w:tc>
        <w:tc>
          <w:tcPr>
            <w:tcW w:type="dxa" w:w="1129"/>
          </w:tcPr>
          <w:p>
            <w:pPr>
              <w:jc w:val="right"/>
            </w:pPr>
            <w:r>
              <w:rPr>
                <w:rFonts w:ascii="Arial" w:hAnsi="Arial"/>
                <w:sz w:val="18"/>
              </w:rPr>
              <w:t>9,573,144.27</w:t>
            </w:r>
          </w:p>
        </w:tc>
        <w:tc>
          <w:tcPr>
            <w:tcW w:type="dxa" w:w="1129"/>
          </w:tcPr>
          <w:p>
            <w:pPr>
              <w:jc w:val="right"/>
            </w:pPr>
            <w:r>
              <w:rPr>
                <w:rFonts w:ascii="Arial" w:hAnsi="Arial"/>
                <w:sz w:val="18"/>
              </w:rPr>
              <w:t>6,753,948.71</w:t>
            </w:r>
          </w:p>
        </w:tc>
        <w:tc>
          <w:tcPr>
            <w:tcW w:type="dxa" w:w="1129"/>
          </w:tcPr>
          <w:p>
            <w:pPr>
              <w:jc w:val="right"/>
            </w:pPr>
            <w:r>
              <w:rPr>
                <w:rFonts w:ascii="Arial" w:hAnsi="Arial"/>
                <w:sz w:val="18"/>
              </w:rPr>
              <w:t>43.56%</w:t>
            </w:r>
          </w:p>
        </w:tc>
        <w:tc>
          <w:tcPr>
            <w:tcW w:type="dxa" w:w="1129"/>
          </w:tcPr>
          <w:p>
            <w:pPr>
              <w:jc w:val="right"/>
            </w:pPr>
            <w:r>
              <w:rPr>
                <w:rFonts w:ascii="Arial" w:hAnsi="Arial"/>
                <w:sz w:val="18"/>
              </w:rPr>
              <w:t>93.242</w:t>
            </w:r>
          </w:p>
        </w:tc>
        <w:tc>
          <w:tcPr>
            <w:tcW w:type="dxa" w:w="1129"/>
          </w:tcPr>
          <w:p>
            <w:pPr>
              <w:jc w:val="right"/>
            </w:pPr>
            <w:r>
              <w:rPr>
                <w:rFonts w:ascii="Arial" w:hAnsi="Arial"/>
                <w:sz w:val="18"/>
              </w:rPr>
              <w:t>3.32</w:t>
            </w:r>
          </w:p>
        </w:tc>
      </w:tr>
      <w:tr>
        <w:tc>
          <w:tcPr>
            <w:tcW w:type="dxa" w:w="1129"/>
            <w:shd w:fill="F2F6FC" w:val="clear"/>
          </w:tcPr>
          <w:p>
            <w:r>
              <w:rPr>
                <w:rFonts w:ascii="Arial" w:hAnsi="Arial"/>
                <w:sz w:val="18"/>
              </w:rPr>
              <w:t>Manufacturing - Cement</w:t>
            </w:r>
          </w:p>
        </w:tc>
        <w:tc>
          <w:tcPr>
            <w:tcW w:type="dxa" w:w="1129"/>
            <w:shd w:fill="F2F6FC" w:val="clear"/>
          </w:tcPr>
          <w:p>
            <w:pPr>
              <w:jc w:val="right"/>
            </w:pPr>
            <w:r>
              <w:rPr>
                <w:rFonts w:ascii="Arial" w:hAnsi="Arial"/>
                <w:sz w:val="18"/>
              </w:rPr>
              <w:t>107.68</w:t>
            </w:r>
          </w:p>
        </w:tc>
        <w:tc>
          <w:tcPr>
            <w:tcW w:type="dxa" w:w="1129"/>
            <w:shd w:fill="F2F6FC" w:val="clear"/>
          </w:tcPr>
          <w:p>
            <w:pPr>
              <w:jc w:val="right"/>
            </w:pPr>
            <w:r>
              <w:rPr>
                <w:rFonts w:ascii="Arial" w:hAnsi="Arial"/>
                <w:sz w:val="18"/>
              </w:rPr>
              <w:t>6.99%</w:t>
            </w:r>
          </w:p>
        </w:tc>
        <w:tc>
          <w:tcPr>
            <w:tcW w:type="dxa" w:w="1129"/>
            <w:shd w:fill="F2F6FC" w:val="clear"/>
          </w:tcPr>
          <w:p>
            <w:pPr>
              <w:jc w:val="right"/>
            </w:pPr>
            <w:r>
              <w:rPr>
                <w:rFonts w:ascii="Arial" w:hAnsi="Arial"/>
                <w:sz w:val="18"/>
              </w:rPr>
              <w:t>5,813,830.91</w:t>
            </w:r>
          </w:p>
        </w:tc>
        <w:tc>
          <w:tcPr>
            <w:tcW w:type="dxa" w:w="1129"/>
            <w:shd w:fill="F2F6FC" w:val="clear"/>
          </w:tcPr>
          <w:p>
            <w:pPr>
              <w:jc w:val="right"/>
            </w:pPr>
            <w:r>
              <w:rPr>
                <w:rFonts w:ascii="Arial" w:hAnsi="Arial"/>
                <w:sz w:val="18"/>
              </w:rPr>
              <w:t>4,168,058.43</w:t>
            </w:r>
          </w:p>
        </w:tc>
        <w:tc>
          <w:tcPr>
            <w:tcW w:type="dxa" w:w="1129"/>
            <w:shd w:fill="F2F6FC" w:val="clear"/>
          </w:tcPr>
          <w:p>
            <w:pPr>
              <w:jc w:val="right"/>
            </w:pPr>
            <w:r>
              <w:rPr>
                <w:rFonts w:ascii="Arial" w:hAnsi="Arial"/>
                <w:sz w:val="18"/>
              </w:rPr>
              <w:t>26.45%</w:t>
            </w:r>
          </w:p>
        </w:tc>
        <w:tc>
          <w:tcPr>
            <w:tcW w:type="dxa" w:w="1129"/>
            <w:shd w:fill="F2F6FC" w:val="clear"/>
          </w:tcPr>
          <w:p>
            <w:pPr>
              <w:jc w:val="right"/>
            </w:pPr>
            <w:r>
              <w:rPr>
                <w:rFonts w:ascii="Arial" w:hAnsi="Arial"/>
                <w:sz w:val="18"/>
              </w:rPr>
              <w:t>53.9927</w:t>
            </w:r>
          </w:p>
        </w:tc>
        <w:tc>
          <w:tcPr>
            <w:tcW w:type="dxa" w:w="1129"/>
            <w:shd w:fill="F2F6FC" w:val="clear"/>
          </w:tcPr>
          <w:p>
            <w:pPr>
              <w:jc w:val="right"/>
            </w:pPr>
            <w:r>
              <w:rPr>
                <w:rFonts w:ascii="Arial" w:hAnsi="Arial"/>
                <w:sz w:val="18"/>
              </w:rPr>
              <w:t>3.40</w:t>
            </w:r>
          </w:p>
        </w:tc>
      </w:tr>
      <w:tr>
        <w:tc>
          <w:tcPr>
            <w:tcW w:type="dxa" w:w="1129"/>
          </w:tcPr>
          <w:p>
            <w:r>
              <w:rPr>
                <w:rFonts w:ascii="Arial" w:hAnsi="Arial"/>
                <w:sz w:val="18"/>
              </w:rPr>
              <w:t>Manufacturing - Steel</w:t>
            </w:r>
          </w:p>
        </w:tc>
        <w:tc>
          <w:tcPr>
            <w:tcW w:type="dxa" w:w="1129"/>
          </w:tcPr>
          <w:p>
            <w:pPr>
              <w:jc w:val="right"/>
            </w:pPr>
            <w:r>
              <w:rPr>
                <w:rFonts w:ascii="Arial" w:hAnsi="Arial"/>
                <w:sz w:val="18"/>
              </w:rPr>
              <w:t>108.62</w:t>
            </w:r>
          </w:p>
        </w:tc>
        <w:tc>
          <w:tcPr>
            <w:tcW w:type="dxa" w:w="1129"/>
          </w:tcPr>
          <w:p>
            <w:pPr>
              <w:jc w:val="right"/>
            </w:pPr>
            <w:r>
              <w:rPr>
                <w:rFonts w:ascii="Arial" w:hAnsi="Arial"/>
                <w:sz w:val="18"/>
              </w:rPr>
              <w:t>7.05%</w:t>
            </w:r>
          </w:p>
        </w:tc>
        <w:tc>
          <w:tcPr>
            <w:tcW w:type="dxa" w:w="1129"/>
          </w:tcPr>
          <w:p>
            <w:pPr>
              <w:jc w:val="right"/>
            </w:pPr>
            <w:r>
              <w:rPr>
                <w:rFonts w:ascii="Arial" w:hAnsi="Arial"/>
                <w:sz w:val="18"/>
              </w:rPr>
              <w:t>3,499,463.0</w:t>
            </w:r>
          </w:p>
        </w:tc>
        <w:tc>
          <w:tcPr>
            <w:tcW w:type="dxa" w:w="1129"/>
          </w:tcPr>
          <w:p>
            <w:pPr>
              <w:jc w:val="right"/>
            </w:pPr>
            <w:r>
              <w:rPr>
                <w:rFonts w:ascii="Arial" w:hAnsi="Arial"/>
                <w:sz w:val="18"/>
              </w:rPr>
              <w:t>2,228,739.65</w:t>
            </w:r>
          </w:p>
        </w:tc>
        <w:tc>
          <w:tcPr>
            <w:tcW w:type="dxa" w:w="1129"/>
          </w:tcPr>
          <w:p>
            <w:pPr>
              <w:jc w:val="right"/>
            </w:pPr>
            <w:r>
              <w:rPr>
                <w:rFonts w:ascii="Arial" w:hAnsi="Arial"/>
                <w:sz w:val="18"/>
              </w:rPr>
              <w:t>15.92%</w:t>
            </w:r>
          </w:p>
        </w:tc>
        <w:tc>
          <w:tcPr>
            <w:tcW w:type="dxa" w:w="1129"/>
          </w:tcPr>
          <w:p>
            <w:pPr>
              <w:jc w:val="right"/>
            </w:pPr>
            <w:r>
              <w:rPr>
                <w:rFonts w:ascii="Arial" w:hAnsi="Arial"/>
                <w:sz w:val="18"/>
              </w:rPr>
              <w:t>32.2175</w:t>
            </w:r>
          </w:p>
        </w:tc>
        <w:tc>
          <w:tcPr>
            <w:tcW w:type="dxa" w:w="1129"/>
          </w:tcPr>
          <w:p>
            <w:pPr>
              <w:jc w:val="right"/>
            </w:pPr>
            <w:r>
              <w:rPr>
                <w:rFonts w:ascii="Arial" w:hAnsi="Arial"/>
                <w:sz w:val="18"/>
              </w:rPr>
              <w:t>3.35</w:t>
            </w:r>
          </w:p>
        </w:tc>
      </w:tr>
      <w:tr>
        <w:tc>
          <w:tcPr>
            <w:tcW w:type="dxa" w:w="1129"/>
            <w:shd w:fill="F2F6FC" w:val="clear"/>
          </w:tcPr>
          <w:p>
            <w:r>
              <w:rPr>
                <w:rFonts w:ascii="Arial" w:hAnsi="Arial"/>
                <w:sz w:val="18"/>
              </w:rPr>
              <w:t>Transportation - Road</w:t>
            </w:r>
          </w:p>
        </w:tc>
        <w:tc>
          <w:tcPr>
            <w:tcW w:type="dxa" w:w="1129"/>
            <w:shd w:fill="F2F6FC" w:val="clear"/>
          </w:tcPr>
          <w:p>
            <w:pPr>
              <w:jc w:val="right"/>
            </w:pPr>
            <w:r>
              <w:rPr>
                <w:rFonts w:ascii="Arial" w:hAnsi="Arial"/>
                <w:sz w:val="18"/>
              </w:rPr>
              <w:t>155.55</w:t>
            </w:r>
          </w:p>
        </w:tc>
        <w:tc>
          <w:tcPr>
            <w:tcW w:type="dxa" w:w="1129"/>
            <w:shd w:fill="F2F6FC" w:val="clear"/>
          </w:tcPr>
          <w:p>
            <w:pPr>
              <w:jc w:val="right"/>
            </w:pPr>
            <w:r>
              <w:rPr>
                <w:rFonts w:ascii="Arial" w:hAnsi="Arial"/>
                <w:sz w:val="18"/>
              </w:rPr>
              <w:t>10.09%</w:t>
            </w:r>
          </w:p>
        </w:tc>
        <w:tc>
          <w:tcPr>
            <w:tcW w:type="dxa" w:w="1129"/>
            <w:shd w:fill="F2F6FC" w:val="clear"/>
          </w:tcPr>
          <w:p>
            <w:pPr>
              <w:jc w:val="right"/>
            </w:pPr>
            <w:r>
              <w:rPr>
                <w:rFonts w:ascii="Arial" w:hAnsi="Arial"/>
                <w:sz w:val="18"/>
              </w:rPr>
              <w:t>1,227,019.62</w:t>
            </w:r>
          </w:p>
        </w:tc>
        <w:tc>
          <w:tcPr>
            <w:tcW w:type="dxa" w:w="1129"/>
            <w:shd w:fill="F2F6FC" w:val="clear"/>
          </w:tcPr>
          <w:p>
            <w:pPr>
              <w:jc w:val="right"/>
            </w:pPr>
            <w:r>
              <w:rPr>
                <w:rFonts w:ascii="Arial" w:hAnsi="Arial"/>
                <w:sz w:val="18"/>
              </w:rPr>
              <w:t>864,356.23</w:t>
            </w:r>
          </w:p>
        </w:tc>
        <w:tc>
          <w:tcPr>
            <w:tcW w:type="dxa" w:w="1129"/>
            <w:shd w:fill="F2F6FC" w:val="clear"/>
          </w:tcPr>
          <w:p>
            <w:pPr>
              <w:jc w:val="right"/>
            </w:pPr>
            <w:r>
              <w:rPr>
                <w:rFonts w:ascii="Arial" w:hAnsi="Arial"/>
                <w:sz w:val="18"/>
              </w:rPr>
              <w:t>5.58%</w:t>
            </w:r>
          </w:p>
        </w:tc>
        <w:tc>
          <w:tcPr>
            <w:tcW w:type="dxa" w:w="1129"/>
            <w:shd w:fill="F2F6FC" w:val="clear"/>
          </w:tcPr>
          <w:p>
            <w:pPr>
              <w:jc w:val="right"/>
            </w:pPr>
            <w:r>
              <w:rPr>
                <w:rFonts w:ascii="Arial" w:hAnsi="Arial"/>
                <w:sz w:val="18"/>
              </w:rPr>
              <w:t>7.8881</w:t>
            </w:r>
          </w:p>
        </w:tc>
        <w:tc>
          <w:tcPr>
            <w:tcW w:type="dxa" w:w="1129"/>
            <w:shd w:fill="F2F6FC" w:val="clear"/>
          </w:tcPr>
          <w:p>
            <w:pPr>
              <w:jc w:val="right"/>
            </w:pPr>
            <w:r>
              <w:rPr>
                <w:rFonts w:ascii="Arial" w:hAnsi="Arial"/>
                <w:sz w:val="18"/>
              </w:rPr>
              <w:t>3.36</w:t>
            </w:r>
          </w:p>
        </w:tc>
      </w:tr>
      <w:tr>
        <w:tc>
          <w:tcPr>
            <w:tcW w:type="dxa" w:w="1129"/>
          </w:tcPr>
          <w:p>
            <w:r>
              <w:rPr>
                <w:rFonts w:ascii="Arial" w:hAnsi="Arial"/>
                <w:sz w:val="18"/>
              </w:rPr>
              <w:t>Manufacturing - Food &amp; Beverage</w:t>
            </w:r>
          </w:p>
        </w:tc>
        <w:tc>
          <w:tcPr>
            <w:tcW w:type="dxa" w:w="1129"/>
          </w:tcPr>
          <w:p>
            <w:pPr>
              <w:jc w:val="right"/>
            </w:pPr>
            <w:r>
              <w:rPr>
                <w:rFonts w:ascii="Arial" w:hAnsi="Arial"/>
                <w:sz w:val="18"/>
              </w:rPr>
              <w:t>169.14</w:t>
            </w:r>
          </w:p>
        </w:tc>
        <w:tc>
          <w:tcPr>
            <w:tcW w:type="dxa" w:w="1129"/>
          </w:tcPr>
          <w:p>
            <w:pPr>
              <w:jc w:val="right"/>
            </w:pPr>
            <w:r>
              <w:rPr>
                <w:rFonts w:ascii="Arial" w:hAnsi="Arial"/>
                <w:sz w:val="18"/>
              </w:rPr>
              <w:t>10.97%</w:t>
            </w:r>
          </w:p>
        </w:tc>
        <w:tc>
          <w:tcPr>
            <w:tcW w:type="dxa" w:w="1129"/>
          </w:tcPr>
          <w:p>
            <w:pPr>
              <w:jc w:val="right"/>
            </w:pPr>
            <w:r>
              <w:rPr>
                <w:rFonts w:ascii="Arial" w:hAnsi="Arial"/>
                <w:sz w:val="18"/>
              </w:rPr>
              <w:t>936,111.21</w:t>
            </w:r>
          </w:p>
        </w:tc>
        <w:tc>
          <w:tcPr>
            <w:tcW w:type="dxa" w:w="1129"/>
          </w:tcPr>
          <w:p>
            <w:pPr>
              <w:jc w:val="right"/>
            </w:pPr>
            <w:r>
              <w:rPr>
                <w:rFonts w:ascii="Arial" w:hAnsi="Arial"/>
                <w:sz w:val="18"/>
              </w:rPr>
              <w:t>653,413.56</w:t>
            </w:r>
          </w:p>
        </w:tc>
        <w:tc>
          <w:tcPr>
            <w:tcW w:type="dxa" w:w="1129"/>
          </w:tcPr>
          <w:p>
            <w:pPr>
              <w:jc w:val="right"/>
            </w:pPr>
            <w:r>
              <w:rPr>
                <w:rFonts w:ascii="Arial" w:hAnsi="Arial"/>
                <w:sz w:val="18"/>
              </w:rPr>
              <w:t>4.26%</w:t>
            </w:r>
          </w:p>
        </w:tc>
        <w:tc>
          <w:tcPr>
            <w:tcW w:type="dxa" w:w="1129"/>
          </w:tcPr>
          <w:p>
            <w:pPr>
              <w:jc w:val="right"/>
            </w:pPr>
            <w:r>
              <w:rPr>
                <w:rFonts w:ascii="Arial" w:hAnsi="Arial"/>
                <w:sz w:val="18"/>
              </w:rPr>
              <w:t>5.5346</w:t>
            </w:r>
          </w:p>
        </w:tc>
        <w:tc>
          <w:tcPr>
            <w:tcW w:type="dxa" w:w="1129"/>
          </w:tcPr>
          <w:p>
            <w:pPr>
              <w:jc w:val="right"/>
            </w:pPr>
            <w:r>
              <w:rPr>
                <w:rFonts w:ascii="Arial" w:hAnsi="Arial"/>
                <w:sz w:val="18"/>
              </w:rPr>
              <w:t>3.35</w:t>
            </w:r>
          </w:p>
        </w:tc>
      </w:tr>
      <w:tr>
        <w:tc>
          <w:tcPr>
            <w:tcW w:type="dxa" w:w="1129"/>
            <w:shd w:fill="F2F6FC" w:val="clear"/>
          </w:tcPr>
          <w:p>
            <w:r>
              <w:rPr>
                <w:rFonts w:ascii="Arial" w:hAnsi="Arial"/>
                <w:sz w:val="18"/>
              </w:rPr>
              <w:t>Other Sectors (5 sectors)</w:t>
            </w:r>
          </w:p>
        </w:tc>
        <w:tc>
          <w:tcPr>
            <w:tcW w:type="dxa" w:w="1129"/>
            <w:shd w:fill="F2F6FC" w:val="clear"/>
          </w:tcPr>
          <w:p>
            <w:pPr>
              <w:jc w:val="right"/>
            </w:pPr>
            <w:r>
              <w:rPr>
                <w:rFonts w:ascii="Arial" w:hAnsi="Arial"/>
                <w:sz w:val="18"/>
              </w:rPr>
              <w:t>897.52</w:t>
            </w:r>
          </w:p>
        </w:tc>
        <w:tc>
          <w:tcPr>
            <w:tcW w:type="dxa" w:w="1129"/>
            <w:shd w:fill="F2F6FC" w:val="clear"/>
          </w:tcPr>
          <w:p>
            <w:pPr>
              <w:jc w:val="right"/>
            </w:pPr>
            <w:r>
              <w:rPr>
                <w:rFonts w:ascii="Arial" w:hAnsi="Arial"/>
                <w:sz w:val="18"/>
              </w:rPr>
              <w:t>58.24%</w:t>
            </w:r>
          </w:p>
        </w:tc>
        <w:tc>
          <w:tcPr>
            <w:tcW w:type="dxa" w:w="1129"/>
            <w:shd w:fill="F2F6FC" w:val="clear"/>
          </w:tcPr>
          <w:p>
            <w:pPr>
              <w:jc w:val="right"/>
            </w:pPr>
            <w:r>
              <w:rPr>
                <w:rFonts w:ascii="Arial" w:hAnsi="Arial"/>
                <w:sz w:val="18"/>
              </w:rPr>
              <w:t>927,228.29</w:t>
            </w:r>
          </w:p>
        </w:tc>
        <w:tc>
          <w:tcPr>
            <w:tcW w:type="dxa" w:w="1129"/>
            <w:shd w:fill="F2F6FC" w:val="clear"/>
          </w:tcPr>
          <w:p>
            <w:pPr>
              <w:jc w:val="right"/>
            </w:pPr>
            <w:r>
              <w:rPr>
                <w:rFonts w:ascii="Arial" w:hAnsi="Arial"/>
                <w:sz w:val="18"/>
              </w:rPr>
              <w:t>611,657.56</w:t>
            </w:r>
          </w:p>
        </w:tc>
        <w:tc>
          <w:tcPr>
            <w:tcW w:type="dxa" w:w="1129"/>
            <w:shd w:fill="F2F6FC" w:val="clear"/>
          </w:tcPr>
          <w:p>
            <w:pPr>
              <w:jc w:val="right"/>
            </w:pPr>
            <w:r>
              <w:rPr>
                <w:rFonts w:ascii="Arial" w:hAnsi="Arial"/>
                <w:sz w:val="18"/>
              </w:rPr>
              <w:t>4.23%</w:t>
            </w:r>
          </w:p>
        </w:tc>
        <w:tc>
          <w:tcPr>
            <w:tcW w:type="dxa" w:w="1129"/>
            <w:shd w:fill="F2F6FC" w:val="clear"/>
          </w:tcPr>
          <w:p>
            <w:pPr>
              <w:jc w:val="right"/>
            </w:pPr>
            <w:r>
              <w:rPr>
                <w:rFonts w:ascii="Arial" w:hAnsi="Arial"/>
                <w:sz w:val="18"/>
              </w:rPr>
              <w:t>1.0329</w:t>
            </w:r>
          </w:p>
        </w:tc>
        <w:tc>
          <w:tcPr>
            <w:tcW w:type="dxa" w:w="1129"/>
            <w:shd w:fill="F2F6FC" w:val="clear"/>
          </w:tcPr>
          <w:p>
            <w:pPr>
              <w:jc w:val="right"/>
            </w:pPr>
            <w:r>
              <w:rPr>
                <w:rFonts w:ascii="Arial" w:hAnsi="Arial"/>
                <w:sz w:val="18"/>
              </w:rPr>
              <w:t>3.33</w:t>
            </w:r>
          </w:p>
        </w:tc>
      </w:tr>
      <w:tr>
        <w:tc>
          <w:tcPr>
            <w:tcW w:type="dxa" w:w="1129"/>
          </w:tcPr>
          <w:p>
            <w:r>
              <w:rPr>
                <w:rFonts w:ascii="Arial" w:hAnsi="Arial"/>
                <w:sz w:val="18"/>
              </w:rPr>
              <w:t>Total Portfolio</w:t>
            </w:r>
          </w:p>
        </w:tc>
        <w:tc>
          <w:tcPr>
            <w:tcW w:type="dxa" w:w="1129"/>
          </w:tcPr>
          <w:p>
            <w:pPr>
              <w:jc w:val="right"/>
            </w:pPr>
            <w:r>
              <w:rPr>
                <w:rFonts w:ascii="Arial" w:hAnsi="Arial"/>
                <w:sz w:val="18"/>
              </w:rPr>
              <w:t>1,541.18</w:t>
            </w:r>
          </w:p>
        </w:tc>
        <w:tc>
          <w:tcPr>
            <w:tcW w:type="dxa" w:w="1129"/>
          </w:tcPr>
          <w:p>
            <w:pPr>
              <w:jc w:val="right"/>
            </w:pPr>
            <w:r>
              <w:rPr>
                <w:rFonts w:ascii="Arial" w:hAnsi="Arial"/>
                <w:sz w:val="18"/>
              </w:rPr>
              <w:t>100.00%</w:t>
            </w:r>
          </w:p>
        </w:tc>
        <w:tc>
          <w:tcPr>
            <w:tcW w:type="dxa" w:w="1129"/>
          </w:tcPr>
          <w:p>
            <w:pPr>
              <w:jc w:val="right"/>
            </w:pPr>
            <w:r>
              <w:rPr>
                <w:rFonts w:ascii="Arial" w:hAnsi="Arial"/>
                <w:sz w:val="18"/>
              </w:rPr>
              <w:t>21,976,797.3</w:t>
            </w:r>
          </w:p>
        </w:tc>
        <w:tc>
          <w:tcPr>
            <w:tcW w:type="dxa" w:w="1129"/>
          </w:tcPr>
          <w:p>
            <w:pPr>
              <w:jc w:val="right"/>
            </w:pPr>
            <w:r>
              <w:rPr>
                <w:rFonts w:ascii="Arial" w:hAnsi="Arial"/>
                <w:sz w:val="18"/>
              </w:rPr>
              <w:t>15,280,174.14</w:t>
            </w:r>
          </w:p>
        </w:tc>
        <w:tc>
          <w:tcPr>
            <w:tcW w:type="dxa" w:w="1129"/>
          </w:tcPr>
          <w:p>
            <w:pPr>
              <w:jc w:val="right"/>
            </w:pPr>
            <w:r>
              <w:rPr>
                <w:rFonts w:ascii="Arial" w:hAnsi="Arial"/>
                <w:sz w:val="18"/>
              </w:rPr>
              <w:t>100.00%</w:t>
            </w:r>
          </w:p>
        </w:tc>
        <w:tc>
          <w:tcPr>
            <w:tcW w:type="dxa" w:w="1129"/>
          </w:tcPr>
          <w:p>
            <w:pPr>
              <w:jc w:val="right"/>
            </w:pPr>
            <w:r>
              <w:rPr>
                <w:rFonts w:ascii="Arial" w:hAnsi="Arial"/>
                <w:sz w:val="18"/>
              </w:rPr>
              <w:t>14.2596</w:t>
            </w:r>
          </w:p>
        </w:tc>
        <w:tc>
          <w:tcPr>
            <w:tcW w:type="dxa" w:w="1129"/>
          </w:tcPr>
          <w:p>
            <w:pPr>
              <w:jc w:val="right"/>
            </w:pPr>
            <w:r>
              <w:rPr>
                <w:rFonts w:ascii="Arial" w:hAnsi="Arial"/>
                <w:sz w:val="18"/>
              </w:rPr>
              <w:t>3.36</w:t>
            </w:r>
          </w:p>
        </w:tc>
      </w:tr>
    </w:tbl>
    <w:p>
      <w:r>
        <w:rPr>
          <w:rFonts w:ascii="Arial" w:hAnsi="Arial"/>
          <w:i/>
          <w:sz w:val="16"/>
        </w:rPr>
        <w:t>Source: Source: Internal PCAF calculation system. Gross exposure calculated as funded carrying amounts before loss allowance per IFRS S2 B62(b)(i). Emission intensity calculated as weighted financed emissions divided by portfolio exposure. PCAF scores range from 1 (verified data) to 5 (sector-average proxy).</w:t>
      </w:r>
    </w:p>
    <w:p/>
    <w:p>
      <w:r>
        <w:rPr>
          <w:rFonts w:ascii="Arial" w:hAnsi="Arial"/>
          <w:b/>
          <w:sz w:val="20"/>
        </w:rPr>
        <w:t>Table 2: SASB FN-CB-410a.3 — Financed Emissions Disclosure</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Metric</w:t>
            </w:r>
          </w:p>
        </w:tc>
        <w:tc>
          <w:tcPr>
            <w:tcW w:type="dxa" w:w="3010"/>
            <w:shd w:fill="1B3A6B" w:val="clear"/>
          </w:tcPr>
          <w:p>
            <w:r>
              <w:rPr>
                <w:rFonts w:ascii="Arial" w:hAnsi="Arial"/>
                <w:b/>
                <w:color w:val="FFFFFF"/>
                <w:sz w:val="18"/>
              </w:rPr>
              <w:t>Value</w:t>
            </w:r>
          </w:p>
        </w:tc>
        <w:tc>
          <w:tcPr>
            <w:tcW w:type="dxa" w:w="3010"/>
            <w:shd w:fill="1B3A6B" w:val="clear"/>
          </w:tcPr>
          <w:p>
            <w:r>
              <w:rPr>
                <w:rFonts w:ascii="Arial" w:hAnsi="Arial"/>
                <w:b/>
                <w:color w:val="FFFFFF"/>
                <w:sz w:val="18"/>
              </w:rPr>
              <w:t>Unit</w:t>
            </w:r>
          </w:p>
        </w:tc>
      </w:tr>
      <w:tr>
        <w:tc>
          <w:tcPr>
            <w:tcW w:type="dxa" w:w="3010"/>
          </w:tcPr>
          <w:p>
            <w:r>
              <w:rPr>
                <w:rFonts w:ascii="Arial" w:hAnsi="Arial"/>
                <w:sz w:val="18"/>
              </w:rPr>
              <w:t>Gross Financed Emissions (Scope 3 Category 15)</w:t>
            </w:r>
          </w:p>
        </w:tc>
        <w:tc>
          <w:tcPr>
            <w:tcW w:type="dxa" w:w="3010"/>
          </w:tcPr>
          <w:p>
            <w:pPr>
              <w:jc w:val="right"/>
            </w:pPr>
            <w:r>
              <w:rPr>
                <w:rFonts w:ascii="Arial" w:hAnsi="Arial"/>
                <w:sz w:val="18"/>
              </w:rPr>
              <w:t>21,976,797.3</w:t>
            </w:r>
          </w:p>
        </w:tc>
        <w:tc>
          <w:tcPr>
            <w:tcW w:type="dxa" w:w="3010"/>
          </w:tcPr>
          <w:p>
            <w:r>
              <w:rPr>
                <w:rFonts w:ascii="Arial" w:hAnsi="Arial"/>
                <w:sz w:val="18"/>
              </w:rPr>
              <w:t>tCO2e</w:t>
            </w:r>
          </w:p>
        </w:tc>
      </w:tr>
      <w:tr>
        <w:tc>
          <w:tcPr>
            <w:tcW w:type="dxa" w:w="3010"/>
            <w:shd w:fill="F2F6FC" w:val="clear"/>
          </w:tcPr>
          <w:p>
            <w:r>
              <w:rPr>
                <w:rFonts w:ascii="Arial" w:hAnsi="Arial"/>
                <w:sz w:val="18"/>
              </w:rPr>
              <w:t>Confidence-Weighted Financed Emissions</w:t>
            </w:r>
          </w:p>
        </w:tc>
        <w:tc>
          <w:tcPr>
            <w:tcW w:type="dxa" w:w="3010"/>
            <w:shd w:fill="F2F6FC" w:val="clear"/>
          </w:tcPr>
          <w:p>
            <w:pPr>
              <w:jc w:val="right"/>
            </w:pPr>
            <w:r>
              <w:rPr>
                <w:rFonts w:ascii="Arial" w:hAnsi="Arial"/>
                <w:sz w:val="18"/>
              </w:rPr>
              <w:t>15,280,174.14</w:t>
            </w:r>
          </w:p>
        </w:tc>
        <w:tc>
          <w:tcPr>
            <w:tcW w:type="dxa" w:w="3010"/>
            <w:shd w:fill="F2F6FC" w:val="clear"/>
          </w:tcPr>
          <w:p>
            <w:r>
              <w:rPr>
                <w:rFonts w:ascii="Arial" w:hAnsi="Arial"/>
                <w:sz w:val="18"/>
              </w:rPr>
              <w:t>tCO2e</w:t>
            </w:r>
          </w:p>
        </w:tc>
      </w:tr>
      <w:tr>
        <w:tc>
          <w:tcPr>
            <w:tcW w:type="dxa" w:w="3010"/>
          </w:tcPr>
          <w:p>
            <w:r>
              <w:rPr>
                <w:rFonts w:ascii="Arial" w:hAnsi="Arial"/>
                <w:sz w:val="18"/>
              </w:rPr>
              <w:t>Total Portfolio Exposure (In-Scope)</w:t>
            </w:r>
          </w:p>
        </w:tc>
        <w:tc>
          <w:tcPr>
            <w:tcW w:type="dxa" w:w="3010"/>
          </w:tcPr>
          <w:p>
            <w:pPr>
              <w:jc w:val="right"/>
            </w:pPr>
            <w:r>
              <w:rPr>
                <w:rFonts w:ascii="Arial" w:hAnsi="Arial"/>
                <w:sz w:val="18"/>
              </w:rPr>
              <w:t>1,541.18</w:t>
            </w:r>
          </w:p>
        </w:tc>
        <w:tc>
          <w:tcPr>
            <w:tcW w:type="dxa" w:w="3010"/>
          </w:tcPr>
          <w:p>
            <w:r>
              <w:rPr>
                <w:rFonts w:ascii="Arial" w:hAnsi="Arial"/>
                <w:sz w:val="18"/>
              </w:rPr>
              <w:t>IDR trillion</w:t>
            </w:r>
          </w:p>
        </w:tc>
      </w:tr>
      <w:tr>
        <w:tc>
          <w:tcPr>
            <w:tcW w:type="dxa" w:w="3010"/>
            <w:shd w:fill="F2F6FC" w:val="clear"/>
          </w:tcPr>
          <w:p>
            <w:r>
              <w:rPr>
                <w:rFonts w:ascii="Arial" w:hAnsi="Arial"/>
                <w:sz w:val="18"/>
              </w:rPr>
              <w:t>Portfolio-Weighted Emission Intensity</w:t>
            </w:r>
          </w:p>
        </w:tc>
        <w:tc>
          <w:tcPr>
            <w:tcW w:type="dxa" w:w="3010"/>
            <w:shd w:fill="F2F6FC" w:val="clear"/>
          </w:tcPr>
          <w:p>
            <w:pPr>
              <w:jc w:val="right"/>
            </w:pPr>
            <w:r>
              <w:rPr>
                <w:rFonts w:ascii="Arial" w:hAnsi="Arial"/>
                <w:sz w:val="18"/>
              </w:rPr>
              <w:t>14.2596</w:t>
            </w:r>
          </w:p>
        </w:tc>
        <w:tc>
          <w:tcPr>
            <w:tcW w:type="dxa" w:w="3010"/>
            <w:shd w:fill="F2F6FC" w:val="clear"/>
          </w:tcPr>
          <w:p>
            <w:r>
              <w:rPr>
                <w:rFonts w:ascii="Arial" w:hAnsi="Arial"/>
                <w:sz w:val="18"/>
              </w:rPr>
              <w:t>tCO2e per IDR billion</w:t>
            </w:r>
          </w:p>
        </w:tc>
      </w:tr>
      <w:tr>
        <w:tc>
          <w:tcPr>
            <w:tcW w:type="dxa" w:w="3010"/>
          </w:tcPr>
          <w:p>
            <w:r>
              <w:rPr>
                <w:rFonts w:ascii="Arial" w:hAnsi="Arial"/>
                <w:sz w:val="18"/>
              </w:rPr>
              <w:t>Portfolio-Weighted Average PCAF Data Quality Score</w:t>
            </w:r>
          </w:p>
        </w:tc>
        <w:tc>
          <w:tcPr>
            <w:tcW w:type="dxa" w:w="3010"/>
          </w:tcPr>
          <w:p>
            <w:pPr>
              <w:jc w:val="right"/>
            </w:pPr>
            <w:r>
              <w:rPr>
                <w:rFonts w:ascii="Arial" w:hAnsi="Arial"/>
                <w:sz w:val="18"/>
              </w:rPr>
              <w:t>3.36</w:t>
            </w:r>
          </w:p>
        </w:tc>
        <w:tc>
          <w:tcPr>
            <w:tcW w:type="dxa" w:w="3010"/>
          </w:tcPr>
          <w:p>
            <w:r>
              <w:rPr>
                <w:rFonts w:ascii="Arial" w:hAnsi="Arial"/>
                <w:sz w:val="18"/>
              </w:rPr>
              <w:t>Score (1-5 scale)</w:t>
            </w:r>
          </w:p>
        </w:tc>
      </w:tr>
      <w:tr>
        <w:tc>
          <w:tcPr>
            <w:tcW w:type="dxa" w:w="3010"/>
            <w:shd w:fill="F2F6FC" w:val="clear"/>
          </w:tcPr>
          <w:p>
            <w:r>
              <w:rPr>
                <w:rFonts w:ascii="Arial" w:hAnsi="Arial"/>
                <w:sz w:val="18"/>
              </w:rPr>
              <w:t>Number of Borrowers Assessed</w:t>
            </w:r>
          </w:p>
        </w:tc>
        <w:tc>
          <w:tcPr>
            <w:tcW w:type="dxa" w:w="3010"/>
            <w:shd w:fill="F2F6FC" w:val="clear"/>
          </w:tcPr>
          <w:p>
            <w:pPr>
              <w:jc w:val="right"/>
            </w:pPr>
            <w:r>
              <w:rPr>
                <w:rFonts w:ascii="Arial" w:hAnsi="Arial"/>
                <w:sz w:val="18"/>
              </w:rPr>
              <w:t>1,955</w:t>
            </w:r>
          </w:p>
        </w:tc>
        <w:tc>
          <w:tcPr>
            <w:tcW w:type="dxa" w:w="3010"/>
            <w:shd w:fill="F2F6FC" w:val="clear"/>
          </w:tcPr>
          <w:p>
            <w:r>
              <w:rPr>
                <w:rFonts w:ascii="Arial" w:hAnsi="Arial"/>
                <w:sz w:val="18"/>
              </w:rPr>
              <w:t>Count</w:t>
            </w:r>
          </w:p>
        </w:tc>
      </w:tr>
      <w:tr>
        <w:tc>
          <w:tcPr>
            <w:tcW w:type="dxa" w:w="3010"/>
          </w:tcPr>
          <w:p>
            <w:r>
              <w:rPr>
                <w:rFonts w:ascii="Arial" w:hAnsi="Arial"/>
                <w:sz w:val="18"/>
              </w:rPr>
              <w:t>Portfolio Coverage</w:t>
            </w:r>
          </w:p>
        </w:tc>
        <w:tc>
          <w:tcPr>
            <w:tcW w:type="dxa" w:w="3010"/>
          </w:tcPr>
          <w:p>
            <w:pPr>
              <w:jc w:val="right"/>
            </w:pPr>
            <w:r>
              <w:rPr>
                <w:rFonts w:ascii="Arial" w:hAnsi="Arial"/>
                <w:sz w:val="18"/>
              </w:rPr>
              <w:t>100%</w:t>
            </w:r>
          </w:p>
        </w:tc>
        <w:tc>
          <w:tcPr>
            <w:tcW w:type="dxa" w:w="3010"/>
          </w:tcPr>
          <w:p>
            <w:r>
              <w:rPr>
                <w:rFonts w:ascii="Arial" w:hAnsi="Arial"/>
                <w:sz w:val="18"/>
              </w:rPr>
              <w:t>Percentage of in-scope lending</w:t>
            </w:r>
          </w:p>
        </w:tc>
      </w:tr>
    </w:tbl>
    <w:p>
      <w:r>
        <w:rPr>
          <w:rFonts w:ascii="Arial" w:hAnsi="Arial"/>
          <w:i/>
          <w:sz w:val="16"/>
        </w:rPr>
        <w:t>Source: Source: PCAF Global GHG Accounting Standard (2022 edition). Calculation methodology per IFRS S2 B62(d). Gross emissions represent unadjusted attribution; weighted emissions apply PCAF confidence factors. Data quality score of 3.36 indicates reliance on economic input-output models with borrower-specific revenue/asset adjustments.</w:t>
      </w:r>
    </w:p>
    <w:p/>
    <w:p>
      <w:r>
        <w:rPr>
          <w:i/>
          <w:color w:val="3D6094"/>
          <w:sz w:val="18"/>
        </w:rPr>
        <w:t>Framework references: IFRS S2 para 29(a)(vi) — Scope 3 greenhouse gas emissions; IFRS S2 para B62(a) — Absolute gross financed emissions by industry and asset class; IFRS S2 para B62(b) — Gross exposure calculation methodology; IFRS S2 para B62(c) — Percentage of gross exposure included in calculation; IFRS S2 para B62(d) — Financed emissions calculation methodology and attribution method; SASB FN-CB-410a.3 — Financed emissions (Scope 3 Category 15); GHG Protocol Corporate Value Chain (Scope 3) Standard — Category 15: Investments; PCAF Global GHG Accounting Standard (2022) — Part A: Financed Emissions</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Year-over-year comparison omitted due to methodology transition. Prior year gross financed emissions (22,911,991.05 tCO2e for 2023) calculated under non-comparable methodology.</w:t>
      </w:r>
    </w:p>
    <w:p>
      <w:pPr>
        <w:spacing w:after="160" w:line="276" w:lineRule="auto"/>
        <w:jc w:val="both"/>
      </w:pPr>
      <w:r>
        <w:rPr>
          <w:rFonts w:ascii="Arial" w:hAnsi="Arial"/>
          <w:i/>
          <w:color w:val="646464"/>
          <w:sz w:val="18"/>
        </w:rPr>
        <w:t>Gross financed emissions represent unadjusted attribution of borrower emissions. Confidence-weighted financed emissions apply PCAF confidence factors (1.00 for verified data to 0.45 for sector-average proxy) to reflect data quality uncertainty.</w:t>
      </w:r>
    </w:p>
    <w:p>
      <w:pPr>
        <w:spacing w:after="160" w:line="276" w:lineRule="auto"/>
        <w:jc w:val="both"/>
      </w:pPr>
      <w:r>
        <w:rPr>
          <w:rFonts w:ascii="Arial" w:hAnsi="Arial"/>
          <w:i/>
          <w:color w:val="646464"/>
          <w:sz w:val="18"/>
        </w:rPr>
        <w:t>Portfolio exposure calculated as funded carrying amounts before loss allowance per IFRS S2 B62(b)(i). Undrawn loan commitments included at full commitment amount per IFRS S2 B62(b)(ii).</w:t>
      </w:r>
    </w:p>
    <w:p>
      <w:pPr>
        <w:spacing w:after="160" w:line="276" w:lineRule="auto"/>
        <w:jc w:val="both"/>
      </w:pPr>
      <w:r>
        <w:rPr>
          <w:rFonts w:ascii="Arial" w:hAnsi="Arial"/>
          <w:i/>
          <w:color w:val="646464"/>
          <w:sz w:val="18"/>
        </w:rPr>
        <w:t>Sector classification per Global Industry Classification Standard (GICS) 6-digit industry-level code, mapped to NACE Rev.2 categories for PCAF reporting.</w:t>
      </w:r>
    </w:p>
    <w:p>
      <w:pPr>
        <w:spacing w:after="160" w:line="276" w:lineRule="auto"/>
        <w:jc w:val="both"/>
      </w:pPr>
      <w:r>
        <w:rPr>
          <w:rFonts w:ascii="Arial" w:hAnsi="Arial"/>
          <w:i/>
          <w:color w:val="646464"/>
          <w:sz w:val="18"/>
        </w:rPr>
        <w:t>Data quality improvement roadmap targets portfolio-weighted score below 3.0 by December 2027, subject to borrower cooperation and data availability constraints.</w:t>
      </w:r>
    </w:p>
    <w:p>
      <w:r>
        <w:br w:type="page"/>
      </w:r>
    </w:p>
    <w:p>
      <w:pPr>
        <w:pStyle w:val="Heading1"/>
        <w:keepNext/>
        <w:spacing w:before="480" w:after="240"/>
      </w:pPr>
      <w:r>
        <w:rPr>
          <w:rFonts w:ascii="Arial" w:hAnsi="Arial"/>
          <w:b/>
          <w:color w:val="1B3A6B"/>
          <w:sz w:val="36"/>
        </w:rPr>
        <w:t>Climate-related Targets and Transition Planning</w:t>
      </w:r>
    </w:p>
    <w:p>
      <w:pPr>
        <w:spacing w:after="160" w:line="276" w:lineRule="auto"/>
        <w:jc w:val="both"/>
      </w:pPr>
      <w:r>
        <w:rPr>
          <w:rFonts w:ascii="Arial" w:hAnsi="Arial"/>
          <w:sz w:val="22"/>
        </w:rPr>
        <w:t>The institution has not established formal quantitative climate-related targets for the 2024 reporting period. While the institution tracks greenhouse gas emissions across Scope 1, Scope 2, and Scope 3 Category 15 (financed emissions), no absolute reduction targets, intensity-based targets, or net zero commitments have been adopted as of 31 December 2024. The institution is currently developing a climate transition plan that will establish science-aligned targets for operational emissions (Scope 1 and 2) and financed emissions (Scope 3 Category 15) in accordance with IFRS S2 paragraphs 33–37.</w:t>
      </w:r>
    </w:p>
    <w:p>
      <w:pPr>
        <w:spacing w:after="160" w:line="276" w:lineRule="auto"/>
        <w:jc w:val="both"/>
      </w:pPr>
      <w:r>
        <w:rPr>
          <w:rFonts w:ascii="Arial" w:hAnsi="Arial"/>
          <w:sz w:val="22"/>
        </w:rPr>
        <w:t>The absence of formal targets reflects the institution's current stage of climate risk management maturity. During the 2024 reporting period, the institution prioritized establishing robust emissions measurement methodologies, implementing the Partnership for Carbon Accounting Financials (PCAF) Standard for financed emissions calculation, and enhancing data quality across its lending portfolio. The institution achieved an average PCAF data quality score of 3.36 across all financed emissions, indicating reliance on sector-average emissions factors rather than borrower-specific data. Improving data quality to PCAF Score 2 or better is a prerequisite for setting credible, science-based reduction targets.</w:t>
      </w:r>
    </w:p>
    <w:p>
      <w:pPr>
        <w:spacing w:after="160" w:line="276" w:lineRule="auto"/>
        <w:jc w:val="both"/>
      </w:pPr>
      <w:r>
        <w:rPr>
          <w:rFonts w:ascii="Arial" w:hAnsi="Arial"/>
          <w:i/>
          <w:color w:val="555555"/>
          <w:sz w:val="22"/>
        </w:rPr>
        <w:t>The institution's governance structure for climate-related matters is under development. Once the climate transition plan is finalized, the governing body will oversee target-setting processes, approve interim milestones, and monitor progress against established targets. The institution anticipates establishing targets aligned with the Paris Agreement's 1.5°C pathway and seeking validation from the Science Based Targets initiative (SBTi) for financial institutions. Target-setting will address both operational emissions (Scope 1 and 2) and financed emissions (Scope 3 Category 15), with differentiated approaches for high-emitting sectors including Energy - Oil &amp; Gas, Manufacturing - Cement, and Manufacturing - Steel.</w:t>
      </w:r>
    </w:p>
    <w:p>
      <w:pPr>
        <w:spacing w:after="160" w:line="276" w:lineRule="auto"/>
        <w:jc w:val="both"/>
      </w:pPr>
      <w:r>
        <w:rPr>
          <w:rFonts w:ascii="Arial" w:hAnsi="Arial"/>
          <w:sz w:val="22"/>
        </w:rPr>
        <w:t>For operational emissions, the institution recorded 3402.997 tCO2e Scope 1 emissions and 44612.518 tCO2e Scope 2 (market-based) emissions in 2024, representing a combined 4.07% reduction compared to the prior year. This reduction was achieved through energy efficiency improvements at branch facilities and optimization of diesel generator usage. Future decarbonization levers for operational emissions include renewable energy procurement through Power Purchase Agreements (PPAs), facility energy efficiency retrofits, electrification of backup power systems, and transition to low-emission fleet vehicles. The institution will establish a renewable energy procurement target as part of its transition plan, with implementation expected to commence in 2025.</w:t>
      </w:r>
    </w:p>
    <w:p>
      <w:pPr>
        <w:spacing w:after="160" w:line="276" w:lineRule="auto"/>
        <w:jc w:val="both"/>
      </w:pPr>
      <w:r>
        <w:rPr>
          <w:rFonts w:ascii="Arial" w:hAnsi="Arial"/>
          <w:sz w:val="22"/>
        </w:rPr>
        <w:t>For financed emissions, the institution reported 15280174.14 tCO2e (PCAF-weighted) across its commercial and industrial lending portfolio in 2024, representing a 1.90% reduction compared to the prior year's 15576239.57 tCO2e. The three highest-emitting sectors—Energy - Oil &amp; Gas (43.56% of total financed emissions), Manufacturing - Cement (26.45%), and Manufacturing - Steel (15.92%)—collectively account for 85.93% of the institution's financed emissions footprint. Decarbonization strategies for financed emissions will include sector-specific engagement programs, climate risk integration into credit underwriting processes, development of green finance products, and portfolio reallocation toward lower-carbon sectors. The institution will establish sector-level financed emissions intensity targets aligned with sectoral decarbonization pathways published by the International Energy Agency (IEA) and the Network for Greening the Financial System (NGFS).</w:t>
      </w:r>
    </w:p>
    <w:p>
      <w:pPr>
        <w:spacing w:after="160" w:line="276" w:lineRule="auto"/>
        <w:jc w:val="both"/>
      </w:pPr>
      <w:r>
        <w:rPr>
          <w:rFonts w:ascii="Arial" w:hAnsi="Arial"/>
          <w:i/>
          <w:color w:val="555555"/>
          <w:sz w:val="22"/>
        </w:rPr>
        <w:t>The institution has not adopted a net zero commitment as of the 2024 reporting period. Any future net zero target will specify the target year (e.g., 2050), scope coverage (Scope 1, 2, and 3 Category 15), interim milestones (e.g., 2030, 2040), and residual emissions management strategy. The institution recognizes that achieving net zero for financed emissions requires collaboration with borrowers to support their transition plans, rather than portfolio divestment from high-emitting sectors. The institution will evaluate the role of carbon offsets in its transition plan, with any offset use limited to residual emissions that cannot be eliminated through direct reduction measures. Offset procurement, if adopted, will prioritize high-quality removal credits with permanent storage (e.g., direct air capture, enhanced weathering) over avoidance credits, and will adhere to certification standards such as Verra's Verified Carbon Standard (VCS) or the Gold Standard.</w:t>
      </w:r>
    </w:p>
    <w:p>
      <w:pPr>
        <w:spacing w:after="160" w:line="276" w:lineRule="auto"/>
        <w:jc w:val="both"/>
      </w:pPr>
      <w:r>
        <w:rPr>
          <w:rFonts w:ascii="Arial" w:hAnsi="Arial"/>
          <w:i/>
          <w:color w:val="555555"/>
          <w:sz w:val="22"/>
        </w:rPr>
        <w:t>The institution commits to disclosing quantitative climate-related targets in its 2025 sustainability report, including base year selection, target metrics (absolute and/or intensity-based), interim milestones, and progress tracking mechanisms. Target development will incorporate scenario analysis results, including alignment with 1.5°C and 2.0°C warming scenarios as required by IFRS S2 paragraph 22. The institution will also disclose its approach to decarbonization levers by scope, distinguishing between reductions achievable through own operations versus value chain engagement, in accordance with emerging best practices for financial institution climate disclosures.</w:t>
      </w:r>
    </w:p>
    <w:p>
      <w:r>
        <w:rPr>
          <w:rFonts w:ascii="Arial" w:hAnsi="Arial"/>
          <w:b/>
          <w:sz w:val="20"/>
        </w:rPr>
        <w:t>Table 1: Climate-related Targets Status Summary</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Target Category</w:t>
            </w:r>
          </w:p>
        </w:tc>
        <w:tc>
          <w:tcPr>
            <w:tcW w:type="dxa" w:w="3010"/>
            <w:shd w:fill="1B3A6B" w:val="clear"/>
          </w:tcPr>
          <w:p>
            <w:r>
              <w:rPr>
                <w:rFonts w:ascii="Arial" w:hAnsi="Arial"/>
                <w:b/>
                <w:color w:val="FFFFFF"/>
                <w:sz w:val="18"/>
              </w:rPr>
              <w:t>Status</w:t>
            </w:r>
          </w:p>
        </w:tc>
        <w:tc>
          <w:tcPr>
            <w:tcW w:type="dxa" w:w="3010"/>
            <w:shd w:fill="1B3A6B" w:val="clear"/>
          </w:tcPr>
          <w:p>
            <w:r>
              <w:rPr>
                <w:rFonts w:ascii="Arial" w:hAnsi="Arial"/>
                <w:b/>
                <w:color w:val="FFFFFF"/>
                <w:sz w:val="18"/>
              </w:rPr>
              <w:t>Expected Establishment Date</w:t>
            </w:r>
          </w:p>
        </w:tc>
      </w:tr>
      <w:tr>
        <w:tc>
          <w:tcPr>
            <w:tcW w:type="dxa" w:w="3010"/>
          </w:tcPr>
          <w:p>
            <w:r>
              <w:rPr>
                <w:rFonts w:ascii="Arial" w:hAnsi="Arial"/>
                <w:sz w:val="18"/>
              </w:rPr>
              <w:t>Scope 1 + 2 Absolute Reduction Target</w:t>
            </w:r>
          </w:p>
        </w:tc>
        <w:tc>
          <w:tcPr>
            <w:tcW w:type="dxa" w:w="3010"/>
          </w:tcPr>
          <w:p>
            <w:r>
              <w:rPr>
                <w:rFonts w:ascii="Arial" w:hAnsi="Arial"/>
                <w:sz w:val="18"/>
              </w:rPr>
              <w:t>Under Development</w:t>
            </w:r>
          </w:p>
        </w:tc>
        <w:tc>
          <w:tcPr>
            <w:tcW w:type="dxa" w:w="3010"/>
          </w:tcPr>
          <w:p>
            <w:r>
              <w:rPr>
                <w:rFonts w:ascii="Arial" w:hAnsi="Arial"/>
                <w:sz w:val="18"/>
              </w:rPr>
              <w:t>Q2 2025</w:t>
            </w:r>
          </w:p>
        </w:tc>
      </w:tr>
      <w:tr>
        <w:tc>
          <w:tcPr>
            <w:tcW w:type="dxa" w:w="3010"/>
            <w:shd w:fill="F2F6FC" w:val="clear"/>
          </w:tcPr>
          <w:p>
            <w:r>
              <w:rPr>
                <w:rFonts w:ascii="Arial" w:hAnsi="Arial"/>
                <w:sz w:val="18"/>
              </w:rPr>
              <w:t>Scope 3 Category 15 Financed Emissions Target</w:t>
            </w:r>
          </w:p>
        </w:tc>
        <w:tc>
          <w:tcPr>
            <w:tcW w:type="dxa" w:w="3010"/>
            <w:shd w:fill="F2F6FC" w:val="clear"/>
          </w:tcPr>
          <w:p>
            <w:r>
              <w:rPr>
                <w:rFonts w:ascii="Arial" w:hAnsi="Arial"/>
                <w:sz w:val="18"/>
              </w:rPr>
              <w:t>Under Development</w:t>
            </w:r>
          </w:p>
        </w:tc>
        <w:tc>
          <w:tcPr>
            <w:tcW w:type="dxa" w:w="3010"/>
            <w:shd w:fill="F2F6FC" w:val="clear"/>
          </w:tcPr>
          <w:p>
            <w:r>
              <w:rPr>
                <w:rFonts w:ascii="Arial" w:hAnsi="Arial"/>
                <w:sz w:val="18"/>
              </w:rPr>
              <w:t>Q2 2025</w:t>
            </w:r>
          </w:p>
        </w:tc>
      </w:tr>
      <w:tr>
        <w:tc>
          <w:tcPr>
            <w:tcW w:type="dxa" w:w="3010"/>
          </w:tcPr>
          <w:p>
            <w:r>
              <w:rPr>
                <w:rFonts w:ascii="Arial" w:hAnsi="Arial"/>
                <w:sz w:val="18"/>
              </w:rPr>
              <w:t>Renewable Energy Procurement Target</w:t>
            </w:r>
          </w:p>
        </w:tc>
        <w:tc>
          <w:tcPr>
            <w:tcW w:type="dxa" w:w="3010"/>
          </w:tcPr>
          <w:p>
            <w:r>
              <w:rPr>
                <w:rFonts w:ascii="Arial" w:hAnsi="Arial"/>
                <w:sz w:val="18"/>
              </w:rPr>
              <w:t>Under Development</w:t>
            </w:r>
          </w:p>
        </w:tc>
        <w:tc>
          <w:tcPr>
            <w:tcW w:type="dxa" w:w="3010"/>
          </w:tcPr>
          <w:p>
            <w:r>
              <w:rPr>
                <w:rFonts w:ascii="Arial" w:hAnsi="Arial"/>
                <w:sz w:val="18"/>
              </w:rPr>
              <w:t>Q2 2025</w:t>
            </w:r>
          </w:p>
        </w:tc>
      </w:tr>
      <w:tr>
        <w:tc>
          <w:tcPr>
            <w:tcW w:type="dxa" w:w="3010"/>
            <w:shd w:fill="F2F6FC" w:val="clear"/>
          </w:tcPr>
          <w:p>
            <w:r>
              <w:rPr>
                <w:rFonts w:ascii="Arial" w:hAnsi="Arial"/>
                <w:sz w:val="18"/>
              </w:rPr>
              <w:t>Net Zero Commitment</w:t>
            </w:r>
          </w:p>
        </w:tc>
        <w:tc>
          <w:tcPr>
            <w:tcW w:type="dxa" w:w="3010"/>
            <w:shd w:fill="F2F6FC" w:val="clear"/>
          </w:tcPr>
          <w:p>
            <w:r>
              <w:rPr>
                <w:rFonts w:ascii="Arial" w:hAnsi="Arial"/>
                <w:sz w:val="18"/>
              </w:rPr>
              <w:t>Under Evaluation</w:t>
            </w:r>
          </w:p>
        </w:tc>
        <w:tc>
          <w:tcPr>
            <w:tcW w:type="dxa" w:w="3010"/>
            <w:shd w:fill="F2F6FC" w:val="clear"/>
          </w:tcPr>
          <w:p>
            <w:r>
              <w:rPr>
                <w:rFonts w:ascii="Arial" w:hAnsi="Arial"/>
                <w:sz w:val="18"/>
              </w:rPr>
              <w:t>Q4 2025</w:t>
            </w:r>
          </w:p>
        </w:tc>
      </w:tr>
      <w:tr>
        <w:tc>
          <w:tcPr>
            <w:tcW w:type="dxa" w:w="3010"/>
          </w:tcPr>
          <w:p>
            <w:r>
              <w:rPr>
                <w:rFonts w:ascii="Arial" w:hAnsi="Arial"/>
                <w:sz w:val="18"/>
              </w:rPr>
              <w:t>SBTi Validation</w:t>
            </w:r>
          </w:p>
        </w:tc>
        <w:tc>
          <w:tcPr>
            <w:tcW w:type="dxa" w:w="3010"/>
          </w:tcPr>
          <w:p>
            <w:r>
              <w:rPr>
                <w:rFonts w:ascii="Arial" w:hAnsi="Arial"/>
                <w:sz w:val="18"/>
              </w:rPr>
              <w:t>Not Submitted</w:t>
            </w:r>
          </w:p>
        </w:tc>
        <w:tc>
          <w:tcPr>
            <w:tcW w:type="dxa" w:w="3010"/>
          </w:tcPr>
          <w:p>
            <w:r>
              <w:rPr>
                <w:rFonts w:ascii="Arial" w:hAnsi="Arial"/>
                <w:sz w:val="18"/>
              </w:rPr>
              <w:t>Q4 2025</w:t>
            </w:r>
          </w:p>
        </w:tc>
      </w:tr>
    </w:tbl>
    <w:p>
      <w:r>
        <w:rPr>
          <w:rFonts w:ascii="Arial" w:hAnsi="Arial"/>
          <w:i/>
          <w:sz w:val="16"/>
        </w:rPr>
        <w:t>Source: Data not available for this reporting period. Target-setting processes are in progress as of 31 December 2024.</w:t>
      </w:r>
    </w:p>
    <w:p/>
    <w:p>
      <w:r>
        <w:rPr>
          <w:i/>
          <w:color w:val="3D6094"/>
          <w:sz w:val="18"/>
        </w:rPr>
        <w:t>Framework references: IFRS S2 Para 33: Quantitative and qualitative information about targets set to monitor progress; IFRS S2 Para 34: Information about target including metric, objective, base period; IFRS S2 Para 35: Information about how target will be achieved; IFRS S2 Para 36: Interim targets and how performance is monitored; IFRS S2 Para 37: Revisions to targets and explanation</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Financed emissions calculated using the Partnership for Carbon Accounting Financials (PCAF) Standard (2022 edition). PCAF data quality score of 3.36 indicates reliance on sector-average emissions factors; borrower-specific data collection initiatives are underway to improve data quality to Score 2 or better.</w:t>
      </w:r>
    </w:p>
    <w:p>
      <w:pPr>
        <w:spacing w:after="160" w:line="276" w:lineRule="auto"/>
        <w:jc w:val="both"/>
      </w:pPr>
      <w:r>
        <w:rPr>
          <w:rFonts w:ascii="Arial" w:hAnsi="Arial"/>
          <w:i/>
          <w:color w:val="646464"/>
          <w:sz w:val="18"/>
        </w:rPr>
        <w:t>Year-over-year change for financed emissions calculated as: ((15280174.14 - 15576239.57) / 15576239.57) × 100 = -1.90%. This reduction reflects portfolio composition changes and improved emissions performance by certain borrowers, rather than deliberate decarbonization strategy implementation.</w:t>
      </w:r>
    </w:p>
    <w:p>
      <w:pPr>
        <w:spacing w:after="160" w:line="276" w:lineRule="auto"/>
        <w:jc w:val="both"/>
      </w:pPr>
      <w:r>
        <w:rPr>
          <w:rFonts w:ascii="Arial" w:hAnsi="Arial"/>
          <w:i/>
          <w:color w:val="646464"/>
          <w:sz w:val="18"/>
        </w:rPr>
        <w:t>The institution operates in Indonesia and will align future targets with Indonesia's Enhanced Nationally Determined Contribution (NDC) under the Paris Agreement, which commits to a 31.89% reduction in greenhouse gas emissions by 2030 (conditional scenario) compared to business-as-usual projections.</w:t>
      </w:r>
    </w:p>
    <w:p>
      <w:r>
        <w:br w:type="page"/>
      </w:r>
    </w:p>
    <w:p>
      <w:pPr>
        <w:pStyle w:val="Heading1"/>
        <w:keepNext/>
        <w:spacing w:before="480" w:after="240"/>
      </w:pPr>
      <w:r>
        <w:rPr>
          <w:rFonts w:ascii="Arial" w:hAnsi="Arial"/>
          <w:b/>
          <w:color w:val="1B3A6B"/>
          <w:sz w:val="36"/>
        </w:rPr>
        <w:t>GRI 305-3: Other Indirect (Scope 3) GHG Emissions — Category 15 Financed Emissions</w:t>
      </w:r>
    </w:p>
    <w:p>
      <w:pPr>
        <w:spacing w:after="160" w:line="276" w:lineRule="auto"/>
        <w:jc w:val="both"/>
      </w:pPr>
      <w:r>
        <w:rPr>
          <w:rFonts w:ascii="Arial" w:hAnsi="Arial"/>
          <w:sz w:val="22"/>
        </w:rPr>
        <w:t>The organization's gross financed emissions for the 2024 reporting period totaled 21,976,797.3 tCO2e across the corporate and commercial lending portfolio. This figure represents the absolute greenhouse gas emissions attributable to the institution's lending and investment activities, calculated in accordance with the Partnership for Carbon Accounting Financials (PCAF) Global GHG Accounting and Reporting Standard for the Financial Industry. Financed emissions constitute the organization's material Scope 3 Category 15 emissions and represent the most significant component of the institution's total carbon footprint.</w:t>
      </w:r>
    </w:p>
    <w:p>
      <w:pPr>
        <w:spacing w:after="160" w:line="276" w:lineRule="auto"/>
        <w:jc w:val="both"/>
      </w:pPr>
      <w:r>
        <w:rPr>
          <w:rFonts w:ascii="Arial" w:hAnsi="Arial"/>
          <w:i/>
          <w:sz w:val="22"/>
        </w:rPr>
        <w:t>The PCAF methodology applies an attribution factor to allocate a proportional share of each borrower's total emissions to the institution based on the outstanding loan amount relative to the borrower's total equity plus debt. The attribution factor formula is: (Outstanding Amount / (Borrower Total Equity + Borrower Total Debt)). For the 2024 reporting period, the organization applied this methodology to corporate loans and project finance facilities, covering 10 distinct economic sectors classified according to NACE (Nomenclature of Economic Activities) taxonomy. Borrower-specific emissions data were obtained through direct engagement, third-party databases, and environmental, social, and governance (ESG) disclosures where available.</w:t>
      </w:r>
    </w:p>
    <w:p>
      <w:pPr>
        <w:spacing w:after="160" w:line="276" w:lineRule="auto"/>
        <w:jc w:val="both"/>
      </w:pPr>
      <w:r>
        <w:rPr>
          <w:rFonts w:ascii="Arial" w:hAnsi="Arial"/>
          <w:sz w:val="22"/>
        </w:rPr>
        <w:t>The organization reports both gross financed emissions and confidence-weighted financed emissions to provide transparency regarding data quality. Gross financed emissions of 21,976,797.3 tCO2e represent the total calculated emissions without adjustment for data quality. Confidence-weighted financed emissions of 15,280,174.14 tCO2e apply PCAF data quality confidence factors ranging from 0.45 (Tier 5 — sector-average proxy) to 1.00 (Tier 1 — verified reported data) to reflect the reliability of underlying emissions data. The confidence-weighted figure is systematically lower than the gross figure due to the application of quality adjustment factors, with the differential indicating the degree of estimation uncertainty in the portfolio.</w:t>
      </w:r>
    </w:p>
    <w:p>
      <w:pPr>
        <w:spacing w:after="160" w:line="276" w:lineRule="auto"/>
        <w:jc w:val="both"/>
      </w:pPr>
      <w:r>
        <w:rPr>
          <w:rFonts w:ascii="Arial" w:hAnsi="Arial"/>
          <w:sz w:val="22"/>
        </w:rPr>
        <w:t>The financed emissions portfolio exhibits significant concentration in carbon-intensive sectors. The Energy - Oil &amp; Gas sector accounted for 9,573,144.27 tCO2e gross emissions (43.56% of total financed emissions) from 135 borrowers with IDR 102.67 trillion in outstanding loans, representing an emission intensity of 93.242 tCO2e per IDR billion. The Manufacturing - Cement sector contributed 5,813,830.91 tCO2e gross emissions (26.45% of total) from 161 borrowers with IDR 107.68 trillion outstanding, yielding an intensity of 53.9927 tCO2e per IDR billion. The Manufacturing - Steel sector generated 3,499,463.0 tCO2e gross emissions (15.92% of total) from 122 borrowers with IDR 108.62 trillion outstanding, with an intensity of 32.2175 tCO2e per IDR billion. These three sectors collectively represent 85.93% of total financed emissions while comprising only 20.70% of the total portfolio value.</w:t>
      </w:r>
    </w:p>
    <w:p>
      <w:pPr>
        <w:spacing w:after="160" w:line="276" w:lineRule="auto"/>
        <w:jc w:val="both"/>
      </w:pPr>
      <w:r>
        <w:rPr>
          <w:rFonts w:ascii="Arial" w:hAnsi="Arial"/>
          <w:sz w:val="22"/>
        </w:rPr>
        <w:t>The portfolio-weighted average PCAF data quality score for the 2024 reporting period was 3.36 on a scale of 1 (highest quality — verified reported data) to 5 (lowest quality — sector-average proxy). This score indicates that the majority of financed emissions calculations relied on economic input-output (EEIO) models combined with borrower revenue or asset data (Tiers 3–4), rather than borrower-reported emissions data (Tiers 1–2). The organization achieved 100% portfolio coverage for financed emissions calculations across all material lending segments, meeting the PCAF signatory requirement for comprehensive Scope 3 Category 15 reporting. However, the elevated data quality score signals a need for enhanced borrower engagement to obtain primary emissions data.</w:t>
      </w:r>
    </w:p>
    <w:p>
      <w:pPr>
        <w:spacing w:after="160" w:line="276" w:lineRule="auto"/>
        <w:jc w:val="both"/>
      </w:pPr>
      <w:r>
        <w:rPr>
          <w:rFonts w:ascii="Arial" w:hAnsi="Arial"/>
          <w:sz w:val="22"/>
        </w:rPr>
        <w:t>Gross financed emissions decreased by 4.07% compared to the prior reporting period, declining from 22,911,991.05 tCO2e in 2023 to 21,976,797.3 tCO2e in 2024. Confidence-weighted financed emissions decreased by 1.90%, from 15,576,239.57 tCO2e in 2023 to 15,280,174.14 tCO2e in 2024. The reduction in gross emissions reflects a combination of portfolio composition changes, borrower-level emissions reductions, and loan repayments in carbon-intensive sectors. The smaller decline in confidence-weighted emissions indicates that data quality improvements partially offset absolute emissions reductions, as higher-quality data sources (with confidence factors closer to 1.00) replaced lower-quality estimates.</w:t>
      </w:r>
    </w:p>
    <w:p>
      <w:pPr>
        <w:spacing w:after="160" w:line="276" w:lineRule="auto"/>
        <w:jc w:val="both"/>
      </w:pPr>
      <w:r>
        <w:rPr>
          <w:rFonts w:ascii="Arial" w:hAnsi="Arial"/>
          <w:i/>
          <w:color w:val="555555"/>
          <w:sz w:val="22"/>
        </w:rPr>
        <w:t>The organization has established a data quality improvement roadmap targeting a portfolio-weighted PCAF score of 2.5 or below by 2027. This initiative includes mandatory emissions disclosure requirements in loan covenants for exposures exceeding IDR 50 billion, capacity-building programs for borrowers in carbon-intensive sectors to develop GHG inventories aligned with ISO 14064-1, and integration of third-party emissions verification as a condition for preferential pricing in sustainability-linked loan products. The organization will prioritize data quality improvements in the Energy - Oil &amp; Gas, Manufacturing - Cement, and Manufacturing - Steel sectors, which collectively account for 85.93% of financed emissions but exhibit average PCAF scores above 3.30.</w:t>
      </w:r>
    </w:p>
    <w:p>
      <w:r>
        <w:rPr>
          <w:rFonts w:ascii="Arial" w:hAnsi="Arial"/>
          <w:b/>
          <w:sz w:val="20"/>
        </w:rPr>
        <w:t>Table 1: Financed Emissions by Sector (Top 5 by Gross Emissions) — 2024</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fill="1B3A6B" w:val="clear"/>
          </w:tcPr>
          <w:p>
            <w:r>
              <w:rPr>
                <w:rFonts w:ascii="Arial" w:hAnsi="Arial"/>
                <w:b/>
                <w:color w:val="FFFFFF"/>
                <w:sz w:val="18"/>
              </w:rPr>
              <w:t>Sector</w:t>
            </w:r>
          </w:p>
        </w:tc>
        <w:tc>
          <w:tcPr>
            <w:tcW w:type="dxa" w:w="1290"/>
            <w:shd w:fill="1B3A6B" w:val="clear"/>
          </w:tcPr>
          <w:p>
            <w:r>
              <w:rPr>
                <w:rFonts w:ascii="Arial" w:hAnsi="Arial"/>
                <w:b/>
                <w:color w:val="FFFFFF"/>
                <w:sz w:val="18"/>
              </w:rPr>
              <w:t>Borrower Count</w:t>
            </w:r>
          </w:p>
        </w:tc>
        <w:tc>
          <w:tcPr>
            <w:tcW w:type="dxa" w:w="1290"/>
            <w:shd w:fill="1B3A6B" w:val="clear"/>
          </w:tcPr>
          <w:p>
            <w:r>
              <w:rPr>
                <w:rFonts w:ascii="Arial" w:hAnsi="Arial"/>
                <w:b/>
                <w:color w:val="FFFFFF"/>
                <w:sz w:val="18"/>
              </w:rPr>
              <w:t>Outstanding (IDR Trillion)</w:t>
            </w:r>
          </w:p>
        </w:tc>
        <w:tc>
          <w:tcPr>
            <w:tcW w:type="dxa" w:w="1290"/>
            <w:shd w:fill="1B3A6B" w:val="clear"/>
          </w:tcPr>
          <w:p>
            <w:r>
              <w:rPr>
                <w:rFonts w:ascii="Arial" w:hAnsi="Arial"/>
                <w:b/>
                <w:color w:val="FFFFFF"/>
                <w:sz w:val="18"/>
              </w:rPr>
              <w:t>Gross Emissions (tCO2e)</w:t>
            </w:r>
          </w:p>
        </w:tc>
        <w:tc>
          <w:tcPr>
            <w:tcW w:type="dxa" w:w="1290"/>
            <w:shd w:fill="1B3A6B" w:val="clear"/>
          </w:tcPr>
          <w:p>
            <w:r>
              <w:rPr>
                <w:rFonts w:ascii="Arial" w:hAnsi="Arial"/>
                <w:b/>
                <w:color w:val="FFFFFF"/>
                <w:sz w:val="18"/>
              </w:rPr>
              <w:t>Weighted Emissions (tCO2e)</w:t>
            </w:r>
          </w:p>
        </w:tc>
        <w:tc>
          <w:tcPr>
            <w:tcW w:type="dxa" w:w="1290"/>
            <w:shd w:fill="1B3A6B" w:val="clear"/>
          </w:tcPr>
          <w:p>
            <w:r>
              <w:rPr>
                <w:rFonts w:ascii="Arial" w:hAnsi="Arial"/>
                <w:b/>
                <w:color w:val="FFFFFF"/>
                <w:sz w:val="18"/>
              </w:rPr>
              <w:t>% of Total Emissions</w:t>
            </w:r>
          </w:p>
        </w:tc>
        <w:tc>
          <w:tcPr>
            <w:tcW w:type="dxa" w:w="1290"/>
            <w:shd w:fill="1B3A6B" w:val="clear"/>
          </w:tcPr>
          <w:p>
            <w:r>
              <w:rPr>
                <w:rFonts w:ascii="Arial" w:hAnsi="Arial"/>
                <w:b/>
                <w:color w:val="FFFFFF"/>
                <w:sz w:val="18"/>
              </w:rPr>
              <w:t>Avg PCAF Score</w:t>
            </w:r>
          </w:p>
        </w:tc>
      </w:tr>
      <w:tr>
        <w:tc>
          <w:tcPr>
            <w:tcW w:type="dxa" w:w="1290"/>
          </w:tcPr>
          <w:p>
            <w:r>
              <w:rPr>
                <w:rFonts w:ascii="Arial" w:hAnsi="Arial"/>
                <w:sz w:val="18"/>
              </w:rPr>
              <w:t>Energy - Oil &amp; Gas</w:t>
            </w:r>
          </w:p>
        </w:tc>
        <w:tc>
          <w:tcPr>
            <w:tcW w:type="dxa" w:w="1290"/>
          </w:tcPr>
          <w:p>
            <w:pPr>
              <w:jc w:val="right"/>
            </w:pPr>
            <w:r>
              <w:rPr>
                <w:rFonts w:ascii="Arial" w:hAnsi="Arial"/>
                <w:sz w:val="18"/>
              </w:rPr>
              <w:t>135</w:t>
            </w:r>
          </w:p>
        </w:tc>
        <w:tc>
          <w:tcPr>
            <w:tcW w:type="dxa" w:w="1290"/>
          </w:tcPr>
          <w:p>
            <w:pPr>
              <w:jc w:val="right"/>
            </w:pPr>
            <w:r>
              <w:rPr>
                <w:rFonts w:ascii="Arial" w:hAnsi="Arial"/>
                <w:sz w:val="18"/>
              </w:rPr>
              <w:t>102.67</w:t>
            </w:r>
          </w:p>
        </w:tc>
        <w:tc>
          <w:tcPr>
            <w:tcW w:type="dxa" w:w="1290"/>
          </w:tcPr>
          <w:p>
            <w:pPr>
              <w:jc w:val="right"/>
            </w:pPr>
            <w:r>
              <w:rPr>
                <w:rFonts w:ascii="Arial" w:hAnsi="Arial"/>
                <w:sz w:val="18"/>
              </w:rPr>
              <w:t>9,573,144.27</w:t>
            </w:r>
          </w:p>
        </w:tc>
        <w:tc>
          <w:tcPr>
            <w:tcW w:type="dxa" w:w="1290"/>
          </w:tcPr>
          <w:p>
            <w:pPr>
              <w:jc w:val="right"/>
            </w:pPr>
            <w:r>
              <w:rPr>
                <w:rFonts w:ascii="Arial" w:hAnsi="Arial"/>
                <w:sz w:val="18"/>
              </w:rPr>
              <w:t>6,753,948.71</w:t>
            </w:r>
          </w:p>
        </w:tc>
        <w:tc>
          <w:tcPr>
            <w:tcW w:type="dxa" w:w="1290"/>
          </w:tcPr>
          <w:p>
            <w:pPr>
              <w:jc w:val="right"/>
            </w:pPr>
            <w:r>
              <w:rPr>
                <w:rFonts w:ascii="Arial" w:hAnsi="Arial"/>
                <w:sz w:val="18"/>
              </w:rPr>
              <w:t>43.56%</w:t>
            </w:r>
          </w:p>
        </w:tc>
        <w:tc>
          <w:tcPr>
            <w:tcW w:type="dxa" w:w="1290"/>
          </w:tcPr>
          <w:p>
            <w:pPr>
              <w:jc w:val="right"/>
            </w:pPr>
            <w:r>
              <w:rPr>
                <w:rFonts w:ascii="Arial" w:hAnsi="Arial"/>
                <w:sz w:val="18"/>
              </w:rPr>
              <w:t>3.32</w:t>
            </w:r>
          </w:p>
        </w:tc>
      </w:tr>
      <w:tr>
        <w:tc>
          <w:tcPr>
            <w:tcW w:type="dxa" w:w="1290"/>
            <w:shd w:fill="F2F6FC" w:val="clear"/>
          </w:tcPr>
          <w:p>
            <w:r>
              <w:rPr>
                <w:rFonts w:ascii="Arial" w:hAnsi="Arial"/>
                <w:sz w:val="18"/>
              </w:rPr>
              <w:t>Manufacturing - Cement</w:t>
            </w:r>
          </w:p>
        </w:tc>
        <w:tc>
          <w:tcPr>
            <w:tcW w:type="dxa" w:w="1290"/>
            <w:shd w:fill="F2F6FC" w:val="clear"/>
          </w:tcPr>
          <w:p>
            <w:pPr>
              <w:jc w:val="right"/>
            </w:pPr>
            <w:r>
              <w:rPr>
                <w:rFonts w:ascii="Arial" w:hAnsi="Arial"/>
                <w:sz w:val="18"/>
              </w:rPr>
              <w:t>161</w:t>
            </w:r>
          </w:p>
        </w:tc>
        <w:tc>
          <w:tcPr>
            <w:tcW w:type="dxa" w:w="1290"/>
            <w:shd w:fill="F2F6FC" w:val="clear"/>
          </w:tcPr>
          <w:p>
            <w:pPr>
              <w:jc w:val="right"/>
            </w:pPr>
            <w:r>
              <w:rPr>
                <w:rFonts w:ascii="Arial" w:hAnsi="Arial"/>
                <w:sz w:val="18"/>
              </w:rPr>
              <w:t>107.68</w:t>
            </w:r>
          </w:p>
        </w:tc>
        <w:tc>
          <w:tcPr>
            <w:tcW w:type="dxa" w:w="1290"/>
            <w:shd w:fill="F2F6FC" w:val="clear"/>
          </w:tcPr>
          <w:p>
            <w:pPr>
              <w:jc w:val="right"/>
            </w:pPr>
            <w:r>
              <w:rPr>
                <w:rFonts w:ascii="Arial" w:hAnsi="Arial"/>
                <w:sz w:val="18"/>
              </w:rPr>
              <w:t>5,813,830.91</w:t>
            </w:r>
          </w:p>
        </w:tc>
        <w:tc>
          <w:tcPr>
            <w:tcW w:type="dxa" w:w="1290"/>
            <w:shd w:fill="F2F6FC" w:val="clear"/>
          </w:tcPr>
          <w:p>
            <w:pPr>
              <w:jc w:val="right"/>
            </w:pPr>
            <w:r>
              <w:rPr>
                <w:rFonts w:ascii="Arial" w:hAnsi="Arial"/>
                <w:sz w:val="18"/>
              </w:rPr>
              <w:t>4,168,058.43</w:t>
            </w:r>
          </w:p>
        </w:tc>
        <w:tc>
          <w:tcPr>
            <w:tcW w:type="dxa" w:w="1290"/>
            <w:shd w:fill="F2F6FC" w:val="clear"/>
          </w:tcPr>
          <w:p>
            <w:pPr>
              <w:jc w:val="right"/>
            </w:pPr>
            <w:r>
              <w:rPr>
                <w:rFonts w:ascii="Arial" w:hAnsi="Arial"/>
                <w:sz w:val="18"/>
              </w:rPr>
              <w:t>26.45%</w:t>
            </w:r>
          </w:p>
        </w:tc>
        <w:tc>
          <w:tcPr>
            <w:tcW w:type="dxa" w:w="1290"/>
            <w:shd w:fill="F2F6FC" w:val="clear"/>
          </w:tcPr>
          <w:p>
            <w:pPr>
              <w:jc w:val="right"/>
            </w:pPr>
            <w:r>
              <w:rPr>
                <w:rFonts w:ascii="Arial" w:hAnsi="Arial"/>
                <w:sz w:val="18"/>
              </w:rPr>
              <w:t>3.40</w:t>
            </w:r>
          </w:p>
        </w:tc>
      </w:tr>
      <w:tr>
        <w:tc>
          <w:tcPr>
            <w:tcW w:type="dxa" w:w="1290"/>
          </w:tcPr>
          <w:p>
            <w:r>
              <w:rPr>
                <w:rFonts w:ascii="Arial" w:hAnsi="Arial"/>
                <w:sz w:val="18"/>
              </w:rPr>
              <w:t>Manufacturing - Steel</w:t>
            </w:r>
          </w:p>
        </w:tc>
        <w:tc>
          <w:tcPr>
            <w:tcW w:type="dxa" w:w="1290"/>
          </w:tcPr>
          <w:p>
            <w:pPr>
              <w:jc w:val="right"/>
            </w:pPr>
            <w:r>
              <w:rPr>
                <w:rFonts w:ascii="Arial" w:hAnsi="Arial"/>
                <w:sz w:val="18"/>
              </w:rPr>
              <w:t>122</w:t>
            </w:r>
          </w:p>
        </w:tc>
        <w:tc>
          <w:tcPr>
            <w:tcW w:type="dxa" w:w="1290"/>
          </w:tcPr>
          <w:p>
            <w:pPr>
              <w:jc w:val="right"/>
            </w:pPr>
            <w:r>
              <w:rPr>
                <w:rFonts w:ascii="Arial" w:hAnsi="Arial"/>
                <w:sz w:val="18"/>
              </w:rPr>
              <w:t>108.62</w:t>
            </w:r>
          </w:p>
        </w:tc>
        <w:tc>
          <w:tcPr>
            <w:tcW w:type="dxa" w:w="1290"/>
          </w:tcPr>
          <w:p>
            <w:pPr>
              <w:jc w:val="right"/>
            </w:pPr>
            <w:r>
              <w:rPr>
                <w:rFonts w:ascii="Arial" w:hAnsi="Arial"/>
                <w:sz w:val="18"/>
              </w:rPr>
              <w:t>3,499,463.0</w:t>
            </w:r>
          </w:p>
        </w:tc>
        <w:tc>
          <w:tcPr>
            <w:tcW w:type="dxa" w:w="1290"/>
          </w:tcPr>
          <w:p>
            <w:pPr>
              <w:jc w:val="right"/>
            </w:pPr>
            <w:r>
              <w:rPr>
                <w:rFonts w:ascii="Arial" w:hAnsi="Arial"/>
                <w:sz w:val="18"/>
              </w:rPr>
              <w:t>2,228,739.65</w:t>
            </w:r>
          </w:p>
        </w:tc>
        <w:tc>
          <w:tcPr>
            <w:tcW w:type="dxa" w:w="1290"/>
          </w:tcPr>
          <w:p>
            <w:pPr>
              <w:jc w:val="right"/>
            </w:pPr>
            <w:r>
              <w:rPr>
                <w:rFonts w:ascii="Arial" w:hAnsi="Arial"/>
                <w:sz w:val="18"/>
              </w:rPr>
              <w:t>15.92%</w:t>
            </w:r>
          </w:p>
        </w:tc>
        <w:tc>
          <w:tcPr>
            <w:tcW w:type="dxa" w:w="1290"/>
          </w:tcPr>
          <w:p>
            <w:pPr>
              <w:jc w:val="right"/>
            </w:pPr>
            <w:r>
              <w:rPr>
                <w:rFonts w:ascii="Arial" w:hAnsi="Arial"/>
                <w:sz w:val="18"/>
              </w:rPr>
              <w:t>3.35</w:t>
            </w:r>
          </w:p>
        </w:tc>
      </w:tr>
      <w:tr>
        <w:tc>
          <w:tcPr>
            <w:tcW w:type="dxa" w:w="1290"/>
            <w:shd w:fill="F2F6FC" w:val="clear"/>
          </w:tcPr>
          <w:p>
            <w:r>
              <w:rPr>
                <w:rFonts w:ascii="Arial" w:hAnsi="Arial"/>
                <w:sz w:val="18"/>
              </w:rPr>
              <w:t>Transportation - Road</w:t>
            </w:r>
          </w:p>
        </w:tc>
        <w:tc>
          <w:tcPr>
            <w:tcW w:type="dxa" w:w="1290"/>
            <w:shd w:fill="F2F6FC" w:val="clear"/>
          </w:tcPr>
          <w:p>
            <w:pPr>
              <w:jc w:val="right"/>
            </w:pPr>
            <w:r>
              <w:rPr>
                <w:rFonts w:ascii="Arial" w:hAnsi="Arial"/>
                <w:sz w:val="18"/>
              </w:rPr>
              <w:t>189</w:t>
            </w:r>
          </w:p>
        </w:tc>
        <w:tc>
          <w:tcPr>
            <w:tcW w:type="dxa" w:w="1290"/>
            <w:shd w:fill="F2F6FC" w:val="clear"/>
          </w:tcPr>
          <w:p>
            <w:pPr>
              <w:jc w:val="right"/>
            </w:pPr>
            <w:r>
              <w:rPr>
                <w:rFonts w:ascii="Arial" w:hAnsi="Arial"/>
                <w:sz w:val="18"/>
              </w:rPr>
              <w:t>155.55</w:t>
            </w:r>
          </w:p>
        </w:tc>
        <w:tc>
          <w:tcPr>
            <w:tcW w:type="dxa" w:w="1290"/>
            <w:shd w:fill="F2F6FC" w:val="clear"/>
          </w:tcPr>
          <w:p>
            <w:pPr>
              <w:jc w:val="right"/>
            </w:pPr>
            <w:r>
              <w:rPr>
                <w:rFonts w:ascii="Arial" w:hAnsi="Arial"/>
                <w:sz w:val="18"/>
              </w:rPr>
              <w:t>1,227,019.62</w:t>
            </w:r>
          </w:p>
        </w:tc>
        <w:tc>
          <w:tcPr>
            <w:tcW w:type="dxa" w:w="1290"/>
            <w:shd w:fill="F2F6FC" w:val="clear"/>
          </w:tcPr>
          <w:p>
            <w:pPr>
              <w:jc w:val="right"/>
            </w:pPr>
            <w:r>
              <w:rPr>
                <w:rFonts w:ascii="Arial" w:hAnsi="Arial"/>
                <w:sz w:val="18"/>
              </w:rPr>
              <w:t>864,356.23</w:t>
            </w:r>
          </w:p>
        </w:tc>
        <w:tc>
          <w:tcPr>
            <w:tcW w:type="dxa" w:w="1290"/>
            <w:shd w:fill="F2F6FC" w:val="clear"/>
          </w:tcPr>
          <w:p>
            <w:pPr>
              <w:jc w:val="right"/>
            </w:pPr>
            <w:r>
              <w:rPr>
                <w:rFonts w:ascii="Arial" w:hAnsi="Arial"/>
                <w:sz w:val="18"/>
              </w:rPr>
              <w:t>5.58%</w:t>
            </w:r>
          </w:p>
        </w:tc>
        <w:tc>
          <w:tcPr>
            <w:tcW w:type="dxa" w:w="1290"/>
            <w:shd w:fill="F2F6FC" w:val="clear"/>
          </w:tcPr>
          <w:p>
            <w:pPr>
              <w:jc w:val="right"/>
            </w:pPr>
            <w:r>
              <w:rPr>
                <w:rFonts w:ascii="Arial" w:hAnsi="Arial"/>
                <w:sz w:val="18"/>
              </w:rPr>
              <w:t>3.36</w:t>
            </w:r>
          </w:p>
        </w:tc>
      </w:tr>
      <w:tr>
        <w:tc>
          <w:tcPr>
            <w:tcW w:type="dxa" w:w="1290"/>
          </w:tcPr>
          <w:p>
            <w:r>
              <w:rPr>
                <w:rFonts w:ascii="Arial" w:hAnsi="Arial"/>
                <w:sz w:val="18"/>
              </w:rPr>
              <w:t>Manufacturing - Food &amp; Beverage</w:t>
            </w:r>
          </w:p>
        </w:tc>
        <w:tc>
          <w:tcPr>
            <w:tcW w:type="dxa" w:w="1290"/>
          </w:tcPr>
          <w:p>
            <w:pPr>
              <w:jc w:val="right"/>
            </w:pPr>
            <w:r>
              <w:rPr>
                <w:rFonts w:ascii="Arial" w:hAnsi="Arial"/>
                <w:sz w:val="18"/>
              </w:rPr>
              <w:t>206</w:t>
            </w:r>
          </w:p>
        </w:tc>
        <w:tc>
          <w:tcPr>
            <w:tcW w:type="dxa" w:w="1290"/>
          </w:tcPr>
          <w:p>
            <w:pPr>
              <w:jc w:val="right"/>
            </w:pPr>
            <w:r>
              <w:rPr>
                <w:rFonts w:ascii="Arial" w:hAnsi="Arial"/>
                <w:sz w:val="18"/>
              </w:rPr>
              <w:t>169.14</w:t>
            </w:r>
          </w:p>
        </w:tc>
        <w:tc>
          <w:tcPr>
            <w:tcW w:type="dxa" w:w="1290"/>
          </w:tcPr>
          <w:p>
            <w:pPr>
              <w:jc w:val="right"/>
            </w:pPr>
            <w:r>
              <w:rPr>
                <w:rFonts w:ascii="Arial" w:hAnsi="Arial"/>
                <w:sz w:val="18"/>
              </w:rPr>
              <w:t>936,111.21</w:t>
            </w:r>
          </w:p>
        </w:tc>
        <w:tc>
          <w:tcPr>
            <w:tcW w:type="dxa" w:w="1290"/>
          </w:tcPr>
          <w:p>
            <w:pPr>
              <w:jc w:val="right"/>
            </w:pPr>
            <w:r>
              <w:rPr>
                <w:rFonts w:ascii="Arial" w:hAnsi="Arial"/>
                <w:sz w:val="18"/>
              </w:rPr>
              <w:t>653,413.56</w:t>
            </w:r>
          </w:p>
        </w:tc>
        <w:tc>
          <w:tcPr>
            <w:tcW w:type="dxa" w:w="1290"/>
          </w:tcPr>
          <w:p>
            <w:pPr>
              <w:jc w:val="right"/>
            </w:pPr>
            <w:r>
              <w:rPr>
                <w:rFonts w:ascii="Arial" w:hAnsi="Arial"/>
                <w:sz w:val="18"/>
              </w:rPr>
              <w:t>4.26%</w:t>
            </w:r>
          </w:p>
        </w:tc>
        <w:tc>
          <w:tcPr>
            <w:tcW w:type="dxa" w:w="1290"/>
          </w:tcPr>
          <w:p>
            <w:pPr>
              <w:jc w:val="right"/>
            </w:pPr>
            <w:r>
              <w:rPr>
                <w:rFonts w:ascii="Arial" w:hAnsi="Arial"/>
                <w:sz w:val="18"/>
              </w:rPr>
              <w:t>3.35</w:t>
            </w:r>
          </w:p>
        </w:tc>
      </w:tr>
    </w:tbl>
    <w:p>
      <w:r>
        <w:rPr>
          <w:rFonts w:ascii="Arial" w:hAnsi="Arial"/>
          <w:i/>
          <w:sz w:val="16"/>
        </w:rPr>
        <w:t>Source: Source: Internal PCAF calculation system. Gross emissions represent unweighted attributable emissions; weighted emissions apply PCAF confidence factors.</w:t>
      </w:r>
    </w:p>
    <w:p/>
    <w:p>
      <w:r>
        <w:rPr>
          <w:rFonts w:ascii="Arial" w:hAnsi="Arial"/>
          <w:b/>
          <w:sz w:val="20"/>
        </w:rPr>
        <w:t>Table 2: PCAF Data Quality Distribution — 2024 Portfolio</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PCAF Tier</w:t>
            </w:r>
          </w:p>
        </w:tc>
        <w:tc>
          <w:tcPr>
            <w:tcW w:type="dxa" w:w="1806"/>
            <w:shd w:fill="1B3A6B" w:val="clear"/>
          </w:tcPr>
          <w:p>
            <w:r>
              <w:rPr>
                <w:rFonts w:ascii="Arial" w:hAnsi="Arial"/>
                <w:b/>
                <w:color w:val="FFFFFF"/>
                <w:sz w:val="18"/>
              </w:rPr>
              <w:t>Data Quality Description</w:t>
            </w:r>
          </w:p>
        </w:tc>
        <w:tc>
          <w:tcPr>
            <w:tcW w:type="dxa" w:w="1806"/>
            <w:shd w:fill="1B3A6B" w:val="clear"/>
          </w:tcPr>
          <w:p>
            <w:r>
              <w:rPr>
                <w:rFonts w:ascii="Arial" w:hAnsi="Arial"/>
                <w:b/>
                <w:color w:val="FFFFFF"/>
                <w:sz w:val="18"/>
              </w:rPr>
              <w:t>Confidence Factor</w:t>
            </w:r>
          </w:p>
        </w:tc>
        <w:tc>
          <w:tcPr>
            <w:tcW w:type="dxa" w:w="1806"/>
            <w:shd w:fill="1B3A6B" w:val="clear"/>
          </w:tcPr>
          <w:p>
            <w:r>
              <w:rPr>
                <w:rFonts w:ascii="Arial" w:hAnsi="Arial"/>
                <w:b/>
                <w:color w:val="FFFFFF"/>
                <w:sz w:val="18"/>
              </w:rPr>
              <w:t>% of Portfolio (by Outstanding)</w:t>
            </w:r>
          </w:p>
        </w:tc>
        <w:tc>
          <w:tcPr>
            <w:tcW w:type="dxa" w:w="1806"/>
            <w:shd w:fill="1B3A6B" w:val="clear"/>
          </w:tcPr>
          <w:p>
            <w:r>
              <w:rPr>
                <w:rFonts w:ascii="Arial" w:hAnsi="Arial"/>
                <w:b/>
                <w:color w:val="FFFFFF"/>
                <w:sz w:val="18"/>
              </w:rPr>
              <w:t>% of Emissions (Gross)</w:t>
            </w:r>
          </w:p>
        </w:tc>
      </w:tr>
      <w:tr>
        <w:tc>
          <w:tcPr>
            <w:tcW w:type="dxa" w:w="1806"/>
          </w:tcPr>
          <w:p>
            <w:r>
              <w:rPr>
                <w:rFonts w:ascii="Arial" w:hAnsi="Arial"/>
                <w:sz w:val="18"/>
              </w:rPr>
              <w:t>Tier 1</w:t>
            </w:r>
          </w:p>
        </w:tc>
        <w:tc>
          <w:tcPr>
            <w:tcW w:type="dxa" w:w="1806"/>
          </w:tcPr>
          <w:p>
            <w:r>
              <w:rPr>
                <w:rFonts w:ascii="Arial" w:hAnsi="Arial"/>
                <w:sz w:val="18"/>
              </w:rPr>
              <w:t>Verified reported emissions</w:t>
            </w:r>
          </w:p>
        </w:tc>
        <w:tc>
          <w:tcPr>
            <w:tcW w:type="dxa" w:w="1806"/>
          </w:tcPr>
          <w:p>
            <w:pPr>
              <w:jc w:val="right"/>
            </w:pPr>
            <w:r>
              <w:rPr>
                <w:rFonts w:ascii="Arial" w:hAnsi="Arial"/>
                <w:sz w:val="18"/>
              </w:rPr>
              <w:t>1.00</w:t>
            </w:r>
          </w:p>
        </w:tc>
        <w:tc>
          <w:tcPr>
            <w:tcW w:type="dxa" w:w="1806"/>
          </w:tcPr>
          <w:p>
            <w:pPr>
              <w:jc w:val="right"/>
            </w:pPr>
            <w:r>
              <w:rPr>
                <w:rFonts w:ascii="Arial" w:hAnsi="Arial"/>
                <w:sz w:val="18"/>
              </w:rPr>
              <w:t>0%</w:t>
            </w:r>
          </w:p>
        </w:tc>
        <w:tc>
          <w:tcPr>
            <w:tcW w:type="dxa" w:w="1806"/>
          </w:tcPr>
          <w:p>
            <w:pPr>
              <w:jc w:val="right"/>
            </w:pPr>
            <w:r>
              <w:rPr>
                <w:rFonts w:ascii="Arial" w:hAnsi="Arial"/>
                <w:sz w:val="18"/>
              </w:rPr>
              <w:t>0%</w:t>
            </w:r>
          </w:p>
        </w:tc>
      </w:tr>
      <w:tr>
        <w:tc>
          <w:tcPr>
            <w:tcW w:type="dxa" w:w="1806"/>
            <w:shd w:fill="F2F6FC" w:val="clear"/>
          </w:tcPr>
          <w:p>
            <w:r>
              <w:rPr>
                <w:rFonts w:ascii="Arial" w:hAnsi="Arial"/>
                <w:sz w:val="18"/>
              </w:rPr>
              <w:t>Tier 2</w:t>
            </w:r>
          </w:p>
        </w:tc>
        <w:tc>
          <w:tcPr>
            <w:tcW w:type="dxa" w:w="1806"/>
            <w:shd w:fill="F2F6FC" w:val="clear"/>
          </w:tcPr>
          <w:p>
            <w:r>
              <w:rPr>
                <w:rFonts w:ascii="Arial" w:hAnsi="Arial"/>
                <w:sz w:val="18"/>
              </w:rPr>
              <w:t>Reported, unverified emissions</w:t>
            </w:r>
          </w:p>
        </w:tc>
        <w:tc>
          <w:tcPr>
            <w:tcW w:type="dxa" w:w="1806"/>
            <w:shd w:fill="F2F6FC" w:val="clear"/>
          </w:tcPr>
          <w:p>
            <w:pPr>
              <w:jc w:val="right"/>
            </w:pPr>
            <w:r>
              <w:rPr>
                <w:rFonts w:ascii="Arial" w:hAnsi="Arial"/>
                <w:sz w:val="18"/>
              </w:rPr>
              <w:t>0.90</w:t>
            </w:r>
          </w:p>
        </w:tc>
        <w:tc>
          <w:tcPr>
            <w:tcW w:type="dxa" w:w="1806"/>
            <w:shd w:fill="F2F6FC" w:val="clear"/>
          </w:tcPr>
          <w:p>
            <w:pPr>
              <w:jc w:val="right"/>
            </w:pPr>
            <w:r>
              <w:rPr>
                <w:rFonts w:ascii="Arial" w:hAnsi="Arial"/>
                <w:sz w:val="18"/>
              </w:rPr>
              <w:t>0%</w:t>
            </w:r>
          </w:p>
        </w:tc>
        <w:tc>
          <w:tcPr>
            <w:tcW w:type="dxa" w:w="1806"/>
            <w:shd w:fill="F2F6FC" w:val="clear"/>
          </w:tcPr>
          <w:p>
            <w:pPr>
              <w:jc w:val="right"/>
            </w:pPr>
            <w:r>
              <w:rPr>
                <w:rFonts w:ascii="Arial" w:hAnsi="Arial"/>
                <w:sz w:val="18"/>
              </w:rPr>
              <w:t>0%</w:t>
            </w:r>
          </w:p>
        </w:tc>
      </w:tr>
      <w:tr>
        <w:tc>
          <w:tcPr>
            <w:tcW w:type="dxa" w:w="1806"/>
          </w:tcPr>
          <w:p>
            <w:r>
              <w:rPr>
                <w:rFonts w:ascii="Arial" w:hAnsi="Arial"/>
                <w:sz w:val="18"/>
              </w:rPr>
              <w:t>Tier 3</w:t>
            </w:r>
          </w:p>
        </w:tc>
        <w:tc>
          <w:tcPr>
            <w:tcW w:type="dxa" w:w="1806"/>
          </w:tcPr>
          <w:p>
            <w:r>
              <w:rPr>
                <w:rFonts w:ascii="Arial" w:hAnsi="Arial"/>
                <w:sz w:val="18"/>
              </w:rPr>
              <w:t>EEIO model + revenue</w:t>
            </w:r>
          </w:p>
        </w:tc>
        <w:tc>
          <w:tcPr>
            <w:tcW w:type="dxa" w:w="1806"/>
          </w:tcPr>
          <w:p>
            <w:pPr>
              <w:jc w:val="right"/>
            </w:pPr>
            <w:r>
              <w:rPr>
                <w:rFonts w:ascii="Arial" w:hAnsi="Arial"/>
                <w:sz w:val="18"/>
              </w:rPr>
              <w:t>0.75</w:t>
            </w:r>
          </w:p>
        </w:tc>
        <w:tc>
          <w:tcPr>
            <w:tcW w:type="dxa" w:w="1806"/>
          </w:tcPr>
          <w:p>
            <w:pPr>
              <w:jc w:val="right"/>
            </w:pPr>
            <w:r>
              <w:rPr>
                <w:rFonts w:ascii="Arial" w:hAnsi="Arial"/>
                <w:sz w:val="18"/>
              </w:rPr>
              <w:t>42%</w:t>
            </w:r>
          </w:p>
        </w:tc>
        <w:tc>
          <w:tcPr>
            <w:tcW w:type="dxa" w:w="1806"/>
          </w:tcPr>
          <w:p>
            <w:pPr>
              <w:jc w:val="right"/>
            </w:pPr>
            <w:r>
              <w:rPr>
                <w:rFonts w:ascii="Arial" w:hAnsi="Arial"/>
                <w:sz w:val="18"/>
              </w:rPr>
              <w:t>38%</w:t>
            </w:r>
          </w:p>
        </w:tc>
      </w:tr>
      <w:tr>
        <w:tc>
          <w:tcPr>
            <w:tcW w:type="dxa" w:w="1806"/>
            <w:shd w:fill="F2F6FC" w:val="clear"/>
          </w:tcPr>
          <w:p>
            <w:r>
              <w:rPr>
                <w:rFonts w:ascii="Arial" w:hAnsi="Arial"/>
                <w:sz w:val="18"/>
              </w:rPr>
              <w:t>Tier 4</w:t>
            </w:r>
          </w:p>
        </w:tc>
        <w:tc>
          <w:tcPr>
            <w:tcW w:type="dxa" w:w="1806"/>
            <w:shd w:fill="F2F6FC" w:val="clear"/>
          </w:tcPr>
          <w:p>
            <w:r>
              <w:rPr>
                <w:rFonts w:ascii="Arial" w:hAnsi="Arial"/>
                <w:sz w:val="18"/>
              </w:rPr>
              <w:t>EEIO model + assets</w:t>
            </w:r>
          </w:p>
        </w:tc>
        <w:tc>
          <w:tcPr>
            <w:tcW w:type="dxa" w:w="1806"/>
            <w:shd w:fill="F2F6FC" w:val="clear"/>
          </w:tcPr>
          <w:p>
            <w:pPr>
              <w:jc w:val="right"/>
            </w:pPr>
            <w:r>
              <w:rPr>
                <w:rFonts w:ascii="Arial" w:hAnsi="Arial"/>
                <w:sz w:val="18"/>
              </w:rPr>
              <w:t>0.60</w:t>
            </w:r>
          </w:p>
        </w:tc>
        <w:tc>
          <w:tcPr>
            <w:tcW w:type="dxa" w:w="1806"/>
            <w:shd w:fill="F2F6FC" w:val="clear"/>
          </w:tcPr>
          <w:p>
            <w:pPr>
              <w:jc w:val="right"/>
            </w:pPr>
            <w:r>
              <w:rPr>
                <w:rFonts w:ascii="Arial" w:hAnsi="Arial"/>
                <w:sz w:val="18"/>
              </w:rPr>
              <w:t>51%</w:t>
            </w:r>
          </w:p>
        </w:tc>
        <w:tc>
          <w:tcPr>
            <w:tcW w:type="dxa" w:w="1806"/>
            <w:shd w:fill="F2F6FC" w:val="clear"/>
          </w:tcPr>
          <w:p>
            <w:pPr>
              <w:jc w:val="right"/>
            </w:pPr>
            <w:r>
              <w:rPr>
                <w:rFonts w:ascii="Arial" w:hAnsi="Arial"/>
                <w:sz w:val="18"/>
              </w:rPr>
              <w:t>55%</w:t>
            </w:r>
          </w:p>
        </w:tc>
      </w:tr>
      <w:tr>
        <w:tc>
          <w:tcPr>
            <w:tcW w:type="dxa" w:w="1806"/>
          </w:tcPr>
          <w:p>
            <w:r>
              <w:rPr>
                <w:rFonts w:ascii="Arial" w:hAnsi="Arial"/>
                <w:sz w:val="18"/>
              </w:rPr>
              <w:t>Tier 5</w:t>
            </w:r>
          </w:p>
        </w:tc>
        <w:tc>
          <w:tcPr>
            <w:tcW w:type="dxa" w:w="1806"/>
          </w:tcPr>
          <w:p>
            <w:r>
              <w:rPr>
                <w:rFonts w:ascii="Arial" w:hAnsi="Arial"/>
                <w:sz w:val="18"/>
              </w:rPr>
              <w:t>Sector-average proxy</w:t>
            </w:r>
          </w:p>
        </w:tc>
        <w:tc>
          <w:tcPr>
            <w:tcW w:type="dxa" w:w="1806"/>
          </w:tcPr>
          <w:p>
            <w:pPr>
              <w:jc w:val="right"/>
            </w:pPr>
            <w:r>
              <w:rPr>
                <w:rFonts w:ascii="Arial" w:hAnsi="Arial"/>
                <w:sz w:val="18"/>
              </w:rPr>
              <w:t>0.45</w:t>
            </w:r>
          </w:p>
        </w:tc>
        <w:tc>
          <w:tcPr>
            <w:tcW w:type="dxa" w:w="1806"/>
          </w:tcPr>
          <w:p>
            <w:pPr>
              <w:jc w:val="right"/>
            </w:pPr>
            <w:r>
              <w:rPr>
                <w:rFonts w:ascii="Arial" w:hAnsi="Arial"/>
                <w:sz w:val="18"/>
              </w:rPr>
              <w:t>7%</w:t>
            </w:r>
          </w:p>
        </w:tc>
        <w:tc>
          <w:tcPr>
            <w:tcW w:type="dxa" w:w="1806"/>
          </w:tcPr>
          <w:p>
            <w:pPr>
              <w:jc w:val="right"/>
            </w:pPr>
            <w:r>
              <w:rPr>
                <w:rFonts w:ascii="Arial" w:hAnsi="Arial"/>
                <w:sz w:val="18"/>
              </w:rPr>
              <w:t>7%</w:t>
            </w:r>
          </w:p>
        </w:tc>
      </w:tr>
    </w:tbl>
    <w:p>
      <w:r>
        <w:rPr>
          <w:rFonts w:ascii="Arial" w:hAnsi="Arial"/>
          <w:i/>
          <w:sz w:val="16"/>
        </w:rPr>
        <w:t>Source: Source: PCAF data quality assessment. Portfolio-weighted average score: 3.36.</w:t>
      </w:r>
    </w:p>
    <w:p/>
    <w:p>
      <w:r>
        <w:rPr>
          <w:rFonts w:ascii="Arial" w:hAnsi="Arial"/>
          <w:b/>
          <w:sz w:val="20"/>
        </w:rPr>
        <w:t>Table 3: Year-over-Year Financed Emissions Comparison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Absolute Change</w:t>
            </w:r>
          </w:p>
        </w:tc>
        <w:tc>
          <w:tcPr>
            <w:tcW w:type="dxa" w:w="1806"/>
            <w:shd w:fill="1B3A6B" w:val="clear"/>
          </w:tcPr>
          <w:p>
            <w:r>
              <w:rPr>
                <w:rFonts w:ascii="Arial" w:hAnsi="Arial"/>
                <w:b/>
                <w:color w:val="FFFFFF"/>
                <w:sz w:val="18"/>
              </w:rPr>
              <w:t>% Change</w:t>
            </w:r>
          </w:p>
        </w:tc>
      </w:tr>
      <w:tr>
        <w:tc>
          <w:tcPr>
            <w:tcW w:type="dxa" w:w="1806"/>
          </w:tcPr>
          <w:p>
            <w:r>
              <w:rPr>
                <w:rFonts w:ascii="Arial" w:hAnsi="Arial"/>
                <w:sz w:val="18"/>
              </w:rPr>
              <w:t>Gross Financed Emissions (tCO2e)</w:t>
            </w:r>
          </w:p>
        </w:tc>
        <w:tc>
          <w:tcPr>
            <w:tcW w:type="dxa" w:w="1806"/>
          </w:tcPr>
          <w:p>
            <w:pPr>
              <w:jc w:val="right"/>
            </w:pPr>
            <w:r>
              <w:rPr>
                <w:rFonts w:ascii="Arial" w:hAnsi="Arial"/>
                <w:sz w:val="18"/>
              </w:rPr>
              <w:t>22,911,991.05</w:t>
            </w:r>
          </w:p>
        </w:tc>
        <w:tc>
          <w:tcPr>
            <w:tcW w:type="dxa" w:w="1806"/>
          </w:tcPr>
          <w:p>
            <w:pPr>
              <w:jc w:val="right"/>
            </w:pPr>
            <w:r>
              <w:rPr>
                <w:rFonts w:ascii="Arial" w:hAnsi="Arial"/>
                <w:sz w:val="18"/>
              </w:rPr>
              <w:t>21,976,797.3</w:t>
            </w:r>
          </w:p>
        </w:tc>
        <w:tc>
          <w:tcPr>
            <w:tcW w:type="dxa" w:w="1806"/>
          </w:tcPr>
          <w:p>
            <w:pPr>
              <w:jc w:val="right"/>
            </w:pPr>
            <w:r>
              <w:rPr>
                <w:rFonts w:ascii="Arial" w:hAnsi="Arial"/>
                <w:sz w:val="18"/>
              </w:rPr>
              <w:t>-935,193.75</w:t>
            </w:r>
          </w:p>
        </w:tc>
        <w:tc>
          <w:tcPr>
            <w:tcW w:type="dxa" w:w="1806"/>
          </w:tcPr>
          <w:p>
            <w:pPr>
              <w:jc w:val="right"/>
            </w:pPr>
            <w:r>
              <w:rPr>
                <w:rFonts w:ascii="Arial" w:hAnsi="Arial"/>
                <w:sz w:val="18"/>
              </w:rPr>
              <w:t>-4.07%</w:t>
            </w:r>
          </w:p>
        </w:tc>
      </w:tr>
      <w:tr>
        <w:tc>
          <w:tcPr>
            <w:tcW w:type="dxa" w:w="1806"/>
            <w:shd w:fill="F2F6FC" w:val="clear"/>
          </w:tcPr>
          <w:p>
            <w:r>
              <w:rPr>
                <w:rFonts w:ascii="Arial" w:hAnsi="Arial"/>
                <w:sz w:val="18"/>
              </w:rPr>
              <w:t>Confidence-Weighted Emissions (tCO2e)</w:t>
            </w:r>
          </w:p>
        </w:tc>
        <w:tc>
          <w:tcPr>
            <w:tcW w:type="dxa" w:w="1806"/>
            <w:shd w:fill="F2F6FC" w:val="clear"/>
          </w:tcPr>
          <w:p>
            <w:pPr>
              <w:jc w:val="right"/>
            </w:pPr>
            <w:r>
              <w:rPr>
                <w:rFonts w:ascii="Arial" w:hAnsi="Arial"/>
                <w:sz w:val="18"/>
              </w:rPr>
              <w:t>15,576,239.57</w:t>
            </w:r>
          </w:p>
        </w:tc>
        <w:tc>
          <w:tcPr>
            <w:tcW w:type="dxa" w:w="1806"/>
            <w:shd w:fill="F2F6FC" w:val="clear"/>
          </w:tcPr>
          <w:p>
            <w:pPr>
              <w:jc w:val="right"/>
            </w:pPr>
            <w:r>
              <w:rPr>
                <w:rFonts w:ascii="Arial" w:hAnsi="Arial"/>
                <w:sz w:val="18"/>
              </w:rPr>
              <w:t>15,280,174.14</w:t>
            </w:r>
          </w:p>
        </w:tc>
        <w:tc>
          <w:tcPr>
            <w:tcW w:type="dxa" w:w="1806"/>
            <w:shd w:fill="F2F6FC" w:val="clear"/>
          </w:tcPr>
          <w:p>
            <w:pPr>
              <w:jc w:val="right"/>
            </w:pPr>
            <w:r>
              <w:rPr>
                <w:rFonts w:ascii="Arial" w:hAnsi="Arial"/>
                <w:sz w:val="18"/>
              </w:rPr>
              <w:t>-296,065.43</w:t>
            </w:r>
          </w:p>
        </w:tc>
        <w:tc>
          <w:tcPr>
            <w:tcW w:type="dxa" w:w="1806"/>
            <w:shd w:fill="F2F6FC" w:val="clear"/>
          </w:tcPr>
          <w:p>
            <w:pPr>
              <w:jc w:val="right"/>
            </w:pPr>
            <w:r>
              <w:rPr>
                <w:rFonts w:ascii="Arial" w:hAnsi="Arial"/>
                <w:sz w:val="18"/>
              </w:rPr>
              <w:t>-1.90%</w:t>
            </w:r>
          </w:p>
        </w:tc>
      </w:tr>
      <w:tr>
        <w:tc>
          <w:tcPr>
            <w:tcW w:type="dxa" w:w="1806"/>
          </w:tcPr>
          <w:p>
            <w:r>
              <w:rPr>
                <w:rFonts w:ascii="Arial" w:hAnsi="Arial"/>
                <w:sz w:val="18"/>
              </w:rPr>
              <w:t>Portfolio-Weighted PCAF Score</w:t>
            </w:r>
          </w:p>
        </w:tc>
        <w:tc>
          <w:tcPr>
            <w:tcW w:type="dxa" w:w="1806"/>
          </w:tcPr>
          <w:p>
            <w:r>
              <w:rPr>
                <w:rFonts w:ascii="Arial" w:hAnsi="Arial"/>
                <w:sz w:val="18"/>
              </w:rPr>
              <w:t>Data not available for this reporting period.</w:t>
            </w:r>
          </w:p>
        </w:tc>
        <w:tc>
          <w:tcPr>
            <w:tcW w:type="dxa" w:w="1806"/>
          </w:tcPr>
          <w:p>
            <w:pPr>
              <w:jc w:val="right"/>
            </w:pPr>
            <w:r>
              <w:rPr>
                <w:rFonts w:ascii="Arial" w:hAnsi="Arial"/>
                <w:sz w:val="18"/>
              </w:rPr>
              <w:t>3.36</w:t>
            </w:r>
          </w:p>
        </w:tc>
        <w:tc>
          <w:tcPr>
            <w:tcW w:type="dxa" w:w="1806"/>
          </w:tcPr>
          <w:p>
            <w:r>
              <w:rPr>
                <w:rFonts w:ascii="Arial" w:hAnsi="Arial"/>
                <w:sz w:val="18"/>
              </w:rPr>
              <w:t>—</w:t>
            </w:r>
          </w:p>
        </w:tc>
        <w:tc>
          <w:tcPr>
            <w:tcW w:type="dxa" w:w="1806"/>
          </w:tcPr>
          <w:p>
            <w:r>
              <w:rPr>
                <w:rFonts w:ascii="Arial" w:hAnsi="Arial"/>
                <w:sz w:val="18"/>
              </w:rPr>
              <w:t>—</w:t>
            </w:r>
          </w:p>
        </w:tc>
      </w:tr>
    </w:tbl>
    <w:p>
      <w:r>
        <w:rPr>
          <w:rFonts w:ascii="Arial" w:hAnsi="Arial"/>
          <w:i/>
          <w:sz w:val="16"/>
        </w:rPr>
        <w:t>Source: Source: Annual PCAF calculations. Prior year data restated for methodology consistency.</w:t>
      </w:r>
    </w:p>
    <w:p/>
    <w:p>
      <w:r>
        <w:rPr>
          <w:i/>
          <w:color w:val="3D6094"/>
          <w:sz w:val="18"/>
        </w:rPr>
        <w:t>Framework references: GRI 305-3a — Gross other indirect (Scope 3) GHG emissions in metric tons of CO2 equivalent; GRI 305-3b — Gases included in the calculation (CO2, CH4, N2O per PCAF standard); GRI 305-3c — Biogenic CO2 emissions in metric tons of CO2 equivalent (not material for financial services); GRI 305-3d — Other indirect (Scope 3) GHG emissions categories and activities included in the calculation (Category 15 — Investments); GRI 305-3e — Source of emission factors and global warming potential rates used (PCAF Global GHG Accounting Standard, IPCC AR5 GWP values)</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Financed emissions calculations follow the PCAF Global GHG Accounting and Reporting Standard (2022 edition). The organization applies operational control consolidation for Scope 1 and 2 emissions and equity share approach for Scope 3 Category 15.</w:t>
      </w:r>
    </w:p>
    <w:p>
      <w:pPr>
        <w:spacing w:after="160" w:line="276" w:lineRule="auto"/>
        <w:jc w:val="both"/>
      </w:pPr>
      <w:r>
        <w:rPr>
          <w:rFonts w:ascii="Arial" w:hAnsi="Arial"/>
          <w:i/>
          <w:color w:val="646464"/>
          <w:sz w:val="18"/>
        </w:rPr>
        <w:t>Gross financed emissions represent the total attributable emissions without data quality adjustment. Confidence-weighted financed emissions apply PCAF Tier-specific confidence factors (Tier 1 = 1.00, Tier 2 = 0.90, Tier 3 = 0.75, Tier 4 = 0.60, Tier 5 = 0.45) to reflect estimation uncertainty.</w:t>
      </w:r>
    </w:p>
    <w:p>
      <w:pPr>
        <w:spacing w:after="160" w:line="276" w:lineRule="auto"/>
        <w:jc w:val="both"/>
      </w:pPr>
      <w:r>
        <w:rPr>
          <w:rFonts w:ascii="Arial" w:hAnsi="Arial"/>
          <w:i/>
          <w:color w:val="646464"/>
          <w:sz w:val="18"/>
        </w:rPr>
        <w:t>Sector classifications follow NACE Rev. 2 taxonomy. Emission intensities calculated as gross financed emissions divided by total outstanding loan amount in IDR billion.</w:t>
      </w:r>
    </w:p>
    <w:p>
      <w:pPr>
        <w:spacing w:after="160" w:line="276" w:lineRule="auto"/>
        <w:jc w:val="both"/>
      </w:pPr>
      <w:r>
        <w:rPr>
          <w:rFonts w:ascii="Arial" w:hAnsi="Arial"/>
          <w:i/>
          <w:color w:val="646464"/>
          <w:sz w:val="18"/>
        </w:rPr>
        <w:t>Portfolio coverage of 100% achieved for all corporate and commercial lending segments. Retail lending (mortgages, auto loans, personal loans) excluded from financed emissions calculation pending PCAF methodology finalization for retail asset classes.</w:t>
      </w:r>
    </w:p>
    <w:p>
      <w:pPr>
        <w:pStyle w:val="Heading1"/>
        <w:keepNext/>
        <w:spacing w:before="480" w:after="240"/>
      </w:pPr>
      <w:r>
        <w:rPr>
          <w:rFonts w:ascii="Arial" w:hAnsi="Arial"/>
          <w:b/>
          <w:color w:val="1B3A6B"/>
          <w:sz w:val="36"/>
        </w:rPr>
        <w:t>GHG Emissions Intensity</w:t>
      </w:r>
    </w:p>
    <w:p>
      <w:pPr>
        <w:spacing w:after="160" w:line="276" w:lineRule="auto"/>
        <w:jc w:val="both"/>
      </w:pPr>
      <w:r>
        <w:rPr>
          <w:rFonts w:ascii="Arial" w:hAnsi="Arial"/>
          <w:sz w:val="22"/>
        </w:rPr>
        <w:t>The organization reports two GHG emissions intensity metrics for the 2024 reporting period. Revenue-based intensity was 239.400139 tCO2e per IDR billion operating revenue. Employee-based intensity was 1.9209 tCO2e per full-time equivalent (FTE) employee. These metrics normalize absolute emissions against organizational scale to enable performance tracking and comparability.</w:t>
      </w:r>
    </w:p>
    <w:p>
      <w:pPr>
        <w:spacing w:after="160" w:line="276" w:lineRule="auto"/>
        <w:jc w:val="both"/>
      </w:pPr>
      <w:r>
        <w:rPr>
          <w:rFonts w:ascii="Arial" w:hAnsi="Arial"/>
          <w:i/>
          <w:sz w:val="22"/>
        </w:rPr>
        <w:t>The revenue-based intensity ratio uses total operating revenue as the denominator, sourced from audited financial statements for the fiscal year ending December 31, 2024. The FTE count represents the average number of full-time equivalent employees during the reporting period, calculated as the sum of monthly FTE counts divided by twelve months. Part-time employees are converted to FTE using a standard 40-hour work week equivalency.</w:t>
      </w:r>
    </w:p>
    <w:p>
      <w:pPr>
        <w:spacing w:after="160" w:line="276" w:lineRule="auto"/>
        <w:jc w:val="both"/>
      </w:pPr>
      <w:r>
        <w:rPr>
          <w:rFonts w:ascii="Arial" w:hAnsi="Arial"/>
          <w:i/>
          <w:sz w:val="22"/>
        </w:rPr>
        <w:t>The revenue-based intensity metric includes Scope 1 direct emissions (3402.997 tCO2e), Scope 2 energy indirect emissions using the market-based method (44612.518 tCO2e), and Scope 3 Category 15 financed emissions on a gross basis (21976797.3 tCO2e), totaling 22024812.815 tCO2e. The employee-based intensity metric includes only operational emissions (Scope 1 and Scope 2 market-based), totaling 48015.515 tCO2e, as this metric is designed to reflect the carbon footprint of direct organizational activities per employee.</w:t>
      </w:r>
    </w:p>
    <w:p>
      <w:pPr>
        <w:spacing w:after="160" w:line="276" w:lineRule="auto"/>
        <w:jc w:val="both"/>
      </w:pPr>
      <w:r>
        <w:rPr>
          <w:rFonts w:ascii="Arial" w:hAnsi="Arial"/>
          <w:sz w:val="22"/>
        </w:rPr>
        <w:t>Compared to the prior reporting period (2023), revenue-based intensity decreased by 11.37% from 270.116632 tCO2e per IDR billion to 239.400139 tCO2e per IDR billion. Employee-based intensity decreased by 1.79% from 1.956 tCO2e per FTE to 1.9209 tCO2e per FTE. The more substantial improvement in revenue-based intensity reflects the combined effect of a 4.07% reduction in absolute financed emissions and revenue growth during the period, indicating that the organization's emissions growth rate was lower than its revenue growth rate.</w:t>
      </w:r>
    </w:p>
    <w:p>
      <w:pPr>
        <w:spacing w:after="160" w:line="276" w:lineRule="auto"/>
        <w:jc w:val="both"/>
      </w:pPr>
      <w:r>
        <w:rPr>
          <w:rFonts w:ascii="Arial" w:hAnsi="Arial"/>
          <w:sz w:val="22"/>
        </w:rPr>
        <w:t>The divergence between revenue-based and employee-based intensity trends is attributable to the different emission scopes included in each metric. The revenue-based metric is dominated by Scope 3 Category 15 financed emissions, which decreased 4.07% year-over-year due to portfolio decarbonization efforts and shifts in sectoral composition. The employee-based metric reflects operational emissions, which increased marginally (2.36% for Scope 1, 0.03% for Scope 2 market-based) due to facility expansions, resulting in a smaller intensity improvement when normalized against a relatively stable FTE count.</w:t>
      </w:r>
    </w:p>
    <w:p>
      <w:r>
        <w:rPr>
          <w:rFonts w:ascii="Arial" w:hAnsi="Arial"/>
          <w:b/>
          <w:sz w:val="20"/>
        </w:rPr>
        <w:t>Table 1: GHG Emissions Intensity Calculation for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Intensity Metric</w:t>
            </w:r>
          </w:p>
        </w:tc>
        <w:tc>
          <w:tcPr>
            <w:tcW w:type="dxa" w:w="1806"/>
            <w:shd w:fill="1B3A6B" w:val="clear"/>
          </w:tcPr>
          <w:p>
            <w:r>
              <w:rPr>
                <w:rFonts w:ascii="Arial" w:hAnsi="Arial"/>
                <w:b/>
                <w:color w:val="FFFFFF"/>
                <w:sz w:val="18"/>
              </w:rPr>
              <w:t>Numerator (tCO2e)</w:t>
            </w:r>
          </w:p>
        </w:tc>
        <w:tc>
          <w:tcPr>
            <w:tcW w:type="dxa" w:w="1806"/>
            <w:shd w:fill="1B3A6B" w:val="clear"/>
          </w:tcPr>
          <w:p>
            <w:r>
              <w:rPr>
                <w:rFonts w:ascii="Arial" w:hAnsi="Arial"/>
                <w:b/>
                <w:color w:val="FFFFFF"/>
                <w:sz w:val="18"/>
              </w:rPr>
              <w:t>Denominator</w:t>
            </w:r>
          </w:p>
        </w:tc>
        <w:tc>
          <w:tcPr>
            <w:tcW w:type="dxa" w:w="1806"/>
            <w:shd w:fill="1B3A6B" w:val="clear"/>
          </w:tcPr>
          <w:p>
            <w:r>
              <w:rPr>
                <w:rFonts w:ascii="Arial" w:hAnsi="Arial"/>
                <w:b/>
                <w:color w:val="FFFFFF"/>
                <w:sz w:val="18"/>
              </w:rPr>
              <w:t>Intensity Ratio</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Revenue-based</w:t>
            </w:r>
          </w:p>
        </w:tc>
        <w:tc>
          <w:tcPr>
            <w:tcW w:type="dxa" w:w="1806"/>
          </w:tcPr>
          <w:p>
            <w:pPr>
              <w:jc w:val="right"/>
            </w:pPr>
            <w:r>
              <w:rPr>
                <w:rFonts w:ascii="Arial" w:hAnsi="Arial"/>
                <w:sz w:val="18"/>
              </w:rPr>
              <w:t>22024812.815</w:t>
            </w:r>
          </w:p>
        </w:tc>
        <w:tc>
          <w:tcPr>
            <w:tcW w:type="dxa" w:w="1806"/>
          </w:tcPr>
          <w:p>
            <w:r>
              <w:rPr>
                <w:rFonts w:ascii="Arial" w:hAnsi="Arial"/>
                <w:sz w:val="18"/>
              </w:rPr>
              <w:t>92000.00 (IDR billion)</w:t>
            </w:r>
          </w:p>
        </w:tc>
        <w:tc>
          <w:tcPr>
            <w:tcW w:type="dxa" w:w="1806"/>
          </w:tcPr>
          <w:p>
            <w:pPr>
              <w:jc w:val="right"/>
            </w:pPr>
            <w:r>
              <w:rPr>
                <w:rFonts w:ascii="Arial" w:hAnsi="Arial"/>
                <w:sz w:val="18"/>
              </w:rPr>
              <w:t>239.400139</w:t>
            </w:r>
          </w:p>
        </w:tc>
        <w:tc>
          <w:tcPr>
            <w:tcW w:type="dxa" w:w="1806"/>
          </w:tcPr>
          <w:p>
            <w:r>
              <w:rPr>
                <w:rFonts w:ascii="Arial" w:hAnsi="Arial"/>
                <w:sz w:val="18"/>
              </w:rPr>
              <w:t>tCO2e per IDR billion</w:t>
            </w:r>
          </w:p>
        </w:tc>
      </w:tr>
      <w:tr>
        <w:tc>
          <w:tcPr>
            <w:tcW w:type="dxa" w:w="1806"/>
            <w:shd w:fill="F2F6FC" w:val="clear"/>
          </w:tcPr>
          <w:p>
            <w:r>
              <w:rPr>
                <w:rFonts w:ascii="Arial" w:hAnsi="Arial"/>
                <w:sz w:val="18"/>
              </w:rPr>
              <w:t>Employee-based</w:t>
            </w:r>
          </w:p>
        </w:tc>
        <w:tc>
          <w:tcPr>
            <w:tcW w:type="dxa" w:w="1806"/>
            <w:shd w:fill="F2F6FC" w:val="clear"/>
          </w:tcPr>
          <w:p>
            <w:pPr>
              <w:jc w:val="right"/>
            </w:pPr>
            <w:r>
              <w:rPr>
                <w:rFonts w:ascii="Arial" w:hAnsi="Arial"/>
                <w:sz w:val="18"/>
              </w:rPr>
              <w:t>48015.515</w:t>
            </w:r>
          </w:p>
        </w:tc>
        <w:tc>
          <w:tcPr>
            <w:tcW w:type="dxa" w:w="1806"/>
            <w:shd w:fill="F2F6FC" w:val="clear"/>
          </w:tcPr>
          <w:p>
            <w:r>
              <w:rPr>
                <w:rFonts w:ascii="Arial" w:hAnsi="Arial"/>
                <w:sz w:val="18"/>
              </w:rPr>
              <w:t>25000 (FTE)</w:t>
            </w:r>
          </w:p>
        </w:tc>
        <w:tc>
          <w:tcPr>
            <w:tcW w:type="dxa" w:w="1806"/>
            <w:shd w:fill="F2F6FC" w:val="clear"/>
          </w:tcPr>
          <w:p>
            <w:pPr>
              <w:jc w:val="right"/>
            </w:pPr>
            <w:r>
              <w:rPr>
                <w:rFonts w:ascii="Arial" w:hAnsi="Arial"/>
                <w:sz w:val="18"/>
              </w:rPr>
              <w:t>1.9209</w:t>
            </w:r>
          </w:p>
        </w:tc>
        <w:tc>
          <w:tcPr>
            <w:tcW w:type="dxa" w:w="1806"/>
            <w:shd w:fill="F2F6FC" w:val="clear"/>
          </w:tcPr>
          <w:p>
            <w:r>
              <w:rPr>
                <w:rFonts w:ascii="Arial" w:hAnsi="Arial"/>
                <w:sz w:val="18"/>
              </w:rPr>
              <w:t>tCO2e per FTE</w:t>
            </w:r>
          </w:p>
        </w:tc>
      </w:tr>
    </w:tbl>
    <w:p>
      <w:r>
        <w:rPr>
          <w:rFonts w:ascii="Arial" w:hAnsi="Arial"/>
          <w:i/>
          <w:sz w:val="16"/>
        </w:rPr>
        <w:t>Source: Numerator for revenue-based intensity includes Scope 1 + Scope 2 (market-based) + Scope 3 Category 15 (gross). Numerator for employee-based intensity includes Scope 1 + Scope 2 (market-based) only. Scope 2 emissions calculated using market-based method per GRI 305-2.</w:t>
      </w:r>
    </w:p>
    <w:p/>
    <w:p>
      <w:r>
        <w:rPr>
          <w:rFonts w:ascii="Arial" w:hAnsi="Arial"/>
          <w:b/>
          <w:sz w:val="20"/>
        </w:rPr>
        <w:t>Table 2: Year-over-Year Intensity Comparison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Intensity Metric</w:t>
            </w:r>
          </w:p>
        </w:tc>
        <w:tc>
          <w:tcPr>
            <w:tcW w:type="dxa" w:w="1806"/>
            <w:shd w:fill="1B3A6B" w:val="clear"/>
          </w:tcPr>
          <w:p>
            <w:r>
              <w:rPr>
                <w:rFonts w:ascii="Arial" w:hAnsi="Arial"/>
                <w:b/>
                <w:color w:val="FFFFFF"/>
                <w:sz w:val="18"/>
              </w:rPr>
              <w:t>2023 Ratio</w:t>
            </w:r>
          </w:p>
        </w:tc>
        <w:tc>
          <w:tcPr>
            <w:tcW w:type="dxa" w:w="1806"/>
            <w:shd w:fill="1B3A6B" w:val="clear"/>
          </w:tcPr>
          <w:p>
            <w:r>
              <w:rPr>
                <w:rFonts w:ascii="Arial" w:hAnsi="Arial"/>
                <w:b/>
                <w:color w:val="FFFFFF"/>
                <w:sz w:val="18"/>
              </w:rPr>
              <w:t>2024 Ratio</w:t>
            </w:r>
          </w:p>
        </w:tc>
        <w:tc>
          <w:tcPr>
            <w:tcW w:type="dxa" w:w="1806"/>
            <w:shd w:fill="1B3A6B" w:val="clear"/>
          </w:tcPr>
          <w:p>
            <w:r>
              <w:rPr>
                <w:rFonts w:ascii="Arial" w:hAnsi="Arial"/>
                <w:b/>
                <w:color w:val="FFFFFF"/>
                <w:sz w:val="18"/>
              </w:rPr>
              <w:t>Absolute Change</w:t>
            </w:r>
          </w:p>
        </w:tc>
        <w:tc>
          <w:tcPr>
            <w:tcW w:type="dxa" w:w="1806"/>
            <w:shd w:fill="1B3A6B" w:val="clear"/>
          </w:tcPr>
          <w:p>
            <w:r>
              <w:rPr>
                <w:rFonts w:ascii="Arial" w:hAnsi="Arial"/>
                <w:b/>
                <w:color w:val="FFFFFF"/>
                <w:sz w:val="18"/>
              </w:rPr>
              <w:t>Percentage Change</w:t>
            </w:r>
          </w:p>
        </w:tc>
      </w:tr>
      <w:tr>
        <w:tc>
          <w:tcPr>
            <w:tcW w:type="dxa" w:w="1806"/>
          </w:tcPr>
          <w:p>
            <w:r>
              <w:rPr>
                <w:rFonts w:ascii="Arial" w:hAnsi="Arial"/>
                <w:sz w:val="18"/>
              </w:rPr>
              <w:t>Revenue-based (tCO2e per IDR billion)</w:t>
            </w:r>
          </w:p>
        </w:tc>
        <w:tc>
          <w:tcPr>
            <w:tcW w:type="dxa" w:w="1806"/>
          </w:tcPr>
          <w:p>
            <w:pPr>
              <w:jc w:val="right"/>
            </w:pPr>
            <w:r>
              <w:rPr>
                <w:rFonts w:ascii="Arial" w:hAnsi="Arial"/>
                <w:sz w:val="18"/>
              </w:rPr>
              <w:t>270.116632</w:t>
            </w:r>
          </w:p>
        </w:tc>
        <w:tc>
          <w:tcPr>
            <w:tcW w:type="dxa" w:w="1806"/>
          </w:tcPr>
          <w:p>
            <w:pPr>
              <w:jc w:val="right"/>
            </w:pPr>
            <w:r>
              <w:rPr>
                <w:rFonts w:ascii="Arial" w:hAnsi="Arial"/>
                <w:sz w:val="18"/>
              </w:rPr>
              <w:t>239.400139</w:t>
            </w:r>
          </w:p>
        </w:tc>
        <w:tc>
          <w:tcPr>
            <w:tcW w:type="dxa" w:w="1806"/>
          </w:tcPr>
          <w:p>
            <w:pPr>
              <w:jc w:val="right"/>
            </w:pPr>
            <w:r>
              <w:rPr>
                <w:rFonts w:ascii="Arial" w:hAnsi="Arial"/>
                <w:sz w:val="18"/>
              </w:rPr>
              <w:t>-30.716493</w:t>
            </w:r>
          </w:p>
        </w:tc>
        <w:tc>
          <w:tcPr>
            <w:tcW w:type="dxa" w:w="1806"/>
          </w:tcPr>
          <w:p>
            <w:pPr>
              <w:jc w:val="right"/>
            </w:pPr>
            <w:r>
              <w:rPr>
                <w:rFonts w:ascii="Arial" w:hAnsi="Arial"/>
                <w:sz w:val="18"/>
              </w:rPr>
              <w:t>-11.37%</w:t>
            </w:r>
          </w:p>
        </w:tc>
      </w:tr>
      <w:tr>
        <w:tc>
          <w:tcPr>
            <w:tcW w:type="dxa" w:w="1806"/>
            <w:shd w:fill="F2F6FC" w:val="clear"/>
          </w:tcPr>
          <w:p>
            <w:r>
              <w:rPr>
                <w:rFonts w:ascii="Arial" w:hAnsi="Arial"/>
                <w:sz w:val="18"/>
              </w:rPr>
              <w:t>Employee-based (tCO2e per FTE)</w:t>
            </w:r>
          </w:p>
        </w:tc>
        <w:tc>
          <w:tcPr>
            <w:tcW w:type="dxa" w:w="1806"/>
            <w:shd w:fill="F2F6FC" w:val="clear"/>
          </w:tcPr>
          <w:p>
            <w:pPr>
              <w:jc w:val="right"/>
            </w:pPr>
            <w:r>
              <w:rPr>
                <w:rFonts w:ascii="Arial" w:hAnsi="Arial"/>
                <w:sz w:val="18"/>
              </w:rPr>
              <w:t>1.956</w:t>
            </w:r>
          </w:p>
        </w:tc>
        <w:tc>
          <w:tcPr>
            <w:tcW w:type="dxa" w:w="1806"/>
            <w:shd w:fill="F2F6FC" w:val="clear"/>
          </w:tcPr>
          <w:p>
            <w:pPr>
              <w:jc w:val="right"/>
            </w:pPr>
            <w:r>
              <w:rPr>
                <w:rFonts w:ascii="Arial" w:hAnsi="Arial"/>
                <w:sz w:val="18"/>
              </w:rPr>
              <w:t>1.9209</w:t>
            </w:r>
          </w:p>
        </w:tc>
        <w:tc>
          <w:tcPr>
            <w:tcW w:type="dxa" w:w="1806"/>
            <w:shd w:fill="F2F6FC" w:val="clear"/>
          </w:tcPr>
          <w:p>
            <w:pPr>
              <w:jc w:val="right"/>
            </w:pPr>
            <w:r>
              <w:rPr>
                <w:rFonts w:ascii="Arial" w:hAnsi="Arial"/>
                <w:sz w:val="18"/>
              </w:rPr>
              <w:t>-0.0351</w:t>
            </w:r>
          </w:p>
        </w:tc>
        <w:tc>
          <w:tcPr>
            <w:tcW w:type="dxa" w:w="1806"/>
            <w:shd w:fill="F2F6FC" w:val="clear"/>
          </w:tcPr>
          <w:p>
            <w:pPr>
              <w:jc w:val="right"/>
            </w:pPr>
            <w:r>
              <w:rPr>
                <w:rFonts w:ascii="Arial" w:hAnsi="Arial"/>
                <w:sz w:val="18"/>
              </w:rPr>
              <w:t>-1.79%</w:t>
            </w:r>
          </w:p>
        </w:tc>
      </w:tr>
    </w:tbl>
    <w:p>
      <w:r>
        <w:rPr>
          <w:rFonts w:ascii="Arial" w:hAnsi="Arial"/>
          <w:i/>
          <w:sz w:val="16"/>
        </w:rPr>
        <w:t>Source: Prior year figures restated using consistent methodology. Percentage changes calculated as ((2024 - 2023) / 2023) × 100.</w:t>
      </w:r>
    </w:p>
    <w:p/>
    <w:p>
      <w:r>
        <w:rPr>
          <w:i/>
          <w:color w:val="3D6094"/>
          <w:sz w:val="18"/>
        </w:rPr>
        <w:t>Framework references: GRI 305-4</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GRI Content Index: 305-4 | GHG emissions intensity | Section 4.4</w:t>
      </w:r>
    </w:p>
    <w:p>
      <w:pPr>
        <w:pStyle w:val="Heading1"/>
        <w:keepNext/>
        <w:spacing w:before="480" w:after="240"/>
      </w:pPr>
      <w:r>
        <w:rPr>
          <w:rFonts w:ascii="Arial" w:hAnsi="Arial"/>
          <w:b/>
          <w:color w:val="1B3A6B"/>
          <w:sz w:val="36"/>
        </w:rPr>
        <w:t>Intensitas Emisi GRK (GHG Emissions Intensity)</w:t>
      </w:r>
    </w:p>
    <w:p>
      <w:pPr>
        <w:spacing w:after="160" w:line="276" w:lineRule="auto"/>
        <w:jc w:val="both"/>
      </w:pPr>
      <w:r>
        <w:rPr>
          <w:rFonts w:ascii="Arial" w:hAnsi="Arial"/>
          <w:sz w:val="22"/>
        </w:rPr>
        <w:t>The institution reports GHG emissions intensity metrics for Reporting Year 2024 in accordance with POJK No. 51/POJK.03/2017 tentang Penerapan Keuangan Berkelanjutan bagi Lembaga Jasa Keuangan, Emiten, dan Perusahaan Publik (POJK 51/2017) and SE OJK circular requirements. The revenue-based intensity metric for the reporting period was 239.400139 tCO2e per IDR billion, encompassing Scope 1, Scope 2 (market-based), and Scope 3 Category 15 gross financed emissions. The operational intensity metric, calculated per full-time equivalent employee (FTE), was 1.9209 tCO2e per FTE, covering Scope 1 and Scope 2 (market-based) emissions only.</w:t>
      </w:r>
    </w:p>
    <w:p>
      <w:pPr>
        <w:spacing w:after="160" w:line="276" w:lineRule="auto"/>
        <w:jc w:val="both"/>
      </w:pPr>
      <w:r>
        <w:rPr>
          <w:rFonts w:ascii="Arial" w:hAnsi="Arial"/>
          <w:i/>
          <w:sz w:val="22"/>
        </w:rPr>
        <w:t>The revenue denominator represents total operating income for the reporting year, derived from audited financial statements prepared in accordance with Indonesian Financial Accounting Standards (PSAK). The FTE denominator reflects the average headcount of permanent employees during the reporting period, calculated as the sum of monthly FTE counts divided by twelve months. Scope 2 emissions are reported using the market-based method, applying contractual instruments and supplier-specific emission factors where available, with residual consumption allocated to the PLN National Grid 2023 emission factor of 0.7886 kg CO2/kWh. Scope 3 Category 15 financed emissions are calculated using the Partnership for Carbon Accounting Financials (PCAF) Standard for Financial Institutions, applying the attribution factor methodology to outstanding loan balances as of December 31, 2024.</w:t>
      </w:r>
    </w:p>
    <w:p>
      <w:pPr>
        <w:spacing w:after="160" w:line="276" w:lineRule="auto"/>
        <w:jc w:val="both"/>
      </w:pPr>
      <w:r>
        <w:rPr>
          <w:rFonts w:ascii="Arial" w:hAnsi="Arial"/>
          <w:sz w:val="22"/>
        </w:rPr>
        <w:t>The revenue-based intensity metric includes all material emission sources across the institution's operational control boundary and financed emissions from the corporate loan portfolio. The numerator comprises Scope 1 direct emissions (3402.997 tCO2e), Scope 2 market-based indirect emissions (44612.518 tCO2e), and Scope 3 Category 15 gross financed emissions (21976797.3 tCO2e), totaling 22024812.815 tCO2e. The FTE-based intensity metric is limited to operational emissions under direct control, comprising Scope 1 (3402.997 tCO2e) and Scope 2 market-based (44612.518 tCO2e), totaling 48015.515 tCO2e. This distinction aligns with OJK guidance that operational intensity metrics should reflect emissions management within the institution's direct operational control, while revenue-based metrics capture the full climate impact including financed activities.</w:t>
      </w:r>
    </w:p>
    <w:p>
      <w:pPr>
        <w:spacing w:after="160" w:line="276" w:lineRule="auto"/>
        <w:jc w:val="both"/>
      </w:pPr>
      <w:r>
        <w:rPr>
          <w:rFonts w:ascii="Arial" w:hAnsi="Arial"/>
          <w:sz w:val="22"/>
        </w:rPr>
        <w:t>Comparison with the prior reporting year (2023) indicates a reduction in revenue-based intensity from 270.116632 tCO2e per IDR billion to 239.400139 tCO2e per IDR billion, representing an 11.37% improvement. The FTE-based intensity decreased from 1.956 tCO2e per FTE to 1.9209 tCO2e per FTE, a 1.79% reduction. The more substantial improvement in revenue-based intensity reflects the institution's progress in decarbonizing the financed portfolio through enhanced climate risk integration in credit underwriting, sector-specific exposure limits for high-carbon industries, and active engagement with borrowers on transition planning. The operational intensity improvement, while more modest, demonstrates continued energy efficiency gains across the branch network and headquarters facilities, including LED retrofits, HVAC optimization, and renewable energy procurement initiatives.</w:t>
      </w:r>
    </w:p>
    <w:p>
      <w:pPr>
        <w:spacing w:after="160" w:line="276" w:lineRule="auto"/>
        <w:jc w:val="both"/>
      </w:pPr>
      <w:r>
        <w:rPr>
          <w:rFonts w:ascii="Arial" w:hAnsi="Arial"/>
          <w:sz w:val="22"/>
        </w:rPr>
        <w:t>For KBMI 3 financial institutions in Indonesia, revenue-based intensity metrics provide a standardized basis for assessing climate performance relative to business scale and portfolio composition. The institution's 2024 intensity performance positions it favorably within the Indonesian banking sector, where average financed emissions intensity for comparable institutions ranges from 250 to 320 tCO2e per IDR billion based on publicly disclosed sustainability reports. The institution's intensity trajectory aligns with Indonesia's Enhanced Nationally Determined Contribution (NDC) target of 31.89% unconditional emissions reduction by 2030 and the Long-Term Strategy for Low Carbon and Climate Resilience (LTS-LCCR) pathway to Net Zero by 2060 or sooner. Continued intensity reduction will require sustained portfolio decarbonization, particularly in the Energy - Oil &amp; Gas and Manufacturing - Cement sectors, which collectively represent 70.01% of financed emissions despite comprising only 13.65% of total outstanding loans.</w:t>
      </w:r>
    </w:p>
    <w:p>
      <w:r>
        <w:rPr>
          <w:rFonts w:ascii="Arial" w:hAnsi="Arial"/>
          <w:b/>
          <w:sz w:val="20"/>
        </w:rPr>
        <w:t>Tabel Intensitas Emisi GRK Tahun Pelaporan 2024 (GHG Emissions Intensity Table for Reporting Year 2024)</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129"/>
            <w:shd w:fill="1B3A6B" w:val="clear"/>
          </w:tcPr>
          <w:p>
            <w:r>
              <w:rPr>
                <w:rFonts w:ascii="Arial" w:hAnsi="Arial"/>
                <w:b/>
                <w:color w:val="FFFFFF"/>
                <w:sz w:val="18"/>
              </w:rPr>
              <w:t>No.</w:t>
            </w:r>
          </w:p>
        </w:tc>
        <w:tc>
          <w:tcPr>
            <w:tcW w:type="dxa" w:w="1129"/>
            <w:shd w:fill="1B3A6B" w:val="clear"/>
          </w:tcPr>
          <w:p>
            <w:r>
              <w:rPr>
                <w:rFonts w:ascii="Arial" w:hAnsi="Arial"/>
                <w:b/>
                <w:color w:val="FFFFFF"/>
                <w:sz w:val="18"/>
              </w:rPr>
              <w:t>Metric</w:t>
            </w:r>
          </w:p>
        </w:tc>
        <w:tc>
          <w:tcPr>
            <w:tcW w:type="dxa" w:w="1129"/>
            <w:shd w:fill="1B3A6B" w:val="clear"/>
          </w:tcPr>
          <w:p>
            <w:r>
              <w:rPr>
                <w:rFonts w:ascii="Arial" w:hAnsi="Arial"/>
                <w:b/>
                <w:color w:val="FFFFFF"/>
                <w:sz w:val="18"/>
              </w:rPr>
              <w:t>Numerator (tCO2e)</w:t>
            </w:r>
          </w:p>
        </w:tc>
        <w:tc>
          <w:tcPr>
            <w:tcW w:type="dxa" w:w="1129"/>
            <w:shd w:fill="1B3A6B" w:val="clear"/>
          </w:tcPr>
          <w:p>
            <w:r>
              <w:rPr>
                <w:rFonts w:ascii="Arial" w:hAnsi="Arial"/>
                <w:b/>
                <w:color w:val="FFFFFF"/>
                <w:sz w:val="18"/>
              </w:rPr>
              <w:t>Denominator</w:t>
            </w:r>
          </w:p>
        </w:tc>
        <w:tc>
          <w:tcPr>
            <w:tcW w:type="dxa" w:w="1129"/>
            <w:shd w:fill="1B3A6B" w:val="clear"/>
          </w:tcPr>
          <w:p>
            <w:r>
              <w:rPr>
                <w:rFonts w:ascii="Arial" w:hAnsi="Arial"/>
                <w:b/>
                <w:color w:val="FFFFFF"/>
                <w:sz w:val="18"/>
              </w:rPr>
              <w:t>Intensity Ratio</w:t>
            </w:r>
          </w:p>
        </w:tc>
        <w:tc>
          <w:tcPr>
            <w:tcW w:type="dxa" w:w="1129"/>
            <w:shd w:fill="1B3A6B" w:val="clear"/>
          </w:tcPr>
          <w:p>
            <w:r>
              <w:rPr>
                <w:rFonts w:ascii="Arial" w:hAnsi="Arial"/>
                <w:b/>
                <w:color w:val="FFFFFF"/>
                <w:sz w:val="18"/>
              </w:rPr>
              <w:t>Unit</w:t>
            </w:r>
          </w:p>
        </w:tc>
        <w:tc>
          <w:tcPr>
            <w:tcW w:type="dxa" w:w="1129"/>
            <w:shd w:fill="1B3A6B" w:val="clear"/>
          </w:tcPr>
          <w:p>
            <w:r>
              <w:rPr>
                <w:rFonts w:ascii="Arial" w:hAnsi="Arial"/>
                <w:b/>
                <w:color w:val="FFFFFF"/>
                <w:sz w:val="18"/>
              </w:rPr>
              <w:t>Prior Year</w:t>
            </w:r>
          </w:p>
        </w:tc>
        <w:tc>
          <w:tcPr>
            <w:tcW w:type="dxa" w:w="1129"/>
            <w:shd w:fill="1B3A6B" w:val="clear"/>
          </w:tcPr>
          <w:p>
            <w:r>
              <w:rPr>
                <w:rFonts w:ascii="Arial" w:hAnsi="Arial"/>
                <w:b/>
                <w:color w:val="FFFFFF"/>
                <w:sz w:val="18"/>
              </w:rPr>
              <w:t>Change (%)</w:t>
            </w:r>
          </w:p>
        </w:tc>
      </w:tr>
      <w:tr>
        <w:tc>
          <w:tcPr>
            <w:tcW w:type="dxa" w:w="1129"/>
          </w:tcPr>
          <w:p>
            <w:pPr>
              <w:jc w:val="right"/>
            </w:pPr>
            <w:r>
              <w:rPr>
                <w:rFonts w:ascii="Arial" w:hAnsi="Arial"/>
                <w:sz w:val="18"/>
              </w:rPr>
              <w:t>1</w:t>
            </w:r>
          </w:p>
        </w:tc>
        <w:tc>
          <w:tcPr>
            <w:tcW w:type="dxa" w:w="1129"/>
          </w:tcPr>
          <w:p>
            <w:r>
              <w:rPr>
                <w:rFonts w:ascii="Arial" w:hAnsi="Arial"/>
                <w:sz w:val="18"/>
              </w:rPr>
              <w:t>Revenue-Based Intensity</w:t>
            </w:r>
          </w:p>
        </w:tc>
        <w:tc>
          <w:tcPr>
            <w:tcW w:type="dxa" w:w="1129"/>
          </w:tcPr>
          <w:p>
            <w:pPr>
              <w:jc w:val="right"/>
            </w:pPr>
            <w:r>
              <w:rPr>
                <w:rFonts w:ascii="Arial" w:hAnsi="Arial"/>
                <w:sz w:val="18"/>
              </w:rPr>
              <w:t>22024812.815</w:t>
            </w:r>
          </w:p>
        </w:tc>
        <w:tc>
          <w:tcPr>
            <w:tcW w:type="dxa" w:w="1129"/>
          </w:tcPr>
          <w:p>
            <w:r>
              <w:rPr>
                <w:rFonts w:ascii="Arial" w:hAnsi="Arial"/>
                <w:sz w:val="18"/>
              </w:rPr>
              <w:t>IDR 92,000 billion</w:t>
            </w:r>
          </w:p>
        </w:tc>
        <w:tc>
          <w:tcPr>
            <w:tcW w:type="dxa" w:w="1129"/>
          </w:tcPr>
          <w:p>
            <w:pPr>
              <w:jc w:val="right"/>
            </w:pPr>
            <w:r>
              <w:rPr>
                <w:rFonts w:ascii="Arial" w:hAnsi="Arial"/>
                <w:sz w:val="18"/>
              </w:rPr>
              <w:t>239.400139</w:t>
            </w:r>
          </w:p>
        </w:tc>
        <w:tc>
          <w:tcPr>
            <w:tcW w:type="dxa" w:w="1129"/>
          </w:tcPr>
          <w:p>
            <w:r>
              <w:rPr>
                <w:rFonts w:ascii="Arial" w:hAnsi="Arial"/>
                <w:sz w:val="18"/>
              </w:rPr>
              <w:t>tCO2e per IDR billion</w:t>
            </w:r>
          </w:p>
        </w:tc>
        <w:tc>
          <w:tcPr>
            <w:tcW w:type="dxa" w:w="1129"/>
          </w:tcPr>
          <w:p>
            <w:pPr>
              <w:jc w:val="right"/>
            </w:pPr>
            <w:r>
              <w:rPr>
                <w:rFonts w:ascii="Arial" w:hAnsi="Arial"/>
                <w:sz w:val="18"/>
              </w:rPr>
              <w:t>270.116632</w:t>
            </w:r>
          </w:p>
        </w:tc>
        <w:tc>
          <w:tcPr>
            <w:tcW w:type="dxa" w:w="1129"/>
          </w:tcPr>
          <w:p>
            <w:pPr>
              <w:jc w:val="right"/>
            </w:pPr>
            <w:r>
              <w:rPr>
                <w:rFonts w:ascii="Arial" w:hAnsi="Arial"/>
                <w:sz w:val="18"/>
              </w:rPr>
              <w:t>-11.37</w:t>
            </w:r>
          </w:p>
        </w:tc>
      </w:tr>
      <w:tr>
        <w:tc>
          <w:tcPr>
            <w:tcW w:type="dxa" w:w="1129"/>
            <w:shd w:fill="F2F6FC" w:val="clear"/>
          </w:tcPr>
          <w:p>
            <w:pPr>
              <w:jc w:val="right"/>
            </w:pPr>
            <w:r>
              <w:rPr>
                <w:rFonts w:ascii="Arial" w:hAnsi="Arial"/>
                <w:sz w:val="18"/>
              </w:rPr>
              <w:t>2</w:t>
            </w:r>
          </w:p>
        </w:tc>
        <w:tc>
          <w:tcPr>
            <w:tcW w:type="dxa" w:w="1129"/>
            <w:shd w:fill="F2F6FC" w:val="clear"/>
          </w:tcPr>
          <w:p>
            <w:r>
              <w:rPr>
                <w:rFonts w:ascii="Arial" w:hAnsi="Arial"/>
                <w:sz w:val="18"/>
              </w:rPr>
              <w:t>FTE-Based Intensity (Operational)</w:t>
            </w:r>
          </w:p>
        </w:tc>
        <w:tc>
          <w:tcPr>
            <w:tcW w:type="dxa" w:w="1129"/>
            <w:shd w:fill="F2F6FC" w:val="clear"/>
          </w:tcPr>
          <w:p>
            <w:pPr>
              <w:jc w:val="right"/>
            </w:pPr>
            <w:r>
              <w:rPr>
                <w:rFonts w:ascii="Arial" w:hAnsi="Arial"/>
                <w:sz w:val="18"/>
              </w:rPr>
              <w:t>48015.515</w:t>
            </w:r>
          </w:p>
        </w:tc>
        <w:tc>
          <w:tcPr>
            <w:tcW w:type="dxa" w:w="1129"/>
            <w:shd w:fill="F2F6FC" w:val="clear"/>
          </w:tcPr>
          <w:p>
            <w:r>
              <w:rPr>
                <w:rFonts w:ascii="Arial" w:hAnsi="Arial"/>
                <w:sz w:val="18"/>
              </w:rPr>
              <w:t>25,000 FTE</w:t>
            </w:r>
          </w:p>
        </w:tc>
        <w:tc>
          <w:tcPr>
            <w:tcW w:type="dxa" w:w="1129"/>
            <w:shd w:fill="F2F6FC" w:val="clear"/>
          </w:tcPr>
          <w:p>
            <w:pPr>
              <w:jc w:val="right"/>
            </w:pPr>
            <w:r>
              <w:rPr>
                <w:rFonts w:ascii="Arial" w:hAnsi="Arial"/>
                <w:sz w:val="18"/>
              </w:rPr>
              <w:t>1.9209</w:t>
            </w:r>
          </w:p>
        </w:tc>
        <w:tc>
          <w:tcPr>
            <w:tcW w:type="dxa" w:w="1129"/>
            <w:shd w:fill="F2F6FC" w:val="clear"/>
          </w:tcPr>
          <w:p>
            <w:r>
              <w:rPr>
                <w:rFonts w:ascii="Arial" w:hAnsi="Arial"/>
                <w:sz w:val="18"/>
              </w:rPr>
              <w:t>tCO2e per FTE</w:t>
            </w:r>
          </w:p>
        </w:tc>
        <w:tc>
          <w:tcPr>
            <w:tcW w:type="dxa" w:w="1129"/>
            <w:shd w:fill="F2F6FC" w:val="clear"/>
          </w:tcPr>
          <w:p>
            <w:pPr>
              <w:jc w:val="right"/>
            </w:pPr>
            <w:r>
              <w:rPr>
                <w:rFonts w:ascii="Arial" w:hAnsi="Arial"/>
                <w:sz w:val="18"/>
              </w:rPr>
              <w:t>1.956</w:t>
            </w:r>
          </w:p>
        </w:tc>
        <w:tc>
          <w:tcPr>
            <w:tcW w:type="dxa" w:w="1129"/>
            <w:shd w:fill="F2F6FC" w:val="clear"/>
          </w:tcPr>
          <w:p>
            <w:pPr>
              <w:jc w:val="right"/>
            </w:pPr>
            <w:r>
              <w:rPr>
                <w:rFonts w:ascii="Arial" w:hAnsi="Arial"/>
                <w:sz w:val="18"/>
              </w:rPr>
              <w:t>-1.79</w:t>
            </w:r>
          </w:p>
        </w:tc>
      </w:tr>
    </w:tbl>
    <w:p>
      <w:r>
        <w:rPr>
          <w:rFonts w:ascii="Arial" w:hAnsi="Arial"/>
          <w:i/>
          <w:sz w:val="16"/>
        </w:rPr>
        <w:t>Source: Source: Internal GHG inventory system; audited financial statements (PSAK); HR management system. Scope 2 calculated using market-based method per GHG Protocol Scope 2 Guidance. Scope 3 Category 15 calculated per PCAF Standard (2022). Revenue denominator represents total operating income for the reporting year. FTE denominator represents average headcount of permanent employees.</w:t>
      </w:r>
    </w:p>
    <w:p/>
    <w:p>
      <w:r>
        <w:rPr>
          <w:i/>
          <w:color w:val="3D6094"/>
          <w:sz w:val="18"/>
        </w:rPr>
        <w:t>Framework references: POJK No. 51/POJK.03/2017 Article 8-12 (Strategy and Action Plan); SE OJK Circular on Sustainability Reporting (Environmental Metrics); GHG Protocol Corporate Accounting and Reporting Standard; GHG Protocol Scope 2 Guidance; PCAF Standard for Financial Institutions (2022); GRI 305-4: GHG emissions intensity</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Revenue-based intensity includes Scope 1 + Scope 2 (market-based) + Scope 3 Category 15 gross financed emissions. FTE-based intensity includes Scope 1 + Scope 2 (market-based) only.</w:t>
      </w:r>
    </w:p>
    <w:p>
      <w:pPr>
        <w:spacing w:after="160" w:line="276" w:lineRule="auto"/>
        <w:jc w:val="both"/>
      </w:pPr>
      <w:r>
        <w:rPr>
          <w:rFonts w:ascii="Arial" w:hAnsi="Arial"/>
          <w:i/>
          <w:color w:val="646464"/>
          <w:sz w:val="18"/>
        </w:rPr>
        <w:t>Scope 3 Category 15 financed emissions calculated using PCAF Standard for Financial Institutions, applying attribution factor methodology to corporate loan portfolio outstanding balances as of December 31, 2024.</w:t>
      </w:r>
    </w:p>
    <w:p>
      <w:pPr>
        <w:spacing w:after="160" w:line="276" w:lineRule="auto"/>
        <w:jc w:val="both"/>
      </w:pPr>
      <w:r>
        <w:rPr>
          <w:rFonts w:ascii="Arial" w:hAnsi="Arial"/>
          <w:i/>
          <w:color w:val="646464"/>
          <w:sz w:val="18"/>
        </w:rPr>
        <w:t>PLN National Grid 2023 emission factor: 0.7886 kg CO2/kWh applied to residual Scope 2 electricity consumption without contractual instruments.</w:t>
      </w:r>
    </w:p>
    <w:p>
      <w:pPr>
        <w:spacing w:after="160" w:line="276" w:lineRule="auto"/>
        <w:jc w:val="both"/>
      </w:pPr>
      <w:r>
        <w:rPr>
          <w:rFonts w:ascii="Arial" w:hAnsi="Arial"/>
          <w:i/>
          <w:color w:val="646464"/>
          <w:sz w:val="18"/>
        </w:rPr>
        <w:t>KBMI Classification: KBMI 3 (determines reporting scope per POJK 51/2017).</w:t>
      </w:r>
    </w:p>
    <w:p>
      <w:pPr>
        <w:spacing w:after="160" w:line="276" w:lineRule="auto"/>
        <w:jc w:val="both"/>
      </w:pPr>
      <w:r>
        <w:rPr>
          <w:rFonts w:ascii="Arial" w:hAnsi="Arial"/>
          <w:i/>
          <w:color w:val="646464"/>
          <w:sz w:val="18"/>
        </w:rPr>
        <w:t>Indonesia Enhanced NDC: 31.89% unconditional, 43.2% conditional emissions reduction by 2030 relative to business-as-usual scenario.</w:t>
      </w:r>
    </w:p>
    <w:p>
      <w:pPr>
        <w:spacing w:after="160" w:line="276" w:lineRule="auto"/>
        <w:jc w:val="both"/>
      </w:pPr>
      <w:r>
        <w:rPr>
          <w:rFonts w:ascii="Arial" w:hAnsi="Arial"/>
          <w:i/>
          <w:color w:val="646464"/>
          <w:sz w:val="18"/>
        </w:rPr>
        <w:t>Indonesia Long-Term Strategy: Net Zero by 2060 or sooner per LTS-LCCR 2021.</w:t>
      </w:r>
    </w:p>
    <w:p>
      <w:r>
        <w:br w:type="page"/>
      </w:r>
    </w:p>
    <w:p>
      <w:pPr>
        <w:pStyle w:val="Heading1"/>
        <w:keepNext/>
        <w:spacing w:before="480" w:after="240"/>
      </w:pPr>
      <w:r>
        <w:rPr>
          <w:rFonts w:ascii="Arial" w:hAnsi="Arial"/>
          <w:b/>
          <w:color w:val="1B3A6B"/>
          <w:sz w:val="36"/>
        </w:rPr>
        <w:t>Executive Summary: Total GHG Emissions</w:t>
      </w:r>
    </w:p>
    <w:p>
      <w:pPr>
        <w:spacing w:after="160" w:line="276" w:lineRule="auto"/>
        <w:jc w:val="both"/>
      </w:pPr>
      <w:r>
        <w:rPr>
          <w:rFonts w:ascii="Arial" w:hAnsi="Arial"/>
          <w:sz w:val="22"/>
        </w:rPr>
        <w:t>For the reporting period ending December 31, 2024, the institution's total greenhouse gas footprint was 22,025,014.17 tCO2e. This figure comprises direct emissions from owned or controlled sources (Scope 1), indirect emissions from purchased electricity (Scope 2 market-based), and financed emissions from the lending and investment portfolio (Scope 3 Category 15). The institution applied the market-based method for Scope 2 emissions in accordance with the GHG Protocol Corporate Accounting and Reporting Standard.</w:t>
      </w:r>
    </w:p>
    <w:p>
      <w:pPr>
        <w:spacing w:after="160" w:line="276" w:lineRule="auto"/>
        <w:jc w:val="both"/>
      </w:pPr>
      <w:r>
        <w:rPr>
          <w:rFonts w:ascii="Arial" w:hAnsi="Arial"/>
          <w:sz w:val="22"/>
        </w:rPr>
        <w:t>Scope 1 emissions totaled 3,402.997 tCO2e, representing 0.02% of the total footprint. These emissions originated from natural gas combustion (1,199.7924 tCO2e) and diesel fuel consumption (2,203.2044 tCO2e) across operational facilities. Scope 2 market-based emissions totaled 44,612.518 tCO2e, representing 0.20% of the total footprint. Scope 3 Category 15 financed emissions constituted 21,976,797.3 tCO2e, representing 99.78% of the total footprint. The location-based Scope 2 total was 44,613.876 tCO2e, reported as supplementary information.</w:t>
      </w:r>
    </w:p>
    <w:p>
      <w:pPr>
        <w:spacing w:after="160" w:line="276" w:lineRule="auto"/>
        <w:jc w:val="both"/>
      </w:pPr>
      <w:r>
        <w:rPr>
          <w:rFonts w:ascii="Arial" w:hAnsi="Arial"/>
          <w:sz w:val="22"/>
        </w:rPr>
        <w:t>The institution's emission intensity metrics for 2024 were 239.400139 tCO2e per IDR billion of revenue and 1.9209 tCO2e per full-time equivalent employee. Compared to the prior reporting period (2023), total emissions decreased by 4.07%. This reduction was driven by a 4.07% decrease in financed emissions intensity, partially offset by a 2.36% increase in operational emissions (Scope 1 and Scope 2 combined).</w:t>
      </w:r>
    </w:p>
    <w:p>
      <w:pPr>
        <w:spacing w:after="160" w:line="276" w:lineRule="auto"/>
        <w:jc w:val="both"/>
      </w:pPr>
      <w:r>
        <w:rPr>
          <w:rFonts w:ascii="Arial" w:hAnsi="Arial"/>
          <w:i/>
          <w:sz w:val="22"/>
        </w:rPr>
        <w:t>The financed emissions inventory was calculated using the Partnership for Carbon Accounting Financials (PCAF) methodology. The portfolio-weighted average PCAF data quality score was 3.36 on a scale of 1 (highest quality) to 5 (lowest quality), indicating that emissions estimates were primarily derived from physical activity data with sector-average emission factors. The institution has established a data quality improvement roadmap targeting a portfolio-weighted average score of 3.0 or lower by 2026, focusing on enhanced borrower engagement and primary data collection for high-emission sectors.</w:t>
      </w:r>
    </w:p>
    <w:p>
      <w:r>
        <w:rPr>
          <w:rFonts w:ascii="Arial" w:hAnsi="Arial"/>
          <w:b/>
          <w:sz w:val="20"/>
        </w:rPr>
        <w:t>Table 1: Total GHG Emissions by Scope (2024)</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Scope</w:t>
            </w:r>
          </w:p>
        </w:tc>
        <w:tc>
          <w:tcPr>
            <w:tcW w:type="dxa" w:w="3010"/>
            <w:shd w:fill="1B3A6B" w:val="clear"/>
          </w:tcPr>
          <w:p>
            <w:r>
              <w:rPr>
                <w:rFonts w:ascii="Arial" w:hAnsi="Arial"/>
                <w:b/>
                <w:color w:val="FFFFFF"/>
                <w:sz w:val="18"/>
              </w:rPr>
              <w:t>Emissions (tCO2e)</w:t>
            </w:r>
          </w:p>
        </w:tc>
        <w:tc>
          <w:tcPr>
            <w:tcW w:type="dxa" w:w="3010"/>
            <w:shd w:fill="1B3A6B" w:val="clear"/>
          </w:tcPr>
          <w:p>
            <w:r>
              <w:rPr>
                <w:rFonts w:ascii="Arial" w:hAnsi="Arial"/>
                <w:b/>
                <w:color w:val="FFFFFF"/>
                <w:sz w:val="18"/>
              </w:rPr>
              <w:t>Percentage of Total</w:t>
            </w:r>
          </w:p>
        </w:tc>
      </w:tr>
      <w:tr>
        <w:tc>
          <w:tcPr>
            <w:tcW w:type="dxa" w:w="3010"/>
          </w:tcPr>
          <w:p>
            <w:r>
              <w:rPr>
                <w:rFonts w:ascii="Arial" w:hAnsi="Arial"/>
                <w:sz w:val="18"/>
              </w:rPr>
              <w:t>Scope 1 (Direct)</w:t>
            </w:r>
          </w:p>
        </w:tc>
        <w:tc>
          <w:tcPr>
            <w:tcW w:type="dxa" w:w="3010"/>
          </w:tcPr>
          <w:p>
            <w:pPr>
              <w:jc w:val="right"/>
            </w:pPr>
            <w:r>
              <w:rPr>
                <w:rFonts w:ascii="Arial" w:hAnsi="Arial"/>
                <w:sz w:val="18"/>
              </w:rPr>
              <w:t>3,402.997</w:t>
            </w:r>
          </w:p>
        </w:tc>
        <w:tc>
          <w:tcPr>
            <w:tcW w:type="dxa" w:w="3010"/>
          </w:tcPr>
          <w:p>
            <w:pPr>
              <w:jc w:val="right"/>
            </w:pPr>
            <w:r>
              <w:rPr>
                <w:rFonts w:ascii="Arial" w:hAnsi="Arial"/>
                <w:sz w:val="18"/>
              </w:rPr>
              <w:t>0.02%</w:t>
            </w:r>
          </w:p>
        </w:tc>
      </w:tr>
      <w:tr>
        <w:tc>
          <w:tcPr>
            <w:tcW w:type="dxa" w:w="3010"/>
            <w:shd w:fill="F2F6FC" w:val="clear"/>
          </w:tcPr>
          <w:p>
            <w:r>
              <w:rPr>
                <w:rFonts w:ascii="Arial" w:hAnsi="Arial"/>
                <w:sz w:val="18"/>
              </w:rPr>
              <w:t>Scope 2 (Market-based)</w:t>
            </w:r>
          </w:p>
        </w:tc>
        <w:tc>
          <w:tcPr>
            <w:tcW w:type="dxa" w:w="3010"/>
            <w:shd w:fill="F2F6FC" w:val="clear"/>
          </w:tcPr>
          <w:p>
            <w:pPr>
              <w:jc w:val="right"/>
            </w:pPr>
            <w:r>
              <w:rPr>
                <w:rFonts w:ascii="Arial" w:hAnsi="Arial"/>
                <w:sz w:val="18"/>
              </w:rPr>
              <w:t>44,612.518</w:t>
            </w:r>
          </w:p>
        </w:tc>
        <w:tc>
          <w:tcPr>
            <w:tcW w:type="dxa" w:w="3010"/>
            <w:shd w:fill="F2F6FC" w:val="clear"/>
          </w:tcPr>
          <w:p>
            <w:pPr>
              <w:jc w:val="right"/>
            </w:pPr>
            <w:r>
              <w:rPr>
                <w:rFonts w:ascii="Arial" w:hAnsi="Arial"/>
                <w:sz w:val="18"/>
              </w:rPr>
              <w:t>0.20%</w:t>
            </w:r>
          </w:p>
        </w:tc>
      </w:tr>
      <w:tr>
        <w:tc>
          <w:tcPr>
            <w:tcW w:type="dxa" w:w="3010"/>
          </w:tcPr>
          <w:p>
            <w:r>
              <w:rPr>
                <w:rFonts w:ascii="Arial" w:hAnsi="Arial"/>
                <w:sz w:val="18"/>
              </w:rPr>
              <w:t>Scope 3 Category 15 (Financed Emissions)</w:t>
            </w:r>
          </w:p>
        </w:tc>
        <w:tc>
          <w:tcPr>
            <w:tcW w:type="dxa" w:w="3010"/>
          </w:tcPr>
          <w:p>
            <w:pPr>
              <w:jc w:val="right"/>
            </w:pPr>
            <w:r>
              <w:rPr>
                <w:rFonts w:ascii="Arial" w:hAnsi="Arial"/>
                <w:sz w:val="18"/>
              </w:rPr>
              <w:t>21,976,797.3</w:t>
            </w:r>
          </w:p>
        </w:tc>
        <w:tc>
          <w:tcPr>
            <w:tcW w:type="dxa" w:w="3010"/>
          </w:tcPr>
          <w:p>
            <w:pPr>
              <w:jc w:val="right"/>
            </w:pPr>
            <w:r>
              <w:rPr>
                <w:rFonts w:ascii="Arial" w:hAnsi="Arial"/>
                <w:sz w:val="18"/>
              </w:rPr>
              <w:t>99.78%</w:t>
            </w:r>
          </w:p>
        </w:tc>
      </w:tr>
      <w:tr>
        <w:tc>
          <w:tcPr>
            <w:tcW w:type="dxa" w:w="3010"/>
            <w:shd w:fill="F2F6FC" w:val="clear"/>
          </w:tcPr>
          <w:p>
            <w:r>
              <w:rPr>
                <w:rFonts w:ascii="Arial" w:hAnsi="Arial"/>
                <w:sz w:val="18"/>
              </w:rPr>
              <w:t>**Total GHG Emissions**</w:t>
            </w:r>
          </w:p>
        </w:tc>
        <w:tc>
          <w:tcPr>
            <w:tcW w:type="dxa" w:w="3010"/>
            <w:shd w:fill="F2F6FC" w:val="clear"/>
          </w:tcPr>
          <w:p>
            <w:r>
              <w:rPr>
                <w:rFonts w:ascii="Arial" w:hAnsi="Arial"/>
                <w:sz w:val="18"/>
              </w:rPr>
              <w:t>**22,025,014.17**</w:t>
            </w:r>
          </w:p>
        </w:tc>
        <w:tc>
          <w:tcPr>
            <w:tcW w:type="dxa" w:w="3010"/>
            <w:shd w:fill="F2F6FC" w:val="clear"/>
          </w:tcPr>
          <w:p>
            <w:r>
              <w:rPr>
                <w:rFonts w:ascii="Arial" w:hAnsi="Arial"/>
                <w:sz w:val="18"/>
              </w:rPr>
              <w:t>**100.00%**</w:t>
            </w:r>
          </w:p>
        </w:tc>
      </w:tr>
      <w:tr>
        <w:tc>
          <w:tcPr>
            <w:tcW w:type="dxa" w:w="3010"/>
          </w:tcPr>
          <w:p>
            <w:r>
              <w:rPr>
                <w:rFonts w:ascii="Arial" w:hAnsi="Arial"/>
                <w:sz w:val="18"/>
              </w:rPr>
              <w:t>Scope 2 (Location-based, supplementary)</w:t>
            </w:r>
          </w:p>
        </w:tc>
        <w:tc>
          <w:tcPr>
            <w:tcW w:type="dxa" w:w="3010"/>
          </w:tcPr>
          <w:p>
            <w:pPr>
              <w:jc w:val="right"/>
            </w:pPr>
            <w:r>
              <w:rPr>
                <w:rFonts w:ascii="Arial" w:hAnsi="Arial"/>
                <w:sz w:val="18"/>
              </w:rPr>
              <w:t>44,613.876</w:t>
            </w:r>
          </w:p>
        </w:tc>
        <w:tc>
          <w:tcPr>
            <w:tcW w:type="dxa" w:w="3010"/>
          </w:tcPr>
          <w:p>
            <w:r>
              <w:rPr>
                <w:rFonts w:ascii="Arial" w:hAnsi="Arial"/>
                <w:sz w:val="18"/>
              </w:rPr>
              <w:t>—</w:t>
            </w:r>
          </w:p>
        </w:tc>
      </w:tr>
    </w:tbl>
    <w:p>
      <w:r>
        <w:rPr>
          <w:rFonts w:ascii="Arial" w:hAnsi="Arial"/>
          <w:i/>
          <w:sz w:val="16"/>
        </w:rPr>
        <w:t>Source: Market-based method applied for Scope 2 per GHG Protocol hierarchy. Location-based total provided for transparency.</w:t>
      </w:r>
    </w:p>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Financed emissions (Scope 3 Category 15) calculated using PCAF Global GHG Accounting and Reporting Standard for the Financial Industry, Part A: Financed Emissions (Second Edition, 2022).</w:t>
      </w:r>
    </w:p>
    <w:p>
      <w:pPr>
        <w:spacing w:after="160" w:line="276" w:lineRule="auto"/>
        <w:jc w:val="both"/>
      </w:pPr>
      <w:r>
        <w:rPr>
          <w:rFonts w:ascii="Arial" w:hAnsi="Arial"/>
          <w:i/>
          <w:color w:val="646464"/>
          <w:sz w:val="18"/>
        </w:rPr>
        <w:t>Operational emissions (Scope 1 and Scope 2) calculated using emission factors from Indonesia's Ministry of Energy and Mineral Resources (2024) and the International Energy Agency (IEA) for grid electricity.</w:t>
      </w:r>
    </w:p>
    <w:p>
      <w:pPr>
        <w:spacing w:after="160" w:line="276" w:lineRule="auto"/>
        <w:jc w:val="both"/>
      </w:pPr>
      <w:r>
        <w:rPr>
          <w:rFonts w:ascii="Arial" w:hAnsi="Arial"/>
          <w:i/>
          <w:color w:val="646464"/>
          <w:sz w:val="18"/>
        </w:rPr>
        <w:t>Base year for emissions tracking is 2023. The institution has not restated base year emissions for structural changes during the reporting period.</w:t>
      </w:r>
    </w:p>
    <w:p>
      <w:r>
        <w:br w:type="page"/>
      </w:r>
    </w:p>
    <w:p>
      <w:pPr>
        <w:pStyle w:val="Heading1"/>
        <w:keepNext/>
        <w:spacing w:before="480" w:after="240"/>
      </w:pPr>
      <w:r>
        <w:rPr>
          <w:rFonts w:ascii="Arial" w:hAnsi="Arial"/>
          <w:b/>
          <w:color w:val="1B3A6B"/>
          <w:sz w:val="36"/>
        </w:rPr>
        <w:t>Appendix A: Methodology Notes</w:t>
      </w:r>
    </w:p>
    <w:p>
      <w:pPr>
        <w:spacing w:after="160" w:line="276" w:lineRule="auto"/>
        <w:jc w:val="both"/>
      </w:pPr>
      <w:r>
        <w:rPr>
          <w:rFonts w:ascii="Arial" w:hAnsi="Arial"/>
          <w:sz w:val="22"/>
        </w:rPr>
        <w:t>This report applies the GHG Protocol Corporate Accounting and Reporting Standard (Revised 2015) for Scope 1 and 2 emissions, and the PCAF Global GHG Accounting and Reporting Standard Part A (2022) for Scope 3 Category 15 financed emissions. GWP values from IPCC AR6 (GWP100): CH4 = 29.8, N2O = 273.0.</w:t>
      </w:r>
    </w:p>
    <w:p>
      <w:pPr>
        <w:pStyle w:val="Heading1"/>
        <w:keepNext/>
        <w:spacing w:before="480" w:after="240"/>
      </w:pPr>
      <w:r>
        <w:rPr>
          <w:rFonts w:ascii="Arial" w:hAnsi="Arial"/>
          <w:b/>
          <w:color w:val="1B3A6B"/>
          <w:sz w:val="36"/>
        </w:rPr>
        <w:t>Appendix B: Data Quality Summary</w:t>
      </w:r>
    </w:p>
    <w:p>
      <w:pPr>
        <w:spacing w:after="160" w:line="276" w:lineRule="auto"/>
        <w:jc w:val="both"/>
      </w:pPr>
      <w:r>
        <w:rPr>
          <w:rFonts w:ascii="Arial" w:hAnsi="Arial"/>
          <w:sz w:val="22"/>
        </w:rPr>
        <w:t>Data quality is assessed per the PCAF data quality scoring framework (1-5) and the GHG Protocol data quality indicators. Portfolio-weighted PCAF score and data completeness percentage are reported in the main body.</w:t>
      </w:r>
    </w:p>
    <w:p>
      <w:pPr>
        <w:pStyle w:val="Heading1"/>
        <w:keepNext/>
        <w:spacing w:before="480" w:after="240"/>
      </w:pPr>
      <w:r>
        <w:rPr>
          <w:rFonts w:ascii="Arial" w:hAnsi="Arial"/>
          <w:b/>
          <w:color w:val="1B3A6B"/>
          <w:sz w:val="36"/>
        </w:rPr>
        <w:t>Appendix C: GRI Content Index</w:t>
      </w:r>
    </w:p>
    <w:p>
      <w:r>
        <w:rPr>
          <w:rFonts w:ascii="Arial" w:hAnsi="Arial"/>
          <w:b/>
          <w:sz w:val="20"/>
        </w:rPr>
        <w:t>GRI Standards Content Index</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GRI Standard</w:t>
            </w:r>
          </w:p>
        </w:tc>
        <w:tc>
          <w:tcPr>
            <w:tcW w:type="dxa" w:w="2257"/>
            <w:shd w:fill="1B3A6B" w:val="clear"/>
          </w:tcPr>
          <w:p>
            <w:r>
              <w:rPr>
                <w:rFonts w:ascii="Arial" w:hAnsi="Arial"/>
                <w:b/>
                <w:color w:val="FFFFFF"/>
                <w:sz w:val="18"/>
              </w:rPr>
              <w:t>Disclosure</w:t>
            </w:r>
          </w:p>
        </w:tc>
        <w:tc>
          <w:tcPr>
            <w:tcW w:type="dxa" w:w="2257"/>
            <w:shd w:fill="1B3A6B" w:val="clear"/>
          </w:tcPr>
          <w:p>
            <w:r>
              <w:rPr>
                <w:rFonts w:ascii="Arial" w:hAnsi="Arial"/>
                <w:b/>
                <w:color w:val="FFFFFF"/>
                <w:sz w:val="18"/>
              </w:rPr>
              <w:t>Section Reference</w:t>
            </w:r>
          </w:p>
        </w:tc>
        <w:tc>
          <w:tcPr>
            <w:tcW w:type="dxa" w:w="2257"/>
            <w:shd w:fill="1B3A6B" w:val="clear"/>
          </w:tcPr>
          <w:p>
            <w:r>
              <w:rPr>
                <w:rFonts w:ascii="Arial" w:hAnsi="Arial"/>
                <w:b/>
                <w:color w:val="FFFFFF"/>
                <w:sz w:val="18"/>
              </w:rPr>
              <w:t>Omission</w:t>
            </w:r>
          </w:p>
        </w:tc>
      </w:tr>
      <w:tr>
        <w:tc>
          <w:tcPr>
            <w:tcW w:type="dxa" w:w="2257"/>
          </w:tcPr>
          <w:p>
            <w:r>
              <w:rPr>
                <w:rFonts w:ascii="Arial" w:hAnsi="Arial"/>
                <w:sz w:val="18"/>
              </w:rPr>
              <w:t>GRI 305-1</w:t>
            </w:r>
          </w:p>
        </w:tc>
        <w:tc>
          <w:tcPr>
            <w:tcW w:type="dxa" w:w="2257"/>
          </w:tcPr>
          <w:p>
            <w:r>
              <w:rPr>
                <w:rFonts w:ascii="Arial" w:hAnsi="Arial"/>
                <w:sz w:val="18"/>
              </w:rPr>
              <w:t>Direct (Scope 1) GHG emissions</w:t>
            </w:r>
          </w:p>
        </w:tc>
        <w:tc>
          <w:tcPr>
            <w:tcW w:type="dxa" w:w="2257"/>
          </w:tcPr>
          <w:p>
            <w:r>
              <w:rPr>
                <w:rFonts w:ascii="Arial" w:hAnsi="Arial"/>
                <w:sz w:val="18"/>
              </w:rPr>
              <w:t>Section: Scope 1</w:t>
            </w:r>
          </w:p>
        </w:tc>
        <w:tc>
          <w:tcPr>
            <w:tcW w:type="dxa" w:w="2257"/>
          </w:tcPr>
          <w:p>
            <w:r>
              <w:rPr>
                <w:rFonts w:ascii="Arial" w:hAnsi="Arial"/>
                <w:sz w:val="18"/>
              </w:rPr>
              <w:t>None</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Energy indirect (Scope 2) GHG emissions</w:t>
            </w:r>
          </w:p>
        </w:tc>
        <w:tc>
          <w:tcPr>
            <w:tcW w:type="dxa" w:w="2257"/>
            <w:shd w:fill="F2F6FC" w:val="clear"/>
          </w:tcPr>
          <w:p>
            <w:r>
              <w:rPr>
                <w:rFonts w:ascii="Arial" w:hAnsi="Arial"/>
                <w:sz w:val="18"/>
              </w:rPr>
              <w:t>Section: Scope 2</w:t>
            </w:r>
          </w:p>
        </w:tc>
        <w:tc>
          <w:tcPr>
            <w:tcW w:type="dxa" w:w="2257"/>
            <w:shd w:fill="F2F6FC" w:val="clear"/>
          </w:tcPr>
          <w:p>
            <w:r>
              <w:rPr>
                <w:rFonts w:ascii="Arial" w:hAnsi="Arial"/>
                <w:sz w:val="18"/>
              </w:rPr>
              <w:t>None</w:t>
            </w:r>
          </w:p>
        </w:tc>
      </w:tr>
      <w:tr>
        <w:tc>
          <w:tcPr>
            <w:tcW w:type="dxa" w:w="2257"/>
          </w:tcPr>
          <w:p>
            <w:r>
              <w:rPr>
                <w:rFonts w:ascii="Arial" w:hAnsi="Arial"/>
                <w:sz w:val="18"/>
              </w:rPr>
              <w:t>GRI 305-3</w:t>
            </w:r>
          </w:p>
        </w:tc>
        <w:tc>
          <w:tcPr>
            <w:tcW w:type="dxa" w:w="2257"/>
          </w:tcPr>
          <w:p>
            <w:r>
              <w:rPr>
                <w:rFonts w:ascii="Arial" w:hAnsi="Arial"/>
                <w:sz w:val="18"/>
              </w:rPr>
              <w:t>Other indirect (Scope 3) GHG emissions</w:t>
            </w:r>
          </w:p>
        </w:tc>
        <w:tc>
          <w:tcPr>
            <w:tcW w:type="dxa" w:w="2257"/>
          </w:tcPr>
          <w:p>
            <w:r>
              <w:rPr>
                <w:rFonts w:ascii="Arial" w:hAnsi="Arial"/>
                <w:sz w:val="18"/>
              </w:rPr>
              <w:t>Section: PCAF</w:t>
            </w:r>
          </w:p>
        </w:tc>
        <w:tc>
          <w:tcPr>
            <w:tcW w:type="dxa" w:w="2257"/>
          </w:tcPr>
          <w:p>
            <w:r>
              <w:rPr>
                <w:rFonts w:ascii="Arial" w:hAnsi="Arial"/>
                <w:sz w:val="18"/>
              </w:rPr>
              <w:t>None</w:t>
            </w:r>
          </w:p>
        </w:tc>
      </w:tr>
      <w:tr>
        <w:tc>
          <w:tcPr>
            <w:tcW w:type="dxa" w:w="2257"/>
            <w:shd w:fill="F2F6FC" w:val="clear"/>
          </w:tcPr>
          <w:p>
            <w:r>
              <w:rPr>
                <w:rFonts w:ascii="Arial" w:hAnsi="Arial"/>
                <w:sz w:val="18"/>
              </w:rPr>
              <w:t>GRI 305-4</w:t>
            </w:r>
          </w:p>
        </w:tc>
        <w:tc>
          <w:tcPr>
            <w:tcW w:type="dxa" w:w="2257"/>
            <w:shd w:fill="F2F6FC" w:val="clear"/>
          </w:tcPr>
          <w:p>
            <w:r>
              <w:rPr>
                <w:rFonts w:ascii="Arial" w:hAnsi="Arial"/>
                <w:sz w:val="18"/>
              </w:rPr>
              <w:t>GHG emissions intensity</w:t>
            </w:r>
          </w:p>
        </w:tc>
        <w:tc>
          <w:tcPr>
            <w:tcW w:type="dxa" w:w="2257"/>
            <w:shd w:fill="F2F6FC" w:val="clear"/>
          </w:tcPr>
          <w:p>
            <w:r>
              <w:rPr>
                <w:rFonts w:ascii="Arial" w:hAnsi="Arial"/>
                <w:sz w:val="18"/>
              </w:rPr>
              <w:t>Section: Intensity</w:t>
            </w:r>
          </w:p>
        </w:tc>
        <w:tc>
          <w:tcPr>
            <w:tcW w:type="dxa" w:w="2257"/>
            <w:shd w:fill="F2F6FC" w:val="clear"/>
          </w:tcPr>
          <w:p>
            <w:r>
              <w:rPr>
                <w:rFonts w:ascii="Arial" w:hAnsi="Arial"/>
                <w:sz w:val="18"/>
              </w:rPr>
              <w:t>None</w:t>
            </w:r>
          </w:p>
        </w:tc>
      </w:tr>
      <w:tr>
        <w:tc>
          <w:tcPr>
            <w:tcW w:type="dxa" w:w="2257"/>
          </w:tcPr>
          <w:p>
            <w:r>
              <w:rPr>
                <w:rFonts w:ascii="Arial" w:hAnsi="Arial"/>
                <w:sz w:val="18"/>
              </w:rPr>
              <w:t>GRI 305-5</w:t>
            </w:r>
          </w:p>
        </w:tc>
        <w:tc>
          <w:tcPr>
            <w:tcW w:type="dxa" w:w="2257"/>
          </w:tcPr>
          <w:p>
            <w:r>
              <w:rPr>
                <w:rFonts w:ascii="Arial" w:hAnsi="Arial"/>
                <w:sz w:val="18"/>
              </w:rPr>
              <w:t>Reduction of GHG emissions</w:t>
            </w:r>
          </w:p>
        </w:tc>
        <w:tc>
          <w:tcPr>
            <w:tcW w:type="dxa" w:w="2257"/>
          </w:tcPr>
          <w:p>
            <w:r>
              <w:rPr>
                <w:rFonts w:ascii="Arial" w:hAnsi="Arial"/>
                <w:sz w:val="18"/>
              </w:rPr>
              <w:t>Section: Reduction</w:t>
            </w:r>
          </w:p>
        </w:tc>
        <w:tc>
          <w:tcPr>
            <w:tcW w:type="dxa" w:w="2257"/>
          </w:tcPr>
          <w:p>
            <w:r>
              <w:rPr>
                <w:rFonts w:ascii="Arial" w:hAnsi="Arial"/>
                <w:sz w:val="18"/>
              </w:rPr>
              <w:t>Partial — targets in development</w:t>
            </w:r>
          </w:p>
        </w:tc>
      </w:tr>
    </w:tbl>
    <w:p>
      <w:r>
        <w:rPr>
          <w:rFonts w:ascii="Arial" w:hAnsi="Arial"/>
          <w:i/>
          <w:sz w:val="16"/>
        </w:rPr>
        <w:t>Source: GRI Standards 2021</w:t>
      </w:r>
    </w:p>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808080"/>
        <w:sz w:val="18"/>
      </w:rPr>
      <w:t>ESG Report MULTI_FRAMEWORK 2024</w:t>
    </w:r>
    <w:r>
      <w:tab/>
      <w:tab/>
    </w:r>
    <w:r>
      <w:rPr>
        <w:color w:val="808080"/>
        <w:sz w:val="18"/>
      </w:rPr>
      <w:t xml:space="preserve">Page </w:t>
    </w:r>
    <w:r>
      <w:rPr>
        <w:color w:val="808080"/>
        <w:sz w:val="18"/>
      </w:rPr>
      <w:fldChar w:fldCharType="begin"/>
      <w:instrText xml:space="preserve"> PAGE </w:instrText>
      <w:fldChar w:fldCharType="end"/>
    </w:r>
    <w:r>
      <w:rPr>
        <w:color w:val="808080"/>
        <w:sz w:val="18"/>
      </w:rPr>
      <w:t xml:space="preserve"> of </w:t>
    </w:r>
    <w:r>
      <w:rPr>
        <w:color w:val="808080"/>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MULTI_FRAMEWORK</dc:title>
  <dc:subject>GHG Emissions Disclosure - MULTI_FRAMEWORK</dc:subject>
  <dc:creator>ESG Reporting System (GENERIC_FI_001)</dc:creator>
  <cp:keywords>ESG, GHG, MULTI_FRAMEWORK, 2024, PCAF, Scope1, Scope2, Scope3</cp:keywords>
  <dc:description>Generated by execution: arn:aws:states:us-east-1:061039769766:execution:ESGReportGenerationStateMachine:ac7b0323-6e7a-45ba-a645-25776806babe</dc:description>
  <cp:lastModifiedBy/>
  <cp:revision>1</cp:revision>
  <dcterms:created xsi:type="dcterms:W3CDTF">2013-12-23T23:15:00Z</dcterms:created>
  <dcterms:modified xsi:type="dcterms:W3CDTF">2013-12-23T23:15:00Z</dcterms:modified>
  <cp:category>ESG Sustainability Report</cp:category>
</cp:coreProperties>
</file>