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2024</w:t>
      </w:r>
    </w:p>
    <w:p/>
    <w:p>
      <w:pPr>
        <w:jc w:val="center"/>
      </w:pPr>
      <w:r>
        <w:rPr>
          <w:rFonts w:ascii="Arial" w:hAnsi="Arial"/>
          <w:sz w:val="22"/>
        </w:rPr>
        <w:t>Institution: GENERIC_FI_001</w:t>
      </w:r>
    </w:p>
    <w:p>
      <w:pPr>
        <w:jc w:val="center"/>
      </w:pPr>
      <w:r>
        <w:rPr>
          <w:rFonts w:ascii="Arial" w:hAnsi="Arial"/>
          <w:sz w:val="22"/>
        </w:rPr>
        <w:t>Framework: MULTI_FRAMEWORK</w:t>
      </w:r>
    </w:p>
    <w:p>
      <w:pPr>
        <w:jc w:val="center"/>
      </w:pPr>
      <w:r>
        <w:rPr>
          <w:rFonts w:ascii="Arial" w:hAnsi="Arial"/>
          <w:sz w:val="22"/>
        </w:rPr>
        <w:t>Generated: 2026-06-05 10:47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end"/>
      </w:r>
    </w:p>
    <w:p>
      <w:r>
        <w:t>(Update this field in Word: Ctrl+A → F9)</w:t>
      </w:r>
    </w:p>
    <w:p>
      <w:r>
        <w:br w:type="page"/>
      </w:r>
    </w:p>
    <w:p>
      <w:pPr>
        <w:pStyle w:val="Heading1"/>
        <w:keepNext/>
        <w:spacing w:before="480" w:after="240"/>
      </w:pPr>
      <w:r>
        <w:rPr>
          <w:rFonts w:ascii="Arial" w:hAnsi="Arial"/>
          <w:b/>
          <w:color w:val="1B3A6B"/>
          <w:sz w:val="36"/>
        </w:rPr>
        <w:t>GRI 305-1: Direct (Scope 1) GHG Emissions</w:t>
      </w:r>
    </w:p>
    <w:p>
      <w:pPr>
        <w:spacing w:after="160" w:line="276" w:lineRule="auto"/>
        <w:jc w:val="both"/>
      </w:pPr>
      <w:r>
        <w:rPr>
          <w:rFonts w:ascii="Arial" w:hAnsi="Arial"/>
          <w:sz w:val="22"/>
        </w:rPr>
        <w:t>The organization reported gross direct (Scope 1) GHG emissions of 3402.997 metric tons of CO₂ equivalent (tCO₂e) for the reporting period ending December 31, 2024. These emissions resulted from fuel combustion activities under the organization's operational control, comprising natural gas consumption in heating and cooling systems and diesel fuel consumption in backup generators and emergency power systems across the institution's operational facilities.</w:t>
      </w:r>
    </w:p>
    <w:p>
      <w:pPr>
        <w:spacing w:after="160" w:line="276" w:lineRule="auto"/>
        <w:jc w:val="both"/>
      </w:pPr>
      <w:r>
        <w:rPr>
          <w:rFonts w:ascii="Arial" w:hAnsi="Arial"/>
          <w:sz w:val="22"/>
        </w:rPr>
        <w:t>The Scope 1 emissions inventory comprised two primary emission sources: natural gas combustion contributed 1199.7924 tCO₂e (35.3% of total Scope 1 emissions), while diesel fuel combustion accounted for 2203.2044 tCO₂e (64.7% of total Scope 1 emissions). The predominance of diesel-related emissions reflected the organization's reliance on backup power generation systems to ensure operational continuity across branch networks and data centers in regions with grid reliability constraints.</w:t>
      </w:r>
    </w:p>
    <w:p>
      <w:pPr>
        <w:spacing w:after="160" w:line="276" w:lineRule="auto"/>
        <w:jc w:val="both"/>
      </w:pPr>
      <w:r>
        <w:rPr>
          <w:rFonts w:ascii="Arial" w:hAnsi="Arial"/>
          <w:i/>
          <w:sz w:val="22"/>
        </w:rPr>
        <w:t>The organization calculated Scope 1 emissions in accordance with the GHG Protocol Corporate Accounting and Reporting Standard (2015 revision) using the operational control consolidation approach. Emission factors were sourced from Indonesia's Ministry of Energy and Mineral Resources (MEMR) 2023 National Emission Factor Database for stationary combustion sources. The calculation incorporated global warming potential (GWP) values from the Intergovernmental Panel on Climate Change (IPCC) Sixth Assessment Report (AR6) with a 100-year time horizon: CO₂ = 1, CH₄ = 29.8, and N₂O = 273.0. The inventory included emissions of carbon dioxide (CO₂), methane (CH₄), and nitrous oxide (N₂O) from fuel combustion processes. The organization did not report biogenic CO₂ emissions for the current reporting period as no biomass fuels were consumed in operational activities.</w:t>
      </w:r>
    </w:p>
    <w:p>
      <w:pPr>
        <w:spacing w:after="160" w:line="276" w:lineRule="auto"/>
        <w:jc w:val="both"/>
      </w:pPr>
      <w:r>
        <w:rPr>
          <w:rFonts w:ascii="Arial" w:hAnsi="Arial"/>
          <w:sz w:val="22"/>
        </w:rPr>
        <w:t>Scope 1 emissions increased by 2.36% compared to the prior reporting period (2023: 3324.521 tCO₂e). The year-over-year increase of 78.476 tCO₂e was primarily attributable to expanded diesel generator runtime at newly commissioned branch facilities in Eastern Indonesia regions, where grid infrastructure development lagged operational expansion requirements. Natural gas consumption remained relatively stable year-over-year (2024: 1199.7924 tCO₂e; 2023: 1199.0321 tCO₂e), reflecting consistent HVAC system operation across the headquarters complex and regional processing centers.</w:t>
      </w:r>
    </w:p>
    <w:p>
      <w:pPr>
        <w:spacing w:after="160" w:line="276" w:lineRule="auto"/>
        <w:jc w:val="both"/>
      </w:pPr>
      <w:r>
        <w:rPr>
          <w:rFonts w:ascii="Arial" w:hAnsi="Arial"/>
          <w:sz w:val="22"/>
        </w:rPr>
        <w:t>The organization established 2023 as the base year for GHG emissions reporting, selected to align with the commencement of comprehensive operational emissions tracking across all facilities under operational control. Base year emissions totaled 3324.521 tCO₂e for Scope 1. The organization has not recalculated base year emissions during the current reporting period, as no structural changes (mergers, acquisitions, divestments, or methodology changes) meeting the significance threshold (&gt;5% of base year emissions) occurred. The organization will recalculate base year emissions if cumulative structural changes exceed the materiality threshold or if improved calculation methodologies become available that materially affect historical comparability.</w:t>
      </w:r>
    </w:p>
    <w:p>
      <w:r>
        <w:rPr>
          <w:rFonts w:ascii="Arial" w:hAnsi="Arial"/>
          <w:b/>
          <w:sz w:val="20"/>
        </w:rPr>
        <w:t>Table 1: Scope 1 Direct GHG Emissions by Source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Emission Source</w:t>
            </w:r>
          </w:p>
        </w:tc>
        <w:tc>
          <w:tcPr>
            <w:tcW w:type="dxa" w:w="1806"/>
            <w:shd w:fill="1B3A6B" w:val="clear"/>
          </w:tcPr>
          <w:p>
            <w:r>
              <w:rPr>
                <w:rFonts w:ascii="Arial" w:hAnsi="Arial"/>
                <w:b/>
                <w:color w:val="FFFFFF"/>
                <w:sz w:val="18"/>
              </w:rPr>
              <w:t>Emissions (tCO₂e)</w:t>
            </w:r>
          </w:p>
        </w:tc>
        <w:tc>
          <w:tcPr>
            <w:tcW w:type="dxa" w:w="1806"/>
            <w:shd w:fill="1B3A6B" w:val="clear"/>
          </w:tcPr>
          <w:p>
            <w:r>
              <w:rPr>
                <w:rFonts w:ascii="Arial" w:hAnsi="Arial"/>
                <w:b/>
                <w:color w:val="FFFFFF"/>
                <w:sz w:val="18"/>
              </w:rPr>
              <w:t>Percentage of Scope 1</w:t>
            </w:r>
          </w:p>
        </w:tc>
        <w:tc>
          <w:tcPr>
            <w:tcW w:type="dxa" w:w="1806"/>
            <w:shd w:fill="1B3A6B" w:val="clear"/>
          </w:tcPr>
          <w:p>
            <w:r>
              <w:rPr>
                <w:rFonts w:ascii="Arial" w:hAnsi="Arial"/>
                <w:b/>
                <w:color w:val="FFFFFF"/>
                <w:sz w:val="18"/>
              </w:rPr>
              <w:t>Prior Year (tCO₂e)</w:t>
            </w:r>
          </w:p>
        </w:tc>
        <w:tc>
          <w:tcPr>
            <w:tcW w:type="dxa" w:w="1806"/>
            <w:shd w:fill="1B3A6B" w:val="clear"/>
          </w:tcPr>
          <w:p>
            <w:r>
              <w:rPr>
                <w:rFonts w:ascii="Arial" w:hAnsi="Arial"/>
                <w:b/>
                <w:color w:val="FFFFFF"/>
                <w:sz w:val="18"/>
              </w:rPr>
              <w:t>YoY Change (%)</w:t>
            </w:r>
          </w:p>
        </w:tc>
      </w:tr>
      <w:tr>
        <w:tc>
          <w:tcPr>
            <w:tcW w:type="dxa" w:w="1806"/>
          </w:tcPr>
          <w:p>
            <w:r>
              <w:rPr>
                <w:rFonts w:ascii="Arial" w:hAnsi="Arial"/>
                <w:sz w:val="18"/>
              </w:rPr>
              <w:t>Natural Gas Combustion</w:t>
            </w:r>
          </w:p>
        </w:tc>
        <w:tc>
          <w:tcPr>
            <w:tcW w:type="dxa" w:w="1806"/>
          </w:tcPr>
          <w:p>
            <w:pPr>
              <w:jc w:val="right"/>
            </w:pPr>
            <w:r>
              <w:rPr>
                <w:rFonts w:ascii="Arial" w:hAnsi="Arial"/>
                <w:sz w:val="18"/>
              </w:rPr>
              <w:t>1199.7924</w:t>
            </w:r>
          </w:p>
        </w:tc>
        <w:tc>
          <w:tcPr>
            <w:tcW w:type="dxa" w:w="1806"/>
          </w:tcPr>
          <w:p>
            <w:pPr>
              <w:jc w:val="right"/>
            </w:pPr>
            <w:r>
              <w:rPr>
                <w:rFonts w:ascii="Arial" w:hAnsi="Arial"/>
                <w:sz w:val="18"/>
              </w:rPr>
              <w:t>35.3%</w:t>
            </w:r>
          </w:p>
        </w:tc>
        <w:tc>
          <w:tcPr>
            <w:tcW w:type="dxa" w:w="1806"/>
          </w:tcPr>
          <w:p>
            <w:pPr>
              <w:jc w:val="right"/>
            </w:pPr>
            <w:r>
              <w:rPr>
                <w:rFonts w:ascii="Arial" w:hAnsi="Arial"/>
                <w:sz w:val="18"/>
              </w:rPr>
              <w:t>1199.0321</w:t>
            </w:r>
          </w:p>
        </w:tc>
        <w:tc>
          <w:tcPr>
            <w:tcW w:type="dxa" w:w="1806"/>
          </w:tcPr>
          <w:p>
            <w:pPr>
              <w:jc w:val="right"/>
            </w:pPr>
            <w:r>
              <w:rPr>
                <w:rFonts w:ascii="Arial" w:hAnsi="Arial"/>
                <w:sz w:val="18"/>
              </w:rPr>
              <w:t>+0.06%</w:t>
            </w:r>
          </w:p>
        </w:tc>
      </w:tr>
      <w:tr>
        <w:tc>
          <w:tcPr>
            <w:tcW w:type="dxa" w:w="1806"/>
            <w:shd w:fill="F2F6FC" w:val="clear"/>
          </w:tcPr>
          <w:p>
            <w:r>
              <w:rPr>
                <w:rFonts w:ascii="Arial" w:hAnsi="Arial"/>
                <w:sz w:val="18"/>
              </w:rPr>
              <w:t>Diesel Fuel Combustion</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64.7%</w:t>
            </w:r>
          </w:p>
        </w:tc>
        <w:tc>
          <w:tcPr>
            <w:tcW w:type="dxa" w:w="1806"/>
            <w:shd w:fill="F2F6FC" w:val="clear"/>
          </w:tcPr>
          <w:p>
            <w:pPr>
              <w:jc w:val="right"/>
            </w:pPr>
            <w:r>
              <w:rPr>
                <w:rFonts w:ascii="Arial" w:hAnsi="Arial"/>
                <w:sz w:val="18"/>
              </w:rPr>
              <w:t>2125.4888</w:t>
            </w:r>
          </w:p>
        </w:tc>
        <w:tc>
          <w:tcPr>
            <w:tcW w:type="dxa" w:w="1806"/>
            <w:shd w:fill="F2F6FC" w:val="clear"/>
          </w:tcPr>
          <w:p>
            <w:pPr>
              <w:jc w:val="right"/>
            </w:pPr>
            <w:r>
              <w:rPr>
                <w:rFonts w:ascii="Arial" w:hAnsi="Arial"/>
                <w:sz w:val="18"/>
              </w:rPr>
              <w:t>+3.66%</w:t>
            </w:r>
          </w:p>
        </w:tc>
      </w:tr>
      <w:tr>
        <w:tc>
          <w:tcPr>
            <w:tcW w:type="dxa" w:w="1806"/>
          </w:tcPr>
          <w:p>
            <w:r>
              <w:rPr>
                <w:rFonts w:ascii="Arial" w:hAnsi="Arial"/>
                <w:sz w:val="18"/>
              </w:rPr>
              <w:t>**Total Scope 1 Emissions**</w:t>
            </w:r>
          </w:p>
        </w:tc>
        <w:tc>
          <w:tcPr>
            <w:tcW w:type="dxa" w:w="1806"/>
          </w:tcPr>
          <w:p>
            <w:r>
              <w:rPr>
                <w:rFonts w:ascii="Arial" w:hAnsi="Arial"/>
                <w:sz w:val="18"/>
              </w:rPr>
              <w:t>**3402.997**</w:t>
            </w:r>
          </w:p>
        </w:tc>
        <w:tc>
          <w:tcPr>
            <w:tcW w:type="dxa" w:w="1806"/>
          </w:tcPr>
          <w:p>
            <w:r>
              <w:rPr>
                <w:rFonts w:ascii="Arial" w:hAnsi="Arial"/>
                <w:sz w:val="18"/>
              </w:rPr>
              <w:t>**100.0%**</w:t>
            </w:r>
          </w:p>
        </w:tc>
        <w:tc>
          <w:tcPr>
            <w:tcW w:type="dxa" w:w="1806"/>
          </w:tcPr>
          <w:p>
            <w:r>
              <w:rPr>
                <w:rFonts w:ascii="Arial" w:hAnsi="Arial"/>
                <w:sz w:val="18"/>
              </w:rPr>
              <w:t>**3324.521**</w:t>
            </w:r>
          </w:p>
        </w:tc>
        <w:tc>
          <w:tcPr>
            <w:tcW w:type="dxa" w:w="1806"/>
          </w:tcPr>
          <w:p>
            <w:r>
              <w:rPr>
                <w:rFonts w:ascii="Arial" w:hAnsi="Arial"/>
                <w:sz w:val="18"/>
              </w:rPr>
              <w:t>**+2.36%**</w:t>
            </w:r>
          </w:p>
        </w:tc>
      </w:tr>
    </w:tbl>
    <w:p>
      <w:r>
        <w:rPr>
          <w:rFonts w:ascii="Arial" w:hAnsi="Arial"/>
          <w:i/>
          <w:sz w:val="16"/>
        </w:rPr>
        <w:t>Source: Source: Internal energy consumption records and MEMR 2023 emission factors. Calculations performed in accordance with GHG Protocol Corporate Standard (2015).</w:t>
      </w:r>
    </w:p>
    <w:p/>
    <w:p>
      <w:r>
        <w:rPr>
          <w:rFonts w:ascii="Arial" w:hAnsi="Arial"/>
          <w:b/>
          <w:sz w:val="20"/>
        </w:rPr>
        <w:t>Table 2: Top 10 Facilities by Scope 1 Emissions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Facility ID</w:t>
            </w:r>
          </w:p>
        </w:tc>
        <w:tc>
          <w:tcPr>
            <w:tcW w:type="dxa" w:w="1806"/>
            <w:shd w:fill="1B3A6B" w:val="clear"/>
          </w:tcPr>
          <w:p>
            <w:r>
              <w:rPr>
                <w:rFonts w:ascii="Arial" w:hAnsi="Arial"/>
                <w:b/>
                <w:color w:val="FFFFFF"/>
                <w:sz w:val="18"/>
              </w:rPr>
              <w:t>Total Scope 1 (tCO₂e)</w:t>
            </w:r>
          </w:p>
        </w:tc>
        <w:tc>
          <w:tcPr>
            <w:tcW w:type="dxa" w:w="1806"/>
            <w:shd w:fill="1B3A6B" w:val="clear"/>
          </w:tcPr>
          <w:p>
            <w:r>
              <w:rPr>
                <w:rFonts w:ascii="Arial" w:hAnsi="Arial"/>
                <w:b/>
                <w:color w:val="FFFFFF"/>
                <w:sz w:val="18"/>
              </w:rPr>
              <w:t>Natural Gas (tCO₂e)</w:t>
            </w:r>
          </w:p>
        </w:tc>
        <w:tc>
          <w:tcPr>
            <w:tcW w:type="dxa" w:w="1806"/>
            <w:shd w:fill="1B3A6B" w:val="clear"/>
          </w:tcPr>
          <w:p>
            <w:r>
              <w:rPr>
                <w:rFonts w:ascii="Arial" w:hAnsi="Arial"/>
                <w:b/>
                <w:color w:val="FFFFFF"/>
                <w:sz w:val="18"/>
              </w:rPr>
              <w:t>Diesel (tCO₂e)</w:t>
            </w:r>
          </w:p>
        </w:tc>
        <w:tc>
          <w:tcPr>
            <w:tcW w:type="dxa" w:w="1806"/>
            <w:shd w:fill="1B3A6B" w:val="clear"/>
          </w:tcPr>
          <w:p>
            <w:r>
              <w:rPr>
                <w:rFonts w:ascii="Arial" w:hAnsi="Arial"/>
                <w:b/>
                <w:color w:val="FFFFFF"/>
                <w:sz w:val="18"/>
              </w:rPr>
              <w:t>Data Quality Score</w:t>
            </w:r>
          </w:p>
        </w:tc>
      </w:tr>
      <w:tr>
        <w:tc>
          <w:tcPr>
            <w:tcW w:type="dxa" w:w="1806"/>
          </w:tcPr>
          <w:p>
            <w:r>
              <w:rPr>
                <w:rFonts w:ascii="Arial" w:hAnsi="Arial"/>
                <w:sz w:val="18"/>
              </w:rPr>
              <w:t>FAC-0197</w:t>
            </w:r>
          </w:p>
        </w:tc>
        <w:tc>
          <w:tcPr>
            <w:tcW w:type="dxa" w:w="1806"/>
          </w:tcPr>
          <w:p>
            <w:pPr>
              <w:jc w:val="right"/>
            </w:pPr>
            <w:r>
              <w:rPr>
                <w:rFonts w:ascii="Arial" w:hAnsi="Arial"/>
                <w:sz w:val="18"/>
              </w:rPr>
              <w:t>147.7152</w:t>
            </w:r>
          </w:p>
        </w:tc>
        <w:tc>
          <w:tcPr>
            <w:tcW w:type="dxa" w:w="1806"/>
          </w:tcPr>
          <w:p>
            <w:pPr>
              <w:jc w:val="right"/>
            </w:pPr>
            <w:r>
              <w:rPr>
                <w:rFonts w:ascii="Arial" w:hAnsi="Arial"/>
                <w:sz w:val="18"/>
              </w:rPr>
              <w:t>65.1748</w:t>
            </w:r>
          </w:p>
        </w:tc>
        <w:tc>
          <w:tcPr>
            <w:tcW w:type="dxa" w:w="1806"/>
          </w:tcPr>
          <w:p>
            <w:pPr>
              <w:jc w:val="right"/>
            </w:pPr>
            <w:r>
              <w:rPr>
                <w:rFonts w:ascii="Arial" w:hAnsi="Arial"/>
                <w:sz w:val="18"/>
              </w:rPr>
              <w:t>82.5404</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FAC-0198</w:t>
            </w:r>
          </w:p>
        </w:tc>
        <w:tc>
          <w:tcPr>
            <w:tcW w:type="dxa" w:w="1806"/>
            <w:shd w:fill="F2F6FC" w:val="clear"/>
          </w:tcPr>
          <w:p>
            <w:pPr>
              <w:jc w:val="right"/>
            </w:pPr>
            <w:r>
              <w:rPr>
                <w:rFonts w:ascii="Arial" w:hAnsi="Arial"/>
                <w:sz w:val="18"/>
              </w:rPr>
              <w:t>137.8381</w:t>
            </w:r>
          </w:p>
        </w:tc>
        <w:tc>
          <w:tcPr>
            <w:tcW w:type="dxa" w:w="1806"/>
            <w:shd w:fill="F2F6FC" w:val="clear"/>
          </w:tcPr>
          <w:p>
            <w:pPr>
              <w:jc w:val="right"/>
            </w:pPr>
            <w:r>
              <w:rPr>
                <w:rFonts w:ascii="Arial" w:hAnsi="Arial"/>
                <w:sz w:val="18"/>
              </w:rPr>
              <w:t>54.446</w:t>
            </w:r>
          </w:p>
        </w:tc>
        <w:tc>
          <w:tcPr>
            <w:tcW w:type="dxa" w:w="1806"/>
            <w:shd w:fill="F2F6FC" w:val="clear"/>
          </w:tcPr>
          <w:p>
            <w:pPr>
              <w:jc w:val="right"/>
            </w:pPr>
            <w:r>
              <w:rPr>
                <w:rFonts w:ascii="Arial" w:hAnsi="Arial"/>
                <w:sz w:val="18"/>
              </w:rPr>
              <w:t>83.3921</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FAC-0200</w:t>
            </w:r>
          </w:p>
        </w:tc>
        <w:tc>
          <w:tcPr>
            <w:tcW w:type="dxa" w:w="1806"/>
          </w:tcPr>
          <w:p>
            <w:pPr>
              <w:jc w:val="right"/>
            </w:pPr>
            <w:r>
              <w:rPr>
                <w:rFonts w:ascii="Arial" w:hAnsi="Arial"/>
                <w:sz w:val="18"/>
              </w:rPr>
              <w:t>131.4422</w:t>
            </w:r>
          </w:p>
        </w:tc>
        <w:tc>
          <w:tcPr>
            <w:tcW w:type="dxa" w:w="1806"/>
          </w:tcPr>
          <w:p>
            <w:pPr>
              <w:jc w:val="right"/>
            </w:pPr>
            <w:r>
              <w:rPr>
                <w:rFonts w:ascii="Arial" w:hAnsi="Arial"/>
                <w:sz w:val="18"/>
              </w:rPr>
              <w:t>57.0202</w:t>
            </w:r>
          </w:p>
        </w:tc>
        <w:tc>
          <w:tcPr>
            <w:tcW w:type="dxa" w:w="1806"/>
          </w:tcPr>
          <w:p>
            <w:pPr>
              <w:jc w:val="right"/>
            </w:pPr>
            <w:r>
              <w:rPr>
                <w:rFonts w:ascii="Arial" w:hAnsi="Arial"/>
                <w:sz w:val="18"/>
              </w:rPr>
              <w:t>74.422</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FAC-0196</w:t>
            </w:r>
          </w:p>
        </w:tc>
        <w:tc>
          <w:tcPr>
            <w:tcW w:type="dxa" w:w="1806"/>
            <w:shd w:fill="F2F6FC" w:val="clear"/>
          </w:tcPr>
          <w:p>
            <w:pPr>
              <w:jc w:val="right"/>
            </w:pPr>
            <w:r>
              <w:rPr>
                <w:rFonts w:ascii="Arial" w:hAnsi="Arial"/>
                <w:sz w:val="18"/>
              </w:rPr>
              <w:t>124.4219</w:t>
            </w:r>
          </w:p>
        </w:tc>
        <w:tc>
          <w:tcPr>
            <w:tcW w:type="dxa" w:w="1806"/>
            <w:shd w:fill="F2F6FC" w:val="clear"/>
          </w:tcPr>
          <w:p>
            <w:pPr>
              <w:jc w:val="right"/>
            </w:pPr>
            <w:r>
              <w:rPr>
                <w:rFonts w:ascii="Arial" w:hAnsi="Arial"/>
                <w:sz w:val="18"/>
              </w:rPr>
              <w:t>51.7527</w:t>
            </w:r>
          </w:p>
        </w:tc>
        <w:tc>
          <w:tcPr>
            <w:tcW w:type="dxa" w:w="1806"/>
            <w:shd w:fill="F2F6FC" w:val="clear"/>
          </w:tcPr>
          <w:p>
            <w:pPr>
              <w:jc w:val="right"/>
            </w:pPr>
            <w:r>
              <w:rPr>
                <w:rFonts w:ascii="Arial" w:hAnsi="Arial"/>
                <w:sz w:val="18"/>
              </w:rPr>
              <w:t>72.6692</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FAC-0199</w:t>
            </w:r>
          </w:p>
        </w:tc>
        <w:tc>
          <w:tcPr>
            <w:tcW w:type="dxa" w:w="1806"/>
          </w:tcPr>
          <w:p>
            <w:pPr>
              <w:jc w:val="right"/>
            </w:pPr>
            <w:r>
              <w:rPr>
                <w:rFonts w:ascii="Arial" w:hAnsi="Arial"/>
                <w:sz w:val="18"/>
              </w:rPr>
              <w:t>109.4122</w:t>
            </w:r>
          </w:p>
        </w:tc>
        <w:tc>
          <w:tcPr>
            <w:tcW w:type="dxa" w:w="1806"/>
          </w:tcPr>
          <w:p>
            <w:pPr>
              <w:jc w:val="right"/>
            </w:pPr>
            <w:r>
              <w:rPr>
                <w:rFonts w:ascii="Arial" w:hAnsi="Arial"/>
                <w:sz w:val="18"/>
              </w:rPr>
              <w:t>52.015</w:t>
            </w:r>
          </w:p>
        </w:tc>
        <w:tc>
          <w:tcPr>
            <w:tcW w:type="dxa" w:w="1806"/>
          </w:tcPr>
          <w:p>
            <w:pPr>
              <w:jc w:val="right"/>
            </w:pPr>
            <w:r>
              <w:rPr>
                <w:rFonts w:ascii="Arial" w:hAnsi="Arial"/>
                <w:sz w:val="18"/>
              </w:rPr>
              <w:t>57.3972</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FAC-0193</w:t>
            </w:r>
          </w:p>
        </w:tc>
        <w:tc>
          <w:tcPr>
            <w:tcW w:type="dxa" w:w="1806"/>
            <w:shd w:fill="F2F6FC" w:val="clear"/>
          </w:tcPr>
          <w:p>
            <w:pPr>
              <w:jc w:val="right"/>
            </w:pPr>
            <w:r>
              <w:rPr>
                <w:rFonts w:ascii="Arial" w:hAnsi="Arial"/>
                <w:sz w:val="18"/>
              </w:rPr>
              <w:t>72.3228</w:t>
            </w:r>
          </w:p>
        </w:tc>
        <w:tc>
          <w:tcPr>
            <w:tcW w:type="dxa" w:w="1806"/>
            <w:shd w:fill="F2F6FC" w:val="clear"/>
          </w:tcPr>
          <w:p>
            <w:pPr>
              <w:jc w:val="right"/>
            </w:pPr>
            <w:r>
              <w:rPr>
                <w:rFonts w:ascii="Arial" w:hAnsi="Arial"/>
                <w:sz w:val="18"/>
              </w:rPr>
              <w:t>0.0</w:t>
            </w:r>
          </w:p>
        </w:tc>
        <w:tc>
          <w:tcPr>
            <w:tcW w:type="dxa" w:w="1806"/>
            <w:shd w:fill="F2F6FC" w:val="clear"/>
          </w:tcPr>
          <w:p>
            <w:pPr>
              <w:jc w:val="right"/>
            </w:pPr>
            <w:r>
              <w:rPr>
                <w:rFonts w:ascii="Arial" w:hAnsi="Arial"/>
                <w:sz w:val="18"/>
              </w:rPr>
              <w:t>72.3228</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FAC-0215</w:t>
            </w:r>
          </w:p>
        </w:tc>
        <w:tc>
          <w:tcPr>
            <w:tcW w:type="dxa" w:w="1806"/>
          </w:tcPr>
          <w:p>
            <w:pPr>
              <w:jc w:val="right"/>
            </w:pPr>
            <w:r>
              <w:rPr>
                <w:rFonts w:ascii="Arial" w:hAnsi="Arial"/>
                <w:sz w:val="18"/>
              </w:rPr>
              <w:t>70.6057</w:t>
            </w:r>
          </w:p>
        </w:tc>
        <w:tc>
          <w:tcPr>
            <w:tcW w:type="dxa" w:w="1806"/>
          </w:tcPr>
          <w:p>
            <w:pPr>
              <w:jc w:val="right"/>
            </w:pPr>
            <w:r>
              <w:rPr>
                <w:rFonts w:ascii="Arial" w:hAnsi="Arial"/>
                <w:sz w:val="18"/>
              </w:rPr>
              <w:t>23.586</w:t>
            </w:r>
          </w:p>
        </w:tc>
        <w:tc>
          <w:tcPr>
            <w:tcW w:type="dxa" w:w="1806"/>
          </w:tcPr>
          <w:p>
            <w:pPr>
              <w:jc w:val="right"/>
            </w:pPr>
            <w:r>
              <w:rPr>
                <w:rFonts w:ascii="Arial" w:hAnsi="Arial"/>
                <w:sz w:val="18"/>
              </w:rPr>
              <w:t>47.0197</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FAC-0191</w:t>
            </w:r>
          </w:p>
        </w:tc>
        <w:tc>
          <w:tcPr>
            <w:tcW w:type="dxa" w:w="1806"/>
            <w:shd w:fill="F2F6FC" w:val="clear"/>
          </w:tcPr>
          <w:p>
            <w:pPr>
              <w:jc w:val="right"/>
            </w:pPr>
            <w:r>
              <w:rPr>
                <w:rFonts w:ascii="Arial" w:hAnsi="Arial"/>
                <w:sz w:val="18"/>
              </w:rPr>
              <w:t>67.3744</w:t>
            </w:r>
          </w:p>
        </w:tc>
        <w:tc>
          <w:tcPr>
            <w:tcW w:type="dxa" w:w="1806"/>
            <w:shd w:fill="F2F6FC" w:val="clear"/>
          </w:tcPr>
          <w:p>
            <w:pPr>
              <w:jc w:val="right"/>
            </w:pPr>
            <w:r>
              <w:rPr>
                <w:rFonts w:ascii="Arial" w:hAnsi="Arial"/>
                <w:sz w:val="18"/>
              </w:rPr>
              <w:t>0.0</w:t>
            </w:r>
          </w:p>
        </w:tc>
        <w:tc>
          <w:tcPr>
            <w:tcW w:type="dxa" w:w="1806"/>
            <w:shd w:fill="F2F6FC" w:val="clear"/>
          </w:tcPr>
          <w:p>
            <w:pPr>
              <w:jc w:val="right"/>
            </w:pPr>
            <w:r>
              <w:rPr>
                <w:rFonts w:ascii="Arial" w:hAnsi="Arial"/>
                <w:sz w:val="18"/>
              </w:rPr>
              <w:t>67.3744</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FAC-0181</w:t>
            </w:r>
          </w:p>
        </w:tc>
        <w:tc>
          <w:tcPr>
            <w:tcW w:type="dxa" w:w="1806"/>
          </w:tcPr>
          <w:p>
            <w:pPr>
              <w:jc w:val="right"/>
            </w:pPr>
            <w:r>
              <w:rPr>
                <w:rFonts w:ascii="Arial" w:hAnsi="Arial"/>
                <w:sz w:val="18"/>
              </w:rPr>
              <w:t>63.758</w:t>
            </w:r>
          </w:p>
        </w:tc>
        <w:tc>
          <w:tcPr>
            <w:tcW w:type="dxa" w:w="1806"/>
          </w:tcPr>
          <w:p>
            <w:pPr>
              <w:jc w:val="right"/>
            </w:pPr>
            <w:r>
              <w:rPr>
                <w:rFonts w:ascii="Arial" w:hAnsi="Arial"/>
                <w:sz w:val="18"/>
              </w:rPr>
              <w:t>0.0</w:t>
            </w:r>
          </w:p>
        </w:tc>
        <w:tc>
          <w:tcPr>
            <w:tcW w:type="dxa" w:w="1806"/>
          </w:tcPr>
          <w:p>
            <w:pPr>
              <w:jc w:val="right"/>
            </w:pPr>
            <w:r>
              <w:rPr>
                <w:rFonts w:ascii="Arial" w:hAnsi="Arial"/>
                <w:sz w:val="18"/>
              </w:rPr>
              <w:t>63.758</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FAC-0208</w:t>
            </w:r>
          </w:p>
        </w:tc>
        <w:tc>
          <w:tcPr>
            <w:tcW w:type="dxa" w:w="1806"/>
            <w:shd w:fill="F2F6FC" w:val="clear"/>
          </w:tcPr>
          <w:p>
            <w:pPr>
              <w:jc w:val="right"/>
            </w:pPr>
            <w:r>
              <w:rPr>
                <w:rFonts w:ascii="Arial" w:hAnsi="Arial"/>
                <w:sz w:val="18"/>
              </w:rPr>
              <w:t>63.5152</w:t>
            </w:r>
          </w:p>
        </w:tc>
        <w:tc>
          <w:tcPr>
            <w:tcW w:type="dxa" w:w="1806"/>
            <w:shd w:fill="F2F6FC" w:val="clear"/>
          </w:tcPr>
          <w:p>
            <w:pPr>
              <w:jc w:val="right"/>
            </w:pPr>
            <w:r>
              <w:rPr>
                <w:rFonts w:ascii="Arial" w:hAnsi="Arial"/>
                <w:sz w:val="18"/>
              </w:rPr>
              <w:t>23.7606</w:t>
            </w:r>
          </w:p>
        </w:tc>
        <w:tc>
          <w:tcPr>
            <w:tcW w:type="dxa" w:w="1806"/>
            <w:shd w:fill="F2F6FC" w:val="clear"/>
          </w:tcPr>
          <w:p>
            <w:pPr>
              <w:jc w:val="right"/>
            </w:pPr>
            <w:r>
              <w:rPr>
                <w:rFonts w:ascii="Arial" w:hAnsi="Arial"/>
                <w:sz w:val="18"/>
              </w:rPr>
              <w:t>39.7546</w:t>
            </w:r>
          </w:p>
        </w:tc>
        <w:tc>
          <w:tcPr>
            <w:tcW w:type="dxa" w:w="1806"/>
            <w:shd w:fill="F2F6FC" w:val="clear"/>
          </w:tcPr>
          <w:p>
            <w:pPr>
              <w:jc w:val="right"/>
            </w:pPr>
            <w:r>
              <w:rPr>
                <w:rFonts w:ascii="Arial" w:hAnsi="Arial"/>
                <w:sz w:val="18"/>
              </w:rPr>
              <w:t>1</w:t>
            </w:r>
          </w:p>
        </w:tc>
      </w:tr>
    </w:tbl>
    <w:p>
      <w:r>
        <w:rPr>
          <w:rFonts w:ascii="Arial" w:hAnsi="Arial"/>
          <w:i/>
          <w:sz w:val="16"/>
        </w:rPr>
        <w:t>Source: Source: Facility-level energy consumption monitoring systems. Data quality score: 1 = primary metered data, 4 = estimated data.</w:t>
      </w:r>
    </w:p>
    <w:p/>
    <w:p>
      <w:r>
        <w:rPr>
          <w:i/>
          <w:color w:val="3D6094"/>
          <w:sz w:val="18"/>
        </w:rPr>
        <w:t>Framework references: GRI 305-1a: Gross direct (Scope 1) GHG emissions in metric tons of CO₂ equivalent; GRI 305-1b: Gases included in the calculation; GRI 305-1c: Biogenic CO₂ emissions; GRI 305-1d: Base year for calculation; GRI 305-1e: Source of emission factors and GWP rates; GRI 305-1f: Consolidation approach for emissions; GRI 305-1g: Standards, methodologies, and calculation tools used</w:t>
      </w:r>
    </w:p>
    <w:p>
      <w:pPr>
        <w:spacing w:after="80"/>
        <w:pBdr>
          <w:bottom w:val="single" w:sz="6" w:space="1" w:color="999999"/>
        </w:pBdr>
      </w:pPr>
    </w:p>
    <w:p>
      <w:pPr>
        <w:spacing w:after="160" w:line="276" w:lineRule="auto"/>
        <w:jc w:val="both"/>
      </w:pPr>
      <w:r>
        <w:rPr>
          <w:rFonts w:ascii="Arial" w:hAnsi="Arial"/>
          <w:i/>
          <w:color w:val="646464"/>
          <w:sz w:val="18"/>
        </w:rPr>
        <w:t>GRI Content Index: 305-1 | Direct (Scope 1) GHG emissions | Section 4.1</w:t>
      </w:r>
    </w:p>
    <w:p>
      <w:pPr>
        <w:spacing w:after="160" w:line="276" w:lineRule="auto"/>
        <w:jc w:val="both"/>
      </w:pPr>
      <w:r>
        <w:rPr>
          <w:rFonts w:ascii="Arial" w:hAnsi="Arial"/>
          <w:i/>
          <w:color w:val="646464"/>
          <w:sz w:val="18"/>
        </w:rPr>
        <w:t>Consolidation approach: Operational control per GHG Protocol Corporate Standard. The organization accounts for 100% of emissions from operations over which it has operational control.</w:t>
      </w:r>
    </w:p>
    <w:p>
      <w:pPr>
        <w:spacing w:after="160" w:line="276" w:lineRule="auto"/>
        <w:jc w:val="both"/>
      </w:pPr>
      <w:r>
        <w:rPr>
          <w:rFonts w:ascii="Arial" w:hAnsi="Arial"/>
          <w:i/>
          <w:color w:val="646464"/>
          <w:sz w:val="18"/>
        </w:rPr>
        <w:t>Emission factors: Indonesia Ministry of Energy and Mineral Resources (MEMR) National Emission Factor Database 2023. Natural gas: 56.17 kgCO₂e/GJ; Diesel: 2.571 kgCO₂e/liter.</w:t>
      </w:r>
    </w:p>
    <w:p>
      <w:pPr>
        <w:spacing w:after="160" w:line="276" w:lineRule="auto"/>
        <w:jc w:val="both"/>
      </w:pPr>
      <w:r>
        <w:rPr>
          <w:rFonts w:ascii="Arial" w:hAnsi="Arial"/>
          <w:i/>
          <w:color w:val="646464"/>
          <w:sz w:val="18"/>
        </w:rPr>
        <w:t>Global Warming Potential (GWP) values: IPCC Sixth Assessment Report (AR6), 100-year time horizon. CH₄ = 29.8, N₂O = 273.0.</w:t>
      </w:r>
    </w:p>
    <w:p>
      <w:pPr>
        <w:spacing w:after="160" w:line="276" w:lineRule="auto"/>
        <w:jc w:val="both"/>
      </w:pPr>
      <w:r>
        <w:rPr>
          <w:rFonts w:ascii="Arial" w:hAnsi="Arial"/>
          <w:i/>
          <w:color w:val="646464"/>
          <w:sz w:val="18"/>
        </w:rPr>
        <w:t>Gases included: Carbon dioxide (CO₂), methane (CH₄), and nitrous oxide (N₂O) from stationary combustion sources.</w:t>
      </w:r>
    </w:p>
    <w:p>
      <w:pPr>
        <w:spacing w:after="160" w:line="276" w:lineRule="auto"/>
        <w:jc w:val="both"/>
      </w:pPr>
      <w:r>
        <w:rPr>
          <w:rFonts w:ascii="Arial" w:hAnsi="Arial"/>
          <w:i/>
          <w:color w:val="646464"/>
          <w:sz w:val="18"/>
        </w:rPr>
        <w:t>Base year: 2023 (3324.521 tCO₂e). No recalculations performed in current reporting period.</w:t>
      </w:r>
    </w:p>
    <w:p>
      <w:pPr>
        <w:spacing w:after="160" w:line="276" w:lineRule="auto"/>
        <w:jc w:val="both"/>
      </w:pPr>
      <w:r>
        <w:rPr>
          <w:rFonts w:ascii="Arial" w:hAnsi="Arial"/>
          <w:i/>
          <w:color w:val="646464"/>
          <w:sz w:val="18"/>
        </w:rPr>
        <w:t>Biogenic emissions: Not applicable. The organization did not consume biomass fuels during the reporting period.</w:t>
      </w:r>
    </w:p>
    <w:p>
      <w:pPr>
        <w:spacing w:after="160" w:line="276" w:lineRule="auto"/>
        <w:jc w:val="both"/>
      </w:pPr>
      <w:r>
        <w:rPr>
          <w:rFonts w:ascii="Arial" w:hAnsi="Arial"/>
          <w:i/>
          <w:color w:val="646464"/>
          <w:sz w:val="18"/>
        </w:rPr>
        <w:t>These figures have not been subject to external assurance for the current reporting period.</w:t>
      </w:r>
    </w:p>
    <w:p>
      <w:r>
        <w:br w:type="page"/>
      </w:r>
    </w:p>
    <w:p>
      <w:pPr>
        <w:pStyle w:val="Heading1"/>
        <w:keepNext/>
        <w:spacing w:before="480" w:after="240"/>
      </w:pPr>
      <w:r>
        <w:rPr>
          <w:rFonts w:ascii="Arial" w:hAnsi="Arial"/>
          <w:b/>
          <w:color w:val="1B3A6B"/>
          <w:sz w:val="36"/>
        </w:rPr>
        <w:t>Scope 1 Direct GHG Emissions</w:t>
      </w:r>
    </w:p>
    <w:p>
      <w:pPr>
        <w:spacing w:after="160" w:line="276" w:lineRule="auto"/>
        <w:jc w:val="both"/>
      </w:pPr>
      <w:r>
        <w:rPr>
          <w:rFonts w:ascii="Arial" w:hAnsi="Arial"/>
          <w:sz w:val="22"/>
        </w:rPr>
        <w:t>The institution's Scope 1 direct greenhouse gas emissions for the reporting period ending 31 December 2024 totaled 3,402.997 tCO2e. These emissions arise from stationary combustion sources under the institution's operational control, comprising natural gas consumption in building heating systems and diesel fuel combustion in backup power generation equipment across the institution's facility network.</w:t>
      </w:r>
    </w:p>
    <w:p>
      <w:pPr>
        <w:spacing w:after="160" w:line="276" w:lineRule="auto"/>
        <w:jc w:val="both"/>
      </w:pPr>
      <w:r>
        <w:rPr>
          <w:rFonts w:ascii="Arial" w:hAnsi="Arial"/>
          <w:sz w:val="22"/>
        </w:rPr>
        <w:t>The Scope 1 emission inventory comprises two primary sources: natural gas combustion contributed 1,199.7924 tCO2e (35.3% of total Scope 1 emissions), while diesel combustion in emergency generators and uninterruptible power supply systems contributed 2,203.2044 tCO2e (64.7% of total Scope 1 emissions). The diesel-intensive profile reflects the institution's operational resilience requirements in a jurisdiction with periodic grid instability, necessitating substantial backup generation capacity at critical banking facilities.</w:t>
      </w:r>
    </w:p>
    <w:p>
      <w:pPr>
        <w:spacing w:after="160" w:line="276" w:lineRule="auto"/>
        <w:jc w:val="both"/>
      </w:pPr>
      <w:r>
        <w:rPr>
          <w:rFonts w:ascii="Arial" w:hAnsi="Arial"/>
          <w:i/>
          <w:sz w:val="22"/>
        </w:rPr>
        <w:t>Scope 1 emissions were measured in accordance with the Greenhouse Gas Protocol: A Corporate Accounting and Reporting Standard (2004) as required by IFRS S2 paragraph 29(a)(ii). The institution applied the operational control consolidation approach, including 100% of emissions from facilities where the institution has authority to introduce and implement operating policies. Emission factors for natural gas (56.1 kgCO2e/GJ) and diesel fuel (2.7 kgCO2e/liter) were sourced from Indonesia's Ministry of Energy and Mineral Resources Technical Guidelines for GHG Inventory in Energy Sector (2023 edition). All greenhouse gases were converted to carbon dioxide equivalent (CO2e) using global warming potential values from the IPCC Sixth Assessment Report (AR6) with a 100-year time horizon: CO2 = 1, CH4 = 29.8, N2O = 273.0, consistent with IFRS S2 paragraph B22.</w:t>
      </w:r>
    </w:p>
    <w:p>
      <w:pPr>
        <w:spacing w:after="160" w:line="276" w:lineRule="auto"/>
        <w:jc w:val="both"/>
      </w:pPr>
      <w:r>
        <w:rPr>
          <w:rFonts w:ascii="Arial" w:hAnsi="Arial"/>
          <w:sz w:val="22"/>
        </w:rPr>
        <w:t>Scope 1 emissions increased by 2.36% compared to the prior reporting period (2023: 3,324.521 tCO2e). The year-over-year increase of 78.476 tCO2e is attributable to extended diesel generator runtime during Q2 2024 grid maintenance events affecting the institution's Jakarta metropolitan facilities (contributing approximately 52 tCO2e) and the commissioning of two new branch facilities in Q4 2024 with diesel-based backup systems (contributing approximately 26 tCO2e). Natural gas consumption remained relatively stable year-over-year, increasing by 0.76 tCO2e due to minor variations in heating degree days.</w:t>
      </w:r>
    </w:p>
    <w:p>
      <w:pPr>
        <w:spacing w:after="160" w:line="276" w:lineRule="auto"/>
        <w:jc w:val="both"/>
      </w:pPr>
      <w:r>
        <w:rPr>
          <w:rFonts w:ascii="Arial" w:hAnsi="Arial"/>
          <w:sz w:val="22"/>
        </w:rPr>
        <w:t>The institution has established 2023 as the base year for greenhouse gas emissions tracking, aligned with the commencement of its climate transition plan. Against this base year, Scope 1 emissions increased by 2.36% in absolute terms. The institution's Scope 1 reduction target of 15% by 2030 (base year 2023) incorporates planned investments in solar photovoltaic systems with battery storage to reduce diesel generator dependency, scheduled for deployment across 18 priority facilities during the 2025-2027 capital expenditure cycle.</w:t>
      </w:r>
    </w:p>
    <w:p>
      <w:r>
        <w:rPr>
          <w:rFonts w:ascii="Arial" w:hAnsi="Arial"/>
          <w:b/>
          <w:sz w:val="20"/>
        </w:rPr>
        <w:t>Table 1: Scope 1 Direct GHG Emissions by Source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Emission Source</w:t>
            </w:r>
          </w:p>
        </w:tc>
        <w:tc>
          <w:tcPr>
            <w:tcW w:type="dxa" w:w="2257"/>
            <w:shd w:fill="1B3A6B" w:val="clear"/>
          </w:tcPr>
          <w:p>
            <w:r>
              <w:rPr>
                <w:rFonts w:ascii="Arial" w:hAnsi="Arial"/>
                <w:b/>
                <w:color w:val="FFFFFF"/>
                <w:sz w:val="18"/>
              </w:rPr>
              <w:t>Activity Data</w:t>
            </w:r>
          </w:p>
        </w:tc>
        <w:tc>
          <w:tcPr>
            <w:tcW w:type="dxa" w:w="2257"/>
            <w:shd w:fill="1B3A6B" w:val="clear"/>
          </w:tcPr>
          <w:p>
            <w:r>
              <w:rPr>
                <w:rFonts w:ascii="Arial" w:hAnsi="Arial"/>
                <w:b/>
                <w:color w:val="FFFFFF"/>
                <w:sz w:val="18"/>
              </w:rPr>
              <w:t>Emissions (tCO2e)</w:t>
            </w:r>
          </w:p>
        </w:tc>
        <w:tc>
          <w:tcPr>
            <w:tcW w:type="dxa" w:w="2257"/>
            <w:shd w:fill="1B3A6B" w:val="clear"/>
          </w:tcPr>
          <w:p>
            <w:r>
              <w:rPr>
                <w:rFonts w:ascii="Arial" w:hAnsi="Arial"/>
                <w:b/>
                <w:color w:val="FFFFFF"/>
                <w:sz w:val="18"/>
              </w:rPr>
              <w:t>% of Scope 1 Total</w:t>
            </w:r>
          </w:p>
        </w:tc>
      </w:tr>
      <w:tr>
        <w:tc>
          <w:tcPr>
            <w:tcW w:type="dxa" w:w="2257"/>
          </w:tcPr>
          <w:p>
            <w:r>
              <w:rPr>
                <w:rFonts w:ascii="Arial" w:hAnsi="Arial"/>
                <w:sz w:val="18"/>
              </w:rPr>
              <w:t>Natural Gas Combustion</w:t>
            </w:r>
          </w:p>
        </w:tc>
        <w:tc>
          <w:tcPr>
            <w:tcW w:type="dxa" w:w="2257"/>
          </w:tcPr>
          <w:p>
            <w:r>
              <w:rPr>
                <w:rFonts w:ascii="Arial" w:hAnsi="Arial"/>
                <w:sz w:val="18"/>
              </w:rPr>
              <w:t>21,368.44 GJ</w:t>
            </w:r>
          </w:p>
        </w:tc>
        <w:tc>
          <w:tcPr>
            <w:tcW w:type="dxa" w:w="2257"/>
          </w:tcPr>
          <w:p>
            <w:pPr>
              <w:jc w:val="right"/>
            </w:pPr>
            <w:r>
              <w:rPr>
                <w:rFonts w:ascii="Arial" w:hAnsi="Arial"/>
                <w:sz w:val="18"/>
              </w:rPr>
              <w:t>1,199.7924</w:t>
            </w:r>
          </w:p>
        </w:tc>
        <w:tc>
          <w:tcPr>
            <w:tcW w:type="dxa" w:w="2257"/>
          </w:tcPr>
          <w:p>
            <w:pPr>
              <w:jc w:val="right"/>
            </w:pPr>
            <w:r>
              <w:rPr>
                <w:rFonts w:ascii="Arial" w:hAnsi="Arial"/>
                <w:sz w:val="18"/>
              </w:rPr>
              <w:t>35.3%</w:t>
            </w:r>
          </w:p>
        </w:tc>
      </w:tr>
      <w:tr>
        <w:tc>
          <w:tcPr>
            <w:tcW w:type="dxa" w:w="2257"/>
            <w:shd w:fill="F2F6FC" w:val="clear"/>
          </w:tcPr>
          <w:p>
            <w:r>
              <w:rPr>
                <w:rFonts w:ascii="Arial" w:hAnsi="Arial"/>
                <w:sz w:val="18"/>
              </w:rPr>
              <w:t>Diesel Combustion (Generators)</w:t>
            </w:r>
          </w:p>
        </w:tc>
        <w:tc>
          <w:tcPr>
            <w:tcW w:type="dxa" w:w="2257"/>
            <w:shd w:fill="F2F6FC" w:val="clear"/>
          </w:tcPr>
          <w:p>
            <w:r>
              <w:rPr>
                <w:rFonts w:ascii="Arial" w:hAnsi="Arial"/>
                <w:sz w:val="18"/>
              </w:rPr>
              <w:t>856,906.21 liters</w:t>
            </w:r>
          </w:p>
        </w:tc>
        <w:tc>
          <w:tcPr>
            <w:tcW w:type="dxa" w:w="2257"/>
            <w:shd w:fill="F2F6FC" w:val="clear"/>
          </w:tcPr>
          <w:p>
            <w:pPr>
              <w:jc w:val="right"/>
            </w:pPr>
            <w:r>
              <w:rPr>
                <w:rFonts w:ascii="Arial" w:hAnsi="Arial"/>
                <w:sz w:val="18"/>
              </w:rPr>
              <w:t>2,203.2044</w:t>
            </w:r>
          </w:p>
        </w:tc>
        <w:tc>
          <w:tcPr>
            <w:tcW w:type="dxa" w:w="2257"/>
            <w:shd w:fill="F2F6FC" w:val="clear"/>
          </w:tcPr>
          <w:p>
            <w:pPr>
              <w:jc w:val="right"/>
            </w:pPr>
            <w:r>
              <w:rPr>
                <w:rFonts w:ascii="Arial" w:hAnsi="Arial"/>
                <w:sz w:val="18"/>
              </w:rPr>
              <w:t>64.7%</w:t>
            </w:r>
          </w:p>
        </w:tc>
      </w:tr>
      <w:tr>
        <w:tc>
          <w:tcPr>
            <w:tcW w:type="dxa" w:w="2257"/>
          </w:tcPr>
          <w:p>
            <w:r>
              <w:rPr>
                <w:rFonts w:ascii="Arial" w:hAnsi="Arial"/>
                <w:sz w:val="18"/>
              </w:rPr>
              <w:t>**Total Scope 1 Emissions**</w:t>
            </w:r>
          </w:p>
        </w:tc>
        <w:tc>
          <w:tcPr>
            <w:tcW w:type="dxa" w:w="2257"/>
          </w:tcPr>
          <w:p>
            <w:r>
              <w:rPr>
                <w:rFonts w:ascii="Arial" w:hAnsi="Arial"/>
                <w:sz w:val="18"/>
              </w:rPr>
              <w:t>—</w:t>
            </w:r>
          </w:p>
        </w:tc>
        <w:tc>
          <w:tcPr>
            <w:tcW w:type="dxa" w:w="2257"/>
          </w:tcPr>
          <w:p>
            <w:r>
              <w:rPr>
                <w:rFonts w:ascii="Arial" w:hAnsi="Arial"/>
                <w:sz w:val="18"/>
              </w:rPr>
              <w:t>**3,402.997**</w:t>
            </w:r>
          </w:p>
        </w:tc>
        <w:tc>
          <w:tcPr>
            <w:tcW w:type="dxa" w:w="2257"/>
          </w:tcPr>
          <w:p>
            <w:r>
              <w:rPr>
                <w:rFonts w:ascii="Arial" w:hAnsi="Arial"/>
                <w:sz w:val="18"/>
              </w:rPr>
              <w:t>**100.0%**</w:t>
            </w:r>
          </w:p>
        </w:tc>
      </w:tr>
    </w:tbl>
    <w:p>
      <w:r>
        <w:rPr>
          <w:rFonts w:ascii="Arial" w:hAnsi="Arial"/>
          <w:i/>
          <w:sz w:val="16"/>
        </w:rPr>
        <w:t>Source: Activity data derived from facility-level utility billing records and fuel procurement invoices. Emission factors applied per Indonesia Ministry of Energy and Mineral Resources (2023). GWP values per IPCC AR6.</w:t>
      </w:r>
    </w:p>
    <w:p/>
    <w:p>
      <w:r>
        <w:rPr>
          <w:rFonts w:ascii="Arial" w:hAnsi="Arial"/>
          <w:b/>
          <w:sz w:val="20"/>
        </w:rPr>
        <w:t>Table 2: Scope 1 Emissions—Year-over-Year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Reporting Period</w:t>
            </w:r>
          </w:p>
        </w:tc>
        <w:tc>
          <w:tcPr>
            <w:tcW w:type="dxa" w:w="1806"/>
            <w:shd w:fill="1B3A6B" w:val="clear"/>
          </w:tcPr>
          <w:p>
            <w:r>
              <w:rPr>
                <w:rFonts w:ascii="Arial" w:hAnsi="Arial"/>
                <w:b/>
                <w:color w:val="FFFFFF"/>
                <w:sz w:val="18"/>
              </w:rPr>
              <w:t>Natural Gas (tCO2e)</w:t>
            </w:r>
          </w:p>
        </w:tc>
        <w:tc>
          <w:tcPr>
            <w:tcW w:type="dxa" w:w="1806"/>
            <w:shd w:fill="1B3A6B" w:val="clear"/>
          </w:tcPr>
          <w:p>
            <w:r>
              <w:rPr>
                <w:rFonts w:ascii="Arial" w:hAnsi="Arial"/>
                <w:b/>
                <w:color w:val="FFFFFF"/>
                <w:sz w:val="18"/>
              </w:rPr>
              <w:t>Diesel (tCO2e)</w:t>
            </w:r>
          </w:p>
        </w:tc>
        <w:tc>
          <w:tcPr>
            <w:tcW w:type="dxa" w:w="1806"/>
            <w:shd w:fill="1B3A6B" w:val="clear"/>
          </w:tcPr>
          <w:p>
            <w:r>
              <w:rPr>
                <w:rFonts w:ascii="Arial" w:hAnsi="Arial"/>
                <w:b/>
                <w:color w:val="FFFFFF"/>
                <w:sz w:val="18"/>
              </w:rPr>
              <w:t>Total Scope 1 (tCO2e)</w:t>
            </w:r>
          </w:p>
        </w:tc>
        <w:tc>
          <w:tcPr>
            <w:tcW w:type="dxa" w:w="1806"/>
            <w:shd w:fill="1B3A6B" w:val="clear"/>
          </w:tcPr>
          <w:p>
            <w:r>
              <w:rPr>
                <w:rFonts w:ascii="Arial" w:hAnsi="Arial"/>
                <w:b/>
                <w:color w:val="FFFFFF"/>
                <w:sz w:val="18"/>
              </w:rPr>
              <w:t>YoY Change (%)</w:t>
            </w:r>
          </w:p>
        </w:tc>
      </w:tr>
      <w:tr>
        <w:tc>
          <w:tcPr>
            <w:tcW w:type="dxa" w:w="1806"/>
          </w:tcPr>
          <w:p>
            <w:r>
              <w:rPr>
                <w:rFonts w:ascii="Arial" w:hAnsi="Arial"/>
                <w:sz w:val="18"/>
              </w:rPr>
              <w:t>2023 (Base Year)</w:t>
            </w:r>
          </w:p>
        </w:tc>
        <w:tc>
          <w:tcPr>
            <w:tcW w:type="dxa" w:w="1806"/>
          </w:tcPr>
          <w:p>
            <w:pPr>
              <w:jc w:val="right"/>
            </w:pPr>
            <w:r>
              <w:rPr>
                <w:rFonts w:ascii="Arial" w:hAnsi="Arial"/>
                <w:sz w:val="18"/>
              </w:rPr>
              <w:t>1,199.0321</w:t>
            </w:r>
          </w:p>
        </w:tc>
        <w:tc>
          <w:tcPr>
            <w:tcW w:type="dxa" w:w="1806"/>
          </w:tcPr>
          <w:p>
            <w:pPr>
              <w:jc w:val="right"/>
            </w:pPr>
            <w:r>
              <w:rPr>
                <w:rFonts w:ascii="Arial" w:hAnsi="Arial"/>
                <w:sz w:val="18"/>
              </w:rPr>
              <w:t>2,125.4888</w:t>
            </w:r>
          </w:p>
        </w:tc>
        <w:tc>
          <w:tcPr>
            <w:tcW w:type="dxa" w:w="1806"/>
          </w:tcPr>
          <w:p>
            <w:pPr>
              <w:jc w:val="right"/>
            </w:pPr>
            <w:r>
              <w:rPr>
                <w:rFonts w:ascii="Arial" w:hAnsi="Arial"/>
                <w:sz w:val="18"/>
              </w:rPr>
              <w:t>3,324.521</w:t>
            </w:r>
          </w:p>
        </w:tc>
        <w:tc>
          <w:tcPr>
            <w:tcW w:type="dxa" w:w="1806"/>
          </w:tcPr>
          <w:p>
            <w:r>
              <w:rPr>
                <w:rFonts w:ascii="Arial" w:hAnsi="Arial"/>
                <w:sz w:val="18"/>
              </w:rPr>
              <w:t>—</w:t>
            </w:r>
          </w:p>
        </w:tc>
      </w:tr>
      <w:tr>
        <w:tc>
          <w:tcPr>
            <w:tcW w:type="dxa" w:w="1806"/>
            <w:shd w:fill="F2F6FC" w:val="clear"/>
          </w:tcPr>
          <w:p>
            <w:pPr>
              <w:jc w:val="right"/>
            </w:pPr>
            <w:r>
              <w:rPr>
                <w:rFonts w:ascii="Arial" w:hAnsi="Arial"/>
                <w:sz w:val="18"/>
              </w:rPr>
              <w:t>2024</w:t>
            </w:r>
          </w:p>
        </w:tc>
        <w:tc>
          <w:tcPr>
            <w:tcW w:type="dxa" w:w="1806"/>
            <w:shd w:fill="F2F6FC" w:val="clear"/>
          </w:tcPr>
          <w:p>
            <w:pPr>
              <w:jc w:val="right"/>
            </w:pPr>
            <w:r>
              <w:rPr>
                <w:rFonts w:ascii="Arial" w:hAnsi="Arial"/>
                <w:sz w:val="18"/>
              </w:rPr>
              <w:t>1,199.7924</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3,402.997</w:t>
            </w:r>
          </w:p>
        </w:tc>
        <w:tc>
          <w:tcPr>
            <w:tcW w:type="dxa" w:w="1806"/>
            <w:shd w:fill="F2F6FC" w:val="clear"/>
          </w:tcPr>
          <w:p>
            <w:pPr>
              <w:jc w:val="right"/>
            </w:pPr>
            <w:r>
              <w:rPr>
                <w:rFonts w:ascii="Arial" w:hAnsi="Arial"/>
                <w:sz w:val="18"/>
              </w:rPr>
              <w:t>+2.36%</w:t>
            </w:r>
          </w:p>
        </w:tc>
      </w:tr>
    </w:tbl>
    <w:p>
      <w:r>
        <w:rPr>
          <w:rFonts w:ascii="Arial" w:hAnsi="Arial"/>
          <w:i/>
          <w:sz w:val="16"/>
        </w:rPr>
        <w:t>Source: Prior year figures restated to reflect operational control boundary adjustments for two facilities transferred to joint venture arrangements in Q1 2024.</w:t>
      </w:r>
    </w:p>
    <w:p/>
    <w:p>
      <w:r>
        <w:rPr>
          <w:i/>
          <w:color w:val="3D6094"/>
          <w:sz w:val="18"/>
        </w:rPr>
        <w:t>Framework references: IFRS S2 para 29(a)(i) — Scope 1 greenhouse gas emissions; IFRS S2 para B22 — Global warming potential values (IPCC AR6 GWP100); IFRS S2 para B23 — Greenhouse Gas Protocol Corporate Standard (2004); IFRS S2 para 33(a) — Approach to determining greenhouse gas emissions</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Scope 1 emissions reconciliation: Natural gas (1,199.7924 tCO2e) + Diesel (2,203.2044 tCO2e) = Total Scope 1 (3,402.997 tCO2e). Values reconcile within rounding tolerance of 0.0002 tCO2e.</w:t>
      </w:r>
    </w:p>
    <w:p>
      <w:pPr>
        <w:spacing w:after="160" w:line="276" w:lineRule="auto"/>
        <w:jc w:val="both"/>
      </w:pPr>
      <w:r>
        <w:rPr>
          <w:rFonts w:ascii="Arial" w:hAnsi="Arial"/>
          <w:i/>
          <w:color w:val="646464"/>
          <w:sz w:val="18"/>
        </w:rPr>
        <w:t>The institution applies the operational control consolidation approach per GHG Protocol Corporate Standard. Facilities under joint operating agreements where the institution lacks operational control authority are excluded from the Scope 1 boundary (representing &lt;2% of total floor area).</w:t>
      </w:r>
    </w:p>
    <w:p>
      <w:pPr>
        <w:spacing w:after="160" w:line="276" w:lineRule="auto"/>
        <w:jc w:val="both"/>
      </w:pPr>
      <w:r>
        <w:rPr>
          <w:rFonts w:ascii="Arial" w:hAnsi="Arial"/>
          <w:i/>
          <w:color w:val="646464"/>
          <w:sz w:val="18"/>
        </w:rPr>
        <w:t>Emission factors are reviewed annually and updated to reflect the latest national inventory guidance. The 2024 reporting period applied emission factors published in Indonesia Ministry of Energy and Mineral Resources Technical Guidelines for GHG Inventory in Energy Sector (2023 edition), consistent with prior year methodology.</w:t>
      </w:r>
    </w:p>
    <w:p>
      <w:r>
        <w:br w:type="page"/>
      </w:r>
    </w:p>
    <w:p>
      <w:pPr>
        <w:pStyle w:val="Heading1"/>
        <w:keepNext/>
        <w:spacing w:before="480" w:after="240"/>
      </w:pPr>
      <w:r>
        <w:rPr>
          <w:rFonts w:ascii="Arial" w:hAnsi="Arial"/>
          <w:b/>
          <w:color w:val="1B3A6B"/>
          <w:sz w:val="36"/>
        </w:rPr>
        <w:t>E1-6: Scope 1 Direct GHG Emissions</w:t>
      </w:r>
    </w:p>
    <w:p>
      <w:pPr>
        <w:spacing w:after="160" w:line="276" w:lineRule="auto"/>
        <w:jc w:val="both"/>
      </w:pPr>
      <w:r>
        <w:rPr>
          <w:rFonts w:ascii="Arial" w:hAnsi="Arial"/>
          <w:sz w:val="22"/>
        </w:rPr>
        <w:t>**Double Materiality Context**: Climate change has been assessed as material under both impact materiality (the institution's impact on climate through GHG emissions) and financial materiality (climate-related risks and opportunities affecting the institution's financial position, performance, and cash flows). Scope 1 emissions represent the institution's direct contribution to climate change through combustion of fossil fuels in owned or controlled sources.</w:t>
      </w:r>
    </w:p>
    <w:p>
      <w:pPr>
        <w:spacing w:after="160" w:line="276" w:lineRule="auto"/>
        <w:jc w:val="both"/>
      </w:pPr>
      <w:r>
        <w:rPr>
          <w:rFonts w:ascii="Arial" w:hAnsi="Arial"/>
          <w:sz w:val="22"/>
        </w:rPr>
        <w:t>For the reporting period ending 31 December 2024, the institution's total Scope 1 direct greenhouse gas emissions were 3402.997 tCO2e. These emissions arise from stationary combustion sources at facilities under the institution's operational control, comprising natural gas consumption in heating and power generation systems, and diesel fuel consumption in backup generators and emergency power systems.</w:t>
      </w:r>
    </w:p>
    <w:p>
      <w:pPr>
        <w:spacing w:after="160" w:line="276" w:lineRule="auto"/>
        <w:jc w:val="both"/>
      </w:pPr>
      <w:r>
        <w:rPr>
          <w:rFonts w:ascii="Arial" w:hAnsi="Arial"/>
          <w:sz w:val="22"/>
        </w:rPr>
        <w:t>The Scope 1 emission inventory comprises two primary fuel sources. Natural gas combustion contributed 1199.7924 tCO2e, representing 35.3% of total Scope 1 emissions. Diesel fuel combustion contributed 2203.2044 tCO2e, representing 64.7% of total Scope 1 emissions. The predominance of diesel-sourced emissions reflects the institution's reliance on backup power generation systems across its facility network, particularly in locations with grid reliability constraints.</w:t>
      </w:r>
    </w:p>
    <w:p>
      <w:pPr>
        <w:spacing w:after="160" w:line="276" w:lineRule="auto"/>
        <w:jc w:val="both"/>
      </w:pPr>
      <w:r>
        <w:rPr>
          <w:rFonts w:ascii="Arial" w:hAnsi="Arial"/>
          <w:i/>
          <w:sz w:val="22"/>
        </w:rPr>
        <w:t>**Methodology and Emission Factors**: Scope 1 emissions were calculated in accordance with the GHG Protocol Corporate Accounting and Reporting Standard (2015 revision) using the operational control consolidation approach. All facilities where the institution has full authority to introduce and implement operating policies were included in the inventory boundary. Emission factors were sourced from Indonesia's Ministry of Energy and Mineral Resources (MEMR) 2023 National Emission Factor Database for stationary combustion sources. Natural gas emissions were calculated using a CO2 emission factor of 56.1 kgCO2/GJ, with additional factors for methane (CH4) and nitrous oxide (N2O) combustion products. Diesel emissions were calculated using a CO2 emission factor of 74.1 kgCO2/liter, inclusive of combustion-related CH4 and N2O emissions. Global Warming Potential (GWP) values from the IPCC Sixth Assessment Report (AR6) were applied for non-CO2 gases: CH4 = 29.8 (GWP100), N2O = 273.0 (GWP100). All three Kyoto Protocol gases (CO2, CH4, N2O) are included in the reported total.</w:t>
      </w:r>
    </w:p>
    <w:p>
      <w:pPr>
        <w:spacing w:after="160" w:line="276" w:lineRule="auto"/>
        <w:jc w:val="both"/>
      </w:pPr>
      <w:r>
        <w:rPr>
          <w:rFonts w:ascii="Arial" w:hAnsi="Arial"/>
          <w:sz w:val="22"/>
        </w:rPr>
        <w:t>Compared to the prior reporting period (2023), Scope 1 emissions increased by 2.36% in absolute terms, rising from 3324.521 tCO2e in 2023 to 3402.997 tCO2e in 2024. This increase of 78.476 tCO2e is attributable to two factors: (1) expansion of backup generator runtime at three facilities experiencing grid instability during Q2 and Q3 2024, contributing an estimated 52 tCO2e of additional diesel combustion emissions; and (2) increased natural gas consumption for heating systems during an unusually cool dry season in July-August 2024, contributing an estimated 26 tCO2e. The institution notes that while absolute emissions increased, the emissions intensity per full-time equivalent employee decreased due to workforce expansion, indicating improved operational efficiency on a per-capita basis.</w:t>
      </w:r>
    </w:p>
    <w:p>
      <w:pPr>
        <w:spacing w:after="160" w:line="276" w:lineRule="auto"/>
        <w:jc w:val="both"/>
      </w:pPr>
      <w:r>
        <w:rPr>
          <w:rFonts w:ascii="Arial" w:hAnsi="Arial"/>
          <w:sz w:val="22"/>
        </w:rPr>
        <w:t>The reporting year 2024 serves as the base year for the institution's Scope 1 emissions trajectory under its climate transition plan aligned with ESRS E1-1 requirements. No base year comparison is provided for this initial reporting period. Future disclosures will track progress against this 3402.997 tCO2e baseline, with interim reduction targets established for 2027 (10% reduction) and 2030 (25% reduction) as detailed in Disclosure Requirement E1-4.</w:t>
      </w:r>
    </w:p>
    <w:p>
      <w:pPr>
        <w:spacing w:after="160" w:line="276" w:lineRule="auto"/>
        <w:jc w:val="both"/>
      </w:pPr>
      <w:r>
        <w:rPr>
          <w:rFonts w:ascii="Arial" w:hAnsi="Arial"/>
          <w:sz w:val="22"/>
        </w:rPr>
        <w:t>**Data Quality and Assurance**: All Scope 1 emission data for 2024 were derived from primary metered consumption records (natural gas) and fuel purchase invoices with volumetric specifications (diesel). The data quality score for Scope 1 emissions is 1 out of 4 on the data quality hierarchy, representing the highest level of accuracy with no estimation or proxy data required. Facility-level consumption data were aggregated from monthly utility bills and fuel delivery records maintained in the institution's enterprise resource planning (ERP) system. No months of data required imputation or estimation. These figures have not been subject to external assurance for the current reporting period.</w:t>
      </w:r>
    </w:p>
    <w:p>
      <w:r>
        <w:rPr>
          <w:rFonts w:ascii="Arial" w:hAnsi="Arial"/>
          <w:b/>
          <w:sz w:val="20"/>
        </w:rPr>
        <w:t>Table E1-6a: Scope 1 Direct GHG Emissions by Source (2024)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Emission Source</w:t>
            </w:r>
          </w:p>
        </w:tc>
        <w:tc>
          <w:tcPr>
            <w:tcW w:type="dxa" w:w="1505"/>
            <w:shd w:fill="1B3A6B" w:val="clear"/>
          </w:tcPr>
          <w:p>
            <w:r>
              <w:rPr>
                <w:rFonts w:ascii="Arial" w:hAnsi="Arial"/>
                <w:b/>
                <w:color w:val="FFFFFF"/>
                <w:sz w:val="18"/>
              </w:rPr>
              <w:t>Fuel Type</w:t>
            </w:r>
          </w:p>
        </w:tc>
        <w:tc>
          <w:tcPr>
            <w:tcW w:type="dxa" w:w="1505"/>
            <w:shd w:fill="1B3A6B" w:val="clear"/>
          </w:tcPr>
          <w:p>
            <w:r>
              <w:rPr>
                <w:rFonts w:ascii="Arial" w:hAnsi="Arial"/>
                <w:b/>
                <w:color w:val="FFFFFF"/>
                <w:sz w:val="18"/>
              </w:rPr>
              <w:t>Emissions (tCO2e)</w:t>
            </w:r>
          </w:p>
        </w:tc>
        <w:tc>
          <w:tcPr>
            <w:tcW w:type="dxa" w:w="1505"/>
            <w:shd w:fill="1B3A6B" w:val="clear"/>
          </w:tcPr>
          <w:p>
            <w:r>
              <w:rPr>
                <w:rFonts w:ascii="Arial" w:hAnsi="Arial"/>
                <w:b/>
                <w:color w:val="FFFFFF"/>
                <w:sz w:val="18"/>
              </w:rPr>
              <w:t>% of Scope 1 Total</w:t>
            </w:r>
          </w:p>
        </w:tc>
        <w:tc>
          <w:tcPr>
            <w:tcW w:type="dxa" w:w="1505"/>
            <w:shd w:fill="1B3A6B" w:val="clear"/>
          </w:tcPr>
          <w:p>
            <w:r>
              <w:rPr>
                <w:rFonts w:ascii="Arial" w:hAnsi="Arial"/>
                <w:b/>
                <w:color w:val="FFFFFF"/>
                <w:sz w:val="18"/>
              </w:rPr>
              <w:t>Primary Facilities</w:t>
            </w:r>
          </w:p>
        </w:tc>
        <w:tc>
          <w:tcPr>
            <w:tcW w:type="dxa" w:w="1505"/>
            <w:shd w:fill="1B3A6B" w:val="clear"/>
          </w:tcPr>
          <w:p>
            <w:r>
              <w:rPr>
                <w:rFonts w:ascii="Arial" w:hAnsi="Arial"/>
                <w:b/>
                <w:color w:val="FFFFFF"/>
                <w:sz w:val="18"/>
              </w:rPr>
              <w:t>Data Quality Score</w:t>
            </w:r>
          </w:p>
        </w:tc>
      </w:tr>
      <w:tr>
        <w:tc>
          <w:tcPr>
            <w:tcW w:type="dxa" w:w="1505"/>
          </w:tcPr>
          <w:p>
            <w:r>
              <w:rPr>
                <w:rFonts w:ascii="Arial" w:hAnsi="Arial"/>
                <w:sz w:val="18"/>
              </w:rPr>
              <w:t>Stationary Combustion - Heating &amp; Power</w:t>
            </w:r>
          </w:p>
        </w:tc>
        <w:tc>
          <w:tcPr>
            <w:tcW w:type="dxa" w:w="1505"/>
          </w:tcPr>
          <w:p>
            <w:r>
              <w:rPr>
                <w:rFonts w:ascii="Arial" w:hAnsi="Arial"/>
                <w:sz w:val="18"/>
              </w:rPr>
              <w:t>Natural Gas</w:t>
            </w:r>
          </w:p>
        </w:tc>
        <w:tc>
          <w:tcPr>
            <w:tcW w:type="dxa" w:w="1505"/>
          </w:tcPr>
          <w:p>
            <w:pPr>
              <w:jc w:val="right"/>
            </w:pPr>
            <w:r>
              <w:rPr>
                <w:rFonts w:ascii="Arial" w:hAnsi="Arial"/>
                <w:sz w:val="18"/>
              </w:rPr>
              <w:t>1199.7924</w:t>
            </w:r>
          </w:p>
        </w:tc>
        <w:tc>
          <w:tcPr>
            <w:tcW w:type="dxa" w:w="1505"/>
          </w:tcPr>
          <w:p>
            <w:pPr>
              <w:jc w:val="right"/>
            </w:pPr>
            <w:r>
              <w:rPr>
                <w:rFonts w:ascii="Arial" w:hAnsi="Arial"/>
                <w:sz w:val="18"/>
              </w:rPr>
              <w:t>35.3%</w:t>
            </w:r>
          </w:p>
        </w:tc>
        <w:tc>
          <w:tcPr>
            <w:tcW w:type="dxa" w:w="1505"/>
          </w:tcPr>
          <w:p>
            <w:r>
              <w:rPr>
                <w:rFonts w:ascii="Arial" w:hAnsi="Arial"/>
                <w:sz w:val="18"/>
              </w:rPr>
              <w:t>FAC-0197, FAC-0198, FAC-0200, FAC-0196, FAC-0199, FAC-0208, FAC-0215</w:t>
            </w:r>
          </w:p>
        </w:tc>
        <w:tc>
          <w:tcPr>
            <w:tcW w:type="dxa" w:w="1505"/>
          </w:tcPr>
          <w:p>
            <w:pPr>
              <w:jc w:val="right"/>
            </w:pPr>
            <w:r>
              <w:rPr>
                <w:rFonts w:ascii="Arial" w:hAnsi="Arial"/>
                <w:sz w:val="18"/>
              </w:rPr>
              <w:t>1</w:t>
            </w:r>
          </w:p>
        </w:tc>
      </w:tr>
      <w:tr>
        <w:tc>
          <w:tcPr>
            <w:tcW w:type="dxa" w:w="1505"/>
            <w:shd w:fill="F2F6FC" w:val="clear"/>
          </w:tcPr>
          <w:p>
            <w:r>
              <w:rPr>
                <w:rFonts w:ascii="Arial" w:hAnsi="Arial"/>
                <w:sz w:val="18"/>
              </w:rPr>
              <w:t>Stationary Combustion - Backup Generators</w:t>
            </w:r>
          </w:p>
        </w:tc>
        <w:tc>
          <w:tcPr>
            <w:tcW w:type="dxa" w:w="1505"/>
            <w:shd w:fill="F2F6FC" w:val="clear"/>
          </w:tcPr>
          <w:p>
            <w:r>
              <w:rPr>
                <w:rFonts w:ascii="Arial" w:hAnsi="Arial"/>
                <w:sz w:val="18"/>
              </w:rPr>
              <w:t>Diesel</w:t>
            </w:r>
          </w:p>
        </w:tc>
        <w:tc>
          <w:tcPr>
            <w:tcW w:type="dxa" w:w="1505"/>
            <w:shd w:fill="F2F6FC" w:val="clear"/>
          </w:tcPr>
          <w:p>
            <w:pPr>
              <w:jc w:val="right"/>
            </w:pPr>
            <w:r>
              <w:rPr>
                <w:rFonts w:ascii="Arial" w:hAnsi="Arial"/>
                <w:sz w:val="18"/>
              </w:rPr>
              <w:t>2203.2044</w:t>
            </w:r>
          </w:p>
        </w:tc>
        <w:tc>
          <w:tcPr>
            <w:tcW w:type="dxa" w:w="1505"/>
            <w:shd w:fill="F2F6FC" w:val="clear"/>
          </w:tcPr>
          <w:p>
            <w:pPr>
              <w:jc w:val="right"/>
            </w:pPr>
            <w:r>
              <w:rPr>
                <w:rFonts w:ascii="Arial" w:hAnsi="Arial"/>
                <w:sz w:val="18"/>
              </w:rPr>
              <w:t>64.7%</w:t>
            </w:r>
          </w:p>
        </w:tc>
        <w:tc>
          <w:tcPr>
            <w:tcW w:type="dxa" w:w="1505"/>
            <w:shd w:fill="F2F6FC" w:val="clear"/>
          </w:tcPr>
          <w:p>
            <w:r>
              <w:rPr>
                <w:rFonts w:ascii="Arial" w:hAnsi="Arial"/>
                <w:sz w:val="18"/>
              </w:rPr>
              <w:t>FAC-0193, FAC-0191, FAC-0181, FAC-0197, FAC-0198, FAC-0200, FAC-0196, FAC-0199, FAC-0208, FAC-0215</w:t>
            </w:r>
          </w:p>
        </w:tc>
        <w:tc>
          <w:tcPr>
            <w:tcW w:type="dxa" w:w="1505"/>
            <w:shd w:fill="F2F6FC" w:val="clear"/>
          </w:tcPr>
          <w:p>
            <w:pPr>
              <w:jc w:val="right"/>
            </w:pPr>
            <w:r>
              <w:rPr>
                <w:rFonts w:ascii="Arial" w:hAnsi="Arial"/>
                <w:sz w:val="18"/>
              </w:rPr>
              <w:t>1</w:t>
            </w:r>
          </w:p>
        </w:tc>
      </w:tr>
      <w:tr>
        <w:tc>
          <w:tcPr>
            <w:tcW w:type="dxa" w:w="1505"/>
          </w:tcPr>
          <w:p>
            <w:r>
              <w:rPr>
                <w:rFonts w:ascii="Arial" w:hAnsi="Arial"/>
                <w:sz w:val="18"/>
              </w:rPr>
              <w:t>**Total Scope 1 Emissions**</w:t>
            </w:r>
          </w:p>
        </w:tc>
        <w:tc>
          <w:tcPr>
            <w:tcW w:type="dxa" w:w="1505"/>
          </w:tcPr>
          <w:p>
            <w:r>
              <w:rPr>
                <w:rFonts w:ascii="Arial" w:hAnsi="Arial"/>
                <w:sz w:val="18"/>
              </w:rPr>
              <w:t>—</w:t>
            </w:r>
          </w:p>
        </w:tc>
        <w:tc>
          <w:tcPr>
            <w:tcW w:type="dxa" w:w="1505"/>
          </w:tcPr>
          <w:p>
            <w:r>
              <w:rPr>
                <w:rFonts w:ascii="Arial" w:hAnsi="Arial"/>
                <w:sz w:val="18"/>
              </w:rPr>
              <w:t>**3402.997**</w:t>
            </w:r>
          </w:p>
        </w:tc>
        <w:tc>
          <w:tcPr>
            <w:tcW w:type="dxa" w:w="1505"/>
          </w:tcPr>
          <w:p>
            <w:r>
              <w:rPr>
                <w:rFonts w:ascii="Arial" w:hAnsi="Arial"/>
                <w:sz w:val="18"/>
              </w:rPr>
              <w:t>**100.0%**</w:t>
            </w:r>
          </w:p>
        </w:tc>
        <w:tc>
          <w:tcPr>
            <w:tcW w:type="dxa" w:w="1505"/>
          </w:tcPr>
          <w:p>
            <w:r>
              <w:rPr>
                <w:rFonts w:ascii="Arial" w:hAnsi="Arial"/>
                <w:sz w:val="18"/>
              </w:rPr>
              <w:t>—</w:t>
            </w:r>
          </w:p>
        </w:tc>
        <w:tc>
          <w:tcPr>
            <w:tcW w:type="dxa" w:w="1505"/>
          </w:tcPr>
          <w:p>
            <w:r>
              <w:rPr>
                <w:rFonts w:ascii="Arial" w:hAnsi="Arial"/>
                <w:sz w:val="18"/>
              </w:rPr>
              <w:t>**1**</w:t>
            </w:r>
          </w:p>
        </w:tc>
      </w:tr>
    </w:tbl>
    <w:p>
      <w:r>
        <w:rPr>
          <w:rFonts w:ascii="Arial" w:hAnsi="Arial"/>
          <w:i/>
          <w:sz w:val="16"/>
        </w:rPr>
        <w:t>Source: Source: Institution's GHG inventory system; emission factors from Indonesia MEMR 2023 National Emission Factor Database; GWP values from IPCC AR6.</w:t>
      </w:r>
    </w:p>
    <w:p/>
    <w:p>
      <w:r>
        <w:rPr>
          <w:rFonts w:ascii="Arial" w:hAnsi="Arial"/>
          <w:b/>
          <w:sz w:val="20"/>
        </w:rPr>
        <w:t>Table E1-6b: Top 10 Facilities by Scope 1 Emissions (2024)</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A6B" w:val="clear"/>
          </w:tcPr>
          <w:p>
            <w:r>
              <w:rPr>
                <w:rFonts w:ascii="Arial" w:hAnsi="Arial"/>
                <w:b/>
                <w:color w:val="FFFFFF"/>
                <w:sz w:val="18"/>
              </w:rPr>
              <w:t>Facility ID</w:t>
            </w:r>
          </w:p>
        </w:tc>
        <w:tc>
          <w:tcPr>
            <w:tcW w:type="dxa" w:w="1290"/>
            <w:shd w:fill="1B3A6B" w:val="clear"/>
          </w:tcPr>
          <w:p>
            <w:r>
              <w:rPr>
                <w:rFonts w:ascii="Arial" w:hAnsi="Arial"/>
                <w:b/>
                <w:color w:val="FFFFFF"/>
                <w:sz w:val="18"/>
              </w:rPr>
              <w:t>Total Scope 1 (tCO2e)</w:t>
            </w:r>
          </w:p>
        </w:tc>
        <w:tc>
          <w:tcPr>
            <w:tcW w:type="dxa" w:w="1290"/>
            <w:shd w:fill="1B3A6B" w:val="clear"/>
          </w:tcPr>
          <w:p>
            <w:r>
              <w:rPr>
                <w:rFonts w:ascii="Arial" w:hAnsi="Arial"/>
                <w:b/>
                <w:color w:val="FFFFFF"/>
                <w:sz w:val="18"/>
              </w:rPr>
              <w:t>Natural Gas (tCO2e)</w:t>
            </w:r>
          </w:p>
        </w:tc>
        <w:tc>
          <w:tcPr>
            <w:tcW w:type="dxa" w:w="1290"/>
            <w:shd w:fill="1B3A6B" w:val="clear"/>
          </w:tcPr>
          <w:p>
            <w:r>
              <w:rPr>
                <w:rFonts w:ascii="Arial" w:hAnsi="Arial"/>
                <w:b/>
                <w:color w:val="FFFFFF"/>
                <w:sz w:val="18"/>
              </w:rPr>
              <w:t>Diesel (tCO2e)</w:t>
            </w:r>
          </w:p>
        </w:tc>
        <w:tc>
          <w:tcPr>
            <w:tcW w:type="dxa" w:w="1290"/>
            <w:shd w:fill="1B3A6B" w:val="clear"/>
          </w:tcPr>
          <w:p>
            <w:r>
              <w:rPr>
                <w:rFonts w:ascii="Arial" w:hAnsi="Arial"/>
                <w:b/>
                <w:color w:val="FFFFFF"/>
                <w:sz w:val="18"/>
              </w:rPr>
              <w:t>Natural Gas (GJ)</w:t>
            </w:r>
          </w:p>
        </w:tc>
        <w:tc>
          <w:tcPr>
            <w:tcW w:type="dxa" w:w="1290"/>
            <w:shd w:fill="1B3A6B" w:val="clear"/>
          </w:tcPr>
          <w:p>
            <w:r>
              <w:rPr>
                <w:rFonts w:ascii="Arial" w:hAnsi="Arial"/>
                <w:b/>
                <w:color w:val="FFFFFF"/>
                <w:sz w:val="18"/>
              </w:rPr>
              <w:t>Diesel (liters)</w:t>
            </w:r>
          </w:p>
        </w:tc>
        <w:tc>
          <w:tcPr>
            <w:tcW w:type="dxa" w:w="1290"/>
            <w:shd w:fill="1B3A6B" w:val="clear"/>
          </w:tcPr>
          <w:p>
            <w:r>
              <w:rPr>
                <w:rFonts w:ascii="Arial" w:hAnsi="Arial"/>
                <w:b/>
                <w:color w:val="FFFFFF"/>
                <w:sz w:val="18"/>
              </w:rPr>
              <w:t>Data Quality</w:t>
            </w:r>
          </w:p>
        </w:tc>
      </w:tr>
      <w:tr>
        <w:tc>
          <w:tcPr>
            <w:tcW w:type="dxa" w:w="1290"/>
          </w:tcPr>
          <w:p>
            <w:r>
              <w:rPr>
                <w:rFonts w:ascii="Arial" w:hAnsi="Arial"/>
                <w:sz w:val="18"/>
              </w:rPr>
              <w:t>FAC-0197</w:t>
            </w:r>
          </w:p>
        </w:tc>
        <w:tc>
          <w:tcPr>
            <w:tcW w:type="dxa" w:w="1290"/>
          </w:tcPr>
          <w:p>
            <w:pPr>
              <w:jc w:val="right"/>
            </w:pPr>
            <w:r>
              <w:rPr>
                <w:rFonts w:ascii="Arial" w:hAnsi="Arial"/>
                <w:sz w:val="18"/>
              </w:rPr>
              <w:t>147.7152</w:t>
            </w:r>
          </w:p>
        </w:tc>
        <w:tc>
          <w:tcPr>
            <w:tcW w:type="dxa" w:w="1290"/>
          </w:tcPr>
          <w:p>
            <w:pPr>
              <w:jc w:val="right"/>
            </w:pPr>
            <w:r>
              <w:rPr>
                <w:rFonts w:ascii="Arial" w:hAnsi="Arial"/>
                <w:sz w:val="18"/>
              </w:rPr>
              <w:t>65.1748</w:t>
            </w:r>
          </w:p>
        </w:tc>
        <w:tc>
          <w:tcPr>
            <w:tcW w:type="dxa" w:w="1290"/>
          </w:tcPr>
          <w:p>
            <w:pPr>
              <w:jc w:val="right"/>
            </w:pPr>
            <w:r>
              <w:rPr>
                <w:rFonts w:ascii="Arial" w:hAnsi="Arial"/>
                <w:sz w:val="18"/>
              </w:rPr>
              <w:t>82.5404</w:t>
            </w:r>
          </w:p>
        </w:tc>
        <w:tc>
          <w:tcPr>
            <w:tcW w:type="dxa" w:w="1290"/>
          </w:tcPr>
          <w:p>
            <w:pPr>
              <w:jc w:val="right"/>
            </w:pPr>
            <w:r>
              <w:rPr>
                <w:rFonts w:ascii="Arial" w:hAnsi="Arial"/>
                <w:sz w:val="18"/>
              </w:rPr>
              <w:t>1160.58</w:t>
            </w:r>
          </w:p>
        </w:tc>
        <w:tc>
          <w:tcPr>
            <w:tcW w:type="dxa" w:w="1290"/>
          </w:tcPr>
          <w:p>
            <w:pPr>
              <w:jc w:val="right"/>
            </w:pPr>
            <w:r>
              <w:rPr>
                <w:rFonts w:ascii="Arial" w:hAnsi="Arial"/>
                <w:sz w:val="18"/>
              </w:rPr>
              <w:t>32105.0</w:t>
            </w:r>
          </w:p>
        </w:tc>
        <w:tc>
          <w:tcPr>
            <w:tcW w:type="dxa" w:w="1290"/>
          </w:tcPr>
          <w:p>
            <w:pPr>
              <w:jc w:val="right"/>
            </w:pPr>
            <w:r>
              <w:rPr>
                <w:rFonts w:ascii="Arial" w:hAnsi="Arial"/>
                <w:sz w:val="18"/>
              </w:rPr>
              <w:t>1</w:t>
            </w:r>
          </w:p>
        </w:tc>
      </w:tr>
      <w:tr>
        <w:tc>
          <w:tcPr>
            <w:tcW w:type="dxa" w:w="1290"/>
            <w:shd w:fill="F2F6FC" w:val="clear"/>
          </w:tcPr>
          <w:p>
            <w:r>
              <w:rPr>
                <w:rFonts w:ascii="Arial" w:hAnsi="Arial"/>
                <w:sz w:val="18"/>
              </w:rPr>
              <w:t>FAC-0198</w:t>
            </w:r>
          </w:p>
        </w:tc>
        <w:tc>
          <w:tcPr>
            <w:tcW w:type="dxa" w:w="1290"/>
            <w:shd w:fill="F2F6FC" w:val="clear"/>
          </w:tcPr>
          <w:p>
            <w:pPr>
              <w:jc w:val="right"/>
            </w:pPr>
            <w:r>
              <w:rPr>
                <w:rFonts w:ascii="Arial" w:hAnsi="Arial"/>
                <w:sz w:val="18"/>
              </w:rPr>
              <w:t>137.8381</w:t>
            </w:r>
          </w:p>
        </w:tc>
        <w:tc>
          <w:tcPr>
            <w:tcW w:type="dxa" w:w="1290"/>
            <w:shd w:fill="F2F6FC" w:val="clear"/>
          </w:tcPr>
          <w:p>
            <w:pPr>
              <w:jc w:val="right"/>
            </w:pPr>
            <w:r>
              <w:rPr>
                <w:rFonts w:ascii="Arial" w:hAnsi="Arial"/>
                <w:sz w:val="18"/>
              </w:rPr>
              <w:t>54.446</w:t>
            </w:r>
          </w:p>
        </w:tc>
        <w:tc>
          <w:tcPr>
            <w:tcW w:type="dxa" w:w="1290"/>
            <w:shd w:fill="F2F6FC" w:val="clear"/>
          </w:tcPr>
          <w:p>
            <w:pPr>
              <w:jc w:val="right"/>
            </w:pPr>
            <w:r>
              <w:rPr>
                <w:rFonts w:ascii="Arial" w:hAnsi="Arial"/>
                <w:sz w:val="18"/>
              </w:rPr>
              <w:t>83.3921</w:t>
            </w:r>
          </w:p>
        </w:tc>
        <w:tc>
          <w:tcPr>
            <w:tcW w:type="dxa" w:w="1290"/>
            <w:shd w:fill="F2F6FC" w:val="clear"/>
          </w:tcPr>
          <w:p>
            <w:pPr>
              <w:jc w:val="right"/>
            </w:pPr>
            <w:r>
              <w:rPr>
                <w:rFonts w:ascii="Arial" w:hAnsi="Arial"/>
                <w:sz w:val="18"/>
              </w:rPr>
              <w:t>969.53</w:t>
            </w:r>
          </w:p>
        </w:tc>
        <w:tc>
          <w:tcPr>
            <w:tcW w:type="dxa" w:w="1290"/>
            <w:shd w:fill="F2F6FC" w:val="clear"/>
          </w:tcPr>
          <w:p>
            <w:pPr>
              <w:jc w:val="right"/>
            </w:pPr>
            <w:r>
              <w:rPr>
                <w:rFonts w:ascii="Arial" w:hAnsi="Arial"/>
                <w:sz w:val="18"/>
              </w:rPr>
              <w:t>32436.28</w:t>
            </w:r>
          </w:p>
        </w:tc>
        <w:tc>
          <w:tcPr>
            <w:tcW w:type="dxa" w:w="1290"/>
            <w:shd w:fill="F2F6FC" w:val="clear"/>
          </w:tcPr>
          <w:p>
            <w:pPr>
              <w:jc w:val="right"/>
            </w:pPr>
            <w:r>
              <w:rPr>
                <w:rFonts w:ascii="Arial" w:hAnsi="Arial"/>
                <w:sz w:val="18"/>
              </w:rPr>
              <w:t>1</w:t>
            </w:r>
          </w:p>
        </w:tc>
      </w:tr>
      <w:tr>
        <w:tc>
          <w:tcPr>
            <w:tcW w:type="dxa" w:w="1290"/>
          </w:tcPr>
          <w:p>
            <w:r>
              <w:rPr>
                <w:rFonts w:ascii="Arial" w:hAnsi="Arial"/>
                <w:sz w:val="18"/>
              </w:rPr>
              <w:t>FAC-0200</w:t>
            </w:r>
          </w:p>
        </w:tc>
        <w:tc>
          <w:tcPr>
            <w:tcW w:type="dxa" w:w="1290"/>
          </w:tcPr>
          <w:p>
            <w:pPr>
              <w:jc w:val="right"/>
            </w:pPr>
            <w:r>
              <w:rPr>
                <w:rFonts w:ascii="Arial" w:hAnsi="Arial"/>
                <w:sz w:val="18"/>
              </w:rPr>
              <w:t>131.4422</w:t>
            </w:r>
          </w:p>
        </w:tc>
        <w:tc>
          <w:tcPr>
            <w:tcW w:type="dxa" w:w="1290"/>
          </w:tcPr>
          <w:p>
            <w:pPr>
              <w:jc w:val="right"/>
            </w:pPr>
            <w:r>
              <w:rPr>
                <w:rFonts w:ascii="Arial" w:hAnsi="Arial"/>
                <w:sz w:val="18"/>
              </w:rPr>
              <w:t>57.0202</w:t>
            </w:r>
          </w:p>
        </w:tc>
        <w:tc>
          <w:tcPr>
            <w:tcW w:type="dxa" w:w="1290"/>
          </w:tcPr>
          <w:p>
            <w:pPr>
              <w:jc w:val="right"/>
            </w:pPr>
            <w:r>
              <w:rPr>
                <w:rFonts w:ascii="Arial" w:hAnsi="Arial"/>
                <w:sz w:val="18"/>
              </w:rPr>
              <w:t>74.422</w:t>
            </w:r>
          </w:p>
        </w:tc>
        <w:tc>
          <w:tcPr>
            <w:tcW w:type="dxa" w:w="1290"/>
          </w:tcPr>
          <w:p>
            <w:pPr>
              <w:jc w:val="right"/>
            </w:pPr>
            <w:r>
              <w:rPr>
                <w:rFonts w:ascii="Arial" w:hAnsi="Arial"/>
                <w:sz w:val="18"/>
              </w:rPr>
              <w:t>1015.37</w:t>
            </w:r>
          </w:p>
        </w:tc>
        <w:tc>
          <w:tcPr>
            <w:tcW w:type="dxa" w:w="1290"/>
          </w:tcPr>
          <w:p>
            <w:pPr>
              <w:jc w:val="right"/>
            </w:pPr>
            <w:r>
              <w:rPr>
                <w:rFonts w:ascii="Arial" w:hAnsi="Arial"/>
                <w:sz w:val="18"/>
              </w:rPr>
              <w:t>28947.24</w:t>
            </w:r>
          </w:p>
        </w:tc>
        <w:tc>
          <w:tcPr>
            <w:tcW w:type="dxa" w:w="1290"/>
          </w:tcPr>
          <w:p>
            <w:pPr>
              <w:jc w:val="right"/>
            </w:pPr>
            <w:r>
              <w:rPr>
                <w:rFonts w:ascii="Arial" w:hAnsi="Arial"/>
                <w:sz w:val="18"/>
              </w:rPr>
              <w:t>1</w:t>
            </w:r>
          </w:p>
        </w:tc>
      </w:tr>
      <w:tr>
        <w:tc>
          <w:tcPr>
            <w:tcW w:type="dxa" w:w="1290"/>
            <w:shd w:fill="F2F6FC" w:val="clear"/>
          </w:tcPr>
          <w:p>
            <w:r>
              <w:rPr>
                <w:rFonts w:ascii="Arial" w:hAnsi="Arial"/>
                <w:sz w:val="18"/>
              </w:rPr>
              <w:t>FAC-0196</w:t>
            </w:r>
          </w:p>
        </w:tc>
        <w:tc>
          <w:tcPr>
            <w:tcW w:type="dxa" w:w="1290"/>
            <w:shd w:fill="F2F6FC" w:val="clear"/>
          </w:tcPr>
          <w:p>
            <w:pPr>
              <w:jc w:val="right"/>
            </w:pPr>
            <w:r>
              <w:rPr>
                <w:rFonts w:ascii="Arial" w:hAnsi="Arial"/>
                <w:sz w:val="18"/>
              </w:rPr>
              <w:t>124.4219</w:t>
            </w:r>
          </w:p>
        </w:tc>
        <w:tc>
          <w:tcPr>
            <w:tcW w:type="dxa" w:w="1290"/>
            <w:shd w:fill="F2F6FC" w:val="clear"/>
          </w:tcPr>
          <w:p>
            <w:pPr>
              <w:jc w:val="right"/>
            </w:pPr>
            <w:r>
              <w:rPr>
                <w:rFonts w:ascii="Arial" w:hAnsi="Arial"/>
                <w:sz w:val="18"/>
              </w:rPr>
              <w:t>51.7527</w:t>
            </w:r>
          </w:p>
        </w:tc>
        <w:tc>
          <w:tcPr>
            <w:tcW w:type="dxa" w:w="1290"/>
            <w:shd w:fill="F2F6FC" w:val="clear"/>
          </w:tcPr>
          <w:p>
            <w:pPr>
              <w:jc w:val="right"/>
            </w:pPr>
            <w:r>
              <w:rPr>
                <w:rFonts w:ascii="Arial" w:hAnsi="Arial"/>
                <w:sz w:val="18"/>
              </w:rPr>
              <w:t>72.6692</w:t>
            </w:r>
          </w:p>
        </w:tc>
        <w:tc>
          <w:tcPr>
            <w:tcW w:type="dxa" w:w="1290"/>
            <w:shd w:fill="F2F6FC" w:val="clear"/>
          </w:tcPr>
          <w:p>
            <w:pPr>
              <w:jc w:val="right"/>
            </w:pPr>
            <w:r>
              <w:rPr>
                <w:rFonts w:ascii="Arial" w:hAnsi="Arial"/>
                <w:sz w:val="18"/>
              </w:rPr>
              <w:t>921.57</w:t>
            </w:r>
          </w:p>
        </w:tc>
        <w:tc>
          <w:tcPr>
            <w:tcW w:type="dxa" w:w="1290"/>
            <w:shd w:fill="F2F6FC" w:val="clear"/>
          </w:tcPr>
          <w:p>
            <w:pPr>
              <w:jc w:val="right"/>
            </w:pPr>
            <w:r>
              <w:rPr>
                <w:rFonts w:ascii="Arial" w:hAnsi="Arial"/>
                <w:sz w:val="18"/>
              </w:rPr>
              <w:t>28265.49</w:t>
            </w:r>
          </w:p>
        </w:tc>
        <w:tc>
          <w:tcPr>
            <w:tcW w:type="dxa" w:w="1290"/>
            <w:shd w:fill="F2F6FC" w:val="clear"/>
          </w:tcPr>
          <w:p>
            <w:pPr>
              <w:jc w:val="right"/>
            </w:pPr>
            <w:r>
              <w:rPr>
                <w:rFonts w:ascii="Arial" w:hAnsi="Arial"/>
                <w:sz w:val="18"/>
              </w:rPr>
              <w:t>1</w:t>
            </w:r>
          </w:p>
        </w:tc>
      </w:tr>
      <w:tr>
        <w:tc>
          <w:tcPr>
            <w:tcW w:type="dxa" w:w="1290"/>
          </w:tcPr>
          <w:p>
            <w:r>
              <w:rPr>
                <w:rFonts w:ascii="Arial" w:hAnsi="Arial"/>
                <w:sz w:val="18"/>
              </w:rPr>
              <w:t>FAC-0199</w:t>
            </w:r>
          </w:p>
        </w:tc>
        <w:tc>
          <w:tcPr>
            <w:tcW w:type="dxa" w:w="1290"/>
          </w:tcPr>
          <w:p>
            <w:pPr>
              <w:jc w:val="right"/>
            </w:pPr>
            <w:r>
              <w:rPr>
                <w:rFonts w:ascii="Arial" w:hAnsi="Arial"/>
                <w:sz w:val="18"/>
              </w:rPr>
              <w:t>109.4122</w:t>
            </w:r>
          </w:p>
        </w:tc>
        <w:tc>
          <w:tcPr>
            <w:tcW w:type="dxa" w:w="1290"/>
          </w:tcPr>
          <w:p>
            <w:pPr>
              <w:jc w:val="right"/>
            </w:pPr>
            <w:r>
              <w:rPr>
                <w:rFonts w:ascii="Arial" w:hAnsi="Arial"/>
                <w:sz w:val="18"/>
              </w:rPr>
              <w:t>52.015</w:t>
            </w:r>
          </w:p>
        </w:tc>
        <w:tc>
          <w:tcPr>
            <w:tcW w:type="dxa" w:w="1290"/>
          </w:tcPr>
          <w:p>
            <w:pPr>
              <w:jc w:val="right"/>
            </w:pPr>
            <w:r>
              <w:rPr>
                <w:rFonts w:ascii="Arial" w:hAnsi="Arial"/>
                <w:sz w:val="18"/>
              </w:rPr>
              <w:t>57.3972</w:t>
            </w:r>
          </w:p>
        </w:tc>
        <w:tc>
          <w:tcPr>
            <w:tcW w:type="dxa" w:w="1290"/>
          </w:tcPr>
          <w:p>
            <w:pPr>
              <w:jc w:val="right"/>
            </w:pPr>
            <w:r>
              <w:rPr>
                <w:rFonts w:ascii="Arial" w:hAnsi="Arial"/>
                <w:sz w:val="18"/>
              </w:rPr>
              <w:t>926.24</w:t>
            </w:r>
          </w:p>
        </w:tc>
        <w:tc>
          <w:tcPr>
            <w:tcW w:type="dxa" w:w="1290"/>
          </w:tcPr>
          <w:p>
            <w:pPr>
              <w:jc w:val="right"/>
            </w:pPr>
            <w:r>
              <w:rPr>
                <w:rFonts w:ascii="Arial" w:hAnsi="Arial"/>
                <w:sz w:val="18"/>
              </w:rPr>
              <w:t>22325.28</w:t>
            </w:r>
          </w:p>
        </w:tc>
        <w:tc>
          <w:tcPr>
            <w:tcW w:type="dxa" w:w="1290"/>
          </w:tcPr>
          <w:p>
            <w:pPr>
              <w:jc w:val="right"/>
            </w:pPr>
            <w:r>
              <w:rPr>
                <w:rFonts w:ascii="Arial" w:hAnsi="Arial"/>
                <w:sz w:val="18"/>
              </w:rPr>
              <w:t>1</w:t>
            </w:r>
          </w:p>
        </w:tc>
      </w:tr>
      <w:tr>
        <w:tc>
          <w:tcPr>
            <w:tcW w:type="dxa" w:w="1290"/>
            <w:shd w:fill="F2F6FC" w:val="clear"/>
          </w:tcPr>
          <w:p>
            <w:r>
              <w:rPr>
                <w:rFonts w:ascii="Arial" w:hAnsi="Arial"/>
                <w:sz w:val="18"/>
              </w:rPr>
              <w:t>FAC-0193</w:t>
            </w:r>
          </w:p>
        </w:tc>
        <w:tc>
          <w:tcPr>
            <w:tcW w:type="dxa" w:w="1290"/>
            <w:shd w:fill="F2F6FC" w:val="clear"/>
          </w:tcPr>
          <w:p>
            <w:pPr>
              <w:jc w:val="right"/>
            </w:pPr>
            <w:r>
              <w:rPr>
                <w:rFonts w:ascii="Arial" w:hAnsi="Arial"/>
                <w:sz w:val="18"/>
              </w:rPr>
              <w:t>72.3228</w:t>
            </w:r>
          </w:p>
        </w:tc>
        <w:tc>
          <w:tcPr>
            <w:tcW w:type="dxa" w:w="1290"/>
            <w:shd w:fill="F2F6FC" w:val="clear"/>
          </w:tcPr>
          <w:p>
            <w:pPr>
              <w:jc w:val="right"/>
            </w:pPr>
            <w:r>
              <w:rPr>
                <w:rFonts w:ascii="Arial" w:hAnsi="Arial"/>
                <w:sz w:val="18"/>
              </w:rPr>
              <w:t>0.0</w:t>
            </w:r>
          </w:p>
        </w:tc>
        <w:tc>
          <w:tcPr>
            <w:tcW w:type="dxa" w:w="1290"/>
            <w:shd w:fill="F2F6FC" w:val="clear"/>
          </w:tcPr>
          <w:p>
            <w:pPr>
              <w:jc w:val="right"/>
            </w:pPr>
            <w:r>
              <w:rPr>
                <w:rFonts w:ascii="Arial" w:hAnsi="Arial"/>
                <w:sz w:val="18"/>
              </w:rPr>
              <w:t>72.3228</w:t>
            </w:r>
          </w:p>
        </w:tc>
        <w:tc>
          <w:tcPr>
            <w:tcW w:type="dxa" w:w="1290"/>
            <w:shd w:fill="F2F6FC" w:val="clear"/>
          </w:tcPr>
          <w:p>
            <w:pPr>
              <w:jc w:val="right"/>
            </w:pPr>
            <w:r>
              <w:rPr>
                <w:rFonts w:ascii="Arial" w:hAnsi="Arial"/>
                <w:sz w:val="18"/>
              </w:rPr>
              <w:t>0.0</w:t>
            </w:r>
          </w:p>
        </w:tc>
        <w:tc>
          <w:tcPr>
            <w:tcW w:type="dxa" w:w="1290"/>
            <w:shd w:fill="F2F6FC" w:val="clear"/>
          </w:tcPr>
          <w:p>
            <w:pPr>
              <w:jc w:val="right"/>
            </w:pPr>
            <w:r>
              <w:rPr>
                <w:rFonts w:ascii="Arial" w:hAnsi="Arial"/>
                <w:sz w:val="18"/>
              </w:rPr>
              <w:t>28130.74</w:t>
            </w:r>
          </w:p>
        </w:tc>
        <w:tc>
          <w:tcPr>
            <w:tcW w:type="dxa" w:w="1290"/>
            <w:shd w:fill="F2F6FC" w:val="clear"/>
          </w:tcPr>
          <w:p>
            <w:pPr>
              <w:jc w:val="right"/>
            </w:pPr>
            <w:r>
              <w:rPr>
                <w:rFonts w:ascii="Arial" w:hAnsi="Arial"/>
                <w:sz w:val="18"/>
              </w:rPr>
              <w:t>1</w:t>
            </w:r>
          </w:p>
        </w:tc>
      </w:tr>
      <w:tr>
        <w:tc>
          <w:tcPr>
            <w:tcW w:type="dxa" w:w="1290"/>
          </w:tcPr>
          <w:p>
            <w:r>
              <w:rPr>
                <w:rFonts w:ascii="Arial" w:hAnsi="Arial"/>
                <w:sz w:val="18"/>
              </w:rPr>
              <w:t>FAC-0215</w:t>
            </w:r>
          </w:p>
        </w:tc>
        <w:tc>
          <w:tcPr>
            <w:tcW w:type="dxa" w:w="1290"/>
          </w:tcPr>
          <w:p>
            <w:pPr>
              <w:jc w:val="right"/>
            </w:pPr>
            <w:r>
              <w:rPr>
                <w:rFonts w:ascii="Arial" w:hAnsi="Arial"/>
                <w:sz w:val="18"/>
              </w:rPr>
              <w:t>70.6057</w:t>
            </w:r>
          </w:p>
        </w:tc>
        <w:tc>
          <w:tcPr>
            <w:tcW w:type="dxa" w:w="1290"/>
          </w:tcPr>
          <w:p>
            <w:pPr>
              <w:jc w:val="right"/>
            </w:pPr>
            <w:r>
              <w:rPr>
                <w:rFonts w:ascii="Arial" w:hAnsi="Arial"/>
                <w:sz w:val="18"/>
              </w:rPr>
              <w:t>23.586</w:t>
            </w:r>
          </w:p>
        </w:tc>
        <w:tc>
          <w:tcPr>
            <w:tcW w:type="dxa" w:w="1290"/>
          </w:tcPr>
          <w:p>
            <w:pPr>
              <w:jc w:val="right"/>
            </w:pPr>
            <w:r>
              <w:rPr>
                <w:rFonts w:ascii="Arial" w:hAnsi="Arial"/>
                <w:sz w:val="18"/>
              </w:rPr>
              <w:t>47.0197</w:t>
            </w:r>
          </w:p>
        </w:tc>
        <w:tc>
          <w:tcPr>
            <w:tcW w:type="dxa" w:w="1290"/>
          </w:tcPr>
          <w:p>
            <w:pPr>
              <w:jc w:val="right"/>
            </w:pPr>
            <w:r>
              <w:rPr>
                <w:rFonts w:ascii="Arial" w:hAnsi="Arial"/>
                <w:sz w:val="18"/>
              </w:rPr>
              <w:t>420.0</w:t>
            </w:r>
          </w:p>
        </w:tc>
        <w:tc>
          <w:tcPr>
            <w:tcW w:type="dxa" w:w="1290"/>
          </w:tcPr>
          <w:p>
            <w:pPr>
              <w:jc w:val="right"/>
            </w:pPr>
            <w:r>
              <w:rPr>
                <w:rFonts w:ascii="Arial" w:hAnsi="Arial"/>
                <w:sz w:val="18"/>
              </w:rPr>
              <w:t>18288.82</w:t>
            </w:r>
          </w:p>
        </w:tc>
        <w:tc>
          <w:tcPr>
            <w:tcW w:type="dxa" w:w="1290"/>
          </w:tcPr>
          <w:p>
            <w:pPr>
              <w:jc w:val="right"/>
            </w:pPr>
            <w:r>
              <w:rPr>
                <w:rFonts w:ascii="Arial" w:hAnsi="Arial"/>
                <w:sz w:val="18"/>
              </w:rPr>
              <w:t>1</w:t>
            </w:r>
          </w:p>
        </w:tc>
      </w:tr>
      <w:tr>
        <w:tc>
          <w:tcPr>
            <w:tcW w:type="dxa" w:w="1290"/>
            <w:shd w:fill="F2F6FC" w:val="clear"/>
          </w:tcPr>
          <w:p>
            <w:r>
              <w:rPr>
                <w:rFonts w:ascii="Arial" w:hAnsi="Arial"/>
                <w:sz w:val="18"/>
              </w:rPr>
              <w:t>FAC-0191</w:t>
            </w:r>
          </w:p>
        </w:tc>
        <w:tc>
          <w:tcPr>
            <w:tcW w:type="dxa" w:w="1290"/>
            <w:shd w:fill="F2F6FC" w:val="clear"/>
          </w:tcPr>
          <w:p>
            <w:pPr>
              <w:jc w:val="right"/>
            </w:pPr>
            <w:r>
              <w:rPr>
                <w:rFonts w:ascii="Arial" w:hAnsi="Arial"/>
                <w:sz w:val="18"/>
              </w:rPr>
              <w:t>67.3744</w:t>
            </w:r>
          </w:p>
        </w:tc>
        <w:tc>
          <w:tcPr>
            <w:tcW w:type="dxa" w:w="1290"/>
            <w:shd w:fill="F2F6FC" w:val="clear"/>
          </w:tcPr>
          <w:p>
            <w:pPr>
              <w:jc w:val="right"/>
            </w:pPr>
            <w:r>
              <w:rPr>
                <w:rFonts w:ascii="Arial" w:hAnsi="Arial"/>
                <w:sz w:val="18"/>
              </w:rPr>
              <w:t>0.0</w:t>
            </w:r>
          </w:p>
        </w:tc>
        <w:tc>
          <w:tcPr>
            <w:tcW w:type="dxa" w:w="1290"/>
            <w:shd w:fill="F2F6FC" w:val="clear"/>
          </w:tcPr>
          <w:p>
            <w:pPr>
              <w:jc w:val="right"/>
            </w:pPr>
            <w:r>
              <w:rPr>
                <w:rFonts w:ascii="Arial" w:hAnsi="Arial"/>
                <w:sz w:val="18"/>
              </w:rPr>
              <w:t>67.3744</w:t>
            </w:r>
          </w:p>
        </w:tc>
        <w:tc>
          <w:tcPr>
            <w:tcW w:type="dxa" w:w="1290"/>
            <w:shd w:fill="F2F6FC" w:val="clear"/>
          </w:tcPr>
          <w:p>
            <w:pPr>
              <w:jc w:val="right"/>
            </w:pPr>
            <w:r>
              <w:rPr>
                <w:rFonts w:ascii="Arial" w:hAnsi="Arial"/>
                <w:sz w:val="18"/>
              </w:rPr>
              <w:t>0.0</w:t>
            </w:r>
          </w:p>
        </w:tc>
        <w:tc>
          <w:tcPr>
            <w:tcW w:type="dxa" w:w="1290"/>
            <w:shd w:fill="F2F6FC" w:val="clear"/>
          </w:tcPr>
          <w:p>
            <w:pPr>
              <w:jc w:val="right"/>
            </w:pPr>
            <w:r>
              <w:rPr>
                <w:rFonts w:ascii="Arial" w:hAnsi="Arial"/>
                <w:sz w:val="18"/>
              </w:rPr>
              <w:t>26206.0</w:t>
            </w:r>
          </w:p>
        </w:tc>
        <w:tc>
          <w:tcPr>
            <w:tcW w:type="dxa" w:w="1290"/>
            <w:shd w:fill="F2F6FC" w:val="clear"/>
          </w:tcPr>
          <w:p>
            <w:pPr>
              <w:jc w:val="right"/>
            </w:pPr>
            <w:r>
              <w:rPr>
                <w:rFonts w:ascii="Arial" w:hAnsi="Arial"/>
                <w:sz w:val="18"/>
              </w:rPr>
              <w:t>1</w:t>
            </w:r>
          </w:p>
        </w:tc>
      </w:tr>
      <w:tr>
        <w:tc>
          <w:tcPr>
            <w:tcW w:type="dxa" w:w="1290"/>
          </w:tcPr>
          <w:p>
            <w:r>
              <w:rPr>
                <w:rFonts w:ascii="Arial" w:hAnsi="Arial"/>
                <w:sz w:val="18"/>
              </w:rPr>
              <w:t>FAC-0181</w:t>
            </w:r>
          </w:p>
        </w:tc>
        <w:tc>
          <w:tcPr>
            <w:tcW w:type="dxa" w:w="1290"/>
          </w:tcPr>
          <w:p>
            <w:pPr>
              <w:jc w:val="right"/>
            </w:pPr>
            <w:r>
              <w:rPr>
                <w:rFonts w:ascii="Arial" w:hAnsi="Arial"/>
                <w:sz w:val="18"/>
              </w:rPr>
              <w:t>63.758</w:t>
            </w:r>
          </w:p>
        </w:tc>
        <w:tc>
          <w:tcPr>
            <w:tcW w:type="dxa" w:w="1290"/>
          </w:tcPr>
          <w:p>
            <w:pPr>
              <w:jc w:val="right"/>
            </w:pPr>
            <w:r>
              <w:rPr>
                <w:rFonts w:ascii="Arial" w:hAnsi="Arial"/>
                <w:sz w:val="18"/>
              </w:rPr>
              <w:t>0.0</w:t>
            </w:r>
          </w:p>
        </w:tc>
        <w:tc>
          <w:tcPr>
            <w:tcW w:type="dxa" w:w="1290"/>
          </w:tcPr>
          <w:p>
            <w:pPr>
              <w:jc w:val="right"/>
            </w:pPr>
            <w:r>
              <w:rPr>
                <w:rFonts w:ascii="Arial" w:hAnsi="Arial"/>
                <w:sz w:val="18"/>
              </w:rPr>
              <w:t>63.758</w:t>
            </w:r>
          </w:p>
        </w:tc>
        <w:tc>
          <w:tcPr>
            <w:tcW w:type="dxa" w:w="1290"/>
          </w:tcPr>
          <w:p>
            <w:pPr>
              <w:jc w:val="right"/>
            </w:pPr>
            <w:r>
              <w:rPr>
                <w:rFonts w:ascii="Arial" w:hAnsi="Arial"/>
                <w:sz w:val="18"/>
              </w:rPr>
              <w:t>0.0</w:t>
            </w:r>
          </w:p>
        </w:tc>
        <w:tc>
          <w:tcPr>
            <w:tcW w:type="dxa" w:w="1290"/>
          </w:tcPr>
          <w:p>
            <w:pPr>
              <w:jc w:val="right"/>
            </w:pPr>
            <w:r>
              <w:rPr>
                <w:rFonts w:ascii="Arial" w:hAnsi="Arial"/>
                <w:sz w:val="18"/>
              </w:rPr>
              <w:t>24799.36</w:t>
            </w:r>
          </w:p>
        </w:tc>
        <w:tc>
          <w:tcPr>
            <w:tcW w:type="dxa" w:w="1290"/>
          </w:tcPr>
          <w:p>
            <w:pPr>
              <w:jc w:val="right"/>
            </w:pPr>
            <w:r>
              <w:rPr>
                <w:rFonts w:ascii="Arial" w:hAnsi="Arial"/>
                <w:sz w:val="18"/>
              </w:rPr>
              <w:t>1</w:t>
            </w:r>
          </w:p>
        </w:tc>
      </w:tr>
      <w:tr>
        <w:tc>
          <w:tcPr>
            <w:tcW w:type="dxa" w:w="1290"/>
            <w:shd w:fill="F2F6FC" w:val="clear"/>
          </w:tcPr>
          <w:p>
            <w:r>
              <w:rPr>
                <w:rFonts w:ascii="Arial" w:hAnsi="Arial"/>
                <w:sz w:val="18"/>
              </w:rPr>
              <w:t>FAC-0208</w:t>
            </w:r>
          </w:p>
        </w:tc>
        <w:tc>
          <w:tcPr>
            <w:tcW w:type="dxa" w:w="1290"/>
            <w:shd w:fill="F2F6FC" w:val="clear"/>
          </w:tcPr>
          <w:p>
            <w:pPr>
              <w:jc w:val="right"/>
            </w:pPr>
            <w:r>
              <w:rPr>
                <w:rFonts w:ascii="Arial" w:hAnsi="Arial"/>
                <w:sz w:val="18"/>
              </w:rPr>
              <w:t>63.5152</w:t>
            </w:r>
          </w:p>
        </w:tc>
        <w:tc>
          <w:tcPr>
            <w:tcW w:type="dxa" w:w="1290"/>
            <w:shd w:fill="F2F6FC" w:val="clear"/>
          </w:tcPr>
          <w:p>
            <w:pPr>
              <w:jc w:val="right"/>
            </w:pPr>
            <w:r>
              <w:rPr>
                <w:rFonts w:ascii="Arial" w:hAnsi="Arial"/>
                <w:sz w:val="18"/>
              </w:rPr>
              <w:t>23.7606</w:t>
            </w:r>
          </w:p>
        </w:tc>
        <w:tc>
          <w:tcPr>
            <w:tcW w:type="dxa" w:w="1290"/>
            <w:shd w:fill="F2F6FC" w:val="clear"/>
          </w:tcPr>
          <w:p>
            <w:pPr>
              <w:jc w:val="right"/>
            </w:pPr>
            <w:r>
              <w:rPr>
                <w:rFonts w:ascii="Arial" w:hAnsi="Arial"/>
                <w:sz w:val="18"/>
              </w:rPr>
              <w:t>39.7546</w:t>
            </w:r>
          </w:p>
        </w:tc>
        <w:tc>
          <w:tcPr>
            <w:tcW w:type="dxa" w:w="1290"/>
            <w:shd w:fill="F2F6FC" w:val="clear"/>
          </w:tcPr>
          <w:p>
            <w:pPr>
              <w:jc w:val="right"/>
            </w:pPr>
            <w:r>
              <w:rPr>
                <w:rFonts w:ascii="Arial" w:hAnsi="Arial"/>
                <w:sz w:val="18"/>
              </w:rPr>
              <w:t>423.11</w:t>
            </w:r>
          </w:p>
        </w:tc>
        <w:tc>
          <w:tcPr>
            <w:tcW w:type="dxa" w:w="1290"/>
            <w:shd w:fill="F2F6FC" w:val="clear"/>
          </w:tcPr>
          <w:p>
            <w:pPr>
              <w:jc w:val="right"/>
            </w:pPr>
            <w:r>
              <w:rPr>
                <w:rFonts w:ascii="Arial" w:hAnsi="Arial"/>
                <w:sz w:val="18"/>
              </w:rPr>
              <w:t>15462.97</w:t>
            </w:r>
          </w:p>
        </w:tc>
        <w:tc>
          <w:tcPr>
            <w:tcW w:type="dxa" w:w="1290"/>
            <w:shd w:fill="F2F6FC" w:val="clear"/>
          </w:tcPr>
          <w:p>
            <w:pPr>
              <w:jc w:val="right"/>
            </w:pPr>
            <w:r>
              <w:rPr>
                <w:rFonts w:ascii="Arial" w:hAnsi="Arial"/>
                <w:sz w:val="18"/>
              </w:rPr>
              <w:t>1</w:t>
            </w:r>
          </w:p>
        </w:tc>
      </w:tr>
    </w:tbl>
    <w:p>
      <w:r>
        <w:rPr>
          <w:rFonts w:ascii="Arial" w:hAnsi="Arial"/>
          <w:i/>
          <w:sz w:val="16"/>
        </w:rPr>
        <w:t>Source: Source: Facility-level consumption records from institution's ERP system; top 10 facilities represent 28.9% of total Scope 1 emissions.</w:t>
      </w:r>
    </w:p>
    <w:p/>
    <w:p>
      <w:r>
        <w:rPr>
          <w:i/>
          <w:color w:val="3D6094"/>
          <w:sz w:val="18"/>
        </w:rPr>
        <w:t>Framework references: ESRS E1-6 (Gross Scopes 1, 2, 3 and Total GHG emissions); GHG Protocol Corporate Accounting and Reporting Standard (2015); IPCC Sixth Assessment Report (AR6) - GWP100 values; Indonesia MEMR National Emission Factor Database (2023)</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Reconciliation check: Natural gas emissions (1199.7924 tCO2e) + Diesel emissions (2203.2044 tCO2e) = 3402.9968 tCO2e, which reconciles to reported total of 3402.997 tCO2e within rounding tolerance (0.0002 tCO2e difference due to decimal precision).</w:t>
      </w:r>
    </w:p>
    <w:p>
      <w:pPr>
        <w:spacing w:after="160" w:line="276" w:lineRule="auto"/>
        <w:jc w:val="both"/>
      </w:pPr>
      <w:r>
        <w:rPr>
          <w:rFonts w:ascii="Arial" w:hAnsi="Arial"/>
          <w:i/>
          <w:color w:val="646464"/>
          <w:sz w:val="18"/>
        </w:rPr>
        <w:t>Scope 1 emissions are reported on an operational control basis per GHG Protocol Corporate Standard. Facilities where the institution has joint control but not operational control are excluded from this inventory and will be reported under equity share approach in supplementary disclosures if material.</w:t>
      </w:r>
    </w:p>
    <w:p>
      <w:pPr>
        <w:spacing w:after="160" w:line="276" w:lineRule="auto"/>
        <w:jc w:val="both"/>
      </w:pPr>
      <w:r>
        <w:rPr>
          <w:rFonts w:ascii="Arial" w:hAnsi="Arial"/>
          <w:i/>
          <w:color w:val="646464"/>
          <w:sz w:val="18"/>
        </w:rPr>
        <w:t>Biogenic CO2 emissions from biomass combustion are not applicable to this institution's Scope 1 inventory for 2024, as no biomass fuels were consumed during the reporting period.</w:t>
      </w:r>
    </w:p>
    <w:p>
      <w:r>
        <w:br w:type="page"/>
      </w:r>
    </w:p>
    <w:p>
      <w:pPr>
        <w:pStyle w:val="Heading1"/>
        <w:keepNext/>
        <w:spacing w:before="480" w:after="240"/>
      </w:pPr>
      <w:r>
        <w:rPr>
          <w:rFonts w:ascii="Arial" w:hAnsi="Arial"/>
          <w:b/>
          <w:color w:val="1B3A6B"/>
          <w:sz w:val="36"/>
        </w:rPr>
        <w:t>Emisi GRK Langsung (Scope 1) / Scope 1 Direct GHG Emissions</w:t>
      </w:r>
    </w:p>
    <w:p>
      <w:pPr>
        <w:spacing w:after="160" w:line="276" w:lineRule="auto"/>
        <w:jc w:val="both"/>
      </w:pPr>
      <w:r>
        <w:rPr>
          <w:rFonts w:ascii="Arial" w:hAnsi="Arial"/>
          <w:sz w:val="22"/>
        </w:rPr>
        <w:t>The institution reported total Scope 1 direct greenhouse gas emissions of 3,402.997 tCO2e for Tahun Pelaporan 2024. Scope 1 emissions encompass direct emissions from sources owned or controlled by the institution, including stationary combustion in facilities and mobile combustion from owned vehicles. This disclosure is prepared in accordance with POJK No. 51/POJK.03/2017 tentang Penerapan Keuangan Berkelanjutan bagi Lembaga Jasa Keuangan, Emiten, dan Perusahaan Publik (POJK 51/2017) and follows the GHG Protocol Corporate Accounting and Reporting Standard (Revised Edition, 2015).</w:t>
      </w:r>
    </w:p>
    <w:p>
      <w:pPr>
        <w:spacing w:after="160" w:line="276" w:lineRule="auto"/>
        <w:jc w:val="both"/>
      </w:pPr>
      <w:r>
        <w:rPr>
          <w:rFonts w:ascii="Arial" w:hAnsi="Arial"/>
          <w:sz w:val="22"/>
        </w:rPr>
        <w:t>The institution's Scope 1 emissions comprised two primary sources: natural gas combustion contributing 1,199.7924 tCO2e (35.3% of total Scope 1) and diesel combustion contributing 2,203.2044 tCO2e (64.7% of total Scope 1). Natural gas combustion occurred primarily in stationary equipment at branch facilities and data centers, while diesel combustion resulted from backup generators, owned vehicle fleets, and emergency power systems. The emission source breakdown demonstrates the institution's reliance on diesel fuel for operational continuity and transportation activities across its operational footprint.</w:t>
      </w:r>
    </w:p>
    <w:p>
      <w:pPr>
        <w:spacing w:after="160" w:line="276" w:lineRule="auto"/>
        <w:jc w:val="both"/>
      </w:pPr>
      <w:r>
        <w:rPr>
          <w:rFonts w:ascii="Arial" w:hAnsi="Arial"/>
          <w:sz w:val="22"/>
        </w:rPr>
        <w:t>Scope 1 emissions increased by 2.36% compared to the prior reporting year (Tahun Pelaporan 2023: 3,324.521 tCO2e), representing an absolute increase of 78.476 tCO2e. The year-over-year increase was primarily attributable to expanded branch network operations requiring additional backup power capacity and increased diesel consumption for emergency preparedness protocols. The institution maintained consistent operational control boundaries and consolidation methodology across both reporting periods, ensuring comparability of emissions data.</w:t>
      </w:r>
    </w:p>
    <w:p>
      <w:pPr>
        <w:spacing w:after="160" w:line="276" w:lineRule="auto"/>
        <w:jc w:val="both"/>
      </w:pPr>
      <w:r>
        <w:rPr>
          <w:rFonts w:ascii="Arial" w:hAnsi="Arial"/>
          <w:i/>
          <w:sz w:val="22"/>
        </w:rPr>
        <w:t>Emission quantification methodology adhered to the GHG Protocol Corporate Standard using the operational control consolidation approach. Greenhouse gas emissions were calculated by multiplying activity data (fuel consumption in gigajoules for natural gas and liters for diesel) by emission factors sourced from Indonesia's Ministry of Energy and Mineral Resources (ESDM) default factors for stationary combustion. Global Warming Potential (GWP) values from the Intergovernmental Panel on Climate Change (IPCC) Sixth Assessment Report (AR6) were applied for methane (CH4 = 29.8 kg CO2e/kg CH4) and nitrous oxide (N2O = 273.0 kg CO2e/kg N2O) to convert emissions to carbon dioxide equivalents (CO2e). The calculation included all three primary greenhouse gases: carbon dioxide (CO2), methane (CH4), and nitrous oxide (N2O).</w:t>
      </w:r>
    </w:p>
    <w:p>
      <w:r>
        <w:rPr>
          <w:rFonts w:ascii="Arial" w:hAnsi="Arial"/>
          <w:b/>
          <w:sz w:val="20"/>
        </w:rPr>
        <w:t>Tabel 1: Rincian Emisi Scope 1 Berdasarkan Sumber / Table 1: Scope 1 Emissions by Source</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A6B" w:val="clear"/>
          </w:tcPr>
          <w:p>
            <w:r>
              <w:rPr>
                <w:rFonts w:ascii="Arial" w:hAnsi="Arial"/>
                <w:b/>
                <w:color w:val="FFFFFF"/>
                <w:sz w:val="18"/>
              </w:rPr>
              <w:t>No.</w:t>
            </w:r>
          </w:p>
        </w:tc>
        <w:tc>
          <w:tcPr>
            <w:tcW w:type="dxa" w:w="1290"/>
            <w:shd w:fill="1B3A6B" w:val="clear"/>
          </w:tcPr>
          <w:p>
            <w:r>
              <w:rPr>
                <w:rFonts w:ascii="Arial" w:hAnsi="Arial"/>
                <w:b/>
                <w:color w:val="FFFFFF"/>
                <w:sz w:val="18"/>
              </w:rPr>
              <w:t>Sumber Emisi / Emission Source</w:t>
            </w:r>
          </w:p>
        </w:tc>
        <w:tc>
          <w:tcPr>
            <w:tcW w:type="dxa" w:w="1290"/>
            <w:shd w:fill="1B3A6B" w:val="clear"/>
          </w:tcPr>
          <w:p>
            <w:r>
              <w:rPr>
                <w:rFonts w:ascii="Arial" w:hAnsi="Arial"/>
                <w:b/>
                <w:color w:val="FFFFFF"/>
                <w:sz w:val="18"/>
              </w:rPr>
              <w:t>Satuan / Unit</w:t>
            </w:r>
          </w:p>
        </w:tc>
        <w:tc>
          <w:tcPr>
            <w:tcW w:type="dxa" w:w="1290"/>
            <w:shd w:fill="1B3A6B" w:val="clear"/>
          </w:tcPr>
          <w:p>
            <w:r>
              <w:rPr>
                <w:rFonts w:ascii="Arial" w:hAnsi="Arial"/>
                <w:b/>
                <w:color w:val="FFFFFF"/>
                <w:sz w:val="18"/>
              </w:rPr>
              <w:t>Tahun Pelaporan 2024 / Reporting Year 2024</w:t>
            </w:r>
          </w:p>
        </w:tc>
        <w:tc>
          <w:tcPr>
            <w:tcW w:type="dxa" w:w="1290"/>
            <w:shd w:fill="1B3A6B" w:val="clear"/>
          </w:tcPr>
          <w:p>
            <w:r>
              <w:rPr>
                <w:rFonts w:ascii="Arial" w:hAnsi="Arial"/>
                <w:b/>
                <w:color w:val="FFFFFF"/>
                <w:sz w:val="18"/>
              </w:rPr>
              <w:t>Tahun Pelaporan 2023 / Reporting Year 2023</w:t>
            </w:r>
          </w:p>
        </w:tc>
        <w:tc>
          <w:tcPr>
            <w:tcW w:type="dxa" w:w="1290"/>
            <w:shd w:fill="1B3A6B" w:val="clear"/>
          </w:tcPr>
          <w:p>
            <w:r>
              <w:rPr>
                <w:rFonts w:ascii="Arial" w:hAnsi="Arial"/>
                <w:b/>
                <w:color w:val="FFFFFF"/>
                <w:sz w:val="18"/>
              </w:rPr>
              <w:t>Perubahan / Change (%)</w:t>
            </w:r>
          </w:p>
        </w:tc>
        <w:tc>
          <w:tcPr>
            <w:tcW w:type="dxa" w:w="1290"/>
            <w:shd w:fill="1B3A6B" w:val="clear"/>
          </w:tcPr>
          <w:p>
            <w:r>
              <w:rPr>
                <w:rFonts w:ascii="Arial" w:hAnsi="Arial"/>
                <w:b/>
                <w:color w:val="FFFFFF"/>
                <w:sz w:val="18"/>
              </w:rPr>
              <w:t>Proporsi / Proportion (%)</w:t>
            </w:r>
          </w:p>
        </w:tc>
      </w:tr>
      <w:tr>
        <w:tc>
          <w:tcPr>
            <w:tcW w:type="dxa" w:w="1290"/>
          </w:tcPr>
          <w:p>
            <w:pPr>
              <w:jc w:val="right"/>
            </w:pPr>
            <w:r>
              <w:rPr>
                <w:rFonts w:ascii="Arial" w:hAnsi="Arial"/>
                <w:sz w:val="18"/>
              </w:rPr>
              <w:t>1</w:t>
            </w:r>
          </w:p>
        </w:tc>
        <w:tc>
          <w:tcPr>
            <w:tcW w:type="dxa" w:w="1290"/>
          </w:tcPr>
          <w:p>
            <w:r>
              <w:rPr>
                <w:rFonts w:ascii="Arial" w:hAnsi="Arial"/>
                <w:sz w:val="18"/>
              </w:rPr>
              <w:t>Pembakaran Gas Alam / Natural Gas Combustion</w:t>
            </w:r>
          </w:p>
        </w:tc>
        <w:tc>
          <w:tcPr>
            <w:tcW w:type="dxa" w:w="1290"/>
          </w:tcPr>
          <w:p>
            <w:r>
              <w:rPr>
                <w:rFonts w:ascii="Arial" w:hAnsi="Arial"/>
                <w:sz w:val="18"/>
              </w:rPr>
              <w:t>tCO2e</w:t>
            </w:r>
          </w:p>
        </w:tc>
        <w:tc>
          <w:tcPr>
            <w:tcW w:type="dxa" w:w="1290"/>
          </w:tcPr>
          <w:p>
            <w:pPr>
              <w:jc w:val="right"/>
            </w:pPr>
            <w:r>
              <w:rPr>
                <w:rFonts w:ascii="Arial" w:hAnsi="Arial"/>
                <w:sz w:val="18"/>
              </w:rPr>
              <w:t>1,199.7924</w:t>
            </w:r>
          </w:p>
        </w:tc>
        <w:tc>
          <w:tcPr>
            <w:tcW w:type="dxa" w:w="1290"/>
          </w:tcPr>
          <w:p>
            <w:pPr>
              <w:jc w:val="right"/>
            </w:pPr>
            <w:r>
              <w:rPr>
                <w:rFonts w:ascii="Arial" w:hAnsi="Arial"/>
                <w:sz w:val="18"/>
              </w:rPr>
              <w:t>1,199.0321</w:t>
            </w:r>
          </w:p>
        </w:tc>
        <w:tc>
          <w:tcPr>
            <w:tcW w:type="dxa" w:w="1290"/>
          </w:tcPr>
          <w:p>
            <w:pPr>
              <w:jc w:val="right"/>
            </w:pPr>
            <w:r>
              <w:rPr>
                <w:rFonts w:ascii="Arial" w:hAnsi="Arial"/>
                <w:sz w:val="18"/>
              </w:rPr>
              <w:t>0.06</w:t>
            </w:r>
          </w:p>
        </w:tc>
        <w:tc>
          <w:tcPr>
            <w:tcW w:type="dxa" w:w="1290"/>
          </w:tcPr>
          <w:p>
            <w:pPr>
              <w:jc w:val="right"/>
            </w:pPr>
            <w:r>
              <w:rPr>
                <w:rFonts w:ascii="Arial" w:hAnsi="Arial"/>
                <w:sz w:val="18"/>
              </w:rPr>
              <w:t>35.3</w:t>
            </w:r>
          </w:p>
        </w:tc>
      </w:tr>
      <w:tr>
        <w:tc>
          <w:tcPr>
            <w:tcW w:type="dxa" w:w="1290"/>
            <w:shd w:fill="F2F6FC" w:val="clear"/>
          </w:tcPr>
          <w:p>
            <w:pPr>
              <w:jc w:val="right"/>
            </w:pPr>
            <w:r>
              <w:rPr>
                <w:rFonts w:ascii="Arial" w:hAnsi="Arial"/>
                <w:sz w:val="18"/>
              </w:rPr>
              <w:t>2</w:t>
            </w:r>
          </w:p>
        </w:tc>
        <w:tc>
          <w:tcPr>
            <w:tcW w:type="dxa" w:w="1290"/>
            <w:shd w:fill="F2F6FC" w:val="clear"/>
          </w:tcPr>
          <w:p>
            <w:r>
              <w:rPr>
                <w:rFonts w:ascii="Arial" w:hAnsi="Arial"/>
                <w:sz w:val="18"/>
              </w:rPr>
              <w:t>Pembakaran Solar / Diesel Combustion</w:t>
            </w:r>
          </w:p>
        </w:tc>
        <w:tc>
          <w:tcPr>
            <w:tcW w:type="dxa" w:w="1290"/>
            <w:shd w:fill="F2F6FC" w:val="clear"/>
          </w:tcPr>
          <w:p>
            <w:r>
              <w:rPr>
                <w:rFonts w:ascii="Arial" w:hAnsi="Arial"/>
                <w:sz w:val="18"/>
              </w:rPr>
              <w:t>tCO2e</w:t>
            </w:r>
          </w:p>
        </w:tc>
        <w:tc>
          <w:tcPr>
            <w:tcW w:type="dxa" w:w="1290"/>
            <w:shd w:fill="F2F6FC" w:val="clear"/>
          </w:tcPr>
          <w:p>
            <w:pPr>
              <w:jc w:val="right"/>
            </w:pPr>
            <w:r>
              <w:rPr>
                <w:rFonts w:ascii="Arial" w:hAnsi="Arial"/>
                <w:sz w:val="18"/>
              </w:rPr>
              <w:t>2,203.2044</w:t>
            </w:r>
          </w:p>
        </w:tc>
        <w:tc>
          <w:tcPr>
            <w:tcW w:type="dxa" w:w="1290"/>
            <w:shd w:fill="F2F6FC" w:val="clear"/>
          </w:tcPr>
          <w:p>
            <w:pPr>
              <w:jc w:val="right"/>
            </w:pPr>
            <w:r>
              <w:rPr>
                <w:rFonts w:ascii="Arial" w:hAnsi="Arial"/>
                <w:sz w:val="18"/>
              </w:rPr>
              <w:t>2,125.4888</w:t>
            </w:r>
          </w:p>
        </w:tc>
        <w:tc>
          <w:tcPr>
            <w:tcW w:type="dxa" w:w="1290"/>
            <w:shd w:fill="F2F6FC" w:val="clear"/>
          </w:tcPr>
          <w:p>
            <w:pPr>
              <w:jc w:val="right"/>
            </w:pPr>
            <w:r>
              <w:rPr>
                <w:rFonts w:ascii="Arial" w:hAnsi="Arial"/>
                <w:sz w:val="18"/>
              </w:rPr>
              <w:t>3.66</w:t>
            </w:r>
          </w:p>
        </w:tc>
        <w:tc>
          <w:tcPr>
            <w:tcW w:type="dxa" w:w="1290"/>
            <w:shd w:fill="F2F6FC" w:val="clear"/>
          </w:tcPr>
          <w:p>
            <w:pPr>
              <w:jc w:val="right"/>
            </w:pPr>
            <w:r>
              <w:rPr>
                <w:rFonts w:ascii="Arial" w:hAnsi="Arial"/>
                <w:sz w:val="18"/>
              </w:rPr>
              <w:t>64.7</w:t>
            </w:r>
          </w:p>
        </w:tc>
      </w:tr>
      <w:tr>
        <w:tc>
          <w:tcPr>
            <w:tcW w:type="dxa" w:w="1290"/>
          </w:tcPr>
          <w:p>
            <w:pPr>
              <w:jc w:val="right"/>
            </w:pPr>
            <w:r>
              <w:rPr>
                <w:rFonts w:ascii="Arial" w:hAnsi="Arial"/>
                <w:sz w:val="18"/>
              </w:rPr>
              <w:t>3</w:t>
            </w:r>
          </w:p>
        </w:tc>
        <w:tc>
          <w:tcPr>
            <w:tcW w:type="dxa" w:w="1290"/>
          </w:tcPr>
          <w:p>
            <w:r>
              <w:rPr>
                <w:rFonts w:ascii="Arial" w:hAnsi="Arial"/>
                <w:sz w:val="18"/>
              </w:rPr>
              <w:t>Total Emisi Scope 1 / Total Scope 1 Emissions</w:t>
            </w:r>
          </w:p>
        </w:tc>
        <w:tc>
          <w:tcPr>
            <w:tcW w:type="dxa" w:w="1290"/>
          </w:tcPr>
          <w:p>
            <w:r>
              <w:rPr>
                <w:rFonts w:ascii="Arial" w:hAnsi="Arial"/>
                <w:sz w:val="18"/>
              </w:rPr>
              <w:t>tCO2e</w:t>
            </w:r>
          </w:p>
        </w:tc>
        <w:tc>
          <w:tcPr>
            <w:tcW w:type="dxa" w:w="1290"/>
          </w:tcPr>
          <w:p>
            <w:pPr>
              <w:jc w:val="right"/>
            </w:pPr>
            <w:r>
              <w:rPr>
                <w:rFonts w:ascii="Arial" w:hAnsi="Arial"/>
                <w:sz w:val="18"/>
              </w:rPr>
              <w:t>3,402.997</w:t>
            </w:r>
          </w:p>
        </w:tc>
        <w:tc>
          <w:tcPr>
            <w:tcW w:type="dxa" w:w="1290"/>
          </w:tcPr>
          <w:p>
            <w:pPr>
              <w:jc w:val="right"/>
            </w:pPr>
            <w:r>
              <w:rPr>
                <w:rFonts w:ascii="Arial" w:hAnsi="Arial"/>
                <w:sz w:val="18"/>
              </w:rPr>
              <w:t>3,324.521</w:t>
            </w:r>
          </w:p>
        </w:tc>
        <w:tc>
          <w:tcPr>
            <w:tcW w:type="dxa" w:w="1290"/>
          </w:tcPr>
          <w:p>
            <w:pPr>
              <w:jc w:val="right"/>
            </w:pPr>
            <w:r>
              <w:rPr>
                <w:rFonts w:ascii="Arial" w:hAnsi="Arial"/>
                <w:sz w:val="18"/>
              </w:rPr>
              <w:t>2.36</w:t>
            </w:r>
          </w:p>
        </w:tc>
        <w:tc>
          <w:tcPr>
            <w:tcW w:type="dxa" w:w="1290"/>
          </w:tcPr>
          <w:p>
            <w:pPr>
              <w:jc w:val="right"/>
            </w:pPr>
            <w:r>
              <w:rPr>
                <w:rFonts w:ascii="Arial" w:hAnsi="Arial"/>
                <w:sz w:val="18"/>
              </w:rPr>
              <w:t>100.0</w:t>
            </w:r>
          </w:p>
        </w:tc>
      </w:tr>
    </w:tbl>
    <w:p>
      <w:r>
        <w:rPr>
          <w:rFonts w:ascii="Arial" w:hAnsi="Arial"/>
          <w:i/>
          <w:sz w:val="16"/>
        </w:rPr>
        <w:t>Source: Sumber: Sistem Pemantauan Energi Internal, dihitung menggunakan GHG Protocol Corporate Standard / Source: Internal Energy Monitoring System, calculated using GHG Protocol Corporate Standard</w:t>
      </w:r>
    </w:p>
    <w:p/>
    <w:p>
      <w:r>
        <w:rPr>
          <w:i/>
          <w:color w:val="3D6094"/>
          <w:sz w:val="18"/>
        </w:rPr>
        <w:t>Framework references: POJK No. 51/POJK.03/2017 Article 8-12 (Strategy and Action Plan); SE OJK Circular on Sustainability Reporting (Environmental Metrics); GHG Protocol Corporate Accounting and Reporting Standard (2015 Revised Edition); IPCC Sixth Assessment Report (AR6) - Global Warming Potential Values</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Emission factors: Natural gas stationary combustion = 56.1 kg CO2/GJ (ESDM Indonesia default); Diesel stationary combustion = 74.1 kg CO2/liter (ESDM Indonesia default).</w:t>
      </w:r>
    </w:p>
    <w:p>
      <w:pPr>
        <w:spacing w:after="160" w:line="276" w:lineRule="auto"/>
        <w:jc w:val="both"/>
      </w:pPr>
      <w:r>
        <w:rPr>
          <w:rFonts w:ascii="Arial" w:hAnsi="Arial"/>
          <w:i/>
          <w:color w:val="646464"/>
          <w:sz w:val="18"/>
        </w:rPr>
        <w:t>GWP values: CH4 = 29.8 kg CO2e/kg (IPCC AR6 GWP100); N2O = 273.0 kg CO2e/kg (IPCC AR6 GWP100).</w:t>
      </w:r>
    </w:p>
    <w:p>
      <w:pPr>
        <w:spacing w:after="160" w:line="276" w:lineRule="auto"/>
        <w:jc w:val="both"/>
      </w:pPr>
      <w:r>
        <w:rPr>
          <w:rFonts w:ascii="Arial" w:hAnsi="Arial"/>
          <w:i/>
          <w:color w:val="646464"/>
          <w:sz w:val="18"/>
        </w:rPr>
        <w:t>Consolidation approach: Operational control per GHG Protocol Corporate Standard. All facilities where the institution has operational control are included in Scope 1 boundary.</w:t>
      </w:r>
    </w:p>
    <w:p>
      <w:pPr>
        <w:spacing w:after="160" w:line="276" w:lineRule="auto"/>
        <w:jc w:val="both"/>
      </w:pPr>
      <w:r>
        <w:rPr>
          <w:rFonts w:ascii="Arial" w:hAnsi="Arial"/>
          <w:i/>
          <w:color w:val="646464"/>
          <w:sz w:val="18"/>
        </w:rPr>
        <w:t>Reconciliation verification: Natural gas emissions (1,199.7924 tCO2e) + Diesel emissions (2,203.2044 tCO2e) = Total Scope 1 (3,402.997 tCO2e). Values reconcile within rounding tolerance.</w:t>
      </w:r>
    </w:p>
    <w:p>
      <w:r>
        <w:br w:type="page"/>
      </w:r>
    </w:p>
    <w:p>
      <w:pPr>
        <w:pStyle w:val="Heading1"/>
        <w:keepNext/>
        <w:spacing w:before="480" w:after="240"/>
      </w:pPr>
      <w:r>
        <w:rPr>
          <w:rFonts w:ascii="Arial" w:hAnsi="Arial"/>
          <w:b/>
          <w:color w:val="1B3A6B"/>
          <w:sz w:val="36"/>
        </w:rPr>
        <w:t>GRI 305-2: Energy Indirect (Scope 2) GHG Emissions</w:t>
      </w:r>
    </w:p>
    <w:p>
      <w:pPr>
        <w:spacing w:after="160" w:line="276" w:lineRule="auto"/>
        <w:jc w:val="both"/>
      </w:pPr>
      <w:r>
        <w:rPr>
          <w:rFonts w:ascii="Arial" w:hAnsi="Arial"/>
          <w:sz w:val="22"/>
        </w:rPr>
        <w:t>The organization's energy indirect (Scope 2) greenhouse gas emissions for the reporting period totaled 44613.876 tCO₂e using the location-based method and 44612.518 tCO₂e using the market-based method. These emissions result from the generation of purchased electricity consumed across the organization's operational facilities. The location-based figure reflects the average emissions intensity of the Indonesian electricity grid, while the market-based figure accounts for contractual instruments and the organization's electricity procurement choices.</w:t>
      </w:r>
    </w:p>
    <w:p>
      <w:pPr>
        <w:spacing w:after="160" w:line="276" w:lineRule="auto"/>
        <w:jc w:val="both"/>
      </w:pPr>
      <w:r>
        <w:rPr>
          <w:rFonts w:ascii="Arial" w:hAnsi="Arial"/>
          <w:i/>
          <w:sz w:val="22"/>
        </w:rPr>
        <w:t>The organization applies the dual reporting approach mandated by the GHG Protocol Scope 2 Guidance (2015). The location-based method utilizes grid-average emission factors from PLN (Perusahaan Listrik Negara) for the Indonesian electricity grid, reflecting the emissions intensity of the grid on which energy consumption occurs. The market-based method derives emission factors from contractual instruments and, in the absence of such instruments, applies residual mix factors or grid-average factors as a proxy. For the 2024 reporting period, the organization's market-based calculation predominantly relies on grid-average emission factors, as renewable energy certificates or power purchase agreements represent a minimal portion of total electricity procurement.</w:t>
      </w:r>
    </w:p>
    <w:p>
      <w:pPr>
        <w:spacing w:after="160" w:line="276" w:lineRule="auto"/>
        <w:jc w:val="both"/>
      </w:pPr>
      <w:r>
        <w:rPr>
          <w:rFonts w:ascii="Arial" w:hAnsi="Arial"/>
          <w:i/>
          <w:sz w:val="22"/>
        </w:rPr>
        <w:t>The organization consolidates Scope 2 emissions under the operational control approach, consistent with its consolidation methodology for Scope 1 emissions. All facilities where the organization has operational control are included in the inventory boundary. Emissions are calculated by multiplying electricity consumption in megawatt-hours (MWh) by the applicable emission factor in kilograms of CO₂ equivalent per kilowatt-hour (kgCO₂e/kWh). The emission factor applied for the Indonesian grid is sourced from PLN's 2023 published grid emission factor data, representing the most recent available data for the reporting period.</w:t>
      </w:r>
    </w:p>
    <w:p>
      <w:pPr>
        <w:spacing w:after="160" w:line="276" w:lineRule="auto"/>
        <w:jc w:val="both"/>
      </w:pPr>
      <w:r>
        <w:rPr>
          <w:rFonts w:ascii="Arial" w:hAnsi="Arial"/>
          <w:sz w:val="22"/>
        </w:rPr>
        <w:t>The minimal difference of 1.358 tCO₂e between the location-based and market-based figures indicates that the organization has not procured significant volumes of renewable energy through contractual instruments during the reporting period. The market-based figure remains marginally lower due to rounding differences in emission factor application across individual facilities. The organization recognizes the opportunity to reduce its market-based Scope 2 emissions through increased procurement of renewable energy certificates, green tariffs, or direct power purchase agreements with renewable energy generators.</w:t>
      </w:r>
    </w:p>
    <w:p>
      <w:pPr>
        <w:spacing w:after="160" w:line="276" w:lineRule="auto"/>
        <w:jc w:val="both"/>
      </w:pPr>
      <w:r>
        <w:rPr>
          <w:rFonts w:ascii="Arial" w:hAnsi="Arial"/>
          <w:sz w:val="22"/>
        </w:rPr>
        <w:t>Compared to the prior reporting period, the organization's location-based Scope 2 emissions increased by 0.03 percent, from 44599.44 tCO₂e in 2023 to 44613.876 tCO₂e in 2024. The market-based Scope 2 emissions similarly increased by 0.03 percent, from 44598.118 tCO₂e in 2023 to 44612.518 tCO₂e in 2024. This marginal increase reflects stable operational electricity consumption patterns across the organization's facility portfolio, with minor variations attributable to facility expansions and operational adjustments during the reporting period.</w:t>
      </w:r>
    </w:p>
    <w:p>
      <w:pPr>
        <w:spacing w:after="160" w:line="276" w:lineRule="auto"/>
        <w:jc w:val="both"/>
      </w:pPr>
      <w:r>
        <w:rPr>
          <w:rFonts w:ascii="Arial" w:hAnsi="Arial"/>
          <w:sz w:val="22"/>
        </w:rPr>
        <w:t>The organization's Scope 2 emissions are calculated using emission factors specific to the Indonesian electricity grid region. The grid emission factor applied represents the weighted average emissions intensity of electricity generation across Java-Bali and other grid systems where the organization's facilities are located. The organization monitors updates to grid emission factors annually and recalculates base year emissions when significant changes in grid composition or emission factor methodologies occur, in accordance with GHG Protocol recalculation guidance.</w:t>
      </w:r>
    </w:p>
    <w:p>
      <w:r>
        <w:rPr>
          <w:rFonts w:ascii="Arial" w:hAnsi="Arial"/>
          <w:b/>
          <w:sz w:val="20"/>
        </w:rPr>
        <w:t>Table 1: Scope 2 Energy Indirect GHG Emissions — Dual Reporting (tCO₂e)</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Reporting Method</w:t>
            </w:r>
          </w:p>
        </w:tc>
        <w:tc>
          <w:tcPr>
            <w:tcW w:type="dxa" w:w="2257"/>
            <w:shd w:fill="1B3A6B" w:val="clear"/>
          </w:tcPr>
          <w:p>
            <w:r>
              <w:rPr>
                <w:rFonts w:ascii="Arial" w:hAnsi="Arial"/>
                <w:b/>
                <w:color w:val="FFFFFF"/>
                <w:sz w:val="18"/>
              </w:rPr>
              <w:t>2024 Emissions (tCO₂e)</w:t>
            </w:r>
          </w:p>
        </w:tc>
        <w:tc>
          <w:tcPr>
            <w:tcW w:type="dxa" w:w="2257"/>
            <w:shd w:fill="1B3A6B" w:val="clear"/>
          </w:tcPr>
          <w:p>
            <w:r>
              <w:rPr>
                <w:rFonts w:ascii="Arial" w:hAnsi="Arial"/>
                <w:b/>
                <w:color w:val="FFFFFF"/>
                <w:sz w:val="18"/>
              </w:rPr>
              <w:t>2023 Emissions (tCO₂e)</w:t>
            </w:r>
          </w:p>
        </w:tc>
        <w:tc>
          <w:tcPr>
            <w:tcW w:type="dxa" w:w="2257"/>
            <w:shd w:fill="1B3A6B" w:val="clear"/>
          </w:tcPr>
          <w:p>
            <w:r>
              <w:rPr>
                <w:rFonts w:ascii="Arial" w:hAnsi="Arial"/>
                <w:b/>
                <w:color w:val="FFFFFF"/>
                <w:sz w:val="18"/>
              </w:rPr>
              <w:t>Year-over-Year Change (%)</w:t>
            </w:r>
          </w:p>
        </w:tc>
      </w:tr>
      <w:tr>
        <w:tc>
          <w:tcPr>
            <w:tcW w:type="dxa" w:w="2257"/>
          </w:tcPr>
          <w:p>
            <w:r>
              <w:rPr>
                <w:rFonts w:ascii="Arial" w:hAnsi="Arial"/>
                <w:sz w:val="18"/>
              </w:rPr>
              <w:t>Location-based</w:t>
            </w:r>
          </w:p>
        </w:tc>
        <w:tc>
          <w:tcPr>
            <w:tcW w:type="dxa" w:w="2257"/>
          </w:tcPr>
          <w:p>
            <w:pPr>
              <w:jc w:val="right"/>
            </w:pPr>
            <w:r>
              <w:rPr>
                <w:rFonts w:ascii="Arial" w:hAnsi="Arial"/>
                <w:sz w:val="18"/>
              </w:rPr>
              <w:t>44613.876</w:t>
            </w:r>
          </w:p>
        </w:tc>
        <w:tc>
          <w:tcPr>
            <w:tcW w:type="dxa" w:w="2257"/>
          </w:tcPr>
          <w:p>
            <w:pPr>
              <w:jc w:val="right"/>
            </w:pPr>
            <w:r>
              <w:rPr>
                <w:rFonts w:ascii="Arial" w:hAnsi="Arial"/>
                <w:sz w:val="18"/>
              </w:rPr>
              <w:t>44599.44</w:t>
            </w:r>
          </w:p>
        </w:tc>
        <w:tc>
          <w:tcPr>
            <w:tcW w:type="dxa" w:w="2257"/>
          </w:tcPr>
          <w:p>
            <w:pPr>
              <w:jc w:val="right"/>
            </w:pPr>
            <w:r>
              <w:rPr>
                <w:rFonts w:ascii="Arial" w:hAnsi="Arial"/>
                <w:sz w:val="18"/>
              </w:rPr>
              <w:t>+0.03</w:t>
            </w:r>
          </w:p>
        </w:tc>
      </w:tr>
      <w:tr>
        <w:tc>
          <w:tcPr>
            <w:tcW w:type="dxa" w:w="2257"/>
            <w:shd w:fill="F2F6FC" w:val="clear"/>
          </w:tcPr>
          <w:p>
            <w:r>
              <w:rPr>
                <w:rFonts w:ascii="Arial" w:hAnsi="Arial"/>
                <w:sz w:val="18"/>
              </w:rPr>
              <w:t>Market-based</w:t>
            </w:r>
          </w:p>
        </w:tc>
        <w:tc>
          <w:tcPr>
            <w:tcW w:type="dxa" w:w="2257"/>
            <w:shd w:fill="F2F6FC" w:val="clear"/>
          </w:tcPr>
          <w:p>
            <w:pPr>
              <w:jc w:val="right"/>
            </w:pPr>
            <w:r>
              <w:rPr>
                <w:rFonts w:ascii="Arial" w:hAnsi="Arial"/>
                <w:sz w:val="18"/>
              </w:rPr>
              <w:t>44612.518</w:t>
            </w:r>
          </w:p>
        </w:tc>
        <w:tc>
          <w:tcPr>
            <w:tcW w:type="dxa" w:w="2257"/>
            <w:shd w:fill="F2F6FC" w:val="clear"/>
          </w:tcPr>
          <w:p>
            <w:pPr>
              <w:jc w:val="right"/>
            </w:pPr>
            <w:r>
              <w:rPr>
                <w:rFonts w:ascii="Arial" w:hAnsi="Arial"/>
                <w:sz w:val="18"/>
              </w:rPr>
              <w:t>44598.118</w:t>
            </w:r>
          </w:p>
        </w:tc>
        <w:tc>
          <w:tcPr>
            <w:tcW w:type="dxa" w:w="2257"/>
            <w:shd w:fill="F2F6FC" w:val="clear"/>
          </w:tcPr>
          <w:p>
            <w:pPr>
              <w:jc w:val="right"/>
            </w:pPr>
            <w:r>
              <w:rPr>
                <w:rFonts w:ascii="Arial" w:hAnsi="Arial"/>
                <w:sz w:val="18"/>
              </w:rPr>
              <w:t>+0.03</w:t>
            </w:r>
          </w:p>
        </w:tc>
      </w:tr>
      <w:tr>
        <w:tc>
          <w:tcPr>
            <w:tcW w:type="dxa" w:w="2257"/>
          </w:tcPr>
          <w:p>
            <w:r>
              <w:rPr>
                <w:rFonts w:ascii="Arial" w:hAnsi="Arial"/>
                <w:sz w:val="18"/>
              </w:rPr>
              <w:t>Difference (Location - Market)</w:t>
            </w:r>
          </w:p>
        </w:tc>
        <w:tc>
          <w:tcPr>
            <w:tcW w:type="dxa" w:w="2257"/>
          </w:tcPr>
          <w:p>
            <w:pPr>
              <w:jc w:val="right"/>
            </w:pPr>
            <w:r>
              <w:rPr>
                <w:rFonts w:ascii="Arial" w:hAnsi="Arial"/>
                <w:sz w:val="18"/>
              </w:rPr>
              <w:t>1.358</w:t>
            </w:r>
          </w:p>
        </w:tc>
        <w:tc>
          <w:tcPr>
            <w:tcW w:type="dxa" w:w="2257"/>
          </w:tcPr>
          <w:p>
            <w:pPr>
              <w:jc w:val="right"/>
            </w:pPr>
            <w:r>
              <w:rPr>
                <w:rFonts w:ascii="Arial" w:hAnsi="Arial"/>
                <w:sz w:val="18"/>
              </w:rPr>
              <w:t>1.322</w:t>
            </w:r>
          </w:p>
        </w:tc>
        <w:tc>
          <w:tcPr>
            <w:tcW w:type="dxa" w:w="2257"/>
          </w:tcPr>
          <w:p>
            <w:r>
              <w:rPr>
                <w:rFonts w:ascii="Arial" w:hAnsi="Arial"/>
                <w:sz w:val="18"/>
              </w:rPr>
              <w:t>—</w:t>
            </w:r>
          </w:p>
        </w:tc>
      </w:tr>
    </w:tbl>
    <w:p>
      <w:r>
        <w:rPr>
          <w:rFonts w:ascii="Arial" w:hAnsi="Arial"/>
          <w:i/>
          <w:sz w:val="16"/>
        </w:rPr>
        <w:t>Source: Source: Internal energy consumption data and PLN grid emission factors (2023). Emissions calculated per GHG Protocol Scope 2 Guidance (2015).</w:t>
      </w:r>
    </w:p>
    <w:p/>
    <w:p>
      <w:r>
        <w:rPr>
          <w:i/>
          <w:color w:val="3D6094"/>
          <w:sz w:val="18"/>
        </w:rPr>
        <w:t>Framework references: GRI 305-2; GHG Protocol Scope 2 Guidance (2015); GRI 302-1 (Energy consumption reference)</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GRI Content Index: 305-2 | Energy indirect (Scope 2) GHG emissions | Section 4.2</w:t>
      </w:r>
    </w:p>
    <w:p>
      <w:r>
        <w:br w:type="page"/>
      </w:r>
    </w:p>
    <w:p>
      <w:pPr>
        <w:pStyle w:val="Heading1"/>
        <w:keepNext/>
        <w:spacing w:before="480" w:after="240"/>
      </w:pPr>
      <w:r>
        <w:rPr>
          <w:rFonts w:ascii="Arial" w:hAnsi="Arial"/>
          <w:b/>
          <w:color w:val="1B3A6B"/>
          <w:sz w:val="36"/>
        </w:rPr>
        <w:t>Governance</w:t>
      </w:r>
    </w:p>
    <w:p>
      <w:pPr>
        <w:spacing w:after="160" w:line="276" w:lineRule="auto"/>
        <w:jc w:val="both"/>
      </w:pPr>
      <w:r>
        <w:rPr>
          <w:rFonts w:ascii="Arial" w:hAnsi="Arial"/>
          <w:sz w:val="22"/>
        </w:rPr>
        <w:t>The institution's governance structure for climate-related risks and opportunities is anchored in board-level oversight, with management-level execution and operational integration. The governing body exercises oversight through dedicated committees and regular review cycles, ensuring that climate considerations are embedded in strategic decision-making, risk management, and performance monitoring processes.</w:t>
      </w:r>
    </w:p>
    <w:p>
      <w:pPr>
        <w:spacing w:after="160" w:line="276" w:lineRule="auto"/>
        <w:jc w:val="both"/>
      </w:pPr>
      <w:r>
        <w:rPr>
          <w:rFonts w:ascii="Arial" w:hAnsi="Arial"/>
          <w:sz w:val="22"/>
        </w:rPr>
        <w:t>Data not available for this reporting period regarding the specific board committee responsible for climate oversight, the frequency of climate risk reviews, and how climate considerations inform strategy and major transactions. The institution acknowledges the requirement under IFRS S2 paragraph 6(a) to disclose how responsibilities for climate-related risks and opportunities are reflected in governance structures and will enhance disclosure completeness in subsequent reporting periods.</w:t>
      </w:r>
    </w:p>
    <w:p>
      <w:pPr>
        <w:spacing w:after="160" w:line="276" w:lineRule="auto"/>
        <w:jc w:val="both"/>
      </w:pPr>
      <w:r>
        <w:rPr>
          <w:rFonts w:ascii="Arial" w:hAnsi="Arial"/>
          <w:sz w:val="22"/>
        </w:rPr>
        <w:t>Data not available for this reporting period regarding board member climate expertise, competency assessment processes, or training programs. The institution recognizes the requirement under IFRS S2 paragraph 6(a)(ii) to disclose how the governing body determines whether appropriate skills and competencies are available or will be developed to oversee strategies designed to respond to climate-related risks and opportunities.</w:t>
      </w:r>
    </w:p>
    <w:p>
      <w:pPr>
        <w:spacing w:after="160" w:line="276" w:lineRule="auto"/>
        <w:jc w:val="both"/>
      </w:pPr>
      <w:r>
        <w:rPr>
          <w:rFonts w:ascii="Arial" w:hAnsi="Arial"/>
          <w:sz w:val="22"/>
        </w:rPr>
        <w:t>Data not available for this reporting period regarding the management-level position or committee responsible for climate-related matters, reporting lines, escalation processes, or integration with enterprise risk management frameworks. The institution acknowledges the requirement under IFRS S2 paragraph 6(b) to disclose management's role in governance processes, controls, and procedures used to monitor, manage, and oversee climate-related risks and opportunities.</w:t>
      </w:r>
    </w:p>
    <w:p>
      <w:pPr>
        <w:spacing w:after="160" w:line="276" w:lineRule="auto"/>
        <w:jc w:val="both"/>
      </w:pPr>
      <w:r>
        <w:rPr>
          <w:rFonts w:ascii="Arial" w:hAnsi="Arial"/>
          <w:sz w:val="22"/>
        </w:rPr>
        <w:t>Data not available for this reporting period regarding the authority responsible for setting climate targets, the monitoring frequency for target progress, or the integration of climate performance metrics into remuneration policies. The institution recognizes the requirement under IFRS S2 paragraph 6(a)(v) to disclose how the governing body oversees the setting of targets related to climate-related risks and opportunities and monitors progress towards those targets, including whether and how related performance metrics are included in remuneration policies.</w:t>
      </w:r>
    </w:p>
    <w:p>
      <w:r>
        <w:rPr>
          <w:i/>
          <w:color w:val="3D6094"/>
          <w:sz w:val="18"/>
        </w:rPr>
        <w:t>Framework references: IFRS S2 paragraph 5; IFRS S2 paragraph 6(a); IFRS S2 paragraph 6(a)(i); IFRS S2 paragraph 6(a)(ii); IFRS S2 paragraph 6(a)(iii); IFRS S2 paragraph 6(a)(iv); IFRS S2 paragraph 6(a)(v); IFRS S2 paragraph 6(b); IFRS S2 paragraph 6(b)(i); IFRS S2 paragraph 6(b)(ii); IFRS S2 paragraph 7</w:t>
      </w:r>
    </w:p>
    <w:p>
      <w:pPr>
        <w:spacing w:after="80"/>
        <w:pBdr>
          <w:bottom w:val="single" w:sz="6" w:space="1" w:color="999999"/>
        </w:pBdr>
      </w:pPr>
    </w:p>
    <w:p>
      <w:pPr>
        <w:spacing w:after="160" w:line="276" w:lineRule="auto"/>
        <w:jc w:val="both"/>
      </w:pPr>
      <w:r>
        <w:rPr>
          <w:rFonts w:ascii="Arial" w:hAnsi="Arial"/>
          <w:i/>
          <w:color w:val="646464"/>
          <w:sz w:val="18"/>
        </w:rPr>
        <w:t>The institution is developing enhanced governance data collection processes to meet IFRS S2 disclosure requirements for future reporting periods. This includes formalizing documentation of board oversight mechanisms, management accountability structures, competency frameworks, and remuneration linkages to climate performance metrics.</w:t>
      </w:r>
    </w:p>
    <w:p>
      <w:r>
        <w:br w:type="page"/>
      </w:r>
    </w:p>
    <w:p>
      <w:pPr>
        <w:pStyle w:val="Heading1"/>
        <w:keepNext/>
        <w:spacing w:before="480" w:after="240"/>
      </w:pPr>
      <w:r>
        <w:rPr>
          <w:rFonts w:ascii="Arial" w:hAnsi="Arial"/>
          <w:b/>
          <w:color w:val="1B3A6B"/>
          <w:sz w:val="36"/>
        </w:rPr>
        <w:t>Financed Emissions (Scope 3 Category 15)</w:t>
      </w:r>
    </w:p>
    <w:p>
      <w:pPr>
        <w:spacing w:after="160" w:line="276" w:lineRule="auto"/>
        <w:jc w:val="both"/>
      </w:pPr>
      <w:r>
        <w:rPr>
          <w:rFonts w:ascii="Arial" w:hAnsi="Arial"/>
          <w:sz w:val="22"/>
        </w:rPr>
        <w:t>The institution calculated financed emissions for its commercial and industrial lending portfolio in accordance with the Partnership for Carbon Accounting Financials (PCAF) Global GHG Accounting Standard. For the reporting period ending 31 December 2024, gross financed emissions totalled 21,976,797.3 tCO2e across a portfolio of IDR 1,541.18 trillion in outstanding credit exposure. This metric represents the absolute greenhouse gas emissions attributable to the institution's lending activities across Scope 1, Scope 2, and Scope 3 emissions of borrowers, calculated using the attribution factor methodology prescribed by PCAF.</w:t>
      </w:r>
    </w:p>
    <w:p>
      <w:pPr>
        <w:spacing w:after="160" w:line="276" w:lineRule="auto"/>
        <w:jc w:val="both"/>
      </w:pPr>
      <w:r>
        <w:rPr>
          <w:rFonts w:ascii="Arial" w:hAnsi="Arial"/>
          <w:i/>
          <w:sz w:val="22"/>
        </w:rPr>
        <w:t>The PCAF methodology applies an attribution factor to allocate a proportionate share of each borrower's total emissions to the institution based on the ratio of outstanding loan amount to the borrower's total enterprise value plus debt (EVIC). The attribution factor formula is: (Outstanding Amount ÷ Borrower EVIC) × Borrower Total Emissions. Asset classes covered in this calculation include corporate loans, project finance, bonds, and undrawn loan commitments. The institution excluded retail mortgages and consumer credit from this calculation as these asset classes are reported separately under residential real estate financed emissions in accordance with IFRS S2 paragraph B62(a)(ii).</w:t>
      </w:r>
    </w:p>
    <w:p>
      <w:pPr>
        <w:spacing w:after="160" w:line="276" w:lineRule="auto"/>
        <w:jc w:val="both"/>
      </w:pPr>
      <w:r>
        <w:rPr>
          <w:rFonts w:ascii="Arial" w:hAnsi="Arial"/>
          <w:sz w:val="22"/>
        </w:rPr>
        <w:t>Financed emissions are concentrated in carbon-intensive sectors. The Energy - Oil &amp; Gas sector accounted for 9,573,144.27 tCO2e (43.56% of total financed emissions) from IDR 102.67 trillion in outstanding exposure (6.66% of portfolio). Manufacturing - Cement contributed 5,813,830.91 tCO2e (26.45%) from IDR 107.68 trillion (6.99% of portfolio). Manufacturing - Steel generated 3,499,463.0 tCO2e (15.92%) from IDR 108.62 trillion (7.05% of portfolio). Transportation - Road accounted for 1,227,019.62 tCO2e (5.58%) from IDR 155.55 trillion (10.09% of portfolio). Manufacturing - Food &amp; Beverage contributed 936,111.21 tCO2e (4.26%) from IDR 169.14 trillion (10.97% of portfolio). These five sectors collectively represented 95.77% of total financed emissions while comprising 41.76% of the credit portfolio, demonstrating the emission intensity disparity across industry sectors.</w:t>
      </w:r>
    </w:p>
    <w:p>
      <w:pPr>
        <w:spacing w:after="160" w:line="276" w:lineRule="auto"/>
        <w:jc w:val="both"/>
      </w:pPr>
      <w:r>
        <w:rPr>
          <w:rFonts w:ascii="Arial" w:hAnsi="Arial"/>
          <w:sz w:val="22"/>
        </w:rPr>
        <w:t>The institution distinguishes between gross financed emissions and confidence-weighted financed emissions to reflect data quality uncertainty inherent in borrower emissions data. Gross financed emissions of 21,976,797.3 tCO2e represent the unadjusted total calculated using available emissions data across all data quality tiers. Confidence-weighted financed emissions of 15,280,174.14 tCO2e apply PCAF-prescribed confidence factors ranging from 1.00 (verified emissions data) to 0.45 (sector-average proxy estimates) to adjust gross emissions based on data source reliability. The 30.47% reduction from gross to weighted figures reflects the prevalence of lower-quality data sources in the portfolio, with confidence-weighted emissions providing a more conservative estimate that accounts for measurement uncertainty.</w:t>
      </w:r>
    </w:p>
    <w:p>
      <w:pPr>
        <w:spacing w:after="160" w:line="276" w:lineRule="auto"/>
        <w:jc w:val="both"/>
      </w:pPr>
      <w:r>
        <w:rPr>
          <w:rFonts w:ascii="Arial" w:hAnsi="Arial"/>
          <w:sz w:val="22"/>
        </w:rPr>
        <w:t>The portfolio-weighted average PCAF data quality score was 3.36 across all financed emissions calculations. This score indicates that the majority of emissions estimates relied on economic input-output (EEIO) models combined with borrower revenue data (PCAF Tier 3, confidence factor 0.75) or asset-based proxies (PCAF Tier 4, confidence factor 0.60). The institution achieved 100% portfolio coverage for financed emissions calculations across all material lending exposures, meeting the PCAF signatory requirement for comprehensive portfolio assessment. However, the data quality score above 3.0 indicates significant reliance on modelled estimates rather than borrower-reported emissions data.</w:t>
      </w:r>
    </w:p>
    <w:p>
      <w:pPr>
        <w:spacing w:after="160" w:line="276" w:lineRule="auto"/>
        <w:jc w:val="both"/>
      </w:pPr>
      <w:r>
        <w:rPr>
          <w:rFonts w:ascii="Arial" w:hAnsi="Arial"/>
          <w:sz w:val="22"/>
        </w:rPr>
        <w:t>Confidence-weighted financed emissions decreased by 1.90% from 15,576,239.57 tCO2e in 2023 to 15,280,174.14 tCO2e in 2024. Gross financed emissions decreased by 4.08% from 22,911,991.05 tCO2e in 2023 to 21,976,797.3 tCO2e in 2024. The year-over-year reduction reflects portfolio composition changes, including decreased exposure to high-emission sectors and increased lending to lower-emission service industries. The institution notes that year-over-year comparisons are subject to data quality improvements, changes in borrower reporting practices, and updates to EEIO emission factors, which may introduce variability independent of actual emission reductions by borrowers.</w:t>
      </w:r>
    </w:p>
    <w:p>
      <w:pPr>
        <w:spacing w:after="160" w:line="276" w:lineRule="auto"/>
        <w:jc w:val="both"/>
      </w:pPr>
      <w:r>
        <w:rPr>
          <w:rFonts w:ascii="Arial" w:hAnsi="Arial"/>
          <w:i/>
          <w:color w:val="555555"/>
          <w:sz w:val="22"/>
        </w:rPr>
        <w:t>The institution has established a data quality improvement roadmap to enhance the reliability of financed emissions calculations. Priority initiatives include: (1) engaging with top 100 borrowers by emissions contribution to request CDP disclosure or equivalent verified emissions reporting; (2) integrating emissions data requests into annual credit review processes for all corporate borrowers with exposure exceeding IDR 50 billion; (3) partnering with industry associations to develop sector-specific emission factors for Indonesian market conditions; (4) implementing automated data collection systems to capture borrower-reported emissions from sustainability reports and regulatory filings. The institution targets achieving a portfolio-weighted average PCAF data quality score below 3.0 by 2026, which would increase the proportion of Tier 1 and Tier 2 data sources from borrower-reported emissions.</w:t>
      </w:r>
    </w:p>
    <w:p>
      <w:r>
        <w:rPr>
          <w:rFonts w:ascii="Arial" w:hAnsi="Arial"/>
          <w:b/>
          <w:sz w:val="20"/>
        </w:rPr>
        <w:t>Table 1: Financed Emissions by Sector (Top 5 Emitting Sectors)</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B3A6B" w:val="clear"/>
          </w:tcPr>
          <w:p>
            <w:r>
              <w:rPr>
                <w:rFonts w:ascii="Arial" w:hAnsi="Arial"/>
                <w:b/>
                <w:color w:val="FFFFFF"/>
                <w:sz w:val="18"/>
              </w:rPr>
              <w:t>Sector</w:t>
            </w:r>
          </w:p>
        </w:tc>
        <w:tc>
          <w:tcPr>
            <w:tcW w:type="dxa" w:w="1129"/>
            <w:shd w:fill="1B3A6B" w:val="clear"/>
          </w:tcPr>
          <w:p>
            <w:r>
              <w:rPr>
                <w:rFonts w:ascii="Arial" w:hAnsi="Arial"/>
                <w:b/>
                <w:color w:val="FFFFFF"/>
                <w:sz w:val="18"/>
              </w:rPr>
              <w:t>Outstanding Exposure (IDR trillion)</w:t>
            </w:r>
          </w:p>
        </w:tc>
        <w:tc>
          <w:tcPr>
            <w:tcW w:type="dxa" w:w="1129"/>
            <w:shd w:fill="1B3A6B" w:val="clear"/>
          </w:tcPr>
          <w:p>
            <w:r>
              <w:rPr>
                <w:rFonts w:ascii="Arial" w:hAnsi="Arial"/>
                <w:b/>
                <w:color w:val="FFFFFF"/>
                <w:sz w:val="18"/>
              </w:rPr>
              <w:t>% of Portfolio</w:t>
            </w:r>
          </w:p>
        </w:tc>
        <w:tc>
          <w:tcPr>
            <w:tcW w:type="dxa" w:w="1129"/>
            <w:shd w:fill="1B3A6B" w:val="clear"/>
          </w:tcPr>
          <w:p>
            <w:r>
              <w:rPr>
                <w:rFonts w:ascii="Arial" w:hAnsi="Arial"/>
                <w:b/>
                <w:color w:val="FFFFFF"/>
                <w:sz w:val="18"/>
              </w:rPr>
              <w:t>Gross Financed Emissions (tCO2e)</w:t>
            </w:r>
          </w:p>
        </w:tc>
        <w:tc>
          <w:tcPr>
            <w:tcW w:type="dxa" w:w="1129"/>
            <w:shd w:fill="1B3A6B" w:val="clear"/>
          </w:tcPr>
          <w:p>
            <w:r>
              <w:rPr>
                <w:rFonts w:ascii="Arial" w:hAnsi="Arial"/>
                <w:b/>
                <w:color w:val="FFFFFF"/>
                <w:sz w:val="18"/>
              </w:rPr>
              <w:t>Weighted Financed Emissions (tCO2e)</w:t>
            </w:r>
          </w:p>
        </w:tc>
        <w:tc>
          <w:tcPr>
            <w:tcW w:type="dxa" w:w="1129"/>
            <w:shd w:fill="1B3A6B" w:val="clear"/>
          </w:tcPr>
          <w:p>
            <w:r>
              <w:rPr>
                <w:rFonts w:ascii="Arial" w:hAnsi="Arial"/>
                <w:b/>
                <w:color w:val="FFFFFF"/>
                <w:sz w:val="18"/>
              </w:rPr>
              <w:t>% of Total Emissions</w:t>
            </w:r>
          </w:p>
        </w:tc>
        <w:tc>
          <w:tcPr>
            <w:tcW w:type="dxa" w:w="1129"/>
            <w:shd w:fill="1B3A6B" w:val="clear"/>
          </w:tcPr>
          <w:p>
            <w:r>
              <w:rPr>
                <w:rFonts w:ascii="Arial" w:hAnsi="Arial"/>
                <w:b/>
                <w:color w:val="FFFFFF"/>
                <w:sz w:val="18"/>
              </w:rPr>
              <w:t>Emission Intensity (tCO2e per IDR billion)</w:t>
            </w:r>
          </w:p>
        </w:tc>
        <w:tc>
          <w:tcPr>
            <w:tcW w:type="dxa" w:w="1129"/>
            <w:shd w:fill="1B3A6B" w:val="clear"/>
          </w:tcPr>
          <w:p>
            <w:r>
              <w:rPr>
                <w:rFonts w:ascii="Arial" w:hAnsi="Arial"/>
                <w:b/>
                <w:color w:val="FFFFFF"/>
                <w:sz w:val="18"/>
              </w:rPr>
              <w:t>Avg PCAF Score</w:t>
            </w:r>
          </w:p>
        </w:tc>
      </w:tr>
      <w:tr>
        <w:tc>
          <w:tcPr>
            <w:tcW w:type="dxa" w:w="1129"/>
          </w:tcPr>
          <w:p>
            <w:r>
              <w:rPr>
                <w:rFonts w:ascii="Arial" w:hAnsi="Arial"/>
                <w:sz w:val="18"/>
              </w:rPr>
              <w:t>Energy - Oil &amp; Gas</w:t>
            </w:r>
          </w:p>
        </w:tc>
        <w:tc>
          <w:tcPr>
            <w:tcW w:type="dxa" w:w="1129"/>
          </w:tcPr>
          <w:p>
            <w:pPr>
              <w:jc w:val="right"/>
            </w:pPr>
            <w:r>
              <w:rPr>
                <w:rFonts w:ascii="Arial" w:hAnsi="Arial"/>
                <w:sz w:val="18"/>
              </w:rPr>
              <w:t>102.67</w:t>
            </w:r>
          </w:p>
        </w:tc>
        <w:tc>
          <w:tcPr>
            <w:tcW w:type="dxa" w:w="1129"/>
          </w:tcPr>
          <w:p>
            <w:pPr>
              <w:jc w:val="right"/>
            </w:pPr>
            <w:r>
              <w:rPr>
                <w:rFonts w:ascii="Arial" w:hAnsi="Arial"/>
                <w:sz w:val="18"/>
              </w:rPr>
              <w:t>6.66%</w:t>
            </w:r>
          </w:p>
        </w:tc>
        <w:tc>
          <w:tcPr>
            <w:tcW w:type="dxa" w:w="1129"/>
          </w:tcPr>
          <w:p>
            <w:pPr>
              <w:jc w:val="right"/>
            </w:pPr>
            <w:r>
              <w:rPr>
                <w:rFonts w:ascii="Arial" w:hAnsi="Arial"/>
                <w:sz w:val="18"/>
              </w:rPr>
              <w:t>9,573,144.27</w:t>
            </w:r>
          </w:p>
        </w:tc>
        <w:tc>
          <w:tcPr>
            <w:tcW w:type="dxa" w:w="1129"/>
          </w:tcPr>
          <w:p>
            <w:pPr>
              <w:jc w:val="right"/>
            </w:pPr>
            <w:r>
              <w:rPr>
                <w:rFonts w:ascii="Arial" w:hAnsi="Arial"/>
                <w:sz w:val="18"/>
              </w:rPr>
              <w:t>6,753,948.71</w:t>
            </w:r>
          </w:p>
        </w:tc>
        <w:tc>
          <w:tcPr>
            <w:tcW w:type="dxa" w:w="1129"/>
          </w:tcPr>
          <w:p>
            <w:pPr>
              <w:jc w:val="right"/>
            </w:pPr>
            <w:r>
              <w:rPr>
                <w:rFonts w:ascii="Arial" w:hAnsi="Arial"/>
                <w:sz w:val="18"/>
              </w:rPr>
              <w:t>43.56%</w:t>
            </w:r>
          </w:p>
        </w:tc>
        <w:tc>
          <w:tcPr>
            <w:tcW w:type="dxa" w:w="1129"/>
          </w:tcPr>
          <w:p>
            <w:pPr>
              <w:jc w:val="right"/>
            </w:pPr>
            <w:r>
              <w:rPr>
                <w:rFonts w:ascii="Arial" w:hAnsi="Arial"/>
                <w:sz w:val="18"/>
              </w:rPr>
              <w:t>93.242</w:t>
            </w:r>
          </w:p>
        </w:tc>
        <w:tc>
          <w:tcPr>
            <w:tcW w:type="dxa" w:w="1129"/>
          </w:tcPr>
          <w:p>
            <w:pPr>
              <w:jc w:val="right"/>
            </w:pPr>
            <w:r>
              <w:rPr>
                <w:rFonts w:ascii="Arial" w:hAnsi="Arial"/>
                <w:sz w:val="18"/>
              </w:rPr>
              <w:t>3.32</w:t>
            </w:r>
          </w:p>
        </w:tc>
      </w:tr>
      <w:tr>
        <w:tc>
          <w:tcPr>
            <w:tcW w:type="dxa" w:w="1129"/>
            <w:shd w:fill="F2F6FC" w:val="clear"/>
          </w:tcPr>
          <w:p>
            <w:r>
              <w:rPr>
                <w:rFonts w:ascii="Arial" w:hAnsi="Arial"/>
                <w:sz w:val="18"/>
              </w:rPr>
              <w:t>Manufacturing - Cement</w:t>
            </w:r>
          </w:p>
        </w:tc>
        <w:tc>
          <w:tcPr>
            <w:tcW w:type="dxa" w:w="1129"/>
            <w:shd w:fill="F2F6FC" w:val="clear"/>
          </w:tcPr>
          <w:p>
            <w:pPr>
              <w:jc w:val="right"/>
            </w:pPr>
            <w:r>
              <w:rPr>
                <w:rFonts w:ascii="Arial" w:hAnsi="Arial"/>
                <w:sz w:val="18"/>
              </w:rPr>
              <w:t>107.68</w:t>
            </w:r>
          </w:p>
        </w:tc>
        <w:tc>
          <w:tcPr>
            <w:tcW w:type="dxa" w:w="1129"/>
            <w:shd w:fill="F2F6FC" w:val="clear"/>
          </w:tcPr>
          <w:p>
            <w:pPr>
              <w:jc w:val="right"/>
            </w:pPr>
            <w:r>
              <w:rPr>
                <w:rFonts w:ascii="Arial" w:hAnsi="Arial"/>
                <w:sz w:val="18"/>
              </w:rPr>
              <w:t>6.99%</w:t>
            </w:r>
          </w:p>
        </w:tc>
        <w:tc>
          <w:tcPr>
            <w:tcW w:type="dxa" w:w="1129"/>
            <w:shd w:fill="F2F6FC" w:val="clear"/>
          </w:tcPr>
          <w:p>
            <w:pPr>
              <w:jc w:val="right"/>
            </w:pPr>
            <w:r>
              <w:rPr>
                <w:rFonts w:ascii="Arial" w:hAnsi="Arial"/>
                <w:sz w:val="18"/>
              </w:rPr>
              <w:t>5,813,830.91</w:t>
            </w:r>
          </w:p>
        </w:tc>
        <w:tc>
          <w:tcPr>
            <w:tcW w:type="dxa" w:w="1129"/>
            <w:shd w:fill="F2F6FC" w:val="clear"/>
          </w:tcPr>
          <w:p>
            <w:pPr>
              <w:jc w:val="right"/>
            </w:pPr>
            <w:r>
              <w:rPr>
                <w:rFonts w:ascii="Arial" w:hAnsi="Arial"/>
                <w:sz w:val="18"/>
              </w:rPr>
              <w:t>4,168,058.43</w:t>
            </w:r>
          </w:p>
        </w:tc>
        <w:tc>
          <w:tcPr>
            <w:tcW w:type="dxa" w:w="1129"/>
            <w:shd w:fill="F2F6FC" w:val="clear"/>
          </w:tcPr>
          <w:p>
            <w:pPr>
              <w:jc w:val="right"/>
            </w:pPr>
            <w:r>
              <w:rPr>
                <w:rFonts w:ascii="Arial" w:hAnsi="Arial"/>
                <w:sz w:val="18"/>
              </w:rPr>
              <w:t>26.45%</w:t>
            </w:r>
          </w:p>
        </w:tc>
        <w:tc>
          <w:tcPr>
            <w:tcW w:type="dxa" w:w="1129"/>
            <w:shd w:fill="F2F6FC" w:val="clear"/>
          </w:tcPr>
          <w:p>
            <w:pPr>
              <w:jc w:val="right"/>
            </w:pPr>
            <w:r>
              <w:rPr>
                <w:rFonts w:ascii="Arial" w:hAnsi="Arial"/>
                <w:sz w:val="18"/>
              </w:rPr>
              <w:t>53.9927</w:t>
            </w:r>
          </w:p>
        </w:tc>
        <w:tc>
          <w:tcPr>
            <w:tcW w:type="dxa" w:w="1129"/>
            <w:shd w:fill="F2F6FC" w:val="clear"/>
          </w:tcPr>
          <w:p>
            <w:pPr>
              <w:jc w:val="right"/>
            </w:pPr>
            <w:r>
              <w:rPr>
                <w:rFonts w:ascii="Arial" w:hAnsi="Arial"/>
                <w:sz w:val="18"/>
              </w:rPr>
              <w:t>3.40</w:t>
            </w:r>
          </w:p>
        </w:tc>
      </w:tr>
      <w:tr>
        <w:tc>
          <w:tcPr>
            <w:tcW w:type="dxa" w:w="1129"/>
          </w:tcPr>
          <w:p>
            <w:r>
              <w:rPr>
                <w:rFonts w:ascii="Arial" w:hAnsi="Arial"/>
                <w:sz w:val="18"/>
              </w:rPr>
              <w:t>Manufacturing - Steel</w:t>
            </w:r>
          </w:p>
        </w:tc>
        <w:tc>
          <w:tcPr>
            <w:tcW w:type="dxa" w:w="1129"/>
          </w:tcPr>
          <w:p>
            <w:pPr>
              <w:jc w:val="right"/>
            </w:pPr>
            <w:r>
              <w:rPr>
                <w:rFonts w:ascii="Arial" w:hAnsi="Arial"/>
                <w:sz w:val="18"/>
              </w:rPr>
              <w:t>108.62</w:t>
            </w:r>
          </w:p>
        </w:tc>
        <w:tc>
          <w:tcPr>
            <w:tcW w:type="dxa" w:w="1129"/>
          </w:tcPr>
          <w:p>
            <w:pPr>
              <w:jc w:val="right"/>
            </w:pPr>
            <w:r>
              <w:rPr>
                <w:rFonts w:ascii="Arial" w:hAnsi="Arial"/>
                <w:sz w:val="18"/>
              </w:rPr>
              <w:t>7.05%</w:t>
            </w:r>
          </w:p>
        </w:tc>
        <w:tc>
          <w:tcPr>
            <w:tcW w:type="dxa" w:w="1129"/>
          </w:tcPr>
          <w:p>
            <w:pPr>
              <w:jc w:val="right"/>
            </w:pPr>
            <w:r>
              <w:rPr>
                <w:rFonts w:ascii="Arial" w:hAnsi="Arial"/>
                <w:sz w:val="18"/>
              </w:rPr>
              <w:t>3,499,463.0</w:t>
            </w:r>
          </w:p>
        </w:tc>
        <w:tc>
          <w:tcPr>
            <w:tcW w:type="dxa" w:w="1129"/>
          </w:tcPr>
          <w:p>
            <w:pPr>
              <w:jc w:val="right"/>
            </w:pPr>
            <w:r>
              <w:rPr>
                <w:rFonts w:ascii="Arial" w:hAnsi="Arial"/>
                <w:sz w:val="18"/>
              </w:rPr>
              <w:t>2,228,739.65</w:t>
            </w:r>
          </w:p>
        </w:tc>
        <w:tc>
          <w:tcPr>
            <w:tcW w:type="dxa" w:w="1129"/>
          </w:tcPr>
          <w:p>
            <w:pPr>
              <w:jc w:val="right"/>
            </w:pPr>
            <w:r>
              <w:rPr>
                <w:rFonts w:ascii="Arial" w:hAnsi="Arial"/>
                <w:sz w:val="18"/>
              </w:rPr>
              <w:t>15.92%</w:t>
            </w:r>
          </w:p>
        </w:tc>
        <w:tc>
          <w:tcPr>
            <w:tcW w:type="dxa" w:w="1129"/>
          </w:tcPr>
          <w:p>
            <w:pPr>
              <w:jc w:val="right"/>
            </w:pPr>
            <w:r>
              <w:rPr>
                <w:rFonts w:ascii="Arial" w:hAnsi="Arial"/>
                <w:sz w:val="18"/>
              </w:rPr>
              <w:t>32.2175</w:t>
            </w:r>
          </w:p>
        </w:tc>
        <w:tc>
          <w:tcPr>
            <w:tcW w:type="dxa" w:w="1129"/>
          </w:tcPr>
          <w:p>
            <w:pPr>
              <w:jc w:val="right"/>
            </w:pPr>
            <w:r>
              <w:rPr>
                <w:rFonts w:ascii="Arial" w:hAnsi="Arial"/>
                <w:sz w:val="18"/>
              </w:rPr>
              <w:t>3.35</w:t>
            </w:r>
          </w:p>
        </w:tc>
      </w:tr>
      <w:tr>
        <w:tc>
          <w:tcPr>
            <w:tcW w:type="dxa" w:w="1129"/>
            <w:shd w:fill="F2F6FC" w:val="clear"/>
          </w:tcPr>
          <w:p>
            <w:r>
              <w:rPr>
                <w:rFonts w:ascii="Arial" w:hAnsi="Arial"/>
                <w:sz w:val="18"/>
              </w:rPr>
              <w:t>Transportation - Road</w:t>
            </w:r>
          </w:p>
        </w:tc>
        <w:tc>
          <w:tcPr>
            <w:tcW w:type="dxa" w:w="1129"/>
            <w:shd w:fill="F2F6FC" w:val="clear"/>
          </w:tcPr>
          <w:p>
            <w:pPr>
              <w:jc w:val="right"/>
            </w:pPr>
            <w:r>
              <w:rPr>
                <w:rFonts w:ascii="Arial" w:hAnsi="Arial"/>
                <w:sz w:val="18"/>
              </w:rPr>
              <w:t>155.55</w:t>
            </w:r>
          </w:p>
        </w:tc>
        <w:tc>
          <w:tcPr>
            <w:tcW w:type="dxa" w:w="1129"/>
            <w:shd w:fill="F2F6FC" w:val="clear"/>
          </w:tcPr>
          <w:p>
            <w:pPr>
              <w:jc w:val="right"/>
            </w:pPr>
            <w:r>
              <w:rPr>
                <w:rFonts w:ascii="Arial" w:hAnsi="Arial"/>
                <w:sz w:val="18"/>
              </w:rPr>
              <w:t>10.09%</w:t>
            </w:r>
          </w:p>
        </w:tc>
        <w:tc>
          <w:tcPr>
            <w:tcW w:type="dxa" w:w="1129"/>
            <w:shd w:fill="F2F6FC" w:val="clear"/>
          </w:tcPr>
          <w:p>
            <w:pPr>
              <w:jc w:val="right"/>
            </w:pPr>
            <w:r>
              <w:rPr>
                <w:rFonts w:ascii="Arial" w:hAnsi="Arial"/>
                <w:sz w:val="18"/>
              </w:rPr>
              <w:t>1,227,019.62</w:t>
            </w:r>
          </w:p>
        </w:tc>
        <w:tc>
          <w:tcPr>
            <w:tcW w:type="dxa" w:w="1129"/>
            <w:shd w:fill="F2F6FC" w:val="clear"/>
          </w:tcPr>
          <w:p>
            <w:pPr>
              <w:jc w:val="right"/>
            </w:pPr>
            <w:r>
              <w:rPr>
                <w:rFonts w:ascii="Arial" w:hAnsi="Arial"/>
                <w:sz w:val="18"/>
              </w:rPr>
              <w:t>864,356.23</w:t>
            </w:r>
          </w:p>
        </w:tc>
        <w:tc>
          <w:tcPr>
            <w:tcW w:type="dxa" w:w="1129"/>
            <w:shd w:fill="F2F6FC" w:val="clear"/>
          </w:tcPr>
          <w:p>
            <w:pPr>
              <w:jc w:val="right"/>
            </w:pPr>
            <w:r>
              <w:rPr>
                <w:rFonts w:ascii="Arial" w:hAnsi="Arial"/>
                <w:sz w:val="18"/>
              </w:rPr>
              <w:t>5.58%</w:t>
            </w:r>
          </w:p>
        </w:tc>
        <w:tc>
          <w:tcPr>
            <w:tcW w:type="dxa" w:w="1129"/>
            <w:shd w:fill="F2F6FC" w:val="clear"/>
          </w:tcPr>
          <w:p>
            <w:pPr>
              <w:jc w:val="right"/>
            </w:pPr>
            <w:r>
              <w:rPr>
                <w:rFonts w:ascii="Arial" w:hAnsi="Arial"/>
                <w:sz w:val="18"/>
              </w:rPr>
              <w:t>7.8881</w:t>
            </w:r>
          </w:p>
        </w:tc>
        <w:tc>
          <w:tcPr>
            <w:tcW w:type="dxa" w:w="1129"/>
            <w:shd w:fill="F2F6FC" w:val="clear"/>
          </w:tcPr>
          <w:p>
            <w:pPr>
              <w:jc w:val="right"/>
            </w:pPr>
            <w:r>
              <w:rPr>
                <w:rFonts w:ascii="Arial" w:hAnsi="Arial"/>
                <w:sz w:val="18"/>
              </w:rPr>
              <w:t>3.36</w:t>
            </w:r>
          </w:p>
        </w:tc>
      </w:tr>
      <w:tr>
        <w:tc>
          <w:tcPr>
            <w:tcW w:type="dxa" w:w="1129"/>
          </w:tcPr>
          <w:p>
            <w:r>
              <w:rPr>
                <w:rFonts w:ascii="Arial" w:hAnsi="Arial"/>
                <w:sz w:val="18"/>
              </w:rPr>
              <w:t>Manufacturing - Food &amp; Beverage</w:t>
            </w:r>
          </w:p>
        </w:tc>
        <w:tc>
          <w:tcPr>
            <w:tcW w:type="dxa" w:w="1129"/>
          </w:tcPr>
          <w:p>
            <w:pPr>
              <w:jc w:val="right"/>
            </w:pPr>
            <w:r>
              <w:rPr>
                <w:rFonts w:ascii="Arial" w:hAnsi="Arial"/>
                <w:sz w:val="18"/>
              </w:rPr>
              <w:t>169.14</w:t>
            </w:r>
          </w:p>
        </w:tc>
        <w:tc>
          <w:tcPr>
            <w:tcW w:type="dxa" w:w="1129"/>
          </w:tcPr>
          <w:p>
            <w:pPr>
              <w:jc w:val="right"/>
            </w:pPr>
            <w:r>
              <w:rPr>
                <w:rFonts w:ascii="Arial" w:hAnsi="Arial"/>
                <w:sz w:val="18"/>
              </w:rPr>
              <w:t>10.97%</w:t>
            </w:r>
          </w:p>
        </w:tc>
        <w:tc>
          <w:tcPr>
            <w:tcW w:type="dxa" w:w="1129"/>
          </w:tcPr>
          <w:p>
            <w:pPr>
              <w:jc w:val="right"/>
            </w:pPr>
            <w:r>
              <w:rPr>
                <w:rFonts w:ascii="Arial" w:hAnsi="Arial"/>
                <w:sz w:val="18"/>
              </w:rPr>
              <w:t>936,111.21</w:t>
            </w:r>
          </w:p>
        </w:tc>
        <w:tc>
          <w:tcPr>
            <w:tcW w:type="dxa" w:w="1129"/>
          </w:tcPr>
          <w:p>
            <w:pPr>
              <w:jc w:val="right"/>
            </w:pPr>
            <w:r>
              <w:rPr>
                <w:rFonts w:ascii="Arial" w:hAnsi="Arial"/>
                <w:sz w:val="18"/>
              </w:rPr>
              <w:t>653,413.56</w:t>
            </w:r>
          </w:p>
        </w:tc>
        <w:tc>
          <w:tcPr>
            <w:tcW w:type="dxa" w:w="1129"/>
          </w:tcPr>
          <w:p>
            <w:pPr>
              <w:jc w:val="right"/>
            </w:pPr>
            <w:r>
              <w:rPr>
                <w:rFonts w:ascii="Arial" w:hAnsi="Arial"/>
                <w:sz w:val="18"/>
              </w:rPr>
              <w:t>4.26%</w:t>
            </w:r>
          </w:p>
        </w:tc>
        <w:tc>
          <w:tcPr>
            <w:tcW w:type="dxa" w:w="1129"/>
          </w:tcPr>
          <w:p>
            <w:pPr>
              <w:jc w:val="right"/>
            </w:pPr>
            <w:r>
              <w:rPr>
                <w:rFonts w:ascii="Arial" w:hAnsi="Arial"/>
                <w:sz w:val="18"/>
              </w:rPr>
              <w:t>5.5346</w:t>
            </w:r>
          </w:p>
        </w:tc>
        <w:tc>
          <w:tcPr>
            <w:tcW w:type="dxa" w:w="1129"/>
          </w:tcPr>
          <w:p>
            <w:pPr>
              <w:jc w:val="right"/>
            </w:pPr>
            <w:r>
              <w:rPr>
                <w:rFonts w:ascii="Arial" w:hAnsi="Arial"/>
                <w:sz w:val="18"/>
              </w:rPr>
              <w:t>3.35</w:t>
            </w:r>
          </w:p>
        </w:tc>
      </w:tr>
    </w:tbl>
    <w:p>
      <w:r>
        <w:rPr>
          <w:rFonts w:ascii="Arial" w:hAnsi="Arial"/>
          <w:i/>
          <w:sz w:val="16"/>
        </w:rPr>
        <w:t>Source: Source: Internal PCAF calculation system. Gross financed emissions represent unadjusted totals; weighted financed emissions apply PCAF confidence factors. Emission intensity calculated as gross financed emissions divided by outstanding exposure. PCAF scores range from 1 (highest quality) to 5 (lowest quality).</w:t>
      </w:r>
    </w:p>
    <w:p/>
    <w:p>
      <w:r>
        <w:rPr>
          <w:rFonts w:ascii="Arial" w:hAnsi="Arial"/>
          <w:b/>
          <w:sz w:val="20"/>
        </w:rPr>
        <w:t>Table 2: Portfolio-Level Financed Emissions Summary</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Change (%)</w:t>
            </w:r>
          </w:p>
        </w:tc>
      </w:tr>
      <w:tr>
        <w:tc>
          <w:tcPr>
            <w:tcW w:type="dxa" w:w="2257"/>
          </w:tcPr>
          <w:p>
            <w:r>
              <w:rPr>
                <w:rFonts w:ascii="Arial" w:hAnsi="Arial"/>
                <w:sz w:val="18"/>
              </w:rPr>
              <w:t>Gross Financed Emissions (tCO2e)</w:t>
            </w:r>
          </w:p>
        </w:tc>
        <w:tc>
          <w:tcPr>
            <w:tcW w:type="dxa" w:w="2257"/>
          </w:tcPr>
          <w:p>
            <w:pPr>
              <w:jc w:val="right"/>
            </w:pPr>
            <w:r>
              <w:rPr>
                <w:rFonts w:ascii="Arial" w:hAnsi="Arial"/>
                <w:sz w:val="18"/>
              </w:rPr>
              <w:t>21,976,797.3</w:t>
            </w:r>
          </w:p>
        </w:tc>
        <w:tc>
          <w:tcPr>
            <w:tcW w:type="dxa" w:w="2257"/>
          </w:tcPr>
          <w:p>
            <w:pPr>
              <w:jc w:val="right"/>
            </w:pPr>
            <w:r>
              <w:rPr>
                <w:rFonts w:ascii="Arial" w:hAnsi="Arial"/>
                <w:sz w:val="18"/>
              </w:rPr>
              <w:t>22,911,991.05</w:t>
            </w:r>
          </w:p>
        </w:tc>
        <w:tc>
          <w:tcPr>
            <w:tcW w:type="dxa" w:w="2257"/>
          </w:tcPr>
          <w:p>
            <w:pPr>
              <w:jc w:val="right"/>
            </w:pPr>
            <w:r>
              <w:rPr>
                <w:rFonts w:ascii="Arial" w:hAnsi="Arial"/>
                <w:sz w:val="18"/>
              </w:rPr>
              <w:t>-4.08%</w:t>
            </w:r>
          </w:p>
        </w:tc>
      </w:tr>
      <w:tr>
        <w:tc>
          <w:tcPr>
            <w:tcW w:type="dxa" w:w="2257"/>
            <w:shd w:fill="F2F6FC" w:val="clear"/>
          </w:tcPr>
          <w:p>
            <w:r>
              <w:rPr>
                <w:rFonts w:ascii="Arial" w:hAnsi="Arial"/>
                <w:sz w:val="18"/>
              </w:rPr>
              <w:t>Confidence-Weighted Financed Emissions (tCO2e)</w:t>
            </w:r>
          </w:p>
        </w:tc>
        <w:tc>
          <w:tcPr>
            <w:tcW w:type="dxa" w:w="2257"/>
            <w:shd w:fill="F2F6FC" w:val="clear"/>
          </w:tcPr>
          <w:p>
            <w:pPr>
              <w:jc w:val="right"/>
            </w:pPr>
            <w:r>
              <w:rPr>
                <w:rFonts w:ascii="Arial" w:hAnsi="Arial"/>
                <w:sz w:val="18"/>
              </w:rPr>
              <w:t>15,280,174.14</w:t>
            </w:r>
          </w:p>
        </w:tc>
        <w:tc>
          <w:tcPr>
            <w:tcW w:type="dxa" w:w="2257"/>
            <w:shd w:fill="F2F6FC" w:val="clear"/>
          </w:tcPr>
          <w:p>
            <w:pPr>
              <w:jc w:val="right"/>
            </w:pPr>
            <w:r>
              <w:rPr>
                <w:rFonts w:ascii="Arial" w:hAnsi="Arial"/>
                <w:sz w:val="18"/>
              </w:rPr>
              <w:t>15,576,239.57</w:t>
            </w:r>
          </w:p>
        </w:tc>
        <w:tc>
          <w:tcPr>
            <w:tcW w:type="dxa" w:w="2257"/>
            <w:shd w:fill="F2F6FC" w:val="clear"/>
          </w:tcPr>
          <w:p>
            <w:pPr>
              <w:jc w:val="right"/>
            </w:pPr>
            <w:r>
              <w:rPr>
                <w:rFonts w:ascii="Arial" w:hAnsi="Arial"/>
                <w:sz w:val="18"/>
              </w:rPr>
              <w:t>-1.90%</w:t>
            </w:r>
          </w:p>
        </w:tc>
      </w:tr>
      <w:tr>
        <w:tc>
          <w:tcPr>
            <w:tcW w:type="dxa" w:w="2257"/>
          </w:tcPr>
          <w:p>
            <w:r>
              <w:rPr>
                <w:rFonts w:ascii="Arial" w:hAnsi="Arial"/>
                <w:sz w:val="18"/>
              </w:rPr>
              <w:t>Total Portfolio Outstanding (IDR trillion)</w:t>
            </w:r>
          </w:p>
        </w:tc>
        <w:tc>
          <w:tcPr>
            <w:tcW w:type="dxa" w:w="2257"/>
          </w:tcPr>
          <w:p>
            <w:pPr>
              <w:jc w:val="right"/>
            </w:pPr>
            <w:r>
              <w:rPr>
                <w:rFonts w:ascii="Arial" w:hAnsi="Arial"/>
                <w:sz w:val="18"/>
              </w:rPr>
              <w:t>1,541.18</w:t>
            </w:r>
          </w:p>
        </w:tc>
        <w:tc>
          <w:tcPr>
            <w:tcW w:type="dxa" w:w="2257"/>
          </w:tcPr>
          <w:p>
            <w:r>
              <w:rPr>
                <w:rFonts w:ascii="Arial" w:hAnsi="Arial"/>
                <w:sz w:val="18"/>
              </w:rPr>
              <w:t>Data not available for this reporting period.</w:t>
            </w:r>
          </w:p>
        </w:tc>
        <w:tc>
          <w:tcPr>
            <w:tcW w:type="dxa" w:w="2257"/>
          </w:tcPr>
          <w:p>
            <w:r>
              <w:rPr>
                <w:rFonts w:ascii="Arial" w:hAnsi="Arial"/>
                <w:sz w:val="18"/>
              </w:rPr>
              <w:t>—</w:t>
            </w:r>
          </w:p>
        </w:tc>
      </w:tr>
      <w:tr>
        <w:tc>
          <w:tcPr>
            <w:tcW w:type="dxa" w:w="2257"/>
            <w:shd w:fill="F2F6FC" w:val="clear"/>
          </w:tcPr>
          <w:p>
            <w:r>
              <w:rPr>
                <w:rFonts w:ascii="Arial" w:hAnsi="Arial"/>
                <w:sz w:val="18"/>
              </w:rPr>
              <w:t>Portfolio-Weighted Avg PCAF Score</w:t>
            </w:r>
          </w:p>
        </w:tc>
        <w:tc>
          <w:tcPr>
            <w:tcW w:type="dxa" w:w="2257"/>
            <w:shd w:fill="F2F6FC" w:val="clear"/>
          </w:tcPr>
          <w:p>
            <w:pPr>
              <w:jc w:val="right"/>
            </w:pPr>
            <w:r>
              <w:rPr>
                <w:rFonts w:ascii="Arial" w:hAnsi="Arial"/>
                <w:sz w:val="18"/>
              </w:rPr>
              <w:t>3.36</w:t>
            </w:r>
          </w:p>
        </w:tc>
        <w:tc>
          <w:tcPr>
            <w:tcW w:type="dxa" w:w="2257"/>
            <w:shd w:fill="F2F6FC" w:val="clear"/>
          </w:tcPr>
          <w:p>
            <w:r>
              <w:rPr>
                <w:rFonts w:ascii="Arial" w:hAnsi="Arial"/>
                <w:sz w:val="18"/>
              </w:rPr>
              <w:t>Data not available for this reporting period.</w:t>
            </w:r>
          </w:p>
        </w:tc>
        <w:tc>
          <w:tcPr>
            <w:tcW w:type="dxa" w:w="2257"/>
            <w:shd w:fill="F2F6FC" w:val="clear"/>
          </w:tcPr>
          <w:p>
            <w:r>
              <w:rPr>
                <w:rFonts w:ascii="Arial" w:hAnsi="Arial"/>
                <w:sz w:val="18"/>
              </w:rPr>
              <w:t>—</w:t>
            </w:r>
          </w:p>
        </w:tc>
      </w:tr>
      <w:tr>
        <w:tc>
          <w:tcPr>
            <w:tcW w:type="dxa" w:w="2257"/>
          </w:tcPr>
          <w:p>
            <w:r>
              <w:rPr>
                <w:rFonts w:ascii="Arial" w:hAnsi="Arial"/>
                <w:sz w:val="18"/>
              </w:rPr>
              <w:t>Portfolio Coverage (%)</w:t>
            </w:r>
          </w:p>
        </w:tc>
        <w:tc>
          <w:tcPr>
            <w:tcW w:type="dxa" w:w="2257"/>
          </w:tcPr>
          <w:p>
            <w:pPr>
              <w:jc w:val="right"/>
            </w:pPr>
            <w:r>
              <w:rPr>
                <w:rFonts w:ascii="Arial" w:hAnsi="Arial"/>
                <w:sz w:val="18"/>
              </w:rPr>
              <w:t>100%</w:t>
            </w:r>
          </w:p>
        </w:tc>
        <w:tc>
          <w:tcPr>
            <w:tcW w:type="dxa" w:w="2257"/>
          </w:tcPr>
          <w:p>
            <w:r>
              <w:rPr>
                <w:rFonts w:ascii="Arial" w:hAnsi="Arial"/>
                <w:sz w:val="18"/>
              </w:rPr>
              <w:t>Data not available for this reporting period.</w:t>
            </w:r>
          </w:p>
        </w:tc>
        <w:tc>
          <w:tcPr>
            <w:tcW w:type="dxa" w:w="2257"/>
          </w:tcPr>
          <w:p>
            <w:r>
              <w:rPr>
                <w:rFonts w:ascii="Arial" w:hAnsi="Arial"/>
                <w:sz w:val="18"/>
              </w:rPr>
              <w:t>—</w:t>
            </w:r>
          </w:p>
        </w:tc>
      </w:tr>
    </w:tbl>
    <w:p>
      <w:r>
        <w:rPr>
          <w:rFonts w:ascii="Arial" w:hAnsi="Arial"/>
          <w:i/>
          <w:sz w:val="16"/>
        </w:rPr>
        <w:t>Source: Source: Internal PCAF calculation system. Portfolio coverage represents percentage of outstanding credit exposure included in financed emissions calculation. PCAF score is weighted by gross financed emissions contribution.</w:t>
      </w:r>
    </w:p>
    <w:p/>
    <w:p>
      <w:r>
        <w:rPr>
          <w:rFonts w:ascii="Arial" w:hAnsi="Arial"/>
          <w:b/>
          <w:sz w:val="20"/>
        </w:rPr>
        <w:t>Table 3: SASB FN-CB-410a.3 — Financed Emissions (Scope 3 Category 15)</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Asset Class</w:t>
            </w:r>
          </w:p>
        </w:tc>
        <w:tc>
          <w:tcPr>
            <w:tcW w:type="dxa" w:w="3010"/>
            <w:shd w:fill="1B3A6B" w:val="clear"/>
          </w:tcPr>
          <w:p>
            <w:r>
              <w:rPr>
                <w:rFonts w:ascii="Arial" w:hAnsi="Arial"/>
                <w:b/>
                <w:color w:val="FFFFFF"/>
                <w:sz w:val="18"/>
              </w:rPr>
              <w:t>Gross Financed Emissions (tCO2e)</w:t>
            </w:r>
          </w:p>
        </w:tc>
        <w:tc>
          <w:tcPr>
            <w:tcW w:type="dxa" w:w="3010"/>
            <w:shd w:fill="1B3A6B" w:val="clear"/>
          </w:tcPr>
          <w:p>
            <w:r>
              <w:rPr>
                <w:rFonts w:ascii="Arial" w:hAnsi="Arial"/>
                <w:b/>
                <w:color w:val="FFFFFF"/>
                <w:sz w:val="18"/>
              </w:rPr>
              <w:t>Confidence-Weighted Financed Emissions (tCO2e)</w:t>
            </w:r>
          </w:p>
        </w:tc>
      </w:tr>
      <w:tr>
        <w:tc>
          <w:tcPr>
            <w:tcW w:type="dxa" w:w="3010"/>
          </w:tcPr>
          <w:p>
            <w:r>
              <w:rPr>
                <w:rFonts w:ascii="Arial" w:hAnsi="Arial"/>
                <w:sz w:val="18"/>
              </w:rPr>
              <w:t>Corporate Loans &amp; Project Finance</w:t>
            </w:r>
          </w:p>
        </w:tc>
        <w:tc>
          <w:tcPr>
            <w:tcW w:type="dxa" w:w="3010"/>
          </w:tcPr>
          <w:p>
            <w:pPr>
              <w:jc w:val="right"/>
            </w:pPr>
            <w:r>
              <w:rPr>
                <w:rFonts w:ascii="Arial" w:hAnsi="Arial"/>
                <w:sz w:val="18"/>
              </w:rPr>
              <w:t>21,976,797.3</w:t>
            </w:r>
          </w:p>
        </w:tc>
        <w:tc>
          <w:tcPr>
            <w:tcW w:type="dxa" w:w="3010"/>
          </w:tcPr>
          <w:p>
            <w:pPr>
              <w:jc w:val="right"/>
            </w:pPr>
            <w:r>
              <w:rPr>
                <w:rFonts w:ascii="Arial" w:hAnsi="Arial"/>
                <w:sz w:val="18"/>
              </w:rPr>
              <w:t>15,280,174.14</w:t>
            </w:r>
          </w:p>
        </w:tc>
      </w:tr>
    </w:tbl>
    <w:p>
      <w:r>
        <w:rPr>
          <w:rFonts w:ascii="Arial" w:hAnsi="Arial"/>
          <w:i/>
          <w:sz w:val="16"/>
        </w:rPr>
        <w:t>Source: Source: PCAF calculation per SASB FN-CB-410a.3 industry-based metric. Figures represent Scope 1, Scope 2, and Scope 3 emissions of borrowers attributed to the institution's lending portfolio. Excludes retail mortgages and consumer credit.</w:t>
      </w:r>
    </w:p>
    <w:p/>
    <w:p>
      <w:r>
        <w:rPr>
          <w:i/>
          <w:color w:val="3D6094"/>
          <w:sz w:val="18"/>
        </w:rPr>
        <w:t>Framework references: IFRS S2 para 29(a)(vi) — Scope 3 Category 15 financed emissions; IFRS S2 para B62 — Commercial banking industry-based metrics; IFRS S2 para B62(a) — Absolute gross financed emissions disaggregated by industry; IFRS S2 para B62(d) — Methodology and attribution factor disclosure; SASB FN-CB-410a.3 — Financed emissions industry-based metric</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Financed emissions calculations follow the Partnership for Carbon Accounting Financials (PCAF) Global GHG Accounting Standard (2022 edition). The institution is a PCAF signatory committed to annual disclosure of financed emissions.</w:t>
      </w:r>
    </w:p>
    <w:p>
      <w:pPr>
        <w:spacing w:after="160" w:line="276" w:lineRule="auto"/>
        <w:jc w:val="both"/>
      </w:pPr>
      <w:r>
        <w:rPr>
          <w:rFonts w:ascii="Arial" w:hAnsi="Arial"/>
          <w:i/>
          <w:color w:val="646464"/>
          <w:sz w:val="18"/>
        </w:rPr>
        <w:t>Gross financed emissions represent the unadjusted total emissions attributed to the lending portfolio. Confidence-weighted financed emissions apply PCAF-prescribed confidence factors (ranging from 1.00 for verified data to 0.45 for sector-average proxies) to reflect data quality uncertainty.</w:t>
      </w:r>
    </w:p>
    <w:p>
      <w:pPr>
        <w:spacing w:after="160" w:line="276" w:lineRule="auto"/>
        <w:jc w:val="both"/>
      </w:pPr>
      <w:r>
        <w:rPr>
          <w:rFonts w:ascii="Arial" w:hAnsi="Arial"/>
          <w:i/>
          <w:color w:val="646464"/>
          <w:sz w:val="18"/>
        </w:rPr>
        <w:t>Sector classifications use NACE Rev.2 industry codes aligned with PCAF sector guidance. The institution plans to transition to GICS 6-digit codes in 2025 reporting to align with IFRS S2 paragraph B62(a)(i) requirements.</w:t>
      </w:r>
    </w:p>
    <w:p>
      <w:pPr>
        <w:spacing w:after="160" w:line="276" w:lineRule="auto"/>
        <w:jc w:val="both"/>
      </w:pPr>
      <w:r>
        <w:rPr>
          <w:rFonts w:ascii="Arial" w:hAnsi="Arial"/>
          <w:i/>
          <w:color w:val="646464"/>
          <w:sz w:val="18"/>
        </w:rPr>
        <w:t>Year-over-year comparisons are subject to data quality improvements and methodology refinements. The 2023 baseline has been restated to reflect updated EEIO emission factors published by the Indonesian Ministry of Environment and Forestry in Q4 2023.</w:t>
      </w:r>
    </w:p>
    <w:p>
      <w:r>
        <w:br w:type="page"/>
      </w:r>
    </w:p>
    <w:p>
      <w:pPr>
        <w:pStyle w:val="Heading1"/>
        <w:keepNext/>
        <w:spacing w:before="480" w:after="240"/>
      </w:pPr>
      <w:r>
        <w:rPr>
          <w:rFonts w:ascii="Arial" w:hAnsi="Arial"/>
          <w:b/>
          <w:color w:val="1B3A6B"/>
          <w:sz w:val="36"/>
        </w:rPr>
        <w:t>Climate-related Targets and Transition Planning</w:t>
      </w:r>
    </w:p>
    <w:p>
      <w:pPr>
        <w:spacing w:after="160" w:line="276" w:lineRule="auto"/>
        <w:jc w:val="both"/>
      </w:pPr>
      <w:r>
        <w:rPr>
          <w:rFonts w:ascii="Arial" w:hAnsi="Arial"/>
          <w:sz w:val="22"/>
        </w:rPr>
        <w:t>The institution has not established formal quantitative climate-related targets for the 2024 reporting period. The absence of disclosed targets reflects the institution's current stage of climate strategy development. As climate-related disclosure frameworks evolve and regulatory requirements under Indonesia's financial sector sustainability roadmap become mandatory, the institution is evaluating appropriate target-setting methodologies aligned with IFRS S2 paragraphs 33-37 requirements.</w:t>
      </w:r>
    </w:p>
    <w:p>
      <w:pPr>
        <w:spacing w:after="160" w:line="276" w:lineRule="auto"/>
        <w:jc w:val="both"/>
      </w:pPr>
      <w:r>
        <w:rPr>
          <w:rFonts w:ascii="Arial" w:hAnsi="Arial"/>
          <w:sz w:val="22"/>
        </w:rPr>
        <w:t>Data not available for this reporting period.</w:t>
      </w:r>
    </w:p>
    <w:p>
      <w:pPr>
        <w:spacing w:after="160" w:line="276" w:lineRule="auto"/>
        <w:jc w:val="both"/>
      </w:pPr>
      <w:r>
        <w:rPr>
          <w:rFonts w:ascii="Arial" w:hAnsi="Arial"/>
          <w:i/>
          <w:sz w:val="22"/>
        </w:rPr>
        <w:t>Per IFRS S2 paragraph 33, entities are required to disclose quantitative and qualitative information about climate-related targets set by the entity, including metrics used to set targets, the objective of the target, and the part of the entity to which the target applies. The institution acknowledges this requirement and is developing a comprehensive target-setting framework for future reporting periods, subject to governing body approval and alignment with national climate commitments under Indonesia's Enhanced Nationally Determined Contribution (NDC).</w:t>
      </w:r>
    </w:p>
    <w:p>
      <w:pPr>
        <w:spacing w:after="160" w:line="276" w:lineRule="auto"/>
        <w:jc w:val="both"/>
      </w:pPr>
      <w:r>
        <w:rPr>
          <w:rFonts w:ascii="Arial" w:hAnsi="Arial"/>
          <w:sz w:val="22"/>
        </w:rPr>
        <w:t>The institution's current emissions baseline, as disclosed in the Metrics &amp; Targets section, provides the foundational data necessary for science-based target development. With Scope 1 emissions of 3402.997 tCO2e, Scope 2 (market-based) emissions of 44612.518 tCO2e, and financed emissions (Scope 3 Category 15) of 15280174.14 tCO2e for 2024, the institution has established a comprehensive emissions inventory that will inform future target-setting processes. The average PCAF data quality score of 3.36 indicates moderate data quality, which will require improvement to support robust target validation, particularly for financed emissions targets aligned with the Partnership for Carbon Accounting Financials (PCAF) Standard.</w:t>
      </w:r>
    </w:p>
    <w:p>
      <w:pPr>
        <w:spacing w:after="160" w:line="276" w:lineRule="auto"/>
        <w:jc w:val="both"/>
      </w:pPr>
      <w:r>
        <w:rPr>
          <w:rFonts w:ascii="Arial" w:hAnsi="Arial"/>
          <w:i/>
          <w:color w:val="555555"/>
          <w:sz w:val="22"/>
        </w:rPr>
        <w:t>IFRS S2 paragraph 34 requires disclosure of whether targets are validated by a third party and whether they are derived using a sectoral decarbonization approach. The institution has not yet pursued Science Based Targets initiative (SBTi) validation for the Financial Institutions Net-Zero (FI-NZ) commitment, which would require alignment with a 1.5°C pathway and coverage of financed emissions across all asset classes. Development of SBTi-aligned targets is under consideration for the 2025-2026 planning cycle, subject to market conditions and data quality improvements.</w:t>
      </w:r>
    </w:p>
    <w:p>
      <w:pPr>
        <w:spacing w:after="160" w:line="276" w:lineRule="auto"/>
        <w:jc w:val="both"/>
      </w:pPr>
      <w:r>
        <w:rPr>
          <w:rFonts w:ascii="Arial" w:hAnsi="Arial"/>
          <w:sz w:val="22"/>
        </w:rPr>
        <w:t>For operational emissions (Scope 1 and 2), the institution is evaluating decarbonization levers including energy efficiency retrofits across the facility portfolio, renewable energy procurement through Power Purchase Agreements (PPAs) or Renewable Energy Certificates (RECs), and fleet electrification for diesel-powered backup generators. The top 10 facilities by Scope 1 emissions, representing 1188.4077 tCO2e (34.9% of total Scope 1), have been prioritized for energy audits to identify cost-effective reduction opportunities. For financed emissions, the institution is developing sector-specific engagement strategies for high-emission sectors including Energy - Oil &amp; Gas (6753948.71 tCO2e weighted), Manufacturing - Cement (4168058.43 tCO2e weighted), and Manufacturing - Steel (2228739.65 tCO2e weighted), which collectively represent 85.93% of total financed emissions.</w:t>
      </w:r>
    </w:p>
    <w:p>
      <w:pPr>
        <w:spacing w:after="160" w:line="276" w:lineRule="auto"/>
        <w:jc w:val="both"/>
      </w:pPr>
      <w:r>
        <w:rPr>
          <w:rFonts w:ascii="Arial" w:hAnsi="Arial"/>
          <w:i/>
          <w:color w:val="555555"/>
          <w:sz w:val="22"/>
        </w:rPr>
        <w:t>The institution has not established a net-zero commitment or interim milestones for the current reporting period. Any future net-zero target would require clear articulation of residual emissions treatment, carbon offset strategy, and alignment with the Glasgow Financial Alliance for Net Zero (GFANZ) guidelines for financial institutions. Per IFRS S2 paragraph 36, disclosure of interim targets and the entity's approach to achieving long-term targets, including use of carbon offsets, would be required upon target establishment.</w:t>
      </w:r>
    </w:p>
    <w:p>
      <w:pPr>
        <w:spacing w:after="160" w:line="276" w:lineRule="auto"/>
        <w:jc w:val="both"/>
      </w:pPr>
      <w:r>
        <w:rPr>
          <w:rFonts w:ascii="Arial" w:hAnsi="Arial"/>
          <w:i/>
          <w:color w:val="555555"/>
          <w:sz w:val="22"/>
        </w:rPr>
        <w:t>The institution recognizes that robust climate target-setting requires integration with enterprise risk management frameworks, scenario analysis outputs (per IFRS S2 paragraphs 22-23), and transition planning aligned with the latest international agreement on climate change. Development of quantitative targets is pending completion of climate-related scenario analysis across 1.5°C and 2.0°C warming pathways, which will inform the feasibility and ambition level of potential reduction commitments. The institution commits to disclosing progress against established targets in future reporting periods, including explanations of any revisions to targets and the reasons for such revisions, as required by IFRS S2 paragraph 37.</w:t>
      </w:r>
    </w:p>
    <w:p>
      <w:r>
        <w:rPr>
          <w:i/>
          <w:color w:val="3D6094"/>
          <w:sz w:val="18"/>
        </w:rPr>
        <w:t>Framework references: IFRS S2 Para 33 (climate-related targets disclosure requirements); IFRS S2 Para 34 (third-party validation and sectoral approach); IFRS S2 Para 35 (target metrics and base period); IFRS S2 Para 36 (interim targets and carbon offsets); IFRS S2 Para 37 (progress against targets and revisions); IFRS S2 Para 22-23 (scenario analysis integration with target-setting)</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The institution has not established formal climate-related targets for the 2024 reporting period. Target development is subject to governing body approval and alignment with regulatory requirements under Indonesia's financial sector sustainability roadmap.</w:t>
      </w:r>
    </w:p>
    <w:p>
      <w:pPr>
        <w:spacing w:after="160" w:line="276" w:lineRule="auto"/>
        <w:jc w:val="both"/>
      </w:pPr>
      <w:r>
        <w:rPr>
          <w:rFonts w:ascii="Arial" w:hAnsi="Arial"/>
          <w:i/>
          <w:color w:val="646464"/>
          <w:sz w:val="18"/>
        </w:rPr>
        <w:t>Financed emissions calculated using the Partnership for Carbon Accounting Financials (PCAF) Standard for corporate loans. Average data quality score of 3.36 indicates reliance on sector-average emission factors for majority of portfolio.</w:t>
      </w:r>
    </w:p>
    <w:p>
      <w:pPr>
        <w:spacing w:after="160" w:line="276" w:lineRule="auto"/>
        <w:jc w:val="both"/>
      </w:pPr>
      <w:r>
        <w:rPr>
          <w:rFonts w:ascii="Arial" w:hAnsi="Arial"/>
          <w:i/>
          <w:color w:val="646464"/>
          <w:sz w:val="18"/>
        </w:rPr>
        <w:t>Future target-setting will consider alignment with Science Based Targets initiative (SBTi) Financial Institutions Net-Zero (FI-NZ) methodology, subject to data quality improvements and scenario analysis completion.</w:t>
      </w:r>
    </w:p>
    <w:p>
      <w:r>
        <w:br w:type="page"/>
      </w:r>
    </w:p>
    <w:p>
      <w:pPr>
        <w:pStyle w:val="Heading1"/>
        <w:keepNext/>
        <w:spacing w:before="480" w:after="240"/>
      </w:pPr>
      <w:r>
        <w:rPr>
          <w:rFonts w:ascii="Arial" w:hAnsi="Arial"/>
          <w:b/>
          <w:color w:val="1B3A6B"/>
          <w:sz w:val="36"/>
        </w:rPr>
        <w:t>GRI 305-3: Other Indirect (Scope 3) GHG Emissions — Category 15 Financed Emissions</w:t>
      </w:r>
    </w:p>
    <w:p>
      <w:pPr>
        <w:spacing w:after="160" w:line="276" w:lineRule="auto"/>
        <w:jc w:val="both"/>
      </w:pPr>
      <w:r>
        <w:rPr>
          <w:rFonts w:ascii="Arial" w:hAnsi="Arial"/>
          <w:sz w:val="22"/>
        </w:rPr>
        <w:t>The organization reported gross financed emissions of 21,976,797.3 tCO2e for the 2024 reporting period under Scope 3 Category 15 (Investments). This figure represents the total greenhouse gas emissions attributable to the institution's lending and investment portfolio, calculated in accordance with the Partnership for Carbon Accounting Financials (PCAF) Global GHG Accounting and Reporting Standard for the Financial Industry. The portfolio assessed comprised 1,955 borrowers across 10 economic sectors, with total outstanding exposure of IDR 1,541.182 trillion. Category 15 constitutes the organization's most material Scope 3 category, representing 99.98% of total Scope 3 emissions.</w:t>
      </w:r>
    </w:p>
    <w:p>
      <w:pPr>
        <w:spacing w:after="160" w:line="276" w:lineRule="auto"/>
        <w:jc w:val="both"/>
      </w:pPr>
      <w:r>
        <w:rPr>
          <w:rFonts w:ascii="Arial" w:hAnsi="Arial"/>
          <w:i/>
          <w:sz w:val="22"/>
        </w:rPr>
        <w:t>The PCAF methodology applies an attribution factor to allocate a proportional share of each borrower's total emissions to the institution based on the outstanding loan amount relative to the borrower's total equity plus debt. The attribution factor formula is: (Outstanding Amount ÷ Borrower EVIC) × Borrower Total Emissions = Financed Emissions. Asset classes covered in this assessment included corporate loans (87.3% of portfolio), project finance (8.1%), and commercial real estate (4.6%). Emission factors were sourced from borrower-reported data where available (23.4% of portfolio), supplemented by environmentally-extended input-output (EEIO) models calibrated to Indonesian economic sectors for remaining exposures.</w:t>
      </w:r>
    </w:p>
    <w:p>
      <w:pPr>
        <w:spacing w:after="160" w:line="276" w:lineRule="auto"/>
        <w:jc w:val="both"/>
      </w:pPr>
      <w:r>
        <w:rPr>
          <w:rFonts w:ascii="Arial" w:hAnsi="Arial"/>
          <w:sz w:val="22"/>
        </w:rPr>
        <w:t>The organization distinguishes between two financed emissions metrics mandated by PCAF reporting requirements. Gross financed emissions of 21,976,797.3 tCO2e represent the unadjusted sum of attributed emissions across the portfolio. Confidence-weighted financed emissions of 15,280,174.14 tCO2e apply PCAF data quality confidence factors (ranging from 0.45 for sector-average proxies to 1.00 for verified borrower disclosures) to reflect measurement uncertainty. The 30.5% reduction from gross to weighted figures indicates substantial reliance on modeled data rather than borrower-reported emissions. The confidence-weighted metric provides a more conservative estimate suitable for target-setting and performance tracking, while the gross metric enables comparability with institutions using alternative weighting approaches.</w:t>
      </w:r>
    </w:p>
    <w:p>
      <w:pPr>
        <w:spacing w:after="160" w:line="276" w:lineRule="auto"/>
        <w:jc w:val="both"/>
      </w:pPr>
      <w:r>
        <w:rPr>
          <w:rFonts w:ascii="Arial" w:hAnsi="Arial"/>
          <w:sz w:val="22"/>
        </w:rPr>
        <w:t>Three sectors accounted for 85.9% of gross financed emissions despite representing only 20.7% of portfolio exposure. Energy - Oil &amp; Gas generated 9,573,144.27 tCO2e (43.6% of total financed emissions) from IDR 102.670 trillion in outstanding loans, yielding an emission intensity of 93.242 tCO2e per IDR billion. Manufacturing - Cement contributed 5,813,830.91 tCO2e (26.5%) from IDR 107.678 trillion exposure, with intensity of 53.993 tCO2e per IDR billion. Manufacturing - Steel produced 3,499,463.0 tCO2e (15.9%) from IDR 108.620 trillion, at 32.218 tCO2e per IDR billion. These three sectors exhibited emission intensities 13 to 261 times higher than the portfolio average of 14.256 tCO2e per IDR billion, reflecting the carbon-intensive nature of fossil fuel extraction, cement clinker production, and blast furnace steelmaking processes.</w:t>
      </w:r>
    </w:p>
    <w:p>
      <w:pPr>
        <w:spacing w:after="160" w:line="276" w:lineRule="auto"/>
        <w:jc w:val="both"/>
      </w:pPr>
      <w:r>
        <w:rPr>
          <w:rFonts w:ascii="Arial" w:hAnsi="Arial"/>
          <w:sz w:val="22"/>
        </w:rPr>
        <w:t>The portfolio-weighted average PCAF data quality score was 3.36 on the 1–5 scale (where 1 represents highest quality verified data and 5 represents sector-average proxies). This score indicates that the majority of financed emissions calculations relied on EEIO models combined with borrower financial data (PCAF Score 3) rather than borrower-reported emissions inventories. High-quality data (PCAF Scores 1–2, representing verified or reported emissions) covered 11.2% of portfolio exposure. The organization achieved 100% portfolio coverage for financed emissions calculation, meeting the PCAF signatory requirement of &gt;95% coverage within three years of joining the partnership. No material exclusions were applied; all corporate lending, project finance, and commercial real estate exposures were included in the boundary.</w:t>
      </w:r>
    </w:p>
    <w:p>
      <w:pPr>
        <w:spacing w:after="160" w:line="276" w:lineRule="auto"/>
        <w:jc w:val="both"/>
      </w:pPr>
      <w:r>
        <w:rPr>
          <w:rFonts w:ascii="Arial" w:hAnsi="Arial"/>
          <w:sz w:val="22"/>
        </w:rPr>
        <w:t>Gross financed emissions decreased 4.07% year-over-year, from 22,911,991.05 tCO2e in 2023 to 21,976,797.3 tCO2e in 2024. Confidence-weighted financed emissions declined 1.90%, from 15,576,239.57 tCO2e to 15,280,174.14 tCO2e. The reduction was attributable to three factors: (1) decreased exposure to the Energy - Oil &amp; Gas sector (down 8.3% by outstanding amount), (2) improved operational efficiency among cement manufacturing borrowers (average emission intensity declined 3.1% based on updated EEIO coefficients), and (3) portfolio rebalancing toward lower-intensity sectors including Financial Services and Retail Trade. The organization did not purchase carbon offsets or renewable energy certificates to reduce financed emissions; the reported decrease reflects actual changes in portfolio composition and borrower emissions performance.</w:t>
      </w:r>
    </w:p>
    <w:p>
      <w:pPr>
        <w:spacing w:after="160" w:line="276" w:lineRule="auto"/>
        <w:jc w:val="both"/>
      </w:pPr>
      <w:r>
        <w:rPr>
          <w:rFonts w:ascii="Arial" w:hAnsi="Arial"/>
          <w:i/>
          <w:color w:val="555555"/>
          <w:sz w:val="22"/>
        </w:rPr>
        <w:t>The organization has established a data quality improvement roadmap to achieve a portfolio-weighted PCAF score of ≤2.5 by 2027. Priority actions include: (1) requiring annual GHG inventories in loan covenants for all borrowers with exposure &gt;IDR 500 billion (targeting 40% portfolio coverage), (2) providing technical assistance to 50 high-emitting borrowers to develop Scope 1 and 2 inventories aligned with GHG Protocol Corporate Standard, (3) subscribing to third-party emissions databases (CDP, Trucost) to replace EEIO estimates for publicly listed borrowers, and (4) piloting Scope 3 Category 15 calculations for the institution's equity investment portfolio (currently excluded from boundary). These initiatives are subject to borrower cooperation and regulatory developments regarding mandatory climate disclosure in Indonesia.</w:t>
      </w:r>
    </w:p>
    <w:p>
      <w:r>
        <w:rPr>
          <w:rFonts w:ascii="Arial" w:hAnsi="Arial"/>
          <w:b/>
          <w:sz w:val="20"/>
        </w:rPr>
        <w:t>Table 1: Financed Emissions by Economic Sector (Top 5 by Gross Emissions)</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A6B" w:val="clear"/>
          </w:tcPr>
          <w:p>
            <w:r>
              <w:rPr>
                <w:rFonts w:ascii="Arial" w:hAnsi="Arial"/>
                <w:b/>
                <w:color w:val="FFFFFF"/>
                <w:sz w:val="18"/>
              </w:rPr>
              <w:t>Sector</w:t>
            </w:r>
          </w:p>
        </w:tc>
        <w:tc>
          <w:tcPr>
            <w:tcW w:type="dxa" w:w="1290"/>
            <w:shd w:fill="1B3A6B" w:val="clear"/>
          </w:tcPr>
          <w:p>
            <w:r>
              <w:rPr>
                <w:rFonts w:ascii="Arial" w:hAnsi="Arial"/>
                <w:b/>
                <w:color w:val="FFFFFF"/>
                <w:sz w:val="18"/>
              </w:rPr>
              <w:t>Outstanding (IDR trillion)</w:t>
            </w:r>
          </w:p>
        </w:tc>
        <w:tc>
          <w:tcPr>
            <w:tcW w:type="dxa" w:w="1290"/>
            <w:shd w:fill="1B3A6B" w:val="clear"/>
          </w:tcPr>
          <w:p>
            <w:r>
              <w:rPr>
                <w:rFonts w:ascii="Arial" w:hAnsi="Arial"/>
                <w:b/>
                <w:color w:val="FFFFFF"/>
                <w:sz w:val="18"/>
              </w:rPr>
              <w:t>Gross Financed Emissions (tCO2e)</w:t>
            </w:r>
          </w:p>
        </w:tc>
        <w:tc>
          <w:tcPr>
            <w:tcW w:type="dxa" w:w="1290"/>
            <w:shd w:fill="1B3A6B" w:val="clear"/>
          </w:tcPr>
          <w:p>
            <w:r>
              <w:rPr>
                <w:rFonts w:ascii="Arial" w:hAnsi="Arial"/>
                <w:b/>
                <w:color w:val="FFFFFF"/>
                <w:sz w:val="18"/>
              </w:rPr>
              <w:t>Weighted Financed Emissions (tCO2e)</w:t>
            </w:r>
          </w:p>
        </w:tc>
        <w:tc>
          <w:tcPr>
            <w:tcW w:type="dxa" w:w="1290"/>
            <w:shd w:fill="1B3A6B" w:val="clear"/>
          </w:tcPr>
          <w:p>
            <w:r>
              <w:rPr>
                <w:rFonts w:ascii="Arial" w:hAnsi="Arial"/>
                <w:b/>
                <w:color w:val="FFFFFF"/>
                <w:sz w:val="18"/>
              </w:rPr>
              <w:t>Emission Intensity (tCO2e/IDR bn)</w:t>
            </w:r>
          </w:p>
        </w:tc>
        <w:tc>
          <w:tcPr>
            <w:tcW w:type="dxa" w:w="1290"/>
            <w:shd w:fill="1B3A6B" w:val="clear"/>
          </w:tcPr>
          <w:p>
            <w:r>
              <w:rPr>
                <w:rFonts w:ascii="Arial" w:hAnsi="Arial"/>
                <w:b/>
                <w:color w:val="FFFFFF"/>
                <w:sz w:val="18"/>
              </w:rPr>
              <w:t>% of Portfolio</w:t>
            </w:r>
          </w:p>
        </w:tc>
        <w:tc>
          <w:tcPr>
            <w:tcW w:type="dxa" w:w="1290"/>
            <w:shd w:fill="1B3A6B" w:val="clear"/>
          </w:tcPr>
          <w:p>
            <w:r>
              <w:rPr>
                <w:rFonts w:ascii="Arial" w:hAnsi="Arial"/>
                <w:b/>
                <w:color w:val="FFFFFF"/>
                <w:sz w:val="18"/>
              </w:rPr>
              <w:t>% of Total Emissions</w:t>
            </w:r>
          </w:p>
        </w:tc>
      </w:tr>
      <w:tr>
        <w:tc>
          <w:tcPr>
            <w:tcW w:type="dxa" w:w="1290"/>
          </w:tcPr>
          <w:p>
            <w:r>
              <w:rPr>
                <w:rFonts w:ascii="Arial" w:hAnsi="Arial"/>
                <w:sz w:val="18"/>
              </w:rPr>
              <w:t>Energy - Oil &amp; Gas</w:t>
            </w:r>
          </w:p>
        </w:tc>
        <w:tc>
          <w:tcPr>
            <w:tcW w:type="dxa" w:w="1290"/>
          </w:tcPr>
          <w:p>
            <w:pPr>
              <w:jc w:val="right"/>
            </w:pPr>
            <w:r>
              <w:rPr>
                <w:rFonts w:ascii="Arial" w:hAnsi="Arial"/>
                <w:sz w:val="18"/>
              </w:rPr>
              <w:t>102.670</w:t>
            </w:r>
          </w:p>
        </w:tc>
        <w:tc>
          <w:tcPr>
            <w:tcW w:type="dxa" w:w="1290"/>
          </w:tcPr>
          <w:p>
            <w:pPr>
              <w:jc w:val="right"/>
            </w:pPr>
            <w:r>
              <w:rPr>
                <w:rFonts w:ascii="Arial" w:hAnsi="Arial"/>
                <w:sz w:val="18"/>
              </w:rPr>
              <w:t>9,573,144.27</w:t>
            </w:r>
          </w:p>
        </w:tc>
        <w:tc>
          <w:tcPr>
            <w:tcW w:type="dxa" w:w="1290"/>
          </w:tcPr>
          <w:p>
            <w:pPr>
              <w:jc w:val="right"/>
            </w:pPr>
            <w:r>
              <w:rPr>
                <w:rFonts w:ascii="Arial" w:hAnsi="Arial"/>
                <w:sz w:val="18"/>
              </w:rPr>
              <w:t>6,753,948.71</w:t>
            </w:r>
          </w:p>
        </w:tc>
        <w:tc>
          <w:tcPr>
            <w:tcW w:type="dxa" w:w="1290"/>
          </w:tcPr>
          <w:p>
            <w:pPr>
              <w:jc w:val="right"/>
            </w:pPr>
            <w:r>
              <w:rPr>
                <w:rFonts w:ascii="Arial" w:hAnsi="Arial"/>
                <w:sz w:val="18"/>
              </w:rPr>
              <w:t>93.242</w:t>
            </w:r>
          </w:p>
        </w:tc>
        <w:tc>
          <w:tcPr>
            <w:tcW w:type="dxa" w:w="1290"/>
          </w:tcPr>
          <w:p>
            <w:pPr>
              <w:jc w:val="right"/>
            </w:pPr>
            <w:r>
              <w:rPr>
                <w:rFonts w:ascii="Arial" w:hAnsi="Arial"/>
                <w:sz w:val="18"/>
              </w:rPr>
              <w:t>6.66%</w:t>
            </w:r>
          </w:p>
        </w:tc>
        <w:tc>
          <w:tcPr>
            <w:tcW w:type="dxa" w:w="1290"/>
          </w:tcPr>
          <w:p>
            <w:pPr>
              <w:jc w:val="right"/>
            </w:pPr>
            <w:r>
              <w:rPr>
                <w:rFonts w:ascii="Arial" w:hAnsi="Arial"/>
                <w:sz w:val="18"/>
              </w:rPr>
              <w:t>43.56%</w:t>
            </w:r>
          </w:p>
        </w:tc>
      </w:tr>
      <w:tr>
        <w:tc>
          <w:tcPr>
            <w:tcW w:type="dxa" w:w="1290"/>
            <w:shd w:fill="F2F6FC" w:val="clear"/>
          </w:tcPr>
          <w:p>
            <w:r>
              <w:rPr>
                <w:rFonts w:ascii="Arial" w:hAnsi="Arial"/>
                <w:sz w:val="18"/>
              </w:rPr>
              <w:t>Manufacturing - Cement</w:t>
            </w:r>
          </w:p>
        </w:tc>
        <w:tc>
          <w:tcPr>
            <w:tcW w:type="dxa" w:w="1290"/>
            <w:shd w:fill="F2F6FC" w:val="clear"/>
          </w:tcPr>
          <w:p>
            <w:pPr>
              <w:jc w:val="right"/>
            </w:pPr>
            <w:r>
              <w:rPr>
                <w:rFonts w:ascii="Arial" w:hAnsi="Arial"/>
                <w:sz w:val="18"/>
              </w:rPr>
              <w:t>107.678</w:t>
            </w:r>
          </w:p>
        </w:tc>
        <w:tc>
          <w:tcPr>
            <w:tcW w:type="dxa" w:w="1290"/>
            <w:shd w:fill="F2F6FC" w:val="clear"/>
          </w:tcPr>
          <w:p>
            <w:pPr>
              <w:jc w:val="right"/>
            </w:pPr>
            <w:r>
              <w:rPr>
                <w:rFonts w:ascii="Arial" w:hAnsi="Arial"/>
                <w:sz w:val="18"/>
              </w:rPr>
              <w:t>5,813,830.91</w:t>
            </w:r>
          </w:p>
        </w:tc>
        <w:tc>
          <w:tcPr>
            <w:tcW w:type="dxa" w:w="1290"/>
            <w:shd w:fill="F2F6FC" w:val="clear"/>
          </w:tcPr>
          <w:p>
            <w:pPr>
              <w:jc w:val="right"/>
            </w:pPr>
            <w:r>
              <w:rPr>
                <w:rFonts w:ascii="Arial" w:hAnsi="Arial"/>
                <w:sz w:val="18"/>
              </w:rPr>
              <w:t>4,168,058.43</w:t>
            </w:r>
          </w:p>
        </w:tc>
        <w:tc>
          <w:tcPr>
            <w:tcW w:type="dxa" w:w="1290"/>
            <w:shd w:fill="F2F6FC" w:val="clear"/>
          </w:tcPr>
          <w:p>
            <w:pPr>
              <w:jc w:val="right"/>
            </w:pPr>
            <w:r>
              <w:rPr>
                <w:rFonts w:ascii="Arial" w:hAnsi="Arial"/>
                <w:sz w:val="18"/>
              </w:rPr>
              <w:t>53.993</w:t>
            </w:r>
          </w:p>
        </w:tc>
        <w:tc>
          <w:tcPr>
            <w:tcW w:type="dxa" w:w="1290"/>
            <w:shd w:fill="F2F6FC" w:val="clear"/>
          </w:tcPr>
          <w:p>
            <w:pPr>
              <w:jc w:val="right"/>
            </w:pPr>
            <w:r>
              <w:rPr>
                <w:rFonts w:ascii="Arial" w:hAnsi="Arial"/>
                <w:sz w:val="18"/>
              </w:rPr>
              <w:t>6.99%</w:t>
            </w:r>
          </w:p>
        </w:tc>
        <w:tc>
          <w:tcPr>
            <w:tcW w:type="dxa" w:w="1290"/>
            <w:shd w:fill="F2F6FC" w:val="clear"/>
          </w:tcPr>
          <w:p>
            <w:pPr>
              <w:jc w:val="right"/>
            </w:pPr>
            <w:r>
              <w:rPr>
                <w:rFonts w:ascii="Arial" w:hAnsi="Arial"/>
                <w:sz w:val="18"/>
              </w:rPr>
              <w:t>26.45%</w:t>
            </w:r>
          </w:p>
        </w:tc>
      </w:tr>
      <w:tr>
        <w:tc>
          <w:tcPr>
            <w:tcW w:type="dxa" w:w="1290"/>
          </w:tcPr>
          <w:p>
            <w:r>
              <w:rPr>
                <w:rFonts w:ascii="Arial" w:hAnsi="Arial"/>
                <w:sz w:val="18"/>
              </w:rPr>
              <w:t>Manufacturing - Steel</w:t>
            </w:r>
          </w:p>
        </w:tc>
        <w:tc>
          <w:tcPr>
            <w:tcW w:type="dxa" w:w="1290"/>
          </w:tcPr>
          <w:p>
            <w:pPr>
              <w:jc w:val="right"/>
            </w:pPr>
            <w:r>
              <w:rPr>
                <w:rFonts w:ascii="Arial" w:hAnsi="Arial"/>
                <w:sz w:val="18"/>
              </w:rPr>
              <w:t>108.620</w:t>
            </w:r>
          </w:p>
        </w:tc>
        <w:tc>
          <w:tcPr>
            <w:tcW w:type="dxa" w:w="1290"/>
          </w:tcPr>
          <w:p>
            <w:pPr>
              <w:jc w:val="right"/>
            </w:pPr>
            <w:r>
              <w:rPr>
                <w:rFonts w:ascii="Arial" w:hAnsi="Arial"/>
                <w:sz w:val="18"/>
              </w:rPr>
              <w:t>3,499,463.0</w:t>
            </w:r>
          </w:p>
        </w:tc>
        <w:tc>
          <w:tcPr>
            <w:tcW w:type="dxa" w:w="1290"/>
          </w:tcPr>
          <w:p>
            <w:pPr>
              <w:jc w:val="right"/>
            </w:pPr>
            <w:r>
              <w:rPr>
                <w:rFonts w:ascii="Arial" w:hAnsi="Arial"/>
                <w:sz w:val="18"/>
              </w:rPr>
              <w:t>2,228,739.65</w:t>
            </w:r>
          </w:p>
        </w:tc>
        <w:tc>
          <w:tcPr>
            <w:tcW w:type="dxa" w:w="1290"/>
          </w:tcPr>
          <w:p>
            <w:pPr>
              <w:jc w:val="right"/>
            </w:pPr>
            <w:r>
              <w:rPr>
                <w:rFonts w:ascii="Arial" w:hAnsi="Arial"/>
                <w:sz w:val="18"/>
              </w:rPr>
              <w:t>32.218</w:t>
            </w:r>
          </w:p>
        </w:tc>
        <w:tc>
          <w:tcPr>
            <w:tcW w:type="dxa" w:w="1290"/>
          </w:tcPr>
          <w:p>
            <w:pPr>
              <w:jc w:val="right"/>
            </w:pPr>
            <w:r>
              <w:rPr>
                <w:rFonts w:ascii="Arial" w:hAnsi="Arial"/>
                <w:sz w:val="18"/>
              </w:rPr>
              <w:t>7.05%</w:t>
            </w:r>
          </w:p>
        </w:tc>
        <w:tc>
          <w:tcPr>
            <w:tcW w:type="dxa" w:w="1290"/>
          </w:tcPr>
          <w:p>
            <w:pPr>
              <w:jc w:val="right"/>
            </w:pPr>
            <w:r>
              <w:rPr>
                <w:rFonts w:ascii="Arial" w:hAnsi="Arial"/>
                <w:sz w:val="18"/>
              </w:rPr>
              <w:t>15.92%</w:t>
            </w:r>
          </w:p>
        </w:tc>
      </w:tr>
      <w:tr>
        <w:tc>
          <w:tcPr>
            <w:tcW w:type="dxa" w:w="1290"/>
            <w:shd w:fill="F2F6FC" w:val="clear"/>
          </w:tcPr>
          <w:p>
            <w:r>
              <w:rPr>
                <w:rFonts w:ascii="Arial" w:hAnsi="Arial"/>
                <w:sz w:val="18"/>
              </w:rPr>
              <w:t>Transportation - Road</w:t>
            </w:r>
          </w:p>
        </w:tc>
        <w:tc>
          <w:tcPr>
            <w:tcW w:type="dxa" w:w="1290"/>
            <w:shd w:fill="F2F6FC" w:val="clear"/>
          </w:tcPr>
          <w:p>
            <w:pPr>
              <w:jc w:val="right"/>
            </w:pPr>
            <w:r>
              <w:rPr>
                <w:rFonts w:ascii="Arial" w:hAnsi="Arial"/>
                <w:sz w:val="18"/>
              </w:rPr>
              <w:t>155.553</w:t>
            </w:r>
          </w:p>
        </w:tc>
        <w:tc>
          <w:tcPr>
            <w:tcW w:type="dxa" w:w="1290"/>
            <w:shd w:fill="F2F6FC" w:val="clear"/>
          </w:tcPr>
          <w:p>
            <w:pPr>
              <w:jc w:val="right"/>
            </w:pPr>
            <w:r>
              <w:rPr>
                <w:rFonts w:ascii="Arial" w:hAnsi="Arial"/>
                <w:sz w:val="18"/>
              </w:rPr>
              <w:t>1,227,019.62</w:t>
            </w:r>
          </w:p>
        </w:tc>
        <w:tc>
          <w:tcPr>
            <w:tcW w:type="dxa" w:w="1290"/>
            <w:shd w:fill="F2F6FC" w:val="clear"/>
          </w:tcPr>
          <w:p>
            <w:pPr>
              <w:jc w:val="right"/>
            </w:pPr>
            <w:r>
              <w:rPr>
                <w:rFonts w:ascii="Arial" w:hAnsi="Arial"/>
                <w:sz w:val="18"/>
              </w:rPr>
              <w:t>864,356.23</w:t>
            </w:r>
          </w:p>
        </w:tc>
        <w:tc>
          <w:tcPr>
            <w:tcW w:type="dxa" w:w="1290"/>
            <w:shd w:fill="F2F6FC" w:val="clear"/>
          </w:tcPr>
          <w:p>
            <w:pPr>
              <w:jc w:val="right"/>
            </w:pPr>
            <w:r>
              <w:rPr>
                <w:rFonts w:ascii="Arial" w:hAnsi="Arial"/>
                <w:sz w:val="18"/>
              </w:rPr>
              <w:t>7.888</w:t>
            </w:r>
          </w:p>
        </w:tc>
        <w:tc>
          <w:tcPr>
            <w:tcW w:type="dxa" w:w="1290"/>
            <w:shd w:fill="F2F6FC" w:val="clear"/>
          </w:tcPr>
          <w:p>
            <w:pPr>
              <w:jc w:val="right"/>
            </w:pPr>
            <w:r>
              <w:rPr>
                <w:rFonts w:ascii="Arial" w:hAnsi="Arial"/>
                <w:sz w:val="18"/>
              </w:rPr>
              <w:t>10.09%</w:t>
            </w:r>
          </w:p>
        </w:tc>
        <w:tc>
          <w:tcPr>
            <w:tcW w:type="dxa" w:w="1290"/>
            <w:shd w:fill="F2F6FC" w:val="clear"/>
          </w:tcPr>
          <w:p>
            <w:pPr>
              <w:jc w:val="right"/>
            </w:pPr>
            <w:r>
              <w:rPr>
                <w:rFonts w:ascii="Arial" w:hAnsi="Arial"/>
                <w:sz w:val="18"/>
              </w:rPr>
              <w:t>5.58%</w:t>
            </w:r>
          </w:p>
        </w:tc>
      </w:tr>
      <w:tr>
        <w:tc>
          <w:tcPr>
            <w:tcW w:type="dxa" w:w="1290"/>
          </w:tcPr>
          <w:p>
            <w:r>
              <w:rPr>
                <w:rFonts w:ascii="Arial" w:hAnsi="Arial"/>
                <w:sz w:val="18"/>
              </w:rPr>
              <w:t>Manufacturing - Food &amp; Beverage</w:t>
            </w:r>
          </w:p>
        </w:tc>
        <w:tc>
          <w:tcPr>
            <w:tcW w:type="dxa" w:w="1290"/>
          </w:tcPr>
          <w:p>
            <w:pPr>
              <w:jc w:val="right"/>
            </w:pPr>
            <w:r>
              <w:rPr>
                <w:rFonts w:ascii="Arial" w:hAnsi="Arial"/>
                <w:sz w:val="18"/>
              </w:rPr>
              <w:t>169.139</w:t>
            </w:r>
          </w:p>
        </w:tc>
        <w:tc>
          <w:tcPr>
            <w:tcW w:type="dxa" w:w="1290"/>
          </w:tcPr>
          <w:p>
            <w:pPr>
              <w:jc w:val="right"/>
            </w:pPr>
            <w:r>
              <w:rPr>
                <w:rFonts w:ascii="Arial" w:hAnsi="Arial"/>
                <w:sz w:val="18"/>
              </w:rPr>
              <w:t>936,111.21</w:t>
            </w:r>
          </w:p>
        </w:tc>
        <w:tc>
          <w:tcPr>
            <w:tcW w:type="dxa" w:w="1290"/>
          </w:tcPr>
          <w:p>
            <w:pPr>
              <w:jc w:val="right"/>
            </w:pPr>
            <w:r>
              <w:rPr>
                <w:rFonts w:ascii="Arial" w:hAnsi="Arial"/>
                <w:sz w:val="18"/>
              </w:rPr>
              <w:t>653,413.56</w:t>
            </w:r>
          </w:p>
        </w:tc>
        <w:tc>
          <w:tcPr>
            <w:tcW w:type="dxa" w:w="1290"/>
          </w:tcPr>
          <w:p>
            <w:pPr>
              <w:jc w:val="right"/>
            </w:pPr>
            <w:r>
              <w:rPr>
                <w:rFonts w:ascii="Arial" w:hAnsi="Arial"/>
                <w:sz w:val="18"/>
              </w:rPr>
              <w:t>5.535</w:t>
            </w:r>
          </w:p>
        </w:tc>
        <w:tc>
          <w:tcPr>
            <w:tcW w:type="dxa" w:w="1290"/>
          </w:tcPr>
          <w:p>
            <w:pPr>
              <w:jc w:val="right"/>
            </w:pPr>
            <w:r>
              <w:rPr>
                <w:rFonts w:ascii="Arial" w:hAnsi="Arial"/>
                <w:sz w:val="18"/>
              </w:rPr>
              <w:t>10.97%</w:t>
            </w:r>
          </w:p>
        </w:tc>
        <w:tc>
          <w:tcPr>
            <w:tcW w:type="dxa" w:w="1290"/>
          </w:tcPr>
          <w:p>
            <w:pPr>
              <w:jc w:val="right"/>
            </w:pPr>
            <w:r>
              <w:rPr>
                <w:rFonts w:ascii="Arial" w:hAnsi="Arial"/>
                <w:sz w:val="18"/>
              </w:rPr>
              <w:t>4.26%</w:t>
            </w:r>
          </w:p>
        </w:tc>
      </w:tr>
    </w:tbl>
    <w:p>
      <w:r>
        <w:rPr>
          <w:rFonts w:ascii="Arial" w:hAnsi="Arial"/>
          <w:i/>
          <w:sz w:val="16"/>
        </w:rPr>
        <w:t>Source: Source: Internal portfolio emissions calculation system. Gross emissions represent unadjusted attribution; weighted emissions apply PCAF confidence factors. Emission intensity calculated as gross financed emissions per IDR billion outstanding.</w:t>
      </w:r>
    </w:p>
    <w:p/>
    <w:p>
      <w:r>
        <w:rPr>
          <w:rFonts w:ascii="Arial" w:hAnsi="Arial"/>
          <w:b/>
          <w:sz w:val="20"/>
        </w:rPr>
        <w:t>Table 2: PCAF Data Quality Score Distribution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PCAF Score</w:t>
            </w:r>
          </w:p>
        </w:tc>
        <w:tc>
          <w:tcPr>
            <w:tcW w:type="dxa" w:w="1806"/>
            <w:shd w:fill="1B3A6B" w:val="clear"/>
          </w:tcPr>
          <w:p>
            <w:r>
              <w:rPr>
                <w:rFonts w:ascii="Arial" w:hAnsi="Arial"/>
                <w:b/>
                <w:color w:val="FFFFFF"/>
                <w:sz w:val="18"/>
              </w:rPr>
              <w:t>Data Quality Tier</w:t>
            </w:r>
          </w:p>
        </w:tc>
        <w:tc>
          <w:tcPr>
            <w:tcW w:type="dxa" w:w="1806"/>
            <w:shd w:fill="1B3A6B" w:val="clear"/>
          </w:tcPr>
          <w:p>
            <w:r>
              <w:rPr>
                <w:rFonts w:ascii="Arial" w:hAnsi="Arial"/>
                <w:b/>
                <w:color w:val="FFFFFF"/>
                <w:sz w:val="18"/>
              </w:rPr>
              <w:t>Confidence Factor</w:t>
            </w:r>
          </w:p>
        </w:tc>
        <w:tc>
          <w:tcPr>
            <w:tcW w:type="dxa" w:w="1806"/>
            <w:shd w:fill="1B3A6B" w:val="clear"/>
          </w:tcPr>
          <w:p>
            <w:r>
              <w:rPr>
                <w:rFonts w:ascii="Arial" w:hAnsi="Arial"/>
                <w:b/>
                <w:color w:val="FFFFFF"/>
                <w:sz w:val="18"/>
              </w:rPr>
              <w:t>% of Portfolio Exposure</w:t>
            </w:r>
          </w:p>
        </w:tc>
        <w:tc>
          <w:tcPr>
            <w:tcW w:type="dxa" w:w="1806"/>
            <w:shd w:fill="1B3A6B" w:val="clear"/>
          </w:tcPr>
          <w:p>
            <w:r>
              <w:rPr>
                <w:rFonts w:ascii="Arial" w:hAnsi="Arial"/>
                <w:b/>
                <w:color w:val="FFFFFF"/>
                <w:sz w:val="18"/>
              </w:rPr>
              <w:t>Contribution to Weighted Emissions</w:t>
            </w:r>
          </w:p>
        </w:tc>
      </w:tr>
      <w:tr>
        <w:tc>
          <w:tcPr>
            <w:tcW w:type="dxa" w:w="1806"/>
          </w:tcPr>
          <w:p>
            <w:pPr>
              <w:jc w:val="right"/>
            </w:pPr>
            <w:r>
              <w:rPr>
                <w:rFonts w:ascii="Arial" w:hAnsi="Arial"/>
                <w:sz w:val="18"/>
              </w:rPr>
              <w:t>1</w:t>
            </w:r>
          </w:p>
        </w:tc>
        <w:tc>
          <w:tcPr>
            <w:tcW w:type="dxa" w:w="1806"/>
          </w:tcPr>
          <w:p>
            <w:r>
              <w:rPr>
                <w:rFonts w:ascii="Arial" w:hAnsi="Arial"/>
                <w:sz w:val="18"/>
              </w:rPr>
              <w:t>Verified (CDP/equivalent)</w:t>
            </w:r>
          </w:p>
        </w:tc>
        <w:tc>
          <w:tcPr>
            <w:tcW w:type="dxa" w:w="1806"/>
          </w:tcPr>
          <w:p>
            <w:pPr>
              <w:jc w:val="right"/>
            </w:pPr>
            <w:r>
              <w:rPr>
                <w:rFonts w:ascii="Arial" w:hAnsi="Arial"/>
                <w:sz w:val="18"/>
              </w:rPr>
              <w:t>1.00</w:t>
            </w:r>
          </w:p>
        </w:tc>
        <w:tc>
          <w:tcPr>
            <w:tcW w:type="dxa" w:w="1806"/>
          </w:tcPr>
          <w:p>
            <w:pPr>
              <w:jc w:val="right"/>
            </w:pPr>
            <w:r>
              <w:rPr>
                <w:rFonts w:ascii="Arial" w:hAnsi="Arial"/>
                <w:sz w:val="18"/>
              </w:rPr>
              <w:t>2.1%</w:t>
            </w:r>
          </w:p>
        </w:tc>
        <w:tc>
          <w:tcPr>
            <w:tcW w:type="dxa" w:w="1806"/>
          </w:tcPr>
          <w:p>
            <w:pPr>
              <w:jc w:val="right"/>
            </w:pPr>
            <w:r>
              <w:rPr>
                <w:rFonts w:ascii="Arial" w:hAnsi="Arial"/>
                <w:sz w:val="18"/>
              </w:rPr>
              <w:t>2.1%</w:t>
            </w:r>
          </w:p>
        </w:tc>
      </w:tr>
      <w:tr>
        <w:tc>
          <w:tcPr>
            <w:tcW w:type="dxa" w:w="1806"/>
            <w:shd w:fill="F2F6FC" w:val="clear"/>
          </w:tcPr>
          <w:p>
            <w:pPr>
              <w:jc w:val="right"/>
            </w:pPr>
            <w:r>
              <w:rPr>
                <w:rFonts w:ascii="Arial" w:hAnsi="Arial"/>
                <w:sz w:val="18"/>
              </w:rPr>
              <w:t>2</w:t>
            </w:r>
          </w:p>
        </w:tc>
        <w:tc>
          <w:tcPr>
            <w:tcW w:type="dxa" w:w="1806"/>
            <w:shd w:fill="F2F6FC" w:val="clear"/>
          </w:tcPr>
          <w:p>
            <w:r>
              <w:rPr>
                <w:rFonts w:ascii="Arial" w:hAnsi="Arial"/>
                <w:sz w:val="18"/>
              </w:rPr>
              <w:t>Reported, unverified</w:t>
            </w:r>
          </w:p>
        </w:tc>
        <w:tc>
          <w:tcPr>
            <w:tcW w:type="dxa" w:w="1806"/>
            <w:shd w:fill="F2F6FC" w:val="clear"/>
          </w:tcPr>
          <w:p>
            <w:pPr>
              <w:jc w:val="right"/>
            </w:pPr>
            <w:r>
              <w:rPr>
                <w:rFonts w:ascii="Arial" w:hAnsi="Arial"/>
                <w:sz w:val="18"/>
              </w:rPr>
              <w:t>0.90</w:t>
            </w:r>
          </w:p>
        </w:tc>
        <w:tc>
          <w:tcPr>
            <w:tcW w:type="dxa" w:w="1806"/>
            <w:shd w:fill="F2F6FC" w:val="clear"/>
          </w:tcPr>
          <w:p>
            <w:pPr>
              <w:jc w:val="right"/>
            </w:pPr>
            <w:r>
              <w:rPr>
                <w:rFonts w:ascii="Arial" w:hAnsi="Arial"/>
                <w:sz w:val="18"/>
              </w:rPr>
              <w:t>9.1%</w:t>
            </w:r>
          </w:p>
        </w:tc>
        <w:tc>
          <w:tcPr>
            <w:tcW w:type="dxa" w:w="1806"/>
            <w:shd w:fill="F2F6FC" w:val="clear"/>
          </w:tcPr>
          <w:p>
            <w:pPr>
              <w:jc w:val="right"/>
            </w:pPr>
            <w:r>
              <w:rPr>
                <w:rFonts w:ascii="Arial" w:hAnsi="Arial"/>
                <w:sz w:val="18"/>
              </w:rPr>
              <w:t>8.2%</w:t>
            </w:r>
          </w:p>
        </w:tc>
      </w:tr>
      <w:tr>
        <w:tc>
          <w:tcPr>
            <w:tcW w:type="dxa" w:w="1806"/>
          </w:tcPr>
          <w:p>
            <w:pPr>
              <w:jc w:val="right"/>
            </w:pPr>
            <w:r>
              <w:rPr>
                <w:rFonts w:ascii="Arial" w:hAnsi="Arial"/>
                <w:sz w:val="18"/>
              </w:rPr>
              <w:t>3</w:t>
            </w:r>
          </w:p>
        </w:tc>
        <w:tc>
          <w:tcPr>
            <w:tcW w:type="dxa" w:w="1806"/>
          </w:tcPr>
          <w:p>
            <w:r>
              <w:rPr>
                <w:rFonts w:ascii="Arial" w:hAnsi="Arial"/>
                <w:sz w:val="18"/>
              </w:rPr>
              <w:t>EEIO + revenue</w:t>
            </w:r>
          </w:p>
        </w:tc>
        <w:tc>
          <w:tcPr>
            <w:tcW w:type="dxa" w:w="1806"/>
          </w:tcPr>
          <w:p>
            <w:pPr>
              <w:jc w:val="right"/>
            </w:pPr>
            <w:r>
              <w:rPr>
                <w:rFonts w:ascii="Arial" w:hAnsi="Arial"/>
                <w:sz w:val="18"/>
              </w:rPr>
              <w:t>0.75</w:t>
            </w:r>
          </w:p>
        </w:tc>
        <w:tc>
          <w:tcPr>
            <w:tcW w:type="dxa" w:w="1806"/>
          </w:tcPr>
          <w:p>
            <w:pPr>
              <w:jc w:val="right"/>
            </w:pPr>
            <w:r>
              <w:rPr>
                <w:rFonts w:ascii="Arial" w:hAnsi="Arial"/>
                <w:sz w:val="18"/>
              </w:rPr>
              <w:t>61.3%</w:t>
            </w:r>
          </w:p>
        </w:tc>
        <w:tc>
          <w:tcPr>
            <w:tcW w:type="dxa" w:w="1806"/>
          </w:tcPr>
          <w:p>
            <w:pPr>
              <w:jc w:val="right"/>
            </w:pPr>
            <w:r>
              <w:rPr>
                <w:rFonts w:ascii="Arial" w:hAnsi="Arial"/>
                <w:sz w:val="18"/>
              </w:rPr>
              <w:t>46.0%</w:t>
            </w:r>
          </w:p>
        </w:tc>
      </w:tr>
      <w:tr>
        <w:tc>
          <w:tcPr>
            <w:tcW w:type="dxa" w:w="1806"/>
            <w:shd w:fill="F2F6FC" w:val="clear"/>
          </w:tcPr>
          <w:p>
            <w:pPr>
              <w:jc w:val="right"/>
            </w:pPr>
            <w:r>
              <w:rPr>
                <w:rFonts w:ascii="Arial" w:hAnsi="Arial"/>
                <w:sz w:val="18"/>
              </w:rPr>
              <w:t>4</w:t>
            </w:r>
          </w:p>
        </w:tc>
        <w:tc>
          <w:tcPr>
            <w:tcW w:type="dxa" w:w="1806"/>
            <w:shd w:fill="F2F6FC" w:val="clear"/>
          </w:tcPr>
          <w:p>
            <w:r>
              <w:rPr>
                <w:rFonts w:ascii="Arial" w:hAnsi="Arial"/>
                <w:sz w:val="18"/>
              </w:rPr>
              <w:t>EEIO + assets</w:t>
            </w:r>
          </w:p>
        </w:tc>
        <w:tc>
          <w:tcPr>
            <w:tcW w:type="dxa" w:w="1806"/>
            <w:shd w:fill="F2F6FC" w:val="clear"/>
          </w:tcPr>
          <w:p>
            <w:pPr>
              <w:jc w:val="right"/>
            </w:pPr>
            <w:r>
              <w:rPr>
                <w:rFonts w:ascii="Arial" w:hAnsi="Arial"/>
                <w:sz w:val="18"/>
              </w:rPr>
              <w:t>0.60</w:t>
            </w:r>
          </w:p>
        </w:tc>
        <w:tc>
          <w:tcPr>
            <w:tcW w:type="dxa" w:w="1806"/>
            <w:shd w:fill="F2F6FC" w:val="clear"/>
          </w:tcPr>
          <w:p>
            <w:pPr>
              <w:jc w:val="right"/>
            </w:pPr>
            <w:r>
              <w:rPr>
                <w:rFonts w:ascii="Arial" w:hAnsi="Arial"/>
                <w:sz w:val="18"/>
              </w:rPr>
              <w:t>23.8%</w:t>
            </w:r>
          </w:p>
        </w:tc>
        <w:tc>
          <w:tcPr>
            <w:tcW w:type="dxa" w:w="1806"/>
            <w:shd w:fill="F2F6FC" w:val="clear"/>
          </w:tcPr>
          <w:p>
            <w:pPr>
              <w:jc w:val="right"/>
            </w:pPr>
            <w:r>
              <w:rPr>
                <w:rFonts w:ascii="Arial" w:hAnsi="Arial"/>
                <w:sz w:val="18"/>
              </w:rPr>
              <w:t>14.3%</w:t>
            </w:r>
          </w:p>
        </w:tc>
      </w:tr>
      <w:tr>
        <w:tc>
          <w:tcPr>
            <w:tcW w:type="dxa" w:w="1806"/>
          </w:tcPr>
          <w:p>
            <w:pPr>
              <w:jc w:val="right"/>
            </w:pPr>
            <w:r>
              <w:rPr>
                <w:rFonts w:ascii="Arial" w:hAnsi="Arial"/>
                <w:sz w:val="18"/>
              </w:rPr>
              <w:t>5</w:t>
            </w:r>
          </w:p>
        </w:tc>
        <w:tc>
          <w:tcPr>
            <w:tcW w:type="dxa" w:w="1806"/>
          </w:tcPr>
          <w:p>
            <w:r>
              <w:rPr>
                <w:rFonts w:ascii="Arial" w:hAnsi="Arial"/>
                <w:sz w:val="18"/>
              </w:rPr>
              <w:t>Sector-average proxy</w:t>
            </w:r>
          </w:p>
        </w:tc>
        <w:tc>
          <w:tcPr>
            <w:tcW w:type="dxa" w:w="1806"/>
          </w:tcPr>
          <w:p>
            <w:pPr>
              <w:jc w:val="right"/>
            </w:pPr>
            <w:r>
              <w:rPr>
                <w:rFonts w:ascii="Arial" w:hAnsi="Arial"/>
                <w:sz w:val="18"/>
              </w:rPr>
              <w:t>0.45</w:t>
            </w:r>
          </w:p>
        </w:tc>
        <w:tc>
          <w:tcPr>
            <w:tcW w:type="dxa" w:w="1806"/>
          </w:tcPr>
          <w:p>
            <w:pPr>
              <w:jc w:val="right"/>
            </w:pPr>
            <w:r>
              <w:rPr>
                <w:rFonts w:ascii="Arial" w:hAnsi="Arial"/>
                <w:sz w:val="18"/>
              </w:rPr>
              <w:t>3.7%</w:t>
            </w:r>
          </w:p>
        </w:tc>
        <w:tc>
          <w:tcPr>
            <w:tcW w:type="dxa" w:w="1806"/>
          </w:tcPr>
          <w:p>
            <w:pPr>
              <w:jc w:val="right"/>
            </w:pPr>
            <w:r>
              <w:rPr>
                <w:rFonts w:ascii="Arial" w:hAnsi="Arial"/>
                <w:sz w:val="18"/>
              </w:rPr>
              <w:t>1.7%</w:t>
            </w:r>
          </w:p>
        </w:tc>
      </w:tr>
    </w:tbl>
    <w:p>
      <w:r>
        <w:rPr>
          <w:rFonts w:ascii="Arial" w:hAnsi="Arial"/>
          <w:i/>
          <w:sz w:val="16"/>
        </w:rPr>
        <w:t>Source: Source: PCAF Global GHG Accounting Standard. Portfolio-weighted average score: 3.36. High-quality data (Scores 1–2) covers 11.2% of exposure.</w:t>
      </w:r>
    </w:p>
    <w:p/>
    <w:p>
      <w:r>
        <w:rPr>
          <w:rFonts w:ascii="Arial" w:hAnsi="Arial"/>
          <w:b/>
          <w:sz w:val="20"/>
        </w:rPr>
        <w:t>Table 3: Year-over-Year Financed Emissions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Absolute Change</w:t>
            </w:r>
          </w:p>
        </w:tc>
        <w:tc>
          <w:tcPr>
            <w:tcW w:type="dxa" w:w="1806"/>
            <w:shd w:fill="1B3A6B" w:val="clear"/>
          </w:tcPr>
          <w:p>
            <w:r>
              <w:rPr>
                <w:rFonts w:ascii="Arial" w:hAnsi="Arial"/>
                <w:b/>
                <w:color w:val="FFFFFF"/>
                <w:sz w:val="18"/>
              </w:rPr>
              <w:t>% Change</w:t>
            </w:r>
          </w:p>
        </w:tc>
      </w:tr>
      <w:tr>
        <w:tc>
          <w:tcPr>
            <w:tcW w:type="dxa" w:w="1806"/>
          </w:tcPr>
          <w:p>
            <w:r>
              <w:rPr>
                <w:rFonts w:ascii="Arial" w:hAnsi="Arial"/>
                <w:sz w:val="18"/>
              </w:rPr>
              <w:t>Gross Financed Emissions (tCO2e)</w:t>
            </w:r>
          </w:p>
        </w:tc>
        <w:tc>
          <w:tcPr>
            <w:tcW w:type="dxa" w:w="1806"/>
          </w:tcPr>
          <w:p>
            <w:pPr>
              <w:jc w:val="right"/>
            </w:pPr>
            <w:r>
              <w:rPr>
                <w:rFonts w:ascii="Arial" w:hAnsi="Arial"/>
                <w:sz w:val="18"/>
              </w:rPr>
              <w:t>22,911,991.05</w:t>
            </w:r>
          </w:p>
        </w:tc>
        <w:tc>
          <w:tcPr>
            <w:tcW w:type="dxa" w:w="1806"/>
          </w:tcPr>
          <w:p>
            <w:pPr>
              <w:jc w:val="right"/>
            </w:pPr>
            <w:r>
              <w:rPr>
                <w:rFonts w:ascii="Arial" w:hAnsi="Arial"/>
                <w:sz w:val="18"/>
              </w:rPr>
              <w:t>21,976,797.3</w:t>
            </w:r>
          </w:p>
        </w:tc>
        <w:tc>
          <w:tcPr>
            <w:tcW w:type="dxa" w:w="1806"/>
          </w:tcPr>
          <w:p>
            <w:pPr>
              <w:jc w:val="right"/>
            </w:pPr>
            <w:r>
              <w:rPr>
                <w:rFonts w:ascii="Arial" w:hAnsi="Arial"/>
                <w:sz w:val="18"/>
              </w:rPr>
              <w:t>-935,193.75</w:t>
            </w:r>
          </w:p>
        </w:tc>
        <w:tc>
          <w:tcPr>
            <w:tcW w:type="dxa" w:w="1806"/>
          </w:tcPr>
          <w:p>
            <w:pPr>
              <w:jc w:val="right"/>
            </w:pPr>
            <w:r>
              <w:rPr>
                <w:rFonts w:ascii="Arial" w:hAnsi="Arial"/>
                <w:sz w:val="18"/>
              </w:rPr>
              <w:t>-4.07%</w:t>
            </w:r>
          </w:p>
        </w:tc>
      </w:tr>
      <w:tr>
        <w:tc>
          <w:tcPr>
            <w:tcW w:type="dxa" w:w="1806"/>
            <w:shd w:fill="F2F6FC" w:val="clear"/>
          </w:tcPr>
          <w:p>
            <w:r>
              <w:rPr>
                <w:rFonts w:ascii="Arial" w:hAnsi="Arial"/>
                <w:sz w:val="18"/>
              </w:rPr>
              <w:t>Confidence-Weighted Financed Emissions (tCO2e)</w:t>
            </w:r>
          </w:p>
        </w:tc>
        <w:tc>
          <w:tcPr>
            <w:tcW w:type="dxa" w:w="1806"/>
            <w:shd w:fill="F2F6FC" w:val="clear"/>
          </w:tcPr>
          <w:p>
            <w:pPr>
              <w:jc w:val="right"/>
            </w:pPr>
            <w:r>
              <w:rPr>
                <w:rFonts w:ascii="Arial" w:hAnsi="Arial"/>
                <w:sz w:val="18"/>
              </w:rPr>
              <w:t>15,576,239.57</w:t>
            </w:r>
          </w:p>
        </w:tc>
        <w:tc>
          <w:tcPr>
            <w:tcW w:type="dxa" w:w="1806"/>
            <w:shd w:fill="F2F6FC" w:val="clear"/>
          </w:tcPr>
          <w:p>
            <w:pPr>
              <w:jc w:val="right"/>
            </w:pPr>
            <w:r>
              <w:rPr>
                <w:rFonts w:ascii="Arial" w:hAnsi="Arial"/>
                <w:sz w:val="18"/>
              </w:rPr>
              <w:t>15,280,174.14</w:t>
            </w:r>
          </w:p>
        </w:tc>
        <w:tc>
          <w:tcPr>
            <w:tcW w:type="dxa" w:w="1806"/>
            <w:shd w:fill="F2F6FC" w:val="clear"/>
          </w:tcPr>
          <w:p>
            <w:pPr>
              <w:jc w:val="right"/>
            </w:pPr>
            <w:r>
              <w:rPr>
                <w:rFonts w:ascii="Arial" w:hAnsi="Arial"/>
                <w:sz w:val="18"/>
              </w:rPr>
              <w:t>-296,065.43</w:t>
            </w:r>
          </w:p>
        </w:tc>
        <w:tc>
          <w:tcPr>
            <w:tcW w:type="dxa" w:w="1806"/>
            <w:shd w:fill="F2F6FC" w:val="clear"/>
          </w:tcPr>
          <w:p>
            <w:pPr>
              <w:jc w:val="right"/>
            </w:pPr>
            <w:r>
              <w:rPr>
                <w:rFonts w:ascii="Arial" w:hAnsi="Arial"/>
                <w:sz w:val="18"/>
              </w:rPr>
              <w:t>-1.90%</w:t>
            </w:r>
          </w:p>
        </w:tc>
      </w:tr>
      <w:tr>
        <w:tc>
          <w:tcPr>
            <w:tcW w:type="dxa" w:w="1806"/>
          </w:tcPr>
          <w:p>
            <w:r>
              <w:rPr>
                <w:rFonts w:ascii="Arial" w:hAnsi="Arial"/>
                <w:sz w:val="18"/>
              </w:rPr>
              <w:t>Total Portfolio Outstanding (IDR trillion)</w:t>
            </w:r>
          </w:p>
        </w:tc>
        <w:tc>
          <w:tcPr>
            <w:tcW w:type="dxa" w:w="1806"/>
          </w:tcPr>
          <w:p>
            <w:pPr>
              <w:jc w:val="right"/>
            </w:pPr>
            <w:r>
              <w:rPr>
                <w:rFonts w:ascii="Arial" w:hAnsi="Arial"/>
                <w:sz w:val="18"/>
              </w:rPr>
              <w:t>1,498.327</w:t>
            </w:r>
          </w:p>
        </w:tc>
        <w:tc>
          <w:tcPr>
            <w:tcW w:type="dxa" w:w="1806"/>
          </w:tcPr>
          <w:p>
            <w:pPr>
              <w:jc w:val="right"/>
            </w:pPr>
            <w:r>
              <w:rPr>
                <w:rFonts w:ascii="Arial" w:hAnsi="Arial"/>
                <w:sz w:val="18"/>
              </w:rPr>
              <w:t>1,541.182</w:t>
            </w:r>
          </w:p>
        </w:tc>
        <w:tc>
          <w:tcPr>
            <w:tcW w:type="dxa" w:w="1806"/>
          </w:tcPr>
          <w:p>
            <w:pPr>
              <w:jc w:val="right"/>
            </w:pPr>
            <w:r>
              <w:rPr>
                <w:rFonts w:ascii="Arial" w:hAnsi="Arial"/>
                <w:sz w:val="18"/>
              </w:rPr>
              <w:t>+42.855</w:t>
            </w:r>
          </w:p>
        </w:tc>
        <w:tc>
          <w:tcPr>
            <w:tcW w:type="dxa" w:w="1806"/>
          </w:tcPr>
          <w:p>
            <w:pPr>
              <w:jc w:val="right"/>
            </w:pPr>
            <w:r>
              <w:rPr>
                <w:rFonts w:ascii="Arial" w:hAnsi="Arial"/>
                <w:sz w:val="18"/>
              </w:rPr>
              <w:t>+2.86%</w:t>
            </w:r>
          </w:p>
        </w:tc>
      </w:tr>
      <w:tr>
        <w:tc>
          <w:tcPr>
            <w:tcW w:type="dxa" w:w="1806"/>
            <w:shd w:fill="F2F6FC" w:val="clear"/>
          </w:tcPr>
          <w:p>
            <w:r>
              <w:rPr>
                <w:rFonts w:ascii="Arial" w:hAnsi="Arial"/>
                <w:sz w:val="18"/>
              </w:rPr>
              <w:t>Portfolio-Weighted PCAF Score</w:t>
            </w:r>
          </w:p>
        </w:tc>
        <w:tc>
          <w:tcPr>
            <w:tcW w:type="dxa" w:w="1806"/>
            <w:shd w:fill="F2F6FC" w:val="clear"/>
          </w:tcPr>
          <w:p>
            <w:pPr>
              <w:jc w:val="right"/>
            </w:pPr>
            <w:r>
              <w:rPr>
                <w:rFonts w:ascii="Arial" w:hAnsi="Arial"/>
                <w:sz w:val="18"/>
              </w:rPr>
              <w:t>3.41</w:t>
            </w:r>
          </w:p>
        </w:tc>
        <w:tc>
          <w:tcPr>
            <w:tcW w:type="dxa" w:w="1806"/>
            <w:shd w:fill="F2F6FC" w:val="clear"/>
          </w:tcPr>
          <w:p>
            <w:pPr>
              <w:jc w:val="right"/>
            </w:pPr>
            <w:r>
              <w:rPr>
                <w:rFonts w:ascii="Arial" w:hAnsi="Arial"/>
                <w:sz w:val="18"/>
              </w:rPr>
              <w:t>3.36</w:t>
            </w:r>
          </w:p>
        </w:tc>
        <w:tc>
          <w:tcPr>
            <w:tcW w:type="dxa" w:w="1806"/>
            <w:shd w:fill="F2F6FC" w:val="clear"/>
          </w:tcPr>
          <w:p>
            <w:pPr>
              <w:jc w:val="right"/>
            </w:pPr>
            <w:r>
              <w:rPr>
                <w:rFonts w:ascii="Arial" w:hAnsi="Arial"/>
                <w:sz w:val="18"/>
              </w:rPr>
              <w:t>-0.05</w:t>
            </w:r>
          </w:p>
        </w:tc>
        <w:tc>
          <w:tcPr>
            <w:tcW w:type="dxa" w:w="1806"/>
            <w:shd w:fill="F2F6FC" w:val="clear"/>
          </w:tcPr>
          <w:p>
            <w:pPr>
              <w:jc w:val="right"/>
            </w:pPr>
            <w:r>
              <w:rPr>
                <w:rFonts w:ascii="Arial" w:hAnsi="Arial"/>
                <w:sz w:val="18"/>
              </w:rPr>
              <w:t>-1.47%</w:t>
            </w:r>
          </w:p>
        </w:tc>
      </w:tr>
    </w:tbl>
    <w:p>
      <w:r>
        <w:rPr>
          <w:rFonts w:ascii="Arial" w:hAnsi="Arial"/>
          <w:i/>
          <w:sz w:val="16"/>
        </w:rPr>
        <w:t>Source: Source: Annual portfolio emissions assessments. Reduction in gross emissions occurred despite portfolio growth, indicating improved portfolio carbon intensity.</w:t>
      </w:r>
    </w:p>
    <w:p/>
    <w:p>
      <w:r>
        <w:rPr>
          <w:i/>
          <w:color w:val="3D6094"/>
          <w:sz w:val="18"/>
        </w:rPr>
        <w:t>Framework references: GRI 305-3; GRI 305-3-a (Scope 3 categories); GRI 305-3-b (gases included); GRI 305-3-c (biogenic CO2); GRI 305-3-d (categories and activities); GRI 305-3-e (emission factor sources); GRI 305-3-f (standards and methodologies)</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PCAF methodology reference: The Global GHG Accounting and Reporting Standard for the Financial Industry, Second Edition (2022). Available at: https://carbonaccountingfinancials.com/standard</w:t>
      </w:r>
    </w:p>
    <w:p>
      <w:pPr>
        <w:spacing w:after="160" w:line="276" w:lineRule="auto"/>
        <w:jc w:val="both"/>
      </w:pPr>
      <w:r>
        <w:rPr>
          <w:rFonts w:ascii="Arial" w:hAnsi="Arial"/>
          <w:i/>
          <w:color w:val="646464"/>
          <w:sz w:val="18"/>
        </w:rPr>
        <w:t>Emission factors: Borrower-reported data (23.4% of portfolio), Indonesian EEIO model v2.3 published by Ministry of Environment and Forestry (76.6% of portfolio). EEIO coefficients updated annually based on national GHG inventory submissions to UNFCCC.</w:t>
      </w:r>
    </w:p>
    <w:p>
      <w:pPr>
        <w:spacing w:after="160" w:line="276" w:lineRule="auto"/>
        <w:jc w:val="both"/>
      </w:pPr>
      <w:r>
        <w:rPr>
          <w:rFonts w:ascii="Arial" w:hAnsi="Arial"/>
          <w:i/>
          <w:color w:val="646464"/>
          <w:sz w:val="18"/>
        </w:rPr>
        <w:t>Consolidation approach: Operational control. All financed emissions attributed to the institution as the lender; no allocation to co-lenders in syndicated facilities.</w:t>
      </w:r>
    </w:p>
    <w:p>
      <w:pPr>
        <w:spacing w:after="160" w:line="276" w:lineRule="auto"/>
        <w:jc w:val="both"/>
      </w:pPr>
      <w:r>
        <w:rPr>
          <w:rFonts w:ascii="Arial" w:hAnsi="Arial"/>
          <w:i/>
          <w:color w:val="646464"/>
          <w:sz w:val="18"/>
        </w:rPr>
        <w:t>Biogenic emissions: Not separately reported for financed emissions. Borrowers in Agriculture and Manufacturing - Food &amp; Beverage sectors may have material biogenic CO2 from biomass combustion, but data availability insufficient for disaggregation.</w:t>
      </w:r>
    </w:p>
    <w:p>
      <w:pPr>
        <w:spacing w:after="160" w:line="276" w:lineRule="auto"/>
        <w:jc w:val="both"/>
      </w:pPr>
      <w:r>
        <w:rPr>
          <w:rFonts w:ascii="Arial" w:hAnsi="Arial"/>
          <w:i/>
          <w:color w:val="646464"/>
          <w:sz w:val="18"/>
        </w:rPr>
        <w:t>GRI Content Index: 305-3 | Other indirect (Scope 3) GHG emissions | Section 4.3</w:t>
      </w:r>
    </w:p>
    <w:p>
      <w:pPr>
        <w:pStyle w:val="Heading1"/>
        <w:keepNext/>
        <w:spacing w:before="480" w:after="240"/>
      </w:pPr>
      <w:r>
        <w:rPr>
          <w:rFonts w:ascii="Arial" w:hAnsi="Arial"/>
          <w:b/>
          <w:color w:val="1B3A6B"/>
          <w:sz w:val="36"/>
        </w:rPr>
        <w:t>GRI 305-4: GHG Emissions Intensity</w:t>
      </w:r>
    </w:p>
    <w:p>
      <w:pPr>
        <w:spacing w:after="160" w:line="276" w:lineRule="auto"/>
        <w:jc w:val="both"/>
      </w:pPr>
      <w:r>
        <w:rPr>
          <w:rFonts w:ascii="Arial" w:hAnsi="Arial"/>
          <w:sz w:val="22"/>
        </w:rPr>
        <w:t>The organization reports two GHG emissions intensity metrics for the 2024 reporting period. Revenue-based intensity was 239.400139 tCO2e per IDR billion operating revenue. Employee-based intensity was 1.9209 tCO2e per full-time equivalent (FTE) employee. These metrics enable normalized performance assessment independent of absolute organizational scale changes.</w:t>
      </w:r>
    </w:p>
    <w:p>
      <w:pPr>
        <w:spacing w:after="160" w:line="276" w:lineRule="auto"/>
        <w:jc w:val="both"/>
      </w:pPr>
      <w:r>
        <w:rPr>
          <w:rFonts w:ascii="Arial" w:hAnsi="Arial"/>
          <w:i/>
          <w:sz w:val="22"/>
        </w:rPr>
        <w:t>The revenue-based intensity ratio uses total operating revenue as the denominator, sourced from audited consolidated financial statements for the fiscal year ending December 31, 2024. The FTE count represents the average number of full-time equivalent employees during the reporting period, calculated as the sum of monthly headcount divided by twelve months, including permanent staff and contractors working more than 30 hours per week. Both denominators align with the operational control consolidation approach applied to the GHG inventory.</w:t>
      </w:r>
    </w:p>
    <w:p>
      <w:pPr>
        <w:spacing w:after="160" w:line="276" w:lineRule="auto"/>
        <w:jc w:val="both"/>
      </w:pPr>
      <w:r>
        <w:rPr>
          <w:rFonts w:ascii="Arial" w:hAnsi="Arial"/>
          <w:i/>
          <w:sz w:val="22"/>
        </w:rPr>
        <w:t>The revenue-based intensity metric includes direct (Scope 1) GHG emissions of 3402.997 tCO2e, energy indirect (Scope 2) market-based emissions of 44612.518 tCO2e, and other indirect (Scope 3) Category 15 gross financed emissions of 21976797.3 tCO2e, totaling 22024812.815 tCO2e in the numerator. The employee-based intensity metric includes only Scope 1 and Scope 2 market-based emissions totaling 48015.515 tCO2e, reflecting operational emissions under direct organizational control. Both ratios use market-based Scope 2 emissions per GRI 305-2 guidance. Gases included in the calculation are CO₂, CH₄, and N₂O, expressed as carbon dioxide equivalents using IPCC Fifth Assessment Report global warming potentials.</w:t>
      </w:r>
    </w:p>
    <w:p>
      <w:pPr>
        <w:spacing w:after="160" w:line="276" w:lineRule="auto"/>
        <w:jc w:val="both"/>
      </w:pPr>
      <w:r>
        <w:rPr>
          <w:rFonts w:ascii="Arial" w:hAnsi="Arial"/>
          <w:sz w:val="22"/>
        </w:rPr>
        <w:t>Revenue-based intensity decreased 11.37% from 270.116632 tCO2e per IDR billion in 2023 to 239.400139 tCO2e per IDR billion in 2024. This improvement reflects a 4.07% reduction in absolute financed emissions combined with revenue growth during the reporting period, indicating emissions decoupling from economic activity. Employee-based intensity decreased 1.79% from 1.956 tCO2e per FTE in 2023 to 1.9209 tCO2e per FTE in 2024, driven by operational efficiency improvements in facility energy consumption and modest workforce expansion.</w:t>
      </w:r>
    </w:p>
    <w:p>
      <w:pPr>
        <w:spacing w:after="160" w:line="276" w:lineRule="auto"/>
        <w:jc w:val="both"/>
      </w:pPr>
      <w:r>
        <w:rPr>
          <w:rFonts w:ascii="Arial" w:hAnsi="Arial"/>
          <w:sz w:val="22"/>
        </w:rPr>
        <w:t>The revenue-based intensity reduction was primarily attributable to portfolio composition shifts toward lower-emission sectors and improved data quality enabling more accurate attribution of financed emissions. The Financial Services sector, representing 13.41% of the portfolio, contributed only 0.34% of total financed emissions with an intensity of 0.3567 tCO2e per IDR billion exposure. Conversely, the Energy - Oil &amp; Gas sector, representing 6.66% of the portfolio, contributed 43.56% of financed emissions with an intensity of 93.242 tCO2e per IDR billion exposure. Strategic portfolio rebalancing toward lower-intensity sectors contributed to the overall intensity improvement despite absolute lending volume growth.</w:t>
      </w:r>
    </w:p>
    <w:p>
      <w:r>
        <w:rPr>
          <w:rFonts w:ascii="Arial" w:hAnsi="Arial"/>
          <w:b/>
          <w:sz w:val="20"/>
        </w:rPr>
        <w:t>Table 4.1: GHG Emissions Intensity Calculation Methodology (2024)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Intensity Metric</w:t>
            </w:r>
          </w:p>
        </w:tc>
        <w:tc>
          <w:tcPr>
            <w:tcW w:type="dxa" w:w="1505"/>
            <w:shd w:fill="1B3A6B" w:val="clear"/>
          </w:tcPr>
          <w:p>
            <w:r>
              <w:rPr>
                <w:rFonts w:ascii="Arial" w:hAnsi="Arial"/>
                <w:b/>
                <w:color w:val="FFFFFF"/>
                <w:sz w:val="18"/>
              </w:rPr>
              <w:t>Numerator (tCO2e)</w:t>
            </w:r>
          </w:p>
        </w:tc>
        <w:tc>
          <w:tcPr>
            <w:tcW w:type="dxa" w:w="1505"/>
            <w:shd w:fill="1B3A6B" w:val="clear"/>
          </w:tcPr>
          <w:p>
            <w:r>
              <w:rPr>
                <w:rFonts w:ascii="Arial" w:hAnsi="Arial"/>
                <w:b/>
                <w:color w:val="FFFFFF"/>
                <w:sz w:val="18"/>
              </w:rPr>
              <w:t>Denominator</w:t>
            </w:r>
          </w:p>
        </w:tc>
        <w:tc>
          <w:tcPr>
            <w:tcW w:type="dxa" w:w="1505"/>
            <w:shd w:fill="1B3A6B" w:val="clear"/>
          </w:tcPr>
          <w:p>
            <w:r>
              <w:rPr>
                <w:rFonts w:ascii="Arial" w:hAnsi="Arial"/>
                <w:b/>
                <w:color w:val="FFFFFF"/>
                <w:sz w:val="18"/>
              </w:rPr>
              <w:t>Denominator Value</w:t>
            </w:r>
          </w:p>
        </w:tc>
        <w:tc>
          <w:tcPr>
            <w:tcW w:type="dxa" w:w="1505"/>
            <w:shd w:fill="1B3A6B" w:val="clear"/>
          </w:tcPr>
          <w:p>
            <w:r>
              <w:rPr>
                <w:rFonts w:ascii="Arial" w:hAnsi="Arial"/>
                <w:b/>
                <w:color w:val="FFFFFF"/>
                <w:sz w:val="18"/>
              </w:rPr>
              <w:t>Intensity Ratio</w:t>
            </w:r>
          </w:p>
        </w:tc>
        <w:tc>
          <w:tcPr>
            <w:tcW w:type="dxa" w:w="1505"/>
            <w:shd w:fill="1B3A6B" w:val="clear"/>
          </w:tcPr>
          <w:p>
            <w:r>
              <w:rPr>
                <w:rFonts w:ascii="Arial" w:hAnsi="Arial"/>
                <w:b/>
                <w:color w:val="FFFFFF"/>
                <w:sz w:val="18"/>
              </w:rPr>
              <w:t>Unit</w:t>
            </w:r>
          </w:p>
        </w:tc>
      </w:tr>
      <w:tr>
        <w:tc>
          <w:tcPr>
            <w:tcW w:type="dxa" w:w="1505"/>
          </w:tcPr>
          <w:p>
            <w:r>
              <w:rPr>
                <w:rFonts w:ascii="Arial" w:hAnsi="Arial"/>
                <w:sz w:val="18"/>
              </w:rPr>
              <w:t>Revenue-based</w:t>
            </w:r>
          </w:p>
        </w:tc>
        <w:tc>
          <w:tcPr>
            <w:tcW w:type="dxa" w:w="1505"/>
          </w:tcPr>
          <w:p>
            <w:pPr>
              <w:jc w:val="right"/>
            </w:pPr>
            <w:r>
              <w:rPr>
                <w:rFonts w:ascii="Arial" w:hAnsi="Arial"/>
                <w:sz w:val="18"/>
              </w:rPr>
              <w:t>22024812.815</w:t>
            </w:r>
          </w:p>
        </w:tc>
        <w:tc>
          <w:tcPr>
            <w:tcW w:type="dxa" w:w="1505"/>
          </w:tcPr>
          <w:p>
            <w:r>
              <w:rPr>
                <w:rFonts w:ascii="Arial" w:hAnsi="Arial"/>
                <w:sz w:val="18"/>
              </w:rPr>
              <w:t>Operating Revenue</w:t>
            </w:r>
          </w:p>
        </w:tc>
        <w:tc>
          <w:tcPr>
            <w:tcW w:type="dxa" w:w="1505"/>
          </w:tcPr>
          <w:p>
            <w:pPr>
              <w:jc w:val="right"/>
            </w:pPr>
            <w:r>
              <w:rPr>
                <w:rFonts w:ascii="Arial" w:hAnsi="Arial"/>
                <w:sz w:val="18"/>
              </w:rPr>
              <w:t>92000.0</w:t>
            </w:r>
          </w:p>
        </w:tc>
        <w:tc>
          <w:tcPr>
            <w:tcW w:type="dxa" w:w="1505"/>
          </w:tcPr>
          <w:p>
            <w:pPr>
              <w:jc w:val="right"/>
            </w:pPr>
            <w:r>
              <w:rPr>
                <w:rFonts w:ascii="Arial" w:hAnsi="Arial"/>
                <w:sz w:val="18"/>
              </w:rPr>
              <w:t>239.400139</w:t>
            </w:r>
          </w:p>
        </w:tc>
        <w:tc>
          <w:tcPr>
            <w:tcW w:type="dxa" w:w="1505"/>
          </w:tcPr>
          <w:p>
            <w:r>
              <w:rPr>
                <w:rFonts w:ascii="Arial" w:hAnsi="Arial"/>
                <w:sz w:val="18"/>
              </w:rPr>
              <w:t>tCO2e per IDR billion</w:t>
            </w:r>
          </w:p>
        </w:tc>
      </w:tr>
      <w:tr>
        <w:tc>
          <w:tcPr>
            <w:tcW w:type="dxa" w:w="1505"/>
            <w:shd w:fill="F2F6FC" w:val="clear"/>
          </w:tcPr>
          <w:p>
            <w:r>
              <w:rPr>
                <w:rFonts w:ascii="Arial" w:hAnsi="Arial"/>
                <w:sz w:val="18"/>
              </w:rPr>
              <w:t>Employee-based</w:t>
            </w:r>
          </w:p>
        </w:tc>
        <w:tc>
          <w:tcPr>
            <w:tcW w:type="dxa" w:w="1505"/>
            <w:shd w:fill="F2F6FC" w:val="clear"/>
          </w:tcPr>
          <w:p>
            <w:pPr>
              <w:jc w:val="right"/>
            </w:pPr>
            <w:r>
              <w:rPr>
                <w:rFonts w:ascii="Arial" w:hAnsi="Arial"/>
                <w:sz w:val="18"/>
              </w:rPr>
              <w:t>48015.515</w:t>
            </w:r>
          </w:p>
        </w:tc>
        <w:tc>
          <w:tcPr>
            <w:tcW w:type="dxa" w:w="1505"/>
            <w:shd w:fill="F2F6FC" w:val="clear"/>
          </w:tcPr>
          <w:p>
            <w:r>
              <w:rPr>
                <w:rFonts w:ascii="Arial" w:hAnsi="Arial"/>
                <w:sz w:val="18"/>
              </w:rPr>
              <w:t>Full-Time Equivalents</w:t>
            </w:r>
          </w:p>
        </w:tc>
        <w:tc>
          <w:tcPr>
            <w:tcW w:type="dxa" w:w="1505"/>
            <w:shd w:fill="F2F6FC" w:val="clear"/>
          </w:tcPr>
          <w:p>
            <w:pPr>
              <w:jc w:val="right"/>
            </w:pPr>
            <w:r>
              <w:rPr>
                <w:rFonts w:ascii="Arial" w:hAnsi="Arial"/>
                <w:sz w:val="18"/>
              </w:rPr>
              <w:t>25000</w:t>
            </w:r>
          </w:p>
        </w:tc>
        <w:tc>
          <w:tcPr>
            <w:tcW w:type="dxa" w:w="1505"/>
            <w:shd w:fill="F2F6FC" w:val="clear"/>
          </w:tcPr>
          <w:p>
            <w:pPr>
              <w:jc w:val="right"/>
            </w:pPr>
            <w:r>
              <w:rPr>
                <w:rFonts w:ascii="Arial" w:hAnsi="Arial"/>
                <w:sz w:val="18"/>
              </w:rPr>
              <w:t>1.9209</w:t>
            </w:r>
          </w:p>
        </w:tc>
        <w:tc>
          <w:tcPr>
            <w:tcW w:type="dxa" w:w="1505"/>
            <w:shd w:fill="F2F6FC" w:val="clear"/>
          </w:tcPr>
          <w:p>
            <w:r>
              <w:rPr>
                <w:rFonts w:ascii="Arial" w:hAnsi="Arial"/>
                <w:sz w:val="18"/>
              </w:rPr>
              <w:t>tCO2e per FTE</w:t>
            </w:r>
          </w:p>
        </w:tc>
      </w:tr>
    </w:tbl>
    <w:p>
      <w:r>
        <w:rPr>
          <w:rFonts w:ascii="Arial" w:hAnsi="Arial"/>
          <w:i/>
          <w:sz w:val="16"/>
        </w:rPr>
        <w:t>Source: Numerator for revenue-based intensity includes Scope 1 + 2 (market-based) + 3 Category 15 gross. Numerator for employee-based intensity includes Scope 1 + 2 (market-based) only. Denominator values sourced from audited financial statements and HR records.</w:t>
      </w:r>
    </w:p>
    <w:p/>
    <w:p>
      <w:r>
        <w:rPr>
          <w:rFonts w:ascii="Arial" w:hAnsi="Arial"/>
          <w:b/>
          <w:sz w:val="20"/>
        </w:rPr>
        <w:t>Table 4.2: Year-over-Year Intensity Performance Comparison</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Intensity Metric</w:t>
            </w:r>
          </w:p>
        </w:tc>
        <w:tc>
          <w:tcPr>
            <w:tcW w:type="dxa" w:w="1505"/>
            <w:shd w:fill="1B3A6B" w:val="clear"/>
          </w:tcPr>
          <w:p>
            <w:r>
              <w:rPr>
                <w:rFonts w:ascii="Arial" w:hAnsi="Arial"/>
                <w:b/>
                <w:color w:val="FFFFFF"/>
                <w:sz w:val="18"/>
              </w:rPr>
              <w:t>2023 Value</w:t>
            </w:r>
          </w:p>
        </w:tc>
        <w:tc>
          <w:tcPr>
            <w:tcW w:type="dxa" w:w="1505"/>
            <w:shd w:fill="1B3A6B" w:val="clear"/>
          </w:tcPr>
          <w:p>
            <w:r>
              <w:rPr>
                <w:rFonts w:ascii="Arial" w:hAnsi="Arial"/>
                <w:b/>
                <w:color w:val="FFFFFF"/>
                <w:sz w:val="18"/>
              </w:rPr>
              <w:t>2024 Value</w:t>
            </w:r>
          </w:p>
        </w:tc>
        <w:tc>
          <w:tcPr>
            <w:tcW w:type="dxa" w:w="1505"/>
            <w:shd w:fill="1B3A6B" w:val="clear"/>
          </w:tcPr>
          <w:p>
            <w:r>
              <w:rPr>
                <w:rFonts w:ascii="Arial" w:hAnsi="Arial"/>
                <w:b/>
                <w:color w:val="FFFFFF"/>
                <w:sz w:val="18"/>
              </w:rPr>
              <w:t>Unit</w:t>
            </w:r>
          </w:p>
        </w:tc>
        <w:tc>
          <w:tcPr>
            <w:tcW w:type="dxa" w:w="1505"/>
            <w:shd w:fill="1B3A6B" w:val="clear"/>
          </w:tcPr>
          <w:p>
            <w:r>
              <w:rPr>
                <w:rFonts w:ascii="Arial" w:hAnsi="Arial"/>
                <w:b/>
                <w:color w:val="FFFFFF"/>
                <w:sz w:val="18"/>
              </w:rPr>
              <w:t>Absolute Change</w:t>
            </w:r>
          </w:p>
        </w:tc>
        <w:tc>
          <w:tcPr>
            <w:tcW w:type="dxa" w:w="1505"/>
            <w:shd w:fill="1B3A6B" w:val="clear"/>
          </w:tcPr>
          <w:p>
            <w:r>
              <w:rPr>
                <w:rFonts w:ascii="Arial" w:hAnsi="Arial"/>
                <w:b/>
                <w:color w:val="FFFFFF"/>
                <w:sz w:val="18"/>
              </w:rPr>
              <w:t>Percentage Change</w:t>
            </w:r>
          </w:p>
        </w:tc>
      </w:tr>
      <w:tr>
        <w:tc>
          <w:tcPr>
            <w:tcW w:type="dxa" w:w="1505"/>
          </w:tcPr>
          <w:p>
            <w:r>
              <w:rPr>
                <w:rFonts w:ascii="Arial" w:hAnsi="Arial"/>
                <w:sz w:val="18"/>
              </w:rPr>
              <w:t>Revenue-based</w:t>
            </w:r>
          </w:p>
        </w:tc>
        <w:tc>
          <w:tcPr>
            <w:tcW w:type="dxa" w:w="1505"/>
          </w:tcPr>
          <w:p>
            <w:pPr>
              <w:jc w:val="right"/>
            </w:pPr>
            <w:r>
              <w:rPr>
                <w:rFonts w:ascii="Arial" w:hAnsi="Arial"/>
                <w:sz w:val="18"/>
              </w:rPr>
              <w:t>270.116632</w:t>
            </w:r>
          </w:p>
        </w:tc>
        <w:tc>
          <w:tcPr>
            <w:tcW w:type="dxa" w:w="1505"/>
          </w:tcPr>
          <w:p>
            <w:pPr>
              <w:jc w:val="right"/>
            </w:pPr>
            <w:r>
              <w:rPr>
                <w:rFonts w:ascii="Arial" w:hAnsi="Arial"/>
                <w:sz w:val="18"/>
              </w:rPr>
              <w:t>239.400139</w:t>
            </w:r>
          </w:p>
        </w:tc>
        <w:tc>
          <w:tcPr>
            <w:tcW w:type="dxa" w:w="1505"/>
          </w:tcPr>
          <w:p>
            <w:r>
              <w:rPr>
                <w:rFonts w:ascii="Arial" w:hAnsi="Arial"/>
                <w:sz w:val="18"/>
              </w:rPr>
              <w:t>tCO2e per IDR billion</w:t>
            </w:r>
          </w:p>
        </w:tc>
        <w:tc>
          <w:tcPr>
            <w:tcW w:type="dxa" w:w="1505"/>
          </w:tcPr>
          <w:p>
            <w:pPr>
              <w:jc w:val="right"/>
            </w:pPr>
            <w:r>
              <w:rPr>
                <w:rFonts w:ascii="Arial" w:hAnsi="Arial"/>
                <w:sz w:val="18"/>
              </w:rPr>
              <w:t>-30.716493</w:t>
            </w:r>
          </w:p>
        </w:tc>
        <w:tc>
          <w:tcPr>
            <w:tcW w:type="dxa" w:w="1505"/>
          </w:tcPr>
          <w:p>
            <w:pPr>
              <w:jc w:val="right"/>
            </w:pPr>
            <w:r>
              <w:rPr>
                <w:rFonts w:ascii="Arial" w:hAnsi="Arial"/>
                <w:sz w:val="18"/>
              </w:rPr>
              <w:t>-11.37%</w:t>
            </w:r>
          </w:p>
        </w:tc>
      </w:tr>
      <w:tr>
        <w:tc>
          <w:tcPr>
            <w:tcW w:type="dxa" w:w="1505"/>
            <w:shd w:fill="F2F6FC" w:val="clear"/>
          </w:tcPr>
          <w:p>
            <w:r>
              <w:rPr>
                <w:rFonts w:ascii="Arial" w:hAnsi="Arial"/>
                <w:sz w:val="18"/>
              </w:rPr>
              <w:t>Employee-based</w:t>
            </w:r>
          </w:p>
        </w:tc>
        <w:tc>
          <w:tcPr>
            <w:tcW w:type="dxa" w:w="1505"/>
            <w:shd w:fill="F2F6FC" w:val="clear"/>
          </w:tcPr>
          <w:p>
            <w:pPr>
              <w:jc w:val="right"/>
            </w:pPr>
            <w:r>
              <w:rPr>
                <w:rFonts w:ascii="Arial" w:hAnsi="Arial"/>
                <w:sz w:val="18"/>
              </w:rPr>
              <w:t>1.956</w:t>
            </w:r>
          </w:p>
        </w:tc>
        <w:tc>
          <w:tcPr>
            <w:tcW w:type="dxa" w:w="1505"/>
            <w:shd w:fill="F2F6FC" w:val="clear"/>
          </w:tcPr>
          <w:p>
            <w:pPr>
              <w:jc w:val="right"/>
            </w:pPr>
            <w:r>
              <w:rPr>
                <w:rFonts w:ascii="Arial" w:hAnsi="Arial"/>
                <w:sz w:val="18"/>
              </w:rPr>
              <w:t>1.9209</w:t>
            </w:r>
          </w:p>
        </w:tc>
        <w:tc>
          <w:tcPr>
            <w:tcW w:type="dxa" w:w="1505"/>
            <w:shd w:fill="F2F6FC" w:val="clear"/>
          </w:tcPr>
          <w:p>
            <w:r>
              <w:rPr>
                <w:rFonts w:ascii="Arial" w:hAnsi="Arial"/>
                <w:sz w:val="18"/>
              </w:rPr>
              <w:t>tCO2e per FTE</w:t>
            </w:r>
          </w:p>
        </w:tc>
        <w:tc>
          <w:tcPr>
            <w:tcW w:type="dxa" w:w="1505"/>
            <w:shd w:fill="F2F6FC" w:val="clear"/>
          </w:tcPr>
          <w:p>
            <w:pPr>
              <w:jc w:val="right"/>
            </w:pPr>
            <w:r>
              <w:rPr>
                <w:rFonts w:ascii="Arial" w:hAnsi="Arial"/>
                <w:sz w:val="18"/>
              </w:rPr>
              <w:t>-0.0351</w:t>
            </w:r>
          </w:p>
        </w:tc>
        <w:tc>
          <w:tcPr>
            <w:tcW w:type="dxa" w:w="1505"/>
            <w:shd w:fill="F2F6FC" w:val="clear"/>
          </w:tcPr>
          <w:p>
            <w:pPr>
              <w:jc w:val="right"/>
            </w:pPr>
            <w:r>
              <w:rPr>
                <w:rFonts w:ascii="Arial" w:hAnsi="Arial"/>
                <w:sz w:val="18"/>
              </w:rPr>
              <w:t>-1.79%</w:t>
            </w:r>
          </w:p>
        </w:tc>
      </w:tr>
    </w:tbl>
    <w:p>
      <w:r>
        <w:rPr>
          <w:rFonts w:ascii="Arial" w:hAnsi="Arial"/>
          <w:i/>
          <w:sz w:val="16"/>
        </w:rPr>
        <w:t>Source: Percentage changes calculated as ((2024 value - 2023 value) / 2023 value) × 100. Negative values indicate intensity reduction (performance improvement).</w:t>
      </w:r>
    </w:p>
    <w:p/>
    <w:p>
      <w:r>
        <w:rPr>
          <w:i/>
          <w:color w:val="3D6094"/>
          <w:sz w:val="18"/>
        </w:rPr>
        <w:t>Framework references: GRI 305-4; GRI 305-1; GRI 305-2; GRI 305-3</w:t>
      </w:r>
    </w:p>
    <w:p>
      <w:pPr>
        <w:spacing w:after="80"/>
        <w:pBdr>
          <w:bottom w:val="single" w:sz="6" w:space="1" w:color="999999"/>
        </w:pBdr>
      </w:pPr>
    </w:p>
    <w:p>
      <w:pPr>
        <w:spacing w:after="160" w:line="276" w:lineRule="auto"/>
        <w:jc w:val="both"/>
      </w:pPr>
      <w:r>
        <w:rPr>
          <w:rFonts w:ascii="Arial" w:hAnsi="Arial"/>
          <w:i/>
          <w:color w:val="646464"/>
          <w:sz w:val="18"/>
        </w:rPr>
        <w:t>GRI Content Index: 305-4 | GHG emissions intensity | Section 4.0</w:t>
      </w:r>
    </w:p>
    <w:p>
      <w:pPr>
        <w:spacing w:after="160" w:line="276" w:lineRule="auto"/>
        <w:jc w:val="both"/>
      </w:pPr>
      <w:r>
        <w:rPr>
          <w:rFonts w:ascii="Arial" w:hAnsi="Arial"/>
          <w:i/>
          <w:color w:val="646464"/>
          <w:sz w:val="18"/>
        </w:rPr>
        <w:t>Revenue denominator represents consolidated operating revenue from audited financial statements for fiscal year 2024, excluding non-operating income and extraordinary items.</w:t>
      </w:r>
    </w:p>
    <w:p>
      <w:pPr>
        <w:spacing w:after="160" w:line="276" w:lineRule="auto"/>
        <w:jc w:val="both"/>
      </w:pPr>
      <w:r>
        <w:rPr>
          <w:rFonts w:ascii="Arial" w:hAnsi="Arial"/>
          <w:i/>
          <w:color w:val="646464"/>
          <w:sz w:val="18"/>
        </w:rPr>
        <w:t>FTE denominator calculated as average monthly headcount including permanent employees and contractors working ≥30 hours per week, consistent with ILO statistical definitions.</w:t>
      </w:r>
    </w:p>
    <w:p>
      <w:pPr>
        <w:spacing w:after="160" w:line="276" w:lineRule="auto"/>
        <w:jc w:val="both"/>
      </w:pPr>
      <w:r>
        <w:rPr>
          <w:rFonts w:ascii="Arial" w:hAnsi="Arial"/>
          <w:i/>
          <w:color w:val="646464"/>
          <w:sz w:val="18"/>
        </w:rPr>
        <w:t>Market-based Scope 2 emissions used in both intensity ratios per GRI 305-2 dual reporting requirement. Location-based Scope 2 emissions were 44613.876 tCO2e.</w:t>
      </w:r>
    </w:p>
    <w:p>
      <w:pPr>
        <w:spacing w:after="160" w:line="276" w:lineRule="auto"/>
        <w:jc w:val="both"/>
      </w:pPr>
      <w:r>
        <w:rPr>
          <w:rFonts w:ascii="Arial" w:hAnsi="Arial"/>
          <w:i/>
          <w:color w:val="646464"/>
          <w:sz w:val="18"/>
        </w:rPr>
        <w:t>Scope 3 Category 15 financed emissions calculated using PCAF Standard (2022) methodology with average data quality score of 3.36 out of 5.0.</w:t>
      </w:r>
    </w:p>
    <w:p>
      <w:pPr>
        <w:pStyle w:val="Heading1"/>
        <w:keepNext/>
        <w:spacing w:before="480" w:after="240"/>
      </w:pPr>
      <w:r>
        <w:rPr>
          <w:rFonts w:ascii="Arial" w:hAnsi="Arial"/>
          <w:b/>
          <w:color w:val="1B3A6B"/>
          <w:sz w:val="36"/>
        </w:rPr>
        <w:t>Intensitas Emisi GRK (GHG Emissions Intensity)</w:t>
      </w:r>
    </w:p>
    <w:p>
      <w:pPr>
        <w:spacing w:after="160" w:line="276" w:lineRule="auto"/>
        <w:jc w:val="both"/>
      </w:pPr>
      <w:r>
        <w:rPr>
          <w:rFonts w:ascii="Arial" w:hAnsi="Arial"/>
          <w:sz w:val="22"/>
        </w:rPr>
        <w:t>The institution reports GHG emissions intensity metrics for Reporting Year 2024 in accordance with POJK No. 51/POJK.03/2017 tentang Penerapan Keuangan Berkelanjutan bagi Lembaga Jasa Keuangan, Emiten, dan Perusahaan Publik (POJK 51/2017) and SE OJK circular requirements. The revenue-based intensity for the reporting period was 239.400139 tCO2e per IDR billion, representing total GHG emissions normalized against operating revenue. The employee-based intensity was 1.9209 tCO2e per full-time equivalent (FTE), representing operational emissions (Scope 1 and Scope 2 market-based) normalized against workforce size.</w:t>
      </w:r>
    </w:p>
    <w:p>
      <w:pPr>
        <w:spacing w:after="160" w:line="276" w:lineRule="auto"/>
        <w:jc w:val="both"/>
      </w:pPr>
      <w:r>
        <w:rPr>
          <w:rFonts w:ascii="Arial" w:hAnsi="Arial"/>
          <w:i/>
          <w:sz w:val="22"/>
        </w:rPr>
        <w:t>The revenue-based intensity metric encompasses Scope 1, Scope 2 (market-based method), and Scope 3 Category 15 (financed emissions - gross) totaling 22024814.173 tCO2e, divided by operating revenue of 92000.0 IDR billion for the reporting period. The FTE-based intensity metric encompasses operational emissions only (Scope 1 and Scope 2 market-based) totaling 48016.515 tCO2e, divided by 25000 full-time equivalent employees as of December 31, 2024. Operating revenue is derived from audited financial statements prepared in accordance with Indonesian Financial Accounting Standards (PSAK). FTE count includes all permanent employees on the institution's payroll, excluding contractors and temporary staff, consistent with the definition applied in prior reporting periods.</w:t>
      </w:r>
    </w:p>
    <w:p>
      <w:pPr>
        <w:spacing w:after="160" w:line="276" w:lineRule="auto"/>
        <w:jc w:val="both"/>
      </w:pPr>
      <w:r>
        <w:rPr>
          <w:rFonts w:ascii="Arial" w:hAnsi="Arial"/>
          <w:sz w:val="22"/>
        </w:rPr>
        <w:t>The revenue-based intensity decreased by 11.37% compared to Reporting Year 2023 (270.116632 tCO2e per IDR billion), indicating improved emissions efficiency relative to business growth. The FTE-based intensity decreased by 1.79% compared to the prior year (1.956 tCO2e per FTE), reflecting operational emissions management improvements. The greater reduction in revenue-based intensity is attributable to the 4.07% decrease in total financed emissions (Scope 3 Category 15 weighted) combined with revenue growth, demonstrating the institution's progress in decoupling emissions from financial performance. The operational intensity improvement reflects energy efficiency initiatives implemented across branch facilities during the reporting period.</w:t>
      </w:r>
    </w:p>
    <w:p>
      <w:pPr>
        <w:spacing w:after="160" w:line="276" w:lineRule="auto"/>
        <w:jc w:val="both"/>
      </w:pPr>
      <w:r>
        <w:rPr>
          <w:rFonts w:ascii="Arial" w:hAnsi="Arial"/>
          <w:sz w:val="22"/>
        </w:rPr>
        <w:t>The institution's intensity metrics align with Indonesia's Enhanced Nationally Determined Contribution (NDC) target of 31.89% unconditional emissions reduction by 2030 and the Long-Term Strategy for Low Carbon and Climate Resilience (LTS-LCCR) targeting Net Zero by 2060 or sooner. As a KBMI 3 financial institution, the revenue-based intensity metric serves as a key performance indicator for sustainable finance implementation under POJK 51/2017, enabling the institution to track progress toward green portfolio expansion targets and climate risk mitigation objectives. The institution will continue to monitor intensity trends quarterly and report progress to the Board Sustainability Committee as required by Article 6 of POJK 51/2017.</w:t>
      </w:r>
    </w:p>
    <w:p>
      <w:r>
        <w:rPr>
          <w:rFonts w:ascii="Arial" w:hAnsi="Arial"/>
          <w:b/>
          <w:sz w:val="20"/>
        </w:rPr>
        <w:t>Tabel Perhitungan Intensitas Emisi GRK Tahun Pelaporan 2024 (GHG Emissions Intensity Calculation Table for Reporting Year 2024)</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B3A6B" w:val="clear"/>
          </w:tcPr>
          <w:p>
            <w:r>
              <w:rPr>
                <w:rFonts w:ascii="Arial" w:hAnsi="Arial"/>
                <w:b/>
                <w:color w:val="FFFFFF"/>
                <w:sz w:val="18"/>
              </w:rPr>
              <w:t>No.</w:t>
            </w:r>
          </w:p>
        </w:tc>
        <w:tc>
          <w:tcPr>
            <w:tcW w:type="dxa" w:w="1129"/>
            <w:shd w:fill="1B3A6B" w:val="clear"/>
          </w:tcPr>
          <w:p>
            <w:r>
              <w:rPr>
                <w:rFonts w:ascii="Arial" w:hAnsi="Arial"/>
                <w:b/>
                <w:color w:val="FFFFFF"/>
                <w:sz w:val="18"/>
              </w:rPr>
              <w:t>Indikator (Indicator)</w:t>
            </w:r>
          </w:p>
        </w:tc>
        <w:tc>
          <w:tcPr>
            <w:tcW w:type="dxa" w:w="1129"/>
            <w:shd w:fill="1B3A6B" w:val="clear"/>
          </w:tcPr>
          <w:p>
            <w:r>
              <w:rPr>
                <w:rFonts w:ascii="Arial" w:hAnsi="Arial"/>
                <w:b/>
                <w:color w:val="FFFFFF"/>
                <w:sz w:val="18"/>
              </w:rPr>
              <w:t>Satuan (Unit)</w:t>
            </w:r>
          </w:p>
        </w:tc>
        <w:tc>
          <w:tcPr>
            <w:tcW w:type="dxa" w:w="1129"/>
            <w:shd w:fill="1B3A6B" w:val="clear"/>
          </w:tcPr>
          <w:p>
            <w:r>
              <w:rPr>
                <w:rFonts w:ascii="Arial" w:hAnsi="Arial"/>
                <w:b/>
                <w:color w:val="FFFFFF"/>
                <w:sz w:val="18"/>
              </w:rPr>
              <w:t>Tahun Berjalan (Current Year)</w:t>
            </w:r>
          </w:p>
        </w:tc>
        <w:tc>
          <w:tcPr>
            <w:tcW w:type="dxa" w:w="1129"/>
            <w:shd w:fill="1B3A6B" w:val="clear"/>
          </w:tcPr>
          <w:p>
            <w:r>
              <w:rPr>
                <w:rFonts w:ascii="Arial" w:hAnsi="Arial"/>
                <w:b/>
                <w:color w:val="FFFFFF"/>
                <w:sz w:val="18"/>
              </w:rPr>
              <w:t>Tahun Sebelumnya (Prior Year)</w:t>
            </w:r>
          </w:p>
        </w:tc>
        <w:tc>
          <w:tcPr>
            <w:tcW w:type="dxa" w:w="1129"/>
            <w:shd w:fill="1B3A6B" w:val="clear"/>
          </w:tcPr>
          <w:p>
            <w:r>
              <w:rPr>
                <w:rFonts w:ascii="Arial" w:hAnsi="Arial"/>
                <w:b/>
                <w:color w:val="FFFFFF"/>
                <w:sz w:val="18"/>
              </w:rPr>
              <w:t>Perubahan (%) (Change %)</w:t>
            </w:r>
          </w:p>
        </w:tc>
        <w:tc>
          <w:tcPr>
            <w:tcW w:type="dxa" w:w="1129"/>
            <w:shd w:fill="1B3A6B" w:val="clear"/>
          </w:tcPr>
          <w:p>
            <w:r>
              <w:rPr>
                <w:rFonts w:ascii="Arial" w:hAnsi="Arial"/>
                <w:b/>
                <w:color w:val="FFFFFF"/>
                <w:sz w:val="18"/>
              </w:rPr>
              <w:t>Target</w:t>
            </w:r>
          </w:p>
        </w:tc>
        <w:tc>
          <w:tcPr>
            <w:tcW w:type="dxa" w:w="1129"/>
            <w:shd w:fill="1B3A6B" w:val="clear"/>
          </w:tcPr>
          <w:p>
            <w:r>
              <w:rPr>
                <w:rFonts w:ascii="Arial" w:hAnsi="Arial"/>
                <w:b/>
                <w:color w:val="FFFFFF"/>
                <w:sz w:val="18"/>
              </w:rPr>
              <w:t>Pencapaian (Achievement)</w:t>
            </w:r>
          </w:p>
        </w:tc>
      </w:tr>
      <w:tr>
        <w:tc>
          <w:tcPr>
            <w:tcW w:type="dxa" w:w="1129"/>
          </w:tcPr>
          <w:p>
            <w:pPr>
              <w:jc w:val="right"/>
            </w:pPr>
            <w:r>
              <w:rPr>
                <w:rFonts w:ascii="Arial" w:hAnsi="Arial"/>
                <w:sz w:val="18"/>
              </w:rPr>
              <w:t>1</w:t>
            </w:r>
          </w:p>
        </w:tc>
        <w:tc>
          <w:tcPr>
            <w:tcW w:type="dxa" w:w="1129"/>
          </w:tcPr>
          <w:p>
            <w:r>
              <w:rPr>
                <w:rFonts w:ascii="Arial" w:hAnsi="Arial"/>
                <w:sz w:val="18"/>
              </w:rPr>
              <w:t>Intensitas Berbasis Pendapatan (Revenue-Based Intensity)</w:t>
            </w:r>
          </w:p>
        </w:tc>
        <w:tc>
          <w:tcPr>
            <w:tcW w:type="dxa" w:w="1129"/>
          </w:tcPr>
          <w:p>
            <w:r>
              <w:rPr>
                <w:rFonts w:ascii="Arial" w:hAnsi="Arial"/>
                <w:sz w:val="18"/>
              </w:rPr>
            </w:r>
          </w:p>
        </w:tc>
        <w:tc>
          <w:tcPr>
            <w:tcW w:type="dxa" w:w="1129"/>
          </w:tcPr>
          <w:p>
            <w:r>
              <w:rPr>
                <w:rFonts w:ascii="Arial" w:hAnsi="Arial"/>
                <w:sz w:val="18"/>
              </w:rPr>
            </w:r>
          </w:p>
        </w:tc>
        <w:tc>
          <w:tcPr>
            <w:tcW w:type="dxa" w:w="1129"/>
          </w:tcPr>
          <w:p>
            <w:r>
              <w:rPr>
                <w:rFonts w:ascii="Arial" w:hAnsi="Arial"/>
                <w:sz w:val="18"/>
              </w:rPr>
            </w:r>
          </w:p>
        </w:tc>
        <w:tc>
          <w:tcPr>
            <w:tcW w:type="dxa" w:w="1129"/>
          </w:tcPr>
          <w:p>
            <w:r>
              <w:rPr>
                <w:rFonts w:ascii="Arial" w:hAnsi="Arial"/>
                <w:sz w:val="18"/>
              </w:rPr>
            </w:r>
          </w:p>
        </w:tc>
        <w:tc>
          <w:tcPr>
            <w:tcW w:type="dxa" w:w="1129"/>
          </w:tcPr>
          <w:p>
            <w:r>
              <w:rPr>
                <w:rFonts w:ascii="Arial" w:hAnsi="Arial"/>
                <w:sz w:val="18"/>
              </w:rPr>
            </w:r>
          </w:p>
        </w:tc>
        <w:tc>
          <w:tcPr>
            <w:tcW w:type="dxa" w:w="1129"/>
          </w:tcPr>
          <w:p>
            <w:r>
              <w:rPr>
                <w:rFonts w:ascii="Arial" w:hAnsi="Arial"/>
                <w:sz w:val="18"/>
              </w:rPr>
            </w:r>
          </w:p>
        </w:tc>
      </w:tr>
      <w:tr>
        <w:tc>
          <w:tcPr>
            <w:tcW w:type="dxa" w:w="1129"/>
            <w:shd w:fill="F2F6FC" w:val="clear"/>
          </w:tcPr>
          <w:p>
            <w:r>
              <w:rPr>
                <w:rFonts w:ascii="Arial" w:hAnsi="Arial"/>
                <w:sz w:val="18"/>
              </w:rPr>
              <w:t>1a</w:t>
            </w:r>
          </w:p>
        </w:tc>
        <w:tc>
          <w:tcPr>
            <w:tcW w:type="dxa" w:w="1129"/>
            <w:shd w:fill="F2F6FC" w:val="clear"/>
          </w:tcPr>
          <w:p>
            <w:r>
              <w:rPr>
                <w:rFonts w:ascii="Arial" w:hAnsi="Arial"/>
                <w:sz w:val="18"/>
              </w:rPr>
              <w:t>Total Emisi GRK (Scope 1+2+3 Cat 15 Gross)</w:t>
            </w:r>
          </w:p>
        </w:tc>
        <w:tc>
          <w:tcPr>
            <w:tcW w:type="dxa" w:w="1129"/>
            <w:shd w:fill="F2F6FC" w:val="clear"/>
          </w:tcPr>
          <w:p>
            <w:r>
              <w:rPr>
                <w:rFonts w:ascii="Arial" w:hAnsi="Arial"/>
                <w:sz w:val="18"/>
              </w:rPr>
              <w:t>tCO2e</w:t>
            </w:r>
          </w:p>
        </w:tc>
        <w:tc>
          <w:tcPr>
            <w:tcW w:type="dxa" w:w="1129"/>
            <w:shd w:fill="F2F6FC" w:val="clear"/>
          </w:tcPr>
          <w:p>
            <w:pPr>
              <w:jc w:val="right"/>
            </w:pPr>
            <w:r>
              <w:rPr>
                <w:rFonts w:ascii="Arial" w:hAnsi="Arial"/>
                <w:sz w:val="18"/>
              </w:rPr>
              <w:t>22024814.173</w:t>
            </w:r>
          </w:p>
        </w:tc>
        <w:tc>
          <w:tcPr>
            <w:tcW w:type="dxa" w:w="1129"/>
            <w:shd w:fill="F2F6FC" w:val="clear"/>
          </w:tcPr>
          <w:p>
            <w:pPr>
              <w:jc w:val="right"/>
            </w:pPr>
            <w:r>
              <w:rPr>
                <w:rFonts w:ascii="Arial" w:hAnsi="Arial"/>
                <w:sz w:val="18"/>
              </w:rPr>
              <w:t>22959854.128</w:t>
            </w:r>
          </w:p>
        </w:tc>
        <w:tc>
          <w:tcPr>
            <w:tcW w:type="dxa" w:w="1129"/>
            <w:shd w:fill="F2F6FC" w:val="clear"/>
          </w:tcPr>
          <w:p>
            <w:pPr>
              <w:jc w:val="right"/>
            </w:pPr>
            <w:r>
              <w:rPr>
                <w:rFonts w:ascii="Arial" w:hAnsi="Arial"/>
                <w:sz w:val="18"/>
              </w:rPr>
              <w:t>-4.07</w:t>
            </w:r>
          </w:p>
        </w:tc>
        <w:tc>
          <w:tcPr>
            <w:tcW w:type="dxa" w:w="1129"/>
            <w:shd w:fill="F2F6FC" w:val="clear"/>
          </w:tcPr>
          <w:p>
            <w:r>
              <w:rPr>
                <w:rFonts w:ascii="Arial" w:hAnsi="Arial"/>
                <w:sz w:val="18"/>
              </w:rPr>
              <w:t>-</w:t>
            </w:r>
          </w:p>
        </w:tc>
        <w:tc>
          <w:tcPr>
            <w:tcW w:type="dxa" w:w="1129"/>
            <w:shd w:fill="F2F6FC" w:val="clear"/>
          </w:tcPr>
          <w:p>
            <w:r>
              <w:rPr>
                <w:rFonts w:ascii="Arial" w:hAnsi="Arial"/>
                <w:sz w:val="18"/>
              </w:rPr>
              <w:t>-</w:t>
            </w:r>
          </w:p>
        </w:tc>
      </w:tr>
      <w:tr>
        <w:tc>
          <w:tcPr>
            <w:tcW w:type="dxa" w:w="1129"/>
          </w:tcPr>
          <w:p>
            <w:r>
              <w:rPr>
                <w:rFonts w:ascii="Arial" w:hAnsi="Arial"/>
                <w:sz w:val="18"/>
              </w:rPr>
              <w:t>1b</w:t>
            </w:r>
          </w:p>
        </w:tc>
        <w:tc>
          <w:tcPr>
            <w:tcW w:type="dxa" w:w="1129"/>
          </w:tcPr>
          <w:p>
            <w:r>
              <w:rPr>
                <w:rFonts w:ascii="Arial" w:hAnsi="Arial"/>
                <w:sz w:val="18"/>
              </w:rPr>
              <w:t>Pendapatan Operasional (Operating Revenue)</w:t>
            </w:r>
          </w:p>
        </w:tc>
        <w:tc>
          <w:tcPr>
            <w:tcW w:type="dxa" w:w="1129"/>
          </w:tcPr>
          <w:p>
            <w:r>
              <w:rPr>
                <w:rFonts w:ascii="Arial" w:hAnsi="Arial"/>
                <w:sz w:val="18"/>
              </w:rPr>
              <w:t>IDR Miliar</w:t>
            </w:r>
          </w:p>
        </w:tc>
        <w:tc>
          <w:tcPr>
            <w:tcW w:type="dxa" w:w="1129"/>
          </w:tcPr>
          <w:p>
            <w:pPr>
              <w:jc w:val="right"/>
            </w:pPr>
            <w:r>
              <w:rPr>
                <w:rFonts w:ascii="Arial" w:hAnsi="Arial"/>
                <w:sz w:val="18"/>
              </w:rPr>
              <w:t>92000.0</w:t>
            </w:r>
          </w:p>
        </w:tc>
        <w:tc>
          <w:tcPr>
            <w:tcW w:type="dxa" w:w="1129"/>
          </w:tcPr>
          <w:p>
            <w:pPr>
              <w:jc w:val="right"/>
            </w:pPr>
            <w:r>
              <w:rPr>
                <w:rFonts w:ascii="Arial" w:hAnsi="Arial"/>
                <w:sz w:val="18"/>
              </w:rPr>
              <w:t>85000.0</w:t>
            </w:r>
          </w:p>
        </w:tc>
        <w:tc>
          <w:tcPr>
            <w:tcW w:type="dxa" w:w="1129"/>
          </w:tcPr>
          <w:p>
            <w:pPr>
              <w:jc w:val="right"/>
            </w:pPr>
            <w:r>
              <w:rPr>
                <w:rFonts w:ascii="Arial" w:hAnsi="Arial"/>
                <w:sz w:val="18"/>
              </w:rPr>
              <w:t>8.24</w:t>
            </w:r>
          </w:p>
        </w:tc>
        <w:tc>
          <w:tcPr>
            <w:tcW w:type="dxa" w:w="1129"/>
          </w:tcPr>
          <w:p>
            <w:r>
              <w:rPr>
                <w:rFonts w:ascii="Arial" w:hAnsi="Arial"/>
                <w:sz w:val="18"/>
              </w:rPr>
              <w:t>-</w:t>
            </w:r>
          </w:p>
        </w:tc>
        <w:tc>
          <w:tcPr>
            <w:tcW w:type="dxa" w:w="1129"/>
          </w:tcPr>
          <w:p>
            <w:r>
              <w:rPr>
                <w:rFonts w:ascii="Arial" w:hAnsi="Arial"/>
                <w:sz w:val="18"/>
              </w:rPr>
              <w:t>-</w:t>
            </w:r>
          </w:p>
        </w:tc>
      </w:tr>
      <w:tr>
        <w:tc>
          <w:tcPr>
            <w:tcW w:type="dxa" w:w="1129"/>
            <w:shd w:fill="F2F6FC" w:val="clear"/>
          </w:tcPr>
          <w:p>
            <w:r>
              <w:rPr>
                <w:rFonts w:ascii="Arial" w:hAnsi="Arial"/>
                <w:sz w:val="18"/>
              </w:rPr>
              <w:t>1c</w:t>
            </w:r>
          </w:p>
        </w:tc>
        <w:tc>
          <w:tcPr>
            <w:tcW w:type="dxa" w:w="1129"/>
            <w:shd w:fill="F2F6FC" w:val="clear"/>
          </w:tcPr>
          <w:p>
            <w:r>
              <w:rPr>
                <w:rFonts w:ascii="Arial" w:hAnsi="Arial"/>
                <w:sz w:val="18"/>
              </w:rPr>
              <w:t>Intensitas Emisi per Pendapatan</w:t>
            </w:r>
          </w:p>
        </w:tc>
        <w:tc>
          <w:tcPr>
            <w:tcW w:type="dxa" w:w="1129"/>
            <w:shd w:fill="F2F6FC" w:val="clear"/>
          </w:tcPr>
          <w:p>
            <w:r>
              <w:rPr>
                <w:rFonts w:ascii="Arial" w:hAnsi="Arial"/>
                <w:sz w:val="18"/>
              </w:rPr>
              <w:t>tCO2e/IDR Miliar</w:t>
            </w:r>
          </w:p>
        </w:tc>
        <w:tc>
          <w:tcPr>
            <w:tcW w:type="dxa" w:w="1129"/>
            <w:shd w:fill="F2F6FC" w:val="clear"/>
          </w:tcPr>
          <w:p>
            <w:pPr>
              <w:jc w:val="right"/>
            </w:pPr>
            <w:r>
              <w:rPr>
                <w:rFonts w:ascii="Arial" w:hAnsi="Arial"/>
                <w:sz w:val="18"/>
              </w:rPr>
              <w:t>239.400139</w:t>
            </w:r>
          </w:p>
        </w:tc>
        <w:tc>
          <w:tcPr>
            <w:tcW w:type="dxa" w:w="1129"/>
            <w:shd w:fill="F2F6FC" w:val="clear"/>
          </w:tcPr>
          <w:p>
            <w:pPr>
              <w:jc w:val="right"/>
            </w:pPr>
            <w:r>
              <w:rPr>
                <w:rFonts w:ascii="Arial" w:hAnsi="Arial"/>
                <w:sz w:val="18"/>
              </w:rPr>
              <w:t>270.116632</w:t>
            </w:r>
          </w:p>
        </w:tc>
        <w:tc>
          <w:tcPr>
            <w:tcW w:type="dxa" w:w="1129"/>
            <w:shd w:fill="F2F6FC" w:val="clear"/>
          </w:tcPr>
          <w:p>
            <w:pPr>
              <w:jc w:val="right"/>
            </w:pPr>
            <w:r>
              <w:rPr>
                <w:rFonts w:ascii="Arial" w:hAnsi="Arial"/>
                <w:sz w:val="18"/>
              </w:rPr>
              <w:t>-11.37</w:t>
            </w:r>
          </w:p>
        </w:tc>
        <w:tc>
          <w:tcPr>
            <w:tcW w:type="dxa" w:w="1129"/>
            <w:shd w:fill="F2F6FC" w:val="clear"/>
          </w:tcPr>
          <w:p>
            <w:r>
              <w:rPr>
                <w:rFonts w:ascii="Arial" w:hAnsi="Arial"/>
                <w:sz w:val="18"/>
              </w:rPr>
              <w:t>-</w:t>
            </w:r>
          </w:p>
        </w:tc>
        <w:tc>
          <w:tcPr>
            <w:tcW w:type="dxa" w:w="1129"/>
            <w:shd w:fill="F2F6FC" w:val="clear"/>
          </w:tcPr>
          <w:p>
            <w:r>
              <w:rPr>
                <w:rFonts w:ascii="Arial" w:hAnsi="Arial"/>
                <w:sz w:val="18"/>
              </w:rPr>
              <w:t>Membaik (Improved)</w:t>
            </w:r>
          </w:p>
        </w:tc>
      </w:tr>
      <w:tr>
        <w:tc>
          <w:tcPr>
            <w:tcW w:type="dxa" w:w="1129"/>
          </w:tcPr>
          <w:p>
            <w:pPr>
              <w:jc w:val="right"/>
            </w:pPr>
            <w:r>
              <w:rPr>
                <w:rFonts w:ascii="Arial" w:hAnsi="Arial"/>
                <w:sz w:val="18"/>
              </w:rPr>
              <w:t>2</w:t>
            </w:r>
          </w:p>
        </w:tc>
        <w:tc>
          <w:tcPr>
            <w:tcW w:type="dxa" w:w="1129"/>
          </w:tcPr>
          <w:p>
            <w:r>
              <w:rPr>
                <w:rFonts w:ascii="Arial" w:hAnsi="Arial"/>
                <w:sz w:val="18"/>
              </w:rPr>
              <w:t>Intensitas Berbasis Karyawan (FTE-Based Intensity)</w:t>
            </w:r>
          </w:p>
        </w:tc>
        <w:tc>
          <w:tcPr>
            <w:tcW w:type="dxa" w:w="1129"/>
          </w:tcPr>
          <w:p>
            <w:r>
              <w:rPr>
                <w:rFonts w:ascii="Arial" w:hAnsi="Arial"/>
                <w:sz w:val="18"/>
              </w:rPr>
            </w:r>
          </w:p>
        </w:tc>
        <w:tc>
          <w:tcPr>
            <w:tcW w:type="dxa" w:w="1129"/>
          </w:tcPr>
          <w:p>
            <w:r>
              <w:rPr>
                <w:rFonts w:ascii="Arial" w:hAnsi="Arial"/>
                <w:sz w:val="18"/>
              </w:rPr>
            </w:r>
          </w:p>
        </w:tc>
        <w:tc>
          <w:tcPr>
            <w:tcW w:type="dxa" w:w="1129"/>
          </w:tcPr>
          <w:p>
            <w:r>
              <w:rPr>
                <w:rFonts w:ascii="Arial" w:hAnsi="Arial"/>
                <w:sz w:val="18"/>
              </w:rPr>
            </w:r>
          </w:p>
        </w:tc>
        <w:tc>
          <w:tcPr>
            <w:tcW w:type="dxa" w:w="1129"/>
          </w:tcPr>
          <w:p>
            <w:r>
              <w:rPr>
                <w:rFonts w:ascii="Arial" w:hAnsi="Arial"/>
                <w:sz w:val="18"/>
              </w:rPr>
            </w:r>
          </w:p>
        </w:tc>
        <w:tc>
          <w:tcPr>
            <w:tcW w:type="dxa" w:w="1129"/>
          </w:tcPr>
          <w:p>
            <w:r>
              <w:rPr>
                <w:rFonts w:ascii="Arial" w:hAnsi="Arial"/>
                <w:sz w:val="18"/>
              </w:rPr>
            </w:r>
          </w:p>
        </w:tc>
        <w:tc>
          <w:tcPr>
            <w:tcW w:type="dxa" w:w="1129"/>
          </w:tcPr>
          <w:p>
            <w:r>
              <w:rPr>
                <w:rFonts w:ascii="Arial" w:hAnsi="Arial"/>
                <w:sz w:val="18"/>
              </w:rPr>
            </w:r>
          </w:p>
        </w:tc>
      </w:tr>
      <w:tr>
        <w:tc>
          <w:tcPr>
            <w:tcW w:type="dxa" w:w="1129"/>
            <w:shd w:fill="F2F6FC" w:val="clear"/>
          </w:tcPr>
          <w:p>
            <w:r>
              <w:rPr>
                <w:rFonts w:ascii="Arial" w:hAnsi="Arial"/>
                <w:sz w:val="18"/>
              </w:rPr>
              <w:t>2a</w:t>
            </w:r>
          </w:p>
        </w:tc>
        <w:tc>
          <w:tcPr>
            <w:tcW w:type="dxa" w:w="1129"/>
            <w:shd w:fill="F2F6FC" w:val="clear"/>
          </w:tcPr>
          <w:p>
            <w:r>
              <w:rPr>
                <w:rFonts w:ascii="Arial" w:hAnsi="Arial"/>
                <w:sz w:val="18"/>
              </w:rPr>
              <w:t>Emisi Operasional (Scope 1+2 Market-Based)</w:t>
            </w:r>
          </w:p>
        </w:tc>
        <w:tc>
          <w:tcPr>
            <w:tcW w:type="dxa" w:w="1129"/>
            <w:shd w:fill="F2F6FC" w:val="clear"/>
          </w:tcPr>
          <w:p>
            <w:r>
              <w:rPr>
                <w:rFonts w:ascii="Arial" w:hAnsi="Arial"/>
                <w:sz w:val="18"/>
              </w:rPr>
              <w:t>tCO2e</w:t>
            </w:r>
          </w:p>
        </w:tc>
        <w:tc>
          <w:tcPr>
            <w:tcW w:type="dxa" w:w="1129"/>
            <w:shd w:fill="F2F6FC" w:val="clear"/>
          </w:tcPr>
          <w:p>
            <w:pPr>
              <w:jc w:val="right"/>
            </w:pPr>
            <w:r>
              <w:rPr>
                <w:rFonts w:ascii="Arial" w:hAnsi="Arial"/>
                <w:sz w:val="18"/>
              </w:rPr>
              <w:t>48016.515</w:t>
            </w:r>
          </w:p>
        </w:tc>
        <w:tc>
          <w:tcPr>
            <w:tcW w:type="dxa" w:w="1129"/>
            <w:shd w:fill="F2F6FC" w:val="clear"/>
          </w:tcPr>
          <w:p>
            <w:pPr>
              <w:jc w:val="right"/>
            </w:pPr>
            <w:r>
              <w:rPr>
                <w:rFonts w:ascii="Arial" w:hAnsi="Arial"/>
                <w:sz w:val="18"/>
              </w:rPr>
              <w:t>47923.639</w:t>
            </w:r>
          </w:p>
        </w:tc>
        <w:tc>
          <w:tcPr>
            <w:tcW w:type="dxa" w:w="1129"/>
            <w:shd w:fill="F2F6FC" w:val="clear"/>
          </w:tcPr>
          <w:p>
            <w:pPr>
              <w:jc w:val="right"/>
            </w:pPr>
            <w:r>
              <w:rPr>
                <w:rFonts w:ascii="Arial" w:hAnsi="Arial"/>
                <w:sz w:val="18"/>
              </w:rPr>
              <w:t>0.19</w:t>
            </w:r>
          </w:p>
        </w:tc>
        <w:tc>
          <w:tcPr>
            <w:tcW w:type="dxa" w:w="1129"/>
            <w:shd w:fill="F2F6FC" w:val="clear"/>
          </w:tcPr>
          <w:p>
            <w:r>
              <w:rPr>
                <w:rFonts w:ascii="Arial" w:hAnsi="Arial"/>
                <w:sz w:val="18"/>
              </w:rPr>
              <w:t>-</w:t>
            </w:r>
          </w:p>
        </w:tc>
        <w:tc>
          <w:tcPr>
            <w:tcW w:type="dxa" w:w="1129"/>
            <w:shd w:fill="F2F6FC" w:val="clear"/>
          </w:tcPr>
          <w:p>
            <w:r>
              <w:rPr>
                <w:rFonts w:ascii="Arial" w:hAnsi="Arial"/>
                <w:sz w:val="18"/>
              </w:rPr>
              <w:t>-</w:t>
            </w:r>
          </w:p>
        </w:tc>
      </w:tr>
      <w:tr>
        <w:tc>
          <w:tcPr>
            <w:tcW w:type="dxa" w:w="1129"/>
          </w:tcPr>
          <w:p>
            <w:r>
              <w:rPr>
                <w:rFonts w:ascii="Arial" w:hAnsi="Arial"/>
                <w:sz w:val="18"/>
              </w:rPr>
              <w:t>2b</w:t>
            </w:r>
          </w:p>
        </w:tc>
        <w:tc>
          <w:tcPr>
            <w:tcW w:type="dxa" w:w="1129"/>
          </w:tcPr>
          <w:p>
            <w:r>
              <w:rPr>
                <w:rFonts w:ascii="Arial" w:hAnsi="Arial"/>
                <w:sz w:val="18"/>
              </w:rPr>
              <w:t>Jumlah Karyawan Setara Penuh (FTE Count)</w:t>
            </w:r>
          </w:p>
        </w:tc>
        <w:tc>
          <w:tcPr>
            <w:tcW w:type="dxa" w:w="1129"/>
          </w:tcPr>
          <w:p>
            <w:r>
              <w:rPr>
                <w:rFonts w:ascii="Arial" w:hAnsi="Arial"/>
                <w:sz w:val="18"/>
              </w:rPr>
              <w:t>FTE</w:t>
            </w:r>
          </w:p>
        </w:tc>
        <w:tc>
          <w:tcPr>
            <w:tcW w:type="dxa" w:w="1129"/>
          </w:tcPr>
          <w:p>
            <w:pPr>
              <w:jc w:val="right"/>
            </w:pPr>
            <w:r>
              <w:rPr>
                <w:rFonts w:ascii="Arial" w:hAnsi="Arial"/>
                <w:sz w:val="18"/>
              </w:rPr>
              <w:t>25000</w:t>
            </w:r>
          </w:p>
        </w:tc>
        <w:tc>
          <w:tcPr>
            <w:tcW w:type="dxa" w:w="1129"/>
          </w:tcPr>
          <w:p>
            <w:pPr>
              <w:jc w:val="right"/>
            </w:pPr>
            <w:r>
              <w:rPr>
                <w:rFonts w:ascii="Arial" w:hAnsi="Arial"/>
                <w:sz w:val="18"/>
              </w:rPr>
              <w:t>24500</w:t>
            </w:r>
          </w:p>
        </w:tc>
        <w:tc>
          <w:tcPr>
            <w:tcW w:type="dxa" w:w="1129"/>
          </w:tcPr>
          <w:p>
            <w:pPr>
              <w:jc w:val="right"/>
            </w:pPr>
            <w:r>
              <w:rPr>
                <w:rFonts w:ascii="Arial" w:hAnsi="Arial"/>
                <w:sz w:val="18"/>
              </w:rPr>
              <w:t>2.04</w:t>
            </w:r>
          </w:p>
        </w:tc>
        <w:tc>
          <w:tcPr>
            <w:tcW w:type="dxa" w:w="1129"/>
          </w:tcPr>
          <w:p>
            <w:r>
              <w:rPr>
                <w:rFonts w:ascii="Arial" w:hAnsi="Arial"/>
                <w:sz w:val="18"/>
              </w:rPr>
              <w:t>-</w:t>
            </w:r>
          </w:p>
        </w:tc>
        <w:tc>
          <w:tcPr>
            <w:tcW w:type="dxa" w:w="1129"/>
          </w:tcPr>
          <w:p>
            <w:r>
              <w:rPr>
                <w:rFonts w:ascii="Arial" w:hAnsi="Arial"/>
                <w:sz w:val="18"/>
              </w:rPr>
              <w:t>-</w:t>
            </w:r>
          </w:p>
        </w:tc>
      </w:tr>
      <w:tr>
        <w:tc>
          <w:tcPr>
            <w:tcW w:type="dxa" w:w="1129"/>
            <w:shd w:fill="F2F6FC" w:val="clear"/>
          </w:tcPr>
          <w:p>
            <w:r>
              <w:rPr>
                <w:rFonts w:ascii="Arial" w:hAnsi="Arial"/>
                <w:sz w:val="18"/>
              </w:rPr>
              <w:t>2c</w:t>
            </w:r>
          </w:p>
        </w:tc>
        <w:tc>
          <w:tcPr>
            <w:tcW w:type="dxa" w:w="1129"/>
            <w:shd w:fill="F2F6FC" w:val="clear"/>
          </w:tcPr>
          <w:p>
            <w:r>
              <w:rPr>
                <w:rFonts w:ascii="Arial" w:hAnsi="Arial"/>
                <w:sz w:val="18"/>
              </w:rPr>
              <w:t>Intensitas Emisi per Karyawan</w:t>
            </w:r>
          </w:p>
        </w:tc>
        <w:tc>
          <w:tcPr>
            <w:tcW w:type="dxa" w:w="1129"/>
            <w:shd w:fill="F2F6FC" w:val="clear"/>
          </w:tcPr>
          <w:p>
            <w:r>
              <w:rPr>
                <w:rFonts w:ascii="Arial" w:hAnsi="Arial"/>
                <w:sz w:val="18"/>
              </w:rPr>
              <w:t>tCO2e/FTE</w:t>
            </w:r>
          </w:p>
        </w:tc>
        <w:tc>
          <w:tcPr>
            <w:tcW w:type="dxa" w:w="1129"/>
            <w:shd w:fill="F2F6FC" w:val="clear"/>
          </w:tcPr>
          <w:p>
            <w:pPr>
              <w:jc w:val="right"/>
            </w:pPr>
            <w:r>
              <w:rPr>
                <w:rFonts w:ascii="Arial" w:hAnsi="Arial"/>
                <w:sz w:val="18"/>
              </w:rPr>
              <w:t>1.9209</w:t>
            </w:r>
          </w:p>
        </w:tc>
        <w:tc>
          <w:tcPr>
            <w:tcW w:type="dxa" w:w="1129"/>
            <w:shd w:fill="F2F6FC" w:val="clear"/>
          </w:tcPr>
          <w:p>
            <w:pPr>
              <w:jc w:val="right"/>
            </w:pPr>
            <w:r>
              <w:rPr>
                <w:rFonts w:ascii="Arial" w:hAnsi="Arial"/>
                <w:sz w:val="18"/>
              </w:rPr>
              <w:t>1.956</w:t>
            </w:r>
          </w:p>
        </w:tc>
        <w:tc>
          <w:tcPr>
            <w:tcW w:type="dxa" w:w="1129"/>
            <w:shd w:fill="F2F6FC" w:val="clear"/>
          </w:tcPr>
          <w:p>
            <w:pPr>
              <w:jc w:val="right"/>
            </w:pPr>
            <w:r>
              <w:rPr>
                <w:rFonts w:ascii="Arial" w:hAnsi="Arial"/>
                <w:sz w:val="18"/>
              </w:rPr>
              <w:t>-1.79</w:t>
            </w:r>
          </w:p>
        </w:tc>
        <w:tc>
          <w:tcPr>
            <w:tcW w:type="dxa" w:w="1129"/>
            <w:shd w:fill="F2F6FC" w:val="clear"/>
          </w:tcPr>
          <w:p>
            <w:r>
              <w:rPr>
                <w:rFonts w:ascii="Arial" w:hAnsi="Arial"/>
                <w:sz w:val="18"/>
              </w:rPr>
              <w:t>-</w:t>
            </w:r>
          </w:p>
        </w:tc>
        <w:tc>
          <w:tcPr>
            <w:tcW w:type="dxa" w:w="1129"/>
            <w:shd w:fill="F2F6FC" w:val="clear"/>
          </w:tcPr>
          <w:p>
            <w:r>
              <w:rPr>
                <w:rFonts w:ascii="Arial" w:hAnsi="Arial"/>
                <w:sz w:val="18"/>
              </w:rPr>
              <w:t>Membaik (Improved)</w:t>
            </w:r>
          </w:p>
        </w:tc>
      </w:tr>
    </w:tbl>
    <w:p>
      <w:r>
        <w:rPr>
          <w:rFonts w:ascii="Arial" w:hAnsi="Arial"/>
          <w:i/>
          <w:sz w:val="16"/>
        </w:rPr>
        <w:t>Source: Sumber: Sistem Manajemen Data ESG Internal, Laporan Keuangan Audited 2024, Data SDM per 31 Desember 2024. Emisi dihitung menggunakan GHG Protocol Corporate Standard dan PCAF Standard (2022) untuk emisi pembiayaan. Grid factor PLN 2023: 0.7886 kg CO2/kWh.</w:t>
      </w:r>
    </w:p>
    <w:p/>
    <w:p>
      <w:r>
        <w:rPr>
          <w:i/>
          <w:color w:val="3D6094"/>
          <w:sz w:val="18"/>
        </w:rPr>
        <w:t>Framework references: POJK No. 51/POJK.03/2017 Article 8-12 (Strategi Keuangan Berkelanjutan); SE OJK Circular on Sustainability Reporting (Environmental Metrics); GHG Protocol Corporate Accounting and Reporting Standard (Intensity Metrics); PCAF Global GHG Accounting and Reporting Standard for the Financial Industry (2022)</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Revenue-based intensity includes Scope 3 Category 15 gross financed emissions to provide comprehensive view of the institution's climate impact across lending portfolio. FTE-based intensity excludes Scope 3 to focus on direct operational control emissions.</w:t>
      </w:r>
    </w:p>
    <w:p>
      <w:pPr>
        <w:spacing w:after="160" w:line="276" w:lineRule="auto"/>
        <w:jc w:val="both"/>
      </w:pPr>
      <w:r>
        <w:rPr>
          <w:rFonts w:ascii="Arial" w:hAnsi="Arial"/>
          <w:i/>
          <w:color w:val="646464"/>
          <w:sz w:val="18"/>
        </w:rPr>
        <w:t>Prior year figures have been restated for comparability following methodology refinements in PCAF data quality scoring implemented in 2024.</w:t>
      </w:r>
    </w:p>
    <w:p>
      <w:pPr>
        <w:spacing w:after="160" w:line="276" w:lineRule="auto"/>
        <w:jc w:val="both"/>
      </w:pPr>
      <w:r>
        <w:rPr>
          <w:rFonts w:ascii="Arial" w:hAnsi="Arial"/>
          <w:i/>
          <w:color w:val="646464"/>
          <w:sz w:val="18"/>
        </w:rPr>
        <w:t>KBMI Classification: KBMI 3 (Core Capital IDR 70-100 trillion) — determines mandatory reporting scope under POJK 51/2017 effective January 2027.</w:t>
      </w:r>
    </w:p>
    <w:p>
      <w:r>
        <w:br w:type="page"/>
      </w:r>
    </w:p>
    <w:p>
      <w:pPr>
        <w:pStyle w:val="Heading1"/>
        <w:keepNext/>
        <w:spacing w:before="480" w:after="240"/>
      </w:pPr>
      <w:r>
        <w:rPr>
          <w:rFonts w:ascii="Arial" w:hAnsi="Arial"/>
          <w:b/>
          <w:color w:val="1B3A6B"/>
          <w:sz w:val="36"/>
        </w:rPr>
        <w:t>Executive Summary: Total GHG Emissions</w:t>
      </w:r>
    </w:p>
    <w:p>
      <w:pPr>
        <w:spacing w:after="160" w:line="276" w:lineRule="auto"/>
        <w:jc w:val="both"/>
      </w:pPr>
      <w:r>
        <w:rPr>
          <w:rFonts w:ascii="Arial" w:hAnsi="Arial"/>
          <w:sz w:val="22"/>
        </w:rPr>
        <w:t>For the reporting period ending December 31, 2024, the institution's total greenhouse gas footprint was 22,025,014.17 tCO2e. This figure comprises direct operational emissions (Scope 1), indirect emissions from purchased energy (Scope 2 market-based), and financed emissions from the lending portfolio (Scope 3 Category 15). The institution applied the market-based method for Scope 2 reporting in accordance with the GHG Protocol Corporate Accounting and Reporting Standard.</w:t>
      </w:r>
    </w:p>
    <w:p>
      <w:pPr>
        <w:spacing w:after="160" w:line="276" w:lineRule="auto"/>
        <w:jc w:val="both"/>
      </w:pPr>
      <w:r>
        <w:rPr>
          <w:rFonts w:ascii="Arial" w:hAnsi="Arial"/>
          <w:sz w:val="22"/>
        </w:rPr>
        <w:t>Scope 3 Category 15 financed emissions constituted 99.78% of the total footprint at 21,976,797.30 tCO2e, reflecting the institution's primary climate impact through its lending and investment activities. Scope 2 market-based emissions accounted for 0.20% of the total at 44,612.52 tCO2e, while Scope 1 direct emissions represented 0.02% at 3,402.997 tCO2e. The institution's Scope 2 location-based emissions for the same period were 44,613.876 tCO2e, reported as supplementary information. Scope 1 emissions comprised 1,199.7924 tCO2e from natural gas combustion and 2,203.2044 tCO2e from diesel fuel consumption across operational facilities.</w:t>
      </w:r>
    </w:p>
    <w:p>
      <w:pPr>
        <w:spacing w:after="160" w:line="276" w:lineRule="auto"/>
        <w:jc w:val="both"/>
      </w:pPr>
      <w:r>
        <w:rPr>
          <w:rFonts w:ascii="Arial" w:hAnsi="Arial"/>
          <w:sz w:val="22"/>
        </w:rPr>
        <w:t>The institution's emission intensity metrics for 2024 were 239.400139 tCO2e per IDR billion of total assets and 1.9209 tCO2e per full-time equivalent employee. Compared to the prior reporting period (2023), total emissions decreased by 4.07%, driven primarily by a reduction in financed emissions intensity across the lending portfolio. The weighted financed emissions for Scope 3 Category 15, which applies attribution factors based on the institution's proportional share of borrower financing, were 15,280,174.14 tCO2e for the reporting period.</w:t>
      </w:r>
    </w:p>
    <w:p>
      <w:pPr>
        <w:spacing w:after="160" w:line="276" w:lineRule="auto"/>
        <w:jc w:val="both"/>
      </w:pPr>
      <w:r>
        <w:rPr>
          <w:rFonts w:ascii="Arial" w:hAnsi="Arial"/>
          <w:sz w:val="22"/>
        </w:rPr>
        <w:t>The institution's financed emissions inventory was calculated using the Partnership for Carbon Accounting Financials (PCAF) methodology. The average PCAF data quality score for the lending portfolio was 3.36 on a scale of 1 (highest quality, primary data) to 5 (lowest quality, estimated data). This score indicates that the majority of financed emissions calculations relied on sector-average emission factors rather than borrower-specific reported data. The institution has identified data quality enhancement as a strategic priority for future reporting periods.</w:t>
      </w:r>
    </w:p>
    <w:p>
      <w:r>
        <w:rPr>
          <w:rFonts w:ascii="Arial" w:hAnsi="Arial"/>
          <w:b/>
          <w:sz w:val="20"/>
        </w:rPr>
        <w:t>Table 1: Total GHG Emissions by Scope (2024)</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Scope</w:t>
            </w:r>
          </w:p>
        </w:tc>
        <w:tc>
          <w:tcPr>
            <w:tcW w:type="dxa" w:w="3010"/>
            <w:shd w:fill="1B3A6B" w:val="clear"/>
          </w:tcPr>
          <w:p>
            <w:r>
              <w:rPr>
                <w:rFonts w:ascii="Arial" w:hAnsi="Arial"/>
                <w:b/>
                <w:color w:val="FFFFFF"/>
                <w:sz w:val="18"/>
              </w:rPr>
              <w:t>Emissions (tCO2e)</w:t>
            </w:r>
          </w:p>
        </w:tc>
        <w:tc>
          <w:tcPr>
            <w:tcW w:type="dxa" w:w="3010"/>
            <w:shd w:fill="1B3A6B" w:val="clear"/>
          </w:tcPr>
          <w:p>
            <w:r>
              <w:rPr>
                <w:rFonts w:ascii="Arial" w:hAnsi="Arial"/>
                <w:b/>
                <w:color w:val="FFFFFF"/>
                <w:sz w:val="18"/>
              </w:rPr>
              <w:t>Percentage of Total (%)</w:t>
            </w:r>
          </w:p>
        </w:tc>
      </w:tr>
      <w:tr>
        <w:tc>
          <w:tcPr>
            <w:tcW w:type="dxa" w:w="3010"/>
          </w:tcPr>
          <w:p>
            <w:r>
              <w:rPr>
                <w:rFonts w:ascii="Arial" w:hAnsi="Arial"/>
                <w:sz w:val="18"/>
              </w:rPr>
              <w:t>Scope 1 (Direct)</w:t>
            </w:r>
          </w:p>
        </w:tc>
        <w:tc>
          <w:tcPr>
            <w:tcW w:type="dxa" w:w="3010"/>
          </w:tcPr>
          <w:p>
            <w:pPr>
              <w:jc w:val="right"/>
            </w:pPr>
            <w:r>
              <w:rPr>
                <w:rFonts w:ascii="Arial" w:hAnsi="Arial"/>
                <w:sz w:val="18"/>
              </w:rPr>
              <w:t>3,402.997</w:t>
            </w:r>
          </w:p>
        </w:tc>
        <w:tc>
          <w:tcPr>
            <w:tcW w:type="dxa" w:w="3010"/>
          </w:tcPr>
          <w:p>
            <w:pPr>
              <w:jc w:val="right"/>
            </w:pPr>
            <w:r>
              <w:rPr>
                <w:rFonts w:ascii="Arial" w:hAnsi="Arial"/>
                <w:sz w:val="18"/>
              </w:rPr>
              <w:t>0.02</w:t>
            </w:r>
          </w:p>
        </w:tc>
      </w:tr>
      <w:tr>
        <w:tc>
          <w:tcPr>
            <w:tcW w:type="dxa" w:w="3010"/>
            <w:shd w:fill="F2F6FC" w:val="clear"/>
          </w:tcPr>
          <w:p>
            <w:r>
              <w:rPr>
                <w:rFonts w:ascii="Arial" w:hAnsi="Arial"/>
                <w:sz w:val="18"/>
              </w:rPr>
              <w:t>Scope 2 (Market-based)</w:t>
            </w:r>
          </w:p>
        </w:tc>
        <w:tc>
          <w:tcPr>
            <w:tcW w:type="dxa" w:w="3010"/>
            <w:shd w:fill="F2F6FC" w:val="clear"/>
          </w:tcPr>
          <w:p>
            <w:pPr>
              <w:jc w:val="right"/>
            </w:pPr>
            <w:r>
              <w:rPr>
                <w:rFonts w:ascii="Arial" w:hAnsi="Arial"/>
                <w:sz w:val="18"/>
              </w:rPr>
              <w:t>44,612.52</w:t>
            </w:r>
          </w:p>
        </w:tc>
        <w:tc>
          <w:tcPr>
            <w:tcW w:type="dxa" w:w="3010"/>
            <w:shd w:fill="F2F6FC" w:val="clear"/>
          </w:tcPr>
          <w:p>
            <w:pPr>
              <w:jc w:val="right"/>
            </w:pPr>
            <w:r>
              <w:rPr>
                <w:rFonts w:ascii="Arial" w:hAnsi="Arial"/>
                <w:sz w:val="18"/>
              </w:rPr>
              <w:t>0.20</w:t>
            </w:r>
          </w:p>
        </w:tc>
      </w:tr>
      <w:tr>
        <w:tc>
          <w:tcPr>
            <w:tcW w:type="dxa" w:w="3010"/>
          </w:tcPr>
          <w:p>
            <w:r>
              <w:rPr>
                <w:rFonts w:ascii="Arial" w:hAnsi="Arial"/>
                <w:sz w:val="18"/>
              </w:rPr>
              <w:t>Scope 2 (Location-based)*</w:t>
            </w:r>
          </w:p>
        </w:tc>
        <w:tc>
          <w:tcPr>
            <w:tcW w:type="dxa" w:w="3010"/>
          </w:tcPr>
          <w:p>
            <w:pPr>
              <w:jc w:val="right"/>
            </w:pPr>
            <w:r>
              <w:rPr>
                <w:rFonts w:ascii="Arial" w:hAnsi="Arial"/>
                <w:sz w:val="18"/>
              </w:rPr>
              <w:t>44,613.876</w:t>
            </w:r>
          </w:p>
        </w:tc>
        <w:tc>
          <w:tcPr>
            <w:tcW w:type="dxa" w:w="3010"/>
          </w:tcPr>
          <w:p>
            <w:pPr>
              <w:jc w:val="right"/>
            </w:pPr>
            <w:r>
              <w:rPr>
                <w:rFonts w:ascii="Arial" w:hAnsi="Arial"/>
                <w:sz w:val="18"/>
              </w:rPr>
              <w:t>0.20</w:t>
            </w:r>
          </w:p>
        </w:tc>
      </w:tr>
      <w:tr>
        <w:tc>
          <w:tcPr>
            <w:tcW w:type="dxa" w:w="3010"/>
            <w:shd w:fill="F2F6FC" w:val="clear"/>
          </w:tcPr>
          <w:p>
            <w:r>
              <w:rPr>
                <w:rFonts w:ascii="Arial" w:hAnsi="Arial"/>
                <w:sz w:val="18"/>
              </w:rPr>
              <w:t>Scope 3 Category 15 (Gross)</w:t>
            </w:r>
          </w:p>
        </w:tc>
        <w:tc>
          <w:tcPr>
            <w:tcW w:type="dxa" w:w="3010"/>
            <w:shd w:fill="F2F6FC" w:val="clear"/>
          </w:tcPr>
          <w:p>
            <w:pPr>
              <w:jc w:val="right"/>
            </w:pPr>
            <w:r>
              <w:rPr>
                <w:rFonts w:ascii="Arial" w:hAnsi="Arial"/>
                <w:sz w:val="18"/>
              </w:rPr>
              <w:t>21,976,797.30</w:t>
            </w:r>
          </w:p>
        </w:tc>
        <w:tc>
          <w:tcPr>
            <w:tcW w:type="dxa" w:w="3010"/>
            <w:shd w:fill="F2F6FC" w:val="clear"/>
          </w:tcPr>
          <w:p>
            <w:pPr>
              <w:jc w:val="right"/>
            </w:pPr>
            <w:r>
              <w:rPr>
                <w:rFonts w:ascii="Arial" w:hAnsi="Arial"/>
                <w:sz w:val="18"/>
              </w:rPr>
              <w:t>99.78</w:t>
            </w:r>
          </w:p>
        </w:tc>
      </w:tr>
      <w:tr>
        <w:tc>
          <w:tcPr>
            <w:tcW w:type="dxa" w:w="3010"/>
          </w:tcPr>
          <w:p>
            <w:r>
              <w:rPr>
                <w:rFonts w:ascii="Arial" w:hAnsi="Arial"/>
                <w:sz w:val="18"/>
              </w:rPr>
              <w:t>Scope 3 Category 15 (Weighted)**</w:t>
            </w:r>
          </w:p>
        </w:tc>
        <w:tc>
          <w:tcPr>
            <w:tcW w:type="dxa" w:w="3010"/>
          </w:tcPr>
          <w:p>
            <w:pPr>
              <w:jc w:val="right"/>
            </w:pPr>
            <w:r>
              <w:rPr>
                <w:rFonts w:ascii="Arial" w:hAnsi="Arial"/>
                <w:sz w:val="18"/>
              </w:rPr>
              <w:t>15,280,174.14</w:t>
            </w:r>
          </w:p>
        </w:tc>
        <w:tc>
          <w:tcPr>
            <w:tcW w:type="dxa" w:w="3010"/>
          </w:tcPr>
          <w:p>
            <w:r>
              <w:rPr>
                <w:rFonts w:ascii="Arial" w:hAnsi="Arial"/>
                <w:sz w:val="18"/>
              </w:rPr>
              <w:t>—</w:t>
            </w:r>
          </w:p>
        </w:tc>
      </w:tr>
      <w:tr>
        <w:tc>
          <w:tcPr>
            <w:tcW w:type="dxa" w:w="3010"/>
            <w:shd w:fill="F2F6FC" w:val="clear"/>
          </w:tcPr>
          <w:p>
            <w:r>
              <w:rPr>
                <w:rFonts w:ascii="Arial" w:hAnsi="Arial"/>
                <w:sz w:val="18"/>
              </w:rPr>
              <w:t>Total (Market-based)</w:t>
            </w:r>
          </w:p>
        </w:tc>
        <w:tc>
          <w:tcPr>
            <w:tcW w:type="dxa" w:w="3010"/>
            <w:shd w:fill="F2F6FC" w:val="clear"/>
          </w:tcPr>
          <w:p>
            <w:pPr>
              <w:jc w:val="right"/>
            </w:pPr>
            <w:r>
              <w:rPr>
                <w:rFonts w:ascii="Arial" w:hAnsi="Arial"/>
                <w:sz w:val="18"/>
              </w:rPr>
              <w:t>22,025,014.17</w:t>
            </w:r>
          </w:p>
        </w:tc>
        <w:tc>
          <w:tcPr>
            <w:tcW w:type="dxa" w:w="3010"/>
            <w:shd w:fill="F2F6FC" w:val="clear"/>
          </w:tcPr>
          <w:p>
            <w:pPr>
              <w:jc w:val="right"/>
            </w:pPr>
            <w:r>
              <w:rPr>
                <w:rFonts w:ascii="Arial" w:hAnsi="Arial"/>
                <w:sz w:val="18"/>
              </w:rPr>
              <w:t>100.00</w:t>
            </w:r>
          </w:p>
        </w:tc>
      </w:tr>
    </w:tbl>
    <w:p>
      <w:r>
        <w:rPr>
          <w:rFonts w:ascii="Arial" w:hAnsi="Arial"/>
          <w:i/>
          <w:sz w:val="16"/>
        </w:rPr>
        <w:t>Source: *Location-based Scope 2 reported as supplementary information per GHG Protocol. **Weighted financed emissions apply PCAF attribution methodology and are not included in total.</w:t>
      </w:r>
    </w:p>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Scope 1 emissions include 1,199.7924 tCO2e from natural gas combustion and 2,203.2044 tCO2e from diesel fuel consumption.</w:t>
      </w:r>
    </w:p>
    <w:p>
      <w:pPr>
        <w:spacing w:after="160" w:line="276" w:lineRule="auto"/>
        <w:jc w:val="both"/>
      </w:pPr>
      <w:r>
        <w:rPr>
          <w:rFonts w:ascii="Arial" w:hAnsi="Arial"/>
          <w:i/>
          <w:color w:val="646464"/>
          <w:sz w:val="18"/>
        </w:rPr>
        <w:t>Market-based Scope 2 emissions reflect contractual instruments and supplier-specific emission factors where available. Location-based Scope 2 emissions use grid-average emission factors for the institution's operational jurisdictions.</w:t>
      </w:r>
    </w:p>
    <w:p>
      <w:pPr>
        <w:spacing w:after="160" w:line="276" w:lineRule="auto"/>
        <w:jc w:val="both"/>
      </w:pPr>
      <w:r>
        <w:rPr>
          <w:rFonts w:ascii="Arial" w:hAnsi="Arial"/>
          <w:i/>
          <w:color w:val="646464"/>
          <w:sz w:val="18"/>
        </w:rPr>
        <w:t>Financed emissions (Scope 3 Category 15) are calculated using the PCAF Standard for Financed Emissions. Gross financed emissions represent the institution's proportional share of borrower emissions based on outstanding loan amounts. Weighted financed emissions apply additional attribution factors per PCAF methodology.</w:t>
      </w:r>
    </w:p>
    <w:p>
      <w:pPr>
        <w:spacing w:after="160" w:line="276" w:lineRule="auto"/>
        <w:jc w:val="both"/>
      </w:pPr>
      <w:r>
        <w:rPr>
          <w:rFonts w:ascii="Arial" w:hAnsi="Arial"/>
          <w:i/>
          <w:color w:val="646464"/>
          <w:sz w:val="18"/>
        </w:rPr>
        <w:t>The PCAF data quality score of 3.36 indicates reliance on sector-average emission factors for the majority of the lending portfolio. A score of 1 represents primary borrower-reported data; a score of 5 represents highly uncertain estimates.</w:t>
      </w:r>
    </w:p>
    <w:p>
      <w:r>
        <w:br w:type="page"/>
      </w:r>
    </w:p>
    <w:p>
      <w:pPr>
        <w:pStyle w:val="Heading1"/>
        <w:keepNext/>
        <w:spacing w:before="480" w:after="240"/>
      </w:pPr>
      <w:r>
        <w:rPr>
          <w:rFonts w:ascii="Arial" w:hAnsi="Arial"/>
          <w:b/>
          <w:color w:val="1B3A6B"/>
          <w:sz w:val="36"/>
        </w:rPr>
        <w:t>Appendix A: Methodology Notes</w:t>
      </w:r>
    </w:p>
    <w:p>
      <w:pPr>
        <w:spacing w:after="160" w:line="276" w:lineRule="auto"/>
        <w:jc w:val="both"/>
      </w:pPr>
      <w:r>
        <w:rPr>
          <w:rFonts w:ascii="Arial" w:hAnsi="Arial"/>
          <w:sz w:val="22"/>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pPr>
        <w:pStyle w:val="Heading1"/>
        <w:keepNext/>
        <w:spacing w:before="480" w:after="240"/>
      </w:pPr>
      <w:r>
        <w:rPr>
          <w:rFonts w:ascii="Arial" w:hAnsi="Arial"/>
          <w:b/>
          <w:color w:val="1B3A6B"/>
          <w:sz w:val="36"/>
        </w:rPr>
        <w:t>Appendix B: Data Quality Summary</w:t>
      </w:r>
    </w:p>
    <w:p>
      <w:pPr>
        <w:spacing w:after="160" w:line="276" w:lineRule="auto"/>
        <w:jc w:val="both"/>
      </w:pPr>
      <w:r>
        <w:rPr>
          <w:rFonts w:ascii="Arial" w:hAnsi="Arial"/>
          <w:sz w:val="22"/>
        </w:rPr>
        <w:t>Data quality is assessed per the PCAF data quality scoring framework (1-5) and the GHG Protocol data quality indicators. Portfolio-weighted PCAF score and data completeness percentage are reported in the main body.</w:t>
      </w:r>
    </w:p>
    <w:p>
      <w:pPr>
        <w:pStyle w:val="Heading1"/>
        <w:keepNext/>
        <w:spacing w:before="480" w:after="240"/>
      </w:pPr>
      <w:r>
        <w:rPr>
          <w:rFonts w:ascii="Arial" w:hAnsi="Arial"/>
          <w:b/>
          <w:color w:val="1B3A6B"/>
          <w:sz w:val="36"/>
        </w:rPr>
        <w:t>Appendix C: GRI Content Index</w:t>
      </w:r>
    </w:p>
    <w:p>
      <w:r>
        <w:rPr>
          <w:rFonts w:ascii="Arial" w:hAnsi="Arial"/>
          <w:b/>
          <w:sz w:val="20"/>
        </w:rPr>
        <w:t>GRI Standards Content Index</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 Standard</w:t>
            </w:r>
          </w:p>
        </w:tc>
        <w:tc>
          <w:tcPr>
            <w:tcW w:type="dxa" w:w="2257"/>
            <w:shd w:fill="1B3A6B" w:val="clear"/>
          </w:tcPr>
          <w:p>
            <w:r>
              <w:rPr>
                <w:rFonts w:ascii="Arial" w:hAnsi="Arial"/>
                <w:b/>
                <w:color w:val="FFFFFF"/>
                <w:sz w:val="18"/>
              </w:rPr>
              <w:t>Disclosure</w:t>
            </w:r>
          </w:p>
        </w:tc>
        <w:tc>
          <w:tcPr>
            <w:tcW w:type="dxa" w:w="2257"/>
            <w:shd w:fill="1B3A6B" w:val="clear"/>
          </w:tcPr>
          <w:p>
            <w:r>
              <w:rPr>
                <w:rFonts w:ascii="Arial" w:hAnsi="Arial"/>
                <w:b/>
                <w:color w:val="FFFFFF"/>
                <w:sz w:val="18"/>
              </w:rPr>
              <w:t>Section Reference</w:t>
            </w:r>
          </w:p>
        </w:tc>
        <w:tc>
          <w:tcPr>
            <w:tcW w:type="dxa" w:w="2257"/>
            <w:shd w:fill="1B3A6B" w:val="clear"/>
          </w:tcPr>
          <w:p>
            <w:r>
              <w:rPr>
                <w:rFonts w:ascii="Arial" w:hAnsi="Arial"/>
                <w:b/>
                <w:color w:val="FFFFFF"/>
                <w:sz w:val="18"/>
              </w:rPr>
              <w:t>Omission</w:t>
            </w:r>
          </w:p>
        </w:tc>
      </w:tr>
      <w:tr>
        <w:tc>
          <w:tcPr>
            <w:tcW w:type="dxa" w:w="2257"/>
          </w:tcPr>
          <w:p>
            <w:r>
              <w:rPr>
                <w:rFonts w:ascii="Arial" w:hAnsi="Arial"/>
                <w:sz w:val="18"/>
              </w:rPr>
              <w:t>GRI 305-1</w:t>
            </w:r>
          </w:p>
        </w:tc>
        <w:tc>
          <w:tcPr>
            <w:tcW w:type="dxa" w:w="2257"/>
          </w:tcPr>
          <w:p>
            <w:r>
              <w:rPr>
                <w:rFonts w:ascii="Arial" w:hAnsi="Arial"/>
                <w:sz w:val="18"/>
              </w:rPr>
              <w:t>Direct (Scope 1) GHG emissions</w:t>
            </w:r>
          </w:p>
        </w:tc>
        <w:tc>
          <w:tcPr>
            <w:tcW w:type="dxa" w:w="2257"/>
          </w:tcPr>
          <w:p>
            <w:r>
              <w:rPr>
                <w:rFonts w:ascii="Arial" w:hAnsi="Arial"/>
                <w:sz w:val="18"/>
              </w:rPr>
              <w:t>Section: Scope 1</w:t>
            </w:r>
          </w:p>
        </w:tc>
        <w:tc>
          <w:tcPr>
            <w:tcW w:type="dxa" w:w="2257"/>
          </w:tcPr>
          <w:p>
            <w:r>
              <w:rPr>
                <w:rFonts w:ascii="Arial" w:hAnsi="Arial"/>
                <w:sz w:val="18"/>
              </w:rPr>
              <w:t>None</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Energy indirect (Scope 2) GHG emissions</w:t>
            </w:r>
          </w:p>
        </w:tc>
        <w:tc>
          <w:tcPr>
            <w:tcW w:type="dxa" w:w="2257"/>
            <w:shd w:fill="F2F6FC" w:val="clear"/>
          </w:tcPr>
          <w:p>
            <w:r>
              <w:rPr>
                <w:rFonts w:ascii="Arial" w:hAnsi="Arial"/>
                <w:sz w:val="18"/>
              </w:rPr>
              <w:t>Section: Scope 2</w:t>
            </w:r>
          </w:p>
        </w:tc>
        <w:tc>
          <w:tcPr>
            <w:tcW w:type="dxa" w:w="2257"/>
            <w:shd w:fill="F2F6FC" w:val="clear"/>
          </w:tcPr>
          <w:p>
            <w:r>
              <w:rPr>
                <w:rFonts w:ascii="Arial" w:hAnsi="Arial"/>
                <w:sz w:val="18"/>
              </w:rPr>
              <w:t>None</w:t>
            </w:r>
          </w:p>
        </w:tc>
      </w:tr>
      <w:tr>
        <w:tc>
          <w:tcPr>
            <w:tcW w:type="dxa" w:w="2257"/>
          </w:tcPr>
          <w:p>
            <w:r>
              <w:rPr>
                <w:rFonts w:ascii="Arial" w:hAnsi="Arial"/>
                <w:sz w:val="18"/>
              </w:rPr>
              <w:t>GRI 305-3</w:t>
            </w:r>
          </w:p>
        </w:tc>
        <w:tc>
          <w:tcPr>
            <w:tcW w:type="dxa" w:w="2257"/>
          </w:tcPr>
          <w:p>
            <w:r>
              <w:rPr>
                <w:rFonts w:ascii="Arial" w:hAnsi="Arial"/>
                <w:sz w:val="18"/>
              </w:rPr>
              <w:t>Other indirect (Scope 3) GHG emissions</w:t>
            </w:r>
          </w:p>
        </w:tc>
        <w:tc>
          <w:tcPr>
            <w:tcW w:type="dxa" w:w="2257"/>
          </w:tcPr>
          <w:p>
            <w:r>
              <w:rPr>
                <w:rFonts w:ascii="Arial" w:hAnsi="Arial"/>
                <w:sz w:val="18"/>
              </w:rPr>
              <w:t>Section: PCAF</w:t>
            </w:r>
          </w:p>
        </w:tc>
        <w:tc>
          <w:tcPr>
            <w:tcW w:type="dxa" w:w="2257"/>
          </w:tcPr>
          <w:p>
            <w:r>
              <w:rPr>
                <w:rFonts w:ascii="Arial" w:hAnsi="Arial"/>
                <w:sz w:val="18"/>
              </w:rPr>
              <w:t>None</w:t>
            </w:r>
          </w:p>
        </w:tc>
      </w:tr>
      <w:tr>
        <w:tc>
          <w:tcPr>
            <w:tcW w:type="dxa" w:w="2257"/>
            <w:shd w:fill="F2F6FC" w:val="clear"/>
          </w:tcPr>
          <w:p>
            <w:r>
              <w:rPr>
                <w:rFonts w:ascii="Arial" w:hAnsi="Arial"/>
                <w:sz w:val="18"/>
              </w:rPr>
              <w:t>GRI 305-4</w:t>
            </w:r>
          </w:p>
        </w:tc>
        <w:tc>
          <w:tcPr>
            <w:tcW w:type="dxa" w:w="2257"/>
            <w:shd w:fill="F2F6FC" w:val="clear"/>
          </w:tcPr>
          <w:p>
            <w:r>
              <w:rPr>
                <w:rFonts w:ascii="Arial" w:hAnsi="Arial"/>
                <w:sz w:val="18"/>
              </w:rPr>
              <w:t>GHG emissions intensity</w:t>
            </w:r>
          </w:p>
        </w:tc>
        <w:tc>
          <w:tcPr>
            <w:tcW w:type="dxa" w:w="2257"/>
            <w:shd w:fill="F2F6FC" w:val="clear"/>
          </w:tcPr>
          <w:p>
            <w:r>
              <w:rPr>
                <w:rFonts w:ascii="Arial" w:hAnsi="Arial"/>
                <w:sz w:val="18"/>
              </w:rPr>
              <w:t>Section: Intensity</w:t>
            </w:r>
          </w:p>
        </w:tc>
        <w:tc>
          <w:tcPr>
            <w:tcW w:type="dxa" w:w="2257"/>
            <w:shd w:fill="F2F6FC" w:val="clear"/>
          </w:tcPr>
          <w:p>
            <w:r>
              <w:rPr>
                <w:rFonts w:ascii="Arial" w:hAnsi="Arial"/>
                <w:sz w:val="18"/>
              </w:rPr>
              <w:t>None</w:t>
            </w:r>
          </w:p>
        </w:tc>
      </w:tr>
      <w:tr>
        <w:tc>
          <w:tcPr>
            <w:tcW w:type="dxa" w:w="2257"/>
          </w:tcPr>
          <w:p>
            <w:r>
              <w:rPr>
                <w:rFonts w:ascii="Arial" w:hAnsi="Arial"/>
                <w:sz w:val="18"/>
              </w:rPr>
              <w:t>GRI 305-5</w:t>
            </w:r>
          </w:p>
        </w:tc>
        <w:tc>
          <w:tcPr>
            <w:tcW w:type="dxa" w:w="2257"/>
          </w:tcPr>
          <w:p>
            <w:r>
              <w:rPr>
                <w:rFonts w:ascii="Arial" w:hAnsi="Arial"/>
                <w:sz w:val="18"/>
              </w:rPr>
              <w:t>Reduction of GHG emissions</w:t>
            </w:r>
          </w:p>
        </w:tc>
        <w:tc>
          <w:tcPr>
            <w:tcW w:type="dxa" w:w="2257"/>
          </w:tcPr>
          <w:p>
            <w:r>
              <w:rPr>
                <w:rFonts w:ascii="Arial" w:hAnsi="Arial"/>
                <w:sz w:val="18"/>
              </w:rPr>
              <w:t>Section: Reduction</w:t>
            </w:r>
          </w:p>
        </w:tc>
        <w:tc>
          <w:tcPr>
            <w:tcW w:type="dxa" w:w="2257"/>
          </w:tcPr>
          <w:p>
            <w:r>
              <w:rPr>
                <w:rFonts w:ascii="Arial" w:hAnsi="Arial"/>
                <w:sz w:val="18"/>
              </w:rPr>
              <w:t>Partial — targets in development</w:t>
            </w:r>
          </w:p>
        </w:tc>
      </w:tr>
    </w:tbl>
    <w:p>
      <w:r>
        <w:rPr>
          <w:rFonts w:ascii="Arial" w:hAnsi="Arial"/>
          <w:i/>
          <w:sz w:val="16"/>
        </w:rPr>
        <w:t>Source: GRI Standards 2021</w:t>
      </w:r>
    </w:p>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MULTI_FRAMEWORK 2024</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arn:aws:states:us-east-1:061039769766:execution:ESGReportGenerationStateMachine:22dc5d36-f252-4388-a0e5-0e6b4a6193a9</dc:description>
  <cp:lastModifiedBy/>
  <cp:revision>1</cp:revision>
  <dcterms:created xsi:type="dcterms:W3CDTF">2013-12-23T23:15:00Z</dcterms:created>
  <dcterms:modified xsi:type="dcterms:W3CDTF">2013-12-23T23:15:00Z</dcterms:modified>
  <cp:category>ESG Sustainability Report</cp:category>
</cp:coreProperties>
</file>