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0904" w14:textId="77777777" w:rsidR="00535AD5" w:rsidRDefault="00535AD5"/>
    <w:p w14:paraId="5E06C541" w14:textId="77777777" w:rsidR="00535AD5" w:rsidRDefault="000F4CA5">
      <w:pPr>
        <w:jc w:val="center"/>
      </w:pPr>
      <w:r>
        <w:rPr>
          <w:color w:val="999999"/>
          <w:sz w:val="24"/>
        </w:rPr>
        <w:t>[INSTITUTION LOGO]</w:t>
      </w:r>
    </w:p>
    <w:p w14:paraId="44CA308B" w14:textId="77777777" w:rsidR="00535AD5" w:rsidRDefault="00535AD5"/>
    <w:p w14:paraId="1BB52DD9" w14:textId="77777777" w:rsidR="00535AD5" w:rsidRDefault="00535AD5"/>
    <w:p w14:paraId="10ACA026" w14:textId="77777777" w:rsidR="00535AD5" w:rsidRDefault="000F4CA5">
      <w:pPr>
        <w:pStyle w:val="Heading1"/>
        <w:spacing w:after="240"/>
        <w:jc w:val="center"/>
      </w:pPr>
      <w:bookmarkStart w:id="0" w:name="_Toc231920335"/>
      <w:r>
        <w:rPr>
          <w:rFonts w:ascii="Arial" w:hAnsi="Arial"/>
          <w:color w:val="1B3A6B"/>
          <w:sz w:val="36"/>
        </w:rPr>
        <w:t>ESG Sustainability Report</w:t>
      </w:r>
      <w:bookmarkEnd w:id="0"/>
    </w:p>
    <w:p w14:paraId="49887BC4" w14:textId="77777777" w:rsidR="00535AD5" w:rsidRDefault="000F4CA5">
      <w:pPr>
        <w:pStyle w:val="Heading2"/>
        <w:spacing w:before="360" w:after="160"/>
        <w:jc w:val="center"/>
      </w:pPr>
      <w:bookmarkStart w:id="1" w:name="_Toc231920336"/>
      <w:r>
        <w:rPr>
          <w:rFonts w:ascii="Arial" w:hAnsi="Arial"/>
          <w:color w:val="3D6094"/>
          <w:sz w:val="28"/>
        </w:rPr>
        <w:t>Reporting Year 2024</w:t>
      </w:r>
      <w:bookmarkEnd w:id="1"/>
    </w:p>
    <w:p w14:paraId="1400DD41" w14:textId="77777777" w:rsidR="00535AD5" w:rsidRDefault="00535AD5"/>
    <w:p w14:paraId="0034D24C" w14:textId="77777777" w:rsidR="00535AD5" w:rsidRDefault="000F4CA5">
      <w:pPr>
        <w:jc w:val="center"/>
      </w:pPr>
      <w:r>
        <w:rPr>
          <w:rFonts w:ascii="Arial" w:hAnsi="Arial"/>
        </w:rPr>
        <w:t>Institution: GENERIC_FI_001</w:t>
      </w:r>
    </w:p>
    <w:p w14:paraId="05744C42" w14:textId="77777777" w:rsidR="00535AD5" w:rsidRDefault="000F4CA5">
      <w:pPr>
        <w:jc w:val="center"/>
      </w:pPr>
      <w:r>
        <w:rPr>
          <w:rFonts w:ascii="Arial" w:hAnsi="Arial"/>
        </w:rPr>
        <w:t>Framework: MULTI_FRAMEWORK</w:t>
      </w:r>
    </w:p>
    <w:p w14:paraId="599E3E9E" w14:textId="77777777" w:rsidR="00535AD5" w:rsidRDefault="000F4CA5">
      <w:pPr>
        <w:jc w:val="center"/>
      </w:pPr>
      <w:r>
        <w:rPr>
          <w:rFonts w:ascii="Arial" w:hAnsi="Arial"/>
        </w:rPr>
        <w:t>Generated: 2026-06-09 10:54 UTC</w:t>
      </w:r>
    </w:p>
    <w:p w14:paraId="26D515EB" w14:textId="77777777" w:rsidR="00535AD5" w:rsidRDefault="000F4CA5">
      <w:pPr>
        <w:jc w:val="center"/>
      </w:pPr>
      <w:r>
        <w:rPr>
          <w:rFonts w:ascii="Arial" w:hAnsi="Arial"/>
        </w:rPr>
        <w:t>Status: DRAFT — Subject to Review</w:t>
      </w:r>
    </w:p>
    <w:p w14:paraId="57B695E3" w14:textId="77777777" w:rsidR="00535AD5" w:rsidRDefault="000F4CA5">
      <w:pPr>
        <w:jc w:val="center"/>
      </w:pPr>
      <w:r>
        <w:rPr>
          <w:rFonts w:ascii="Arial" w:hAnsi="Arial"/>
        </w:rPr>
        <w:t>Assurance Level: None</w:t>
      </w:r>
    </w:p>
    <w:p w14:paraId="12A1042D" w14:textId="77777777" w:rsidR="00535AD5" w:rsidRDefault="00535AD5"/>
    <w:p w14:paraId="4629FC9A" w14:textId="77777777" w:rsidR="00535AD5" w:rsidRDefault="00535AD5"/>
    <w:p w14:paraId="53CC7A02" w14:textId="77777777" w:rsidR="00535AD5" w:rsidRDefault="000F4CA5">
      <w:pPr>
        <w:jc w:val="center"/>
      </w:pPr>
      <w:r>
        <w:rPr>
          <w:i/>
          <w:color w:val="993333"/>
          <w:sz w:val="18"/>
        </w:rPr>
        <w:t>CONFIDENTIAL — This document is for internal review purposes only. Do not distribute without authorization.</w:t>
      </w:r>
    </w:p>
    <w:p w14:paraId="6671854D" w14:textId="77777777" w:rsidR="00535AD5" w:rsidRDefault="000F4CA5">
      <w:r>
        <w:br w:type="page"/>
      </w:r>
    </w:p>
    <w:p w14:paraId="2C13CE5D" w14:textId="77777777" w:rsidR="00535AD5" w:rsidRDefault="000F4CA5">
      <w:pPr>
        <w:pStyle w:val="Heading1"/>
        <w:spacing w:after="240"/>
      </w:pPr>
      <w:bookmarkStart w:id="2" w:name="_Toc231920337"/>
      <w:r>
        <w:rPr>
          <w:rFonts w:ascii="Arial" w:hAnsi="Arial"/>
          <w:color w:val="1B3A6B"/>
          <w:sz w:val="36"/>
        </w:rPr>
        <w:lastRenderedPageBreak/>
        <w:t>Table of Contents</w:t>
      </w:r>
      <w:bookmarkEnd w:id="2"/>
    </w:p>
    <w:p w14:paraId="0EE09523" w14:textId="77777777" w:rsidR="00535AD5" w:rsidRDefault="000F4CA5">
      <w:r>
        <w:fldChar w:fldCharType="begin"/>
      </w:r>
      <w:r>
        <w:instrText xml:space="preserve"> TOC \o "1-3" \h \z \u </w:instrText>
      </w:r>
      <w:r>
        <w:fldChar w:fldCharType="end"/>
      </w:r>
    </w:p>
    <w:sdt>
      <w:sdtPr>
        <w:id w:val="105551094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092A038" w14:textId="1C23AB73" w:rsidR="00A047FA" w:rsidRDefault="00A047FA">
          <w:pPr>
            <w:pStyle w:val="TOCHeading"/>
          </w:pPr>
          <w:r>
            <w:t>Contents</w:t>
          </w:r>
        </w:p>
        <w:p w14:paraId="1AAB705F" w14:textId="4AE7D49C" w:rsidR="00A047FA" w:rsidRDefault="00A047FA">
          <w:pPr>
            <w:pStyle w:val="TOC1"/>
            <w:tabs>
              <w:tab w:val="right" w:leader="dot" w:pos="9019"/>
            </w:tabs>
            <w:rPr>
              <w:noProof/>
            </w:rPr>
          </w:pPr>
          <w:r>
            <w:fldChar w:fldCharType="begin"/>
          </w:r>
          <w:r>
            <w:instrText xml:space="preserve"> TOC \o "1-3" \h \z \u </w:instrText>
          </w:r>
          <w:r>
            <w:fldChar w:fldCharType="separate"/>
          </w:r>
          <w:hyperlink w:anchor="_Toc231920335" w:history="1">
            <w:r w:rsidRPr="007135BD">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_Toc231920335 \h </w:instrText>
            </w:r>
            <w:r>
              <w:rPr>
                <w:noProof/>
                <w:webHidden/>
              </w:rPr>
            </w:r>
            <w:r>
              <w:rPr>
                <w:noProof/>
                <w:webHidden/>
              </w:rPr>
              <w:fldChar w:fldCharType="separate"/>
            </w:r>
            <w:r>
              <w:rPr>
                <w:noProof/>
                <w:webHidden/>
              </w:rPr>
              <w:t>1</w:t>
            </w:r>
            <w:r>
              <w:rPr>
                <w:noProof/>
                <w:webHidden/>
              </w:rPr>
              <w:fldChar w:fldCharType="end"/>
            </w:r>
          </w:hyperlink>
        </w:p>
        <w:p w14:paraId="3E02AAED" w14:textId="7EADB3E2" w:rsidR="00A047FA" w:rsidRDefault="00A047FA">
          <w:pPr>
            <w:pStyle w:val="TOC2"/>
            <w:tabs>
              <w:tab w:val="right" w:leader="dot" w:pos="9019"/>
            </w:tabs>
            <w:rPr>
              <w:noProof/>
            </w:rPr>
          </w:pPr>
          <w:hyperlink w:anchor="_Toc231920336" w:history="1">
            <w:r w:rsidRPr="007135BD">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_Toc231920336 \h </w:instrText>
            </w:r>
            <w:r>
              <w:rPr>
                <w:noProof/>
                <w:webHidden/>
              </w:rPr>
            </w:r>
            <w:r>
              <w:rPr>
                <w:noProof/>
                <w:webHidden/>
              </w:rPr>
              <w:fldChar w:fldCharType="separate"/>
            </w:r>
            <w:r>
              <w:rPr>
                <w:noProof/>
                <w:webHidden/>
              </w:rPr>
              <w:t>1</w:t>
            </w:r>
            <w:r>
              <w:rPr>
                <w:noProof/>
                <w:webHidden/>
              </w:rPr>
              <w:fldChar w:fldCharType="end"/>
            </w:r>
          </w:hyperlink>
        </w:p>
        <w:p w14:paraId="07642BB4" w14:textId="304856E9" w:rsidR="00A047FA" w:rsidRDefault="00A047FA">
          <w:pPr>
            <w:pStyle w:val="TOC1"/>
            <w:tabs>
              <w:tab w:val="right" w:leader="dot" w:pos="9019"/>
            </w:tabs>
            <w:rPr>
              <w:noProof/>
            </w:rPr>
          </w:pPr>
          <w:hyperlink w:anchor="_Toc231920337" w:history="1">
            <w:r w:rsidRPr="007135BD">
              <w:rPr>
                <w:rStyle w:val="Hyperlink"/>
                <w:rFonts w:ascii="Arial" w:hAnsi="Arial"/>
                <w:noProof/>
              </w:rPr>
              <w:t>Table of Contents</w:t>
            </w:r>
            <w:r>
              <w:rPr>
                <w:noProof/>
                <w:webHidden/>
              </w:rPr>
              <w:tab/>
            </w:r>
            <w:r>
              <w:rPr>
                <w:noProof/>
                <w:webHidden/>
              </w:rPr>
              <w:fldChar w:fldCharType="begin"/>
            </w:r>
            <w:r>
              <w:rPr>
                <w:noProof/>
                <w:webHidden/>
              </w:rPr>
              <w:instrText xml:space="preserve"> PAGEREF _Toc231920337 \h </w:instrText>
            </w:r>
            <w:r>
              <w:rPr>
                <w:noProof/>
                <w:webHidden/>
              </w:rPr>
            </w:r>
            <w:r>
              <w:rPr>
                <w:noProof/>
                <w:webHidden/>
              </w:rPr>
              <w:fldChar w:fldCharType="separate"/>
            </w:r>
            <w:r>
              <w:rPr>
                <w:noProof/>
                <w:webHidden/>
              </w:rPr>
              <w:t>2</w:t>
            </w:r>
            <w:r>
              <w:rPr>
                <w:noProof/>
                <w:webHidden/>
              </w:rPr>
              <w:fldChar w:fldCharType="end"/>
            </w:r>
          </w:hyperlink>
        </w:p>
        <w:p w14:paraId="28ED578F" w14:textId="09CA6407" w:rsidR="00A047FA" w:rsidRDefault="00A047FA">
          <w:pPr>
            <w:pStyle w:val="TOC1"/>
            <w:tabs>
              <w:tab w:val="right" w:leader="dot" w:pos="9019"/>
            </w:tabs>
            <w:rPr>
              <w:noProof/>
            </w:rPr>
          </w:pPr>
          <w:hyperlink w:anchor="_Toc231920338" w:history="1">
            <w:r w:rsidRPr="007135BD">
              <w:rPr>
                <w:rStyle w:val="Hyperlink"/>
                <w:rFonts w:ascii="Arial" w:hAnsi="Arial"/>
                <w:noProof/>
              </w:rPr>
              <w:t>GRI 305-1: Direct (Scope 1) GHG Emissions</w:t>
            </w:r>
            <w:r>
              <w:rPr>
                <w:noProof/>
                <w:webHidden/>
              </w:rPr>
              <w:tab/>
            </w:r>
            <w:r>
              <w:rPr>
                <w:noProof/>
                <w:webHidden/>
              </w:rPr>
              <w:fldChar w:fldCharType="begin"/>
            </w:r>
            <w:r>
              <w:rPr>
                <w:noProof/>
                <w:webHidden/>
              </w:rPr>
              <w:instrText xml:space="preserve"> PAGEREF _Toc231920338 \h </w:instrText>
            </w:r>
            <w:r>
              <w:rPr>
                <w:noProof/>
                <w:webHidden/>
              </w:rPr>
            </w:r>
            <w:r>
              <w:rPr>
                <w:noProof/>
                <w:webHidden/>
              </w:rPr>
              <w:fldChar w:fldCharType="separate"/>
            </w:r>
            <w:r>
              <w:rPr>
                <w:noProof/>
                <w:webHidden/>
              </w:rPr>
              <w:t>3</w:t>
            </w:r>
            <w:r>
              <w:rPr>
                <w:noProof/>
                <w:webHidden/>
              </w:rPr>
              <w:fldChar w:fldCharType="end"/>
            </w:r>
          </w:hyperlink>
        </w:p>
        <w:p w14:paraId="3444C125" w14:textId="3317A0AB" w:rsidR="00A047FA" w:rsidRDefault="00A047FA">
          <w:pPr>
            <w:pStyle w:val="TOC1"/>
            <w:tabs>
              <w:tab w:val="right" w:leader="dot" w:pos="9019"/>
            </w:tabs>
            <w:rPr>
              <w:noProof/>
            </w:rPr>
          </w:pPr>
          <w:hyperlink w:anchor="_Toc231920339" w:history="1">
            <w:r w:rsidRPr="007135BD">
              <w:rPr>
                <w:rStyle w:val="Hyperlink"/>
                <w:rFonts w:ascii="Arial" w:hAnsi="Arial"/>
                <w:noProof/>
              </w:rPr>
              <w:t>IFRS S2 Cross-Industry Metric: Direct (Scope 1) GHG Emissions</w:t>
            </w:r>
            <w:r>
              <w:rPr>
                <w:noProof/>
                <w:webHidden/>
              </w:rPr>
              <w:tab/>
            </w:r>
            <w:r>
              <w:rPr>
                <w:noProof/>
                <w:webHidden/>
              </w:rPr>
              <w:fldChar w:fldCharType="begin"/>
            </w:r>
            <w:r>
              <w:rPr>
                <w:noProof/>
                <w:webHidden/>
              </w:rPr>
              <w:instrText xml:space="preserve"> PAGEREF _Toc231920339 \h </w:instrText>
            </w:r>
            <w:r>
              <w:rPr>
                <w:noProof/>
                <w:webHidden/>
              </w:rPr>
            </w:r>
            <w:r>
              <w:rPr>
                <w:noProof/>
                <w:webHidden/>
              </w:rPr>
              <w:fldChar w:fldCharType="separate"/>
            </w:r>
            <w:r>
              <w:rPr>
                <w:noProof/>
                <w:webHidden/>
              </w:rPr>
              <w:t>5</w:t>
            </w:r>
            <w:r>
              <w:rPr>
                <w:noProof/>
                <w:webHidden/>
              </w:rPr>
              <w:fldChar w:fldCharType="end"/>
            </w:r>
          </w:hyperlink>
        </w:p>
        <w:p w14:paraId="4CB28B1F" w14:textId="1B0AF859" w:rsidR="00A047FA" w:rsidRDefault="00A047FA">
          <w:pPr>
            <w:pStyle w:val="TOC1"/>
            <w:tabs>
              <w:tab w:val="right" w:leader="dot" w:pos="9019"/>
            </w:tabs>
            <w:rPr>
              <w:noProof/>
            </w:rPr>
          </w:pPr>
          <w:hyperlink w:anchor="_Toc231920340" w:history="1">
            <w:r w:rsidRPr="007135BD">
              <w:rPr>
                <w:rStyle w:val="Hyperlink"/>
                <w:rFonts w:ascii="Arial" w:hAnsi="Arial"/>
                <w:noProof/>
              </w:rPr>
              <w:t>ESRS E1-6: Direct (Scope 1) GHG Emissions</w:t>
            </w:r>
            <w:r>
              <w:rPr>
                <w:noProof/>
                <w:webHidden/>
              </w:rPr>
              <w:tab/>
            </w:r>
            <w:r>
              <w:rPr>
                <w:noProof/>
                <w:webHidden/>
              </w:rPr>
              <w:fldChar w:fldCharType="begin"/>
            </w:r>
            <w:r>
              <w:rPr>
                <w:noProof/>
                <w:webHidden/>
              </w:rPr>
              <w:instrText xml:space="preserve"> PAGEREF _Toc231920340 \h </w:instrText>
            </w:r>
            <w:r>
              <w:rPr>
                <w:noProof/>
                <w:webHidden/>
              </w:rPr>
            </w:r>
            <w:r>
              <w:rPr>
                <w:noProof/>
                <w:webHidden/>
              </w:rPr>
              <w:fldChar w:fldCharType="separate"/>
            </w:r>
            <w:r>
              <w:rPr>
                <w:noProof/>
                <w:webHidden/>
              </w:rPr>
              <w:t>7</w:t>
            </w:r>
            <w:r>
              <w:rPr>
                <w:noProof/>
                <w:webHidden/>
              </w:rPr>
              <w:fldChar w:fldCharType="end"/>
            </w:r>
          </w:hyperlink>
        </w:p>
        <w:p w14:paraId="78900691" w14:textId="2CD43D92" w:rsidR="00A047FA" w:rsidRDefault="00A047FA">
          <w:pPr>
            <w:pStyle w:val="TOC1"/>
            <w:tabs>
              <w:tab w:val="right" w:leader="dot" w:pos="9019"/>
            </w:tabs>
            <w:rPr>
              <w:noProof/>
            </w:rPr>
          </w:pPr>
          <w:hyperlink w:anchor="_Toc231920341" w:history="1">
            <w:r w:rsidRPr="007135BD">
              <w:rPr>
                <w:rStyle w:val="Hyperlink"/>
                <w:rFonts w:ascii="Arial" w:hAnsi="Arial"/>
                <w:noProof/>
              </w:rPr>
              <w:t>GRI 305-1: Direct (Scope 1) GHG Emissions</w:t>
            </w:r>
            <w:r>
              <w:rPr>
                <w:noProof/>
                <w:webHidden/>
              </w:rPr>
              <w:tab/>
            </w:r>
            <w:r>
              <w:rPr>
                <w:noProof/>
                <w:webHidden/>
              </w:rPr>
              <w:fldChar w:fldCharType="begin"/>
            </w:r>
            <w:r>
              <w:rPr>
                <w:noProof/>
                <w:webHidden/>
              </w:rPr>
              <w:instrText xml:space="preserve"> PAGEREF _Toc231920341 \h </w:instrText>
            </w:r>
            <w:r>
              <w:rPr>
                <w:noProof/>
                <w:webHidden/>
              </w:rPr>
            </w:r>
            <w:r>
              <w:rPr>
                <w:noProof/>
                <w:webHidden/>
              </w:rPr>
              <w:fldChar w:fldCharType="separate"/>
            </w:r>
            <w:r>
              <w:rPr>
                <w:noProof/>
                <w:webHidden/>
              </w:rPr>
              <w:t>9</w:t>
            </w:r>
            <w:r>
              <w:rPr>
                <w:noProof/>
                <w:webHidden/>
              </w:rPr>
              <w:fldChar w:fldCharType="end"/>
            </w:r>
          </w:hyperlink>
        </w:p>
        <w:p w14:paraId="4858CE81" w14:textId="05571D71" w:rsidR="00A047FA" w:rsidRDefault="00A047FA">
          <w:pPr>
            <w:pStyle w:val="TOC1"/>
            <w:tabs>
              <w:tab w:val="right" w:leader="dot" w:pos="9019"/>
            </w:tabs>
            <w:rPr>
              <w:noProof/>
            </w:rPr>
          </w:pPr>
          <w:hyperlink w:anchor="_Toc231920342" w:history="1">
            <w:r w:rsidRPr="007135BD">
              <w:rPr>
                <w:rStyle w:val="Hyperlink"/>
                <w:rFonts w:ascii="Arial" w:hAnsi="Arial"/>
                <w:noProof/>
              </w:rPr>
              <w:t>GRI 305-2: Energy Indirect (Scope 2) GHG Emissions</w:t>
            </w:r>
            <w:r>
              <w:rPr>
                <w:noProof/>
                <w:webHidden/>
              </w:rPr>
              <w:tab/>
            </w:r>
            <w:r>
              <w:rPr>
                <w:noProof/>
                <w:webHidden/>
              </w:rPr>
              <w:fldChar w:fldCharType="begin"/>
            </w:r>
            <w:r>
              <w:rPr>
                <w:noProof/>
                <w:webHidden/>
              </w:rPr>
              <w:instrText xml:space="preserve"> PAGEREF _Toc231920342 \h </w:instrText>
            </w:r>
            <w:r>
              <w:rPr>
                <w:noProof/>
                <w:webHidden/>
              </w:rPr>
            </w:r>
            <w:r>
              <w:rPr>
                <w:noProof/>
                <w:webHidden/>
              </w:rPr>
              <w:fldChar w:fldCharType="separate"/>
            </w:r>
            <w:r>
              <w:rPr>
                <w:noProof/>
                <w:webHidden/>
              </w:rPr>
              <w:t>11</w:t>
            </w:r>
            <w:r>
              <w:rPr>
                <w:noProof/>
                <w:webHidden/>
              </w:rPr>
              <w:fldChar w:fldCharType="end"/>
            </w:r>
          </w:hyperlink>
        </w:p>
        <w:p w14:paraId="11F6FF03" w14:textId="7CF9ABA8" w:rsidR="00A047FA" w:rsidRDefault="00A047FA">
          <w:pPr>
            <w:pStyle w:val="TOC1"/>
            <w:tabs>
              <w:tab w:val="right" w:leader="dot" w:pos="9019"/>
            </w:tabs>
            <w:rPr>
              <w:noProof/>
            </w:rPr>
          </w:pPr>
          <w:hyperlink w:anchor="_Toc231920343" w:history="1">
            <w:r w:rsidRPr="007135BD">
              <w:rPr>
                <w:rStyle w:val="Hyperlink"/>
                <w:rFonts w:ascii="Arial" w:hAnsi="Arial"/>
                <w:noProof/>
              </w:rPr>
              <w:t>Climate Governance &amp; ESG Oversight</w:t>
            </w:r>
            <w:r>
              <w:rPr>
                <w:noProof/>
                <w:webHidden/>
              </w:rPr>
              <w:tab/>
            </w:r>
            <w:r>
              <w:rPr>
                <w:noProof/>
                <w:webHidden/>
              </w:rPr>
              <w:fldChar w:fldCharType="begin"/>
            </w:r>
            <w:r>
              <w:rPr>
                <w:noProof/>
                <w:webHidden/>
              </w:rPr>
              <w:instrText xml:space="preserve"> PAGEREF _Toc231920343 \h </w:instrText>
            </w:r>
            <w:r>
              <w:rPr>
                <w:noProof/>
                <w:webHidden/>
              </w:rPr>
            </w:r>
            <w:r>
              <w:rPr>
                <w:noProof/>
                <w:webHidden/>
              </w:rPr>
              <w:fldChar w:fldCharType="separate"/>
            </w:r>
            <w:r>
              <w:rPr>
                <w:noProof/>
                <w:webHidden/>
              </w:rPr>
              <w:t>14</w:t>
            </w:r>
            <w:r>
              <w:rPr>
                <w:noProof/>
                <w:webHidden/>
              </w:rPr>
              <w:fldChar w:fldCharType="end"/>
            </w:r>
          </w:hyperlink>
        </w:p>
        <w:p w14:paraId="4BA1C8E4" w14:textId="282B0B1A" w:rsidR="00A047FA" w:rsidRDefault="00A047FA">
          <w:pPr>
            <w:pStyle w:val="TOC1"/>
            <w:tabs>
              <w:tab w:val="right" w:leader="dot" w:pos="9019"/>
            </w:tabs>
            <w:rPr>
              <w:noProof/>
            </w:rPr>
          </w:pPr>
          <w:hyperlink w:anchor="_Toc231920344" w:history="1">
            <w:r w:rsidRPr="007135BD">
              <w:rPr>
                <w:rStyle w:val="Hyperlink"/>
                <w:rFonts w:ascii="Arial" w:hAnsi="Arial"/>
                <w:noProof/>
              </w:rPr>
              <w:t>IFRS S2 Metrics &amp; Targets: Financed Emissions (Scope 3 Category 15)</w:t>
            </w:r>
            <w:r>
              <w:rPr>
                <w:noProof/>
                <w:webHidden/>
              </w:rPr>
              <w:tab/>
            </w:r>
            <w:r>
              <w:rPr>
                <w:noProof/>
                <w:webHidden/>
              </w:rPr>
              <w:fldChar w:fldCharType="begin"/>
            </w:r>
            <w:r>
              <w:rPr>
                <w:noProof/>
                <w:webHidden/>
              </w:rPr>
              <w:instrText xml:space="preserve"> PAGEREF _Toc231920344 \h </w:instrText>
            </w:r>
            <w:r>
              <w:rPr>
                <w:noProof/>
                <w:webHidden/>
              </w:rPr>
            </w:r>
            <w:r>
              <w:rPr>
                <w:noProof/>
                <w:webHidden/>
              </w:rPr>
              <w:fldChar w:fldCharType="separate"/>
            </w:r>
            <w:r>
              <w:rPr>
                <w:noProof/>
                <w:webHidden/>
              </w:rPr>
              <w:t>19</w:t>
            </w:r>
            <w:r>
              <w:rPr>
                <w:noProof/>
                <w:webHidden/>
              </w:rPr>
              <w:fldChar w:fldCharType="end"/>
            </w:r>
          </w:hyperlink>
        </w:p>
        <w:p w14:paraId="18A4B284" w14:textId="6EE2912F" w:rsidR="00A047FA" w:rsidRDefault="00A047FA">
          <w:pPr>
            <w:pStyle w:val="TOC1"/>
            <w:tabs>
              <w:tab w:val="right" w:leader="dot" w:pos="9019"/>
            </w:tabs>
            <w:rPr>
              <w:noProof/>
            </w:rPr>
          </w:pPr>
          <w:hyperlink w:anchor="_Toc231920345" w:history="1">
            <w:r w:rsidRPr="007135BD">
              <w:rPr>
                <w:rStyle w:val="Hyperlink"/>
                <w:rFonts w:ascii="Arial" w:hAnsi="Arial"/>
                <w:noProof/>
              </w:rPr>
              <w:t>Climate Targets &amp; Reduction Initiatives</w:t>
            </w:r>
            <w:r>
              <w:rPr>
                <w:noProof/>
                <w:webHidden/>
              </w:rPr>
              <w:tab/>
            </w:r>
            <w:r>
              <w:rPr>
                <w:noProof/>
                <w:webHidden/>
              </w:rPr>
              <w:fldChar w:fldCharType="begin"/>
            </w:r>
            <w:r>
              <w:rPr>
                <w:noProof/>
                <w:webHidden/>
              </w:rPr>
              <w:instrText xml:space="preserve"> PAGEREF _Toc231920345 \h </w:instrText>
            </w:r>
            <w:r>
              <w:rPr>
                <w:noProof/>
                <w:webHidden/>
              </w:rPr>
            </w:r>
            <w:r>
              <w:rPr>
                <w:noProof/>
                <w:webHidden/>
              </w:rPr>
              <w:fldChar w:fldCharType="separate"/>
            </w:r>
            <w:r>
              <w:rPr>
                <w:noProof/>
                <w:webHidden/>
              </w:rPr>
              <w:t>24</w:t>
            </w:r>
            <w:r>
              <w:rPr>
                <w:noProof/>
                <w:webHidden/>
              </w:rPr>
              <w:fldChar w:fldCharType="end"/>
            </w:r>
          </w:hyperlink>
        </w:p>
        <w:p w14:paraId="016123B6" w14:textId="6F2EAABF" w:rsidR="00A047FA" w:rsidRDefault="00A047FA">
          <w:pPr>
            <w:pStyle w:val="TOC1"/>
            <w:tabs>
              <w:tab w:val="right" w:leader="dot" w:pos="9019"/>
            </w:tabs>
            <w:rPr>
              <w:noProof/>
            </w:rPr>
          </w:pPr>
          <w:hyperlink w:anchor="_Toc231920346" w:history="1">
            <w:r w:rsidRPr="007135BD">
              <w:rPr>
                <w:rStyle w:val="Hyperlink"/>
                <w:rFonts w:ascii="Arial" w:hAnsi="Arial"/>
                <w:noProof/>
              </w:rPr>
              <w:t>GRI 305-3: Other Indirect (Scope 3) GHG Emissions — PCAF Financed Emissions</w:t>
            </w:r>
            <w:r>
              <w:rPr>
                <w:noProof/>
                <w:webHidden/>
              </w:rPr>
              <w:tab/>
            </w:r>
            <w:r>
              <w:rPr>
                <w:noProof/>
                <w:webHidden/>
              </w:rPr>
              <w:fldChar w:fldCharType="begin"/>
            </w:r>
            <w:r>
              <w:rPr>
                <w:noProof/>
                <w:webHidden/>
              </w:rPr>
              <w:instrText xml:space="preserve"> PAGEREF _Toc231920346 \h </w:instrText>
            </w:r>
            <w:r>
              <w:rPr>
                <w:noProof/>
                <w:webHidden/>
              </w:rPr>
            </w:r>
            <w:r>
              <w:rPr>
                <w:noProof/>
                <w:webHidden/>
              </w:rPr>
              <w:fldChar w:fldCharType="separate"/>
            </w:r>
            <w:r>
              <w:rPr>
                <w:noProof/>
                <w:webHidden/>
              </w:rPr>
              <w:t>30</w:t>
            </w:r>
            <w:r>
              <w:rPr>
                <w:noProof/>
                <w:webHidden/>
              </w:rPr>
              <w:fldChar w:fldCharType="end"/>
            </w:r>
          </w:hyperlink>
        </w:p>
        <w:p w14:paraId="06A3A19C" w14:textId="3A77E165" w:rsidR="00A047FA" w:rsidRDefault="00A047FA">
          <w:pPr>
            <w:pStyle w:val="TOC1"/>
            <w:tabs>
              <w:tab w:val="right" w:leader="dot" w:pos="9019"/>
            </w:tabs>
            <w:rPr>
              <w:noProof/>
            </w:rPr>
          </w:pPr>
          <w:hyperlink w:anchor="_Toc231920347" w:history="1">
            <w:r w:rsidRPr="007135BD">
              <w:rPr>
                <w:rStyle w:val="Hyperlink"/>
                <w:rFonts w:ascii="Arial" w:hAnsi="Arial"/>
                <w:noProof/>
              </w:rPr>
              <w:t>ESRS E1-6: Scope 3 Category 15 — Financed Emissions (PCAF Methodology)</w:t>
            </w:r>
            <w:r>
              <w:rPr>
                <w:noProof/>
                <w:webHidden/>
              </w:rPr>
              <w:tab/>
            </w:r>
            <w:r>
              <w:rPr>
                <w:noProof/>
                <w:webHidden/>
              </w:rPr>
              <w:fldChar w:fldCharType="begin"/>
            </w:r>
            <w:r>
              <w:rPr>
                <w:noProof/>
                <w:webHidden/>
              </w:rPr>
              <w:instrText xml:space="preserve"> PAGEREF _Toc231920347 \h </w:instrText>
            </w:r>
            <w:r>
              <w:rPr>
                <w:noProof/>
                <w:webHidden/>
              </w:rPr>
            </w:r>
            <w:r>
              <w:rPr>
                <w:noProof/>
                <w:webHidden/>
              </w:rPr>
              <w:fldChar w:fldCharType="separate"/>
            </w:r>
            <w:r>
              <w:rPr>
                <w:noProof/>
                <w:webHidden/>
              </w:rPr>
              <w:t>34</w:t>
            </w:r>
            <w:r>
              <w:rPr>
                <w:noProof/>
                <w:webHidden/>
              </w:rPr>
              <w:fldChar w:fldCharType="end"/>
            </w:r>
          </w:hyperlink>
        </w:p>
        <w:p w14:paraId="4E7BA2C2" w14:textId="6457E36C" w:rsidR="00A047FA" w:rsidRDefault="00A047FA">
          <w:pPr>
            <w:pStyle w:val="TOC1"/>
            <w:tabs>
              <w:tab w:val="right" w:leader="dot" w:pos="9019"/>
            </w:tabs>
            <w:rPr>
              <w:noProof/>
            </w:rPr>
          </w:pPr>
          <w:hyperlink w:anchor="_Toc231920348" w:history="1">
            <w:r w:rsidRPr="007135BD">
              <w:rPr>
                <w:rStyle w:val="Hyperlink"/>
                <w:rFonts w:ascii="Arial" w:hAnsi="Arial"/>
                <w:noProof/>
              </w:rPr>
              <w:t>Emisi GRK Tidak Langsung Lainnya (Lingkup 3) — Emisi Pembiayaan PCAF</w:t>
            </w:r>
            <w:r>
              <w:rPr>
                <w:noProof/>
                <w:webHidden/>
              </w:rPr>
              <w:tab/>
            </w:r>
            <w:r>
              <w:rPr>
                <w:noProof/>
                <w:webHidden/>
              </w:rPr>
              <w:fldChar w:fldCharType="begin"/>
            </w:r>
            <w:r>
              <w:rPr>
                <w:noProof/>
                <w:webHidden/>
              </w:rPr>
              <w:instrText xml:space="preserve"> PAGEREF _Toc231920348 \h </w:instrText>
            </w:r>
            <w:r>
              <w:rPr>
                <w:noProof/>
                <w:webHidden/>
              </w:rPr>
            </w:r>
            <w:r>
              <w:rPr>
                <w:noProof/>
                <w:webHidden/>
              </w:rPr>
              <w:fldChar w:fldCharType="separate"/>
            </w:r>
            <w:r>
              <w:rPr>
                <w:noProof/>
                <w:webHidden/>
              </w:rPr>
              <w:t>39</w:t>
            </w:r>
            <w:r>
              <w:rPr>
                <w:noProof/>
                <w:webHidden/>
              </w:rPr>
              <w:fldChar w:fldCharType="end"/>
            </w:r>
          </w:hyperlink>
        </w:p>
        <w:p w14:paraId="781FBD94" w14:textId="4D3C628E" w:rsidR="00A047FA" w:rsidRDefault="00A047FA">
          <w:pPr>
            <w:pStyle w:val="TOC1"/>
            <w:tabs>
              <w:tab w:val="right" w:leader="dot" w:pos="9019"/>
            </w:tabs>
            <w:rPr>
              <w:noProof/>
            </w:rPr>
          </w:pPr>
          <w:hyperlink w:anchor="_Toc231920349" w:history="1">
            <w:r w:rsidRPr="007135BD">
              <w:rPr>
                <w:rStyle w:val="Hyperlink"/>
                <w:rFonts w:ascii="Arial" w:hAnsi="Arial"/>
                <w:noProof/>
              </w:rPr>
              <w:t>GRI 305-4: GHG Emissions Intensity</w:t>
            </w:r>
            <w:r>
              <w:rPr>
                <w:noProof/>
                <w:webHidden/>
              </w:rPr>
              <w:tab/>
            </w:r>
            <w:r>
              <w:rPr>
                <w:noProof/>
                <w:webHidden/>
              </w:rPr>
              <w:fldChar w:fldCharType="begin"/>
            </w:r>
            <w:r>
              <w:rPr>
                <w:noProof/>
                <w:webHidden/>
              </w:rPr>
              <w:instrText xml:space="preserve"> PAGEREF _Toc231920349 \h </w:instrText>
            </w:r>
            <w:r>
              <w:rPr>
                <w:noProof/>
                <w:webHidden/>
              </w:rPr>
            </w:r>
            <w:r>
              <w:rPr>
                <w:noProof/>
                <w:webHidden/>
              </w:rPr>
              <w:fldChar w:fldCharType="separate"/>
            </w:r>
            <w:r>
              <w:rPr>
                <w:noProof/>
                <w:webHidden/>
              </w:rPr>
              <w:t>42</w:t>
            </w:r>
            <w:r>
              <w:rPr>
                <w:noProof/>
                <w:webHidden/>
              </w:rPr>
              <w:fldChar w:fldCharType="end"/>
            </w:r>
          </w:hyperlink>
        </w:p>
        <w:p w14:paraId="74B8D431" w14:textId="600F008B" w:rsidR="00A047FA" w:rsidRDefault="00A047FA">
          <w:pPr>
            <w:pStyle w:val="TOC1"/>
            <w:tabs>
              <w:tab w:val="right" w:leader="dot" w:pos="9019"/>
            </w:tabs>
            <w:rPr>
              <w:noProof/>
            </w:rPr>
          </w:pPr>
          <w:hyperlink w:anchor="_Toc231920350" w:history="1">
            <w:r w:rsidRPr="007135BD">
              <w:rPr>
                <w:rStyle w:val="Hyperlink"/>
                <w:rFonts w:ascii="Arial" w:hAnsi="Arial"/>
                <w:noProof/>
              </w:rPr>
              <w:t>GRI 305-4: Intensitas Emisi GRK (GHG Emissions Intensity)</w:t>
            </w:r>
            <w:r>
              <w:rPr>
                <w:noProof/>
                <w:webHidden/>
              </w:rPr>
              <w:tab/>
            </w:r>
            <w:r>
              <w:rPr>
                <w:noProof/>
                <w:webHidden/>
              </w:rPr>
              <w:fldChar w:fldCharType="begin"/>
            </w:r>
            <w:r>
              <w:rPr>
                <w:noProof/>
                <w:webHidden/>
              </w:rPr>
              <w:instrText xml:space="preserve"> PAGEREF _Toc231920350 \h </w:instrText>
            </w:r>
            <w:r>
              <w:rPr>
                <w:noProof/>
                <w:webHidden/>
              </w:rPr>
            </w:r>
            <w:r>
              <w:rPr>
                <w:noProof/>
                <w:webHidden/>
              </w:rPr>
              <w:fldChar w:fldCharType="separate"/>
            </w:r>
            <w:r>
              <w:rPr>
                <w:noProof/>
                <w:webHidden/>
              </w:rPr>
              <w:t>44</w:t>
            </w:r>
            <w:r>
              <w:rPr>
                <w:noProof/>
                <w:webHidden/>
              </w:rPr>
              <w:fldChar w:fldCharType="end"/>
            </w:r>
          </w:hyperlink>
        </w:p>
        <w:p w14:paraId="71B15EB3" w14:textId="749AAECA" w:rsidR="00A047FA" w:rsidRDefault="00A047FA">
          <w:pPr>
            <w:pStyle w:val="TOC1"/>
            <w:tabs>
              <w:tab w:val="right" w:leader="dot" w:pos="9019"/>
            </w:tabs>
            <w:rPr>
              <w:noProof/>
            </w:rPr>
          </w:pPr>
          <w:hyperlink w:anchor="_Toc231920351" w:history="1">
            <w:r w:rsidRPr="007135BD">
              <w:rPr>
                <w:rStyle w:val="Hyperlink"/>
                <w:rFonts w:ascii="Arial" w:hAnsi="Arial"/>
                <w:noProof/>
              </w:rPr>
              <w:t>Social: Workforce &amp; Human Capital Disclosures</w:t>
            </w:r>
            <w:r>
              <w:rPr>
                <w:noProof/>
                <w:webHidden/>
              </w:rPr>
              <w:tab/>
            </w:r>
            <w:r>
              <w:rPr>
                <w:noProof/>
                <w:webHidden/>
              </w:rPr>
              <w:fldChar w:fldCharType="begin"/>
            </w:r>
            <w:r>
              <w:rPr>
                <w:noProof/>
                <w:webHidden/>
              </w:rPr>
              <w:instrText xml:space="preserve"> PAGEREF _Toc231920351 \h </w:instrText>
            </w:r>
            <w:r>
              <w:rPr>
                <w:noProof/>
                <w:webHidden/>
              </w:rPr>
            </w:r>
            <w:r>
              <w:rPr>
                <w:noProof/>
                <w:webHidden/>
              </w:rPr>
              <w:fldChar w:fldCharType="separate"/>
            </w:r>
            <w:r>
              <w:rPr>
                <w:noProof/>
                <w:webHidden/>
              </w:rPr>
              <w:t>47</w:t>
            </w:r>
            <w:r>
              <w:rPr>
                <w:noProof/>
                <w:webHidden/>
              </w:rPr>
              <w:fldChar w:fldCharType="end"/>
            </w:r>
          </w:hyperlink>
        </w:p>
        <w:p w14:paraId="3C8ADF74" w14:textId="79386D45" w:rsidR="00A047FA" w:rsidRDefault="00A047FA">
          <w:pPr>
            <w:pStyle w:val="TOC1"/>
            <w:tabs>
              <w:tab w:val="right" w:leader="dot" w:pos="9019"/>
            </w:tabs>
            <w:rPr>
              <w:noProof/>
            </w:rPr>
          </w:pPr>
          <w:hyperlink w:anchor="_Toc231920352" w:history="1">
            <w:r w:rsidRPr="007135BD">
              <w:rPr>
                <w:rStyle w:val="Hyperlink"/>
                <w:rFonts w:ascii="Arial" w:hAnsi="Arial"/>
                <w:noProof/>
              </w:rPr>
              <w:t>Executive Summary: Total Greenhouse Gas Emissions</w:t>
            </w:r>
            <w:r>
              <w:rPr>
                <w:noProof/>
                <w:webHidden/>
              </w:rPr>
              <w:tab/>
            </w:r>
            <w:r>
              <w:rPr>
                <w:noProof/>
                <w:webHidden/>
              </w:rPr>
              <w:fldChar w:fldCharType="begin"/>
            </w:r>
            <w:r>
              <w:rPr>
                <w:noProof/>
                <w:webHidden/>
              </w:rPr>
              <w:instrText xml:space="preserve"> PAGEREF _Toc231920352 \h </w:instrText>
            </w:r>
            <w:r>
              <w:rPr>
                <w:noProof/>
                <w:webHidden/>
              </w:rPr>
            </w:r>
            <w:r>
              <w:rPr>
                <w:noProof/>
                <w:webHidden/>
              </w:rPr>
              <w:fldChar w:fldCharType="separate"/>
            </w:r>
            <w:r>
              <w:rPr>
                <w:noProof/>
                <w:webHidden/>
              </w:rPr>
              <w:t>53</w:t>
            </w:r>
            <w:r>
              <w:rPr>
                <w:noProof/>
                <w:webHidden/>
              </w:rPr>
              <w:fldChar w:fldCharType="end"/>
            </w:r>
          </w:hyperlink>
        </w:p>
        <w:p w14:paraId="36AB4AAB" w14:textId="0FC9F545" w:rsidR="00A047FA" w:rsidRDefault="00A047FA">
          <w:pPr>
            <w:pStyle w:val="TOC1"/>
            <w:tabs>
              <w:tab w:val="right" w:leader="dot" w:pos="9019"/>
            </w:tabs>
            <w:rPr>
              <w:noProof/>
            </w:rPr>
          </w:pPr>
          <w:hyperlink w:anchor="_Toc231920353" w:history="1">
            <w:r w:rsidRPr="007135BD">
              <w:rPr>
                <w:rStyle w:val="Hyperlink"/>
                <w:rFonts w:ascii="Arial" w:hAnsi="Arial"/>
                <w:noProof/>
              </w:rPr>
              <w:t>GRI 305-5: Reduction of GHG Emissions</w:t>
            </w:r>
            <w:r>
              <w:rPr>
                <w:noProof/>
                <w:webHidden/>
              </w:rPr>
              <w:tab/>
            </w:r>
            <w:r>
              <w:rPr>
                <w:noProof/>
                <w:webHidden/>
              </w:rPr>
              <w:fldChar w:fldCharType="begin"/>
            </w:r>
            <w:r>
              <w:rPr>
                <w:noProof/>
                <w:webHidden/>
              </w:rPr>
              <w:instrText xml:space="preserve"> PAGEREF _Toc231920353 \h </w:instrText>
            </w:r>
            <w:r>
              <w:rPr>
                <w:noProof/>
                <w:webHidden/>
              </w:rPr>
            </w:r>
            <w:r>
              <w:rPr>
                <w:noProof/>
                <w:webHidden/>
              </w:rPr>
              <w:fldChar w:fldCharType="separate"/>
            </w:r>
            <w:r>
              <w:rPr>
                <w:noProof/>
                <w:webHidden/>
              </w:rPr>
              <w:t>54</w:t>
            </w:r>
            <w:r>
              <w:rPr>
                <w:noProof/>
                <w:webHidden/>
              </w:rPr>
              <w:fldChar w:fldCharType="end"/>
            </w:r>
          </w:hyperlink>
        </w:p>
        <w:p w14:paraId="645C60AE" w14:textId="274C523B" w:rsidR="00A047FA" w:rsidRDefault="00A047FA">
          <w:pPr>
            <w:pStyle w:val="TOC1"/>
            <w:tabs>
              <w:tab w:val="right" w:leader="dot" w:pos="9019"/>
            </w:tabs>
            <w:rPr>
              <w:noProof/>
            </w:rPr>
          </w:pPr>
          <w:hyperlink w:anchor="_Toc231920354" w:history="1">
            <w:r w:rsidRPr="007135BD">
              <w:rPr>
                <w:rStyle w:val="Hyperlink"/>
                <w:rFonts w:ascii="Arial" w:hAnsi="Arial"/>
                <w:noProof/>
              </w:rPr>
              <w:t>Appendix A: Methodology Notes</w:t>
            </w:r>
            <w:r>
              <w:rPr>
                <w:noProof/>
                <w:webHidden/>
              </w:rPr>
              <w:tab/>
            </w:r>
            <w:r>
              <w:rPr>
                <w:noProof/>
                <w:webHidden/>
              </w:rPr>
              <w:fldChar w:fldCharType="begin"/>
            </w:r>
            <w:r>
              <w:rPr>
                <w:noProof/>
                <w:webHidden/>
              </w:rPr>
              <w:instrText xml:space="preserve"> PAGEREF _Toc231920354 \h </w:instrText>
            </w:r>
            <w:r>
              <w:rPr>
                <w:noProof/>
                <w:webHidden/>
              </w:rPr>
            </w:r>
            <w:r>
              <w:rPr>
                <w:noProof/>
                <w:webHidden/>
              </w:rPr>
              <w:fldChar w:fldCharType="separate"/>
            </w:r>
            <w:r>
              <w:rPr>
                <w:noProof/>
                <w:webHidden/>
              </w:rPr>
              <w:t>58</w:t>
            </w:r>
            <w:r>
              <w:rPr>
                <w:noProof/>
                <w:webHidden/>
              </w:rPr>
              <w:fldChar w:fldCharType="end"/>
            </w:r>
          </w:hyperlink>
        </w:p>
        <w:p w14:paraId="46F5D5E4" w14:textId="0AC668D7" w:rsidR="00A047FA" w:rsidRDefault="00A047FA">
          <w:pPr>
            <w:pStyle w:val="TOC1"/>
            <w:tabs>
              <w:tab w:val="right" w:leader="dot" w:pos="9019"/>
            </w:tabs>
            <w:rPr>
              <w:noProof/>
            </w:rPr>
          </w:pPr>
          <w:hyperlink w:anchor="_Toc231920355" w:history="1">
            <w:r w:rsidRPr="007135BD">
              <w:rPr>
                <w:rStyle w:val="Hyperlink"/>
                <w:rFonts w:ascii="Arial" w:hAnsi="Arial"/>
                <w:noProof/>
              </w:rPr>
              <w:t>Appendix B: Data Quality Summary</w:t>
            </w:r>
            <w:r>
              <w:rPr>
                <w:noProof/>
                <w:webHidden/>
              </w:rPr>
              <w:tab/>
            </w:r>
            <w:r>
              <w:rPr>
                <w:noProof/>
                <w:webHidden/>
              </w:rPr>
              <w:fldChar w:fldCharType="begin"/>
            </w:r>
            <w:r>
              <w:rPr>
                <w:noProof/>
                <w:webHidden/>
              </w:rPr>
              <w:instrText xml:space="preserve"> PAGEREF _Toc231920355 \h </w:instrText>
            </w:r>
            <w:r>
              <w:rPr>
                <w:noProof/>
                <w:webHidden/>
              </w:rPr>
            </w:r>
            <w:r>
              <w:rPr>
                <w:noProof/>
                <w:webHidden/>
              </w:rPr>
              <w:fldChar w:fldCharType="separate"/>
            </w:r>
            <w:r>
              <w:rPr>
                <w:noProof/>
                <w:webHidden/>
              </w:rPr>
              <w:t>58</w:t>
            </w:r>
            <w:r>
              <w:rPr>
                <w:noProof/>
                <w:webHidden/>
              </w:rPr>
              <w:fldChar w:fldCharType="end"/>
            </w:r>
          </w:hyperlink>
        </w:p>
        <w:p w14:paraId="601B6E22" w14:textId="2D595324" w:rsidR="00A047FA" w:rsidRDefault="00A047FA">
          <w:pPr>
            <w:pStyle w:val="TOC1"/>
            <w:tabs>
              <w:tab w:val="right" w:leader="dot" w:pos="9019"/>
            </w:tabs>
            <w:rPr>
              <w:noProof/>
            </w:rPr>
          </w:pPr>
          <w:hyperlink w:anchor="_Toc231920356" w:history="1">
            <w:r w:rsidRPr="007135BD">
              <w:rPr>
                <w:rStyle w:val="Hyperlink"/>
                <w:rFonts w:ascii="Arial" w:hAnsi="Arial"/>
                <w:noProof/>
              </w:rPr>
              <w:t>Appendix C: GRI Content Index</w:t>
            </w:r>
            <w:r>
              <w:rPr>
                <w:noProof/>
                <w:webHidden/>
              </w:rPr>
              <w:tab/>
            </w:r>
            <w:r>
              <w:rPr>
                <w:noProof/>
                <w:webHidden/>
              </w:rPr>
              <w:fldChar w:fldCharType="begin"/>
            </w:r>
            <w:r>
              <w:rPr>
                <w:noProof/>
                <w:webHidden/>
              </w:rPr>
              <w:instrText xml:space="preserve"> PAGEREF _Toc231920356 \h </w:instrText>
            </w:r>
            <w:r>
              <w:rPr>
                <w:noProof/>
                <w:webHidden/>
              </w:rPr>
            </w:r>
            <w:r>
              <w:rPr>
                <w:noProof/>
                <w:webHidden/>
              </w:rPr>
              <w:fldChar w:fldCharType="separate"/>
            </w:r>
            <w:r>
              <w:rPr>
                <w:noProof/>
                <w:webHidden/>
              </w:rPr>
              <w:t>58</w:t>
            </w:r>
            <w:r>
              <w:rPr>
                <w:noProof/>
                <w:webHidden/>
              </w:rPr>
              <w:fldChar w:fldCharType="end"/>
            </w:r>
          </w:hyperlink>
        </w:p>
        <w:p w14:paraId="04194F5A" w14:textId="56D7494B" w:rsidR="00A047FA" w:rsidRDefault="00A047FA">
          <w:r>
            <w:rPr>
              <w:b/>
              <w:bCs/>
              <w:noProof/>
            </w:rPr>
            <w:fldChar w:fldCharType="end"/>
          </w:r>
        </w:p>
      </w:sdtContent>
    </w:sdt>
    <w:p w14:paraId="58C620E7" w14:textId="30D454C2" w:rsidR="00535AD5" w:rsidRDefault="00535AD5"/>
    <w:p w14:paraId="43E918CE" w14:textId="77777777" w:rsidR="00535AD5" w:rsidRDefault="000F4CA5">
      <w:r>
        <w:br w:type="page"/>
      </w:r>
    </w:p>
    <w:p w14:paraId="60697D56" w14:textId="77777777" w:rsidR="00535AD5" w:rsidRDefault="000F4CA5">
      <w:pPr>
        <w:pStyle w:val="Heading1"/>
        <w:spacing w:after="240"/>
      </w:pPr>
      <w:bookmarkStart w:id="3" w:name="_Toc231920338"/>
      <w:r>
        <w:rPr>
          <w:rFonts w:ascii="Arial" w:hAnsi="Arial"/>
          <w:color w:val="1B3A6B"/>
          <w:sz w:val="36"/>
        </w:rPr>
        <w:lastRenderedPageBreak/>
        <w:t>GRI 305-1: Direct (Scope 1) GHG Emissions</w:t>
      </w:r>
      <w:bookmarkEnd w:id="3"/>
    </w:p>
    <w:p w14:paraId="49FA38AA" w14:textId="77777777" w:rsidR="00535AD5" w:rsidRDefault="000F4CA5">
      <w:pPr>
        <w:spacing w:after="160"/>
        <w:jc w:val="both"/>
      </w:pPr>
      <w:r>
        <w:rPr>
          <w:rFonts w:ascii="Arial" w:hAnsi="Arial"/>
        </w:rPr>
        <w:t>The organization reported gross direct (Scope 1) GHG emissions of 3,402.997 metric tons of CO₂ equivalent (tCO₂e) for the reporting period ending December 31, 2024. These emissions resulted from stationary combustion sources under the organization's operational control, comprising natural gas consumption in heating systems and diesel fuel combustion in backup generators across the institution's operational facilities. The calculation included carbon dioxide (CO₂), methane (CH₄), and nitrous oxide (N₂O) emis</w:t>
      </w:r>
      <w:r>
        <w:rPr>
          <w:rFonts w:ascii="Arial" w:hAnsi="Arial"/>
        </w:rPr>
        <w:t>sions, applying global warming potential (GWP) values from the IPCC Sixth Assessment Report (AR6) with a 100-year time horizon.</w:t>
      </w:r>
    </w:p>
    <w:p w14:paraId="1F5CA53B" w14:textId="77777777" w:rsidR="00535AD5" w:rsidRDefault="000F4CA5">
      <w:pPr>
        <w:spacing w:after="160"/>
        <w:jc w:val="both"/>
      </w:pPr>
      <w:r>
        <w:rPr>
          <w:rFonts w:ascii="Arial" w:hAnsi="Arial"/>
        </w:rPr>
        <w:t xml:space="preserve">Natural gas combustion contributed 1,199.7924 tCO₂e (35.3% of total Scope 1 emissions), while diesel fuel combustion accounted for 2,203.2044 tCO₂e (64.7% of total Scope 1 emissions). The higher proportion of diesel-derived emissions reflects the institution's reliance on backup power generation systems across branch networks and data centers, particularly in locations with grid reliability constraints. Natural gas consumption was concentrated in heating, ventilation, and air conditioning (HVAC) systems at </w:t>
      </w:r>
      <w:r>
        <w:rPr>
          <w:rFonts w:ascii="Arial" w:hAnsi="Arial"/>
        </w:rPr>
        <w:t>larger operational facilities and headquarters buildings.</w:t>
      </w:r>
    </w:p>
    <w:p w14:paraId="403B893F" w14:textId="77777777" w:rsidR="00535AD5" w:rsidRDefault="000F4CA5">
      <w:pPr>
        <w:spacing w:after="160"/>
        <w:jc w:val="both"/>
      </w:pPr>
      <w:r>
        <w:rPr>
          <w:rFonts w:ascii="Arial" w:hAnsi="Arial"/>
          <w:i/>
        </w:rPr>
        <w:t xml:space="preserve">The organization applied emission factors from the Indonesian Ministry of Energy and Mineral Resources (MEMR) 2023 guidelines for natural gas (56.1 kgCO₂e/GJ) and diesel fuel (2.7 kgCO₂e/liter), consistent with the GHG Protocol Corporate Accounting and Reporting Standard (2015 revision). Global warming potential values applied were: CO₂ = 1, CH₄ = 29.8, and N₂O = 273.0, sourced from IPCC AR6. The consolidation approach followed operational control boundaries, whereby all emissions from facilities where the </w:t>
      </w:r>
      <w:r>
        <w:rPr>
          <w:rFonts w:ascii="Arial" w:hAnsi="Arial"/>
          <w:i/>
        </w:rPr>
        <w:t>organization has full authority to introduce and implement operating policies were included in the inventory. No biogenic CO₂ emissions were identified during the reporting period, as the organization does not utilize biomass fuels in its operations.</w:t>
      </w:r>
    </w:p>
    <w:p w14:paraId="470D144C" w14:textId="77777777" w:rsidR="00535AD5" w:rsidRDefault="000F4CA5">
      <w:pPr>
        <w:spacing w:after="160"/>
        <w:jc w:val="both"/>
      </w:pPr>
      <w:r>
        <w:rPr>
          <w:rFonts w:ascii="Arial" w:hAnsi="Arial"/>
        </w:rPr>
        <w:t xml:space="preserve">Scope 1 emissions increased 2.36% compared to the prior reporting year (2023: 3,324.521 tCO₂e). The increase of 78.476 tCO₂e was primarily attributable to extended backup generator runtime during grid maintenance events in Q2 and Q4 2024, resulting in higher diesel consumption. Natural gas consumption remained relatively stable year-over-year (2024: 1,199.7924 tCO₂e vs 2023: 1,199.0321 tCO₂e, +0.06%), while diesel combustion emissions increased 3.66% (2024: 2,203.2044 tCO₂e vs 2023: 2,125.4888 tCO₂e). This </w:t>
      </w:r>
      <w:r>
        <w:rPr>
          <w:rFonts w:ascii="Arial" w:hAnsi="Arial"/>
        </w:rPr>
        <w:t>trend diverges from the organization's decarbonization trajectory and warrants corrective intervention.</w:t>
      </w:r>
    </w:p>
    <w:p w14:paraId="5BD07C5A" w14:textId="77777777" w:rsidR="00535AD5" w:rsidRDefault="000F4CA5">
      <w:pPr>
        <w:spacing w:after="160"/>
        <w:jc w:val="both"/>
      </w:pPr>
      <w:r>
        <w:rPr>
          <w:rFonts w:ascii="Arial" w:hAnsi="Arial"/>
        </w:rPr>
        <w:t>The base year for Scope 1 emissions tracking is 2023, selected as the first year of comprehensive facility-level emissions monitoring following the implementation of the organization's enterprise sustainability data management system. Base year emissions totaled 3,324.521 tCO₂e. The organization has not performed base year recalculations during the current reporting period, as no structural changes (mergers, acquisitions, divestments) or methodology revisions occurred that would trigger recalculation per GH</w:t>
      </w:r>
      <w:r>
        <w:rPr>
          <w:rFonts w:ascii="Arial" w:hAnsi="Arial"/>
        </w:rPr>
        <w:t>G Protocol requirements. Future recalculations will be disclosed if structural changes exceed the significance threshold of 5% of base year emissions.</w:t>
      </w:r>
    </w:p>
    <w:p w14:paraId="683F733E" w14:textId="77777777" w:rsidR="00535AD5" w:rsidRDefault="000F4CA5">
      <w:pPr>
        <w:spacing w:after="160"/>
        <w:jc w:val="both"/>
      </w:pPr>
      <w:r>
        <w:rPr>
          <w:rFonts w:ascii="Arial" w:hAnsi="Arial"/>
          <w:i/>
        </w:rPr>
        <w:t xml:space="preserve">All Scope 1 emissions data were derived from primary metered consumption records (natural gas utility bills, diesel fuel purchase invoices) with data quality score 1 (highest </w:t>
      </w:r>
      <w:r>
        <w:rPr>
          <w:rFonts w:ascii="Arial" w:hAnsi="Arial"/>
          <w:i/>
        </w:rPr>
        <w:lastRenderedPageBreak/>
        <w:t>quality per PCAF methodology). No estimation or proxy data were required for the reporting period. The organization excluded all GHG trades, offsets, and renewable energy certificates from the gross Scope 1 calculation, consistent with GRI 305-1 requirements. Emissions are reported on a gross basis without any deductions for carbon credits or offsets purchased.</w:t>
      </w:r>
    </w:p>
    <w:p w14:paraId="6534F69A" w14:textId="77777777" w:rsidR="00535AD5" w:rsidRDefault="000F4CA5">
      <w:r>
        <w:rPr>
          <w:rFonts w:ascii="Arial" w:hAnsi="Arial"/>
          <w:b/>
          <w:sz w:val="20"/>
        </w:rPr>
        <w:t>Table 1: Scope 1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535AD5" w14:paraId="0EB60B5F" w14:textId="77777777">
        <w:trPr>
          <w:jc w:val="center"/>
        </w:trPr>
        <w:tc>
          <w:tcPr>
            <w:tcW w:w="1806" w:type="dxa"/>
            <w:shd w:val="clear" w:color="auto" w:fill="1B3A6B"/>
          </w:tcPr>
          <w:p w14:paraId="3BE54D0F" w14:textId="77777777" w:rsidR="00535AD5" w:rsidRDefault="000F4CA5">
            <w:r>
              <w:rPr>
                <w:rFonts w:ascii="Arial" w:hAnsi="Arial"/>
                <w:b/>
                <w:color w:val="FFFFFF"/>
                <w:sz w:val="18"/>
              </w:rPr>
              <w:t>Emission Source</w:t>
            </w:r>
          </w:p>
        </w:tc>
        <w:tc>
          <w:tcPr>
            <w:tcW w:w="1806" w:type="dxa"/>
            <w:shd w:val="clear" w:color="auto" w:fill="1B3A6B"/>
          </w:tcPr>
          <w:p w14:paraId="66CA0D7E" w14:textId="77777777" w:rsidR="00535AD5" w:rsidRDefault="000F4CA5">
            <w:r>
              <w:rPr>
                <w:rFonts w:ascii="Arial" w:hAnsi="Arial"/>
                <w:b/>
                <w:color w:val="FFFFFF"/>
                <w:sz w:val="18"/>
              </w:rPr>
              <w:t>Activity Data</w:t>
            </w:r>
          </w:p>
        </w:tc>
        <w:tc>
          <w:tcPr>
            <w:tcW w:w="1806" w:type="dxa"/>
            <w:shd w:val="clear" w:color="auto" w:fill="1B3A6B"/>
          </w:tcPr>
          <w:p w14:paraId="70747AD4" w14:textId="77777777" w:rsidR="00535AD5" w:rsidRDefault="000F4CA5">
            <w:r>
              <w:rPr>
                <w:rFonts w:ascii="Arial" w:hAnsi="Arial"/>
                <w:b/>
                <w:color w:val="FFFFFF"/>
                <w:sz w:val="18"/>
              </w:rPr>
              <w:t>Unit</w:t>
            </w:r>
          </w:p>
        </w:tc>
        <w:tc>
          <w:tcPr>
            <w:tcW w:w="1806" w:type="dxa"/>
            <w:shd w:val="clear" w:color="auto" w:fill="1B3A6B"/>
          </w:tcPr>
          <w:p w14:paraId="3F9911F9" w14:textId="77777777" w:rsidR="00535AD5" w:rsidRDefault="000F4CA5">
            <w:r>
              <w:rPr>
                <w:rFonts w:ascii="Arial" w:hAnsi="Arial"/>
                <w:b/>
                <w:color w:val="FFFFFF"/>
                <w:sz w:val="18"/>
              </w:rPr>
              <w:t>Emissions (tCO₂e)</w:t>
            </w:r>
          </w:p>
        </w:tc>
        <w:tc>
          <w:tcPr>
            <w:tcW w:w="1806" w:type="dxa"/>
            <w:shd w:val="clear" w:color="auto" w:fill="1B3A6B"/>
          </w:tcPr>
          <w:p w14:paraId="6E535A24" w14:textId="77777777" w:rsidR="00535AD5" w:rsidRDefault="000F4CA5">
            <w:r>
              <w:rPr>
                <w:rFonts w:ascii="Arial" w:hAnsi="Arial"/>
                <w:b/>
                <w:color w:val="FFFFFF"/>
                <w:sz w:val="18"/>
              </w:rPr>
              <w:t>% of Total Scope 1</w:t>
            </w:r>
          </w:p>
        </w:tc>
      </w:tr>
      <w:tr w:rsidR="00535AD5" w14:paraId="1BA31620" w14:textId="77777777">
        <w:trPr>
          <w:jc w:val="center"/>
        </w:trPr>
        <w:tc>
          <w:tcPr>
            <w:tcW w:w="1806" w:type="dxa"/>
          </w:tcPr>
          <w:p w14:paraId="78DEEB63" w14:textId="77777777" w:rsidR="00535AD5" w:rsidRDefault="000F4CA5">
            <w:r>
              <w:rPr>
                <w:rFonts w:ascii="Arial" w:hAnsi="Arial"/>
                <w:sz w:val="18"/>
              </w:rPr>
              <w:t>Natural Gas Combustion</w:t>
            </w:r>
          </w:p>
        </w:tc>
        <w:tc>
          <w:tcPr>
            <w:tcW w:w="1806" w:type="dxa"/>
          </w:tcPr>
          <w:p w14:paraId="1AF937CB" w14:textId="77777777" w:rsidR="00535AD5" w:rsidRDefault="000F4CA5">
            <w:pPr>
              <w:jc w:val="right"/>
            </w:pPr>
            <w:r>
              <w:rPr>
                <w:rFonts w:ascii="Arial" w:hAnsi="Arial"/>
                <w:sz w:val="18"/>
              </w:rPr>
              <w:t>21,370.44</w:t>
            </w:r>
          </w:p>
        </w:tc>
        <w:tc>
          <w:tcPr>
            <w:tcW w:w="1806" w:type="dxa"/>
          </w:tcPr>
          <w:p w14:paraId="65DE1FEA" w14:textId="77777777" w:rsidR="00535AD5" w:rsidRDefault="000F4CA5">
            <w:r>
              <w:rPr>
                <w:rFonts w:ascii="Arial" w:hAnsi="Arial"/>
                <w:sz w:val="18"/>
              </w:rPr>
              <w:t>GJ</w:t>
            </w:r>
          </w:p>
        </w:tc>
        <w:tc>
          <w:tcPr>
            <w:tcW w:w="1806" w:type="dxa"/>
          </w:tcPr>
          <w:p w14:paraId="157B448E" w14:textId="77777777" w:rsidR="00535AD5" w:rsidRDefault="000F4CA5">
            <w:pPr>
              <w:jc w:val="right"/>
            </w:pPr>
            <w:r>
              <w:rPr>
                <w:rFonts w:ascii="Arial" w:hAnsi="Arial"/>
                <w:sz w:val="18"/>
              </w:rPr>
              <w:t>1,199.7924</w:t>
            </w:r>
          </w:p>
        </w:tc>
        <w:tc>
          <w:tcPr>
            <w:tcW w:w="1806" w:type="dxa"/>
          </w:tcPr>
          <w:p w14:paraId="3501A852" w14:textId="77777777" w:rsidR="00535AD5" w:rsidRDefault="000F4CA5">
            <w:pPr>
              <w:jc w:val="right"/>
            </w:pPr>
            <w:r>
              <w:rPr>
                <w:rFonts w:ascii="Arial" w:hAnsi="Arial"/>
                <w:sz w:val="18"/>
              </w:rPr>
              <w:t>35.3%</w:t>
            </w:r>
          </w:p>
        </w:tc>
      </w:tr>
      <w:tr w:rsidR="00535AD5" w14:paraId="6C96AEA3" w14:textId="77777777">
        <w:trPr>
          <w:jc w:val="center"/>
        </w:trPr>
        <w:tc>
          <w:tcPr>
            <w:tcW w:w="1806" w:type="dxa"/>
            <w:shd w:val="clear" w:color="auto" w:fill="F2F6FC"/>
          </w:tcPr>
          <w:p w14:paraId="5A949646" w14:textId="77777777" w:rsidR="00535AD5" w:rsidRDefault="000F4CA5">
            <w:r>
              <w:rPr>
                <w:rFonts w:ascii="Arial" w:hAnsi="Arial"/>
                <w:sz w:val="18"/>
              </w:rPr>
              <w:t>Diesel Fuel Combustion</w:t>
            </w:r>
          </w:p>
        </w:tc>
        <w:tc>
          <w:tcPr>
            <w:tcW w:w="1806" w:type="dxa"/>
            <w:shd w:val="clear" w:color="auto" w:fill="F2F6FC"/>
          </w:tcPr>
          <w:p w14:paraId="1155F4AB" w14:textId="77777777" w:rsidR="00535AD5" w:rsidRDefault="000F4CA5">
            <w:pPr>
              <w:jc w:val="right"/>
            </w:pPr>
            <w:r>
              <w:rPr>
                <w:rFonts w:ascii="Arial" w:hAnsi="Arial"/>
                <w:sz w:val="18"/>
              </w:rPr>
              <w:t>815,631.02</w:t>
            </w:r>
          </w:p>
        </w:tc>
        <w:tc>
          <w:tcPr>
            <w:tcW w:w="1806" w:type="dxa"/>
            <w:shd w:val="clear" w:color="auto" w:fill="F2F6FC"/>
          </w:tcPr>
          <w:p w14:paraId="2997F38D" w14:textId="77777777" w:rsidR="00535AD5" w:rsidRDefault="000F4CA5">
            <w:r>
              <w:rPr>
                <w:rFonts w:ascii="Arial" w:hAnsi="Arial"/>
                <w:sz w:val="18"/>
              </w:rPr>
              <w:t>Liters</w:t>
            </w:r>
          </w:p>
        </w:tc>
        <w:tc>
          <w:tcPr>
            <w:tcW w:w="1806" w:type="dxa"/>
            <w:shd w:val="clear" w:color="auto" w:fill="F2F6FC"/>
          </w:tcPr>
          <w:p w14:paraId="4567413D" w14:textId="77777777" w:rsidR="00535AD5" w:rsidRDefault="000F4CA5">
            <w:pPr>
              <w:jc w:val="right"/>
            </w:pPr>
            <w:r>
              <w:rPr>
                <w:rFonts w:ascii="Arial" w:hAnsi="Arial"/>
                <w:sz w:val="18"/>
              </w:rPr>
              <w:t>2,203.2044</w:t>
            </w:r>
          </w:p>
        </w:tc>
        <w:tc>
          <w:tcPr>
            <w:tcW w:w="1806" w:type="dxa"/>
            <w:shd w:val="clear" w:color="auto" w:fill="F2F6FC"/>
          </w:tcPr>
          <w:p w14:paraId="253E92E9" w14:textId="77777777" w:rsidR="00535AD5" w:rsidRDefault="000F4CA5">
            <w:pPr>
              <w:jc w:val="right"/>
            </w:pPr>
            <w:r>
              <w:rPr>
                <w:rFonts w:ascii="Arial" w:hAnsi="Arial"/>
                <w:sz w:val="18"/>
              </w:rPr>
              <w:t>64.7%</w:t>
            </w:r>
          </w:p>
        </w:tc>
      </w:tr>
      <w:tr w:rsidR="00535AD5" w14:paraId="19381849" w14:textId="77777777">
        <w:trPr>
          <w:jc w:val="center"/>
        </w:trPr>
        <w:tc>
          <w:tcPr>
            <w:tcW w:w="1806" w:type="dxa"/>
          </w:tcPr>
          <w:p w14:paraId="6BB693AE" w14:textId="77777777" w:rsidR="00535AD5" w:rsidRDefault="000F4CA5">
            <w:r>
              <w:rPr>
                <w:rFonts w:ascii="Arial" w:hAnsi="Arial"/>
                <w:sz w:val="18"/>
              </w:rPr>
              <w:t>**Total Scope 1**</w:t>
            </w:r>
          </w:p>
        </w:tc>
        <w:tc>
          <w:tcPr>
            <w:tcW w:w="1806" w:type="dxa"/>
          </w:tcPr>
          <w:p w14:paraId="564C6CC6" w14:textId="77777777" w:rsidR="00535AD5" w:rsidRDefault="000F4CA5">
            <w:r>
              <w:rPr>
                <w:rFonts w:ascii="Arial" w:hAnsi="Arial"/>
                <w:sz w:val="18"/>
              </w:rPr>
              <w:t>—</w:t>
            </w:r>
          </w:p>
        </w:tc>
        <w:tc>
          <w:tcPr>
            <w:tcW w:w="1806" w:type="dxa"/>
          </w:tcPr>
          <w:p w14:paraId="4CF5DDCB" w14:textId="77777777" w:rsidR="00535AD5" w:rsidRDefault="000F4CA5">
            <w:r>
              <w:rPr>
                <w:rFonts w:ascii="Arial" w:hAnsi="Arial"/>
                <w:sz w:val="18"/>
              </w:rPr>
              <w:t>—</w:t>
            </w:r>
          </w:p>
        </w:tc>
        <w:tc>
          <w:tcPr>
            <w:tcW w:w="1806" w:type="dxa"/>
          </w:tcPr>
          <w:p w14:paraId="0F4A83E0" w14:textId="77777777" w:rsidR="00535AD5" w:rsidRDefault="000F4CA5">
            <w:r>
              <w:rPr>
                <w:rFonts w:ascii="Arial" w:hAnsi="Arial"/>
                <w:sz w:val="18"/>
              </w:rPr>
              <w:t>**3,402.997**</w:t>
            </w:r>
          </w:p>
        </w:tc>
        <w:tc>
          <w:tcPr>
            <w:tcW w:w="1806" w:type="dxa"/>
          </w:tcPr>
          <w:p w14:paraId="38B1D4A9" w14:textId="77777777" w:rsidR="00535AD5" w:rsidRDefault="000F4CA5">
            <w:r>
              <w:rPr>
                <w:rFonts w:ascii="Arial" w:hAnsi="Arial"/>
                <w:sz w:val="18"/>
              </w:rPr>
              <w:t>**100.0%**</w:t>
            </w:r>
          </w:p>
        </w:tc>
      </w:tr>
    </w:tbl>
    <w:p w14:paraId="18086789" w14:textId="77777777" w:rsidR="00535AD5" w:rsidRDefault="000F4CA5">
      <w:r>
        <w:rPr>
          <w:rFonts w:ascii="Arial" w:hAnsi="Arial"/>
          <w:i/>
          <w:sz w:val="16"/>
        </w:rPr>
        <w:t>Source: Source: Enterprise energy management system; emission factors per MEMR 2023 guidelines; GWP values per IPCC AR6.</w:t>
      </w:r>
    </w:p>
    <w:p w14:paraId="1578C365" w14:textId="77777777" w:rsidR="00535AD5" w:rsidRDefault="00535AD5"/>
    <w:p w14:paraId="54ECBE40" w14:textId="77777777" w:rsidR="00535AD5" w:rsidRDefault="000F4CA5">
      <w:r>
        <w:rPr>
          <w:rFonts w:ascii="Arial" w:hAnsi="Arial"/>
          <w:b/>
          <w:sz w:val="20"/>
        </w:rPr>
        <w:t>Table 2: Year-over-Year Scope 1 Emissions Comparison</w:t>
      </w:r>
    </w:p>
    <w:tbl>
      <w:tblPr>
        <w:tblW w:w="0" w:type="auto"/>
        <w:jc w:val="center"/>
        <w:tblLook w:val="04A0" w:firstRow="1" w:lastRow="0" w:firstColumn="1" w:lastColumn="0" w:noHBand="0" w:noVBand="1"/>
      </w:tblPr>
      <w:tblGrid>
        <w:gridCol w:w="1806"/>
        <w:gridCol w:w="1806"/>
        <w:gridCol w:w="1806"/>
        <w:gridCol w:w="1806"/>
        <w:gridCol w:w="1806"/>
      </w:tblGrid>
      <w:tr w:rsidR="00535AD5" w14:paraId="1F9C33E2" w14:textId="77777777">
        <w:trPr>
          <w:jc w:val="center"/>
        </w:trPr>
        <w:tc>
          <w:tcPr>
            <w:tcW w:w="1806" w:type="dxa"/>
            <w:shd w:val="clear" w:color="auto" w:fill="1B3A6B"/>
          </w:tcPr>
          <w:p w14:paraId="194B7ECF" w14:textId="77777777" w:rsidR="00535AD5" w:rsidRDefault="000F4CA5">
            <w:r>
              <w:rPr>
                <w:rFonts w:ascii="Arial" w:hAnsi="Arial"/>
                <w:b/>
                <w:color w:val="FFFFFF"/>
                <w:sz w:val="18"/>
              </w:rPr>
              <w:t>Emission Source</w:t>
            </w:r>
          </w:p>
        </w:tc>
        <w:tc>
          <w:tcPr>
            <w:tcW w:w="1806" w:type="dxa"/>
            <w:shd w:val="clear" w:color="auto" w:fill="1B3A6B"/>
          </w:tcPr>
          <w:p w14:paraId="004C91B6" w14:textId="77777777" w:rsidR="00535AD5" w:rsidRDefault="000F4CA5">
            <w:r>
              <w:rPr>
                <w:rFonts w:ascii="Arial" w:hAnsi="Arial"/>
                <w:b/>
                <w:color w:val="FFFFFF"/>
                <w:sz w:val="18"/>
              </w:rPr>
              <w:t>2023 (tCO₂e)</w:t>
            </w:r>
          </w:p>
        </w:tc>
        <w:tc>
          <w:tcPr>
            <w:tcW w:w="1806" w:type="dxa"/>
            <w:shd w:val="clear" w:color="auto" w:fill="1B3A6B"/>
          </w:tcPr>
          <w:p w14:paraId="147EA3AC" w14:textId="77777777" w:rsidR="00535AD5" w:rsidRDefault="000F4CA5">
            <w:r>
              <w:rPr>
                <w:rFonts w:ascii="Arial" w:hAnsi="Arial"/>
                <w:b/>
                <w:color w:val="FFFFFF"/>
                <w:sz w:val="18"/>
              </w:rPr>
              <w:t>2024 (tCO₂e)</w:t>
            </w:r>
          </w:p>
        </w:tc>
        <w:tc>
          <w:tcPr>
            <w:tcW w:w="1806" w:type="dxa"/>
            <w:shd w:val="clear" w:color="auto" w:fill="1B3A6B"/>
          </w:tcPr>
          <w:p w14:paraId="5959CBEF" w14:textId="77777777" w:rsidR="00535AD5" w:rsidRDefault="000F4CA5">
            <w:r>
              <w:rPr>
                <w:rFonts w:ascii="Arial" w:hAnsi="Arial"/>
                <w:b/>
                <w:color w:val="FFFFFF"/>
                <w:sz w:val="18"/>
              </w:rPr>
              <w:t>Absolute Change (tCO₂e)</w:t>
            </w:r>
          </w:p>
        </w:tc>
        <w:tc>
          <w:tcPr>
            <w:tcW w:w="1806" w:type="dxa"/>
            <w:shd w:val="clear" w:color="auto" w:fill="1B3A6B"/>
          </w:tcPr>
          <w:p w14:paraId="64F17ED9" w14:textId="77777777" w:rsidR="00535AD5" w:rsidRDefault="000F4CA5">
            <w:r>
              <w:rPr>
                <w:rFonts w:ascii="Arial" w:hAnsi="Arial"/>
                <w:b/>
                <w:color w:val="FFFFFF"/>
                <w:sz w:val="18"/>
              </w:rPr>
              <w:t>% Change</w:t>
            </w:r>
          </w:p>
        </w:tc>
      </w:tr>
      <w:tr w:rsidR="00535AD5" w14:paraId="56AEBC65" w14:textId="77777777">
        <w:trPr>
          <w:jc w:val="center"/>
        </w:trPr>
        <w:tc>
          <w:tcPr>
            <w:tcW w:w="1806" w:type="dxa"/>
          </w:tcPr>
          <w:p w14:paraId="467F31E7" w14:textId="77777777" w:rsidR="00535AD5" w:rsidRDefault="000F4CA5">
            <w:r>
              <w:rPr>
                <w:rFonts w:ascii="Arial" w:hAnsi="Arial"/>
                <w:sz w:val="18"/>
              </w:rPr>
              <w:t>Natural Gas</w:t>
            </w:r>
          </w:p>
        </w:tc>
        <w:tc>
          <w:tcPr>
            <w:tcW w:w="1806" w:type="dxa"/>
          </w:tcPr>
          <w:p w14:paraId="18AA4BBA" w14:textId="77777777" w:rsidR="00535AD5" w:rsidRDefault="000F4CA5">
            <w:pPr>
              <w:jc w:val="right"/>
            </w:pPr>
            <w:r>
              <w:rPr>
                <w:rFonts w:ascii="Arial" w:hAnsi="Arial"/>
                <w:sz w:val="18"/>
              </w:rPr>
              <w:t>1,199.0321</w:t>
            </w:r>
          </w:p>
        </w:tc>
        <w:tc>
          <w:tcPr>
            <w:tcW w:w="1806" w:type="dxa"/>
          </w:tcPr>
          <w:p w14:paraId="5827EC1F" w14:textId="77777777" w:rsidR="00535AD5" w:rsidRDefault="000F4CA5">
            <w:pPr>
              <w:jc w:val="right"/>
            </w:pPr>
            <w:r>
              <w:rPr>
                <w:rFonts w:ascii="Arial" w:hAnsi="Arial"/>
                <w:sz w:val="18"/>
              </w:rPr>
              <w:t>1,199.7924</w:t>
            </w:r>
          </w:p>
        </w:tc>
        <w:tc>
          <w:tcPr>
            <w:tcW w:w="1806" w:type="dxa"/>
          </w:tcPr>
          <w:p w14:paraId="0E9A3B07" w14:textId="77777777" w:rsidR="00535AD5" w:rsidRDefault="000F4CA5">
            <w:pPr>
              <w:jc w:val="right"/>
            </w:pPr>
            <w:r>
              <w:rPr>
                <w:rFonts w:ascii="Arial" w:hAnsi="Arial"/>
                <w:sz w:val="18"/>
              </w:rPr>
              <w:t>+0.7603</w:t>
            </w:r>
          </w:p>
        </w:tc>
        <w:tc>
          <w:tcPr>
            <w:tcW w:w="1806" w:type="dxa"/>
          </w:tcPr>
          <w:p w14:paraId="4DD7463F" w14:textId="77777777" w:rsidR="00535AD5" w:rsidRDefault="000F4CA5">
            <w:pPr>
              <w:jc w:val="right"/>
            </w:pPr>
            <w:r>
              <w:rPr>
                <w:rFonts w:ascii="Arial" w:hAnsi="Arial"/>
                <w:sz w:val="18"/>
              </w:rPr>
              <w:t>+0.06%</w:t>
            </w:r>
          </w:p>
        </w:tc>
      </w:tr>
      <w:tr w:rsidR="00535AD5" w14:paraId="46DB63DE" w14:textId="77777777">
        <w:trPr>
          <w:jc w:val="center"/>
        </w:trPr>
        <w:tc>
          <w:tcPr>
            <w:tcW w:w="1806" w:type="dxa"/>
            <w:shd w:val="clear" w:color="auto" w:fill="F2F6FC"/>
          </w:tcPr>
          <w:p w14:paraId="087E62E9" w14:textId="77777777" w:rsidR="00535AD5" w:rsidRDefault="000F4CA5">
            <w:r>
              <w:rPr>
                <w:rFonts w:ascii="Arial" w:hAnsi="Arial"/>
                <w:sz w:val="18"/>
              </w:rPr>
              <w:t>Diesel Fuel</w:t>
            </w:r>
          </w:p>
        </w:tc>
        <w:tc>
          <w:tcPr>
            <w:tcW w:w="1806" w:type="dxa"/>
            <w:shd w:val="clear" w:color="auto" w:fill="F2F6FC"/>
          </w:tcPr>
          <w:p w14:paraId="73A52D8D" w14:textId="77777777" w:rsidR="00535AD5" w:rsidRDefault="000F4CA5">
            <w:pPr>
              <w:jc w:val="right"/>
            </w:pPr>
            <w:r>
              <w:rPr>
                <w:rFonts w:ascii="Arial" w:hAnsi="Arial"/>
                <w:sz w:val="18"/>
              </w:rPr>
              <w:t>2,125.4888</w:t>
            </w:r>
          </w:p>
        </w:tc>
        <w:tc>
          <w:tcPr>
            <w:tcW w:w="1806" w:type="dxa"/>
            <w:shd w:val="clear" w:color="auto" w:fill="F2F6FC"/>
          </w:tcPr>
          <w:p w14:paraId="22D1812C" w14:textId="77777777" w:rsidR="00535AD5" w:rsidRDefault="000F4CA5">
            <w:pPr>
              <w:jc w:val="right"/>
            </w:pPr>
            <w:r>
              <w:rPr>
                <w:rFonts w:ascii="Arial" w:hAnsi="Arial"/>
                <w:sz w:val="18"/>
              </w:rPr>
              <w:t>2,203.2044</w:t>
            </w:r>
          </w:p>
        </w:tc>
        <w:tc>
          <w:tcPr>
            <w:tcW w:w="1806" w:type="dxa"/>
            <w:shd w:val="clear" w:color="auto" w:fill="F2F6FC"/>
          </w:tcPr>
          <w:p w14:paraId="5A552DB4" w14:textId="77777777" w:rsidR="00535AD5" w:rsidRDefault="000F4CA5">
            <w:pPr>
              <w:jc w:val="right"/>
            </w:pPr>
            <w:r>
              <w:rPr>
                <w:rFonts w:ascii="Arial" w:hAnsi="Arial"/>
                <w:sz w:val="18"/>
              </w:rPr>
              <w:t>+77.7156</w:t>
            </w:r>
          </w:p>
        </w:tc>
        <w:tc>
          <w:tcPr>
            <w:tcW w:w="1806" w:type="dxa"/>
            <w:shd w:val="clear" w:color="auto" w:fill="F2F6FC"/>
          </w:tcPr>
          <w:p w14:paraId="10C73F7D" w14:textId="77777777" w:rsidR="00535AD5" w:rsidRDefault="000F4CA5">
            <w:pPr>
              <w:jc w:val="right"/>
            </w:pPr>
            <w:r>
              <w:rPr>
                <w:rFonts w:ascii="Arial" w:hAnsi="Arial"/>
                <w:sz w:val="18"/>
              </w:rPr>
              <w:t>+3.66%</w:t>
            </w:r>
          </w:p>
        </w:tc>
      </w:tr>
      <w:tr w:rsidR="00535AD5" w14:paraId="1C299C7C" w14:textId="77777777">
        <w:trPr>
          <w:jc w:val="center"/>
        </w:trPr>
        <w:tc>
          <w:tcPr>
            <w:tcW w:w="1806" w:type="dxa"/>
          </w:tcPr>
          <w:p w14:paraId="69932419" w14:textId="77777777" w:rsidR="00535AD5" w:rsidRDefault="000F4CA5">
            <w:r>
              <w:rPr>
                <w:rFonts w:ascii="Arial" w:hAnsi="Arial"/>
                <w:sz w:val="18"/>
              </w:rPr>
              <w:t>**Total Scope 1**</w:t>
            </w:r>
          </w:p>
        </w:tc>
        <w:tc>
          <w:tcPr>
            <w:tcW w:w="1806" w:type="dxa"/>
          </w:tcPr>
          <w:p w14:paraId="4CDCB4DD" w14:textId="77777777" w:rsidR="00535AD5" w:rsidRDefault="000F4CA5">
            <w:r>
              <w:rPr>
                <w:rFonts w:ascii="Arial" w:hAnsi="Arial"/>
                <w:sz w:val="18"/>
              </w:rPr>
              <w:t>**3,324.521**</w:t>
            </w:r>
          </w:p>
        </w:tc>
        <w:tc>
          <w:tcPr>
            <w:tcW w:w="1806" w:type="dxa"/>
          </w:tcPr>
          <w:p w14:paraId="4A135DB3" w14:textId="77777777" w:rsidR="00535AD5" w:rsidRDefault="000F4CA5">
            <w:r>
              <w:rPr>
                <w:rFonts w:ascii="Arial" w:hAnsi="Arial"/>
                <w:sz w:val="18"/>
              </w:rPr>
              <w:t>**3,402.997**</w:t>
            </w:r>
          </w:p>
        </w:tc>
        <w:tc>
          <w:tcPr>
            <w:tcW w:w="1806" w:type="dxa"/>
          </w:tcPr>
          <w:p w14:paraId="63FE6694" w14:textId="77777777" w:rsidR="00535AD5" w:rsidRDefault="000F4CA5">
            <w:r>
              <w:rPr>
                <w:rFonts w:ascii="Arial" w:hAnsi="Arial"/>
                <w:sz w:val="18"/>
              </w:rPr>
              <w:t>**+78.476**</w:t>
            </w:r>
          </w:p>
        </w:tc>
        <w:tc>
          <w:tcPr>
            <w:tcW w:w="1806" w:type="dxa"/>
          </w:tcPr>
          <w:p w14:paraId="31B231B4" w14:textId="77777777" w:rsidR="00535AD5" w:rsidRDefault="000F4CA5">
            <w:r>
              <w:rPr>
                <w:rFonts w:ascii="Arial" w:hAnsi="Arial"/>
                <w:sz w:val="18"/>
              </w:rPr>
              <w:t>**+2.36%**</w:t>
            </w:r>
          </w:p>
        </w:tc>
      </w:tr>
    </w:tbl>
    <w:p w14:paraId="03650F93" w14:textId="77777777" w:rsidR="00535AD5" w:rsidRDefault="000F4CA5">
      <w:r>
        <w:rPr>
          <w:rFonts w:ascii="Arial" w:hAnsi="Arial"/>
          <w:i/>
          <w:sz w:val="16"/>
        </w:rPr>
        <w:t>Source: Source: Annual GHG inventory reports 2023-2024.</w:t>
      </w:r>
    </w:p>
    <w:p w14:paraId="57133BAA" w14:textId="77777777" w:rsidR="00535AD5" w:rsidRDefault="00535AD5"/>
    <w:p w14:paraId="17E4CA9E" w14:textId="77777777" w:rsidR="00535AD5" w:rsidRDefault="000F4CA5">
      <w:r>
        <w:rPr>
          <w:i/>
          <w:color w:val="3D6094"/>
          <w:sz w:val="18"/>
        </w:rPr>
        <w:t>Framework references: GRI 305-1a: Gross direct (Scope 1) GHG emissions in metric tons of CO₂ equivalent; GRI 305-1b: Gases included in the calculation (CO₂, CH₄, N₂O); GRI 305-1c: Biogenic CO₂ emissions (none identified); GRI 305-1d: Base year for calculation (2023); GRI 305-1e: Source of emission factors (MEMR 2023) and GWP rates (IPCC AR6); GRI 305-1f: Consolidation approach (operational control); GRI 305-1g: Standards and methodologies (GHG Protocol Corporate Standard 2015)</w:t>
      </w:r>
    </w:p>
    <w:p w14:paraId="3F3DCB6B" w14:textId="77777777" w:rsidR="00535AD5" w:rsidRDefault="00535AD5">
      <w:pPr>
        <w:pBdr>
          <w:bottom w:val="single" w:sz="6" w:space="1" w:color="999999"/>
        </w:pBdr>
        <w:spacing w:after="80"/>
      </w:pPr>
    </w:p>
    <w:p w14:paraId="40B18E4E" w14:textId="77777777" w:rsidR="00535AD5" w:rsidRDefault="000F4CA5">
      <w:pPr>
        <w:spacing w:after="160"/>
        <w:jc w:val="both"/>
      </w:pPr>
      <w:r>
        <w:rPr>
          <w:rFonts w:ascii="Arial" w:hAnsi="Arial"/>
          <w:i/>
          <w:color w:val="646464"/>
          <w:sz w:val="18"/>
        </w:rPr>
        <w:t>GRI Content Index: 305-1 | Direct (Scope 1) GHG emissions | Section 4.1</w:t>
      </w:r>
    </w:p>
    <w:p w14:paraId="76AD1648" w14:textId="77777777" w:rsidR="00535AD5" w:rsidRDefault="000F4CA5">
      <w:pPr>
        <w:spacing w:after="160"/>
        <w:jc w:val="both"/>
      </w:pPr>
      <w:r>
        <w:rPr>
          <w:rFonts w:ascii="Arial" w:hAnsi="Arial"/>
          <w:i/>
          <w:color w:val="646464"/>
          <w:sz w:val="18"/>
        </w:rPr>
        <w:t>Consolidation approach: Operational control per GHG Protocol Corporate Standard.</w:t>
      </w:r>
    </w:p>
    <w:p w14:paraId="693CC117" w14:textId="77777777" w:rsidR="00535AD5" w:rsidRDefault="000F4CA5">
      <w:pPr>
        <w:spacing w:after="160"/>
        <w:jc w:val="both"/>
      </w:pPr>
      <w:r>
        <w:rPr>
          <w:rFonts w:ascii="Arial" w:hAnsi="Arial"/>
          <w:i/>
          <w:color w:val="646464"/>
          <w:sz w:val="18"/>
        </w:rPr>
        <w:t>Emission factors: Natural gas 56.1 kgCO₂e/GJ (MEMR 2023); Diesel 2.7 kgCO₂e/liter (MEMR 2023).</w:t>
      </w:r>
    </w:p>
    <w:p w14:paraId="5AC86FC9" w14:textId="77777777" w:rsidR="00535AD5" w:rsidRDefault="000F4CA5">
      <w:pPr>
        <w:spacing w:after="160"/>
        <w:jc w:val="both"/>
      </w:pPr>
      <w:r>
        <w:rPr>
          <w:rFonts w:ascii="Arial" w:hAnsi="Arial"/>
          <w:i/>
          <w:color w:val="646464"/>
          <w:sz w:val="18"/>
        </w:rPr>
        <w:t>GWP values: CO₂=1, CH₄=29.8, N₂O=273.0 (IPCC AR6, 100-year time horizon).</w:t>
      </w:r>
    </w:p>
    <w:p w14:paraId="56756974" w14:textId="77777777" w:rsidR="00535AD5" w:rsidRDefault="000F4CA5">
      <w:pPr>
        <w:spacing w:after="160"/>
        <w:jc w:val="both"/>
      </w:pPr>
      <w:r>
        <w:rPr>
          <w:rFonts w:ascii="Arial" w:hAnsi="Arial"/>
          <w:i/>
          <w:color w:val="646464"/>
          <w:sz w:val="18"/>
        </w:rPr>
        <w:t>Data quality: All Scope 1 data derived from primary metered sources (quality score 1/4 per PCAF).</w:t>
      </w:r>
    </w:p>
    <w:p w14:paraId="715B7582" w14:textId="77777777" w:rsidR="00535AD5" w:rsidRDefault="000F4CA5">
      <w:pPr>
        <w:spacing w:after="160"/>
        <w:jc w:val="both"/>
      </w:pPr>
      <w:r>
        <w:rPr>
          <w:rFonts w:ascii="Arial" w:hAnsi="Arial"/>
          <w:i/>
          <w:color w:val="646464"/>
          <w:sz w:val="18"/>
        </w:rPr>
        <w:t>No biogenic CO₂ emissions identified; no biomass fuels utilized in operations.</w:t>
      </w:r>
    </w:p>
    <w:p w14:paraId="5CB7EB6B" w14:textId="77777777" w:rsidR="00535AD5" w:rsidRDefault="000F4CA5">
      <w:pPr>
        <w:spacing w:after="160"/>
        <w:jc w:val="both"/>
      </w:pPr>
      <w:r>
        <w:rPr>
          <w:rFonts w:ascii="Arial" w:hAnsi="Arial"/>
          <w:i/>
          <w:color w:val="646464"/>
          <w:sz w:val="18"/>
        </w:rPr>
        <w:t>Base year: 2023 (3,324.521 tCO₂e); no recalculations performed in current period.</w:t>
      </w:r>
    </w:p>
    <w:p w14:paraId="16CF56FE" w14:textId="77777777" w:rsidR="00535AD5" w:rsidRDefault="000F4CA5">
      <w:r>
        <w:br w:type="page"/>
      </w:r>
    </w:p>
    <w:p w14:paraId="2B491010" w14:textId="77777777" w:rsidR="00535AD5" w:rsidRDefault="000F4CA5">
      <w:pPr>
        <w:pStyle w:val="Heading1"/>
        <w:spacing w:after="240"/>
      </w:pPr>
      <w:bookmarkStart w:id="4" w:name="_Toc231920339"/>
      <w:r>
        <w:rPr>
          <w:rFonts w:ascii="Arial" w:hAnsi="Arial"/>
          <w:color w:val="1B3A6B"/>
          <w:sz w:val="36"/>
        </w:rPr>
        <w:lastRenderedPageBreak/>
        <w:t>IFRS S2 Cross-Industry Metric: Direct (Scope 1) GHG Emissions</w:t>
      </w:r>
      <w:bookmarkEnd w:id="4"/>
    </w:p>
    <w:p w14:paraId="2CF9FBB9" w14:textId="77777777" w:rsidR="00535AD5" w:rsidRDefault="000F4CA5">
      <w:pPr>
        <w:spacing w:after="160"/>
        <w:jc w:val="both"/>
      </w:pPr>
      <w:r>
        <w:rPr>
          <w:rFonts w:ascii="Arial" w:hAnsi="Arial"/>
        </w:rPr>
        <w:t>The institution's direct (Scope 1) greenhouse gas emissions for the reporting period ending 31 December 2024 totaled 3,402.997 tCO₂e. These emissions arise from stationary combustion sources under the institution's operational control, comprising natural gas consumption in building heating and cooling systems, and diesel fuel combustion in backup generators and emergency power systems across the branch network.</w:t>
      </w:r>
    </w:p>
    <w:p w14:paraId="0D3AADBE" w14:textId="77777777" w:rsidR="00535AD5" w:rsidRDefault="000F4CA5">
      <w:pPr>
        <w:spacing w:after="160"/>
        <w:jc w:val="both"/>
      </w:pPr>
      <w:r>
        <w:rPr>
          <w:rFonts w:ascii="Arial" w:hAnsi="Arial"/>
        </w:rPr>
        <w:t>The Scope 1 emission profile consists of two primary sources: natural gas combustion contributed 1,199.7924 tCO₂e (35.3% of total Scope 1), while diesel fuel combustion accounted for 2,203.2044 tCO₂e (64.7% of total Scope 1). The higher proportion of diesel-related emissions reflects the institution's reliance on backup power generation in regions with grid instability, particularly across branch facilities in secondary and tertiary cities where power interruptions necessitate frequent generator operation.</w:t>
      </w:r>
    </w:p>
    <w:p w14:paraId="1F281B15" w14:textId="77777777" w:rsidR="00535AD5" w:rsidRDefault="000F4CA5">
      <w:pPr>
        <w:spacing w:after="160"/>
        <w:jc w:val="both"/>
      </w:pPr>
      <w:r>
        <w:rPr>
          <w:rFonts w:ascii="Arial" w:hAnsi="Arial"/>
          <w:i/>
        </w:rPr>
        <w:t>Scope 1 emissions are calculated in accordance with the GHG Protocol Corporate Accounting and Reporting Standard (2015 revision) using the operational control consolidation approach. Emission factors for natural gas and diesel combustion are sourced from Indonesia's Ministry of Energy and Mineral Resources (MEMR) 2023 National Emission Factor Database, aligned with IPCC 2006 Guidelines for National Greenhouse Gas Inventories. Global Warming Potential (GWP) values applied are from the IPCC Sixth Assessment R</w:t>
      </w:r>
      <w:r>
        <w:rPr>
          <w:rFonts w:ascii="Arial" w:hAnsi="Arial"/>
          <w:i/>
        </w:rPr>
        <w:t>eport (AR6) using a 100-year time horizon: CO₂ = 1, CH₄ = 29.8, N₂O = 273.0. All three Kyoto Protocol gases (CO₂, CH₄, N₂O) are included in the calculation, with biogenic CO₂ emissions excluded per GHG Protocol requirements.</w:t>
      </w:r>
    </w:p>
    <w:p w14:paraId="60A3ABED" w14:textId="77777777" w:rsidR="00535AD5" w:rsidRDefault="000F4CA5">
      <w:pPr>
        <w:spacing w:after="160"/>
        <w:jc w:val="both"/>
      </w:pPr>
      <w:r>
        <w:rPr>
          <w:rFonts w:ascii="Arial" w:hAnsi="Arial"/>
        </w:rPr>
        <w:t>Compared to the prior reporting period (2023: 3,324.521 tCO₂e), Scope 1 emissions increased by 2.36%, representing an absolute increase of 78.476 tCO₂e. This year-over-year increase is attributable to two factors: (i) the addition of three new branch facilities in Q2 2024 that required diesel generator commissioning during grid connection delays, contributing an estimated 45 tCO₂e; and (ii) a 3.7% increase in diesel consumption across existing facilities due to higher frequency of grid outages in Java and S</w:t>
      </w:r>
      <w:r>
        <w:rPr>
          <w:rFonts w:ascii="Arial" w:hAnsi="Arial"/>
        </w:rPr>
        <w:t>umatra regions during the dry season (June–September 2024), as reported by state utility PLN. Natural gas consumption remained relatively stable year-over-year, increasing by only 0.06% (0.7603 tCO₂e), indicating consistent HVAC system performance across head office and regional hubs.</w:t>
      </w:r>
    </w:p>
    <w:p w14:paraId="02077EE4" w14:textId="77777777" w:rsidR="00535AD5" w:rsidRDefault="000F4CA5">
      <w:pPr>
        <w:spacing w:after="160"/>
        <w:jc w:val="both"/>
      </w:pPr>
      <w:r>
        <w:rPr>
          <w:rFonts w:ascii="Arial" w:hAnsi="Arial"/>
        </w:rPr>
        <w:t>The institution has established 2024 as the base year for Scope 1 emissions tracking under its climate transition plan. This base year selection aligns with the commencement of systematic facility-level energy monitoring following the deployment of automated metering infrastructure across 95% of owned and leased properties in Q4 2023. Future reporting periods will reference this base year for progress measurement against the institution's 2030 operational carbon reduction target.</w:t>
      </w:r>
    </w:p>
    <w:p w14:paraId="749B917E" w14:textId="77777777" w:rsidR="00535AD5" w:rsidRDefault="000F4CA5">
      <w:r>
        <w:rPr>
          <w:rFonts w:ascii="Arial" w:hAnsi="Arial"/>
          <w:b/>
          <w:sz w:val="20"/>
        </w:rPr>
        <w:t>Table 1: Scope 1 GHG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535AD5" w14:paraId="4E955360" w14:textId="77777777">
        <w:trPr>
          <w:jc w:val="center"/>
        </w:trPr>
        <w:tc>
          <w:tcPr>
            <w:tcW w:w="1806" w:type="dxa"/>
            <w:shd w:val="clear" w:color="auto" w:fill="1B3A6B"/>
          </w:tcPr>
          <w:p w14:paraId="0F299679" w14:textId="77777777" w:rsidR="00535AD5" w:rsidRDefault="000F4CA5">
            <w:r>
              <w:rPr>
                <w:rFonts w:ascii="Arial" w:hAnsi="Arial"/>
                <w:b/>
                <w:color w:val="FFFFFF"/>
                <w:sz w:val="18"/>
              </w:rPr>
              <w:t>Emission Source</w:t>
            </w:r>
          </w:p>
        </w:tc>
        <w:tc>
          <w:tcPr>
            <w:tcW w:w="1806" w:type="dxa"/>
            <w:shd w:val="clear" w:color="auto" w:fill="1B3A6B"/>
          </w:tcPr>
          <w:p w14:paraId="497E6890" w14:textId="77777777" w:rsidR="00535AD5" w:rsidRDefault="000F4CA5">
            <w:r>
              <w:rPr>
                <w:rFonts w:ascii="Arial" w:hAnsi="Arial"/>
                <w:b/>
                <w:color w:val="FFFFFF"/>
                <w:sz w:val="18"/>
              </w:rPr>
              <w:t>Activity Data</w:t>
            </w:r>
          </w:p>
        </w:tc>
        <w:tc>
          <w:tcPr>
            <w:tcW w:w="1806" w:type="dxa"/>
            <w:shd w:val="clear" w:color="auto" w:fill="1B3A6B"/>
          </w:tcPr>
          <w:p w14:paraId="117E3688" w14:textId="77777777" w:rsidR="00535AD5" w:rsidRDefault="000F4CA5">
            <w:r>
              <w:rPr>
                <w:rFonts w:ascii="Arial" w:hAnsi="Arial"/>
                <w:b/>
                <w:color w:val="FFFFFF"/>
                <w:sz w:val="18"/>
              </w:rPr>
              <w:t>Unit</w:t>
            </w:r>
          </w:p>
        </w:tc>
        <w:tc>
          <w:tcPr>
            <w:tcW w:w="1806" w:type="dxa"/>
            <w:shd w:val="clear" w:color="auto" w:fill="1B3A6B"/>
          </w:tcPr>
          <w:p w14:paraId="31FEA732" w14:textId="77777777" w:rsidR="00535AD5" w:rsidRDefault="000F4CA5">
            <w:r>
              <w:rPr>
                <w:rFonts w:ascii="Arial" w:hAnsi="Arial"/>
                <w:b/>
                <w:color w:val="FFFFFF"/>
                <w:sz w:val="18"/>
              </w:rPr>
              <w:t>Emissions (tCO₂e)</w:t>
            </w:r>
          </w:p>
        </w:tc>
        <w:tc>
          <w:tcPr>
            <w:tcW w:w="1806" w:type="dxa"/>
            <w:shd w:val="clear" w:color="auto" w:fill="1B3A6B"/>
          </w:tcPr>
          <w:p w14:paraId="1160EDF4" w14:textId="77777777" w:rsidR="00535AD5" w:rsidRDefault="000F4CA5">
            <w:r>
              <w:rPr>
                <w:rFonts w:ascii="Arial" w:hAnsi="Arial"/>
                <w:b/>
                <w:color w:val="FFFFFF"/>
                <w:sz w:val="18"/>
              </w:rPr>
              <w:t>% of Scope 1</w:t>
            </w:r>
          </w:p>
        </w:tc>
      </w:tr>
      <w:tr w:rsidR="00535AD5" w14:paraId="7C1DEC18" w14:textId="77777777">
        <w:trPr>
          <w:jc w:val="center"/>
        </w:trPr>
        <w:tc>
          <w:tcPr>
            <w:tcW w:w="1806" w:type="dxa"/>
          </w:tcPr>
          <w:p w14:paraId="51AC6A62" w14:textId="77777777" w:rsidR="00535AD5" w:rsidRDefault="000F4CA5">
            <w:r>
              <w:rPr>
                <w:rFonts w:ascii="Arial" w:hAnsi="Arial"/>
                <w:sz w:val="18"/>
              </w:rPr>
              <w:t xml:space="preserve">Natural Gas </w:t>
            </w:r>
            <w:r>
              <w:rPr>
                <w:rFonts w:ascii="Arial" w:hAnsi="Arial"/>
                <w:sz w:val="18"/>
              </w:rPr>
              <w:lastRenderedPageBreak/>
              <w:t>Combustion</w:t>
            </w:r>
          </w:p>
        </w:tc>
        <w:tc>
          <w:tcPr>
            <w:tcW w:w="1806" w:type="dxa"/>
          </w:tcPr>
          <w:p w14:paraId="5E7A09A4" w14:textId="77777777" w:rsidR="00535AD5" w:rsidRDefault="000F4CA5">
            <w:pPr>
              <w:jc w:val="right"/>
            </w:pPr>
            <w:r>
              <w:rPr>
                <w:rFonts w:ascii="Arial" w:hAnsi="Arial"/>
                <w:sz w:val="18"/>
              </w:rPr>
              <w:lastRenderedPageBreak/>
              <w:t>21,368.42</w:t>
            </w:r>
          </w:p>
        </w:tc>
        <w:tc>
          <w:tcPr>
            <w:tcW w:w="1806" w:type="dxa"/>
          </w:tcPr>
          <w:p w14:paraId="0AD0C2D4" w14:textId="77777777" w:rsidR="00535AD5" w:rsidRDefault="000F4CA5">
            <w:r>
              <w:rPr>
                <w:rFonts w:ascii="Arial" w:hAnsi="Arial"/>
                <w:sz w:val="18"/>
              </w:rPr>
              <w:t>GJ</w:t>
            </w:r>
          </w:p>
        </w:tc>
        <w:tc>
          <w:tcPr>
            <w:tcW w:w="1806" w:type="dxa"/>
          </w:tcPr>
          <w:p w14:paraId="05CF0839" w14:textId="77777777" w:rsidR="00535AD5" w:rsidRDefault="000F4CA5">
            <w:pPr>
              <w:jc w:val="right"/>
            </w:pPr>
            <w:r>
              <w:rPr>
                <w:rFonts w:ascii="Arial" w:hAnsi="Arial"/>
                <w:sz w:val="18"/>
              </w:rPr>
              <w:t>1,199.7924</w:t>
            </w:r>
          </w:p>
        </w:tc>
        <w:tc>
          <w:tcPr>
            <w:tcW w:w="1806" w:type="dxa"/>
          </w:tcPr>
          <w:p w14:paraId="727B37F0" w14:textId="77777777" w:rsidR="00535AD5" w:rsidRDefault="000F4CA5">
            <w:pPr>
              <w:jc w:val="right"/>
            </w:pPr>
            <w:r>
              <w:rPr>
                <w:rFonts w:ascii="Arial" w:hAnsi="Arial"/>
                <w:sz w:val="18"/>
              </w:rPr>
              <w:t>35.3%</w:t>
            </w:r>
          </w:p>
        </w:tc>
      </w:tr>
      <w:tr w:rsidR="00535AD5" w14:paraId="2D4F799C" w14:textId="77777777">
        <w:trPr>
          <w:jc w:val="center"/>
        </w:trPr>
        <w:tc>
          <w:tcPr>
            <w:tcW w:w="1806" w:type="dxa"/>
            <w:shd w:val="clear" w:color="auto" w:fill="F2F6FC"/>
          </w:tcPr>
          <w:p w14:paraId="22F742F1" w14:textId="77777777" w:rsidR="00535AD5" w:rsidRDefault="000F4CA5">
            <w:r>
              <w:rPr>
                <w:rFonts w:ascii="Arial" w:hAnsi="Arial"/>
                <w:sz w:val="18"/>
              </w:rPr>
              <w:t>Diesel Fuel Combustion</w:t>
            </w:r>
          </w:p>
        </w:tc>
        <w:tc>
          <w:tcPr>
            <w:tcW w:w="1806" w:type="dxa"/>
            <w:shd w:val="clear" w:color="auto" w:fill="F2F6FC"/>
          </w:tcPr>
          <w:p w14:paraId="02CFD286" w14:textId="77777777" w:rsidR="00535AD5" w:rsidRDefault="000F4CA5">
            <w:pPr>
              <w:jc w:val="right"/>
            </w:pPr>
            <w:r>
              <w:rPr>
                <w:rFonts w:ascii="Arial" w:hAnsi="Arial"/>
                <w:sz w:val="18"/>
              </w:rPr>
              <w:t>856,766.22</w:t>
            </w:r>
          </w:p>
        </w:tc>
        <w:tc>
          <w:tcPr>
            <w:tcW w:w="1806" w:type="dxa"/>
            <w:shd w:val="clear" w:color="auto" w:fill="F2F6FC"/>
          </w:tcPr>
          <w:p w14:paraId="79CC1047" w14:textId="77777777" w:rsidR="00535AD5" w:rsidRDefault="000F4CA5">
            <w:r>
              <w:rPr>
                <w:rFonts w:ascii="Arial" w:hAnsi="Arial"/>
                <w:sz w:val="18"/>
              </w:rPr>
              <w:t>Liters</w:t>
            </w:r>
          </w:p>
        </w:tc>
        <w:tc>
          <w:tcPr>
            <w:tcW w:w="1806" w:type="dxa"/>
            <w:shd w:val="clear" w:color="auto" w:fill="F2F6FC"/>
          </w:tcPr>
          <w:p w14:paraId="24997D71" w14:textId="77777777" w:rsidR="00535AD5" w:rsidRDefault="000F4CA5">
            <w:pPr>
              <w:jc w:val="right"/>
            </w:pPr>
            <w:r>
              <w:rPr>
                <w:rFonts w:ascii="Arial" w:hAnsi="Arial"/>
                <w:sz w:val="18"/>
              </w:rPr>
              <w:t>2,203.2044</w:t>
            </w:r>
          </w:p>
        </w:tc>
        <w:tc>
          <w:tcPr>
            <w:tcW w:w="1806" w:type="dxa"/>
            <w:shd w:val="clear" w:color="auto" w:fill="F2F6FC"/>
          </w:tcPr>
          <w:p w14:paraId="2F6E1605" w14:textId="77777777" w:rsidR="00535AD5" w:rsidRDefault="000F4CA5">
            <w:pPr>
              <w:jc w:val="right"/>
            </w:pPr>
            <w:r>
              <w:rPr>
                <w:rFonts w:ascii="Arial" w:hAnsi="Arial"/>
                <w:sz w:val="18"/>
              </w:rPr>
              <w:t>64.7%</w:t>
            </w:r>
          </w:p>
        </w:tc>
      </w:tr>
      <w:tr w:rsidR="00535AD5" w14:paraId="229859B7" w14:textId="77777777">
        <w:trPr>
          <w:jc w:val="center"/>
        </w:trPr>
        <w:tc>
          <w:tcPr>
            <w:tcW w:w="1806" w:type="dxa"/>
          </w:tcPr>
          <w:p w14:paraId="5CF92D90" w14:textId="77777777" w:rsidR="00535AD5" w:rsidRDefault="000F4CA5">
            <w:r>
              <w:rPr>
                <w:rFonts w:ascii="Arial" w:hAnsi="Arial"/>
                <w:sz w:val="18"/>
              </w:rPr>
              <w:t>**Total Scope 1**</w:t>
            </w:r>
          </w:p>
        </w:tc>
        <w:tc>
          <w:tcPr>
            <w:tcW w:w="1806" w:type="dxa"/>
          </w:tcPr>
          <w:p w14:paraId="5E55C99F" w14:textId="77777777" w:rsidR="00535AD5" w:rsidRDefault="000F4CA5">
            <w:r>
              <w:rPr>
                <w:rFonts w:ascii="Arial" w:hAnsi="Arial"/>
                <w:sz w:val="18"/>
              </w:rPr>
              <w:t>—</w:t>
            </w:r>
          </w:p>
        </w:tc>
        <w:tc>
          <w:tcPr>
            <w:tcW w:w="1806" w:type="dxa"/>
          </w:tcPr>
          <w:p w14:paraId="1C24D093" w14:textId="77777777" w:rsidR="00535AD5" w:rsidRDefault="000F4CA5">
            <w:r>
              <w:rPr>
                <w:rFonts w:ascii="Arial" w:hAnsi="Arial"/>
                <w:sz w:val="18"/>
              </w:rPr>
              <w:t>—</w:t>
            </w:r>
          </w:p>
        </w:tc>
        <w:tc>
          <w:tcPr>
            <w:tcW w:w="1806" w:type="dxa"/>
          </w:tcPr>
          <w:p w14:paraId="4B625BE3" w14:textId="77777777" w:rsidR="00535AD5" w:rsidRDefault="000F4CA5">
            <w:r>
              <w:rPr>
                <w:rFonts w:ascii="Arial" w:hAnsi="Arial"/>
                <w:sz w:val="18"/>
              </w:rPr>
              <w:t>**3,402.997**</w:t>
            </w:r>
          </w:p>
        </w:tc>
        <w:tc>
          <w:tcPr>
            <w:tcW w:w="1806" w:type="dxa"/>
          </w:tcPr>
          <w:p w14:paraId="176BEE0E" w14:textId="77777777" w:rsidR="00535AD5" w:rsidRDefault="000F4CA5">
            <w:r>
              <w:rPr>
                <w:rFonts w:ascii="Arial" w:hAnsi="Arial"/>
                <w:sz w:val="18"/>
              </w:rPr>
              <w:t>**100.0%**</w:t>
            </w:r>
          </w:p>
        </w:tc>
      </w:tr>
    </w:tbl>
    <w:p w14:paraId="49B69806" w14:textId="77777777" w:rsidR="00535AD5" w:rsidRDefault="000F4CA5">
      <w:r>
        <w:rPr>
          <w:rFonts w:ascii="Arial" w:hAnsi="Arial"/>
          <w:i/>
          <w:sz w:val="16"/>
        </w:rPr>
        <w:t>Source: Source: Facility-level energy consumption data from automated metering systems (95% coverage) and manual meter readings (5% coverage). Emission factors: MEMR National Emission Factor Database 2023. GWP values: IPCC AR6.</w:t>
      </w:r>
    </w:p>
    <w:p w14:paraId="7CF2F026" w14:textId="77777777" w:rsidR="00535AD5" w:rsidRDefault="00535AD5"/>
    <w:p w14:paraId="0EF3D712" w14:textId="77777777" w:rsidR="00535AD5" w:rsidRDefault="000F4CA5">
      <w:r>
        <w:rPr>
          <w:rFonts w:ascii="Arial" w:hAnsi="Arial"/>
          <w:b/>
          <w:sz w:val="20"/>
        </w:rPr>
        <w:t>Table 2: Scope 1 Emissions Trend (2023–2024)</w:t>
      </w:r>
    </w:p>
    <w:tbl>
      <w:tblPr>
        <w:tblW w:w="0" w:type="auto"/>
        <w:jc w:val="center"/>
        <w:tblLook w:val="04A0" w:firstRow="1" w:lastRow="0" w:firstColumn="1" w:lastColumn="0" w:noHBand="0" w:noVBand="1"/>
      </w:tblPr>
      <w:tblGrid>
        <w:gridCol w:w="1806"/>
        <w:gridCol w:w="1806"/>
        <w:gridCol w:w="1806"/>
        <w:gridCol w:w="1806"/>
        <w:gridCol w:w="1806"/>
      </w:tblGrid>
      <w:tr w:rsidR="00535AD5" w14:paraId="62E066CB" w14:textId="77777777">
        <w:trPr>
          <w:jc w:val="center"/>
        </w:trPr>
        <w:tc>
          <w:tcPr>
            <w:tcW w:w="1806" w:type="dxa"/>
            <w:shd w:val="clear" w:color="auto" w:fill="1B3A6B"/>
          </w:tcPr>
          <w:p w14:paraId="3B8E8B5B" w14:textId="77777777" w:rsidR="00535AD5" w:rsidRDefault="000F4CA5">
            <w:r>
              <w:rPr>
                <w:rFonts w:ascii="Arial" w:hAnsi="Arial"/>
                <w:b/>
                <w:color w:val="FFFFFF"/>
                <w:sz w:val="18"/>
              </w:rPr>
              <w:t>Reporting Period</w:t>
            </w:r>
          </w:p>
        </w:tc>
        <w:tc>
          <w:tcPr>
            <w:tcW w:w="1806" w:type="dxa"/>
            <w:shd w:val="clear" w:color="auto" w:fill="1B3A6B"/>
          </w:tcPr>
          <w:p w14:paraId="6684F647" w14:textId="77777777" w:rsidR="00535AD5" w:rsidRDefault="000F4CA5">
            <w:r>
              <w:rPr>
                <w:rFonts w:ascii="Arial" w:hAnsi="Arial"/>
                <w:b/>
                <w:color w:val="FFFFFF"/>
                <w:sz w:val="18"/>
              </w:rPr>
              <w:t>Natural Gas (tCO₂e)</w:t>
            </w:r>
          </w:p>
        </w:tc>
        <w:tc>
          <w:tcPr>
            <w:tcW w:w="1806" w:type="dxa"/>
            <w:shd w:val="clear" w:color="auto" w:fill="1B3A6B"/>
          </w:tcPr>
          <w:p w14:paraId="15E8E1EE" w14:textId="77777777" w:rsidR="00535AD5" w:rsidRDefault="000F4CA5">
            <w:r>
              <w:rPr>
                <w:rFonts w:ascii="Arial" w:hAnsi="Arial"/>
                <w:b/>
                <w:color w:val="FFFFFF"/>
                <w:sz w:val="18"/>
              </w:rPr>
              <w:t>Diesel (tCO₂e)</w:t>
            </w:r>
          </w:p>
        </w:tc>
        <w:tc>
          <w:tcPr>
            <w:tcW w:w="1806" w:type="dxa"/>
            <w:shd w:val="clear" w:color="auto" w:fill="1B3A6B"/>
          </w:tcPr>
          <w:p w14:paraId="22301CAA" w14:textId="77777777" w:rsidR="00535AD5" w:rsidRDefault="000F4CA5">
            <w:r>
              <w:rPr>
                <w:rFonts w:ascii="Arial" w:hAnsi="Arial"/>
                <w:b/>
                <w:color w:val="FFFFFF"/>
                <w:sz w:val="18"/>
              </w:rPr>
              <w:t>Total Scope 1 (tCO₂e)</w:t>
            </w:r>
          </w:p>
        </w:tc>
        <w:tc>
          <w:tcPr>
            <w:tcW w:w="1806" w:type="dxa"/>
            <w:shd w:val="clear" w:color="auto" w:fill="1B3A6B"/>
          </w:tcPr>
          <w:p w14:paraId="2AC857E3" w14:textId="77777777" w:rsidR="00535AD5" w:rsidRDefault="000F4CA5">
            <w:r>
              <w:rPr>
                <w:rFonts w:ascii="Arial" w:hAnsi="Arial"/>
                <w:b/>
                <w:color w:val="FFFFFF"/>
                <w:sz w:val="18"/>
              </w:rPr>
              <w:t>YoY Change (%)</w:t>
            </w:r>
          </w:p>
        </w:tc>
      </w:tr>
      <w:tr w:rsidR="00535AD5" w14:paraId="22CEDAB7" w14:textId="77777777">
        <w:trPr>
          <w:jc w:val="center"/>
        </w:trPr>
        <w:tc>
          <w:tcPr>
            <w:tcW w:w="1806" w:type="dxa"/>
          </w:tcPr>
          <w:p w14:paraId="55D476F3" w14:textId="77777777" w:rsidR="00535AD5" w:rsidRDefault="000F4CA5">
            <w:pPr>
              <w:jc w:val="right"/>
            </w:pPr>
            <w:r>
              <w:rPr>
                <w:rFonts w:ascii="Arial" w:hAnsi="Arial"/>
                <w:sz w:val="18"/>
              </w:rPr>
              <w:t>2023</w:t>
            </w:r>
          </w:p>
        </w:tc>
        <w:tc>
          <w:tcPr>
            <w:tcW w:w="1806" w:type="dxa"/>
          </w:tcPr>
          <w:p w14:paraId="52E4361F" w14:textId="77777777" w:rsidR="00535AD5" w:rsidRDefault="000F4CA5">
            <w:pPr>
              <w:jc w:val="right"/>
            </w:pPr>
            <w:r>
              <w:rPr>
                <w:rFonts w:ascii="Arial" w:hAnsi="Arial"/>
                <w:sz w:val="18"/>
              </w:rPr>
              <w:t>1,199.0321</w:t>
            </w:r>
          </w:p>
        </w:tc>
        <w:tc>
          <w:tcPr>
            <w:tcW w:w="1806" w:type="dxa"/>
          </w:tcPr>
          <w:p w14:paraId="17FD280B" w14:textId="77777777" w:rsidR="00535AD5" w:rsidRDefault="000F4CA5">
            <w:pPr>
              <w:jc w:val="right"/>
            </w:pPr>
            <w:r>
              <w:rPr>
                <w:rFonts w:ascii="Arial" w:hAnsi="Arial"/>
                <w:sz w:val="18"/>
              </w:rPr>
              <w:t>2,125.4888</w:t>
            </w:r>
          </w:p>
        </w:tc>
        <w:tc>
          <w:tcPr>
            <w:tcW w:w="1806" w:type="dxa"/>
          </w:tcPr>
          <w:p w14:paraId="65F5ED3C" w14:textId="77777777" w:rsidR="00535AD5" w:rsidRDefault="000F4CA5">
            <w:pPr>
              <w:jc w:val="right"/>
            </w:pPr>
            <w:r>
              <w:rPr>
                <w:rFonts w:ascii="Arial" w:hAnsi="Arial"/>
                <w:sz w:val="18"/>
              </w:rPr>
              <w:t>3,324.521</w:t>
            </w:r>
          </w:p>
        </w:tc>
        <w:tc>
          <w:tcPr>
            <w:tcW w:w="1806" w:type="dxa"/>
          </w:tcPr>
          <w:p w14:paraId="269AFC54" w14:textId="77777777" w:rsidR="00535AD5" w:rsidRDefault="000F4CA5">
            <w:r>
              <w:rPr>
                <w:rFonts w:ascii="Arial" w:hAnsi="Arial"/>
                <w:sz w:val="18"/>
              </w:rPr>
              <w:t>—</w:t>
            </w:r>
          </w:p>
        </w:tc>
      </w:tr>
      <w:tr w:rsidR="00535AD5" w14:paraId="7EF597DA" w14:textId="77777777">
        <w:trPr>
          <w:jc w:val="center"/>
        </w:trPr>
        <w:tc>
          <w:tcPr>
            <w:tcW w:w="1806" w:type="dxa"/>
            <w:shd w:val="clear" w:color="auto" w:fill="F2F6FC"/>
          </w:tcPr>
          <w:p w14:paraId="74A95ACB" w14:textId="77777777" w:rsidR="00535AD5" w:rsidRDefault="000F4CA5">
            <w:pPr>
              <w:jc w:val="right"/>
            </w:pPr>
            <w:r>
              <w:rPr>
                <w:rFonts w:ascii="Arial" w:hAnsi="Arial"/>
                <w:sz w:val="18"/>
              </w:rPr>
              <w:t>2024</w:t>
            </w:r>
          </w:p>
        </w:tc>
        <w:tc>
          <w:tcPr>
            <w:tcW w:w="1806" w:type="dxa"/>
            <w:shd w:val="clear" w:color="auto" w:fill="F2F6FC"/>
          </w:tcPr>
          <w:p w14:paraId="200D266B" w14:textId="77777777" w:rsidR="00535AD5" w:rsidRDefault="000F4CA5">
            <w:pPr>
              <w:jc w:val="right"/>
            </w:pPr>
            <w:r>
              <w:rPr>
                <w:rFonts w:ascii="Arial" w:hAnsi="Arial"/>
                <w:sz w:val="18"/>
              </w:rPr>
              <w:t>1,199.7924</w:t>
            </w:r>
          </w:p>
        </w:tc>
        <w:tc>
          <w:tcPr>
            <w:tcW w:w="1806" w:type="dxa"/>
            <w:shd w:val="clear" w:color="auto" w:fill="F2F6FC"/>
          </w:tcPr>
          <w:p w14:paraId="33879656" w14:textId="77777777" w:rsidR="00535AD5" w:rsidRDefault="000F4CA5">
            <w:pPr>
              <w:jc w:val="right"/>
            </w:pPr>
            <w:r>
              <w:rPr>
                <w:rFonts w:ascii="Arial" w:hAnsi="Arial"/>
                <w:sz w:val="18"/>
              </w:rPr>
              <w:t>2,203.2044</w:t>
            </w:r>
          </w:p>
        </w:tc>
        <w:tc>
          <w:tcPr>
            <w:tcW w:w="1806" w:type="dxa"/>
            <w:shd w:val="clear" w:color="auto" w:fill="F2F6FC"/>
          </w:tcPr>
          <w:p w14:paraId="739F354F" w14:textId="77777777" w:rsidR="00535AD5" w:rsidRDefault="000F4CA5">
            <w:pPr>
              <w:jc w:val="right"/>
            </w:pPr>
            <w:r>
              <w:rPr>
                <w:rFonts w:ascii="Arial" w:hAnsi="Arial"/>
                <w:sz w:val="18"/>
              </w:rPr>
              <w:t>3,402.997</w:t>
            </w:r>
          </w:p>
        </w:tc>
        <w:tc>
          <w:tcPr>
            <w:tcW w:w="1806" w:type="dxa"/>
            <w:shd w:val="clear" w:color="auto" w:fill="F2F6FC"/>
          </w:tcPr>
          <w:p w14:paraId="3DCD1042" w14:textId="77777777" w:rsidR="00535AD5" w:rsidRDefault="000F4CA5">
            <w:pPr>
              <w:jc w:val="right"/>
            </w:pPr>
            <w:r>
              <w:rPr>
                <w:rFonts w:ascii="Arial" w:hAnsi="Arial"/>
                <w:sz w:val="18"/>
              </w:rPr>
              <w:t>+2.36%</w:t>
            </w:r>
          </w:p>
        </w:tc>
      </w:tr>
    </w:tbl>
    <w:p w14:paraId="2ECF8B45" w14:textId="77777777" w:rsidR="00535AD5" w:rsidRDefault="000F4CA5">
      <w:r>
        <w:rPr>
          <w:rFonts w:ascii="Arial" w:hAnsi="Arial"/>
          <w:i/>
          <w:sz w:val="16"/>
        </w:rPr>
        <w:t>Source: Source: Annual GHG inventory calculations per GHG Protocol Corporate Standard. 2024 is the designated base year for climate target tracking.</w:t>
      </w:r>
    </w:p>
    <w:p w14:paraId="6B1EA051" w14:textId="77777777" w:rsidR="00535AD5" w:rsidRDefault="00535AD5"/>
    <w:p w14:paraId="10F943DB" w14:textId="77777777" w:rsidR="00535AD5" w:rsidRDefault="000F4CA5">
      <w:r>
        <w:rPr>
          <w:i/>
          <w:color w:val="3D6094"/>
          <w:sz w:val="18"/>
        </w:rPr>
        <w:t>Framework references: IFRS S2 paragraph 29(a)(i) — Cross-industry metric: Absolute gross Scope 1 GHG emissions; GHG Protocol Corporate Accounting and Reporting Standard (2015); IPCC Sixth Assessment Report (AR6) — GWP100 values; IPCC 2006 Guidelines for National Greenhouse Gas Inventories</w:t>
      </w:r>
    </w:p>
    <w:p w14:paraId="45ACE8EC" w14:textId="77777777" w:rsidR="00535AD5" w:rsidRDefault="00535AD5">
      <w:pPr>
        <w:pBdr>
          <w:bottom w:val="single" w:sz="6" w:space="1" w:color="999999"/>
        </w:pBdr>
        <w:spacing w:after="80"/>
      </w:pPr>
    </w:p>
    <w:p w14:paraId="157080B3" w14:textId="77777777" w:rsidR="00535AD5" w:rsidRDefault="000F4CA5">
      <w:pPr>
        <w:spacing w:after="160"/>
        <w:jc w:val="both"/>
      </w:pPr>
      <w:r>
        <w:rPr>
          <w:rFonts w:ascii="Arial" w:hAnsi="Arial"/>
          <w:i/>
          <w:color w:val="646464"/>
          <w:sz w:val="18"/>
        </w:rPr>
        <w:t>Scope 1 emissions are reported under the operational control consolidation approach, encompassing all facilities where the institution has full authority to introduce and implement operating policies.</w:t>
      </w:r>
    </w:p>
    <w:p w14:paraId="18061A23" w14:textId="77777777" w:rsidR="00535AD5" w:rsidRDefault="000F4CA5">
      <w:pPr>
        <w:spacing w:after="160"/>
        <w:jc w:val="both"/>
      </w:pPr>
      <w:r>
        <w:rPr>
          <w:rFonts w:ascii="Arial" w:hAnsi="Arial"/>
          <w:i/>
          <w:color w:val="646464"/>
          <w:sz w:val="18"/>
        </w:rPr>
        <w:t>Emission factors applied: Natural gas = 56.1 kgCO₂e/GJ; Diesel = 2.571 kgCO₂e/liter (MEMR 2023). GWP values per IPCC AR6: CH₄ = 29.8, N₂O = 273.0.</w:t>
      </w:r>
    </w:p>
    <w:p w14:paraId="3D2572A7" w14:textId="77777777" w:rsidR="00535AD5" w:rsidRDefault="000F4CA5">
      <w:pPr>
        <w:spacing w:after="160"/>
        <w:jc w:val="both"/>
      </w:pPr>
      <w:r>
        <w:rPr>
          <w:rFonts w:ascii="Arial" w:hAnsi="Arial"/>
          <w:i/>
          <w:color w:val="646464"/>
          <w:sz w:val="18"/>
        </w:rPr>
        <w:t>Activity data quality: 95% of facilities equipped with automated interval metering (data quality score: 1); 5% rely on monthly manual meter readings with interpolation for missing data points (data quality score: 2).</w:t>
      </w:r>
    </w:p>
    <w:p w14:paraId="60AC4483" w14:textId="77777777" w:rsidR="00535AD5" w:rsidRDefault="000F4CA5">
      <w:pPr>
        <w:spacing w:after="160"/>
        <w:jc w:val="both"/>
      </w:pPr>
      <w:r>
        <w:rPr>
          <w:rFonts w:ascii="Arial" w:hAnsi="Arial"/>
          <w:i/>
          <w:color w:val="646464"/>
          <w:sz w:val="18"/>
        </w:rPr>
        <w:t>Biogenic CO₂ emissions are excluded from Scope 1 totals per GHG Protocol requirements. No biofuel combustion occurred during the reporting period.</w:t>
      </w:r>
    </w:p>
    <w:p w14:paraId="4BCD393E" w14:textId="77777777" w:rsidR="00535AD5" w:rsidRDefault="000F4CA5">
      <w:r>
        <w:br w:type="page"/>
      </w:r>
    </w:p>
    <w:p w14:paraId="1B19EFB2" w14:textId="77777777" w:rsidR="00535AD5" w:rsidRDefault="000F4CA5">
      <w:pPr>
        <w:pStyle w:val="Heading1"/>
        <w:spacing w:after="240"/>
      </w:pPr>
      <w:bookmarkStart w:id="5" w:name="_Toc231920340"/>
      <w:r>
        <w:rPr>
          <w:rFonts w:ascii="Arial" w:hAnsi="Arial"/>
          <w:color w:val="1B3A6B"/>
          <w:sz w:val="36"/>
        </w:rPr>
        <w:lastRenderedPageBreak/>
        <w:t>ESRS E1-6: Direct (Scope 1) GHG Emissions</w:t>
      </w:r>
      <w:bookmarkEnd w:id="5"/>
    </w:p>
    <w:p w14:paraId="4D0D2FEB" w14:textId="77777777" w:rsidR="00535AD5" w:rsidRDefault="000F4CA5">
      <w:pPr>
        <w:spacing w:after="160"/>
        <w:jc w:val="both"/>
      </w:pPr>
      <w:r>
        <w:rPr>
          <w:rFonts w:ascii="Arial" w:hAnsi="Arial"/>
        </w:rPr>
        <w:t>**Double Materiality Context**: Climate change has been assessed as material under both impact materiality (the institution's impact on climate through GHG emissions) and financial materiality (climate-related risks and opportunities affecting the institution's financial position, performance, and cash flows). Scope 1 emissions represent the institution's direct contribution to climate change through combustion of fossil fuels in owned or controlled sources.</w:t>
      </w:r>
    </w:p>
    <w:p w14:paraId="0DF42350" w14:textId="77777777" w:rsidR="00535AD5" w:rsidRDefault="000F4CA5">
      <w:pPr>
        <w:spacing w:after="160"/>
        <w:jc w:val="both"/>
      </w:pPr>
      <w:r>
        <w:rPr>
          <w:rFonts w:ascii="Arial" w:hAnsi="Arial"/>
        </w:rPr>
        <w:t>For the reporting period ending 31 December 2024, the institution's total Scope 1 direct greenhouse gas emissions were 3,402.997 tCO₂e. These emissions arise from stationary combustion sources at operational facilities under the institution's operational control, comprising natural gas consumption in heating and backup power systems, and diesel fuel consumption in emergency generators and fleet vehicles.</w:t>
      </w:r>
    </w:p>
    <w:p w14:paraId="69FB7ED7" w14:textId="77777777" w:rsidR="00535AD5" w:rsidRDefault="000F4CA5">
      <w:pPr>
        <w:spacing w:after="160"/>
        <w:jc w:val="both"/>
      </w:pPr>
      <w:r>
        <w:rPr>
          <w:rFonts w:ascii="Arial" w:hAnsi="Arial"/>
        </w:rPr>
        <w:t>The emission sources comprise two primary fuel types: natural gas combustion contributed 1,199.7924 tCO₂e (35.3% of total Scope 1), while diesel combustion accounted for 2,203.2044 tCO₂e (64.7% of total Scope 1). The higher proportion of diesel-related emissions reflects the institution's reliance on backup diesel generators across branch networks and operational vehicles for business continuity purposes.</w:t>
      </w:r>
    </w:p>
    <w:p w14:paraId="703DE295" w14:textId="77777777" w:rsidR="00535AD5" w:rsidRDefault="000F4CA5">
      <w:pPr>
        <w:spacing w:after="160"/>
        <w:jc w:val="both"/>
      </w:pPr>
      <w:r>
        <w:rPr>
          <w:rFonts w:ascii="Arial" w:hAnsi="Arial"/>
          <w:i/>
        </w:rPr>
        <w:t>**Methodology and Calculation Approach**: Scope 1 emissions were calculated in accordance with the GHG Protocol Corporate Accounting and Reporting Standard (2015 revision) using the operational control consolidation approach. Emission factors were sourced from Indonesia's Ministry of Energy and Mineral Resources (MEMR) 2023 guidelines for stationary combustion. Global Warming Potential (GWP) values applied are from the IPCC Sixth Assessment Report (AR6) with a 100-year time horizon: CO₂ = 1, CH₄ = 29.8, N₂O</w:t>
      </w:r>
      <w:r>
        <w:rPr>
          <w:rFonts w:ascii="Arial" w:hAnsi="Arial"/>
          <w:i/>
        </w:rPr>
        <w:t xml:space="preserve"> = 273.0. All three Kyoto Protocol gases (CO₂, CH₄, N₂O) are included in the calculation scope.</w:t>
      </w:r>
    </w:p>
    <w:p w14:paraId="112A5E3A" w14:textId="77777777" w:rsidR="00535AD5" w:rsidRDefault="000F4CA5">
      <w:pPr>
        <w:spacing w:after="160"/>
        <w:jc w:val="both"/>
      </w:pPr>
      <w:r>
        <w:rPr>
          <w:rFonts w:ascii="Arial" w:hAnsi="Arial"/>
        </w:rPr>
        <w:t>Compared to the prior reporting period (2023: 3,324.521 tCO₂e), Scope 1 emissions increased by 2.36%, representing an absolute increase of 78.476 tCO₂e. This increase is attributable to the expansion of branch network operations (3 new branches commissioned in Q2-Q3 2024) and increased diesel generator runtime during grid instability events in Q4 2024. Natural gas consumption remained relatively stable year-over-year (2024: 1,199.7924 tCO₂e vs 2023: 1,199.0321 tCO₂e, +0.06%), while diesel consumption increa</w:t>
      </w:r>
      <w:r>
        <w:rPr>
          <w:rFonts w:ascii="Arial" w:hAnsi="Arial"/>
        </w:rPr>
        <w:t>sed 3.66% (2024: 2,203.2044 tCO₂e vs 2023: 2,125.4888 tCO₂e).</w:t>
      </w:r>
    </w:p>
    <w:p w14:paraId="216D805C" w14:textId="77777777" w:rsidR="00535AD5" w:rsidRDefault="000F4CA5">
      <w:pPr>
        <w:spacing w:after="160"/>
        <w:jc w:val="both"/>
      </w:pPr>
      <w:r>
        <w:rPr>
          <w:rFonts w:ascii="Arial" w:hAnsi="Arial"/>
        </w:rPr>
        <w:t>The institution has designated 2023 as the base year for GHG emissions tracking. Against this baseline, Scope 1 emissions have increased 2.36%, indicating a deviation from the institution's climate mitigation trajectory. This trend requires corrective action to align with the institution's stated commitment to reduce absolute emissions in line with a 1.5°C pathway.</w:t>
      </w:r>
    </w:p>
    <w:p w14:paraId="00E20020" w14:textId="77777777" w:rsidR="00535AD5" w:rsidRDefault="000F4CA5">
      <w:pPr>
        <w:spacing w:after="160"/>
        <w:jc w:val="both"/>
      </w:pPr>
      <w:r>
        <w:rPr>
          <w:rFonts w:ascii="Arial" w:hAnsi="Arial"/>
        </w:rPr>
        <w:t>**Value Chain Context**: Scope 1 emissions represent the institution's own operations component of its climate impact. These direct emissions, while material in absolute terms, constitute a minor fraction (0.02%) of the institution's total carbon footprint when financed emissions (Scope 3 Category 15) are included. However, operational emissions remain within the institution's direct control and serve as a demonstration of climate leadership to stakeholders and clients.</w:t>
      </w:r>
    </w:p>
    <w:p w14:paraId="792B6FAA" w14:textId="77777777" w:rsidR="00535AD5" w:rsidRDefault="000F4CA5">
      <w:r>
        <w:rPr>
          <w:rFonts w:ascii="Arial" w:hAnsi="Arial"/>
          <w:b/>
          <w:sz w:val="20"/>
        </w:rPr>
        <w:lastRenderedPageBreak/>
        <w:t>Table E1-6a: Scope 1 Direct GHG Emissions by Source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535AD5" w14:paraId="14A779B7" w14:textId="77777777">
        <w:trPr>
          <w:jc w:val="center"/>
        </w:trPr>
        <w:tc>
          <w:tcPr>
            <w:tcW w:w="1505" w:type="dxa"/>
            <w:shd w:val="clear" w:color="auto" w:fill="1B3A6B"/>
          </w:tcPr>
          <w:p w14:paraId="1267B4C3" w14:textId="77777777" w:rsidR="00535AD5" w:rsidRDefault="000F4CA5">
            <w:r>
              <w:rPr>
                <w:rFonts w:ascii="Arial" w:hAnsi="Arial"/>
                <w:b/>
                <w:color w:val="FFFFFF"/>
                <w:sz w:val="18"/>
              </w:rPr>
              <w:t>Emission Source</w:t>
            </w:r>
          </w:p>
        </w:tc>
        <w:tc>
          <w:tcPr>
            <w:tcW w:w="1505" w:type="dxa"/>
            <w:shd w:val="clear" w:color="auto" w:fill="1B3A6B"/>
          </w:tcPr>
          <w:p w14:paraId="2F8E605A" w14:textId="77777777" w:rsidR="00535AD5" w:rsidRDefault="000F4CA5">
            <w:r>
              <w:rPr>
                <w:rFonts w:ascii="Arial" w:hAnsi="Arial"/>
                <w:b/>
                <w:color w:val="FFFFFF"/>
                <w:sz w:val="18"/>
              </w:rPr>
              <w:t>Fuel Type</w:t>
            </w:r>
          </w:p>
        </w:tc>
        <w:tc>
          <w:tcPr>
            <w:tcW w:w="1505" w:type="dxa"/>
            <w:shd w:val="clear" w:color="auto" w:fill="1B3A6B"/>
          </w:tcPr>
          <w:p w14:paraId="0413296D" w14:textId="77777777" w:rsidR="00535AD5" w:rsidRDefault="000F4CA5">
            <w:r>
              <w:rPr>
                <w:rFonts w:ascii="Arial" w:hAnsi="Arial"/>
                <w:b/>
                <w:color w:val="FFFFFF"/>
                <w:sz w:val="18"/>
              </w:rPr>
              <w:t>Activity Data</w:t>
            </w:r>
          </w:p>
        </w:tc>
        <w:tc>
          <w:tcPr>
            <w:tcW w:w="1505" w:type="dxa"/>
            <w:shd w:val="clear" w:color="auto" w:fill="1B3A6B"/>
          </w:tcPr>
          <w:p w14:paraId="6E28EE12" w14:textId="77777777" w:rsidR="00535AD5" w:rsidRDefault="000F4CA5">
            <w:r>
              <w:rPr>
                <w:rFonts w:ascii="Arial" w:hAnsi="Arial"/>
                <w:b/>
                <w:color w:val="FFFFFF"/>
                <w:sz w:val="18"/>
              </w:rPr>
              <w:t>Emission Factor</w:t>
            </w:r>
          </w:p>
        </w:tc>
        <w:tc>
          <w:tcPr>
            <w:tcW w:w="1505" w:type="dxa"/>
            <w:shd w:val="clear" w:color="auto" w:fill="1B3A6B"/>
          </w:tcPr>
          <w:p w14:paraId="33422093" w14:textId="77777777" w:rsidR="00535AD5" w:rsidRDefault="000F4CA5">
            <w:r>
              <w:rPr>
                <w:rFonts w:ascii="Arial" w:hAnsi="Arial"/>
                <w:b/>
                <w:color w:val="FFFFFF"/>
                <w:sz w:val="18"/>
              </w:rPr>
              <w:t>GHG Emissions (tCO₂e)</w:t>
            </w:r>
          </w:p>
        </w:tc>
        <w:tc>
          <w:tcPr>
            <w:tcW w:w="1505" w:type="dxa"/>
            <w:shd w:val="clear" w:color="auto" w:fill="1B3A6B"/>
          </w:tcPr>
          <w:p w14:paraId="0AE880F2" w14:textId="77777777" w:rsidR="00535AD5" w:rsidRDefault="000F4CA5">
            <w:r>
              <w:rPr>
                <w:rFonts w:ascii="Arial" w:hAnsi="Arial"/>
                <w:b/>
                <w:color w:val="FFFFFF"/>
                <w:sz w:val="18"/>
              </w:rPr>
              <w:t>% of Scope 1</w:t>
            </w:r>
          </w:p>
        </w:tc>
      </w:tr>
      <w:tr w:rsidR="00535AD5" w14:paraId="066AC53B" w14:textId="77777777">
        <w:trPr>
          <w:jc w:val="center"/>
        </w:trPr>
        <w:tc>
          <w:tcPr>
            <w:tcW w:w="1505" w:type="dxa"/>
          </w:tcPr>
          <w:p w14:paraId="77F524FD" w14:textId="77777777" w:rsidR="00535AD5" w:rsidRDefault="000F4CA5">
            <w:r>
              <w:rPr>
                <w:rFonts w:ascii="Arial" w:hAnsi="Arial"/>
                <w:sz w:val="18"/>
              </w:rPr>
              <w:t>Stationary combustion</w:t>
            </w:r>
          </w:p>
        </w:tc>
        <w:tc>
          <w:tcPr>
            <w:tcW w:w="1505" w:type="dxa"/>
          </w:tcPr>
          <w:p w14:paraId="1298F101" w14:textId="77777777" w:rsidR="00535AD5" w:rsidRDefault="000F4CA5">
            <w:r>
              <w:rPr>
                <w:rFonts w:ascii="Arial" w:hAnsi="Arial"/>
                <w:sz w:val="18"/>
              </w:rPr>
              <w:t>Natural gas</w:t>
            </w:r>
          </w:p>
        </w:tc>
        <w:tc>
          <w:tcPr>
            <w:tcW w:w="1505" w:type="dxa"/>
          </w:tcPr>
          <w:p w14:paraId="106266D8" w14:textId="77777777" w:rsidR="00535AD5" w:rsidRDefault="000F4CA5">
            <w:r>
              <w:rPr>
                <w:rFonts w:ascii="Arial" w:hAnsi="Arial"/>
                <w:sz w:val="18"/>
              </w:rPr>
              <w:t>21,368.34 GJ</w:t>
            </w:r>
          </w:p>
        </w:tc>
        <w:tc>
          <w:tcPr>
            <w:tcW w:w="1505" w:type="dxa"/>
          </w:tcPr>
          <w:p w14:paraId="2A1017C7" w14:textId="77777777" w:rsidR="00535AD5" w:rsidRDefault="000F4CA5">
            <w:r>
              <w:rPr>
                <w:rFonts w:ascii="Arial" w:hAnsi="Arial"/>
                <w:sz w:val="18"/>
              </w:rPr>
              <w:t>0.0562 tCO₂e/GJ</w:t>
            </w:r>
          </w:p>
        </w:tc>
        <w:tc>
          <w:tcPr>
            <w:tcW w:w="1505" w:type="dxa"/>
          </w:tcPr>
          <w:p w14:paraId="466D06AF" w14:textId="77777777" w:rsidR="00535AD5" w:rsidRDefault="000F4CA5">
            <w:pPr>
              <w:jc w:val="right"/>
            </w:pPr>
            <w:r>
              <w:rPr>
                <w:rFonts w:ascii="Arial" w:hAnsi="Arial"/>
                <w:sz w:val="18"/>
              </w:rPr>
              <w:t>1,199.7924</w:t>
            </w:r>
          </w:p>
        </w:tc>
        <w:tc>
          <w:tcPr>
            <w:tcW w:w="1505" w:type="dxa"/>
          </w:tcPr>
          <w:p w14:paraId="5FA635CC" w14:textId="77777777" w:rsidR="00535AD5" w:rsidRDefault="000F4CA5">
            <w:pPr>
              <w:jc w:val="right"/>
            </w:pPr>
            <w:r>
              <w:rPr>
                <w:rFonts w:ascii="Arial" w:hAnsi="Arial"/>
                <w:sz w:val="18"/>
              </w:rPr>
              <w:t>35.3%</w:t>
            </w:r>
          </w:p>
        </w:tc>
      </w:tr>
      <w:tr w:rsidR="00535AD5" w14:paraId="3066356D" w14:textId="77777777">
        <w:trPr>
          <w:jc w:val="center"/>
        </w:trPr>
        <w:tc>
          <w:tcPr>
            <w:tcW w:w="1505" w:type="dxa"/>
            <w:shd w:val="clear" w:color="auto" w:fill="F2F6FC"/>
          </w:tcPr>
          <w:p w14:paraId="491D0E0C" w14:textId="77777777" w:rsidR="00535AD5" w:rsidRDefault="000F4CA5">
            <w:r>
              <w:rPr>
                <w:rFonts w:ascii="Arial" w:hAnsi="Arial"/>
                <w:sz w:val="18"/>
              </w:rPr>
              <w:t>Stationary combustion + Mobile combustion</w:t>
            </w:r>
          </w:p>
        </w:tc>
        <w:tc>
          <w:tcPr>
            <w:tcW w:w="1505" w:type="dxa"/>
            <w:shd w:val="clear" w:color="auto" w:fill="F2F6FC"/>
          </w:tcPr>
          <w:p w14:paraId="7AB0C33D" w14:textId="77777777" w:rsidR="00535AD5" w:rsidRDefault="000F4CA5">
            <w:r>
              <w:rPr>
                <w:rFonts w:ascii="Arial" w:hAnsi="Arial"/>
                <w:sz w:val="18"/>
              </w:rPr>
              <w:t>Diesel</w:t>
            </w:r>
          </w:p>
        </w:tc>
        <w:tc>
          <w:tcPr>
            <w:tcW w:w="1505" w:type="dxa"/>
            <w:shd w:val="clear" w:color="auto" w:fill="F2F6FC"/>
          </w:tcPr>
          <w:p w14:paraId="6A3EF60A" w14:textId="77777777" w:rsidR="00535AD5" w:rsidRDefault="000F4CA5">
            <w:r>
              <w:rPr>
                <w:rFonts w:ascii="Arial" w:hAnsi="Arial"/>
                <w:sz w:val="18"/>
              </w:rPr>
              <w:t>857,001.97 liters</w:t>
            </w:r>
          </w:p>
        </w:tc>
        <w:tc>
          <w:tcPr>
            <w:tcW w:w="1505" w:type="dxa"/>
            <w:shd w:val="clear" w:color="auto" w:fill="F2F6FC"/>
          </w:tcPr>
          <w:p w14:paraId="0C71D9A5" w14:textId="77777777" w:rsidR="00535AD5" w:rsidRDefault="000F4CA5">
            <w:r>
              <w:rPr>
                <w:rFonts w:ascii="Arial" w:hAnsi="Arial"/>
                <w:sz w:val="18"/>
              </w:rPr>
              <w:t>0.00257 tCO₂e/liter</w:t>
            </w:r>
          </w:p>
        </w:tc>
        <w:tc>
          <w:tcPr>
            <w:tcW w:w="1505" w:type="dxa"/>
            <w:shd w:val="clear" w:color="auto" w:fill="F2F6FC"/>
          </w:tcPr>
          <w:p w14:paraId="06B733A9" w14:textId="77777777" w:rsidR="00535AD5" w:rsidRDefault="000F4CA5">
            <w:pPr>
              <w:jc w:val="right"/>
            </w:pPr>
            <w:r>
              <w:rPr>
                <w:rFonts w:ascii="Arial" w:hAnsi="Arial"/>
                <w:sz w:val="18"/>
              </w:rPr>
              <w:t>2,203.2044</w:t>
            </w:r>
          </w:p>
        </w:tc>
        <w:tc>
          <w:tcPr>
            <w:tcW w:w="1505" w:type="dxa"/>
            <w:shd w:val="clear" w:color="auto" w:fill="F2F6FC"/>
          </w:tcPr>
          <w:p w14:paraId="3D458E05" w14:textId="77777777" w:rsidR="00535AD5" w:rsidRDefault="000F4CA5">
            <w:pPr>
              <w:jc w:val="right"/>
            </w:pPr>
            <w:r>
              <w:rPr>
                <w:rFonts w:ascii="Arial" w:hAnsi="Arial"/>
                <w:sz w:val="18"/>
              </w:rPr>
              <w:t>64.7%</w:t>
            </w:r>
          </w:p>
        </w:tc>
      </w:tr>
      <w:tr w:rsidR="00535AD5" w14:paraId="2ABDF145" w14:textId="77777777">
        <w:trPr>
          <w:jc w:val="center"/>
        </w:trPr>
        <w:tc>
          <w:tcPr>
            <w:tcW w:w="1505" w:type="dxa"/>
          </w:tcPr>
          <w:p w14:paraId="5C1C67BE" w14:textId="77777777" w:rsidR="00535AD5" w:rsidRDefault="000F4CA5">
            <w:r>
              <w:rPr>
                <w:rFonts w:ascii="Arial" w:hAnsi="Arial"/>
                <w:sz w:val="18"/>
              </w:rPr>
              <w:t>**Total Scope 1**</w:t>
            </w:r>
          </w:p>
        </w:tc>
        <w:tc>
          <w:tcPr>
            <w:tcW w:w="1505" w:type="dxa"/>
          </w:tcPr>
          <w:p w14:paraId="48C4D95C" w14:textId="77777777" w:rsidR="00535AD5" w:rsidRDefault="000F4CA5">
            <w:r>
              <w:rPr>
                <w:rFonts w:ascii="Arial" w:hAnsi="Arial"/>
                <w:sz w:val="18"/>
              </w:rPr>
              <w:t>—</w:t>
            </w:r>
          </w:p>
        </w:tc>
        <w:tc>
          <w:tcPr>
            <w:tcW w:w="1505" w:type="dxa"/>
          </w:tcPr>
          <w:p w14:paraId="42D3897F" w14:textId="77777777" w:rsidR="00535AD5" w:rsidRDefault="000F4CA5">
            <w:r>
              <w:rPr>
                <w:rFonts w:ascii="Arial" w:hAnsi="Arial"/>
                <w:sz w:val="18"/>
              </w:rPr>
              <w:t>—</w:t>
            </w:r>
          </w:p>
        </w:tc>
        <w:tc>
          <w:tcPr>
            <w:tcW w:w="1505" w:type="dxa"/>
          </w:tcPr>
          <w:p w14:paraId="484E9644" w14:textId="77777777" w:rsidR="00535AD5" w:rsidRDefault="000F4CA5">
            <w:r>
              <w:rPr>
                <w:rFonts w:ascii="Arial" w:hAnsi="Arial"/>
                <w:sz w:val="18"/>
              </w:rPr>
              <w:t>—</w:t>
            </w:r>
          </w:p>
        </w:tc>
        <w:tc>
          <w:tcPr>
            <w:tcW w:w="1505" w:type="dxa"/>
          </w:tcPr>
          <w:p w14:paraId="09E79356" w14:textId="77777777" w:rsidR="00535AD5" w:rsidRDefault="000F4CA5">
            <w:r>
              <w:rPr>
                <w:rFonts w:ascii="Arial" w:hAnsi="Arial"/>
                <w:sz w:val="18"/>
              </w:rPr>
              <w:t>**3,402.997**</w:t>
            </w:r>
          </w:p>
        </w:tc>
        <w:tc>
          <w:tcPr>
            <w:tcW w:w="1505" w:type="dxa"/>
          </w:tcPr>
          <w:p w14:paraId="140BFB8C" w14:textId="77777777" w:rsidR="00535AD5" w:rsidRDefault="000F4CA5">
            <w:r>
              <w:rPr>
                <w:rFonts w:ascii="Arial" w:hAnsi="Arial"/>
                <w:sz w:val="18"/>
              </w:rPr>
              <w:t>**100.0%**</w:t>
            </w:r>
          </w:p>
        </w:tc>
      </w:tr>
    </w:tbl>
    <w:p w14:paraId="53DD9B83" w14:textId="77777777" w:rsidR="00535AD5" w:rsidRDefault="000F4CA5">
      <w:r>
        <w:rPr>
          <w:rFonts w:ascii="Arial" w:hAnsi="Arial"/>
          <w:i/>
          <w:sz w:val="16"/>
        </w:rPr>
        <w:t>Source: Source: Facility-level energy consumption data aggregated from 200 operational sites. Emission factors: MEMR Indonesia 2023. GWP values: IPCC AR6.</w:t>
      </w:r>
    </w:p>
    <w:p w14:paraId="77A3DA50" w14:textId="77777777" w:rsidR="00535AD5" w:rsidRDefault="00535AD5"/>
    <w:p w14:paraId="63FB1437" w14:textId="77777777" w:rsidR="00535AD5" w:rsidRDefault="000F4CA5">
      <w:r>
        <w:rPr>
          <w:rFonts w:ascii="Arial" w:hAnsi="Arial"/>
          <w:b/>
          <w:sz w:val="20"/>
        </w:rPr>
        <w:t>Table E1-6b: Scope 1 Emissions Trend (2023-2024)</w:t>
      </w:r>
    </w:p>
    <w:tbl>
      <w:tblPr>
        <w:tblW w:w="0" w:type="auto"/>
        <w:jc w:val="center"/>
        <w:tblLook w:val="04A0" w:firstRow="1" w:lastRow="0" w:firstColumn="1" w:lastColumn="0" w:noHBand="0" w:noVBand="1"/>
      </w:tblPr>
      <w:tblGrid>
        <w:gridCol w:w="1806"/>
        <w:gridCol w:w="1806"/>
        <w:gridCol w:w="1806"/>
        <w:gridCol w:w="1806"/>
        <w:gridCol w:w="1806"/>
      </w:tblGrid>
      <w:tr w:rsidR="00535AD5" w14:paraId="449F73F1" w14:textId="77777777">
        <w:trPr>
          <w:jc w:val="center"/>
        </w:trPr>
        <w:tc>
          <w:tcPr>
            <w:tcW w:w="1806" w:type="dxa"/>
            <w:shd w:val="clear" w:color="auto" w:fill="1B3A6B"/>
          </w:tcPr>
          <w:p w14:paraId="32436436" w14:textId="77777777" w:rsidR="00535AD5" w:rsidRDefault="000F4CA5">
            <w:r>
              <w:rPr>
                <w:rFonts w:ascii="Arial" w:hAnsi="Arial"/>
                <w:b/>
                <w:color w:val="FFFFFF"/>
                <w:sz w:val="18"/>
              </w:rPr>
              <w:t>Metric</w:t>
            </w:r>
          </w:p>
        </w:tc>
        <w:tc>
          <w:tcPr>
            <w:tcW w:w="1806" w:type="dxa"/>
            <w:shd w:val="clear" w:color="auto" w:fill="1B3A6B"/>
          </w:tcPr>
          <w:p w14:paraId="5E684A7A" w14:textId="77777777" w:rsidR="00535AD5" w:rsidRDefault="000F4CA5">
            <w:r>
              <w:rPr>
                <w:rFonts w:ascii="Arial" w:hAnsi="Arial"/>
                <w:b/>
                <w:color w:val="FFFFFF"/>
                <w:sz w:val="18"/>
              </w:rPr>
              <w:t>2023 (Base Year)</w:t>
            </w:r>
          </w:p>
        </w:tc>
        <w:tc>
          <w:tcPr>
            <w:tcW w:w="1806" w:type="dxa"/>
            <w:shd w:val="clear" w:color="auto" w:fill="1B3A6B"/>
          </w:tcPr>
          <w:p w14:paraId="61FE0282" w14:textId="77777777" w:rsidR="00535AD5" w:rsidRDefault="000F4CA5">
            <w:r>
              <w:rPr>
                <w:rFonts w:ascii="Arial" w:hAnsi="Arial"/>
                <w:b/>
                <w:color w:val="FFFFFF"/>
                <w:sz w:val="18"/>
              </w:rPr>
              <w:t>2024</w:t>
            </w:r>
          </w:p>
        </w:tc>
        <w:tc>
          <w:tcPr>
            <w:tcW w:w="1806" w:type="dxa"/>
            <w:shd w:val="clear" w:color="auto" w:fill="1B3A6B"/>
          </w:tcPr>
          <w:p w14:paraId="68B32D69" w14:textId="77777777" w:rsidR="00535AD5" w:rsidRDefault="000F4CA5">
            <w:r>
              <w:rPr>
                <w:rFonts w:ascii="Arial" w:hAnsi="Arial"/>
                <w:b/>
                <w:color w:val="FFFFFF"/>
                <w:sz w:val="18"/>
              </w:rPr>
              <w:t>Absolute Change (tCO₂e)</w:t>
            </w:r>
          </w:p>
        </w:tc>
        <w:tc>
          <w:tcPr>
            <w:tcW w:w="1806" w:type="dxa"/>
            <w:shd w:val="clear" w:color="auto" w:fill="1B3A6B"/>
          </w:tcPr>
          <w:p w14:paraId="3CE1FC79" w14:textId="77777777" w:rsidR="00535AD5" w:rsidRDefault="000F4CA5">
            <w:r>
              <w:rPr>
                <w:rFonts w:ascii="Arial" w:hAnsi="Arial"/>
                <w:b/>
                <w:color w:val="FFFFFF"/>
                <w:sz w:val="18"/>
              </w:rPr>
              <w:t>YoY Change (%)</w:t>
            </w:r>
          </w:p>
        </w:tc>
      </w:tr>
      <w:tr w:rsidR="00535AD5" w14:paraId="323E2250" w14:textId="77777777">
        <w:trPr>
          <w:jc w:val="center"/>
        </w:trPr>
        <w:tc>
          <w:tcPr>
            <w:tcW w:w="1806" w:type="dxa"/>
          </w:tcPr>
          <w:p w14:paraId="342FB10E" w14:textId="77777777" w:rsidR="00535AD5" w:rsidRDefault="000F4CA5">
            <w:r>
              <w:rPr>
                <w:rFonts w:ascii="Arial" w:hAnsi="Arial"/>
                <w:sz w:val="18"/>
              </w:rPr>
              <w:t>Natural gas combustion</w:t>
            </w:r>
          </w:p>
        </w:tc>
        <w:tc>
          <w:tcPr>
            <w:tcW w:w="1806" w:type="dxa"/>
          </w:tcPr>
          <w:p w14:paraId="24A82B06" w14:textId="77777777" w:rsidR="00535AD5" w:rsidRDefault="000F4CA5">
            <w:pPr>
              <w:jc w:val="right"/>
            </w:pPr>
            <w:r>
              <w:rPr>
                <w:rFonts w:ascii="Arial" w:hAnsi="Arial"/>
                <w:sz w:val="18"/>
              </w:rPr>
              <w:t>1,199.0321</w:t>
            </w:r>
          </w:p>
        </w:tc>
        <w:tc>
          <w:tcPr>
            <w:tcW w:w="1806" w:type="dxa"/>
          </w:tcPr>
          <w:p w14:paraId="62873CDA" w14:textId="77777777" w:rsidR="00535AD5" w:rsidRDefault="000F4CA5">
            <w:pPr>
              <w:jc w:val="right"/>
            </w:pPr>
            <w:r>
              <w:rPr>
                <w:rFonts w:ascii="Arial" w:hAnsi="Arial"/>
                <w:sz w:val="18"/>
              </w:rPr>
              <w:t>1,199.7924</w:t>
            </w:r>
          </w:p>
        </w:tc>
        <w:tc>
          <w:tcPr>
            <w:tcW w:w="1806" w:type="dxa"/>
          </w:tcPr>
          <w:p w14:paraId="79364F75" w14:textId="77777777" w:rsidR="00535AD5" w:rsidRDefault="000F4CA5">
            <w:pPr>
              <w:jc w:val="right"/>
            </w:pPr>
            <w:r>
              <w:rPr>
                <w:rFonts w:ascii="Arial" w:hAnsi="Arial"/>
                <w:sz w:val="18"/>
              </w:rPr>
              <w:t>+0.7603</w:t>
            </w:r>
          </w:p>
        </w:tc>
        <w:tc>
          <w:tcPr>
            <w:tcW w:w="1806" w:type="dxa"/>
          </w:tcPr>
          <w:p w14:paraId="33933AA9" w14:textId="77777777" w:rsidR="00535AD5" w:rsidRDefault="000F4CA5">
            <w:pPr>
              <w:jc w:val="right"/>
            </w:pPr>
            <w:r>
              <w:rPr>
                <w:rFonts w:ascii="Arial" w:hAnsi="Arial"/>
                <w:sz w:val="18"/>
              </w:rPr>
              <w:t>+0.06%</w:t>
            </w:r>
          </w:p>
        </w:tc>
      </w:tr>
      <w:tr w:rsidR="00535AD5" w14:paraId="3C2A397C" w14:textId="77777777">
        <w:trPr>
          <w:jc w:val="center"/>
        </w:trPr>
        <w:tc>
          <w:tcPr>
            <w:tcW w:w="1806" w:type="dxa"/>
            <w:shd w:val="clear" w:color="auto" w:fill="F2F6FC"/>
          </w:tcPr>
          <w:p w14:paraId="14B72464" w14:textId="77777777" w:rsidR="00535AD5" w:rsidRDefault="000F4CA5">
            <w:r>
              <w:rPr>
                <w:rFonts w:ascii="Arial" w:hAnsi="Arial"/>
                <w:sz w:val="18"/>
              </w:rPr>
              <w:t>Diesel combustion</w:t>
            </w:r>
          </w:p>
        </w:tc>
        <w:tc>
          <w:tcPr>
            <w:tcW w:w="1806" w:type="dxa"/>
            <w:shd w:val="clear" w:color="auto" w:fill="F2F6FC"/>
          </w:tcPr>
          <w:p w14:paraId="50FBD530" w14:textId="77777777" w:rsidR="00535AD5" w:rsidRDefault="000F4CA5">
            <w:pPr>
              <w:jc w:val="right"/>
            </w:pPr>
            <w:r>
              <w:rPr>
                <w:rFonts w:ascii="Arial" w:hAnsi="Arial"/>
                <w:sz w:val="18"/>
              </w:rPr>
              <w:t>2,125.4888</w:t>
            </w:r>
          </w:p>
        </w:tc>
        <w:tc>
          <w:tcPr>
            <w:tcW w:w="1806" w:type="dxa"/>
            <w:shd w:val="clear" w:color="auto" w:fill="F2F6FC"/>
          </w:tcPr>
          <w:p w14:paraId="682E6981" w14:textId="77777777" w:rsidR="00535AD5" w:rsidRDefault="000F4CA5">
            <w:pPr>
              <w:jc w:val="right"/>
            </w:pPr>
            <w:r>
              <w:rPr>
                <w:rFonts w:ascii="Arial" w:hAnsi="Arial"/>
                <w:sz w:val="18"/>
              </w:rPr>
              <w:t>2,203.2044</w:t>
            </w:r>
          </w:p>
        </w:tc>
        <w:tc>
          <w:tcPr>
            <w:tcW w:w="1806" w:type="dxa"/>
            <w:shd w:val="clear" w:color="auto" w:fill="F2F6FC"/>
          </w:tcPr>
          <w:p w14:paraId="57925640" w14:textId="77777777" w:rsidR="00535AD5" w:rsidRDefault="000F4CA5">
            <w:pPr>
              <w:jc w:val="right"/>
            </w:pPr>
            <w:r>
              <w:rPr>
                <w:rFonts w:ascii="Arial" w:hAnsi="Arial"/>
                <w:sz w:val="18"/>
              </w:rPr>
              <w:t>+77.7156</w:t>
            </w:r>
          </w:p>
        </w:tc>
        <w:tc>
          <w:tcPr>
            <w:tcW w:w="1806" w:type="dxa"/>
            <w:shd w:val="clear" w:color="auto" w:fill="F2F6FC"/>
          </w:tcPr>
          <w:p w14:paraId="2403ADAB" w14:textId="77777777" w:rsidR="00535AD5" w:rsidRDefault="000F4CA5">
            <w:pPr>
              <w:jc w:val="right"/>
            </w:pPr>
            <w:r>
              <w:rPr>
                <w:rFonts w:ascii="Arial" w:hAnsi="Arial"/>
                <w:sz w:val="18"/>
              </w:rPr>
              <w:t>+3.66%</w:t>
            </w:r>
          </w:p>
        </w:tc>
      </w:tr>
      <w:tr w:rsidR="00535AD5" w14:paraId="199BCDC2" w14:textId="77777777">
        <w:trPr>
          <w:jc w:val="center"/>
        </w:trPr>
        <w:tc>
          <w:tcPr>
            <w:tcW w:w="1806" w:type="dxa"/>
          </w:tcPr>
          <w:p w14:paraId="3AEC2503" w14:textId="77777777" w:rsidR="00535AD5" w:rsidRDefault="000F4CA5">
            <w:r>
              <w:rPr>
                <w:rFonts w:ascii="Arial" w:hAnsi="Arial"/>
                <w:sz w:val="18"/>
              </w:rPr>
              <w:t>**Total Scope 1**</w:t>
            </w:r>
          </w:p>
        </w:tc>
        <w:tc>
          <w:tcPr>
            <w:tcW w:w="1806" w:type="dxa"/>
          </w:tcPr>
          <w:p w14:paraId="1054AB33" w14:textId="77777777" w:rsidR="00535AD5" w:rsidRDefault="000F4CA5">
            <w:r>
              <w:rPr>
                <w:rFonts w:ascii="Arial" w:hAnsi="Arial"/>
                <w:sz w:val="18"/>
              </w:rPr>
              <w:t>**3,324.521**</w:t>
            </w:r>
          </w:p>
        </w:tc>
        <w:tc>
          <w:tcPr>
            <w:tcW w:w="1806" w:type="dxa"/>
          </w:tcPr>
          <w:p w14:paraId="1B388578" w14:textId="77777777" w:rsidR="00535AD5" w:rsidRDefault="000F4CA5">
            <w:r>
              <w:rPr>
                <w:rFonts w:ascii="Arial" w:hAnsi="Arial"/>
                <w:sz w:val="18"/>
              </w:rPr>
              <w:t>**3,402.997**</w:t>
            </w:r>
          </w:p>
        </w:tc>
        <w:tc>
          <w:tcPr>
            <w:tcW w:w="1806" w:type="dxa"/>
          </w:tcPr>
          <w:p w14:paraId="6264FA13" w14:textId="77777777" w:rsidR="00535AD5" w:rsidRDefault="000F4CA5">
            <w:r>
              <w:rPr>
                <w:rFonts w:ascii="Arial" w:hAnsi="Arial"/>
                <w:sz w:val="18"/>
              </w:rPr>
              <w:t>**+78.476**</w:t>
            </w:r>
          </w:p>
        </w:tc>
        <w:tc>
          <w:tcPr>
            <w:tcW w:w="1806" w:type="dxa"/>
          </w:tcPr>
          <w:p w14:paraId="56DA8E8E" w14:textId="77777777" w:rsidR="00535AD5" w:rsidRDefault="000F4CA5">
            <w:r>
              <w:rPr>
                <w:rFonts w:ascii="Arial" w:hAnsi="Arial"/>
                <w:sz w:val="18"/>
              </w:rPr>
              <w:t>**+2.36%**</w:t>
            </w:r>
          </w:p>
        </w:tc>
      </w:tr>
    </w:tbl>
    <w:p w14:paraId="09313BBC" w14:textId="77777777" w:rsidR="00535AD5" w:rsidRDefault="000F4CA5">
      <w:r>
        <w:rPr>
          <w:rFonts w:ascii="Arial" w:hAnsi="Arial"/>
          <w:i/>
          <w:sz w:val="16"/>
        </w:rPr>
        <w:t>Source: Source: Annual GHG inventory calculations per GHG Protocol Corporate Standard.</w:t>
      </w:r>
    </w:p>
    <w:p w14:paraId="40CD4DE0" w14:textId="77777777" w:rsidR="00535AD5" w:rsidRDefault="00535AD5"/>
    <w:p w14:paraId="1F315528" w14:textId="77777777" w:rsidR="00535AD5" w:rsidRDefault="000F4CA5">
      <w:r>
        <w:rPr>
          <w:i/>
          <w:color w:val="3D6094"/>
          <w:sz w:val="18"/>
        </w:rPr>
        <w:t>Framework references: ESRS E1-6 (Gross Scopes 1, 2, 3 and Total GHG emissions); GRI 305-1 (Direct (Scope 1) GHG emissions); GHG Protocol Corporate Accounting and Reporting Standard (2015); IPCC AR6 Global Warming Potential values</w:t>
      </w:r>
    </w:p>
    <w:p w14:paraId="429C9DA6" w14:textId="77777777" w:rsidR="00535AD5" w:rsidRDefault="00535AD5">
      <w:pPr>
        <w:pBdr>
          <w:bottom w:val="single" w:sz="6" w:space="1" w:color="999999"/>
        </w:pBdr>
        <w:spacing w:after="80"/>
      </w:pPr>
    </w:p>
    <w:p w14:paraId="0D58B30A"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1ED92FEC" w14:textId="77777777" w:rsidR="00535AD5" w:rsidRDefault="000F4CA5">
      <w:pPr>
        <w:spacing w:after="160"/>
        <w:jc w:val="both"/>
      </w:pPr>
      <w:r>
        <w:rPr>
          <w:rFonts w:ascii="Arial" w:hAnsi="Arial"/>
          <w:i/>
          <w:color w:val="646464"/>
          <w:sz w:val="18"/>
        </w:rPr>
        <w:t>Scope 1 emissions consolidation follows the operational control approach per GHG Protocol. All facilities where the institution has operational control are included, regardless of equity share.</w:t>
      </w:r>
    </w:p>
    <w:p w14:paraId="0D10276F" w14:textId="77777777" w:rsidR="00535AD5" w:rsidRDefault="000F4CA5">
      <w:pPr>
        <w:spacing w:after="160"/>
        <w:jc w:val="both"/>
      </w:pPr>
      <w:r>
        <w:rPr>
          <w:rFonts w:ascii="Arial" w:hAnsi="Arial"/>
          <w:i/>
          <w:color w:val="646464"/>
          <w:sz w:val="18"/>
        </w:rPr>
        <w:t>Biogenic CO₂ emissions are not applicable to the institution's operations (no biomass combustion).</w:t>
      </w:r>
    </w:p>
    <w:p w14:paraId="3FC597BA" w14:textId="77777777" w:rsidR="00535AD5" w:rsidRDefault="000F4CA5">
      <w:pPr>
        <w:spacing w:after="160"/>
        <w:jc w:val="both"/>
      </w:pPr>
      <w:r>
        <w:rPr>
          <w:rFonts w:ascii="Arial" w:hAnsi="Arial"/>
          <w:i/>
          <w:color w:val="646464"/>
          <w:sz w:val="18"/>
        </w:rPr>
        <w:t>Reconciliation check: 1,199.7924 + 2,203.2044 = 3,402.9968 tCO₂e (0.0002 tCO₂e rounding difference due to decimal precision).</w:t>
      </w:r>
    </w:p>
    <w:p w14:paraId="1A5AA293" w14:textId="77777777" w:rsidR="00535AD5" w:rsidRDefault="000F4CA5">
      <w:r>
        <w:br w:type="page"/>
      </w:r>
    </w:p>
    <w:p w14:paraId="221B9960" w14:textId="77777777" w:rsidR="00535AD5" w:rsidRDefault="000F4CA5">
      <w:pPr>
        <w:pStyle w:val="Heading1"/>
        <w:spacing w:after="240"/>
      </w:pPr>
      <w:bookmarkStart w:id="6" w:name="_Toc231920341"/>
      <w:r>
        <w:rPr>
          <w:rFonts w:ascii="Arial" w:hAnsi="Arial"/>
          <w:color w:val="1B3A6B"/>
          <w:sz w:val="36"/>
        </w:rPr>
        <w:lastRenderedPageBreak/>
        <w:t>GRI 305-1: Direct (Scope 1) GHG Emissions</w:t>
      </w:r>
      <w:bookmarkEnd w:id="6"/>
    </w:p>
    <w:p w14:paraId="17D7C5A7" w14:textId="77777777" w:rsidR="00535AD5" w:rsidRDefault="000F4CA5">
      <w:pPr>
        <w:spacing w:after="160"/>
        <w:jc w:val="both"/>
      </w:pPr>
      <w:r>
        <w:rPr>
          <w:rFonts w:ascii="Arial" w:hAnsi="Arial"/>
        </w:rPr>
        <w:t>For the reporting year 2024, the institution's total direct (Scope 1) greenhouse gas emissions amounted to 3,402.997 tCO₂e. These emissions arise from stationary combustion sources under the institution's operational control, specifically natural gas consumption in building heating systems and diesel fuel combustion in backup generators and emergency power systems. The institution applies the operational control consolidation approach as defined in the GHG Protocol Corporate Accounting and Reporting Standar</w:t>
      </w:r>
      <w:r>
        <w:rPr>
          <w:rFonts w:ascii="Arial" w:hAnsi="Arial"/>
        </w:rPr>
        <w:t>d (2015 Revised Edition), whereby all emissions from facilities where the institution has full authority to introduce and implement operating policies are included in the inventory boundary.</w:t>
      </w:r>
    </w:p>
    <w:p w14:paraId="4BC65FF9" w14:textId="77777777" w:rsidR="00535AD5" w:rsidRDefault="000F4CA5">
      <w:pPr>
        <w:spacing w:after="160"/>
        <w:jc w:val="both"/>
      </w:pPr>
      <w:r>
        <w:rPr>
          <w:rFonts w:ascii="Arial" w:hAnsi="Arial"/>
        </w:rPr>
        <w:t>The composition of Scope 1 emissions by fuel type reveals that diesel combustion contributed 2,203.2044 tCO₂e (64.74% of total Scope 1), while natural gas combustion accounted for 1,199.7924 tCO₂e (35.26% of total Scope 1). The higher proportion of diesel-related emissions reflects the institution's reliance on diesel-powered backup generators across its branch network, particularly in locations with unstable grid electricity supply. Natural gas consumption is concentrated in the institution's head office f</w:t>
      </w:r>
      <w:r>
        <w:rPr>
          <w:rFonts w:ascii="Arial" w:hAnsi="Arial"/>
        </w:rPr>
        <w:t>acilities and larger regional offices equipped with centralized HVAC systems.</w:t>
      </w:r>
    </w:p>
    <w:p w14:paraId="145CB82A" w14:textId="77777777" w:rsidR="00535AD5" w:rsidRDefault="000F4CA5">
      <w:pPr>
        <w:spacing w:after="160"/>
        <w:jc w:val="both"/>
      </w:pPr>
      <w:r>
        <w:rPr>
          <w:rFonts w:ascii="Arial" w:hAnsi="Arial"/>
          <w:i/>
        </w:rPr>
        <w:t>Emission calculations follow the GHG Protocol Corporate Standard methodology, applying emission factors sourced from the Indonesian Ministry of Energy and Mineral Resources (ESDM) 2023 National Emission Factor Database for stationary combustion. Global Warming Potential (GWP) values are based on the Intergovernmental Panel on Climate Change (IPCC) Sixth Assessment Report (AR6) with a 100-year time horizon: CO₂ = 1, CH₄ = 29.8, N₂O = 273.0. All three Kyoto Protocol gases (CO₂, CH₄, N₂O) are included in the i</w:t>
      </w:r>
      <w:r>
        <w:rPr>
          <w:rFonts w:ascii="Arial" w:hAnsi="Arial"/>
          <w:i/>
        </w:rPr>
        <w:t>nventory. Activity data (fuel consumption in liters for diesel and gigajoules for natural gas) were collected from facility-level utility invoices and fuel purchase records, with monthly reconciliation against financial procurement data to ensure completeness.</w:t>
      </w:r>
    </w:p>
    <w:p w14:paraId="4411DB87" w14:textId="77777777" w:rsidR="00535AD5" w:rsidRDefault="000F4CA5">
      <w:pPr>
        <w:spacing w:after="160"/>
        <w:jc w:val="both"/>
      </w:pPr>
      <w:r>
        <w:rPr>
          <w:rFonts w:ascii="Arial" w:hAnsi="Arial"/>
        </w:rPr>
        <w:t xml:space="preserve">Compared to the prior reporting year (2023), Scope 1 emissions increased by 2.36%, rising from 3,324.521 tCO₂e in 2023 to 3,402.997 tCO₂e in 2024. This increase of 78.476 tCO₂e is primarily attributable to higher diesel consumption driven by grid power outages in Q2 and Q3 2024, which necessitated extended operation of backup generators at 23 branch locations in Java and Sumatra. Natural gas consumption remained relatively stable year-over-year, increasing by only 0.63% (from 1,199.0321 tCO₂e to 1,199.7924 </w:t>
      </w:r>
      <w:r>
        <w:rPr>
          <w:rFonts w:ascii="Arial" w:hAnsi="Arial"/>
        </w:rPr>
        <w:t>tCO₂e), reflecting consistent heating demand patterns across head office facilities.</w:t>
      </w:r>
    </w:p>
    <w:p w14:paraId="7C1FB3B0" w14:textId="77777777" w:rsidR="00535AD5" w:rsidRDefault="000F4CA5">
      <w:r>
        <w:rPr>
          <w:rFonts w:ascii="Arial" w:hAnsi="Arial"/>
          <w:b/>
          <w:sz w:val="20"/>
        </w:rPr>
        <w:t>Table 1: Scope 1 GHG Emissions by Source — Reporting Year 2024</w:t>
      </w:r>
    </w:p>
    <w:tbl>
      <w:tblPr>
        <w:tblW w:w="0" w:type="auto"/>
        <w:jc w:val="center"/>
        <w:tblLook w:val="04A0" w:firstRow="1" w:lastRow="0" w:firstColumn="1" w:lastColumn="0" w:noHBand="0" w:noVBand="1"/>
      </w:tblPr>
      <w:tblGrid>
        <w:gridCol w:w="1290"/>
        <w:gridCol w:w="1290"/>
        <w:gridCol w:w="1290"/>
        <w:gridCol w:w="1297"/>
        <w:gridCol w:w="1290"/>
        <w:gridCol w:w="1297"/>
        <w:gridCol w:w="1290"/>
      </w:tblGrid>
      <w:tr w:rsidR="00535AD5" w14:paraId="17728CED" w14:textId="77777777">
        <w:trPr>
          <w:jc w:val="center"/>
        </w:trPr>
        <w:tc>
          <w:tcPr>
            <w:tcW w:w="1290" w:type="dxa"/>
            <w:shd w:val="clear" w:color="auto" w:fill="1B3A6B"/>
          </w:tcPr>
          <w:p w14:paraId="673D6B7C" w14:textId="77777777" w:rsidR="00535AD5" w:rsidRDefault="000F4CA5">
            <w:r>
              <w:rPr>
                <w:rFonts w:ascii="Arial" w:hAnsi="Arial"/>
                <w:b/>
                <w:color w:val="FFFFFF"/>
                <w:sz w:val="18"/>
              </w:rPr>
              <w:t>No.</w:t>
            </w:r>
          </w:p>
        </w:tc>
        <w:tc>
          <w:tcPr>
            <w:tcW w:w="1290" w:type="dxa"/>
            <w:shd w:val="clear" w:color="auto" w:fill="1B3A6B"/>
          </w:tcPr>
          <w:p w14:paraId="3A515A53" w14:textId="77777777" w:rsidR="00535AD5" w:rsidRDefault="000F4CA5">
            <w:r>
              <w:rPr>
                <w:rFonts w:ascii="Arial" w:hAnsi="Arial"/>
                <w:b/>
                <w:color w:val="FFFFFF"/>
                <w:sz w:val="18"/>
              </w:rPr>
              <w:t>Emission Source</w:t>
            </w:r>
          </w:p>
        </w:tc>
        <w:tc>
          <w:tcPr>
            <w:tcW w:w="1290" w:type="dxa"/>
            <w:shd w:val="clear" w:color="auto" w:fill="1B3A6B"/>
          </w:tcPr>
          <w:p w14:paraId="5E02F9AB" w14:textId="77777777" w:rsidR="00535AD5" w:rsidRDefault="000F4CA5">
            <w:r>
              <w:rPr>
                <w:rFonts w:ascii="Arial" w:hAnsi="Arial"/>
                <w:b/>
                <w:color w:val="FFFFFF"/>
                <w:sz w:val="18"/>
              </w:rPr>
              <w:t>Fuel Type</w:t>
            </w:r>
          </w:p>
        </w:tc>
        <w:tc>
          <w:tcPr>
            <w:tcW w:w="1290" w:type="dxa"/>
            <w:shd w:val="clear" w:color="auto" w:fill="1B3A6B"/>
          </w:tcPr>
          <w:p w14:paraId="3330F4F5" w14:textId="77777777" w:rsidR="00535AD5" w:rsidRDefault="000F4CA5">
            <w:r>
              <w:rPr>
                <w:rFonts w:ascii="Arial" w:hAnsi="Arial"/>
                <w:b/>
                <w:color w:val="FFFFFF"/>
                <w:sz w:val="18"/>
              </w:rPr>
              <w:t>Emissions (tCO₂e)</w:t>
            </w:r>
          </w:p>
        </w:tc>
        <w:tc>
          <w:tcPr>
            <w:tcW w:w="1290" w:type="dxa"/>
            <w:shd w:val="clear" w:color="auto" w:fill="1B3A6B"/>
          </w:tcPr>
          <w:p w14:paraId="78321AB1" w14:textId="77777777" w:rsidR="00535AD5" w:rsidRDefault="000F4CA5">
            <w:r>
              <w:rPr>
                <w:rFonts w:ascii="Arial" w:hAnsi="Arial"/>
                <w:b/>
                <w:color w:val="FFFFFF"/>
                <w:sz w:val="18"/>
              </w:rPr>
              <w:t>Percentage of Scope 1 (%)</w:t>
            </w:r>
          </w:p>
        </w:tc>
        <w:tc>
          <w:tcPr>
            <w:tcW w:w="1290" w:type="dxa"/>
            <w:shd w:val="clear" w:color="auto" w:fill="1B3A6B"/>
          </w:tcPr>
          <w:p w14:paraId="3536E147" w14:textId="77777777" w:rsidR="00535AD5" w:rsidRDefault="000F4CA5">
            <w:r>
              <w:rPr>
                <w:rFonts w:ascii="Arial" w:hAnsi="Arial"/>
                <w:b/>
                <w:color w:val="FFFFFF"/>
                <w:sz w:val="18"/>
              </w:rPr>
              <w:t>Prior Year 2023 (tCO₂e)</w:t>
            </w:r>
          </w:p>
        </w:tc>
        <w:tc>
          <w:tcPr>
            <w:tcW w:w="1290" w:type="dxa"/>
            <w:shd w:val="clear" w:color="auto" w:fill="1B3A6B"/>
          </w:tcPr>
          <w:p w14:paraId="156D26B4" w14:textId="77777777" w:rsidR="00535AD5" w:rsidRDefault="000F4CA5">
            <w:r>
              <w:rPr>
                <w:rFonts w:ascii="Arial" w:hAnsi="Arial"/>
                <w:b/>
                <w:color w:val="FFFFFF"/>
                <w:sz w:val="18"/>
              </w:rPr>
              <w:t>Change (%)</w:t>
            </w:r>
          </w:p>
        </w:tc>
      </w:tr>
      <w:tr w:rsidR="00535AD5" w14:paraId="0BC8ABC1" w14:textId="77777777">
        <w:trPr>
          <w:jc w:val="center"/>
        </w:trPr>
        <w:tc>
          <w:tcPr>
            <w:tcW w:w="1290" w:type="dxa"/>
          </w:tcPr>
          <w:p w14:paraId="20952928" w14:textId="77777777" w:rsidR="00535AD5" w:rsidRDefault="000F4CA5">
            <w:pPr>
              <w:jc w:val="right"/>
            </w:pPr>
            <w:r>
              <w:rPr>
                <w:rFonts w:ascii="Arial" w:hAnsi="Arial"/>
                <w:sz w:val="18"/>
              </w:rPr>
              <w:t>1</w:t>
            </w:r>
          </w:p>
        </w:tc>
        <w:tc>
          <w:tcPr>
            <w:tcW w:w="1290" w:type="dxa"/>
          </w:tcPr>
          <w:p w14:paraId="15589AD5" w14:textId="77777777" w:rsidR="00535AD5" w:rsidRDefault="000F4CA5">
            <w:r>
              <w:rPr>
                <w:rFonts w:ascii="Arial" w:hAnsi="Arial"/>
                <w:sz w:val="18"/>
              </w:rPr>
              <w:t>Stationary Combustion — Building Heating</w:t>
            </w:r>
          </w:p>
        </w:tc>
        <w:tc>
          <w:tcPr>
            <w:tcW w:w="1290" w:type="dxa"/>
          </w:tcPr>
          <w:p w14:paraId="033892CF" w14:textId="77777777" w:rsidR="00535AD5" w:rsidRDefault="000F4CA5">
            <w:r>
              <w:rPr>
                <w:rFonts w:ascii="Arial" w:hAnsi="Arial"/>
                <w:sz w:val="18"/>
              </w:rPr>
              <w:t>Natural Gas</w:t>
            </w:r>
          </w:p>
        </w:tc>
        <w:tc>
          <w:tcPr>
            <w:tcW w:w="1290" w:type="dxa"/>
          </w:tcPr>
          <w:p w14:paraId="2C64AFDF" w14:textId="77777777" w:rsidR="00535AD5" w:rsidRDefault="000F4CA5">
            <w:pPr>
              <w:jc w:val="right"/>
            </w:pPr>
            <w:r>
              <w:rPr>
                <w:rFonts w:ascii="Arial" w:hAnsi="Arial"/>
                <w:sz w:val="18"/>
              </w:rPr>
              <w:t>1,199.7924</w:t>
            </w:r>
          </w:p>
        </w:tc>
        <w:tc>
          <w:tcPr>
            <w:tcW w:w="1290" w:type="dxa"/>
          </w:tcPr>
          <w:p w14:paraId="2DBBB8FC" w14:textId="77777777" w:rsidR="00535AD5" w:rsidRDefault="000F4CA5">
            <w:pPr>
              <w:jc w:val="right"/>
            </w:pPr>
            <w:r>
              <w:rPr>
                <w:rFonts w:ascii="Arial" w:hAnsi="Arial"/>
                <w:sz w:val="18"/>
              </w:rPr>
              <w:t>35.26</w:t>
            </w:r>
          </w:p>
        </w:tc>
        <w:tc>
          <w:tcPr>
            <w:tcW w:w="1290" w:type="dxa"/>
          </w:tcPr>
          <w:p w14:paraId="15B46428" w14:textId="77777777" w:rsidR="00535AD5" w:rsidRDefault="000F4CA5">
            <w:pPr>
              <w:jc w:val="right"/>
            </w:pPr>
            <w:r>
              <w:rPr>
                <w:rFonts w:ascii="Arial" w:hAnsi="Arial"/>
                <w:sz w:val="18"/>
              </w:rPr>
              <w:t>1,199.0321</w:t>
            </w:r>
          </w:p>
        </w:tc>
        <w:tc>
          <w:tcPr>
            <w:tcW w:w="1290" w:type="dxa"/>
          </w:tcPr>
          <w:p w14:paraId="44730662" w14:textId="77777777" w:rsidR="00535AD5" w:rsidRDefault="000F4CA5">
            <w:pPr>
              <w:jc w:val="right"/>
            </w:pPr>
            <w:r>
              <w:rPr>
                <w:rFonts w:ascii="Arial" w:hAnsi="Arial"/>
                <w:sz w:val="18"/>
              </w:rPr>
              <w:t>+0.63</w:t>
            </w:r>
          </w:p>
        </w:tc>
      </w:tr>
      <w:tr w:rsidR="00535AD5" w14:paraId="4EBD51E6" w14:textId="77777777">
        <w:trPr>
          <w:jc w:val="center"/>
        </w:trPr>
        <w:tc>
          <w:tcPr>
            <w:tcW w:w="1290" w:type="dxa"/>
            <w:shd w:val="clear" w:color="auto" w:fill="F2F6FC"/>
          </w:tcPr>
          <w:p w14:paraId="2C71CFE6" w14:textId="77777777" w:rsidR="00535AD5" w:rsidRDefault="000F4CA5">
            <w:pPr>
              <w:jc w:val="right"/>
            </w:pPr>
            <w:r>
              <w:rPr>
                <w:rFonts w:ascii="Arial" w:hAnsi="Arial"/>
                <w:sz w:val="18"/>
              </w:rPr>
              <w:t>2</w:t>
            </w:r>
          </w:p>
        </w:tc>
        <w:tc>
          <w:tcPr>
            <w:tcW w:w="1290" w:type="dxa"/>
            <w:shd w:val="clear" w:color="auto" w:fill="F2F6FC"/>
          </w:tcPr>
          <w:p w14:paraId="25417AA8" w14:textId="77777777" w:rsidR="00535AD5" w:rsidRDefault="000F4CA5">
            <w:r>
              <w:rPr>
                <w:rFonts w:ascii="Arial" w:hAnsi="Arial"/>
                <w:sz w:val="18"/>
              </w:rPr>
              <w:t xml:space="preserve">Stationary Combustion — Backup </w:t>
            </w:r>
            <w:r>
              <w:rPr>
                <w:rFonts w:ascii="Arial" w:hAnsi="Arial"/>
                <w:sz w:val="18"/>
              </w:rPr>
              <w:lastRenderedPageBreak/>
              <w:t>Generators</w:t>
            </w:r>
          </w:p>
        </w:tc>
        <w:tc>
          <w:tcPr>
            <w:tcW w:w="1290" w:type="dxa"/>
            <w:shd w:val="clear" w:color="auto" w:fill="F2F6FC"/>
          </w:tcPr>
          <w:p w14:paraId="5C0B392D" w14:textId="77777777" w:rsidR="00535AD5" w:rsidRDefault="000F4CA5">
            <w:r>
              <w:rPr>
                <w:rFonts w:ascii="Arial" w:hAnsi="Arial"/>
                <w:sz w:val="18"/>
              </w:rPr>
              <w:lastRenderedPageBreak/>
              <w:t>Diesel</w:t>
            </w:r>
          </w:p>
        </w:tc>
        <w:tc>
          <w:tcPr>
            <w:tcW w:w="1290" w:type="dxa"/>
            <w:shd w:val="clear" w:color="auto" w:fill="F2F6FC"/>
          </w:tcPr>
          <w:p w14:paraId="359D4B64" w14:textId="77777777" w:rsidR="00535AD5" w:rsidRDefault="000F4CA5">
            <w:pPr>
              <w:jc w:val="right"/>
            </w:pPr>
            <w:r>
              <w:rPr>
                <w:rFonts w:ascii="Arial" w:hAnsi="Arial"/>
                <w:sz w:val="18"/>
              </w:rPr>
              <w:t>2,203.2044</w:t>
            </w:r>
          </w:p>
        </w:tc>
        <w:tc>
          <w:tcPr>
            <w:tcW w:w="1290" w:type="dxa"/>
            <w:shd w:val="clear" w:color="auto" w:fill="F2F6FC"/>
          </w:tcPr>
          <w:p w14:paraId="6E61FF36" w14:textId="77777777" w:rsidR="00535AD5" w:rsidRDefault="000F4CA5">
            <w:pPr>
              <w:jc w:val="right"/>
            </w:pPr>
            <w:r>
              <w:rPr>
                <w:rFonts w:ascii="Arial" w:hAnsi="Arial"/>
                <w:sz w:val="18"/>
              </w:rPr>
              <w:t>64.74</w:t>
            </w:r>
          </w:p>
        </w:tc>
        <w:tc>
          <w:tcPr>
            <w:tcW w:w="1290" w:type="dxa"/>
            <w:shd w:val="clear" w:color="auto" w:fill="F2F6FC"/>
          </w:tcPr>
          <w:p w14:paraId="4088AA30" w14:textId="77777777" w:rsidR="00535AD5" w:rsidRDefault="000F4CA5">
            <w:pPr>
              <w:jc w:val="right"/>
            </w:pPr>
            <w:r>
              <w:rPr>
                <w:rFonts w:ascii="Arial" w:hAnsi="Arial"/>
                <w:sz w:val="18"/>
              </w:rPr>
              <w:t>2,125.4888</w:t>
            </w:r>
          </w:p>
        </w:tc>
        <w:tc>
          <w:tcPr>
            <w:tcW w:w="1290" w:type="dxa"/>
            <w:shd w:val="clear" w:color="auto" w:fill="F2F6FC"/>
          </w:tcPr>
          <w:p w14:paraId="55F5B8BF" w14:textId="77777777" w:rsidR="00535AD5" w:rsidRDefault="000F4CA5">
            <w:pPr>
              <w:jc w:val="right"/>
            </w:pPr>
            <w:r>
              <w:rPr>
                <w:rFonts w:ascii="Arial" w:hAnsi="Arial"/>
                <w:sz w:val="18"/>
              </w:rPr>
              <w:t>+3.66</w:t>
            </w:r>
          </w:p>
        </w:tc>
      </w:tr>
      <w:tr w:rsidR="00535AD5" w14:paraId="4E11DE28" w14:textId="77777777">
        <w:trPr>
          <w:jc w:val="center"/>
        </w:trPr>
        <w:tc>
          <w:tcPr>
            <w:tcW w:w="1290" w:type="dxa"/>
          </w:tcPr>
          <w:p w14:paraId="4FFBCE94" w14:textId="77777777" w:rsidR="00535AD5" w:rsidRDefault="00535AD5"/>
        </w:tc>
        <w:tc>
          <w:tcPr>
            <w:tcW w:w="1290" w:type="dxa"/>
          </w:tcPr>
          <w:p w14:paraId="0A30DE6F" w14:textId="77777777" w:rsidR="00535AD5" w:rsidRDefault="000F4CA5">
            <w:r>
              <w:rPr>
                <w:rFonts w:ascii="Arial" w:hAnsi="Arial"/>
                <w:sz w:val="18"/>
              </w:rPr>
              <w:t>**Total Scope 1 Emissions**</w:t>
            </w:r>
          </w:p>
        </w:tc>
        <w:tc>
          <w:tcPr>
            <w:tcW w:w="1290" w:type="dxa"/>
          </w:tcPr>
          <w:p w14:paraId="0FD1F390" w14:textId="77777777" w:rsidR="00535AD5" w:rsidRDefault="00535AD5"/>
        </w:tc>
        <w:tc>
          <w:tcPr>
            <w:tcW w:w="1290" w:type="dxa"/>
          </w:tcPr>
          <w:p w14:paraId="04798760" w14:textId="77777777" w:rsidR="00535AD5" w:rsidRDefault="000F4CA5">
            <w:r>
              <w:rPr>
                <w:rFonts w:ascii="Arial" w:hAnsi="Arial"/>
                <w:sz w:val="18"/>
              </w:rPr>
              <w:t>**3,402.997**</w:t>
            </w:r>
          </w:p>
        </w:tc>
        <w:tc>
          <w:tcPr>
            <w:tcW w:w="1290" w:type="dxa"/>
          </w:tcPr>
          <w:p w14:paraId="454B19DC" w14:textId="77777777" w:rsidR="00535AD5" w:rsidRDefault="000F4CA5">
            <w:r>
              <w:rPr>
                <w:rFonts w:ascii="Arial" w:hAnsi="Arial"/>
                <w:sz w:val="18"/>
              </w:rPr>
              <w:t>**100.00**</w:t>
            </w:r>
          </w:p>
        </w:tc>
        <w:tc>
          <w:tcPr>
            <w:tcW w:w="1290" w:type="dxa"/>
          </w:tcPr>
          <w:p w14:paraId="6D2BD84C" w14:textId="77777777" w:rsidR="00535AD5" w:rsidRDefault="000F4CA5">
            <w:r>
              <w:rPr>
                <w:rFonts w:ascii="Arial" w:hAnsi="Arial"/>
                <w:sz w:val="18"/>
              </w:rPr>
              <w:t>**3,324.521**</w:t>
            </w:r>
          </w:p>
        </w:tc>
        <w:tc>
          <w:tcPr>
            <w:tcW w:w="1290" w:type="dxa"/>
          </w:tcPr>
          <w:p w14:paraId="4615D179" w14:textId="77777777" w:rsidR="00535AD5" w:rsidRDefault="000F4CA5">
            <w:r>
              <w:rPr>
                <w:rFonts w:ascii="Arial" w:hAnsi="Arial"/>
                <w:sz w:val="18"/>
              </w:rPr>
              <w:t>**+2.36**</w:t>
            </w:r>
          </w:p>
        </w:tc>
      </w:tr>
    </w:tbl>
    <w:p w14:paraId="1E847E26" w14:textId="77777777" w:rsidR="00535AD5" w:rsidRDefault="000F4CA5">
      <w:r>
        <w:rPr>
          <w:rFonts w:ascii="Arial" w:hAnsi="Arial"/>
          <w:i/>
          <w:sz w:val="16"/>
        </w:rPr>
        <w:t>Source: Source: Internal facility-level fuel consumption records (2024); emission factors from ESDM National Emission Factor Database 2023; GWP values from IPCC AR6.</w:t>
      </w:r>
    </w:p>
    <w:p w14:paraId="5BE83492" w14:textId="77777777" w:rsidR="00535AD5" w:rsidRDefault="00535AD5"/>
    <w:p w14:paraId="7635AACA" w14:textId="77777777" w:rsidR="00535AD5" w:rsidRDefault="000F4CA5">
      <w:r>
        <w:rPr>
          <w:i/>
          <w:color w:val="3D6094"/>
          <w:sz w:val="18"/>
        </w:rPr>
        <w:t>Framework references: GRI 305-1 (Direct GHG Emissions); POJK No. 51/POJK.03/2017 Pasal 13-16 (Climate Risk Management); GHG Protocol Corporate Accounting and Reporting Standard (2015 Revised Edition); IPCC AR6 Global Warming Potential Values</w:t>
      </w:r>
    </w:p>
    <w:p w14:paraId="03E5FADA" w14:textId="77777777" w:rsidR="00535AD5" w:rsidRDefault="00535AD5">
      <w:pPr>
        <w:pBdr>
          <w:bottom w:val="single" w:sz="6" w:space="1" w:color="999999"/>
        </w:pBdr>
        <w:spacing w:after="80"/>
      </w:pPr>
    </w:p>
    <w:p w14:paraId="28D52D3A" w14:textId="77777777" w:rsidR="00535AD5" w:rsidRDefault="000F4CA5">
      <w:pPr>
        <w:spacing w:after="160"/>
        <w:jc w:val="both"/>
      </w:pPr>
      <w:r>
        <w:rPr>
          <w:rFonts w:ascii="Arial" w:hAnsi="Arial"/>
          <w:i/>
          <w:color w:val="646464"/>
          <w:sz w:val="18"/>
        </w:rPr>
        <w:t>All Scope 1 emission data are based on primary activity data (fuel purchase invoices and consumption meters) and represent Data Quality Score 1 per the GHG Protocol's data quality assessment framework.</w:t>
      </w:r>
    </w:p>
    <w:p w14:paraId="1534CE1C"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25D3B8F4" w14:textId="77777777" w:rsidR="00535AD5" w:rsidRDefault="000F4CA5">
      <w:pPr>
        <w:spacing w:after="160"/>
        <w:jc w:val="both"/>
      </w:pPr>
      <w:r>
        <w:rPr>
          <w:rFonts w:ascii="Arial" w:hAnsi="Arial"/>
          <w:i/>
          <w:color w:val="646464"/>
          <w:sz w:val="18"/>
        </w:rPr>
        <w:t>The institution's operational boundary includes all facilities under operational control as of December 31, 2024, totaling 290 branches and 15 regional offices across Indonesia.</w:t>
      </w:r>
    </w:p>
    <w:p w14:paraId="466B25A2" w14:textId="77777777" w:rsidR="00535AD5" w:rsidRDefault="000F4CA5">
      <w:pPr>
        <w:spacing w:after="160"/>
        <w:jc w:val="both"/>
      </w:pPr>
      <w:r>
        <w:rPr>
          <w:rFonts w:ascii="Arial" w:hAnsi="Arial"/>
          <w:i/>
          <w:color w:val="646464"/>
          <w:sz w:val="18"/>
        </w:rPr>
        <w:t>Biogenic CO₂ emissions are not applicable to the institution's Scope 1 inventory as no biomass fuels are combusted.</w:t>
      </w:r>
    </w:p>
    <w:p w14:paraId="178F8C26" w14:textId="77777777" w:rsidR="00535AD5" w:rsidRDefault="000F4CA5">
      <w:r>
        <w:br w:type="page"/>
      </w:r>
    </w:p>
    <w:p w14:paraId="79004E8A" w14:textId="77777777" w:rsidR="00535AD5" w:rsidRDefault="000F4CA5">
      <w:pPr>
        <w:pStyle w:val="Heading1"/>
        <w:spacing w:after="240"/>
      </w:pPr>
      <w:bookmarkStart w:id="7" w:name="_Toc231920342"/>
      <w:r>
        <w:rPr>
          <w:rFonts w:ascii="Arial" w:hAnsi="Arial"/>
          <w:color w:val="1B3A6B"/>
          <w:sz w:val="36"/>
        </w:rPr>
        <w:lastRenderedPageBreak/>
        <w:t>GRI 305-2: Energy Indirect (Scope 2) GHG Emissions</w:t>
      </w:r>
      <w:bookmarkEnd w:id="7"/>
    </w:p>
    <w:p w14:paraId="1BD201F1" w14:textId="77777777" w:rsidR="00535AD5" w:rsidRDefault="000F4CA5">
      <w:pPr>
        <w:spacing w:after="160"/>
        <w:jc w:val="both"/>
      </w:pPr>
      <w:r>
        <w:rPr>
          <w:rFonts w:ascii="Arial" w:hAnsi="Arial"/>
        </w:rPr>
        <w:t>The organization's energy indirect (Scope 2) greenhouse gas emissions for the reporting period totaled 44,613.876 tCO2e using the location-based method and 44,612.518 tCO2e using the market-based method. These emissions result from purchased electricity consumed across the institution's operational facilities, including headquarters, branch offices, data centers, and automated teller machine (ATM) networks. The minimal difference of 1.358 tCO2e between the two methods reflects limited deployment of contract</w:t>
      </w:r>
      <w:r>
        <w:rPr>
          <w:rFonts w:ascii="Arial" w:hAnsi="Arial"/>
        </w:rPr>
        <w:t>ual instruments for renewable energy procurement during the reporting period.</w:t>
      </w:r>
    </w:p>
    <w:p w14:paraId="62A12D20" w14:textId="77777777" w:rsidR="00535AD5" w:rsidRDefault="000F4CA5">
      <w:pPr>
        <w:spacing w:after="160"/>
        <w:jc w:val="both"/>
      </w:pPr>
      <w:r>
        <w:rPr>
          <w:rFonts w:ascii="Arial" w:hAnsi="Arial"/>
          <w:i/>
        </w:rPr>
        <w:t>The location-based method applies the grid-average emission factor for Indonesia's Java-Bali interconnected grid system, sourced from PT PLN (Persero) 2023 emission factor data at 0.850 kgCO2/kWh. This method reflects the average emissions intensity of electricity generation on the grid where consumption occurs, regardless of contractual arrangements. The market-based method accounts for emissions from electricity that the organization has purposefully chosen through contractual instruments, including renew</w:t>
      </w:r>
      <w:r>
        <w:rPr>
          <w:rFonts w:ascii="Arial" w:hAnsi="Arial"/>
          <w:i/>
        </w:rPr>
        <w:t>able energy certificates (RECs), power purchase agreements (PPAs), or supplier-specific emission rates. In the absence of such instruments, residual mix emission factors are applied per the GHG Protocol Scope 2 Guidance (2015).</w:t>
      </w:r>
    </w:p>
    <w:p w14:paraId="5C4D15C4" w14:textId="77777777" w:rsidR="00535AD5" w:rsidRDefault="000F4CA5">
      <w:pPr>
        <w:spacing w:after="160"/>
        <w:jc w:val="both"/>
      </w:pPr>
      <w:r>
        <w:rPr>
          <w:rFonts w:ascii="Arial" w:hAnsi="Arial"/>
        </w:rPr>
        <w:t>During the reporting period, the organization consumed approximately 52,487 MWh of electricity across all operational facilities. The market-based calculation incorporates a negligible volume of renewable energy certificates covering 0.003% of total consumption, resulting in the marginal reduction from location-based figures. The organization does not currently hold long-term power purchase agreements with renewable energy providers, nor does it participate in green tariff programs offered by the national u</w:t>
      </w:r>
      <w:r>
        <w:rPr>
          <w:rFonts w:ascii="Arial" w:hAnsi="Arial"/>
        </w:rPr>
        <w:t>tility. The residual mix emission factor applied for non-contracted electricity aligns with the national grid average due to unavailability of jurisdiction-specific residual mix data.</w:t>
      </w:r>
    </w:p>
    <w:p w14:paraId="1448E4AF" w14:textId="77777777" w:rsidR="00535AD5" w:rsidRDefault="000F4CA5">
      <w:pPr>
        <w:spacing w:after="160"/>
        <w:jc w:val="both"/>
      </w:pPr>
      <w:r>
        <w:rPr>
          <w:rFonts w:ascii="Arial" w:hAnsi="Arial"/>
        </w:rPr>
        <w:t>Compared to the prior reporting period (2023), location-based Scope 2 emissions increased by 0.03% from 44,599.440 tCO2e to 44,613.876 tCO2e, representing an absolute increase of 14.436 tCO2e. Market-based emissions similarly increased by 0.03% from 44,598.118 tCO2e to 44,612.518 tCO2e. This marginal increase occurred despite a 2.03% growth in full-time equivalent employees, indicating improved energy efficiency per employee. The Scope 2 emissions intensity decreased from 1.820 tCO2e per FTE in 2023 to 1.78</w:t>
      </w:r>
      <w:r>
        <w:rPr>
          <w:rFonts w:ascii="Arial" w:hAnsi="Arial"/>
        </w:rPr>
        <w:t>5 tCO2e per FTE in 2024, representing a 1.92% improvement in operational efficiency.</w:t>
      </w:r>
    </w:p>
    <w:p w14:paraId="4B79D74E" w14:textId="77777777" w:rsidR="00535AD5" w:rsidRDefault="000F4CA5">
      <w:pPr>
        <w:spacing w:after="160"/>
        <w:jc w:val="both"/>
      </w:pPr>
      <w:r>
        <w:rPr>
          <w:rFonts w:ascii="Arial" w:hAnsi="Arial"/>
          <w:i/>
        </w:rPr>
        <w:t>The organization consolidates Scope 2 emissions using the operational control approach, consistent with its Scope 1 boundary definition. All facilities where the organization has operational control over energy procurement decisions are included in the inventory. Emissions from leased facilities where landlords control electricity supply are excluded from Scope 2 and would be reported under Scope 3 Category 8 (upstream leased assets) if material. The organization applies the same consolidation approach acro</w:t>
      </w:r>
      <w:r>
        <w:rPr>
          <w:rFonts w:ascii="Arial" w:hAnsi="Arial"/>
          <w:i/>
        </w:rPr>
        <w:t>ss all reporting periods to ensure consistency and comparability.</w:t>
      </w:r>
    </w:p>
    <w:p w14:paraId="1C459AFD" w14:textId="77777777" w:rsidR="00535AD5" w:rsidRDefault="000F4CA5">
      <w:pPr>
        <w:spacing w:after="160"/>
        <w:jc w:val="both"/>
      </w:pPr>
      <w:r>
        <w:rPr>
          <w:rFonts w:ascii="Arial" w:hAnsi="Arial"/>
          <w:i/>
          <w:color w:val="555555"/>
        </w:rPr>
        <w:t>**Advisory Recommendations for Scope 2 Emissions Reduction:**</w:t>
      </w:r>
      <w:r>
        <w:rPr>
          <w:rFonts w:ascii="Arial" w:hAnsi="Arial"/>
          <w:i/>
          <w:color w:val="555555"/>
        </w:rPr>
        <w:br/>
      </w:r>
      <w:r>
        <w:rPr>
          <w:rFonts w:ascii="Arial" w:hAnsi="Arial"/>
          <w:i/>
          <w:color w:val="555555"/>
        </w:rPr>
        <w:br/>
        <w:t xml:space="preserve">**Finding 1 — Minimal Renewable Energy Procurement**: The organization's renewable </w:t>
      </w:r>
      <w:r>
        <w:rPr>
          <w:rFonts w:ascii="Arial" w:hAnsi="Arial"/>
          <w:i/>
          <w:color w:val="555555"/>
        </w:rPr>
        <w:lastRenderedPageBreak/>
        <w:t>energy coverage of 0.003% significantly lags peer institutions. DBS Bank sources 62% of its electricity from renewable sources as an RE100 member, achieving a 12% year-over-year reduction in absolute emissions despite business growth.</w:t>
      </w:r>
      <w:r>
        <w:rPr>
          <w:rFonts w:ascii="Arial" w:hAnsi="Arial"/>
          <w:i/>
          <w:color w:val="555555"/>
        </w:rPr>
        <w:br/>
      </w:r>
      <w:r>
        <w:rPr>
          <w:rFonts w:ascii="Arial" w:hAnsi="Arial"/>
          <w:i/>
          <w:color w:val="555555"/>
        </w:rPr>
        <w:br/>
        <w:t>**Benchmark**: BRI (Bank Rakyat Indonesia) achieved 19.49% electricity savings through its Green Network program, implementing solar panels at branches and obtaining Gold certification from G</w:t>
      </w:r>
      <w:r>
        <w:rPr>
          <w:rFonts w:ascii="Arial" w:hAnsi="Arial"/>
          <w:i/>
          <w:color w:val="555555"/>
        </w:rPr>
        <w:t>reen Building Council Indonesia (GBCI) for its headquarters.</w:t>
      </w:r>
      <w:r>
        <w:rPr>
          <w:rFonts w:ascii="Arial" w:hAnsi="Arial"/>
          <w:i/>
          <w:color w:val="555555"/>
        </w:rPr>
        <w:br/>
      </w:r>
      <w:r>
        <w:rPr>
          <w:rFonts w:ascii="Arial" w:hAnsi="Arial"/>
          <w:i/>
          <w:color w:val="555555"/>
        </w:rPr>
        <w:br/>
        <w:t>**Recommendation**: Establish a three-phase renewable energy roadmap: (1) Short-term (6-12 months) — Install rooftop solar photovoltaic systems at 10-15 high-consumption branches, targeting 5-10% on-site renewable generation; (2) Medium-term (12-24 months) — Execute power purchase agreements with renewable energy providers for 25-30% of total consumption; (3) Long-term (24-36 months) — Submit RE100 commitment targeting 50% renewable electricity b</w:t>
      </w:r>
      <w:r>
        <w:rPr>
          <w:rFonts w:ascii="Arial" w:hAnsi="Arial"/>
          <w:i/>
          <w:color w:val="555555"/>
        </w:rPr>
        <w:t>y 2030, aligned with Indonesia's national renewable energy targets.</w:t>
      </w:r>
      <w:r>
        <w:rPr>
          <w:rFonts w:ascii="Arial" w:hAnsi="Arial"/>
          <w:i/>
          <w:color w:val="555555"/>
        </w:rPr>
        <w:br/>
      </w:r>
      <w:r>
        <w:rPr>
          <w:rFonts w:ascii="Arial" w:hAnsi="Arial"/>
          <w:i/>
          <w:color w:val="555555"/>
        </w:rPr>
        <w:br/>
        <w:t>**Reference**: BRI's solar panel installations at branch network; DBS Bank's RE100 membership and 62% renewable achievement.</w:t>
      </w:r>
      <w:r>
        <w:rPr>
          <w:rFonts w:ascii="Arial" w:hAnsi="Arial"/>
          <w:i/>
          <w:color w:val="555555"/>
        </w:rPr>
        <w:br/>
      </w:r>
      <w:r>
        <w:rPr>
          <w:rFonts w:ascii="Arial" w:hAnsi="Arial"/>
          <w:i/>
          <w:color w:val="555555"/>
        </w:rPr>
        <w:br/>
        <w:t>**Priority**: High — Renewable energy procurement is the most impactful lever for Scope 2 reduction and demonstrates climate leadership to stakeholders.</w:t>
      </w:r>
      <w:r>
        <w:rPr>
          <w:rFonts w:ascii="Arial" w:hAnsi="Arial"/>
          <w:i/>
          <w:color w:val="555555"/>
        </w:rPr>
        <w:br/>
      </w:r>
      <w:r>
        <w:rPr>
          <w:rFonts w:ascii="Arial" w:hAnsi="Arial"/>
          <w:i/>
          <w:color w:val="555555"/>
        </w:rPr>
        <w:br/>
        <w:t>**Finding 2 — Energy Efficiency Opportunities**: While emissions intensity per FTE improved by 1.92%, absolute emissions increased, indicating efficiency gains are</w:t>
      </w:r>
      <w:r>
        <w:rPr>
          <w:rFonts w:ascii="Arial" w:hAnsi="Arial"/>
          <w:i/>
          <w:color w:val="555555"/>
        </w:rPr>
        <w:t xml:space="preserve"> offset by operational expansion. BRI implemented automated shutdown systems through its Kaseya program and LED retrofitting, achieving measurable consumption reductions.</w:t>
      </w:r>
      <w:r>
        <w:rPr>
          <w:rFonts w:ascii="Arial" w:hAnsi="Arial"/>
          <w:i/>
          <w:color w:val="555555"/>
        </w:rPr>
        <w:br/>
      </w:r>
      <w:r>
        <w:rPr>
          <w:rFonts w:ascii="Arial" w:hAnsi="Arial"/>
          <w:i/>
          <w:color w:val="555555"/>
        </w:rPr>
        <w:br/>
        <w:t>**Recommendation**: Deploy building management systems with automated HVAC scheduling, motion-sensor lighting, and elevator optimization across the top 20 energy-consuming facilities within 12 months. Target 3-5% absolute electricity reduction despite headcount growth. Pursue green building certification (EDGE or GBCI) for new branch cons</w:t>
      </w:r>
      <w:r>
        <w:rPr>
          <w:rFonts w:ascii="Arial" w:hAnsi="Arial"/>
          <w:i/>
          <w:color w:val="555555"/>
        </w:rPr>
        <w:t>truction and major renovations.</w:t>
      </w:r>
      <w:r>
        <w:rPr>
          <w:rFonts w:ascii="Arial" w:hAnsi="Arial"/>
          <w:i/>
          <w:color w:val="555555"/>
        </w:rPr>
        <w:br/>
      </w:r>
      <w:r>
        <w:rPr>
          <w:rFonts w:ascii="Arial" w:hAnsi="Arial"/>
          <w:i/>
          <w:color w:val="555555"/>
        </w:rPr>
        <w:br/>
        <w:t>**Reference**: BRI's Kaseya automated shutdown program; BRI's Gold GBCI certification for headquarters building.</w:t>
      </w:r>
      <w:r>
        <w:rPr>
          <w:rFonts w:ascii="Arial" w:hAnsi="Arial"/>
          <w:i/>
          <w:color w:val="555555"/>
        </w:rPr>
        <w:br/>
      </w:r>
      <w:r>
        <w:rPr>
          <w:rFonts w:ascii="Arial" w:hAnsi="Arial"/>
          <w:i/>
          <w:color w:val="555555"/>
        </w:rPr>
        <w:br/>
        <w:t>**Priority**: Medium — Complements renewable procurement strategy and delivers cost savings alongside emissions reductions.</w:t>
      </w:r>
    </w:p>
    <w:p w14:paraId="3557929C" w14:textId="77777777" w:rsidR="00535AD5" w:rsidRDefault="000F4CA5">
      <w:r>
        <w:rPr>
          <w:rFonts w:ascii="Arial" w:hAnsi="Arial"/>
          <w:b/>
          <w:sz w:val="20"/>
        </w:rPr>
        <w:t>Table 4.2: Scope 2 Energy Indirect GHG Emissions — Dual Reporting (tCO2e)</w:t>
      </w:r>
    </w:p>
    <w:tbl>
      <w:tblPr>
        <w:tblW w:w="0" w:type="auto"/>
        <w:jc w:val="center"/>
        <w:tblLook w:val="04A0" w:firstRow="1" w:lastRow="0" w:firstColumn="1" w:lastColumn="0" w:noHBand="0" w:noVBand="1"/>
      </w:tblPr>
      <w:tblGrid>
        <w:gridCol w:w="1806"/>
        <w:gridCol w:w="1806"/>
        <w:gridCol w:w="1806"/>
        <w:gridCol w:w="1806"/>
        <w:gridCol w:w="1806"/>
      </w:tblGrid>
      <w:tr w:rsidR="00535AD5" w14:paraId="14CBBF8F" w14:textId="77777777">
        <w:trPr>
          <w:jc w:val="center"/>
        </w:trPr>
        <w:tc>
          <w:tcPr>
            <w:tcW w:w="1806" w:type="dxa"/>
            <w:shd w:val="clear" w:color="auto" w:fill="1B3A6B"/>
          </w:tcPr>
          <w:p w14:paraId="7BA03513" w14:textId="77777777" w:rsidR="00535AD5" w:rsidRDefault="000F4CA5">
            <w:r>
              <w:rPr>
                <w:rFonts w:ascii="Arial" w:hAnsi="Arial"/>
                <w:b/>
                <w:color w:val="FFFFFF"/>
                <w:sz w:val="18"/>
              </w:rPr>
              <w:t>Reporting Method</w:t>
            </w:r>
          </w:p>
        </w:tc>
        <w:tc>
          <w:tcPr>
            <w:tcW w:w="1806" w:type="dxa"/>
            <w:shd w:val="clear" w:color="auto" w:fill="1B3A6B"/>
          </w:tcPr>
          <w:p w14:paraId="4C2101E7" w14:textId="77777777" w:rsidR="00535AD5" w:rsidRDefault="000F4CA5">
            <w:r>
              <w:rPr>
                <w:rFonts w:ascii="Arial" w:hAnsi="Arial"/>
                <w:b/>
                <w:color w:val="FFFFFF"/>
                <w:sz w:val="18"/>
              </w:rPr>
              <w:t>2024 Emissions (tCO2e)</w:t>
            </w:r>
          </w:p>
        </w:tc>
        <w:tc>
          <w:tcPr>
            <w:tcW w:w="1806" w:type="dxa"/>
            <w:shd w:val="clear" w:color="auto" w:fill="1B3A6B"/>
          </w:tcPr>
          <w:p w14:paraId="2952D941" w14:textId="77777777" w:rsidR="00535AD5" w:rsidRDefault="000F4CA5">
            <w:r>
              <w:rPr>
                <w:rFonts w:ascii="Arial" w:hAnsi="Arial"/>
                <w:b/>
                <w:color w:val="FFFFFF"/>
                <w:sz w:val="18"/>
              </w:rPr>
              <w:t>2023 Emissions (tCO2e)</w:t>
            </w:r>
          </w:p>
        </w:tc>
        <w:tc>
          <w:tcPr>
            <w:tcW w:w="1806" w:type="dxa"/>
            <w:shd w:val="clear" w:color="auto" w:fill="1B3A6B"/>
          </w:tcPr>
          <w:p w14:paraId="6A656063" w14:textId="77777777" w:rsidR="00535AD5" w:rsidRDefault="000F4CA5">
            <w:r>
              <w:rPr>
                <w:rFonts w:ascii="Arial" w:hAnsi="Arial"/>
                <w:b/>
                <w:color w:val="FFFFFF"/>
                <w:sz w:val="18"/>
              </w:rPr>
              <w:t>Absolute Change (tCO2e)</w:t>
            </w:r>
          </w:p>
        </w:tc>
        <w:tc>
          <w:tcPr>
            <w:tcW w:w="1806" w:type="dxa"/>
            <w:shd w:val="clear" w:color="auto" w:fill="1B3A6B"/>
          </w:tcPr>
          <w:p w14:paraId="4E2FA4A2" w14:textId="77777777" w:rsidR="00535AD5" w:rsidRDefault="000F4CA5">
            <w:r>
              <w:rPr>
                <w:rFonts w:ascii="Arial" w:hAnsi="Arial"/>
                <w:b/>
                <w:color w:val="FFFFFF"/>
                <w:sz w:val="18"/>
              </w:rPr>
              <w:t>YoY Change (%)</w:t>
            </w:r>
          </w:p>
        </w:tc>
      </w:tr>
      <w:tr w:rsidR="00535AD5" w14:paraId="593D53ED" w14:textId="77777777">
        <w:trPr>
          <w:jc w:val="center"/>
        </w:trPr>
        <w:tc>
          <w:tcPr>
            <w:tcW w:w="1806" w:type="dxa"/>
          </w:tcPr>
          <w:p w14:paraId="67808938" w14:textId="77777777" w:rsidR="00535AD5" w:rsidRDefault="000F4CA5">
            <w:r>
              <w:rPr>
                <w:rFonts w:ascii="Arial" w:hAnsi="Arial"/>
                <w:sz w:val="18"/>
              </w:rPr>
              <w:t>Location-based</w:t>
            </w:r>
          </w:p>
        </w:tc>
        <w:tc>
          <w:tcPr>
            <w:tcW w:w="1806" w:type="dxa"/>
          </w:tcPr>
          <w:p w14:paraId="491D12FE" w14:textId="77777777" w:rsidR="00535AD5" w:rsidRDefault="000F4CA5">
            <w:pPr>
              <w:jc w:val="right"/>
            </w:pPr>
            <w:r>
              <w:rPr>
                <w:rFonts w:ascii="Arial" w:hAnsi="Arial"/>
                <w:sz w:val="18"/>
              </w:rPr>
              <w:t>44,613.876</w:t>
            </w:r>
          </w:p>
        </w:tc>
        <w:tc>
          <w:tcPr>
            <w:tcW w:w="1806" w:type="dxa"/>
          </w:tcPr>
          <w:p w14:paraId="7B6E7874" w14:textId="77777777" w:rsidR="00535AD5" w:rsidRDefault="000F4CA5">
            <w:pPr>
              <w:jc w:val="right"/>
            </w:pPr>
            <w:r>
              <w:rPr>
                <w:rFonts w:ascii="Arial" w:hAnsi="Arial"/>
                <w:sz w:val="18"/>
              </w:rPr>
              <w:t>44,599.440</w:t>
            </w:r>
          </w:p>
        </w:tc>
        <w:tc>
          <w:tcPr>
            <w:tcW w:w="1806" w:type="dxa"/>
          </w:tcPr>
          <w:p w14:paraId="581006B4" w14:textId="77777777" w:rsidR="00535AD5" w:rsidRDefault="000F4CA5">
            <w:pPr>
              <w:jc w:val="right"/>
            </w:pPr>
            <w:r>
              <w:rPr>
                <w:rFonts w:ascii="Arial" w:hAnsi="Arial"/>
                <w:sz w:val="18"/>
              </w:rPr>
              <w:t>+14.436</w:t>
            </w:r>
          </w:p>
        </w:tc>
        <w:tc>
          <w:tcPr>
            <w:tcW w:w="1806" w:type="dxa"/>
          </w:tcPr>
          <w:p w14:paraId="79DE1E4C" w14:textId="77777777" w:rsidR="00535AD5" w:rsidRDefault="000F4CA5">
            <w:pPr>
              <w:jc w:val="right"/>
            </w:pPr>
            <w:r>
              <w:rPr>
                <w:rFonts w:ascii="Arial" w:hAnsi="Arial"/>
                <w:sz w:val="18"/>
              </w:rPr>
              <w:t>+0.03%</w:t>
            </w:r>
          </w:p>
        </w:tc>
      </w:tr>
      <w:tr w:rsidR="00535AD5" w14:paraId="2EDC821D" w14:textId="77777777">
        <w:trPr>
          <w:jc w:val="center"/>
        </w:trPr>
        <w:tc>
          <w:tcPr>
            <w:tcW w:w="1806" w:type="dxa"/>
            <w:shd w:val="clear" w:color="auto" w:fill="F2F6FC"/>
          </w:tcPr>
          <w:p w14:paraId="20C990ED" w14:textId="77777777" w:rsidR="00535AD5" w:rsidRDefault="000F4CA5">
            <w:r>
              <w:rPr>
                <w:rFonts w:ascii="Arial" w:hAnsi="Arial"/>
                <w:sz w:val="18"/>
              </w:rPr>
              <w:t>Market-based</w:t>
            </w:r>
          </w:p>
        </w:tc>
        <w:tc>
          <w:tcPr>
            <w:tcW w:w="1806" w:type="dxa"/>
            <w:shd w:val="clear" w:color="auto" w:fill="F2F6FC"/>
          </w:tcPr>
          <w:p w14:paraId="6FC9A82A" w14:textId="77777777" w:rsidR="00535AD5" w:rsidRDefault="000F4CA5">
            <w:pPr>
              <w:jc w:val="right"/>
            </w:pPr>
            <w:r>
              <w:rPr>
                <w:rFonts w:ascii="Arial" w:hAnsi="Arial"/>
                <w:sz w:val="18"/>
              </w:rPr>
              <w:t>44,612.518</w:t>
            </w:r>
          </w:p>
        </w:tc>
        <w:tc>
          <w:tcPr>
            <w:tcW w:w="1806" w:type="dxa"/>
            <w:shd w:val="clear" w:color="auto" w:fill="F2F6FC"/>
          </w:tcPr>
          <w:p w14:paraId="26454BD2" w14:textId="77777777" w:rsidR="00535AD5" w:rsidRDefault="000F4CA5">
            <w:pPr>
              <w:jc w:val="right"/>
            </w:pPr>
            <w:r>
              <w:rPr>
                <w:rFonts w:ascii="Arial" w:hAnsi="Arial"/>
                <w:sz w:val="18"/>
              </w:rPr>
              <w:t>44,598.118</w:t>
            </w:r>
          </w:p>
        </w:tc>
        <w:tc>
          <w:tcPr>
            <w:tcW w:w="1806" w:type="dxa"/>
            <w:shd w:val="clear" w:color="auto" w:fill="F2F6FC"/>
          </w:tcPr>
          <w:p w14:paraId="4B7A74CE" w14:textId="77777777" w:rsidR="00535AD5" w:rsidRDefault="000F4CA5">
            <w:pPr>
              <w:jc w:val="right"/>
            </w:pPr>
            <w:r>
              <w:rPr>
                <w:rFonts w:ascii="Arial" w:hAnsi="Arial"/>
                <w:sz w:val="18"/>
              </w:rPr>
              <w:t>+14.400</w:t>
            </w:r>
          </w:p>
        </w:tc>
        <w:tc>
          <w:tcPr>
            <w:tcW w:w="1806" w:type="dxa"/>
            <w:shd w:val="clear" w:color="auto" w:fill="F2F6FC"/>
          </w:tcPr>
          <w:p w14:paraId="33DFE18C" w14:textId="77777777" w:rsidR="00535AD5" w:rsidRDefault="000F4CA5">
            <w:pPr>
              <w:jc w:val="right"/>
            </w:pPr>
            <w:r>
              <w:rPr>
                <w:rFonts w:ascii="Arial" w:hAnsi="Arial"/>
                <w:sz w:val="18"/>
              </w:rPr>
              <w:t>+0.03%</w:t>
            </w:r>
          </w:p>
        </w:tc>
      </w:tr>
      <w:tr w:rsidR="00535AD5" w14:paraId="4AE19299" w14:textId="77777777">
        <w:trPr>
          <w:jc w:val="center"/>
        </w:trPr>
        <w:tc>
          <w:tcPr>
            <w:tcW w:w="1806" w:type="dxa"/>
          </w:tcPr>
          <w:p w14:paraId="5C786C99" w14:textId="77777777" w:rsidR="00535AD5" w:rsidRDefault="000F4CA5">
            <w:r>
              <w:rPr>
                <w:rFonts w:ascii="Arial" w:hAnsi="Arial"/>
                <w:sz w:val="18"/>
              </w:rPr>
              <w:t>Difference (Location - Market)</w:t>
            </w:r>
          </w:p>
        </w:tc>
        <w:tc>
          <w:tcPr>
            <w:tcW w:w="1806" w:type="dxa"/>
          </w:tcPr>
          <w:p w14:paraId="12EB1029" w14:textId="77777777" w:rsidR="00535AD5" w:rsidRDefault="000F4CA5">
            <w:pPr>
              <w:jc w:val="right"/>
            </w:pPr>
            <w:r>
              <w:rPr>
                <w:rFonts w:ascii="Arial" w:hAnsi="Arial"/>
                <w:sz w:val="18"/>
              </w:rPr>
              <w:t>1.358</w:t>
            </w:r>
          </w:p>
        </w:tc>
        <w:tc>
          <w:tcPr>
            <w:tcW w:w="1806" w:type="dxa"/>
          </w:tcPr>
          <w:p w14:paraId="5ED7C1EB" w14:textId="77777777" w:rsidR="00535AD5" w:rsidRDefault="000F4CA5">
            <w:pPr>
              <w:jc w:val="right"/>
            </w:pPr>
            <w:r>
              <w:rPr>
                <w:rFonts w:ascii="Arial" w:hAnsi="Arial"/>
                <w:sz w:val="18"/>
              </w:rPr>
              <w:t>1.322</w:t>
            </w:r>
          </w:p>
        </w:tc>
        <w:tc>
          <w:tcPr>
            <w:tcW w:w="1806" w:type="dxa"/>
          </w:tcPr>
          <w:p w14:paraId="16374A16" w14:textId="77777777" w:rsidR="00535AD5" w:rsidRDefault="000F4CA5">
            <w:pPr>
              <w:jc w:val="right"/>
            </w:pPr>
            <w:r>
              <w:rPr>
                <w:rFonts w:ascii="Arial" w:hAnsi="Arial"/>
                <w:sz w:val="18"/>
              </w:rPr>
              <w:t>+0.036</w:t>
            </w:r>
          </w:p>
        </w:tc>
        <w:tc>
          <w:tcPr>
            <w:tcW w:w="1806" w:type="dxa"/>
          </w:tcPr>
          <w:p w14:paraId="6221EF2E" w14:textId="77777777" w:rsidR="00535AD5" w:rsidRDefault="000F4CA5">
            <w:pPr>
              <w:jc w:val="right"/>
            </w:pPr>
            <w:r>
              <w:rPr>
                <w:rFonts w:ascii="Arial" w:hAnsi="Arial"/>
                <w:sz w:val="18"/>
              </w:rPr>
              <w:t>+2.72%</w:t>
            </w:r>
          </w:p>
        </w:tc>
      </w:tr>
    </w:tbl>
    <w:p w14:paraId="4AC1DE15" w14:textId="77777777" w:rsidR="00535AD5" w:rsidRDefault="000F4CA5">
      <w:r>
        <w:rPr>
          <w:rFonts w:ascii="Arial" w:hAnsi="Arial"/>
          <w:i/>
          <w:sz w:val="16"/>
        </w:rPr>
        <w:lastRenderedPageBreak/>
        <w:t>Source: Source: Internal energy consumption records; PLN 2023 grid emission factor (0.850 kgCO2/kWh); GHG Protocol Scope 2 Guidance (2015). Consolidation approach: Operational control.</w:t>
      </w:r>
    </w:p>
    <w:p w14:paraId="0A71B80E" w14:textId="77777777" w:rsidR="00535AD5" w:rsidRDefault="00535AD5"/>
    <w:p w14:paraId="47AE9E31" w14:textId="77777777" w:rsidR="00535AD5" w:rsidRDefault="000F4CA5">
      <w:r>
        <w:rPr>
          <w:rFonts w:ascii="Arial" w:hAnsi="Arial"/>
          <w:b/>
          <w:sz w:val="20"/>
        </w:rPr>
        <w:t>Table 4.3: Scope 2 Emissions Intensity Metrics</w:t>
      </w:r>
    </w:p>
    <w:tbl>
      <w:tblPr>
        <w:tblW w:w="0" w:type="auto"/>
        <w:jc w:val="center"/>
        <w:tblLook w:val="04A0" w:firstRow="1" w:lastRow="0" w:firstColumn="1" w:lastColumn="0" w:noHBand="0" w:noVBand="1"/>
      </w:tblPr>
      <w:tblGrid>
        <w:gridCol w:w="1806"/>
        <w:gridCol w:w="1806"/>
        <w:gridCol w:w="1806"/>
        <w:gridCol w:w="1806"/>
        <w:gridCol w:w="1806"/>
      </w:tblGrid>
      <w:tr w:rsidR="00535AD5" w14:paraId="72880CEB" w14:textId="77777777">
        <w:trPr>
          <w:jc w:val="center"/>
        </w:trPr>
        <w:tc>
          <w:tcPr>
            <w:tcW w:w="1806" w:type="dxa"/>
            <w:shd w:val="clear" w:color="auto" w:fill="1B3A6B"/>
          </w:tcPr>
          <w:p w14:paraId="10F7A4FB" w14:textId="77777777" w:rsidR="00535AD5" w:rsidRDefault="000F4CA5">
            <w:r>
              <w:rPr>
                <w:rFonts w:ascii="Arial" w:hAnsi="Arial"/>
                <w:b/>
                <w:color w:val="FFFFFF"/>
                <w:sz w:val="18"/>
              </w:rPr>
              <w:t>Intensity Metric</w:t>
            </w:r>
          </w:p>
        </w:tc>
        <w:tc>
          <w:tcPr>
            <w:tcW w:w="1806" w:type="dxa"/>
            <w:shd w:val="clear" w:color="auto" w:fill="1B3A6B"/>
          </w:tcPr>
          <w:p w14:paraId="0780E93C" w14:textId="77777777" w:rsidR="00535AD5" w:rsidRDefault="000F4CA5">
            <w:r>
              <w:rPr>
                <w:rFonts w:ascii="Arial" w:hAnsi="Arial"/>
                <w:b/>
                <w:color w:val="FFFFFF"/>
                <w:sz w:val="18"/>
              </w:rPr>
              <w:t>2024 Value</w:t>
            </w:r>
          </w:p>
        </w:tc>
        <w:tc>
          <w:tcPr>
            <w:tcW w:w="1806" w:type="dxa"/>
            <w:shd w:val="clear" w:color="auto" w:fill="1B3A6B"/>
          </w:tcPr>
          <w:p w14:paraId="7780512D" w14:textId="77777777" w:rsidR="00535AD5" w:rsidRDefault="000F4CA5">
            <w:r>
              <w:rPr>
                <w:rFonts w:ascii="Arial" w:hAnsi="Arial"/>
                <w:b/>
                <w:color w:val="FFFFFF"/>
                <w:sz w:val="18"/>
              </w:rPr>
              <w:t>2023 Value</w:t>
            </w:r>
          </w:p>
        </w:tc>
        <w:tc>
          <w:tcPr>
            <w:tcW w:w="1806" w:type="dxa"/>
            <w:shd w:val="clear" w:color="auto" w:fill="1B3A6B"/>
          </w:tcPr>
          <w:p w14:paraId="10B715E6" w14:textId="77777777" w:rsidR="00535AD5" w:rsidRDefault="000F4CA5">
            <w:r>
              <w:rPr>
                <w:rFonts w:ascii="Arial" w:hAnsi="Arial"/>
                <w:b/>
                <w:color w:val="FFFFFF"/>
                <w:sz w:val="18"/>
              </w:rPr>
              <w:t>Change (%)</w:t>
            </w:r>
          </w:p>
        </w:tc>
        <w:tc>
          <w:tcPr>
            <w:tcW w:w="1806" w:type="dxa"/>
            <w:shd w:val="clear" w:color="auto" w:fill="1B3A6B"/>
          </w:tcPr>
          <w:p w14:paraId="5ACFD76B" w14:textId="77777777" w:rsidR="00535AD5" w:rsidRDefault="000F4CA5">
            <w:r>
              <w:rPr>
                <w:rFonts w:ascii="Arial" w:hAnsi="Arial"/>
                <w:b/>
                <w:color w:val="FFFFFF"/>
                <w:sz w:val="18"/>
              </w:rPr>
              <w:t>Unit</w:t>
            </w:r>
          </w:p>
        </w:tc>
      </w:tr>
      <w:tr w:rsidR="00535AD5" w14:paraId="50E1E5BE" w14:textId="77777777">
        <w:trPr>
          <w:jc w:val="center"/>
        </w:trPr>
        <w:tc>
          <w:tcPr>
            <w:tcW w:w="1806" w:type="dxa"/>
          </w:tcPr>
          <w:p w14:paraId="68648689" w14:textId="77777777" w:rsidR="00535AD5" w:rsidRDefault="000F4CA5">
            <w:r>
              <w:rPr>
                <w:rFonts w:ascii="Arial" w:hAnsi="Arial"/>
                <w:sz w:val="18"/>
              </w:rPr>
              <w:t>Scope 2 per FTE (location-based)</w:t>
            </w:r>
          </w:p>
        </w:tc>
        <w:tc>
          <w:tcPr>
            <w:tcW w:w="1806" w:type="dxa"/>
          </w:tcPr>
          <w:p w14:paraId="738A16A6" w14:textId="77777777" w:rsidR="00535AD5" w:rsidRDefault="000F4CA5">
            <w:pPr>
              <w:jc w:val="right"/>
            </w:pPr>
            <w:r>
              <w:rPr>
                <w:rFonts w:ascii="Arial" w:hAnsi="Arial"/>
                <w:sz w:val="18"/>
              </w:rPr>
              <w:t>1.785</w:t>
            </w:r>
          </w:p>
        </w:tc>
        <w:tc>
          <w:tcPr>
            <w:tcW w:w="1806" w:type="dxa"/>
          </w:tcPr>
          <w:p w14:paraId="1393D931" w14:textId="77777777" w:rsidR="00535AD5" w:rsidRDefault="000F4CA5">
            <w:pPr>
              <w:jc w:val="right"/>
            </w:pPr>
            <w:r>
              <w:rPr>
                <w:rFonts w:ascii="Arial" w:hAnsi="Arial"/>
                <w:sz w:val="18"/>
              </w:rPr>
              <w:t>1.820</w:t>
            </w:r>
          </w:p>
        </w:tc>
        <w:tc>
          <w:tcPr>
            <w:tcW w:w="1806" w:type="dxa"/>
          </w:tcPr>
          <w:p w14:paraId="29FFDC15" w14:textId="77777777" w:rsidR="00535AD5" w:rsidRDefault="000F4CA5">
            <w:pPr>
              <w:jc w:val="right"/>
            </w:pPr>
            <w:r>
              <w:rPr>
                <w:rFonts w:ascii="Arial" w:hAnsi="Arial"/>
                <w:sz w:val="18"/>
              </w:rPr>
              <w:t>-1.92%</w:t>
            </w:r>
          </w:p>
        </w:tc>
        <w:tc>
          <w:tcPr>
            <w:tcW w:w="1806" w:type="dxa"/>
          </w:tcPr>
          <w:p w14:paraId="57AADCB5" w14:textId="77777777" w:rsidR="00535AD5" w:rsidRDefault="000F4CA5">
            <w:r>
              <w:rPr>
                <w:rFonts w:ascii="Arial" w:hAnsi="Arial"/>
                <w:sz w:val="18"/>
              </w:rPr>
              <w:t>tCO2e/FTE</w:t>
            </w:r>
          </w:p>
        </w:tc>
      </w:tr>
      <w:tr w:rsidR="00535AD5" w14:paraId="7A8F7465" w14:textId="77777777">
        <w:trPr>
          <w:jc w:val="center"/>
        </w:trPr>
        <w:tc>
          <w:tcPr>
            <w:tcW w:w="1806" w:type="dxa"/>
            <w:shd w:val="clear" w:color="auto" w:fill="F2F6FC"/>
          </w:tcPr>
          <w:p w14:paraId="053789A3" w14:textId="77777777" w:rsidR="00535AD5" w:rsidRDefault="000F4CA5">
            <w:r>
              <w:rPr>
                <w:rFonts w:ascii="Arial" w:hAnsi="Arial"/>
                <w:sz w:val="18"/>
              </w:rPr>
              <w:t>Scope 2 per FTE (market-based)</w:t>
            </w:r>
          </w:p>
        </w:tc>
        <w:tc>
          <w:tcPr>
            <w:tcW w:w="1806" w:type="dxa"/>
            <w:shd w:val="clear" w:color="auto" w:fill="F2F6FC"/>
          </w:tcPr>
          <w:p w14:paraId="3EA7DD00" w14:textId="77777777" w:rsidR="00535AD5" w:rsidRDefault="000F4CA5">
            <w:pPr>
              <w:jc w:val="right"/>
            </w:pPr>
            <w:r>
              <w:rPr>
                <w:rFonts w:ascii="Arial" w:hAnsi="Arial"/>
                <w:sz w:val="18"/>
              </w:rPr>
              <w:t>1.785</w:t>
            </w:r>
          </w:p>
        </w:tc>
        <w:tc>
          <w:tcPr>
            <w:tcW w:w="1806" w:type="dxa"/>
            <w:shd w:val="clear" w:color="auto" w:fill="F2F6FC"/>
          </w:tcPr>
          <w:p w14:paraId="48D617F9" w14:textId="77777777" w:rsidR="00535AD5" w:rsidRDefault="000F4CA5">
            <w:pPr>
              <w:jc w:val="right"/>
            </w:pPr>
            <w:r>
              <w:rPr>
                <w:rFonts w:ascii="Arial" w:hAnsi="Arial"/>
                <w:sz w:val="18"/>
              </w:rPr>
              <w:t>1.820</w:t>
            </w:r>
          </w:p>
        </w:tc>
        <w:tc>
          <w:tcPr>
            <w:tcW w:w="1806" w:type="dxa"/>
            <w:shd w:val="clear" w:color="auto" w:fill="F2F6FC"/>
          </w:tcPr>
          <w:p w14:paraId="58629687" w14:textId="77777777" w:rsidR="00535AD5" w:rsidRDefault="000F4CA5">
            <w:pPr>
              <w:jc w:val="right"/>
            </w:pPr>
            <w:r>
              <w:rPr>
                <w:rFonts w:ascii="Arial" w:hAnsi="Arial"/>
                <w:sz w:val="18"/>
              </w:rPr>
              <w:t>-1.92%</w:t>
            </w:r>
          </w:p>
        </w:tc>
        <w:tc>
          <w:tcPr>
            <w:tcW w:w="1806" w:type="dxa"/>
            <w:shd w:val="clear" w:color="auto" w:fill="F2F6FC"/>
          </w:tcPr>
          <w:p w14:paraId="5935A889" w14:textId="77777777" w:rsidR="00535AD5" w:rsidRDefault="000F4CA5">
            <w:r>
              <w:rPr>
                <w:rFonts w:ascii="Arial" w:hAnsi="Arial"/>
                <w:sz w:val="18"/>
              </w:rPr>
              <w:t>tCO2e/FTE</w:t>
            </w:r>
          </w:p>
        </w:tc>
      </w:tr>
      <w:tr w:rsidR="00535AD5" w14:paraId="23EEED68" w14:textId="77777777">
        <w:trPr>
          <w:jc w:val="center"/>
        </w:trPr>
        <w:tc>
          <w:tcPr>
            <w:tcW w:w="1806" w:type="dxa"/>
          </w:tcPr>
          <w:p w14:paraId="6C7144B8" w14:textId="77777777" w:rsidR="00535AD5" w:rsidRDefault="000F4CA5">
            <w:r>
              <w:rPr>
                <w:rFonts w:ascii="Arial" w:hAnsi="Arial"/>
                <w:sz w:val="18"/>
              </w:rPr>
              <w:t>Total electricity consumption</w:t>
            </w:r>
          </w:p>
        </w:tc>
        <w:tc>
          <w:tcPr>
            <w:tcW w:w="1806" w:type="dxa"/>
          </w:tcPr>
          <w:p w14:paraId="506634C3" w14:textId="77777777" w:rsidR="00535AD5" w:rsidRDefault="000F4CA5">
            <w:pPr>
              <w:jc w:val="right"/>
            </w:pPr>
            <w:r>
              <w:rPr>
                <w:rFonts w:ascii="Arial" w:hAnsi="Arial"/>
                <w:sz w:val="18"/>
              </w:rPr>
              <w:t>52,487</w:t>
            </w:r>
          </w:p>
        </w:tc>
        <w:tc>
          <w:tcPr>
            <w:tcW w:w="1806" w:type="dxa"/>
          </w:tcPr>
          <w:p w14:paraId="7C0308A9" w14:textId="77777777" w:rsidR="00535AD5" w:rsidRDefault="000F4CA5">
            <w:pPr>
              <w:jc w:val="right"/>
            </w:pPr>
            <w:r>
              <w:rPr>
                <w:rFonts w:ascii="Arial" w:hAnsi="Arial"/>
                <w:sz w:val="18"/>
              </w:rPr>
              <w:t>52,470</w:t>
            </w:r>
          </w:p>
        </w:tc>
        <w:tc>
          <w:tcPr>
            <w:tcW w:w="1806" w:type="dxa"/>
          </w:tcPr>
          <w:p w14:paraId="1B7023D9" w14:textId="77777777" w:rsidR="00535AD5" w:rsidRDefault="000F4CA5">
            <w:pPr>
              <w:jc w:val="right"/>
            </w:pPr>
            <w:r>
              <w:rPr>
                <w:rFonts w:ascii="Arial" w:hAnsi="Arial"/>
                <w:sz w:val="18"/>
              </w:rPr>
              <w:t>+0.03%</w:t>
            </w:r>
          </w:p>
        </w:tc>
        <w:tc>
          <w:tcPr>
            <w:tcW w:w="1806" w:type="dxa"/>
          </w:tcPr>
          <w:p w14:paraId="381BF767" w14:textId="77777777" w:rsidR="00535AD5" w:rsidRDefault="000F4CA5">
            <w:r>
              <w:rPr>
                <w:rFonts w:ascii="Arial" w:hAnsi="Arial"/>
                <w:sz w:val="18"/>
              </w:rPr>
              <w:t>MWh</w:t>
            </w:r>
          </w:p>
        </w:tc>
      </w:tr>
      <w:tr w:rsidR="00535AD5" w14:paraId="0C36E354" w14:textId="77777777">
        <w:trPr>
          <w:jc w:val="center"/>
        </w:trPr>
        <w:tc>
          <w:tcPr>
            <w:tcW w:w="1806" w:type="dxa"/>
            <w:shd w:val="clear" w:color="auto" w:fill="F2F6FC"/>
          </w:tcPr>
          <w:p w14:paraId="20167118" w14:textId="77777777" w:rsidR="00535AD5" w:rsidRDefault="000F4CA5">
            <w:r>
              <w:rPr>
                <w:rFonts w:ascii="Arial" w:hAnsi="Arial"/>
                <w:sz w:val="18"/>
              </w:rPr>
              <w:t>Renewable energy coverage</w:t>
            </w:r>
          </w:p>
        </w:tc>
        <w:tc>
          <w:tcPr>
            <w:tcW w:w="1806" w:type="dxa"/>
            <w:shd w:val="clear" w:color="auto" w:fill="F2F6FC"/>
          </w:tcPr>
          <w:p w14:paraId="17FD760B" w14:textId="77777777" w:rsidR="00535AD5" w:rsidRDefault="000F4CA5">
            <w:pPr>
              <w:jc w:val="right"/>
            </w:pPr>
            <w:r>
              <w:rPr>
                <w:rFonts w:ascii="Arial" w:hAnsi="Arial"/>
                <w:sz w:val="18"/>
              </w:rPr>
              <w:t>0.003%</w:t>
            </w:r>
          </w:p>
        </w:tc>
        <w:tc>
          <w:tcPr>
            <w:tcW w:w="1806" w:type="dxa"/>
            <w:shd w:val="clear" w:color="auto" w:fill="F2F6FC"/>
          </w:tcPr>
          <w:p w14:paraId="71A6530B" w14:textId="77777777" w:rsidR="00535AD5" w:rsidRDefault="000F4CA5">
            <w:pPr>
              <w:jc w:val="right"/>
            </w:pPr>
            <w:r>
              <w:rPr>
                <w:rFonts w:ascii="Arial" w:hAnsi="Arial"/>
                <w:sz w:val="18"/>
              </w:rPr>
              <w:t>0.003%</w:t>
            </w:r>
          </w:p>
        </w:tc>
        <w:tc>
          <w:tcPr>
            <w:tcW w:w="1806" w:type="dxa"/>
            <w:shd w:val="clear" w:color="auto" w:fill="F2F6FC"/>
          </w:tcPr>
          <w:p w14:paraId="14CCBF0A" w14:textId="77777777" w:rsidR="00535AD5" w:rsidRDefault="000F4CA5">
            <w:r>
              <w:rPr>
                <w:rFonts w:ascii="Arial" w:hAnsi="Arial"/>
                <w:sz w:val="18"/>
              </w:rPr>
              <w:t>0.00 pp</w:t>
            </w:r>
          </w:p>
        </w:tc>
        <w:tc>
          <w:tcPr>
            <w:tcW w:w="1806" w:type="dxa"/>
            <w:shd w:val="clear" w:color="auto" w:fill="F2F6FC"/>
          </w:tcPr>
          <w:p w14:paraId="0DC9A7CC" w14:textId="77777777" w:rsidR="00535AD5" w:rsidRDefault="000F4CA5">
            <w:r>
              <w:rPr>
                <w:rFonts w:ascii="Arial" w:hAnsi="Arial"/>
                <w:sz w:val="18"/>
              </w:rPr>
              <w:t>% of total</w:t>
            </w:r>
          </w:p>
        </w:tc>
      </w:tr>
    </w:tbl>
    <w:p w14:paraId="30BBB30E" w14:textId="77777777" w:rsidR="00535AD5" w:rsidRDefault="000F4CA5">
      <w:r>
        <w:rPr>
          <w:rFonts w:ascii="Arial" w:hAnsi="Arial"/>
          <w:i/>
          <w:sz w:val="16"/>
        </w:rPr>
        <w:t>Source: Source: Internal HR records (FTE data); electricity invoices and meter readings. Intensity denominators use year-end FTE counts.</w:t>
      </w:r>
    </w:p>
    <w:p w14:paraId="2BD0FA00" w14:textId="77777777" w:rsidR="00535AD5" w:rsidRDefault="00535AD5"/>
    <w:p w14:paraId="0B13AAA5" w14:textId="77777777" w:rsidR="00535AD5" w:rsidRDefault="000F4CA5">
      <w:r>
        <w:rPr>
          <w:i/>
          <w:color w:val="3D6094"/>
          <w:sz w:val="18"/>
        </w:rPr>
        <w:t>Framework references: GRI 305-2 (Energy indirect Scope 2 GHG emissions); GHG Protocol Corporate Accounting and Reporting Standard (2004); GHG Protocol Scope 2 Guidance (2015); GRI 302-1 (Energy consumption within the organization)</w:t>
      </w:r>
    </w:p>
    <w:p w14:paraId="0C862ADA" w14:textId="77777777" w:rsidR="00535AD5" w:rsidRDefault="00535AD5">
      <w:pPr>
        <w:pBdr>
          <w:bottom w:val="single" w:sz="6" w:space="1" w:color="999999"/>
        </w:pBdr>
        <w:spacing w:after="80"/>
      </w:pPr>
    </w:p>
    <w:p w14:paraId="1226956F"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6D3F8B8D" w14:textId="77777777" w:rsidR="00535AD5" w:rsidRDefault="000F4CA5">
      <w:pPr>
        <w:spacing w:after="160"/>
        <w:jc w:val="both"/>
      </w:pPr>
      <w:r>
        <w:rPr>
          <w:rFonts w:ascii="Arial" w:hAnsi="Arial"/>
          <w:i/>
          <w:color w:val="646464"/>
          <w:sz w:val="18"/>
        </w:rPr>
        <w:t>Grid emission factor source: PT PLN (Persero) 2023 — Java-Bali interconnected system at 0.850 kgCO2/kWh.</w:t>
      </w:r>
    </w:p>
    <w:p w14:paraId="39D9A452" w14:textId="77777777" w:rsidR="00535AD5" w:rsidRDefault="000F4CA5">
      <w:pPr>
        <w:spacing w:after="160"/>
        <w:jc w:val="both"/>
      </w:pPr>
      <w:r>
        <w:rPr>
          <w:rFonts w:ascii="Arial" w:hAnsi="Arial"/>
          <w:i/>
          <w:color w:val="646464"/>
          <w:sz w:val="18"/>
        </w:rPr>
        <w:t>Renewable energy certificates (RECs) applied to 1.6 MWh of consumption (0.003% of total), sourced from domestic renewable energy projects with I-REC Standard certification.</w:t>
      </w:r>
    </w:p>
    <w:p w14:paraId="6D81C09E" w14:textId="77777777" w:rsidR="00535AD5" w:rsidRDefault="000F4CA5">
      <w:pPr>
        <w:spacing w:after="160"/>
        <w:jc w:val="both"/>
      </w:pPr>
      <w:r>
        <w:rPr>
          <w:rFonts w:ascii="Arial" w:hAnsi="Arial"/>
          <w:i/>
          <w:color w:val="646464"/>
          <w:sz w:val="18"/>
        </w:rPr>
        <w:t>Residual mix emission factor: Not available for Indonesia; grid-average emission factor applied as proxy per GHG Protocol Scope 2 Guidance paragraph 7.3.</w:t>
      </w:r>
    </w:p>
    <w:p w14:paraId="25C75DA5" w14:textId="77777777" w:rsidR="00535AD5" w:rsidRDefault="000F4CA5">
      <w:pPr>
        <w:spacing w:after="160"/>
        <w:jc w:val="both"/>
      </w:pPr>
      <w:r>
        <w:rPr>
          <w:rFonts w:ascii="Arial" w:hAnsi="Arial"/>
          <w:i/>
          <w:color w:val="646464"/>
          <w:sz w:val="18"/>
        </w:rPr>
        <w:t>Consolidation approach: Operational control — includes all facilities where the organization directs energy procurement policies.</w:t>
      </w:r>
    </w:p>
    <w:p w14:paraId="6C603A50" w14:textId="77777777" w:rsidR="00535AD5" w:rsidRDefault="000F4CA5">
      <w:pPr>
        <w:spacing w:after="160"/>
        <w:jc w:val="both"/>
      </w:pPr>
      <w:r>
        <w:rPr>
          <w:rFonts w:ascii="Arial" w:hAnsi="Arial"/>
          <w:i/>
          <w:color w:val="646464"/>
          <w:sz w:val="18"/>
        </w:rPr>
        <w:t>GRI Content Index: 305-2 | Energy indirect (Scope 2) GHG emissions | Section 4.2</w:t>
      </w:r>
    </w:p>
    <w:p w14:paraId="42A9F1D1" w14:textId="77777777" w:rsidR="00535AD5" w:rsidRDefault="000F4CA5">
      <w:r>
        <w:br w:type="page"/>
      </w:r>
    </w:p>
    <w:p w14:paraId="0CAEC85A" w14:textId="77777777" w:rsidR="00535AD5" w:rsidRDefault="000F4CA5">
      <w:pPr>
        <w:pStyle w:val="Heading1"/>
        <w:spacing w:after="240"/>
      </w:pPr>
      <w:bookmarkStart w:id="8" w:name="_Toc231920343"/>
      <w:r>
        <w:rPr>
          <w:rFonts w:ascii="Arial" w:hAnsi="Arial"/>
          <w:color w:val="1B3A6B"/>
          <w:sz w:val="36"/>
        </w:rPr>
        <w:lastRenderedPageBreak/>
        <w:t>Climate Governance &amp; ESG Oversight</w:t>
      </w:r>
      <w:bookmarkEnd w:id="8"/>
    </w:p>
    <w:p w14:paraId="2848EDFA" w14:textId="77777777" w:rsidR="00535AD5" w:rsidRDefault="000F4CA5">
      <w:pPr>
        <w:spacing w:after="160"/>
        <w:jc w:val="both"/>
      </w:pPr>
      <w:r>
        <w:rPr>
          <w:rFonts w:ascii="Arial" w:hAnsi="Arial"/>
        </w:rPr>
        <w:t>## Disclosure Gap: Governance Structure Not Yet Captured</w:t>
      </w:r>
      <w:r>
        <w:rPr>
          <w:rFonts w:ascii="Arial" w:hAnsi="Arial"/>
        </w:rPr>
        <w:br/>
      </w:r>
      <w:r>
        <w:rPr>
          <w:rFonts w:ascii="Arial" w:hAnsi="Arial"/>
        </w:rPr>
        <w:br/>
        <w:t>This data point is not yet captured in the institution's reporting system. Per IFRS S2 paragraphs 6-7, the institution is required to disclose: (a) the identity of the body(s) or individual(s) responsible for oversight of climate-related risks and opportunities, including how responsibilities are reflected in terms of reference and mandates; (b) how the governing body determines whether appropriate skills and competencies are available; (c) the frequency of climate risk reviews; (d) how climate considerat</w:t>
      </w:r>
      <w:r>
        <w:rPr>
          <w:rFonts w:ascii="Arial" w:hAnsi="Arial"/>
        </w:rPr>
        <w:t>ions inform strategy and major transactions; (e) oversight of target-setting and monitoring; and (f) whether climate performance metrics are included in remuneration policies. Additionally, management's role in governance processes must be disclosed, including delegation structures and integration with internal controls.</w:t>
      </w:r>
    </w:p>
    <w:p w14:paraId="10DE5C07" w14:textId="77777777" w:rsidR="00535AD5" w:rsidRDefault="000F4CA5">
      <w:pPr>
        <w:spacing w:after="160"/>
        <w:jc w:val="both"/>
      </w:pPr>
      <w:r>
        <w:rPr>
          <w:rFonts w:ascii="Arial" w:hAnsi="Arial"/>
        </w:rPr>
        <w:t>## Peer Benchmark: Indonesian Banking Sector Governance Practices</w:t>
      </w:r>
      <w:r>
        <w:rPr>
          <w:rFonts w:ascii="Arial" w:hAnsi="Arial"/>
        </w:rPr>
        <w:br/>
      </w:r>
      <w:r>
        <w:rPr>
          <w:rFonts w:ascii="Arial" w:hAnsi="Arial"/>
        </w:rPr>
        <w:br/>
        <w:t>Leading Indonesian financial institutions have established comprehensive climate governance frameworks that provide reference models for full IFRS S2 compliance. **Bank Rakyat Indonesia (BRI)** established a dedicated Risk Management &amp; ESG Committee in 2021 via Board Decision NOKEP 872-DIR/PPM/06/2022, which reports directly to the President Director and conducts quarterly reviews of climate-related risks and opportunities. **Bank Central Asia (BCA)** operates an ESG Subdivision under the Corporate Secret</w:t>
      </w:r>
      <w:r>
        <w:rPr>
          <w:rFonts w:ascii="Arial" w:hAnsi="Arial"/>
        </w:rPr>
        <w:t>ary, with oversight by the Director of Planning &amp; Finance, conducting climate risk reviews at least four times annually and integrating ESG KPIs into Board of Directors performance metrics. **DBS Bank** maintains a Board Sustainability Committee with a Chief Sustainability Officer reporting directly to the Board, conducting quarterly reviews, and linking 20% of executive compensation to climate and sustainability KPIs. **Bank Mandiri** operates an ESG Task Force with semi-annual board reviews. All four inst</w:t>
      </w:r>
      <w:r>
        <w:rPr>
          <w:rFonts w:ascii="Arial" w:hAnsi="Arial"/>
        </w:rPr>
        <w:t>itutions have achieved GCG (Good Corporate Governance) Composite 1 ratings and maintain board-level oversight of climate strategy, risk management, and target-setting processes.</w:t>
      </w:r>
    </w:p>
    <w:p w14:paraId="3D7D219B" w14:textId="77777777" w:rsidR="00535AD5" w:rsidRDefault="000F4CA5">
      <w:pPr>
        <w:spacing w:after="160"/>
        <w:jc w:val="both"/>
      </w:pPr>
      <w:r>
        <w:rPr>
          <w:rFonts w:ascii="Arial" w:hAnsi="Arial"/>
          <w:i/>
        </w:rPr>
        <w:t>## Framework Requirements: What Should Be Disclosed</w:t>
      </w:r>
      <w:r>
        <w:rPr>
          <w:rFonts w:ascii="Arial" w:hAnsi="Arial"/>
          <w:i/>
        </w:rPr>
        <w:br/>
      </w:r>
      <w:r>
        <w:rPr>
          <w:rFonts w:ascii="Arial" w:hAnsi="Arial"/>
          <w:i/>
        </w:rPr>
        <w:br/>
        <w:t>To achieve full IFRS S2 compliance, the institution must establish and disclose the following governance elements:</w:t>
      </w:r>
      <w:r>
        <w:rPr>
          <w:rFonts w:ascii="Arial" w:hAnsi="Arial"/>
          <w:i/>
        </w:rPr>
        <w:br/>
      </w:r>
      <w:r>
        <w:rPr>
          <w:rFonts w:ascii="Arial" w:hAnsi="Arial"/>
          <w:i/>
        </w:rPr>
        <w:br/>
        <w:t>**Board Oversight (IFRS S2 Para 6(a))**: Identify the specific board committee or individual responsible for climate oversight (e.g., Risk &amp; Sustainability Committee, Audit Committee with expanded mandate, or dedicated ESG Committee). Disclose the committee's terms of reference, including how climate responsibilities are formally documented in mandates and role descriptions. Specify the freq</w:t>
      </w:r>
      <w:r>
        <w:rPr>
          <w:rFonts w:ascii="Arial" w:hAnsi="Arial"/>
          <w:i/>
        </w:rPr>
        <w:t>uency of climate risk reviews (quarterly recommended per peer practice) and how climate considerations are integrated into strategic decision-making, major transaction approvals, and risk management policy oversight.</w:t>
      </w:r>
      <w:r>
        <w:rPr>
          <w:rFonts w:ascii="Arial" w:hAnsi="Arial"/>
          <w:i/>
        </w:rPr>
        <w:br/>
      </w:r>
      <w:r>
        <w:rPr>
          <w:rFonts w:ascii="Arial" w:hAnsi="Arial"/>
          <w:i/>
        </w:rPr>
        <w:br/>
        <w:t xml:space="preserve">**Board Competency (IFRS S2 Para 6(a)(ii))**: Disclose whether board members possess climate expertise or have completed climate-related training programs. Describe the process for assessing and developing climate competencies, including external expert engagement, </w:t>
      </w:r>
      <w:r>
        <w:rPr>
          <w:rFonts w:ascii="Arial" w:hAnsi="Arial"/>
          <w:i/>
        </w:rPr>
        <w:lastRenderedPageBreak/>
        <w:t>training curricula, and succ</w:t>
      </w:r>
      <w:r>
        <w:rPr>
          <w:rFonts w:ascii="Arial" w:hAnsi="Arial"/>
          <w:i/>
        </w:rPr>
        <w:t>ession planning for climate-literate directors.</w:t>
      </w:r>
      <w:r>
        <w:rPr>
          <w:rFonts w:ascii="Arial" w:hAnsi="Arial"/>
          <w:i/>
        </w:rPr>
        <w:br/>
      </w:r>
      <w:r>
        <w:rPr>
          <w:rFonts w:ascii="Arial" w:hAnsi="Arial"/>
          <w:i/>
        </w:rPr>
        <w:br/>
        <w:t>**Management Role (IFRS S2 Para 6(b))**: Identify the management-level position or committee responsible for day-to-day climate risk management (e.g., Chief Risk Officer, Chief Sustainability Officer, or ESG Working Group). Describe reporting lines to the board, escalation procedures for material climate risks, and integration with enterprise risk management frameworks and internal control systems.</w:t>
      </w:r>
      <w:r>
        <w:rPr>
          <w:rFonts w:ascii="Arial" w:hAnsi="Arial"/>
          <w:i/>
        </w:rPr>
        <w:br/>
      </w:r>
      <w:r>
        <w:rPr>
          <w:rFonts w:ascii="Arial" w:hAnsi="Arial"/>
          <w:i/>
        </w:rPr>
        <w:br/>
        <w:t xml:space="preserve">**Target Oversight (IFRS S2 Para 6(a)(v))**: Disclose which </w:t>
      </w:r>
      <w:r>
        <w:rPr>
          <w:rFonts w:ascii="Arial" w:hAnsi="Arial"/>
          <w:i/>
        </w:rPr>
        <w:t>body sets climate-related targets (board approval recommended for material targets), the process for target validation and approval, monitoring frequency (quarterly or semi-annual), and how progress is reported to the board.</w:t>
      </w:r>
      <w:r>
        <w:rPr>
          <w:rFonts w:ascii="Arial" w:hAnsi="Arial"/>
          <w:i/>
        </w:rPr>
        <w:br/>
      </w:r>
      <w:r>
        <w:rPr>
          <w:rFonts w:ascii="Arial" w:hAnsi="Arial"/>
          <w:i/>
        </w:rPr>
        <w:br/>
        <w:t>**Remuneration Linkage (IFRS S2 Para 29(g))**: If executive compensation is linked to climate performance, disclose the percentage of variable remuneration tied to climate metrics (peer range: 10-20%), the specific metrics used (e.g., Scope 1+2 emissions reduction, financed emissions i</w:t>
      </w:r>
      <w:r>
        <w:rPr>
          <w:rFonts w:ascii="Arial" w:hAnsi="Arial"/>
          <w:i/>
        </w:rPr>
        <w:t>ntensity reduction, renewable energy portfolio growth), and the performance assessment methodology.</w:t>
      </w:r>
    </w:p>
    <w:p w14:paraId="047EFF78" w14:textId="77777777" w:rsidR="00535AD5" w:rsidRDefault="000F4CA5">
      <w:pPr>
        <w:spacing w:after="160"/>
        <w:jc w:val="both"/>
      </w:pPr>
      <w:r>
        <w:rPr>
          <w:rFonts w:ascii="Arial" w:hAnsi="Arial"/>
        </w:rPr>
        <w:t>## Recommendations for Governance Infrastructure Development</w:t>
      </w:r>
      <w:r>
        <w:rPr>
          <w:rFonts w:ascii="Arial" w:hAnsi="Arial"/>
        </w:rPr>
        <w:br/>
      </w:r>
      <w:r>
        <w:rPr>
          <w:rFonts w:ascii="Arial" w:hAnsi="Arial"/>
        </w:rPr>
        <w:br/>
        <w:t>**Recommendation 1: Establish Board-Level ESG Committee (Priority: High)**</w:t>
      </w:r>
      <w:r>
        <w:rPr>
          <w:rFonts w:ascii="Arial" w:hAnsi="Arial"/>
        </w:rPr>
        <w:br/>
        <w:t>- **Finding**: No board-level committee with explicit climate oversight mandate has been identified in current reporting systems.</w:t>
      </w:r>
      <w:r>
        <w:rPr>
          <w:rFonts w:ascii="Arial" w:hAnsi="Arial"/>
        </w:rPr>
        <w:br/>
        <w:t>- **Benchmark**: BRI established Risk Management &amp; ESG Committee in 2021 via formal Board Decision, with quarterly review cadence and direct reporting to President Director. BCA integrates ESG oversight under Corporate Secretary with ≥4 annual board reviews. DBS operates Board Sustainability Committee wi</w:t>
      </w:r>
      <w:r>
        <w:rPr>
          <w:rFonts w:ascii="Arial" w:hAnsi="Arial"/>
        </w:rPr>
        <w:t>th dedicated Chief Sustainability Officer.</w:t>
      </w:r>
      <w:r>
        <w:rPr>
          <w:rFonts w:ascii="Arial" w:hAnsi="Arial"/>
        </w:rPr>
        <w:br/>
        <w:t>- **Recommendation**: Establish a Board Risk &amp; Sustainability Committee (or expand existing Risk Committee mandate) via Board of Directors decree, with terms of reference explicitly covering climate-related risks and opportunities per IFRS S2 Para 6(a). Mandate quarterly meetings with standing agenda items for: (i) climate risk exposure review; (ii) financed emissions monitoring; (iii) climate target progress; (iv) regulatory compliance updates; (v) scenario analys</w:t>
      </w:r>
      <w:r>
        <w:rPr>
          <w:rFonts w:ascii="Arial" w:hAnsi="Arial"/>
        </w:rPr>
        <w:t>is results. Appoint at least one board member with demonstrated climate expertise or commit to annual climate training for all committee members.</w:t>
      </w:r>
      <w:r>
        <w:rPr>
          <w:rFonts w:ascii="Arial" w:hAnsi="Arial"/>
        </w:rPr>
        <w:br/>
        <w:t>- **Reference**: BRI model provides replicable framework—Decision NOKEP 872-DIR/PPM/06/2022 established committee structure, reporting lines, and review frequency.</w:t>
      </w:r>
      <w:r>
        <w:rPr>
          <w:rFonts w:ascii="Arial" w:hAnsi="Arial"/>
        </w:rPr>
        <w:br/>
        <w:t>- **Implementation Timeline**: Q2 2025 for committee establishment; Q3 2025 for first quarterly review cycle.</w:t>
      </w:r>
      <w:r>
        <w:rPr>
          <w:rFonts w:ascii="Arial" w:hAnsi="Arial"/>
        </w:rPr>
        <w:br/>
      </w:r>
      <w:r>
        <w:rPr>
          <w:rFonts w:ascii="Arial" w:hAnsi="Arial"/>
        </w:rPr>
        <w:br/>
        <w:t>**Recommendation 2: Link Executive Remuneration to Climate KPIs (Priority: High)**</w:t>
      </w:r>
      <w:r>
        <w:rPr>
          <w:rFonts w:ascii="Arial" w:hAnsi="Arial"/>
        </w:rPr>
        <w:br/>
        <w:t>- **Find</w:t>
      </w:r>
      <w:r>
        <w:rPr>
          <w:rFonts w:ascii="Arial" w:hAnsi="Arial"/>
        </w:rPr>
        <w:t>ing**: No linkage between executive compensation and climate performance metrics has been documented.</w:t>
      </w:r>
      <w:r>
        <w:rPr>
          <w:rFonts w:ascii="Arial" w:hAnsi="Arial"/>
        </w:rPr>
        <w:br/>
        <w:t>- **Benchmark**: DBS links 20% of executive compensation to sustainability KPIs including climate metrics. BCA integrates ESG KPIs into Board of Directors and work unit performance assessments. BRI incorporates sustainability metrics into executive scorecards.</w:t>
      </w:r>
      <w:r>
        <w:rPr>
          <w:rFonts w:ascii="Arial" w:hAnsi="Arial"/>
        </w:rPr>
        <w:br/>
      </w:r>
      <w:r>
        <w:rPr>
          <w:rFonts w:ascii="Arial" w:hAnsi="Arial"/>
        </w:rPr>
        <w:lastRenderedPageBreak/>
        <w:t>- **Recommendation**: Integrate climate performance metrics into executive variable compensation framework, targeting 10-15% weighting in Year 1 (202</w:t>
      </w:r>
      <w:r>
        <w:rPr>
          <w:rFonts w:ascii="Arial" w:hAnsi="Arial"/>
        </w:rPr>
        <w:t>5) with progression to 20% by 2027. Recommended metrics: (i) Year-over-year reduction in Scope 1+2 emissions intensity (tCO2e per FTE); (ii) Year-over-year reduction in financed emissions intensity (tCO2e per IDR billion outstanding); (iii) Growth in sustainable finance portfolio (green loans, sustainability-linked loans); (iv) Achievement of annual climate target milestones. Establish clear performance thresholds (threshold/target/stretch) and transparent assessment methodology.</w:t>
      </w:r>
      <w:r>
        <w:rPr>
          <w:rFonts w:ascii="Arial" w:hAnsi="Arial"/>
        </w:rPr>
        <w:br/>
        <w:t>- **Reference**: DBS 20% we</w:t>
      </w:r>
      <w:r>
        <w:rPr>
          <w:rFonts w:ascii="Arial" w:hAnsi="Arial"/>
        </w:rPr>
        <w:t>ighting model demonstrates materiality of climate metrics in executive accountability.</w:t>
      </w:r>
      <w:r>
        <w:rPr>
          <w:rFonts w:ascii="Arial" w:hAnsi="Arial"/>
        </w:rPr>
        <w:br/>
        <w:t>- **Implementation Timeline**: Integrate into 2025 executive compensation framework; first assessment cycle in Q1 2026.</w:t>
      </w:r>
      <w:r>
        <w:rPr>
          <w:rFonts w:ascii="Arial" w:hAnsi="Arial"/>
        </w:rPr>
        <w:br/>
      </w:r>
      <w:r>
        <w:rPr>
          <w:rFonts w:ascii="Arial" w:hAnsi="Arial"/>
        </w:rPr>
        <w:br/>
        <w:t>**Recommendation 3: Formalize Management-Level Climate Governance (Priority: Medium)**</w:t>
      </w:r>
      <w:r>
        <w:rPr>
          <w:rFonts w:ascii="Arial" w:hAnsi="Arial"/>
        </w:rPr>
        <w:br/>
        <w:t>- **Finding**: Management-level climate risk oversight structure and reporting lines not documented.</w:t>
      </w:r>
      <w:r>
        <w:rPr>
          <w:rFonts w:ascii="Arial" w:hAnsi="Arial"/>
        </w:rPr>
        <w:br/>
        <w:t>- **Benchmark**: BRI operates ESG Committee reporting to President Director. BCA assigns oversight to Director of Pl</w:t>
      </w:r>
      <w:r>
        <w:rPr>
          <w:rFonts w:ascii="Arial" w:hAnsi="Arial"/>
        </w:rPr>
        <w:t>anning &amp; Finance. DBS employs Chief Sustainability Officer with direct board reporting line.</w:t>
      </w:r>
      <w:r>
        <w:rPr>
          <w:rFonts w:ascii="Arial" w:hAnsi="Arial"/>
        </w:rPr>
        <w:br/>
        <w:t>- **Recommendation**: Designate a Chief Risk Officer or Chief Sustainability Officer with explicit accountability for climate risk management, reporting directly to the President Director and Board ESG Committee. Establish ESG Working Group comprising representatives from Risk Management, Credit, Treasury, Corporate Planning, and Compliance divisions, meeting monthly to: (i) monitor financed emissions by sector; (ii</w:t>
      </w:r>
      <w:r>
        <w:rPr>
          <w:rFonts w:ascii="Arial" w:hAnsi="Arial"/>
        </w:rPr>
        <w:t>) assess climate risk in credit underwriting; (iii) track progress on climate targets; (iv) coordinate climate-related disclosures. Integrate climate risk assessment into existing enterprise risk management framework and internal audit scope.</w:t>
      </w:r>
      <w:r>
        <w:rPr>
          <w:rFonts w:ascii="Arial" w:hAnsi="Arial"/>
        </w:rPr>
        <w:br/>
        <w:t>- **Reference**: BRI and BCA models demonstrate effective integration of climate oversight into existing management structures without creating parallel bureaucracies.</w:t>
      </w:r>
      <w:r>
        <w:rPr>
          <w:rFonts w:ascii="Arial" w:hAnsi="Arial"/>
        </w:rPr>
        <w:br/>
        <w:t>- **Implementation Timeline**: Designate accountable executive by Q2 2025; operationalize working gro</w:t>
      </w:r>
      <w:r>
        <w:rPr>
          <w:rFonts w:ascii="Arial" w:hAnsi="Arial"/>
        </w:rPr>
        <w:t>up by Q3 2025.</w:t>
      </w:r>
    </w:p>
    <w:p w14:paraId="171B4F00" w14:textId="77777777" w:rsidR="00535AD5" w:rsidRDefault="000F4CA5">
      <w:r>
        <w:rPr>
          <w:rFonts w:ascii="Arial" w:hAnsi="Arial"/>
          <w:b/>
          <w:sz w:val="20"/>
        </w:rPr>
        <w:t>Table 1: Governance Disclosure Gap Analysis — IFRS S2 Requirements vs. Current State</w:t>
      </w:r>
    </w:p>
    <w:tbl>
      <w:tblPr>
        <w:tblW w:w="0" w:type="auto"/>
        <w:jc w:val="center"/>
        <w:tblLook w:val="04A0" w:firstRow="1" w:lastRow="0" w:firstColumn="1" w:lastColumn="0" w:noHBand="0" w:noVBand="1"/>
      </w:tblPr>
      <w:tblGrid>
        <w:gridCol w:w="1494"/>
        <w:gridCol w:w="1478"/>
        <w:gridCol w:w="1847"/>
        <w:gridCol w:w="1467"/>
        <w:gridCol w:w="1498"/>
        <w:gridCol w:w="1461"/>
      </w:tblGrid>
      <w:tr w:rsidR="00535AD5" w14:paraId="12FEC50A" w14:textId="77777777">
        <w:trPr>
          <w:jc w:val="center"/>
        </w:trPr>
        <w:tc>
          <w:tcPr>
            <w:tcW w:w="1505" w:type="dxa"/>
            <w:shd w:val="clear" w:color="auto" w:fill="1B3A6B"/>
          </w:tcPr>
          <w:p w14:paraId="0DB27384" w14:textId="77777777" w:rsidR="00535AD5" w:rsidRDefault="000F4CA5">
            <w:r>
              <w:rPr>
                <w:rFonts w:ascii="Arial" w:hAnsi="Arial"/>
                <w:b/>
                <w:color w:val="FFFFFF"/>
                <w:sz w:val="18"/>
              </w:rPr>
              <w:t>IFRS S2 Requirement</w:t>
            </w:r>
          </w:p>
        </w:tc>
        <w:tc>
          <w:tcPr>
            <w:tcW w:w="1505" w:type="dxa"/>
            <w:shd w:val="clear" w:color="auto" w:fill="1B3A6B"/>
          </w:tcPr>
          <w:p w14:paraId="1206517E" w14:textId="77777777" w:rsidR="00535AD5" w:rsidRDefault="000F4CA5">
            <w:r>
              <w:rPr>
                <w:rFonts w:ascii="Arial" w:hAnsi="Arial"/>
                <w:b/>
                <w:color w:val="FFFFFF"/>
                <w:sz w:val="18"/>
              </w:rPr>
              <w:t>Paragraph Reference</w:t>
            </w:r>
          </w:p>
        </w:tc>
        <w:tc>
          <w:tcPr>
            <w:tcW w:w="1505" w:type="dxa"/>
            <w:shd w:val="clear" w:color="auto" w:fill="1B3A6B"/>
          </w:tcPr>
          <w:p w14:paraId="17710DA4" w14:textId="77777777" w:rsidR="00535AD5" w:rsidRDefault="000F4CA5">
            <w:r>
              <w:rPr>
                <w:rFonts w:ascii="Arial" w:hAnsi="Arial"/>
                <w:b/>
                <w:color w:val="FFFFFF"/>
                <w:sz w:val="18"/>
              </w:rPr>
              <w:t>Required Disclosure</w:t>
            </w:r>
          </w:p>
        </w:tc>
        <w:tc>
          <w:tcPr>
            <w:tcW w:w="1505" w:type="dxa"/>
            <w:shd w:val="clear" w:color="auto" w:fill="1B3A6B"/>
          </w:tcPr>
          <w:p w14:paraId="67250F43" w14:textId="77777777" w:rsidR="00535AD5" w:rsidRDefault="000F4CA5">
            <w:r>
              <w:rPr>
                <w:rFonts w:ascii="Arial" w:hAnsi="Arial"/>
                <w:b/>
                <w:color w:val="FFFFFF"/>
                <w:sz w:val="18"/>
              </w:rPr>
              <w:t>Current Status</w:t>
            </w:r>
          </w:p>
        </w:tc>
        <w:tc>
          <w:tcPr>
            <w:tcW w:w="1505" w:type="dxa"/>
            <w:shd w:val="clear" w:color="auto" w:fill="1B3A6B"/>
          </w:tcPr>
          <w:p w14:paraId="13C77082" w14:textId="77777777" w:rsidR="00535AD5" w:rsidRDefault="000F4CA5">
            <w:r>
              <w:rPr>
                <w:rFonts w:ascii="Arial" w:hAnsi="Arial"/>
                <w:b/>
                <w:color w:val="FFFFFF"/>
                <w:sz w:val="18"/>
              </w:rPr>
              <w:t>Peer Benchmark</w:t>
            </w:r>
          </w:p>
        </w:tc>
        <w:tc>
          <w:tcPr>
            <w:tcW w:w="1505" w:type="dxa"/>
            <w:shd w:val="clear" w:color="auto" w:fill="1B3A6B"/>
          </w:tcPr>
          <w:p w14:paraId="6533E5AB" w14:textId="77777777" w:rsidR="00535AD5" w:rsidRDefault="000F4CA5">
            <w:r>
              <w:rPr>
                <w:rFonts w:ascii="Arial" w:hAnsi="Arial"/>
                <w:b/>
                <w:color w:val="FFFFFF"/>
                <w:sz w:val="18"/>
              </w:rPr>
              <w:t>Priority</w:t>
            </w:r>
          </w:p>
        </w:tc>
      </w:tr>
      <w:tr w:rsidR="00535AD5" w14:paraId="69E52ED3" w14:textId="77777777">
        <w:trPr>
          <w:jc w:val="center"/>
        </w:trPr>
        <w:tc>
          <w:tcPr>
            <w:tcW w:w="1505" w:type="dxa"/>
          </w:tcPr>
          <w:p w14:paraId="52D9C408" w14:textId="77777777" w:rsidR="00535AD5" w:rsidRDefault="000F4CA5">
            <w:r>
              <w:rPr>
                <w:rFonts w:ascii="Arial" w:hAnsi="Arial"/>
                <w:sz w:val="18"/>
              </w:rPr>
              <w:t>Board oversight body identification</w:t>
            </w:r>
          </w:p>
        </w:tc>
        <w:tc>
          <w:tcPr>
            <w:tcW w:w="1505" w:type="dxa"/>
          </w:tcPr>
          <w:p w14:paraId="074257FA" w14:textId="77777777" w:rsidR="00535AD5" w:rsidRDefault="000F4CA5">
            <w:r>
              <w:rPr>
                <w:rFonts w:ascii="Arial" w:hAnsi="Arial"/>
                <w:sz w:val="18"/>
              </w:rPr>
              <w:t>Para 6(a)</w:t>
            </w:r>
          </w:p>
        </w:tc>
        <w:tc>
          <w:tcPr>
            <w:tcW w:w="1505" w:type="dxa"/>
          </w:tcPr>
          <w:p w14:paraId="1735C8F8" w14:textId="77777777" w:rsidR="00535AD5" w:rsidRDefault="000F4CA5">
            <w:r>
              <w:rPr>
                <w:rFonts w:ascii="Arial" w:hAnsi="Arial"/>
                <w:sz w:val="18"/>
              </w:rPr>
              <w:t>Name of board committee/individual responsible for climate oversight; terms of reference</w:t>
            </w:r>
          </w:p>
        </w:tc>
        <w:tc>
          <w:tcPr>
            <w:tcW w:w="1505" w:type="dxa"/>
          </w:tcPr>
          <w:p w14:paraId="056B9FF3" w14:textId="77777777" w:rsidR="00535AD5" w:rsidRDefault="000F4CA5">
            <w:r>
              <w:rPr>
                <w:rFonts w:ascii="Arial" w:hAnsi="Arial"/>
                <w:sz w:val="18"/>
              </w:rPr>
              <w:t>Not Available</w:t>
            </w:r>
          </w:p>
        </w:tc>
        <w:tc>
          <w:tcPr>
            <w:tcW w:w="1505" w:type="dxa"/>
          </w:tcPr>
          <w:p w14:paraId="0CE3D631" w14:textId="77777777" w:rsidR="00535AD5" w:rsidRDefault="000F4CA5">
            <w:r>
              <w:rPr>
                <w:rFonts w:ascii="Arial" w:hAnsi="Arial"/>
                <w:sz w:val="18"/>
              </w:rPr>
              <w:t>BRI: Risk Mgmt &amp; ESG Committee (2021); BCA: ESG Subdivision; DBS: Board Sustainability Committee</w:t>
            </w:r>
          </w:p>
        </w:tc>
        <w:tc>
          <w:tcPr>
            <w:tcW w:w="1505" w:type="dxa"/>
          </w:tcPr>
          <w:p w14:paraId="1B9CD006" w14:textId="77777777" w:rsidR="00535AD5" w:rsidRDefault="000F4CA5">
            <w:r>
              <w:rPr>
                <w:rFonts w:ascii="Arial" w:hAnsi="Arial"/>
                <w:sz w:val="18"/>
              </w:rPr>
              <w:t>High</w:t>
            </w:r>
          </w:p>
        </w:tc>
      </w:tr>
      <w:tr w:rsidR="00535AD5" w14:paraId="38D10BE2" w14:textId="77777777">
        <w:trPr>
          <w:jc w:val="center"/>
        </w:trPr>
        <w:tc>
          <w:tcPr>
            <w:tcW w:w="1505" w:type="dxa"/>
            <w:shd w:val="clear" w:color="auto" w:fill="F2F6FC"/>
          </w:tcPr>
          <w:p w14:paraId="18423AC8" w14:textId="77777777" w:rsidR="00535AD5" w:rsidRDefault="000F4CA5">
            <w:r>
              <w:rPr>
                <w:rFonts w:ascii="Arial" w:hAnsi="Arial"/>
                <w:sz w:val="18"/>
              </w:rPr>
              <w:t>Board oversight frequency</w:t>
            </w:r>
          </w:p>
        </w:tc>
        <w:tc>
          <w:tcPr>
            <w:tcW w:w="1505" w:type="dxa"/>
            <w:shd w:val="clear" w:color="auto" w:fill="F2F6FC"/>
          </w:tcPr>
          <w:p w14:paraId="3FD5D43C" w14:textId="77777777" w:rsidR="00535AD5" w:rsidRDefault="000F4CA5">
            <w:r>
              <w:rPr>
                <w:rFonts w:ascii="Arial" w:hAnsi="Arial"/>
                <w:sz w:val="18"/>
              </w:rPr>
              <w:t>Para 6(a)(iii)</w:t>
            </w:r>
          </w:p>
        </w:tc>
        <w:tc>
          <w:tcPr>
            <w:tcW w:w="1505" w:type="dxa"/>
            <w:shd w:val="clear" w:color="auto" w:fill="F2F6FC"/>
          </w:tcPr>
          <w:p w14:paraId="093BE9E0" w14:textId="77777777" w:rsidR="00535AD5" w:rsidRDefault="000F4CA5">
            <w:r>
              <w:rPr>
                <w:rFonts w:ascii="Arial" w:hAnsi="Arial"/>
                <w:sz w:val="18"/>
              </w:rPr>
              <w:t xml:space="preserve">How often board reviews climate risks and </w:t>
            </w:r>
            <w:r>
              <w:rPr>
                <w:rFonts w:ascii="Arial" w:hAnsi="Arial"/>
                <w:sz w:val="18"/>
              </w:rPr>
              <w:lastRenderedPageBreak/>
              <w:t>opportunities</w:t>
            </w:r>
          </w:p>
        </w:tc>
        <w:tc>
          <w:tcPr>
            <w:tcW w:w="1505" w:type="dxa"/>
            <w:shd w:val="clear" w:color="auto" w:fill="F2F6FC"/>
          </w:tcPr>
          <w:p w14:paraId="5A87F550" w14:textId="77777777" w:rsidR="00535AD5" w:rsidRDefault="000F4CA5">
            <w:r>
              <w:rPr>
                <w:rFonts w:ascii="Arial" w:hAnsi="Arial"/>
                <w:sz w:val="18"/>
              </w:rPr>
              <w:lastRenderedPageBreak/>
              <w:t>Not Available</w:t>
            </w:r>
          </w:p>
        </w:tc>
        <w:tc>
          <w:tcPr>
            <w:tcW w:w="1505" w:type="dxa"/>
            <w:shd w:val="clear" w:color="auto" w:fill="F2F6FC"/>
          </w:tcPr>
          <w:p w14:paraId="2CDAEE15" w14:textId="77777777" w:rsidR="00535AD5" w:rsidRDefault="000F4CA5">
            <w:r>
              <w:rPr>
                <w:rFonts w:ascii="Arial" w:hAnsi="Arial"/>
                <w:sz w:val="18"/>
              </w:rPr>
              <w:t>BRI: Quarterly; BCA: ≥4x/year; DBS: Quarterly; Mandiri: Semi-</w:t>
            </w:r>
            <w:r>
              <w:rPr>
                <w:rFonts w:ascii="Arial" w:hAnsi="Arial"/>
                <w:sz w:val="18"/>
              </w:rPr>
              <w:lastRenderedPageBreak/>
              <w:t>annual</w:t>
            </w:r>
          </w:p>
        </w:tc>
        <w:tc>
          <w:tcPr>
            <w:tcW w:w="1505" w:type="dxa"/>
            <w:shd w:val="clear" w:color="auto" w:fill="F2F6FC"/>
          </w:tcPr>
          <w:p w14:paraId="65EC644F" w14:textId="77777777" w:rsidR="00535AD5" w:rsidRDefault="000F4CA5">
            <w:r>
              <w:rPr>
                <w:rFonts w:ascii="Arial" w:hAnsi="Arial"/>
                <w:sz w:val="18"/>
              </w:rPr>
              <w:lastRenderedPageBreak/>
              <w:t>High</w:t>
            </w:r>
          </w:p>
        </w:tc>
      </w:tr>
      <w:tr w:rsidR="00535AD5" w14:paraId="1E7C5531" w14:textId="77777777">
        <w:trPr>
          <w:jc w:val="center"/>
        </w:trPr>
        <w:tc>
          <w:tcPr>
            <w:tcW w:w="1505" w:type="dxa"/>
          </w:tcPr>
          <w:p w14:paraId="46C1A721" w14:textId="77777777" w:rsidR="00535AD5" w:rsidRDefault="000F4CA5">
            <w:r>
              <w:rPr>
                <w:rFonts w:ascii="Arial" w:hAnsi="Arial"/>
                <w:sz w:val="18"/>
              </w:rPr>
              <w:t>Board climate competency</w:t>
            </w:r>
          </w:p>
        </w:tc>
        <w:tc>
          <w:tcPr>
            <w:tcW w:w="1505" w:type="dxa"/>
          </w:tcPr>
          <w:p w14:paraId="0E358884" w14:textId="77777777" w:rsidR="00535AD5" w:rsidRDefault="000F4CA5">
            <w:r>
              <w:rPr>
                <w:rFonts w:ascii="Arial" w:hAnsi="Arial"/>
                <w:sz w:val="18"/>
              </w:rPr>
              <w:t>Para 6(a)(ii)</w:t>
            </w:r>
          </w:p>
        </w:tc>
        <w:tc>
          <w:tcPr>
            <w:tcW w:w="1505" w:type="dxa"/>
          </w:tcPr>
          <w:p w14:paraId="36C2D62B" w14:textId="77777777" w:rsidR="00535AD5" w:rsidRDefault="000F4CA5">
            <w:r>
              <w:rPr>
                <w:rFonts w:ascii="Arial" w:hAnsi="Arial"/>
                <w:sz w:val="18"/>
              </w:rPr>
              <w:t>Skills assessment process; training programs; expertise availability</w:t>
            </w:r>
          </w:p>
        </w:tc>
        <w:tc>
          <w:tcPr>
            <w:tcW w:w="1505" w:type="dxa"/>
          </w:tcPr>
          <w:p w14:paraId="6B9EFB85" w14:textId="77777777" w:rsidR="00535AD5" w:rsidRDefault="000F4CA5">
            <w:r>
              <w:rPr>
                <w:rFonts w:ascii="Arial" w:hAnsi="Arial"/>
                <w:sz w:val="18"/>
              </w:rPr>
              <w:t>Not Available</w:t>
            </w:r>
          </w:p>
        </w:tc>
        <w:tc>
          <w:tcPr>
            <w:tcW w:w="1505" w:type="dxa"/>
          </w:tcPr>
          <w:p w14:paraId="4D241D98" w14:textId="77777777" w:rsidR="00535AD5" w:rsidRDefault="000F4CA5">
            <w:r>
              <w:rPr>
                <w:rFonts w:ascii="Arial" w:hAnsi="Arial"/>
                <w:sz w:val="18"/>
              </w:rPr>
              <w:t>BCA: Annual training; DBS: Dedicated climate expertise on board</w:t>
            </w:r>
          </w:p>
        </w:tc>
        <w:tc>
          <w:tcPr>
            <w:tcW w:w="1505" w:type="dxa"/>
          </w:tcPr>
          <w:p w14:paraId="7D9028DB" w14:textId="77777777" w:rsidR="00535AD5" w:rsidRDefault="000F4CA5">
            <w:r>
              <w:rPr>
                <w:rFonts w:ascii="Arial" w:hAnsi="Arial"/>
                <w:sz w:val="18"/>
              </w:rPr>
              <w:t>Medium</w:t>
            </w:r>
          </w:p>
        </w:tc>
      </w:tr>
      <w:tr w:rsidR="00535AD5" w14:paraId="69C40366" w14:textId="77777777">
        <w:trPr>
          <w:jc w:val="center"/>
        </w:trPr>
        <w:tc>
          <w:tcPr>
            <w:tcW w:w="1505" w:type="dxa"/>
            <w:shd w:val="clear" w:color="auto" w:fill="F2F6FC"/>
          </w:tcPr>
          <w:p w14:paraId="22DD078D" w14:textId="77777777" w:rsidR="00535AD5" w:rsidRDefault="000F4CA5">
            <w:r>
              <w:rPr>
                <w:rFonts w:ascii="Arial" w:hAnsi="Arial"/>
                <w:sz w:val="18"/>
              </w:rPr>
              <w:t>Management role &amp; reporting lines</w:t>
            </w:r>
          </w:p>
        </w:tc>
        <w:tc>
          <w:tcPr>
            <w:tcW w:w="1505" w:type="dxa"/>
            <w:shd w:val="clear" w:color="auto" w:fill="F2F6FC"/>
          </w:tcPr>
          <w:p w14:paraId="14778265" w14:textId="77777777" w:rsidR="00535AD5" w:rsidRDefault="000F4CA5">
            <w:r>
              <w:rPr>
                <w:rFonts w:ascii="Arial" w:hAnsi="Arial"/>
                <w:sz w:val="18"/>
              </w:rPr>
              <w:t>Para 6(b)(i)</w:t>
            </w:r>
          </w:p>
        </w:tc>
        <w:tc>
          <w:tcPr>
            <w:tcW w:w="1505" w:type="dxa"/>
            <w:shd w:val="clear" w:color="auto" w:fill="F2F6FC"/>
          </w:tcPr>
          <w:p w14:paraId="47D20BD2" w14:textId="77777777" w:rsidR="00535AD5" w:rsidRDefault="000F4CA5">
            <w:r>
              <w:rPr>
                <w:rFonts w:ascii="Arial" w:hAnsi="Arial"/>
                <w:sz w:val="18"/>
              </w:rPr>
              <w:t>Management position/committee responsible; delegation structure; escalation process</w:t>
            </w:r>
          </w:p>
        </w:tc>
        <w:tc>
          <w:tcPr>
            <w:tcW w:w="1505" w:type="dxa"/>
            <w:shd w:val="clear" w:color="auto" w:fill="F2F6FC"/>
          </w:tcPr>
          <w:p w14:paraId="601C5ACB" w14:textId="77777777" w:rsidR="00535AD5" w:rsidRDefault="000F4CA5">
            <w:r>
              <w:rPr>
                <w:rFonts w:ascii="Arial" w:hAnsi="Arial"/>
                <w:sz w:val="18"/>
              </w:rPr>
              <w:t>Not Available</w:t>
            </w:r>
          </w:p>
        </w:tc>
        <w:tc>
          <w:tcPr>
            <w:tcW w:w="1505" w:type="dxa"/>
            <w:shd w:val="clear" w:color="auto" w:fill="F2F6FC"/>
          </w:tcPr>
          <w:p w14:paraId="3AD3FFFA" w14:textId="77777777" w:rsidR="00535AD5" w:rsidRDefault="000F4CA5">
            <w:r>
              <w:rPr>
                <w:rFonts w:ascii="Arial" w:hAnsi="Arial"/>
                <w:sz w:val="18"/>
              </w:rPr>
              <w:t>BRI: Reports to President Director; BCA: Director Planning &amp; Finance; DBS: Chief Sustainability Officer → Board</w:t>
            </w:r>
          </w:p>
        </w:tc>
        <w:tc>
          <w:tcPr>
            <w:tcW w:w="1505" w:type="dxa"/>
            <w:shd w:val="clear" w:color="auto" w:fill="F2F6FC"/>
          </w:tcPr>
          <w:p w14:paraId="720FF8AD" w14:textId="77777777" w:rsidR="00535AD5" w:rsidRDefault="000F4CA5">
            <w:r>
              <w:rPr>
                <w:rFonts w:ascii="Arial" w:hAnsi="Arial"/>
                <w:sz w:val="18"/>
              </w:rPr>
              <w:t>High</w:t>
            </w:r>
          </w:p>
        </w:tc>
      </w:tr>
      <w:tr w:rsidR="00535AD5" w14:paraId="045C521B" w14:textId="77777777">
        <w:trPr>
          <w:jc w:val="center"/>
        </w:trPr>
        <w:tc>
          <w:tcPr>
            <w:tcW w:w="1505" w:type="dxa"/>
          </w:tcPr>
          <w:p w14:paraId="1FC35851" w14:textId="77777777" w:rsidR="00535AD5" w:rsidRDefault="000F4CA5">
            <w:r>
              <w:rPr>
                <w:rFonts w:ascii="Arial" w:hAnsi="Arial"/>
                <w:sz w:val="18"/>
              </w:rPr>
              <w:t>Integration with risk management</w:t>
            </w:r>
          </w:p>
        </w:tc>
        <w:tc>
          <w:tcPr>
            <w:tcW w:w="1505" w:type="dxa"/>
          </w:tcPr>
          <w:p w14:paraId="241FE35C" w14:textId="77777777" w:rsidR="00535AD5" w:rsidRDefault="000F4CA5">
            <w:r>
              <w:rPr>
                <w:rFonts w:ascii="Arial" w:hAnsi="Arial"/>
                <w:sz w:val="18"/>
              </w:rPr>
              <w:t>Para 6(b)(ii)</w:t>
            </w:r>
          </w:p>
        </w:tc>
        <w:tc>
          <w:tcPr>
            <w:tcW w:w="1505" w:type="dxa"/>
          </w:tcPr>
          <w:p w14:paraId="76620248" w14:textId="77777777" w:rsidR="00535AD5" w:rsidRDefault="000F4CA5">
            <w:r>
              <w:rPr>
                <w:rFonts w:ascii="Arial" w:hAnsi="Arial"/>
                <w:sz w:val="18"/>
              </w:rPr>
              <w:t>Controls and procedures; integration with ERM framework</w:t>
            </w:r>
          </w:p>
        </w:tc>
        <w:tc>
          <w:tcPr>
            <w:tcW w:w="1505" w:type="dxa"/>
          </w:tcPr>
          <w:p w14:paraId="28FE7766" w14:textId="77777777" w:rsidR="00535AD5" w:rsidRDefault="000F4CA5">
            <w:r>
              <w:rPr>
                <w:rFonts w:ascii="Arial" w:hAnsi="Arial"/>
                <w:sz w:val="18"/>
              </w:rPr>
              <w:t>Not Available</w:t>
            </w:r>
          </w:p>
        </w:tc>
        <w:tc>
          <w:tcPr>
            <w:tcW w:w="1505" w:type="dxa"/>
          </w:tcPr>
          <w:p w14:paraId="4537459E" w14:textId="77777777" w:rsidR="00535AD5" w:rsidRDefault="000F4CA5">
            <w:r>
              <w:rPr>
                <w:rFonts w:ascii="Arial" w:hAnsi="Arial"/>
                <w:sz w:val="18"/>
              </w:rPr>
              <w:t>All peers: Integrated into enterprise risk management with quarterly risk assessments</w:t>
            </w:r>
          </w:p>
        </w:tc>
        <w:tc>
          <w:tcPr>
            <w:tcW w:w="1505" w:type="dxa"/>
          </w:tcPr>
          <w:p w14:paraId="747695C3" w14:textId="77777777" w:rsidR="00535AD5" w:rsidRDefault="000F4CA5">
            <w:r>
              <w:rPr>
                <w:rFonts w:ascii="Arial" w:hAnsi="Arial"/>
                <w:sz w:val="18"/>
              </w:rPr>
              <w:t>Medium</w:t>
            </w:r>
          </w:p>
        </w:tc>
      </w:tr>
      <w:tr w:rsidR="00535AD5" w14:paraId="6466FB7C" w14:textId="77777777">
        <w:trPr>
          <w:jc w:val="center"/>
        </w:trPr>
        <w:tc>
          <w:tcPr>
            <w:tcW w:w="1505" w:type="dxa"/>
            <w:shd w:val="clear" w:color="auto" w:fill="F2F6FC"/>
          </w:tcPr>
          <w:p w14:paraId="64C67773" w14:textId="77777777" w:rsidR="00535AD5" w:rsidRDefault="000F4CA5">
            <w:r>
              <w:rPr>
                <w:rFonts w:ascii="Arial" w:hAnsi="Arial"/>
                <w:sz w:val="18"/>
              </w:rPr>
              <w:t>Target-setting authority</w:t>
            </w:r>
          </w:p>
        </w:tc>
        <w:tc>
          <w:tcPr>
            <w:tcW w:w="1505" w:type="dxa"/>
            <w:shd w:val="clear" w:color="auto" w:fill="F2F6FC"/>
          </w:tcPr>
          <w:p w14:paraId="2CE165F9" w14:textId="77777777" w:rsidR="00535AD5" w:rsidRDefault="000F4CA5">
            <w:r>
              <w:rPr>
                <w:rFonts w:ascii="Arial" w:hAnsi="Arial"/>
                <w:sz w:val="18"/>
              </w:rPr>
              <w:t>Para 6(a)(v)</w:t>
            </w:r>
          </w:p>
        </w:tc>
        <w:tc>
          <w:tcPr>
            <w:tcW w:w="1505" w:type="dxa"/>
            <w:shd w:val="clear" w:color="auto" w:fill="F2F6FC"/>
          </w:tcPr>
          <w:p w14:paraId="5E11CA36" w14:textId="77777777" w:rsidR="00535AD5" w:rsidRDefault="000F4CA5">
            <w:r>
              <w:rPr>
                <w:rFonts w:ascii="Arial" w:hAnsi="Arial"/>
                <w:sz w:val="18"/>
              </w:rPr>
              <w:t>Who sets climate targets; approval process; monitoring frequency</w:t>
            </w:r>
          </w:p>
        </w:tc>
        <w:tc>
          <w:tcPr>
            <w:tcW w:w="1505" w:type="dxa"/>
            <w:shd w:val="clear" w:color="auto" w:fill="F2F6FC"/>
          </w:tcPr>
          <w:p w14:paraId="6B8761C4" w14:textId="77777777" w:rsidR="00535AD5" w:rsidRDefault="000F4CA5">
            <w:r>
              <w:rPr>
                <w:rFonts w:ascii="Arial" w:hAnsi="Arial"/>
                <w:sz w:val="18"/>
              </w:rPr>
              <w:t>Not Available</w:t>
            </w:r>
          </w:p>
        </w:tc>
        <w:tc>
          <w:tcPr>
            <w:tcW w:w="1505" w:type="dxa"/>
            <w:shd w:val="clear" w:color="auto" w:fill="F2F6FC"/>
          </w:tcPr>
          <w:p w14:paraId="43BE887A" w14:textId="77777777" w:rsidR="00535AD5" w:rsidRDefault="000F4CA5">
            <w:r>
              <w:rPr>
                <w:rFonts w:ascii="Arial" w:hAnsi="Arial"/>
                <w:sz w:val="18"/>
              </w:rPr>
              <w:t>BRI/BCA/DBS: Board approves material targets; management monitors quarterly</w:t>
            </w:r>
          </w:p>
        </w:tc>
        <w:tc>
          <w:tcPr>
            <w:tcW w:w="1505" w:type="dxa"/>
            <w:shd w:val="clear" w:color="auto" w:fill="F2F6FC"/>
          </w:tcPr>
          <w:p w14:paraId="7F8675ED" w14:textId="77777777" w:rsidR="00535AD5" w:rsidRDefault="000F4CA5">
            <w:r>
              <w:rPr>
                <w:rFonts w:ascii="Arial" w:hAnsi="Arial"/>
                <w:sz w:val="18"/>
              </w:rPr>
              <w:t>High</w:t>
            </w:r>
          </w:p>
        </w:tc>
      </w:tr>
      <w:tr w:rsidR="00535AD5" w14:paraId="7380E2CB" w14:textId="77777777">
        <w:trPr>
          <w:jc w:val="center"/>
        </w:trPr>
        <w:tc>
          <w:tcPr>
            <w:tcW w:w="1505" w:type="dxa"/>
          </w:tcPr>
          <w:p w14:paraId="5DCA9D96" w14:textId="77777777" w:rsidR="00535AD5" w:rsidRDefault="000F4CA5">
            <w:r>
              <w:rPr>
                <w:rFonts w:ascii="Arial" w:hAnsi="Arial"/>
                <w:sz w:val="18"/>
              </w:rPr>
              <w:t>Remuneration linkage</w:t>
            </w:r>
          </w:p>
        </w:tc>
        <w:tc>
          <w:tcPr>
            <w:tcW w:w="1505" w:type="dxa"/>
          </w:tcPr>
          <w:p w14:paraId="410C5FA7" w14:textId="77777777" w:rsidR="00535AD5" w:rsidRDefault="000F4CA5">
            <w:r>
              <w:rPr>
                <w:rFonts w:ascii="Arial" w:hAnsi="Arial"/>
                <w:sz w:val="18"/>
              </w:rPr>
              <w:t>Para 29(g)</w:t>
            </w:r>
          </w:p>
        </w:tc>
        <w:tc>
          <w:tcPr>
            <w:tcW w:w="1505" w:type="dxa"/>
          </w:tcPr>
          <w:p w14:paraId="12BE738B" w14:textId="77777777" w:rsidR="00535AD5" w:rsidRDefault="000F4CA5">
            <w:r>
              <w:rPr>
                <w:rFonts w:ascii="Arial" w:hAnsi="Arial"/>
                <w:sz w:val="18"/>
              </w:rPr>
              <w:t>% of executive compensation tied to climate metrics; specific KPIs used</w:t>
            </w:r>
          </w:p>
        </w:tc>
        <w:tc>
          <w:tcPr>
            <w:tcW w:w="1505" w:type="dxa"/>
          </w:tcPr>
          <w:p w14:paraId="2F636839" w14:textId="77777777" w:rsidR="00535AD5" w:rsidRDefault="000F4CA5">
            <w:r>
              <w:rPr>
                <w:rFonts w:ascii="Arial" w:hAnsi="Arial"/>
                <w:sz w:val="18"/>
              </w:rPr>
              <w:t>Not Available</w:t>
            </w:r>
          </w:p>
        </w:tc>
        <w:tc>
          <w:tcPr>
            <w:tcW w:w="1505" w:type="dxa"/>
          </w:tcPr>
          <w:p w14:paraId="13A22C8D" w14:textId="77777777" w:rsidR="00535AD5" w:rsidRDefault="000F4CA5">
            <w:r>
              <w:rPr>
                <w:rFonts w:ascii="Arial" w:hAnsi="Arial"/>
                <w:sz w:val="18"/>
              </w:rPr>
              <w:t>DBS: 20% weighting; BCA: Integrated into BoD KPIs; BRI: Sustainability metrics in scorecards</w:t>
            </w:r>
          </w:p>
        </w:tc>
        <w:tc>
          <w:tcPr>
            <w:tcW w:w="1505" w:type="dxa"/>
          </w:tcPr>
          <w:p w14:paraId="4F93C888" w14:textId="77777777" w:rsidR="00535AD5" w:rsidRDefault="000F4CA5">
            <w:r>
              <w:rPr>
                <w:rFonts w:ascii="Arial" w:hAnsi="Arial"/>
                <w:sz w:val="18"/>
              </w:rPr>
              <w:t>High</w:t>
            </w:r>
          </w:p>
        </w:tc>
      </w:tr>
      <w:tr w:rsidR="00535AD5" w14:paraId="7C0B9EEC" w14:textId="77777777">
        <w:trPr>
          <w:jc w:val="center"/>
        </w:trPr>
        <w:tc>
          <w:tcPr>
            <w:tcW w:w="1505" w:type="dxa"/>
            <w:shd w:val="clear" w:color="auto" w:fill="F2F6FC"/>
          </w:tcPr>
          <w:p w14:paraId="32897A56" w14:textId="77777777" w:rsidR="00535AD5" w:rsidRDefault="000F4CA5">
            <w:r>
              <w:rPr>
                <w:rFonts w:ascii="Arial" w:hAnsi="Arial"/>
                <w:sz w:val="18"/>
              </w:rPr>
              <w:t>Strategy integration</w:t>
            </w:r>
          </w:p>
        </w:tc>
        <w:tc>
          <w:tcPr>
            <w:tcW w:w="1505" w:type="dxa"/>
            <w:shd w:val="clear" w:color="auto" w:fill="F2F6FC"/>
          </w:tcPr>
          <w:p w14:paraId="5F2700FE" w14:textId="77777777" w:rsidR="00535AD5" w:rsidRDefault="000F4CA5">
            <w:r>
              <w:rPr>
                <w:rFonts w:ascii="Arial" w:hAnsi="Arial"/>
                <w:sz w:val="18"/>
              </w:rPr>
              <w:t>Para 6(a)(iv)</w:t>
            </w:r>
          </w:p>
        </w:tc>
        <w:tc>
          <w:tcPr>
            <w:tcW w:w="1505" w:type="dxa"/>
            <w:shd w:val="clear" w:color="auto" w:fill="F2F6FC"/>
          </w:tcPr>
          <w:p w14:paraId="765E029C" w14:textId="77777777" w:rsidR="00535AD5" w:rsidRDefault="000F4CA5">
            <w:r>
              <w:rPr>
                <w:rFonts w:ascii="Arial" w:hAnsi="Arial"/>
                <w:sz w:val="18"/>
              </w:rPr>
              <w:t>How climate informs major transactions and strategic decisions</w:t>
            </w:r>
          </w:p>
        </w:tc>
        <w:tc>
          <w:tcPr>
            <w:tcW w:w="1505" w:type="dxa"/>
            <w:shd w:val="clear" w:color="auto" w:fill="F2F6FC"/>
          </w:tcPr>
          <w:p w14:paraId="0F9721EC" w14:textId="77777777" w:rsidR="00535AD5" w:rsidRDefault="000F4CA5">
            <w:r>
              <w:rPr>
                <w:rFonts w:ascii="Arial" w:hAnsi="Arial"/>
                <w:sz w:val="18"/>
              </w:rPr>
              <w:t>Not Available</w:t>
            </w:r>
          </w:p>
        </w:tc>
        <w:tc>
          <w:tcPr>
            <w:tcW w:w="1505" w:type="dxa"/>
            <w:shd w:val="clear" w:color="auto" w:fill="F2F6FC"/>
          </w:tcPr>
          <w:p w14:paraId="33FD08F7" w14:textId="77777777" w:rsidR="00535AD5" w:rsidRDefault="000F4CA5">
            <w:r>
              <w:rPr>
                <w:rFonts w:ascii="Arial" w:hAnsi="Arial"/>
                <w:sz w:val="18"/>
              </w:rPr>
              <w:t>All peers: Climate risk assessment mandatory for material credit decisions and M&amp;A</w:t>
            </w:r>
          </w:p>
        </w:tc>
        <w:tc>
          <w:tcPr>
            <w:tcW w:w="1505" w:type="dxa"/>
            <w:shd w:val="clear" w:color="auto" w:fill="F2F6FC"/>
          </w:tcPr>
          <w:p w14:paraId="0D4DC858" w14:textId="77777777" w:rsidR="00535AD5" w:rsidRDefault="000F4CA5">
            <w:r>
              <w:rPr>
                <w:rFonts w:ascii="Arial" w:hAnsi="Arial"/>
                <w:sz w:val="18"/>
              </w:rPr>
              <w:t>Medium</w:t>
            </w:r>
          </w:p>
        </w:tc>
      </w:tr>
    </w:tbl>
    <w:p w14:paraId="64DCC476" w14:textId="77777777" w:rsidR="00535AD5" w:rsidRDefault="000F4CA5">
      <w:r>
        <w:rPr>
          <w:rFonts w:ascii="Arial" w:hAnsi="Arial"/>
          <w:i/>
          <w:sz w:val="16"/>
        </w:rPr>
        <w:t>Source: Analysis based on IFRS S2 Climate-related Disclosures (June 2023) requirements and peer sustainability reports (BRI 2023, BCA 2025, DBS 2023, Mandiri 2023, OCBC Indonesia 2024).</w:t>
      </w:r>
    </w:p>
    <w:p w14:paraId="0469BF1C" w14:textId="77777777" w:rsidR="00535AD5" w:rsidRDefault="00535AD5"/>
    <w:p w14:paraId="67D53949" w14:textId="77777777" w:rsidR="00535AD5" w:rsidRDefault="000F4CA5">
      <w:r>
        <w:rPr>
          <w:rFonts w:ascii="Arial" w:hAnsi="Arial"/>
          <w:b/>
          <w:sz w:val="20"/>
        </w:rPr>
        <w:t>Table 2: Peer Governance Structure Comparison — Indonesian Banking Sector</w:t>
      </w:r>
    </w:p>
    <w:tbl>
      <w:tblPr>
        <w:tblW w:w="0" w:type="auto"/>
        <w:jc w:val="center"/>
        <w:tblLook w:val="04A0" w:firstRow="1" w:lastRow="0" w:firstColumn="1" w:lastColumn="0" w:noHBand="0" w:noVBand="1"/>
      </w:tblPr>
      <w:tblGrid>
        <w:gridCol w:w="1505"/>
        <w:gridCol w:w="1505"/>
        <w:gridCol w:w="1505"/>
        <w:gridCol w:w="1505"/>
        <w:gridCol w:w="1505"/>
        <w:gridCol w:w="1505"/>
      </w:tblGrid>
      <w:tr w:rsidR="00535AD5" w14:paraId="040BAC4A" w14:textId="77777777">
        <w:trPr>
          <w:jc w:val="center"/>
        </w:trPr>
        <w:tc>
          <w:tcPr>
            <w:tcW w:w="1505" w:type="dxa"/>
            <w:shd w:val="clear" w:color="auto" w:fill="1B3A6B"/>
          </w:tcPr>
          <w:p w14:paraId="7A03947C" w14:textId="77777777" w:rsidR="00535AD5" w:rsidRDefault="000F4CA5">
            <w:r>
              <w:rPr>
                <w:rFonts w:ascii="Arial" w:hAnsi="Arial"/>
                <w:b/>
                <w:color w:val="FFFFFF"/>
                <w:sz w:val="18"/>
              </w:rPr>
              <w:lastRenderedPageBreak/>
              <w:t>Institution</w:t>
            </w:r>
          </w:p>
        </w:tc>
        <w:tc>
          <w:tcPr>
            <w:tcW w:w="1505" w:type="dxa"/>
            <w:shd w:val="clear" w:color="auto" w:fill="1B3A6B"/>
          </w:tcPr>
          <w:p w14:paraId="7664599F" w14:textId="77777777" w:rsidR="00535AD5" w:rsidRDefault="000F4CA5">
            <w:r>
              <w:rPr>
                <w:rFonts w:ascii="Arial" w:hAnsi="Arial"/>
                <w:b/>
                <w:color w:val="FFFFFF"/>
                <w:sz w:val="18"/>
              </w:rPr>
              <w:t>Board-Level Committee</w:t>
            </w:r>
          </w:p>
        </w:tc>
        <w:tc>
          <w:tcPr>
            <w:tcW w:w="1505" w:type="dxa"/>
            <w:shd w:val="clear" w:color="auto" w:fill="1B3A6B"/>
          </w:tcPr>
          <w:p w14:paraId="02CF1D47" w14:textId="77777777" w:rsidR="00535AD5" w:rsidRDefault="000F4CA5">
            <w:r>
              <w:rPr>
                <w:rFonts w:ascii="Arial" w:hAnsi="Arial"/>
                <w:b/>
                <w:color w:val="FFFFFF"/>
                <w:sz w:val="18"/>
              </w:rPr>
              <w:t>Management Lead</w:t>
            </w:r>
          </w:p>
        </w:tc>
        <w:tc>
          <w:tcPr>
            <w:tcW w:w="1505" w:type="dxa"/>
            <w:shd w:val="clear" w:color="auto" w:fill="1B3A6B"/>
          </w:tcPr>
          <w:p w14:paraId="5EA2F1A7" w14:textId="77777777" w:rsidR="00535AD5" w:rsidRDefault="000F4CA5">
            <w:r>
              <w:rPr>
                <w:rFonts w:ascii="Arial" w:hAnsi="Arial"/>
                <w:b/>
                <w:color w:val="FFFFFF"/>
                <w:sz w:val="18"/>
              </w:rPr>
              <w:t>Review Frequency</w:t>
            </w:r>
          </w:p>
        </w:tc>
        <w:tc>
          <w:tcPr>
            <w:tcW w:w="1505" w:type="dxa"/>
            <w:shd w:val="clear" w:color="auto" w:fill="1B3A6B"/>
          </w:tcPr>
          <w:p w14:paraId="2C1D6ABD" w14:textId="77777777" w:rsidR="00535AD5" w:rsidRDefault="000F4CA5">
            <w:r>
              <w:rPr>
                <w:rFonts w:ascii="Arial" w:hAnsi="Arial"/>
                <w:b/>
                <w:color w:val="FFFFFF"/>
                <w:sz w:val="18"/>
              </w:rPr>
              <w:t>Remuneration Link</w:t>
            </w:r>
          </w:p>
        </w:tc>
        <w:tc>
          <w:tcPr>
            <w:tcW w:w="1505" w:type="dxa"/>
            <w:shd w:val="clear" w:color="auto" w:fill="1B3A6B"/>
          </w:tcPr>
          <w:p w14:paraId="7F94A1AF" w14:textId="77777777" w:rsidR="00535AD5" w:rsidRDefault="000F4CA5">
            <w:r>
              <w:rPr>
                <w:rFonts w:ascii="Arial" w:hAnsi="Arial"/>
                <w:b/>
                <w:color w:val="FFFFFF"/>
                <w:sz w:val="18"/>
              </w:rPr>
              <w:t>Establishment Year</w:t>
            </w:r>
          </w:p>
        </w:tc>
      </w:tr>
      <w:tr w:rsidR="00535AD5" w14:paraId="7D52A384" w14:textId="77777777">
        <w:trPr>
          <w:jc w:val="center"/>
        </w:trPr>
        <w:tc>
          <w:tcPr>
            <w:tcW w:w="1505" w:type="dxa"/>
          </w:tcPr>
          <w:p w14:paraId="4EDD5425" w14:textId="77777777" w:rsidR="00535AD5" w:rsidRDefault="000F4CA5">
            <w:r>
              <w:rPr>
                <w:rFonts w:ascii="Arial" w:hAnsi="Arial"/>
                <w:sz w:val="18"/>
              </w:rPr>
              <w:t>Bank Rakyat Indonesia (BRI)</w:t>
            </w:r>
          </w:p>
        </w:tc>
        <w:tc>
          <w:tcPr>
            <w:tcW w:w="1505" w:type="dxa"/>
          </w:tcPr>
          <w:p w14:paraId="1BF1F14D" w14:textId="77777777" w:rsidR="00535AD5" w:rsidRDefault="000F4CA5">
            <w:r>
              <w:rPr>
                <w:rFonts w:ascii="Arial" w:hAnsi="Arial"/>
                <w:sz w:val="18"/>
              </w:rPr>
              <w:t>Risk Management &amp; ESG Committee</w:t>
            </w:r>
          </w:p>
        </w:tc>
        <w:tc>
          <w:tcPr>
            <w:tcW w:w="1505" w:type="dxa"/>
          </w:tcPr>
          <w:p w14:paraId="2BC2D2FE" w14:textId="77777777" w:rsidR="00535AD5" w:rsidRDefault="000F4CA5">
            <w:r>
              <w:rPr>
                <w:rFonts w:ascii="Arial" w:hAnsi="Arial"/>
                <w:sz w:val="18"/>
              </w:rPr>
              <w:t>Reports to President Director</w:t>
            </w:r>
          </w:p>
        </w:tc>
        <w:tc>
          <w:tcPr>
            <w:tcW w:w="1505" w:type="dxa"/>
          </w:tcPr>
          <w:p w14:paraId="6C2520B4" w14:textId="77777777" w:rsidR="00535AD5" w:rsidRDefault="000F4CA5">
            <w:r>
              <w:rPr>
                <w:rFonts w:ascii="Arial" w:hAnsi="Arial"/>
                <w:sz w:val="18"/>
              </w:rPr>
              <w:t>Quarterly</w:t>
            </w:r>
          </w:p>
        </w:tc>
        <w:tc>
          <w:tcPr>
            <w:tcW w:w="1505" w:type="dxa"/>
          </w:tcPr>
          <w:p w14:paraId="67648FB3" w14:textId="77777777" w:rsidR="00535AD5" w:rsidRDefault="000F4CA5">
            <w:r>
              <w:rPr>
                <w:rFonts w:ascii="Arial" w:hAnsi="Arial"/>
                <w:sz w:val="18"/>
              </w:rPr>
              <w:t>Yes (integrated into executive scorecards)</w:t>
            </w:r>
          </w:p>
        </w:tc>
        <w:tc>
          <w:tcPr>
            <w:tcW w:w="1505" w:type="dxa"/>
          </w:tcPr>
          <w:p w14:paraId="17E9BF0A" w14:textId="77777777" w:rsidR="00535AD5" w:rsidRDefault="000F4CA5">
            <w:r>
              <w:rPr>
                <w:rFonts w:ascii="Arial" w:hAnsi="Arial"/>
                <w:sz w:val="18"/>
              </w:rPr>
              <w:t>2021 (NOKEP 872-DIR)</w:t>
            </w:r>
          </w:p>
        </w:tc>
      </w:tr>
      <w:tr w:rsidR="00535AD5" w14:paraId="6C654DD8" w14:textId="77777777">
        <w:trPr>
          <w:jc w:val="center"/>
        </w:trPr>
        <w:tc>
          <w:tcPr>
            <w:tcW w:w="1505" w:type="dxa"/>
            <w:shd w:val="clear" w:color="auto" w:fill="F2F6FC"/>
          </w:tcPr>
          <w:p w14:paraId="66580AB1" w14:textId="77777777" w:rsidR="00535AD5" w:rsidRDefault="000F4CA5">
            <w:r>
              <w:rPr>
                <w:rFonts w:ascii="Arial" w:hAnsi="Arial"/>
                <w:sz w:val="18"/>
              </w:rPr>
              <w:t>Bank Central Asia (BCA)</w:t>
            </w:r>
          </w:p>
        </w:tc>
        <w:tc>
          <w:tcPr>
            <w:tcW w:w="1505" w:type="dxa"/>
            <w:shd w:val="clear" w:color="auto" w:fill="F2F6FC"/>
          </w:tcPr>
          <w:p w14:paraId="5A9F1F5C" w14:textId="77777777" w:rsidR="00535AD5" w:rsidRDefault="000F4CA5">
            <w:r>
              <w:rPr>
                <w:rFonts w:ascii="Arial" w:hAnsi="Arial"/>
                <w:sz w:val="18"/>
              </w:rPr>
              <w:t>ESG Subdivision (Corporate Secretary)</w:t>
            </w:r>
          </w:p>
        </w:tc>
        <w:tc>
          <w:tcPr>
            <w:tcW w:w="1505" w:type="dxa"/>
            <w:shd w:val="clear" w:color="auto" w:fill="F2F6FC"/>
          </w:tcPr>
          <w:p w14:paraId="2582FE51" w14:textId="77777777" w:rsidR="00535AD5" w:rsidRDefault="000F4CA5">
            <w:r>
              <w:rPr>
                <w:rFonts w:ascii="Arial" w:hAnsi="Arial"/>
                <w:sz w:val="18"/>
              </w:rPr>
              <w:t>Director of Planning &amp; Finance</w:t>
            </w:r>
          </w:p>
        </w:tc>
        <w:tc>
          <w:tcPr>
            <w:tcW w:w="1505" w:type="dxa"/>
            <w:shd w:val="clear" w:color="auto" w:fill="F2F6FC"/>
          </w:tcPr>
          <w:p w14:paraId="2D632080" w14:textId="77777777" w:rsidR="00535AD5" w:rsidRDefault="000F4CA5">
            <w:r>
              <w:rPr>
                <w:rFonts w:ascii="Arial" w:hAnsi="Arial"/>
                <w:sz w:val="18"/>
              </w:rPr>
              <w:t>≥4x per year</w:t>
            </w:r>
          </w:p>
        </w:tc>
        <w:tc>
          <w:tcPr>
            <w:tcW w:w="1505" w:type="dxa"/>
            <w:shd w:val="clear" w:color="auto" w:fill="F2F6FC"/>
          </w:tcPr>
          <w:p w14:paraId="4EE29562" w14:textId="77777777" w:rsidR="00535AD5" w:rsidRDefault="000F4CA5">
            <w:r>
              <w:rPr>
                <w:rFonts w:ascii="Arial" w:hAnsi="Arial"/>
                <w:sz w:val="18"/>
              </w:rPr>
              <w:t>Yes (BoD &amp; work unit KPIs)</w:t>
            </w:r>
          </w:p>
        </w:tc>
        <w:tc>
          <w:tcPr>
            <w:tcW w:w="1505" w:type="dxa"/>
            <w:shd w:val="clear" w:color="auto" w:fill="F2F6FC"/>
          </w:tcPr>
          <w:p w14:paraId="6589A3FF" w14:textId="77777777" w:rsidR="00535AD5" w:rsidRDefault="000F4CA5">
            <w:r>
              <w:rPr>
                <w:rFonts w:ascii="Arial" w:hAnsi="Arial"/>
                <w:sz w:val="18"/>
              </w:rPr>
              <w:t>Not disclosed</w:t>
            </w:r>
          </w:p>
        </w:tc>
      </w:tr>
      <w:tr w:rsidR="00535AD5" w14:paraId="7AE85DC8" w14:textId="77777777">
        <w:trPr>
          <w:jc w:val="center"/>
        </w:trPr>
        <w:tc>
          <w:tcPr>
            <w:tcW w:w="1505" w:type="dxa"/>
          </w:tcPr>
          <w:p w14:paraId="05683A01" w14:textId="77777777" w:rsidR="00535AD5" w:rsidRDefault="000F4CA5">
            <w:r>
              <w:rPr>
                <w:rFonts w:ascii="Arial" w:hAnsi="Arial"/>
                <w:sz w:val="18"/>
              </w:rPr>
              <w:t>DBS Bank</w:t>
            </w:r>
          </w:p>
        </w:tc>
        <w:tc>
          <w:tcPr>
            <w:tcW w:w="1505" w:type="dxa"/>
          </w:tcPr>
          <w:p w14:paraId="0A85E673" w14:textId="77777777" w:rsidR="00535AD5" w:rsidRDefault="000F4CA5">
            <w:r>
              <w:rPr>
                <w:rFonts w:ascii="Arial" w:hAnsi="Arial"/>
                <w:sz w:val="18"/>
              </w:rPr>
              <w:t>Board Sustainability Committee</w:t>
            </w:r>
          </w:p>
        </w:tc>
        <w:tc>
          <w:tcPr>
            <w:tcW w:w="1505" w:type="dxa"/>
          </w:tcPr>
          <w:p w14:paraId="4DE67217" w14:textId="77777777" w:rsidR="00535AD5" w:rsidRDefault="000F4CA5">
            <w:r>
              <w:rPr>
                <w:rFonts w:ascii="Arial" w:hAnsi="Arial"/>
                <w:sz w:val="18"/>
              </w:rPr>
              <w:t>Chief Sustainability Officer → Board</w:t>
            </w:r>
          </w:p>
        </w:tc>
        <w:tc>
          <w:tcPr>
            <w:tcW w:w="1505" w:type="dxa"/>
          </w:tcPr>
          <w:p w14:paraId="1CB3AB8F" w14:textId="77777777" w:rsidR="00535AD5" w:rsidRDefault="000F4CA5">
            <w:r>
              <w:rPr>
                <w:rFonts w:ascii="Arial" w:hAnsi="Arial"/>
                <w:sz w:val="18"/>
              </w:rPr>
              <w:t>Quarterly</w:t>
            </w:r>
          </w:p>
        </w:tc>
        <w:tc>
          <w:tcPr>
            <w:tcW w:w="1505" w:type="dxa"/>
          </w:tcPr>
          <w:p w14:paraId="33C94034" w14:textId="77777777" w:rsidR="00535AD5" w:rsidRDefault="000F4CA5">
            <w:r>
              <w:rPr>
                <w:rFonts w:ascii="Arial" w:hAnsi="Arial"/>
                <w:sz w:val="18"/>
              </w:rPr>
              <w:t>Yes (20% of executive compensation)</w:t>
            </w:r>
          </w:p>
        </w:tc>
        <w:tc>
          <w:tcPr>
            <w:tcW w:w="1505" w:type="dxa"/>
          </w:tcPr>
          <w:p w14:paraId="4AB0C7A8" w14:textId="77777777" w:rsidR="00535AD5" w:rsidRDefault="000F4CA5">
            <w:r>
              <w:rPr>
                <w:rFonts w:ascii="Arial" w:hAnsi="Arial"/>
                <w:sz w:val="18"/>
              </w:rPr>
              <w:t>Not disclosed</w:t>
            </w:r>
          </w:p>
        </w:tc>
      </w:tr>
      <w:tr w:rsidR="00535AD5" w14:paraId="2DE55F62" w14:textId="77777777">
        <w:trPr>
          <w:jc w:val="center"/>
        </w:trPr>
        <w:tc>
          <w:tcPr>
            <w:tcW w:w="1505" w:type="dxa"/>
            <w:shd w:val="clear" w:color="auto" w:fill="F2F6FC"/>
          </w:tcPr>
          <w:p w14:paraId="3F62B51F" w14:textId="77777777" w:rsidR="00535AD5" w:rsidRDefault="000F4CA5">
            <w:r>
              <w:rPr>
                <w:rFonts w:ascii="Arial" w:hAnsi="Arial"/>
                <w:sz w:val="18"/>
              </w:rPr>
              <w:t>Bank Mandiri</w:t>
            </w:r>
          </w:p>
        </w:tc>
        <w:tc>
          <w:tcPr>
            <w:tcW w:w="1505" w:type="dxa"/>
            <w:shd w:val="clear" w:color="auto" w:fill="F2F6FC"/>
          </w:tcPr>
          <w:p w14:paraId="48CB3CA7" w14:textId="77777777" w:rsidR="00535AD5" w:rsidRDefault="000F4CA5">
            <w:r>
              <w:rPr>
                <w:rFonts w:ascii="Arial" w:hAnsi="Arial"/>
                <w:sz w:val="18"/>
              </w:rPr>
              <w:t>ESG Task Force</w:t>
            </w:r>
          </w:p>
        </w:tc>
        <w:tc>
          <w:tcPr>
            <w:tcW w:w="1505" w:type="dxa"/>
            <w:shd w:val="clear" w:color="auto" w:fill="F2F6FC"/>
          </w:tcPr>
          <w:p w14:paraId="37E2BD11" w14:textId="77777777" w:rsidR="00535AD5" w:rsidRDefault="000F4CA5">
            <w:r>
              <w:rPr>
                <w:rFonts w:ascii="Arial" w:hAnsi="Arial"/>
                <w:sz w:val="18"/>
              </w:rPr>
              <w:t>Director → President Director</w:t>
            </w:r>
          </w:p>
        </w:tc>
        <w:tc>
          <w:tcPr>
            <w:tcW w:w="1505" w:type="dxa"/>
            <w:shd w:val="clear" w:color="auto" w:fill="F2F6FC"/>
          </w:tcPr>
          <w:p w14:paraId="107C0C52" w14:textId="77777777" w:rsidR="00535AD5" w:rsidRDefault="000F4CA5">
            <w:r>
              <w:rPr>
                <w:rFonts w:ascii="Arial" w:hAnsi="Arial"/>
                <w:sz w:val="18"/>
              </w:rPr>
              <w:t>Semi-annual</w:t>
            </w:r>
          </w:p>
        </w:tc>
        <w:tc>
          <w:tcPr>
            <w:tcW w:w="1505" w:type="dxa"/>
            <w:shd w:val="clear" w:color="auto" w:fill="F2F6FC"/>
          </w:tcPr>
          <w:p w14:paraId="01F162C9" w14:textId="77777777" w:rsidR="00535AD5" w:rsidRDefault="000F4CA5">
            <w:r>
              <w:rPr>
                <w:rFonts w:ascii="Arial" w:hAnsi="Arial"/>
                <w:sz w:val="18"/>
              </w:rPr>
              <w:t>Partial</w:t>
            </w:r>
          </w:p>
        </w:tc>
        <w:tc>
          <w:tcPr>
            <w:tcW w:w="1505" w:type="dxa"/>
            <w:shd w:val="clear" w:color="auto" w:fill="F2F6FC"/>
          </w:tcPr>
          <w:p w14:paraId="246766F4" w14:textId="77777777" w:rsidR="00535AD5" w:rsidRDefault="000F4CA5">
            <w:r>
              <w:rPr>
                <w:rFonts w:ascii="Arial" w:hAnsi="Arial"/>
                <w:sz w:val="18"/>
              </w:rPr>
              <w:t>Not disclosed</w:t>
            </w:r>
          </w:p>
        </w:tc>
      </w:tr>
      <w:tr w:rsidR="00535AD5" w14:paraId="408966D3" w14:textId="77777777">
        <w:trPr>
          <w:jc w:val="center"/>
        </w:trPr>
        <w:tc>
          <w:tcPr>
            <w:tcW w:w="1505" w:type="dxa"/>
          </w:tcPr>
          <w:p w14:paraId="5388FAAF" w14:textId="77777777" w:rsidR="00535AD5" w:rsidRDefault="000F4CA5">
            <w:r>
              <w:rPr>
                <w:rFonts w:ascii="Arial" w:hAnsi="Arial"/>
                <w:sz w:val="18"/>
              </w:rPr>
              <w:t>OCBC Indonesia</w:t>
            </w:r>
          </w:p>
        </w:tc>
        <w:tc>
          <w:tcPr>
            <w:tcW w:w="1505" w:type="dxa"/>
          </w:tcPr>
          <w:p w14:paraId="4905DB5F" w14:textId="77777777" w:rsidR="00535AD5" w:rsidRDefault="000F4CA5">
            <w:r>
              <w:rPr>
                <w:rFonts w:ascii="Arial" w:hAnsi="Arial"/>
                <w:sz w:val="18"/>
              </w:rPr>
              <w:t>Sustainability governance structure</w:t>
            </w:r>
          </w:p>
        </w:tc>
        <w:tc>
          <w:tcPr>
            <w:tcW w:w="1505" w:type="dxa"/>
          </w:tcPr>
          <w:p w14:paraId="00BDB683" w14:textId="77777777" w:rsidR="00535AD5" w:rsidRDefault="000F4CA5">
            <w:r>
              <w:rPr>
                <w:rFonts w:ascii="Arial" w:hAnsi="Arial"/>
                <w:sz w:val="18"/>
              </w:rPr>
              <w:t>Not disclosed</w:t>
            </w:r>
          </w:p>
        </w:tc>
        <w:tc>
          <w:tcPr>
            <w:tcW w:w="1505" w:type="dxa"/>
          </w:tcPr>
          <w:p w14:paraId="090F81C1" w14:textId="77777777" w:rsidR="00535AD5" w:rsidRDefault="000F4CA5">
            <w:r>
              <w:rPr>
                <w:rFonts w:ascii="Arial" w:hAnsi="Arial"/>
                <w:sz w:val="18"/>
              </w:rPr>
              <w:t>Not disclosed</w:t>
            </w:r>
          </w:p>
        </w:tc>
        <w:tc>
          <w:tcPr>
            <w:tcW w:w="1505" w:type="dxa"/>
          </w:tcPr>
          <w:p w14:paraId="32F18B81" w14:textId="77777777" w:rsidR="00535AD5" w:rsidRDefault="000F4CA5">
            <w:r>
              <w:rPr>
                <w:rFonts w:ascii="Arial" w:hAnsi="Arial"/>
                <w:sz w:val="18"/>
              </w:rPr>
              <w:t>Not disclosed</w:t>
            </w:r>
          </w:p>
        </w:tc>
        <w:tc>
          <w:tcPr>
            <w:tcW w:w="1505" w:type="dxa"/>
          </w:tcPr>
          <w:p w14:paraId="7781904A" w14:textId="77777777" w:rsidR="00535AD5" w:rsidRDefault="000F4CA5">
            <w:r>
              <w:rPr>
                <w:rFonts w:ascii="Arial" w:hAnsi="Arial"/>
                <w:sz w:val="18"/>
              </w:rPr>
              <w:t>Not disclosed</w:t>
            </w:r>
          </w:p>
        </w:tc>
      </w:tr>
    </w:tbl>
    <w:p w14:paraId="723A7927" w14:textId="77777777" w:rsidR="00535AD5" w:rsidRDefault="000F4CA5">
      <w:r>
        <w:rPr>
          <w:rFonts w:ascii="Arial" w:hAnsi="Arial"/>
          <w:i/>
          <w:sz w:val="16"/>
        </w:rPr>
        <w:t>Source: Source: Sustainability Reports — BRI 2023, BCA 2025, DBS 2023, Bank Mandiri 2023, OCBC Indonesia 2024. All institutions maintain GCG Composite 1 ratings (Very Good) per OJK assessment.</w:t>
      </w:r>
    </w:p>
    <w:p w14:paraId="4846B877" w14:textId="77777777" w:rsidR="00535AD5" w:rsidRDefault="00535AD5"/>
    <w:p w14:paraId="5C1F8B44" w14:textId="77777777" w:rsidR="00535AD5" w:rsidRDefault="000F4CA5">
      <w:r>
        <w:rPr>
          <w:i/>
          <w:color w:val="3D6094"/>
          <w:sz w:val="18"/>
        </w:rPr>
        <w:t>Framework references: IFRS S2 Para 5 — Objective of climate-related financial disclosures; IFRS S2 Para 6(a) — Governance body oversight requirements; IFRS S2 Para 6(a)(i) — Terms of reference and mandates; IFRS S2 Para 6(a)(ii) — Skills and competencies assessment; IFRS S2 Para 6(a)(iii) — Frequency of climate risk reviews; IFRS S2 Para 6(a)(iv) — Integration into strategy and major transactions; IFRS S2 Para 6(a)(v) — Target oversight and monitoring; IFRS S2 Para 6(b) — Management role in governance proce</w:t>
      </w:r>
      <w:r>
        <w:rPr>
          <w:i/>
          <w:color w:val="3D6094"/>
          <w:sz w:val="18"/>
        </w:rPr>
        <w:t>sses; IFRS S2 Para 6(b)(i) — Delegation to management positions/committees; IFRS S2 Para 6(b)(ii) — Controls and procedures integration; IFRS S2 Para 7 — Avoidance of unnecessary duplication (cross-reference to IFRS S1); IFRS S2 Para 29(g) — Performance metrics in remuneration policies; GRI 2-12 — Role of highest governance body in overseeing impact management; GRI 2-13 — Delegation of responsibility for managing impacts; OJK PSPK — Board-level sustainability committee requirement for listed financial insti</w:t>
      </w:r>
      <w:r>
        <w:rPr>
          <w:i/>
          <w:color w:val="3D6094"/>
          <w:sz w:val="18"/>
        </w:rPr>
        <w:t>tutions</w:t>
      </w:r>
    </w:p>
    <w:p w14:paraId="412E87F8" w14:textId="77777777" w:rsidR="00535AD5" w:rsidRDefault="00535AD5">
      <w:pPr>
        <w:pBdr>
          <w:bottom w:val="single" w:sz="6" w:space="1" w:color="999999"/>
        </w:pBdr>
        <w:spacing w:after="80"/>
      </w:pPr>
    </w:p>
    <w:p w14:paraId="31230DE3" w14:textId="77777777" w:rsidR="00535AD5" w:rsidRDefault="000F4CA5">
      <w:pPr>
        <w:spacing w:after="160"/>
        <w:jc w:val="both"/>
      </w:pPr>
      <w:r>
        <w:rPr>
          <w:rFonts w:ascii="Arial" w:hAnsi="Arial"/>
          <w:i/>
          <w:color w:val="646464"/>
          <w:sz w:val="18"/>
        </w:rPr>
        <w:t>IFRS S2 Climate-related Disclosures (June 2023) requires disclosure of governance structures, processes, and controls for climate-related risks and opportunities per paragraphs 5-10.</w:t>
      </w:r>
    </w:p>
    <w:p w14:paraId="28D87A4F" w14:textId="77777777" w:rsidR="00535AD5" w:rsidRDefault="000F4CA5">
      <w:pPr>
        <w:spacing w:after="160"/>
        <w:jc w:val="both"/>
      </w:pPr>
      <w:r>
        <w:rPr>
          <w:rFonts w:ascii="Arial" w:hAnsi="Arial"/>
          <w:i/>
          <w:color w:val="646464"/>
          <w:sz w:val="18"/>
        </w:rPr>
        <w:t>Peer benchmark data sourced from publicly available sustainability reports: BRI Sustainability Report 2023, BCA Sustainability Report 2025, DBS Sustainability Report 2023, Bank Mandiri Sustainability Report 2023, OCBC Indonesia Sustainability Report 2024.</w:t>
      </w:r>
    </w:p>
    <w:p w14:paraId="13D8EF0F" w14:textId="77777777" w:rsidR="00535AD5" w:rsidRDefault="000F4CA5">
      <w:pPr>
        <w:spacing w:after="160"/>
        <w:jc w:val="both"/>
      </w:pPr>
      <w:r>
        <w:rPr>
          <w:rFonts w:ascii="Arial" w:hAnsi="Arial"/>
          <w:i/>
          <w:color w:val="646464"/>
          <w:sz w:val="18"/>
        </w:rPr>
        <w:t>GCG (Good Corporate Governance) Composite 1 rating indicates 'Very Good' governance quality per OJK (Otoritas Jasa Keuangan / Indonesia Financial Services Authority) assessment framework.</w:t>
      </w:r>
    </w:p>
    <w:p w14:paraId="0457DB6F" w14:textId="77777777" w:rsidR="00535AD5" w:rsidRDefault="000F4CA5">
      <w:pPr>
        <w:spacing w:after="160"/>
        <w:jc w:val="both"/>
      </w:pPr>
      <w:r>
        <w:rPr>
          <w:rFonts w:ascii="Arial" w:hAnsi="Arial"/>
          <w:i/>
          <w:color w:val="646464"/>
          <w:sz w:val="18"/>
        </w:rPr>
        <w:t>Target implementation timeline assumes Board approval in Q2 2025 and operational readiness by Q3-Q4 2025 for first full reporting cycle in 2026.</w:t>
      </w:r>
    </w:p>
    <w:p w14:paraId="3989E1A7" w14:textId="77777777" w:rsidR="00535AD5" w:rsidRDefault="000F4CA5">
      <w:pPr>
        <w:spacing w:after="160"/>
        <w:jc w:val="both"/>
      </w:pPr>
      <w:r>
        <w:rPr>
          <w:rFonts w:ascii="Arial" w:hAnsi="Arial"/>
          <w:i/>
          <w:color w:val="646464"/>
          <w:sz w:val="18"/>
        </w:rPr>
        <w:t>Remuneration linkage percentages represent weighting of climate/ESG metrics within variable compensation frameworks; actual compensation amounts are confidential and not disclosed in peer reports.</w:t>
      </w:r>
    </w:p>
    <w:p w14:paraId="79A2A393" w14:textId="77777777" w:rsidR="00535AD5" w:rsidRDefault="000F4CA5">
      <w:r>
        <w:br w:type="page"/>
      </w:r>
    </w:p>
    <w:p w14:paraId="6F6A2B6C" w14:textId="77777777" w:rsidR="00535AD5" w:rsidRDefault="000F4CA5">
      <w:pPr>
        <w:pStyle w:val="Heading1"/>
        <w:spacing w:after="240"/>
      </w:pPr>
      <w:bookmarkStart w:id="9" w:name="_Toc231920344"/>
      <w:r>
        <w:rPr>
          <w:rFonts w:ascii="Arial" w:hAnsi="Arial"/>
          <w:color w:val="1B3A6B"/>
          <w:sz w:val="36"/>
        </w:rPr>
        <w:lastRenderedPageBreak/>
        <w:t>IFRS S2 Metrics &amp; Targets: Financed Emissions (Scope 3 Category 15)</w:t>
      </w:r>
      <w:bookmarkEnd w:id="9"/>
    </w:p>
    <w:p w14:paraId="5710B329" w14:textId="77777777" w:rsidR="00535AD5" w:rsidRDefault="000F4CA5">
      <w:pPr>
        <w:spacing w:after="160"/>
        <w:jc w:val="both"/>
      </w:pPr>
      <w:r>
        <w:rPr>
          <w:rFonts w:ascii="Arial" w:hAnsi="Arial"/>
        </w:rPr>
        <w:t>The institution's financed emissions for the reporting period ending 31 December 2024 totaled 21,976,797.3 tCO2e on a gross basis, calculated in accordance with the Partnership for Carbon Accounting Financials (PCAF) Global GHG Accounting and Reporting Standard (2022). This figure represents the institution's proportional share of borrower emissions across its commercial and industrial lending portfolio, covering IDR 1,541.18 trillion in outstanding credit exposure across 1,955 borrower relationships. The c</w:t>
      </w:r>
      <w:r>
        <w:rPr>
          <w:rFonts w:ascii="Arial" w:hAnsi="Arial"/>
        </w:rPr>
        <w:t>onfidence-weighted financed emissions, adjusted for data quality using PCAF confidence factors, totaled 15,280,174.14 tCO2e, reflecting a portfolio-weighted average data quality score of 3.36 on the PCAF 1-5 scale.</w:t>
      </w:r>
    </w:p>
    <w:p w14:paraId="36B61F83" w14:textId="77777777" w:rsidR="00535AD5" w:rsidRDefault="000F4CA5">
      <w:pPr>
        <w:spacing w:after="160"/>
        <w:jc w:val="both"/>
      </w:pPr>
      <w:r>
        <w:rPr>
          <w:rFonts w:ascii="Arial" w:hAnsi="Arial"/>
          <w:i/>
        </w:rPr>
        <w:t xml:space="preserve">Financed emissions are calculated using the attribution factor methodology prescribed by IFRS S2 paragraph 29(a)(vi)(2) and PCAF Standard Section 5.2. For each borrower, the institution's proportional share of emissions is determined by the ratio of outstanding loan amount to the borrower's total equity plus debt (enterprise value). The formula applied is: Financed Emissions = Outstanding Amount ÷ (Total Equity + Total Debt) × Borrower's Total Emissions. Borrower emissions data were sourced hierarchically: </w:t>
      </w:r>
      <w:r>
        <w:rPr>
          <w:rFonts w:ascii="Arial" w:hAnsi="Arial"/>
          <w:i/>
        </w:rPr>
        <w:t>8.2% from verified third-party disclosures (PCAF Score 1-2), 67.4% from economic input-output models using revenue data (PCAF Score 3), and 24.4% from sector-average proxies (PCAF Score 4-5). The institution applied confidence factors ranging from 1.00 (verified data) to 0.45 (sector proxy) to derive the weighted emissions figure, consistent with PCAF guidance on uncertainty quantification.</w:t>
      </w:r>
    </w:p>
    <w:p w14:paraId="03E3A27C" w14:textId="77777777" w:rsidR="00535AD5" w:rsidRDefault="000F4CA5">
      <w:pPr>
        <w:spacing w:after="160"/>
        <w:jc w:val="both"/>
      </w:pPr>
      <w:r>
        <w:rPr>
          <w:rFonts w:ascii="Arial" w:hAnsi="Arial"/>
        </w:rPr>
        <w:t>**Gross vs. Confidence-Weighted Emissions Distinction**: The institution reports two distinct metrics to comply with IFRS S2 transparency requirements. Gross financed emissions of 21,976,797.3 tCO2e represent the unweighted sum of attributed borrower emissions, providing a complete inventory of the portfolio's climate impact. Confidence-weighted financed emissions of 15,280,174.14 tCO2e apply PCAF confidence factors (ranging 0.45-1.00) to each loan based on underlying data quality, yielding a conservative e</w:t>
      </w:r>
      <w:r>
        <w:rPr>
          <w:rFonts w:ascii="Arial" w:hAnsi="Arial"/>
        </w:rPr>
        <w:t>stimate that accounts for measurement uncertainty. The 30.5% reduction from gross to weighted reflects the institution's reliance on modeled data (EEIO) and sector proxies for 91.8% of the portfolio, where confidence factors of 0.75 or below apply. This dual reporting approach enables users to assess both the full scope of financed emissions and the reliability of the measurement.</w:t>
      </w:r>
    </w:p>
    <w:p w14:paraId="4EDD23DF" w14:textId="77777777" w:rsidR="00535AD5" w:rsidRDefault="000F4CA5">
      <w:pPr>
        <w:spacing w:after="160"/>
        <w:jc w:val="both"/>
      </w:pPr>
      <w:r>
        <w:rPr>
          <w:rFonts w:ascii="Arial" w:hAnsi="Arial"/>
        </w:rPr>
        <w:t>Three sectors account for 85.9% of total financed emissions despite representing only 20.7% of portfolio value, demonstrating significant concentration risk in carbon-intensive industries. Energy - Oil &amp; Gas generated 9,573,144.27 tCO2e gross (43.6% of total financed emissions) from IDR 102.67 trillion in exposure (6.7% of portfolio), yielding an emission intensity of 93.242 tCO2e per IDR billion. Manufacturing - Cement contributed 5,813,830.91 tCO2e (26.4%) from IDR 107.68 trillion (7.0%), with intensity o</w:t>
      </w:r>
      <w:r>
        <w:rPr>
          <w:rFonts w:ascii="Arial" w:hAnsi="Arial"/>
        </w:rPr>
        <w:t>f 53.993 tCO2e per IDR billion. Manufacturing - Steel accounted for 3,499,463.0 tCO2e (15.9%) from IDR 108.62 trillion (7.0%), with intensity of 32.218 tCO2e per IDR billion. These three sectors exhibit emission intensities 13-39 times higher than the portfolio average of 239.4 tCO2e per IDR billion total assets, indicating material transition risk exposure under decarbonization scenarios aligned with the Paris Agreement 1.5°C pathway.</w:t>
      </w:r>
    </w:p>
    <w:p w14:paraId="14B5FE07" w14:textId="77777777" w:rsidR="00535AD5" w:rsidRDefault="000F4CA5">
      <w:pPr>
        <w:spacing w:after="160"/>
        <w:jc w:val="both"/>
      </w:pPr>
      <w:r>
        <w:rPr>
          <w:rFonts w:ascii="Arial" w:hAnsi="Arial"/>
        </w:rPr>
        <w:lastRenderedPageBreak/>
        <w:t>The portfolio-weighted average PCAF data quality score of 3.36 indicates moderate reliance on modeled data, with 91.8% of emissions calculated using economic input-output models (Score 3) or sector-average proxies (Score 4-5). Only 8.2% of financed emissions are derived from borrower-reported data (Score 1-2), representing a data quality gap relative to PCAF best practice targets of &gt;50% Score 1-2 coverage for signatory institutions. Data quality varies by sector: Real Estate - Commercial achieved the highe</w:t>
      </w:r>
      <w:r>
        <w:rPr>
          <w:rFonts w:ascii="Arial" w:hAnsi="Arial"/>
        </w:rPr>
        <w:t>st quality score of 3.27 due to building-level energy data availability, while Financial Services recorded the lowest at 3.42 due to limited Scope 3 disclosure by borrowers. The institution has not yet achieved the PCAF signatory target of &gt;90% portfolio coverage by outstanding value; current coverage stands at 100% for commercial and industrial lending but excludes retail mortgages, consumer auto loans, and project finance, which collectively represent an estimated 23% of total assets.</w:t>
      </w:r>
    </w:p>
    <w:p w14:paraId="24DF081E" w14:textId="77777777" w:rsidR="00535AD5" w:rsidRDefault="000F4CA5">
      <w:pPr>
        <w:spacing w:after="160"/>
        <w:jc w:val="both"/>
      </w:pPr>
      <w:r>
        <w:rPr>
          <w:rFonts w:ascii="Arial" w:hAnsi="Arial"/>
          <w:i/>
          <w:color w:val="555555"/>
        </w:rPr>
        <w:t>**Data Quality Improvement Roadmap**: To address the average PCAF score of 3.36 (above the 3.0 threshold indicating heavy reliance on modeled data), the institution has initiated a three-phase data quality enhancement program targeting Score 2.5 by 2026. Phase 1 (2025) focuses on direct borrower engagement for the top 50 emitters (representing 68% of financed emissions), requesting CDP disclosures or equivalent verified emissions data to achieve Score 1-2 classification. Phase 2 (2025-2026) implements facil</w:t>
      </w:r>
      <w:r>
        <w:rPr>
          <w:rFonts w:ascii="Arial" w:hAnsi="Arial"/>
          <w:i/>
          <w:color w:val="555555"/>
        </w:rPr>
        <w:t>ity-level data collection for Manufacturing - Cement and Manufacturing - Steel sectors through loan covenant amendments requiring annual emissions reporting as a condition of credit renewal, targeting 40% Score 1-2 coverage in these sectors. Phase 3 (2026) deploys automated data ingestion from Indonesia's Sistem Registrasi Nasional Pengendalian Perubahan Iklim (SRN-PPI) national emissions registry, expected to improve data quality for 200+ borrowers subject to mandatory reporting under Presidential Regulati</w:t>
      </w:r>
      <w:r>
        <w:rPr>
          <w:rFonts w:ascii="Arial" w:hAnsi="Arial"/>
          <w:i/>
          <w:color w:val="555555"/>
        </w:rPr>
        <w:t>on 98/2021. This roadmap aligns with PCAF guidance that signatory institutions should demonstrate year-over-year data quality improvement.</w:t>
      </w:r>
    </w:p>
    <w:p w14:paraId="1B473BDF" w14:textId="77777777" w:rsidR="00535AD5" w:rsidRDefault="000F4CA5">
      <w:pPr>
        <w:spacing w:after="160"/>
        <w:jc w:val="both"/>
      </w:pPr>
      <w:r>
        <w:rPr>
          <w:rFonts w:ascii="Arial" w:hAnsi="Arial"/>
          <w:i/>
          <w:color w:val="555555"/>
        </w:rPr>
        <w:t>The institution has established a financed emissions intensity reduction target of 4% per annum from the 2024 baseline of 239.4 tCO2e per IDR billion total assets, aligned with a portfolio temperature trajectory of 2.0°C by 2030 as calculated using the PACTA for Banks methodology. This target is subject to market conditions including borrower decarbonization progress, sectoral credit policy implementation, and macroeconomic factors affecting portfolio composition. The institution has not yet submitted targe</w:t>
      </w:r>
      <w:r>
        <w:rPr>
          <w:rFonts w:ascii="Arial" w:hAnsi="Arial"/>
          <w:i/>
          <w:color w:val="555555"/>
        </w:rPr>
        <w:t>ts to the Science Based Targets initiative (SBTi) for validation under the Financial Institutions Net-Zero Standard (2024), but intends to pursue SBTi commitment in 2025 following completion of scenario analysis under IFRS S2 paragraph 22 requirements. Interim milestones include: (i) 10% reduction in Energy - Oil &amp; Gas sector exposure by 2027 through natural portfolio runoff and selective credit policy restrictions; (ii) 25% increase in green finance origination (renewable energy, energy efficiency, sustain</w:t>
      </w:r>
      <w:r>
        <w:rPr>
          <w:rFonts w:ascii="Arial" w:hAnsi="Arial"/>
          <w:i/>
          <w:color w:val="555555"/>
        </w:rPr>
        <w:t>able transport) by 2026; and (iii) mandatory transition plan requirements for all borrowers with &gt;100,000 tCO2e annual emissions by 2026, covering an estimated 180 relationships representing 72% of financed emissions.</w:t>
      </w:r>
    </w:p>
    <w:p w14:paraId="16D08CBE" w14:textId="77777777" w:rsidR="00535AD5" w:rsidRDefault="000F4CA5">
      <w:pPr>
        <w:spacing w:after="160"/>
        <w:jc w:val="both"/>
      </w:pPr>
      <w:r>
        <w:rPr>
          <w:rFonts w:ascii="Arial" w:hAnsi="Arial"/>
        </w:rPr>
        <w:t xml:space="preserve">**SASB FN-CB-410a.3 Disclosure**: As a commercial banking institution, the entity reports financed emissions under SASB Standard FN-CB-410a.3, which requires disclosure of Scope 3 Category 15 emissions calculated using the PCAF methodology. The gross financed emissions of 21,976,797.3 tCO2e and confidence-weighted emissions of 15,280,174.14 tCO2e satisfy this industry-based metric requirement. The institution has integrated financed emissions measurement into its enterprise risk management framework, </w:t>
      </w:r>
      <w:r>
        <w:rPr>
          <w:rFonts w:ascii="Arial" w:hAnsi="Arial"/>
        </w:rPr>
        <w:lastRenderedPageBreak/>
        <w:t>with quarterly reporting to the Board Risk Committee and annual disclosure in this sustainability report. Financed emissions are not yet incorporated into credit pricing models or capital allocation decisions, but the institution is evaluating methodologies to internalize carbon risk through risk-adjusted return on capital (RAROC) adjustments for high-emission sectors, pending regulatory guidance from Indonesia Financial Services Authority (OJK) on climate risk integration per OJK Regulation 51/2017 as amen</w:t>
      </w:r>
      <w:r>
        <w:rPr>
          <w:rFonts w:ascii="Arial" w:hAnsi="Arial"/>
        </w:rPr>
        <w:t>ded.</w:t>
      </w:r>
    </w:p>
    <w:p w14:paraId="59B40760" w14:textId="77777777" w:rsidR="00535AD5" w:rsidRDefault="000F4CA5">
      <w:r>
        <w:rPr>
          <w:rFonts w:ascii="Arial" w:hAnsi="Arial"/>
          <w:b/>
          <w:sz w:val="20"/>
        </w:rPr>
        <w:t>Table 1: Financed Emissions by Sector (Top 5 Emitting Sectors) — 2024</w:t>
      </w:r>
    </w:p>
    <w:tbl>
      <w:tblPr>
        <w:tblW w:w="0" w:type="auto"/>
        <w:jc w:val="center"/>
        <w:tblLook w:val="04A0" w:firstRow="1" w:lastRow="0" w:firstColumn="1" w:lastColumn="0" w:noHBand="0" w:noVBand="1"/>
      </w:tblPr>
      <w:tblGrid>
        <w:gridCol w:w="1277"/>
        <w:gridCol w:w="1130"/>
        <w:gridCol w:w="1070"/>
        <w:gridCol w:w="1451"/>
        <w:gridCol w:w="1451"/>
        <w:gridCol w:w="1070"/>
        <w:gridCol w:w="1036"/>
        <w:gridCol w:w="760"/>
      </w:tblGrid>
      <w:tr w:rsidR="00535AD5" w14:paraId="03B1800C" w14:textId="77777777">
        <w:trPr>
          <w:jc w:val="center"/>
        </w:trPr>
        <w:tc>
          <w:tcPr>
            <w:tcW w:w="1129" w:type="dxa"/>
            <w:shd w:val="clear" w:color="auto" w:fill="1B3A6B"/>
          </w:tcPr>
          <w:p w14:paraId="6A8BCA1C" w14:textId="77777777" w:rsidR="00535AD5" w:rsidRDefault="000F4CA5">
            <w:r>
              <w:rPr>
                <w:rFonts w:ascii="Arial" w:hAnsi="Arial"/>
                <w:b/>
                <w:color w:val="FFFFFF"/>
                <w:sz w:val="18"/>
              </w:rPr>
              <w:t>Sector (NACE Classification)</w:t>
            </w:r>
          </w:p>
        </w:tc>
        <w:tc>
          <w:tcPr>
            <w:tcW w:w="1129" w:type="dxa"/>
            <w:shd w:val="clear" w:color="auto" w:fill="1B3A6B"/>
          </w:tcPr>
          <w:p w14:paraId="0FD58504" w14:textId="77777777" w:rsidR="00535AD5" w:rsidRDefault="000F4CA5">
            <w:r>
              <w:rPr>
                <w:rFonts w:ascii="Arial" w:hAnsi="Arial"/>
                <w:b/>
                <w:color w:val="FFFFFF"/>
                <w:sz w:val="18"/>
              </w:rPr>
              <w:t>Outstanding Credit (IDR Trillion)</w:t>
            </w:r>
          </w:p>
        </w:tc>
        <w:tc>
          <w:tcPr>
            <w:tcW w:w="1129" w:type="dxa"/>
            <w:shd w:val="clear" w:color="auto" w:fill="1B3A6B"/>
          </w:tcPr>
          <w:p w14:paraId="0D5CB310" w14:textId="77777777" w:rsidR="00535AD5" w:rsidRDefault="000F4CA5">
            <w:r>
              <w:rPr>
                <w:rFonts w:ascii="Arial" w:hAnsi="Arial"/>
                <w:b/>
                <w:color w:val="FFFFFF"/>
                <w:sz w:val="18"/>
              </w:rPr>
              <w:t>% of Portfolio</w:t>
            </w:r>
          </w:p>
        </w:tc>
        <w:tc>
          <w:tcPr>
            <w:tcW w:w="1129" w:type="dxa"/>
            <w:shd w:val="clear" w:color="auto" w:fill="1B3A6B"/>
          </w:tcPr>
          <w:p w14:paraId="384E20AA" w14:textId="77777777" w:rsidR="00535AD5" w:rsidRDefault="000F4CA5">
            <w:r>
              <w:rPr>
                <w:rFonts w:ascii="Arial" w:hAnsi="Arial"/>
                <w:b/>
                <w:color w:val="FFFFFF"/>
                <w:sz w:val="18"/>
              </w:rPr>
              <w:t>Gross Financed Emissions (tCO2e)</w:t>
            </w:r>
          </w:p>
        </w:tc>
        <w:tc>
          <w:tcPr>
            <w:tcW w:w="1129" w:type="dxa"/>
            <w:shd w:val="clear" w:color="auto" w:fill="1B3A6B"/>
          </w:tcPr>
          <w:p w14:paraId="2847E7E9" w14:textId="77777777" w:rsidR="00535AD5" w:rsidRDefault="000F4CA5">
            <w:r>
              <w:rPr>
                <w:rFonts w:ascii="Arial" w:hAnsi="Arial"/>
                <w:b/>
                <w:color w:val="FFFFFF"/>
                <w:sz w:val="18"/>
              </w:rPr>
              <w:t>Weighted Financed Emissions (tCO2e)</w:t>
            </w:r>
          </w:p>
        </w:tc>
        <w:tc>
          <w:tcPr>
            <w:tcW w:w="1129" w:type="dxa"/>
            <w:shd w:val="clear" w:color="auto" w:fill="1B3A6B"/>
          </w:tcPr>
          <w:p w14:paraId="69989A6D" w14:textId="77777777" w:rsidR="00535AD5" w:rsidRDefault="000F4CA5">
            <w:r>
              <w:rPr>
                <w:rFonts w:ascii="Arial" w:hAnsi="Arial"/>
                <w:b/>
                <w:color w:val="FFFFFF"/>
                <w:sz w:val="18"/>
              </w:rPr>
              <w:t>% of Total Financed Emissions</w:t>
            </w:r>
          </w:p>
        </w:tc>
        <w:tc>
          <w:tcPr>
            <w:tcW w:w="1129" w:type="dxa"/>
            <w:shd w:val="clear" w:color="auto" w:fill="1B3A6B"/>
          </w:tcPr>
          <w:p w14:paraId="1E693E10" w14:textId="77777777" w:rsidR="00535AD5" w:rsidRDefault="000F4CA5">
            <w:r>
              <w:rPr>
                <w:rFonts w:ascii="Arial" w:hAnsi="Arial"/>
                <w:b/>
                <w:color w:val="FFFFFF"/>
                <w:sz w:val="18"/>
              </w:rPr>
              <w:t>Emission Intensity (tCO2e/IDR Bn)</w:t>
            </w:r>
          </w:p>
        </w:tc>
        <w:tc>
          <w:tcPr>
            <w:tcW w:w="1129" w:type="dxa"/>
            <w:shd w:val="clear" w:color="auto" w:fill="1B3A6B"/>
          </w:tcPr>
          <w:p w14:paraId="467EA5F5" w14:textId="77777777" w:rsidR="00535AD5" w:rsidRDefault="000F4CA5">
            <w:r>
              <w:rPr>
                <w:rFonts w:ascii="Arial" w:hAnsi="Arial"/>
                <w:b/>
                <w:color w:val="FFFFFF"/>
                <w:sz w:val="18"/>
              </w:rPr>
              <w:t>Avg PCAF Score</w:t>
            </w:r>
          </w:p>
        </w:tc>
      </w:tr>
      <w:tr w:rsidR="00535AD5" w14:paraId="75BD7AE2" w14:textId="77777777">
        <w:trPr>
          <w:jc w:val="center"/>
        </w:trPr>
        <w:tc>
          <w:tcPr>
            <w:tcW w:w="1129" w:type="dxa"/>
          </w:tcPr>
          <w:p w14:paraId="4B8A103E" w14:textId="77777777" w:rsidR="00535AD5" w:rsidRDefault="000F4CA5">
            <w:r>
              <w:rPr>
                <w:rFonts w:ascii="Arial" w:hAnsi="Arial"/>
                <w:sz w:val="18"/>
              </w:rPr>
              <w:t>Energy - Oil &amp; Gas</w:t>
            </w:r>
          </w:p>
        </w:tc>
        <w:tc>
          <w:tcPr>
            <w:tcW w:w="1129" w:type="dxa"/>
          </w:tcPr>
          <w:p w14:paraId="0A9E0A18" w14:textId="77777777" w:rsidR="00535AD5" w:rsidRDefault="000F4CA5">
            <w:pPr>
              <w:jc w:val="right"/>
            </w:pPr>
            <w:r>
              <w:rPr>
                <w:rFonts w:ascii="Arial" w:hAnsi="Arial"/>
                <w:sz w:val="18"/>
              </w:rPr>
              <w:t>102.67</w:t>
            </w:r>
          </w:p>
        </w:tc>
        <w:tc>
          <w:tcPr>
            <w:tcW w:w="1129" w:type="dxa"/>
          </w:tcPr>
          <w:p w14:paraId="6BF5FFF3" w14:textId="77777777" w:rsidR="00535AD5" w:rsidRDefault="000F4CA5">
            <w:pPr>
              <w:jc w:val="right"/>
            </w:pPr>
            <w:r>
              <w:rPr>
                <w:rFonts w:ascii="Arial" w:hAnsi="Arial"/>
                <w:sz w:val="18"/>
              </w:rPr>
              <w:t>6.66%</w:t>
            </w:r>
          </w:p>
        </w:tc>
        <w:tc>
          <w:tcPr>
            <w:tcW w:w="1129" w:type="dxa"/>
          </w:tcPr>
          <w:p w14:paraId="5769072F" w14:textId="77777777" w:rsidR="00535AD5" w:rsidRDefault="000F4CA5">
            <w:pPr>
              <w:jc w:val="right"/>
            </w:pPr>
            <w:r>
              <w:rPr>
                <w:rFonts w:ascii="Arial" w:hAnsi="Arial"/>
                <w:sz w:val="18"/>
              </w:rPr>
              <w:t>9,573,144.27</w:t>
            </w:r>
          </w:p>
        </w:tc>
        <w:tc>
          <w:tcPr>
            <w:tcW w:w="1129" w:type="dxa"/>
          </w:tcPr>
          <w:p w14:paraId="7345844A" w14:textId="77777777" w:rsidR="00535AD5" w:rsidRDefault="000F4CA5">
            <w:pPr>
              <w:jc w:val="right"/>
            </w:pPr>
            <w:r>
              <w:rPr>
                <w:rFonts w:ascii="Arial" w:hAnsi="Arial"/>
                <w:sz w:val="18"/>
              </w:rPr>
              <w:t>6,753,948.71</w:t>
            </w:r>
          </w:p>
        </w:tc>
        <w:tc>
          <w:tcPr>
            <w:tcW w:w="1129" w:type="dxa"/>
          </w:tcPr>
          <w:p w14:paraId="4CF11281" w14:textId="77777777" w:rsidR="00535AD5" w:rsidRDefault="000F4CA5">
            <w:pPr>
              <w:jc w:val="right"/>
            </w:pPr>
            <w:r>
              <w:rPr>
                <w:rFonts w:ascii="Arial" w:hAnsi="Arial"/>
                <w:sz w:val="18"/>
              </w:rPr>
              <w:t>43.56%</w:t>
            </w:r>
          </w:p>
        </w:tc>
        <w:tc>
          <w:tcPr>
            <w:tcW w:w="1129" w:type="dxa"/>
          </w:tcPr>
          <w:p w14:paraId="575FB002" w14:textId="77777777" w:rsidR="00535AD5" w:rsidRDefault="000F4CA5">
            <w:pPr>
              <w:jc w:val="right"/>
            </w:pPr>
            <w:r>
              <w:rPr>
                <w:rFonts w:ascii="Arial" w:hAnsi="Arial"/>
                <w:sz w:val="18"/>
              </w:rPr>
              <w:t>93.242</w:t>
            </w:r>
          </w:p>
        </w:tc>
        <w:tc>
          <w:tcPr>
            <w:tcW w:w="1129" w:type="dxa"/>
          </w:tcPr>
          <w:p w14:paraId="0CF03211" w14:textId="77777777" w:rsidR="00535AD5" w:rsidRDefault="000F4CA5">
            <w:pPr>
              <w:jc w:val="right"/>
            </w:pPr>
            <w:r>
              <w:rPr>
                <w:rFonts w:ascii="Arial" w:hAnsi="Arial"/>
                <w:sz w:val="18"/>
              </w:rPr>
              <w:t>3.32</w:t>
            </w:r>
          </w:p>
        </w:tc>
      </w:tr>
      <w:tr w:rsidR="00535AD5" w14:paraId="229C73FD" w14:textId="77777777">
        <w:trPr>
          <w:jc w:val="center"/>
        </w:trPr>
        <w:tc>
          <w:tcPr>
            <w:tcW w:w="1129" w:type="dxa"/>
            <w:shd w:val="clear" w:color="auto" w:fill="F2F6FC"/>
          </w:tcPr>
          <w:p w14:paraId="01201F99" w14:textId="77777777" w:rsidR="00535AD5" w:rsidRDefault="000F4CA5">
            <w:r>
              <w:rPr>
                <w:rFonts w:ascii="Arial" w:hAnsi="Arial"/>
                <w:sz w:val="18"/>
              </w:rPr>
              <w:t>Manufacturing - Cement</w:t>
            </w:r>
          </w:p>
        </w:tc>
        <w:tc>
          <w:tcPr>
            <w:tcW w:w="1129" w:type="dxa"/>
            <w:shd w:val="clear" w:color="auto" w:fill="F2F6FC"/>
          </w:tcPr>
          <w:p w14:paraId="4868EED9" w14:textId="77777777" w:rsidR="00535AD5" w:rsidRDefault="000F4CA5">
            <w:pPr>
              <w:jc w:val="right"/>
            </w:pPr>
            <w:r>
              <w:rPr>
                <w:rFonts w:ascii="Arial" w:hAnsi="Arial"/>
                <w:sz w:val="18"/>
              </w:rPr>
              <w:t>107.68</w:t>
            </w:r>
          </w:p>
        </w:tc>
        <w:tc>
          <w:tcPr>
            <w:tcW w:w="1129" w:type="dxa"/>
            <w:shd w:val="clear" w:color="auto" w:fill="F2F6FC"/>
          </w:tcPr>
          <w:p w14:paraId="7C9FD27F" w14:textId="77777777" w:rsidR="00535AD5" w:rsidRDefault="000F4CA5">
            <w:pPr>
              <w:jc w:val="right"/>
            </w:pPr>
            <w:r>
              <w:rPr>
                <w:rFonts w:ascii="Arial" w:hAnsi="Arial"/>
                <w:sz w:val="18"/>
              </w:rPr>
              <w:t>6.99%</w:t>
            </w:r>
          </w:p>
        </w:tc>
        <w:tc>
          <w:tcPr>
            <w:tcW w:w="1129" w:type="dxa"/>
            <w:shd w:val="clear" w:color="auto" w:fill="F2F6FC"/>
          </w:tcPr>
          <w:p w14:paraId="1A5B4B60" w14:textId="77777777" w:rsidR="00535AD5" w:rsidRDefault="000F4CA5">
            <w:pPr>
              <w:jc w:val="right"/>
            </w:pPr>
            <w:r>
              <w:rPr>
                <w:rFonts w:ascii="Arial" w:hAnsi="Arial"/>
                <w:sz w:val="18"/>
              </w:rPr>
              <w:t>5,813,830.91</w:t>
            </w:r>
          </w:p>
        </w:tc>
        <w:tc>
          <w:tcPr>
            <w:tcW w:w="1129" w:type="dxa"/>
            <w:shd w:val="clear" w:color="auto" w:fill="F2F6FC"/>
          </w:tcPr>
          <w:p w14:paraId="3B675174" w14:textId="77777777" w:rsidR="00535AD5" w:rsidRDefault="000F4CA5">
            <w:pPr>
              <w:jc w:val="right"/>
            </w:pPr>
            <w:r>
              <w:rPr>
                <w:rFonts w:ascii="Arial" w:hAnsi="Arial"/>
                <w:sz w:val="18"/>
              </w:rPr>
              <w:t>4,168,058.43</w:t>
            </w:r>
          </w:p>
        </w:tc>
        <w:tc>
          <w:tcPr>
            <w:tcW w:w="1129" w:type="dxa"/>
            <w:shd w:val="clear" w:color="auto" w:fill="F2F6FC"/>
          </w:tcPr>
          <w:p w14:paraId="05ACB619" w14:textId="77777777" w:rsidR="00535AD5" w:rsidRDefault="000F4CA5">
            <w:pPr>
              <w:jc w:val="right"/>
            </w:pPr>
            <w:r>
              <w:rPr>
                <w:rFonts w:ascii="Arial" w:hAnsi="Arial"/>
                <w:sz w:val="18"/>
              </w:rPr>
              <w:t>26.45%</w:t>
            </w:r>
          </w:p>
        </w:tc>
        <w:tc>
          <w:tcPr>
            <w:tcW w:w="1129" w:type="dxa"/>
            <w:shd w:val="clear" w:color="auto" w:fill="F2F6FC"/>
          </w:tcPr>
          <w:p w14:paraId="4DD28039" w14:textId="77777777" w:rsidR="00535AD5" w:rsidRDefault="000F4CA5">
            <w:pPr>
              <w:jc w:val="right"/>
            </w:pPr>
            <w:r>
              <w:rPr>
                <w:rFonts w:ascii="Arial" w:hAnsi="Arial"/>
                <w:sz w:val="18"/>
              </w:rPr>
              <w:t>53.993</w:t>
            </w:r>
          </w:p>
        </w:tc>
        <w:tc>
          <w:tcPr>
            <w:tcW w:w="1129" w:type="dxa"/>
            <w:shd w:val="clear" w:color="auto" w:fill="F2F6FC"/>
          </w:tcPr>
          <w:p w14:paraId="1F8DEBD1" w14:textId="77777777" w:rsidR="00535AD5" w:rsidRDefault="000F4CA5">
            <w:pPr>
              <w:jc w:val="right"/>
            </w:pPr>
            <w:r>
              <w:rPr>
                <w:rFonts w:ascii="Arial" w:hAnsi="Arial"/>
                <w:sz w:val="18"/>
              </w:rPr>
              <w:t>3.40</w:t>
            </w:r>
          </w:p>
        </w:tc>
      </w:tr>
      <w:tr w:rsidR="00535AD5" w14:paraId="02895102" w14:textId="77777777">
        <w:trPr>
          <w:jc w:val="center"/>
        </w:trPr>
        <w:tc>
          <w:tcPr>
            <w:tcW w:w="1129" w:type="dxa"/>
          </w:tcPr>
          <w:p w14:paraId="671A7A30" w14:textId="77777777" w:rsidR="00535AD5" w:rsidRDefault="000F4CA5">
            <w:r>
              <w:rPr>
                <w:rFonts w:ascii="Arial" w:hAnsi="Arial"/>
                <w:sz w:val="18"/>
              </w:rPr>
              <w:t>Manufacturing - Steel</w:t>
            </w:r>
          </w:p>
        </w:tc>
        <w:tc>
          <w:tcPr>
            <w:tcW w:w="1129" w:type="dxa"/>
          </w:tcPr>
          <w:p w14:paraId="7DCE7600" w14:textId="77777777" w:rsidR="00535AD5" w:rsidRDefault="000F4CA5">
            <w:pPr>
              <w:jc w:val="right"/>
            </w:pPr>
            <w:r>
              <w:rPr>
                <w:rFonts w:ascii="Arial" w:hAnsi="Arial"/>
                <w:sz w:val="18"/>
              </w:rPr>
              <w:t>108.62</w:t>
            </w:r>
          </w:p>
        </w:tc>
        <w:tc>
          <w:tcPr>
            <w:tcW w:w="1129" w:type="dxa"/>
          </w:tcPr>
          <w:p w14:paraId="7491D3C9" w14:textId="77777777" w:rsidR="00535AD5" w:rsidRDefault="000F4CA5">
            <w:pPr>
              <w:jc w:val="right"/>
            </w:pPr>
            <w:r>
              <w:rPr>
                <w:rFonts w:ascii="Arial" w:hAnsi="Arial"/>
                <w:sz w:val="18"/>
              </w:rPr>
              <w:t>7.05%</w:t>
            </w:r>
          </w:p>
        </w:tc>
        <w:tc>
          <w:tcPr>
            <w:tcW w:w="1129" w:type="dxa"/>
          </w:tcPr>
          <w:p w14:paraId="1976B48B" w14:textId="77777777" w:rsidR="00535AD5" w:rsidRDefault="000F4CA5">
            <w:pPr>
              <w:jc w:val="right"/>
            </w:pPr>
            <w:r>
              <w:rPr>
                <w:rFonts w:ascii="Arial" w:hAnsi="Arial"/>
                <w:sz w:val="18"/>
              </w:rPr>
              <w:t>3,499,463.0</w:t>
            </w:r>
          </w:p>
        </w:tc>
        <w:tc>
          <w:tcPr>
            <w:tcW w:w="1129" w:type="dxa"/>
          </w:tcPr>
          <w:p w14:paraId="79F8E8F9" w14:textId="77777777" w:rsidR="00535AD5" w:rsidRDefault="000F4CA5">
            <w:pPr>
              <w:jc w:val="right"/>
            </w:pPr>
            <w:r>
              <w:rPr>
                <w:rFonts w:ascii="Arial" w:hAnsi="Arial"/>
                <w:sz w:val="18"/>
              </w:rPr>
              <w:t>2,228,739.65</w:t>
            </w:r>
          </w:p>
        </w:tc>
        <w:tc>
          <w:tcPr>
            <w:tcW w:w="1129" w:type="dxa"/>
          </w:tcPr>
          <w:p w14:paraId="5D0E864D" w14:textId="77777777" w:rsidR="00535AD5" w:rsidRDefault="000F4CA5">
            <w:pPr>
              <w:jc w:val="right"/>
            </w:pPr>
            <w:r>
              <w:rPr>
                <w:rFonts w:ascii="Arial" w:hAnsi="Arial"/>
                <w:sz w:val="18"/>
              </w:rPr>
              <w:t>15.92%</w:t>
            </w:r>
          </w:p>
        </w:tc>
        <w:tc>
          <w:tcPr>
            <w:tcW w:w="1129" w:type="dxa"/>
          </w:tcPr>
          <w:p w14:paraId="11431CE7" w14:textId="77777777" w:rsidR="00535AD5" w:rsidRDefault="000F4CA5">
            <w:pPr>
              <w:jc w:val="right"/>
            </w:pPr>
            <w:r>
              <w:rPr>
                <w:rFonts w:ascii="Arial" w:hAnsi="Arial"/>
                <w:sz w:val="18"/>
              </w:rPr>
              <w:t>32.218</w:t>
            </w:r>
          </w:p>
        </w:tc>
        <w:tc>
          <w:tcPr>
            <w:tcW w:w="1129" w:type="dxa"/>
          </w:tcPr>
          <w:p w14:paraId="56B89718" w14:textId="77777777" w:rsidR="00535AD5" w:rsidRDefault="000F4CA5">
            <w:pPr>
              <w:jc w:val="right"/>
            </w:pPr>
            <w:r>
              <w:rPr>
                <w:rFonts w:ascii="Arial" w:hAnsi="Arial"/>
                <w:sz w:val="18"/>
              </w:rPr>
              <w:t>3.35</w:t>
            </w:r>
          </w:p>
        </w:tc>
      </w:tr>
      <w:tr w:rsidR="00535AD5" w14:paraId="53FC48C9" w14:textId="77777777">
        <w:trPr>
          <w:jc w:val="center"/>
        </w:trPr>
        <w:tc>
          <w:tcPr>
            <w:tcW w:w="1129" w:type="dxa"/>
            <w:shd w:val="clear" w:color="auto" w:fill="F2F6FC"/>
          </w:tcPr>
          <w:p w14:paraId="68F572AB" w14:textId="77777777" w:rsidR="00535AD5" w:rsidRDefault="000F4CA5">
            <w:r>
              <w:rPr>
                <w:rFonts w:ascii="Arial" w:hAnsi="Arial"/>
                <w:sz w:val="18"/>
              </w:rPr>
              <w:t>Transportation - Road</w:t>
            </w:r>
          </w:p>
        </w:tc>
        <w:tc>
          <w:tcPr>
            <w:tcW w:w="1129" w:type="dxa"/>
            <w:shd w:val="clear" w:color="auto" w:fill="F2F6FC"/>
          </w:tcPr>
          <w:p w14:paraId="2B3D0C20" w14:textId="77777777" w:rsidR="00535AD5" w:rsidRDefault="000F4CA5">
            <w:pPr>
              <w:jc w:val="right"/>
            </w:pPr>
            <w:r>
              <w:rPr>
                <w:rFonts w:ascii="Arial" w:hAnsi="Arial"/>
                <w:sz w:val="18"/>
              </w:rPr>
              <w:t>155.55</w:t>
            </w:r>
          </w:p>
        </w:tc>
        <w:tc>
          <w:tcPr>
            <w:tcW w:w="1129" w:type="dxa"/>
            <w:shd w:val="clear" w:color="auto" w:fill="F2F6FC"/>
          </w:tcPr>
          <w:p w14:paraId="6006F7B9" w14:textId="77777777" w:rsidR="00535AD5" w:rsidRDefault="000F4CA5">
            <w:pPr>
              <w:jc w:val="right"/>
            </w:pPr>
            <w:r>
              <w:rPr>
                <w:rFonts w:ascii="Arial" w:hAnsi="Arial"/>
                <w:sz w:val="18"/>
              </w:rPr>
              <w:t>10.09%</w:t>
            </w:r>
          </w:p>
        </w:tc>
        <w:tc>
          <w:tcPr>
            <w:tcW w:w="1129" w:type="dxa"/>
            <w:shd w:val="clear" w:color="auto" w:fill="F2F6FC"/>
          </w:tcPr>
          <w:p w14:paraId="065A54B8" w14:textId="77777777" w:rsidR="00535AD5" w:rsidRDefault="000F4CA5">
            <w:pPr>
              <w:jc w:val="right"/>
            </w:pPr>
            <w:r>
              <w:rPr>
                <w:rFonts w:ascii="Arial" w:hAnsi="Arial"/>
                <w:sz w:val="18"/>
              </w:rPr>
              <w:t>1,227,019.62</w:t>
            </w:r>
          </w:p>
        </w:tc>
        <w:tc>
          <w:tcPr>
            <w:tcW w:w="1129" w:type="dxa"/>
            <w:shd w:val="clear" w:color="auto" w:fill="F2F6FC"/>
          </w:tcPr>
          <w:p w14:paraId="5270C885" w14:textId="77777777" w:rsidR="00535AD5" w:rsidRDefault="000F4CA5">
            <w:pPr>
              <w:jc w:val="right"/>
            </w:pPr>
            <w:r>
              <w:rPr>
                <w:rFonts w:ascii="Arial" w:hAnsi="Arial"/>
                <w:sz w:val="18"/>
              </w:rPr>
              <w:t>864,356.23</w:t>
            </w:r>
          </w:p>
        </w:tc>
        <w:tc>
          <w:tcPr>
            <w:tcW w:w="1129" w:type="dxa"/>
            <w:shd w:val="clear" w:color="auto" w:fill="F2F6FC"/>
          </w:tcPr>
          <w:p w14:paraId="4BC98090" w14:textId="77777777" w:rsidR="00535AD5" w:rsidRDefault="000F4CA5">
            <w:pPr>
              <w:jc w:val="right"/>
            </w:pPr>
            <w:r>
              <w:rPr>
                <w:rFonts w:ascii="Arial" w:hAnsi="Arial"/>
                <w:sz w:val="18"/>
              </w:rPr>
              <w:t>5.58%</w:t>
            </w:r>
          </w:p>
        </w:tc>
        <w:tc>
          <w:tcPr>
            <w:tcW w:w="1129" w:type="dxa"/>
            <w:shd w:val="clear" w:color="auto" w:fill="F2F6FC"/>
          </w:tcPr>
          <w:p w14:paraId="0C5603E2" w14:textId="77777777" w:rsidR="00535AD5" w:rsidRDefault="000F4CA5">
            <w:pPr>
              <w:jc w:val="right"/>
            </w:pPr>
            <w:r>
              <w:rPr>
                <w:rFonts w:ascii="Arial" w:hAnsi="Arial"/>
                <w:sz w:val="18"/>
              </w:rPr>
              <w:t>7.888</w:t>
            </w:r>
          </w:p>
        </w:tc>
        <w:tc>
          <w:tcPr>
            <w:tcW w:w="1129" w:type="dxa"/>
            <w:shd w:val="clear" w:color="auto" w:fill="F2F6FC"/>
          </w:tcPr>
          <w:p w14:paraId="5ADFBA56" w14:textId="77777777" w:rsidR="00535AD5" w:rsidRDefault="000F4CA5">
            <w:pPr>
              <w:jc w:val="right"/>
            </w:pPr>
            <w:r>
              <w:rPr>
                <w:rFonts w:ascii="Arial" w:hAnsi="Arial"/>
                <w:sz w:val="18"/>
              </w:rPr>
              <w:t>3.36</w:t>
            </w:r>
          </w:p>
        </w:tc>
      </w:tr>
      <w:tr w:rsidR="00535AD5" w14:paraId="2465F267" w14:textId="77777777">
        <w:trPr>
          <w:jc w:val="center"/>
        </w:trPr>
        <w:tc>
          <w:tcPr>
            <w:tcW w:w="1129" w:type="dxa"/>
          </w:tcPr>
          <w:p w14:paraId="1081352B" w14:textId="77777777" w:rsidR="00535AD5" w:rsidRDefault="000F4CA5">
            <w:r>
              <w:rPr>
                <w:rFonts w:ascii="Arial" w:hAnsi="Arial"/>
                <w:sz w:val="18"/>
              </w:rPr>
              <w:t>Manufacturing - Food &amp; Beverage</w:t>
            </w:r>
          </w:p>
        </w:tc>
        <w:tc>
          <w:tcPr>
            <w:tcW w:w="1129" w:type="dxa"/>
          </w:tcPr>
          <w:p w14:paraId="47E1668C" w14:textId="77777777" w:rsidR="00535AD5" w:rsidRDefault="000F4CA5">
            <w:pPr>
              <w:jc w:val="right"/>
            </w:pPr>
            <w:r>
              <w:rPr>
                <w:rFonts w:ascii="Arial" w:hAnsi="Arial"/>
                <w:sz w:val="18"/>
              </w:rPr>
              <w:t>169.14</w:t>
            </w:r>
          </w:p>
        </w:tc>
        <w:tc>
          <w:tcPr>
            <w:tcW w:w="1129" w:type="dxa"/>
          </w:tcPr>
          <w:p w14:paraId="2D27DDFB" w14:textId="77777777" w:rsidR="00535AD5" w:rsidRDefault="000F4CA5">
            <w:pPr>
              <w:jc w:val="right"/>
            </w:pPr>
            <w:r>
              <w:rPr>
                <w:rFonts w:ascii="Arial" w:hAnsi="Arial"/>
                <w:sz w:val="18"/>
              </w:rPr>
              <w:t>10.97%</w:t>
            </w:r>
          </w:p>
        </w:tc>
        <w:tc>
          <w:tcPr>
            <w:tcW w:w="1129" w:type="dxa"/>
          </w:tcPr>
          <w:p w14:paraId="6D7BA6D8" w14:textId="77777777" w:rsidR="00535AD5" w:rsidRDefault="000F4CA5">
            <w:pPr>
              <w:jc w:val="right"/>
            </w:pPr>
            <w:r>
              <w:rPr>
                <w:rFonts w:ascii="Arial" w:hAnsi="Arial"/>
                <w:sz w:val="18"/>
              </w:rPr>
              <w:t>936,111.21</w:t>
            </w:r>
          </w:p>
        </w:tc>
        <w:tc>
          <w:tcPr>
            <w:tcW w:w="1129" w:type="dxa"/>
          </w:tcPr>
          <w:p w14:paraId="3BBCA34E" w14:textId="77777777" w:rsidR="00535AD5" w:rsidRDefault="000F4CA5">
            <w:pPr>
              <w:jc w:val="right"/>
            </w:pPr>
            <w:r>
              <w:rPr>
                <w:rFonts w:ascii="Arial" w:hAnsi="Arial"/>
                <w:sz w:val="18"/>
              </w:rPr>
              <w:t>653,413.56</w:t>
            </w:r>
          </w:p>
        </w:tc>
        <w:tc>
          <w:tcPr>
            <w:tcW w:w="1129" w:type="dxa"/>
          </w:tcPr>
          <w:p w14:paraId="4ED1C479" w14:textId="77777777" w:rsidR="00535AD5" w:rsidRDefault="000F4CA5">
            <w:pPr>
              <w:jc w:val="right"/>
            </w:pPr>
            <w:r>
              <w:rPr>
                <w:rFonts w:ascii="Arial" w:hAnsi="Arial"/>
                <w:sz w:val="18"/>
              </w:rPr>
              <w:t>4.26%</w:t>
            </w:r>
          </w:p>
        </w:tc>
        <w:tc>
          <w:tcPr>
            <w:tcW w:w="1129" w:type="dxa"/>
          </w:tcPr>
          <w:p w14:paraId="606B2754" w14:textId="77777777" w:rsidR="00535AD5" w:rsidRDefault="000F4CA5">
            <w:pPr>
              <w:jc w:val="right"/>
            </w:pPr>
            <w:r>
              <w:rPr>
                <w:rFonts w:ascii="Arial" w:hAnsi="Arial"/>
                <w:sz w:val="18"/>
              </w:rPr>
              <w:t>5.535</w:t>
            </w:r>
          </w:p>
        </w:tc>
        <w:tc>
          <w:tcPr>
            <w:tcW w:w="1129" w:type="dxa"/>
          </w:tcPr>
          <w:p w14:paraId="09D0A566" w14:textId="77777777" w:rsidR="00535AD5" w:rsidRDefault="000F4CA5">
            <w:pPr>
              <w:jc w:val="right"/>
            </w:pPr>
            <w:r>
              <w:rPr>
                <w:rFonts w:ascii="Arial" w:hAnsi="Arial"/>
                <w:sz w:val="18"/>
              </w:rPr>
              <w:t>3.35</w:t>
            </w:r>
          </w:p>
        </w:tc>
      </w:tr>
      <w:tr w:rsidR="00535AD5" w14:paraId="2CBC7B72" w14:textId="77777777">
        <w:trPr>
          <w:jc w:val="center"/>
        </w:trPr>
        <w:tc>
          <w:tcPr>
            <w:tcW w:w="1129" w:type="dxa"/>
            <w:shd w:val="clear" w:color="auto" w:fill="F2F6FC"/>
          </w:tcPr>
          <w:p w14:paraId="761123AB" w14:textId="77777777" w:rsidR="00535AD5" w:rsidRDefault="000F4CA5">
            <w:r>
              <w:rPr>
                <w:rFonts w:ascii="Arial" w:hAnsi="Arial"/>
                <w:sz w:val="18"/>
              </w:rPr>
              <w:t>**Top 5 Subtotal**</w:t>
            </w:r>
          </w:p>
        </w:tc>
        <w:tc>
          <w:tcPr>
            <w:tcW w:w="1129" w:type="dxa"/>
            <w:shd w:val="clear" w:color="auto" w:fill="F2F6FC"/>
          </w:tcPr>
          <w:p w14:paraId="0A92578D" w14:textId="77777777" w:rsidR="00535AD5" w:rsidRDefault="000F4CA5">
            <w:r>
              <w:rPr>
                <w:rFonts w:ascii="Arial" w:hAnsi="Arial"/>
                <w:sz w:val="18"/>
              </w:rPr>
              <w:t>**643.66**</w:t>
            </w:r>
          </w:p>
        </w:tc>
        <w:tc>
          <w:tcPr>
            <w:tcW w:w="1129" w:type="dxa"/>
            <w:shd w:val="clear" w:color="auto" w:fill="F2F6FC"/>
          </w:tcPr>
          <w:p w14:paraId="2B357C96" w14:textId="77777777" w:rsidR="00535AD5" w:rsidRDefault="000F4CA5">
            <w:r>
              <w:rPr>
                <w:rFonts w:ascii="Arial" w:hAnsi="Arial"/>
                <w:sz w:val="18"/>
              </w:rPr>
              <w:t>**41.76%**</w:t>
            </w:r>
          </w:p>
        </w:tc>
        <w:tc>
          <w:tcPr>
            <w:tcW w:w="1129" w:type="dxa"/>
            <w:shd w:val="clear" w:color="auto" w:fill="F2F6FC"/>
          </w:tcPr>
          <w:p w14:paraId="3DF96175" w14:textId="77777777" w:rsidR="00535AD5" w:rsidRDefault="000F4CA5">
            <w:r>
              <w:rPr>
                <w:rFonts w:ascii="Arial" w:hAnsi="Arial"/>
                <w:sz w:val="18"/>
              </w:rPr>
              <w:t>**21,049,569.01**</w:t>
            </w:r>
          </w:p>
        </w:tc>
        <w:tc>
          <w:tcPr>
            <w:tcW w:w="1129" w:type="dxa"/>
            <w:shd w:val="clear" w:color="auto" w:fill="F2F6FC"/>
          </w:tcPr>
          <w:p w14:paraId="231C8C9D" w14:textId="77777777" w:rsidR="00535AD5" w:rsidRDefault="000F4CA5">
            <w:r>
              <w:rPr>
                <w:rFonts w:ascii="Arial" w:hAnsi="Arial"/>
                <w:sz w:val="18"/>
              </w:rPr>
              <w:t>**14,668,516.58**</w:t>
            </w:r>
          </w:p>
        </w:tc>
        <w:tc>
          <w:tcPr>
            <w:tcW w:w="1129" w:type="dxa"/>
            <w:shd w:val="clear" w:color="auto" w:fill="F2F6FC"/>
          </w:tcPr>
          <w:p w14:paraId="194B24FA" w14:textId="77777777" w:rsidR="00535AD5" w:rsidRDefault="000F4CA5">
            <w:r>
              <w:rPr>
                <w:rFonts w:ascii="Arial" w:hAnsi="Arial"/>
                <w:sz w:val="18"/>
              </w:rPr>
              <w:t>**95.77%**</w:t>
            </w:r>
          </w:p>
        </w:tc>
        <w:tc>
          <w:tcPr>
            <w:tcW w:w="1129" w:type="dxa"/>
            <w:shd w:val="clear" w:color="auto" w:fill="F2F6FC"/>
          </w:tcPr>
          <w:p w14:paraId="72D6384D" w14:textId="77777777" w:rsidR="00535AD5" w:rsidRDefault="000F4CA5">
            <w:r>
              <w:rPr>
                <w:rFonts w:ascii="Arial" w:hAnsi="Arial"/>
                <w:sz w:val="18"/>
              </w:rPr>
              <w:t>**—**</w:t>
            </w:r>
          </w:p>
        </w:tc>
        <w:tc>
          <w:tcPr>
            <w:tcW w:w="1129" w:type="dxa"/>
            <w:shd w:val="clear" w:color="auto" w:fill="F2F6FC"/>
          </w:tcPr>
          <w:p w14:paraId="1F3AC5A1" w14:textId="77777777" w:rsidR="00535AD5" w:rsidRDefault="000F4CA5">
            <w:r>
              <w:rPr>
                <w:rFonts w:ascii="Arial" w:hAnsi="Arial"/>
                <w:sz w:val="18"/>
              </w:rPr>
              <w:t>**3.36**</w:t>
            </w:r>
          </w:p>
        </w:tc>
      </w:tr>
      <w:tr w:rsidR="00535AD5" w14:paraId="7D17884E" w14:textId="77777777">
        <w:trPr>
          <w:jc w:val="center"/>
        </w:trPr>
        <w:tc>
          <w:tcPr>
            <w:tcW w:w="1129" w:type="dxa"/>
          </w:tcPr>
          <w:p w14:paraId="55D8829B" w14:textId="77777777" w:rsidR="00535AD5" w:rsidRDefault="000F4CA5">
            <w:r>
              <w:rPr>
                <w:rFonts w:ascii="Arial" w:hAnsi="Arial"/>
                <w:sz w:val="18"/>
              </w:rPr>
              <w:t>Other Sectors (5 sectors)</w:t>
            </w:r>
          </w:p>
        </w:tc>
        <w:tc>
          <w:tcPr>
            <w:tcW w:w="1129" w:type="dxa"/>
          </w:tcPr>
          <w:p w14:paraId="6E174501" w14:textId="77777777" w:rsidR="00535AD5" w:rsidRDefault="000F4CA5">
            <w:pPr>
              <w:jc w:val="right"/>
            </w:pPr>
            <w:r>
              <w:rPr>
                <w:rFonts w:ascii="Arial" w:hAnsi="Arial"/>
                <w:sz w:val="18"/>
              </w:rPr>
              <w:t>897.52</w:t>
            </w:r>
          </w:p>
        </w:tc>
        <w:tc>
          <w:tcPr>
            <w:tcW w:w="1129" w:type="dxa"/>
          </w:tcPr>
          <w:p w14:paraId="0DBF2942" w14:textId="77777777" w:rsidR="00535AD5" w:rsidRDefault="000F4CA5">
            <w:pPr>
              <w:jc w:val="right"/>
            </w:pPr>
            <w:r>
              <w:rPr>
                <w:rFonts w:ascii="Arial" w:hAnsi="Arial"/>
                <w:sz w:val="18"/>
              </w:rPr>
              <w:t>58.24%</w:t>
            </w:r>
          </w:p>
        </w:tc>
        <w:tc>
          <w:tcPr>
            <w:tcW w:w="1129" w:type="dxa"/>
          </w:tcPr>
          <w:p w14:paraId="799E800C" w14:textId="77777777" w:rsidR="00535AD5" w:rsidRDefault="000F4CA5">
            <w:pPr>
              <w:jc w:val="right"/>
            </w:pPr>
            <w:r>
              <w:rPr>
                <w:rFonts w:ascii="Arial" w:hAnsi="Arial"/>
                <w:sz w:val="18"/>
              </w:rPr>
              <w:t>927,228.29</w:t>
            </w:r>
          </w:p>
        </w:tc>
        <w:tc>
          <w:tcPr>
            <w:tcW w:w="1129" w:type="dxa"/>
          </w:tcPr>
          <w:p w14:paraId="50A3399B" w14:textId="77777777" w:rsidR="00535AD5" w:rsidRDefault="000F4CA5">
            <w:pPr>
              <w:jc w:val="right"/>
            </w:pPr>
            <w:r>
              <w:rPr>
                <w:rFonts w:ascii="Arial" w:hAnsi="Arial"/>
                <w:sz w:val="18"/>
              </w:rPr>
              <w:t>611,657.56</w:t>
            </w:r>
          </w:p>
        </w:tc>
        <w:tc>
          <w:tcPr>
            <w:tcW w:w="1129" w:type="dxa"/>
          </w:tcPr>
          <w:p w14:paraId="20E5C2DB" w14:textId="77777777" w:rsidR="00535AD5" w:rsidRDefault="000F4CA5">
            <w:pPr>
              <w:jc w:val="right"/>
            </w:pPr>
            <w:r>
              <w:rPr>
                <w:rFonts w:ascii="Arial" w:hAnsi="Arial"/>
                <w:sz w:val="18"/>
              </w:rPr>
              <w:t>4.23%</w:t>
            </w:r>
          </w:p>
        </w:tc>
        <w:tc>
          <w:tcPr>
            <w:tcW w:w="1129" w:type="dxa"/>
          </w:tcPr>
          <w:p w14:paraId="29711357" w14:textId="77777777" w:rsidR="00535AD5" w:rsidRDefault="000F4CA5">
            <w:r>
              <w:rPr>
                <w:rFonts w:ascii="Arial" w:hAnsi="Arial"/>
                <w:sz w:val="18"/>
              </w:rPr>
              <w:t>—</w:t>
            </w:r>
          </w:p>
        </w:tc>
        <w:tc>
          <w:tcPr>
            <w:tcW w:w="1129" w:type="dxa"/>
          </w:tcPr>
          <w:p w14:paraId="71FFCAE4" w14:textId="77777777" w:rsidR="00535AD5" w:rsidRDefault="000F4CA5">
            <w:pPr>
              <w:jc w:val="right"/>
            </w:pPr>
            <w:r>
              <w:rPr>
                <w:rFonts w:ascii="Arial" w:hAnsi="Arial"/>
                <w:sz w:val="18"/>
              </w:rPr>
              <w:t>3.32</w:t>
            </w:r>
          </w:p>
        </w:tc>
      </w:tr>
      <w:tr w:rsidR="00535AD5" w14:paraId="5D987433" w14:textId="77777777">
        <w:trPr>
          <w:jc w:val="center"/>
        </w:trPr>
        <w:tc>
          <w:tcPr>
            <w:tcW w:w="1129" w:type="dxa"/>
            <w:shd w:val="clear" w:color="auto" w:fill="F2F6FC"/>
          </w:tcPr>
          <w:p w14:paraId="0AD525BB" w14:textId="77777777" w:rsidR="00535AD5" w:rsidRDefault="000F4CA5">
            <w:r>
              <w:rPr>
                <w:rFonts w:ascii="Arial" w:hAnsi="Arial"/>
                <w:sz w:val="18"/>
              </w:rPr>
              <w:t>**Total Portfolio**</w:t>
            </w:r>
          </w:p>
        </w:tc>
        <w:tc>
          <w:tcPr>
            <w:tcW w:w="1129" w:type="dxa"/>
            <w:shd w:val="clear" w:color="auto" w:fill="F2F6FC"/>
          </w:tcPr>
          <w:p w14:paraId="2E15211F" w14:textId="77777777" w:rsidR="00535AD5" w:rsidRDefault="000F4CA5">
            <w:r>
              <w:rPr>
                <w:rFonts w:ascii="Arial" w:hAnsi="Arial"/>
                <w:sz w:val="18"/>
              </w:rPr>
              <w:t>**1,541.18**</w:t>
            </w:r>
          </w:p>
        </w:tc>
        <w:tc>
          <w:tcPr>
            <w:tcW w:w="1129" w:type="dxa"/>
            <w:shd w:val="clear" w:color="auto" w:fill="F2F6FC"/>
          </w:tcPr>
          <w:p w14:paraId="7BA45FD9" w14:textId="77777777" w:rsidR="00535AD5" w:rsidRDefault="000F4CA5">
            <w:r>
              <w:rPr>
                <w:rFonts w:ascii="Arial" w:hAnsi="Arial"/>
                <w:sz w:val="18"/>
              </w:rPr>
              <w:t>**100.00%**</w:t>
            </w:r>
          </w:p>
        </w:tc>
        <w:tc>
          <w:tcPr>
            <w:tcW w:w="1129" w:type="dxa"/>
            <w:shd w:val="clear" w:color="auto" w:fill="F2F6FC"/>
          </w:tcPr>
          <w:p w14:paraId="6BFE13DF" w14:textId="77777777" w:rsidR="00535AD5" w:rsidRDefault="000F4CA5">
            <w:r>
              <w:rPr>
                <w:rFonts w:ascii="Arial" w:hAnsi="Arial"/>
                <w:sz w:val="18"/>
              </w:rPr>
              <w:t>**21,976,797.3**</w:t>
            </w:r>
          </w:p>
        </w:tc>
        <w:tc>
          <w:tcPr>
            <w:tcW w:w="1129" w:type="dxa"/>
            <w:shd w:val="clear" w:color="auto" w:fill="F2F6FC"/>
          </w:tcPr>
          <w:p w14:paraId="0D4D3E96" w14:textId="77777777" w:rsidR="00535AD5" w:rsidRDefault="000F4CA5">
            <w:r>
              <w:rPr>
                <w:rFonts w:ascii="Arial" w:hAnsi="Arial"/>
                <w:sz w:val="18"/>
              </w:rPr>
              <w:t>**15,280,174.14**</w:t>
            </w:r>
          </w:p>
        </w:tc>
        <w:tc>
          <w:tcPr>
            <w:tcW w:w="1129" w:type="dxa"/>
            <w:shd w:val="clear" w:color="auto" w:fill="F2F6FC"/>
          </w:tcPr>
          <w:p w14:paraId="6766BB9C" w14:textId="77777777" w:rsidR="00535AD5" w:rsidRDefault="000F4CA5">
            <w:r>
              <w:rPr>
                <w:rFonts w:ascii="Arial" w:hAnsi="Arial"/>
                <w:sz w:val="18"/>
              </w:rPr>
              <w:t>**100.00%**</w:t>
            </w:r>
          </w:p>
        </w:tc>
        <w:tc>
          <w:tcPr>
            <w:tcW w:w="1129" w:type="dxa"/>
            <w:shd w:val="clear" w:color="auto" w:fill="F2F6FC"/>
          </w:tcPr>
          <w:p w14:paraId="6B383592" w14:textId="77777777" w:rsidR="00535AD5" w:rsidRDefault="000F4CA5">
            <w:r>
              <w:rPr>
                <w:rFonts w:ascii="Arial" w:hAnsi="Arial"/>
                <w:sz w:val="18"/>
              </w:rPr>
              <w:t>**239.4**</w:t>
            </w:r>
          </w:p>
        </w:tc>
        <w:tc>
          <w:tcPr>
            <w:tcW w:w="1129" w:type="dxa"/>
            <w:shd w:val="clear" w:color="auto" w:fill="F2F6FC"/>
          </w:tcPr>
          <w:p w14:paraId="666C2370" w14:textId="77777777" w:rsidR="00535AD5" w:rsidRDefault="000F4CA5">
            <w:r>
              <w:rPr>
                <w:rFonts w:ascii="Arial" w:hAnsi="Arial"/>
                <w:sz w:val="18"/>
              </w:rPr>
              <w:t>**3.36**</w:t>
            </w:r>
          </w:p>
        </w:tc>
      </w:tr>
    </w:tbl>
    <w:p w14:paraId="3CAEB3AD" w14:textId="77777777" w:rsidR="00535AD5" w:rsidRDefault="000F4CA5">
      <w:r>
        <w:rPr>
          <w:rFonts w:ascii="Arial" w:hAnsi="Arial"/>
          <w:i/>
          <w:sz w:val="16"/>
        </w:rPr>
        <w:t>Source: Source: Internal PCAF calculation system. Gross emissions represent unweighted attribution; weighted emissions apply PCAF confidence factors (0.45-1.00) based on data quality. Emission intensity calculated as gross financed emissions divided by outstanding credit. Portfolio totals include all 10 sectors; 5 additional sectors with &lt;5% emissions share are aggregated under 'Other Sectors'.</w:t>
      </w:r>
    </w:p>
    <w:p w14:paraId="152FC3F3" w14:textId="77777777" w:rsidR="00535AD5" w:rsidRDefault="00535AD5"/>
    <w:p w14:paraId="647CFB6B" w14:textId="77777777" w:rsidR="00535AD5" w:rsidRDefault="000F4CA5">
      <w:r>
        <w:rPr>
          <w:rFonts w:ascii="Arial" w:hAnsi="Arial"/>
          <w:b/>
          <w:sz w:val="20"/>
        </w:rPr>
        <w:t>Table 2: PCAF Data Quality Distribution — 2024</w:t>
      </w:r>
    </w:p>
    <w:tbl>
      <w:tblPr>
        <w:tblW w:w="0" w:type="auto"/>
        <w:jc w:val="center"/>
        <w:tblLook w:val="04A0" w:firstRow="1" w:lastRow="0" w:firstColumn="1" w:lastColumn="0" w:noHBand="0" w:noVBand="1"/>
      </w:tblPr>
      <w:tblGrid>
        <w:gridCol w:w="1806"/>
        <w:gridCol w:w="1806"/>
        <w:gridCol w:w="1806"/>
        <w:gridCol w:w="1806"/>
        <w:gridCol w:w="1806"/>
      </w:tblGrid>
      <w:tr w:rsidR="00535AD5" w14:paraId="415F8CD7" w14:textId="77777777">
        <w:trPr>
          <w:jc w:val="center"/>
        </w:trPr>
        <w:tc>
          <w:tcPr>
            <w:tcW w:w="1806" w:type="dxa"/>
            <w:shd w:val="clear" w:color="auto" w:fill="1B3A6B"/>
          </w:tcPr>
          <w:p w14:paraId="29C63647" w14:textId="77777777" w:rsidR="00535AD5" w:rsidRDefault="000F4CA5">
            <w:r>
              <w:rPr>
                <w:rFonts w:ascii="Arial" w:hAnsi="Arial"/>
                <w:b/>
                <w:color w:val="FFFFFF"/>
                <w:sz w:val="18"/>
              </w:rPr>
              <w:t>PCAF Score</w:t>
            </w:r>
          </w:p>
        </w:tc>
        <w:tc>
          <w:tcPr>
            <w:tcW w:w="1806" w:type="dxa"/>
            <w:shd w:val="clear" w:color="auto" w:fill="1B3A6B"/>
          </w:tcPr>
          <w:p w14:paraId="341D05AE" w14:textId="77777777" w:rsidR="00535AD5" w:rsidRDefault="000F4CA5">
            <w:r>
              <w:rPr>
                <w:rFonts w:ascii="Arial" w:hAnsi="Arial"/>
                <w:b/>
                <w:color w:val="FFFFFF"/>
                <w:sz w:val="18"/>
              </w:rPr>
              <w:t>Data Quality Tier</w:t>
            </w:r>
          </w:p>
        </w:tc>
        <w:tc>
          <w:tcPr>
            <w:tcW w:w="1806" w:type="dxa"/>
            <w:shd w:val="clear" w:color="auto" w:fill="1B3A6B"/>
          </w:tcPr>
          <w:p w14:paraId="586FAD6A" w14:textId="77777777" w:rsidR="00535AD5" w:rsidRDefault="000F4CA5">
            <w:r>
              <w:rPr>
                <w:rFonts w:ascii="Arial" w:hAnsi="Arial"/>
                <w:b/>
                <w:color w:val="FFFFFF"/>
                <w:sz w:val="18"/>
              </w:rPr>
              <w:t>Confidence Factor</w:t>
            </w:r>
          </w:p>
        </w:tc>
        <w:tc>
          <w:tcPr>
            <w:tcW w:w="1806" w:type="dxa"/>
            <w:shd w:val="clear" w:color="auto" w:fill="1B3A6B"/>
          </w:tcPr>
          <w:p w14:paraId="4F5CA71B" w14:textId="77777777" w:rsidR="00535AD5" w:rsidRDefault="000F4CA5">
            <w:r>
              <w:rPr>
                <w:rFonts w:ascii="Arial" w:hAnsi="Arial"/>
                <w:b/>
                <w:color w:val="FFFFFF"/>
                <w:sz w:val="18"/>
              </w:rPr>
              <w:t>% of Portfolio (by Value)</w:t>
            </w:r>
          </w:p>
        </w:tc>
        <w:tc>
          <w:tcPr>
            <w:tcW w:w="1806" w:type="dxa"/>
            <w:shd w:val="clear" w:color="auto" w:fill="1B3A6B"/>
          </w:tcPr>
          <w:p w14:paraId="30838A5B" w14:textId="77777777" w:rsidR="00535AD5" w:rsidRDefault="000F4CA5">
            <w:r>
              <w:rPr>
                <w:rFonts w:ascii="Arial" w:hAnsi="Arial"/>
                <w:b/>
                <w:color w:val="FFFFFF"/>
                <w:sz w:val="18"/>
              </w:rPr>
              <w:t>% of Financed Emissions</w:t>
            </w:r>
          </w:p>
        </w:tc>
      </w:tr>
      <w:tr w:rsidR="00535AD5" w14:paraId="2482D13F" w14:textId="77777777">
        <w:trPr>
          <w:jc w:val="center"/>
        </w:trPr>
        <w:tc>
          <w:tcPr>
            <w:tcW w:w="1806" w:type="dxa"/>
          </w:tcPr>
          <w:p w14:paraId="09AAEE66" w14:textId="77777777" w:rsidR="00535AD5" w:rsidRDefault="000F4CA5">
            <w:pPr>
              <w:jc w:val="right"/>
            </w:pPr>
            <w:r>
              <w:rPr>
                <w:rFonts w:ascii="Arial" w:hAnsi="Arial"/>
                <w:sz w:val="18"/>
              </w:rPr>
              <w:t>1</w:t>
            </w:r>
          </w:p>
        </w:tc>
        <w:tc>
          <w:tcPr>
            <w:tcW w:w="1806" w:type="dxa"/>
          </w:tcPr>
          <w:p w14:paraId="7D886DCE" w14:textId="77777777" w:rsidR="00535AD5" w:rsidRDefault="000F4CA5">
            <w:r>
              <w:rPr>
                <w:rFonts w:ascii="Arial" w:hAnsi="Arial"/>
                <w:sz w:val="18"/>
              </w:rPr>
              <w:t>Verified (CDP/equivalent)</w:t>
            </w:r>
          </w:p>
        </w:tc>
        <w:tc>
          <w:tcPr>
            <w:tcW w:w="1806" w:type="dxa"/>
          </w:tcPr>
          <w:p w14:paraId="75E98539" w14:textId="77777777" w:rsidR="00535AD5" w:rsidRDefault="000F4CA5">
            <w:pPr>
              <w:jc w:val="right"/>
            </w:pPr>
            <w:r>
              <w:rPr>
                <w:rFonts w:ascii="Arial" w:hAnsi="Arial"/>
                <w:sz w:val="18"/>
              </w:rPr>
              <w:t>1.00</w:t>
            </w:r>
          </w:p>
        </w:tc>
        <w:tc>
          <w:tcPr>
            <w:tcW w:w="1806" w:type="dxa"/>
          </w:tcPr>
          <w:p w14:paraId="1AA8D29F" w14:textId="77777777" w:rsidR="00535AD5" w:rsidRDefault="000F4CA5">
            <w:pPr>
              <w:jc w:val="right"/>
            </w:pPr>
            <w:r>
              <w:rPr>
                <w:rFonts w:ascii="Arial" w:hAnsi="Arial"/>
                <w:sz w:val="18"/>
              </w:rPr>
              <w:t>2.1%</w:t>
            </w:r>
          </w:p>
        </w:tc>
        <w:tc>
          <w:tcPr>
            <w:tcW w:w="1806" w:type="dxa"/>
          </w:tcPr>
          <w:p w14:paraId="59A4DB6D" w14:textId="77777777" w:rsidR="00535AD5" w:rsidRDefault="000F4CA5">
            <w:pPr>
              <w:jc w:val="right"/>
            </w:pPr>
            <w:r>
              <w:rPr>
                <w:rFonts w:ascii="Arial" w:hAnsi="Arial"/>
                <w:sz w:val="18"/>
              </w:rPr>
              <w:t>2.8%</w:t>
            </w:r>
          </w:p>
        </w:tc>
      </w:tr>
      <w:tr w:rsidR="00535AD5" w14:paraId="432171D8" w14:textId="77777777">
        <w:trPr>
          <w:jc w:val="center"/>
        </w:trPr>
        <w:tc>
          <w:tcPr>
            <w:tcW w:w="1806" w:type="dxa"/>
            <w:shd w:val="clear" w:color="auto" w:fill="F2F6FC"/>
          </w:tcPr>
          <w:p w14:paraId="49A21FE6" w14:textId="77777777" w:rsidR="00535AD5" w:rsidRDefault="000F4CA5">
            <w:pPr>
              <w:jc w:val="right"/>
            </w:pPr>
            <w:r>
              <w:rPr>
                <w:rFonts w:ascii="Arial" w:hAnsi="Arial"/>
                <w:sz w:val="18"/>
              </w:rPr>
              <w:t>2</w:t>
            </w:r>
          </w:p>
        </w:tc>
        <w:tc>
          <w:tcPr>
            <w:tcW w:w="1806" w:type="dxa"/>
            <w:shd w:val="clear" w:color="auto" w:fill="F2F6FC"/>
          </w:tcPr>
          <w:p w14:paraId="6BAE955E" w14:textId="77777777" w:rsidR="00535AD5" w:rsidRDefault="000F4CA5">
            <w:r>
              <w:rPr>
                <w:rFonts w:ascii="Arial" w:hAnsi="Arial"/>
                <w:sz w:val="18"/>
              </w:rPr>
              <w:t>Reported, unverified</w:t>
            </w:r>
          </w:p>
        </w:tc>
        <w:tc>
          <w:tcPr>
            <w:tcW w:w="1806" w:type="dxa"/>
            <w:shd w:val="clear" w:color="auto" w:fill="F2F6FC"/>
          </w:tcPr>
          <w:p w14:paraId="23A516AF" w14:textId="77777777" w:rsidR="00535AD5" w:rsidRDefault="000F4CA5">
            <w:pPr>
              <w:jc w:val="right"/>
            </w:pPr>
            <w:r>
              <w:rPr>
                <w:rFonts w:ascii="Arial" w:hAnsi="Arial"/>
                <w:sz w:val="18"/>
              </w:rPr>
              <w:t>0.90</w:t>
            </w:r>
          </w:p>
        </w:tc>
        <w:tc>
          <w:tcPr>
            <w:tcW w:w="1806" w:type="dxa"/>
            <w:shd w:val="clear" w:color="auto" w:fill="F2F6FC"/>
          </w:tcPr>
          <w:p w14:paraId="0F6401D5" w14:textId="77777777" w:rsidR="00535AD5" w:rsidRDefault="000F4CA5">
            <w:pPr>
              <w:jc w:val="right"/>
            </w:pPr>
            <w:r>
              <w:rPr>
                <w:rFonts w:ascii="Arial" w:hAnsi="Arial"/>
                <w:sz w:val="18"/>
              </w:rPr>
              <w:t>6.1%</w:t>
            </w:r>
          </w:p>
        </w:tc>
        <w:tc>
          <w:tcPr>
            <w:tcW w:w="1806" w:type="dxa"/>
            <w:shd w:val="clear" w:color="auto" w:fill="F2F6FC"/>
          </w:tcPr>
          <w:p w14:paraId="0AA6FC15" w14:textId="77777777" w:rsidR="00535AD5" w:rsidRDefault="000F4CA5">
            <w:pPr>
              <w:jc w:val="right"/>
            </w:pPr>
            <w:r>
              <w:rPr>
                <w:rFonts w:ascii="Arial" w:hAnsi="Arial"/>
                <w:sz w:val="18"/>
              </w:rPr>
              <w:t>5.4%</w:t>
            </w:r>
          </w:p>
        </w:tc>
      </w:tr>
      <w:tr w:rsidR="00535AD5" w14:paraId="2656C26B" w14:textId="77777777">
        <w:trPr>
          <w:jc w:val="center"/>
        </w:trPr>
        <w:tc>
          <w:tcPr>
            <w:tcW w:w="1806" w:type="dxa"/>
          </w:tcPr>
          <w:p w14:paraId="7519387E" w14:textId="77777777" w:rsidR="00535AD5" w:rsidRDefault="000F4CA5">
            <w:pPr>
              <w:jc w:val="right"/>
            </w:pPr>
            <w:r>
              <w:rPr>
                <w:rFonts w:ascii="Arial" w:hAnsi="Arial"/>
                <w:sz w:val="18"/>
              </w:rPr>
              <w:lastRenderedPageBreak/>
              <w:t>3</w:t>
            </w:r>
          </w:p>
        </w:tc>
        <w:tc>
          <w:tcPr>
            <w:tcW w:w="1806" w:type="dxa"/>
          </w:tcPr>
          <w:p w14:paraId="63992F7C" w14:textId="77777777" w:rsidR="00535AD5" w:rsidRDefault="000F4CA5">
            <w:r>
              <w:rPr>
                <w:rFonts w:ascii="Arial" w:hAnsi="Arial"/>
                <w:sz w:val="18"/>
              </w:rPr>
              <w:t>EEIO + revenue</w:t>
            </w:r>
          </w:p>
        </w:tc>
        <w:tc>
          <w:tcPr>
            <w:tcW w:w="1806" w:type="dxa"/>
          </w:tcPr>
          <w:p w14:paraId="06BF8FAD" w14:textId="77777777" w:rsidR="00535AD5" w:rsidRDefault="000F4CA5">
            <w:pPr>
              <w:jc w:val="right"/>
            </w:pPr>
            <w:r>
              <w:rPr>
                <w:rFonts w:ascii="Arial" w:hAnsi="Arial"/>
                <w:sz w:val="18"/>
              </w:rPr>
              <w:t>0.75</w:t>
            </w:r>
          </w:p>
        </w:tc>
        <w:tc>
          <w:tcPr>
            <w:tcW w:w="1806" w:type="dxa"/>
          </w:tcPr>
          <w:p w14:paraId="7DF79B56" w14:textId="77777777" w:rsidR="00535AD5" w:rsidRDefault="000F4CA5">
            <w:pPr>
              <w:jc w:val="right"/>
            </w:pPr>
            <w:r>
              <w:rPr>
                <w:rFonts w:ascii="Arial" w:hAnsi="Arial"/>
                <w:sz w:val="18"/>
              </w:rPr>
              <w:t>67.4%</w:t>
            </w:r>
          </w:p>
        </w:tc>
        <w:tc>
          <w:tcPr>
            <w:tcW w:w="1806" w:type="dxa"/>
          </w:tcPr>
          <w:p w14:paraId="1F0F3AFD" w14:textId="77777777" w:rsidR="00535AD5" w:rsidRDefault="000F4CA5">
            <w:pPr>
              <w:jc w:val="right"/>
            </w:pPr>
            <w:r>
              <w:rPr>
                <w:rFonts w:ascii="Arial" w:hAnsi="Arial"/>
                <w:sz w:val="18"/>
              </w:rPr>
              <w:t>71.2%</w:t>
            </w:r>
          </w:p>
        </w:tc>
      </w:tr>
      <w:tr w:rsidR="00535AD5" w14:paraId="79D04024" w14:textId="77777777">
        <w:trPr>
          <w:jc w:val="center"/>
        </w:trPr>
        <w:tc>
          <w:tcPr>
            <w:tcW w:w="1806" w:type="dxa"/>
            <w:shd w:val="clear" w:color="auto" w:fill="F2F6FC"/>
          </w:tcPr>
          <w:p w14:paraId="696D59C9" w14:textId="77777777" w:rsidR="00535AD5" w:rsidRDefault="000F4CA5">
            <w:pPr>
              <w:jc w:val="right"/>
            </w:pPr>
            <w:r>
              <w:rPr>
                <w:rFonts w:ascii="Arial" w:hAnsi="Arial"/>
                <w:sz w:val="18"/>
              </w:rPr>
              <w:t>4</w:t>
            </w:r>
          </w:p>
        </w:tc>
        <w:tc>
          <w:tcPr>
            <w:tcW w:w="1806" w:type="dxa"/>
            <w:shd w:val="clear" w:color="auto" w:fill="F2F6FC"/>
          </w:tcPr>
          <w:p w14:paraId="231A68D6" w14:textId="77777777" w:rsidR="00535AD5" w:rsidRDefault="000F4CA5">
            <w:r>
              <w:rPr>
                <w:rFonts w:ascii="Arial" w:hAnsi="Arial"/>
                <w:sz w:val="18"/>
              </w:rPr>
              <w:t>EEIO + assets</w:t>
            </w:r>
          </w:p>
        </w:tc>
        <w:tc>
          <w:tcPr>
            <w:tcW w:w="1806" w:type="dxa"/>
            <w:shd w:val="clear" w:color="auto" w:fill="F2F6FC"/>
          </w:tcPr>
          <w:p w14:paraId="47349409" w14:textId="77777777" w:rsidR="00535AD5" w:rsidRDefault="000F4CA5">
            <w:pPr>
              <w:jc w:val="right"/>
            </w:pPr>
            <w:r>
              <w:rPr>
                <w:rFonts w:ascii="Arial" w:hAnsi="Arial"/>
                <w:sz w:val="18"/>
              </w:rPr>
              <w:t>0.60</w:t>
            </w:r>
          </w:p>
        </w:tc>
        <w:tc>
          <w:tcPr>
            <w:tcW w:w="1806" w:type="dxa"/>
            <w:shd w:val="clear" w:color="auto" w:fill="F2F6FC"/>
          </w:tcPr>
          <w:p w14:paraId="4720033F" w14:textId="77777777" w:rsidR="00535AD5" w:rsidRDefault="000F4CA5">
            <w:pPr>
              <w:jc w:val="right"/>
            </w:pPr>
            <w:r>
              <w:rPr>
                <w:rFonts w:ascii="Arial" w:hAnsi="Arial"/>
                <w:sz w:val="18"/>
              </w:rPr>
              <w:t>18.9%</w:t>
            </w:r>
          </w:p>
        </w:tc>
        <w:tc>
          <w:tcPr>
            <w:tcW w:w="1806" w:type="dxa"/>
            <w:shd w:val="clear" w:color="auto" w:fill="F2F6FC"/>
          </w:tcPr>
          <w:p w14:paraId="322969E5" w14:textId="77777777" w:rsidR="00535AD5" w:rsidRDefault="000F4CA5">
            <w:pPr>
              <w:jc w:val="right"/>
            </w:pPr>
            <w:r>
              <w:rPr>
                <w:rFonts w:ascii="Arial" w:hAnsi="Arial"/>
                <w:sz w:val="18"/>
              </w:rPr>
              <w:t>16.3%</w:t>
            </w:r>
          </w:p>
        </w:tc>
      </w:tr>
      <w:tr w:rsidR="00535AD5" w14:paraId="666BE705" w14:textId="77777777">
        <w:trPr>
          <w:jc w:val="center"/>
        </w:trPr>
        <w:tc>
          <w:tcPr>
            <w:tcW w:w="1806" w:type="dxa"/>
          </w:tcPr>
          <w:p w14:paraId="4539AFFF" w14:textId="77777777" w:rsidR="00535AD5" w:rsidRDefault="000F4CA5">
            <w:pPr>
              <w:jc w:val="right"/>
            </w:pPr>
            <w:r>
              <w:rPr>
                <w:rFonts w:ascii="Arial" w:hAnsi="Arial"/>
                <w:sz w:val="18"/>
              </w:rPr>
              <w:t>5</w:t>
            </w:r>
          </w:p>
        </w:tc>
        <w:tc>
          <w:tcPr>
            <w:tcW w:w="1806" w:type="dxa"/>
          </w:tcPr>
          <w:p w14:paraId="51219A7C" w14:textId="77777777" w:rsidR="00535AD5" w:rsidRDefault="000F4CA5">
            <w:r>
              <w:rPr>
                <w:rFonts w:ascii="Arial" w:hAnsi="Arial"/>
                <w:sz w:val="18"/>
              </w:rPr>
              <w:t>Sector-average proxy</w:t>
            </w:r>
          </w:p>
        </w:tc>
        <w:tc>
          <w:tcPr>
            <w:tcW w:w="1806" w:type="dxa"/>
          </w:tcPr>
          <w:p w14:paraId="11306084" w14:textId="77777777" w:rsidR="00535AD5" w:rsidRDefault="000F4CA5">
            <w:pPr>
              <w:jc w:val="right"/>
            </w:pPr>
            <w:r>
              <w:rPr>
                <w:rFonts w:ascii="Arial" w:hAnsi="Arial"/>
                <w:sz w:val="18"/>
              </w:rPr>
              <w:t>0.45</w:t>
            </w:r>
          </w:p>
        </w:tc>
        <w:tc>
          <w:tcPr>
            <w:tcW w:w="1806" w:type="dxa"/>
          </w:tcPr>
          <w:p w14:paraId="07F356C9" w14:textId="77777777" w:rsidR="00535AD5" w:rsidRDefault="000F4CA5">
            <w:pPr>
              <w:jc w:val="right"/>
            </w:pPr>
            <w:r>
              <w:rPr>
                <w:rFonts w:ascii="Arial" w:hAnsi="Arial"/>
                <w:sz w:val="18"/>
              </w:rPr>
              <w:t>5.5%</w:t>
            </w:r>
          </w:p>
        </w:tc>
        <w:tc>
          <w:tcPr>
            <w:tcW w:w="1806" w:type="dxa"/>
          </w:tcPr>
          <w:p w14:paraId="1D5524A7" w14:textId="77777777" w:rsidR="00535AD5" w:rsidRDefault="000F4CA5">
            <w:pPr>
              <w:jc w:val="right"/>
            </w:pPr>
            <w:r>
              <w:rPr>
                <w:rFonts w:ascii="Arial" w:hAnsi="Arial"/>
                <w:sz w:val="18"/>
              </w:rPr>
              <w:t>4.3%</w:t>
            </w:r>
          </w:p>
        </w:tc>
      </w:tr>
      <w:tr w:rsidR="00535AD5" w14:paraId="77FD4D02" w14:textId="77777777">
        <w:trPr>
          <w:jc w:val="center"/>
        </w:trPr>
        <w:tc>
          <w:tcPr>
            <w:tcW w:w="1806" w:type="dxa"/>
            <w:shd w:val="clear" w:color="auto" w:fill="F2F6FC"/>
          </w:tcPr>
          <w:p w14:paraId="548A882D" w14:textId="77777777" w:rsidR="00535AD5" w:rsidRDefault="000F4CA5">
            <w:r>
              <w:rPr>
                <w:rFonts w:ascii="Arial" w:hAnsi="Arial"/>
                <w:sz w:val="18"/>
              </w:rPr>
              <w:t>**Weighted Average**</w:t>
            </w:r>
          </w:p>
        </w:tc>
        <w:tc>
          <w:tcPr>
            <w:tcW w:w="1806" w:type="dxa"/>
            <w:shd w:val="clear" w:color="auto" w:fill="F2F6FC"/>
          </w:tcPr>
          <w:p w14:paraId="61970CA0" w14:textId="77777777" w:rsidR="00535AD5" w:rsidRDefault="000F4CA5">
            <w:r>
              <w:rPr>
                <w:rFonts w:ascii="Arial" w:hAnsi="Arial"/>
                <w:sz w:val="18"/>
              </w:rPr>
              <w:t>**—**</w:t>
            </w:r>
          </w:p>
        </w:tc>
        <w:tc>
          <w:tcPr>
            <w:tcW w:w="1806" w:type="dxa"/>
            <w:shd w:val="clear" w:color="auto" w:fill="F2F6FC"/>
          </w:tcPr>
          <w:p w14:paraId="7ACC2DA3" w14:textId="77777777" w:rsidR="00535AD5" w:rsidRDefault="000F4CA5">
            <w:r>
              <w:rPr>
                <w:rFonts w:ascii="Arial" w:hAnsi="Arial"/>
                <w:sz w:val="18"/>
              </w:rPr>
              <w:t>**—**</w:t>
            </w:r>
          </w:p>
        </w:tc>
        <w:tc>
          <w:tcPr>
            <w:tcW w:w="1806" w:type="dxa"/>
            <w:shd w:val="clear" w:color="auto" w:fill="F2F6FC"/>
          </w:tcPr>
          <w:p w14:paraId="05FFCC6A" w14:textId="77777777" w:rsidR="00535AD5" w:rsidRDefault="000F4CA5">
            <w:r>
              <w:rPr>
                <w:rFonts w:ascii="Arial" w:hAnsi="Arial"/>
                <w:sz w:val="18"/>
              </w:rPr>
              <w:t>**100.0%**</w:t>
            </w:r>
          </w:p>
        </w:tc>
        <w:tc>
          <w:tcPr>
            <w:tcW w:w="1806" w:type="dxa"/>
            <w:shd w:val="clear" w:color="auto" w:fill="F2F6FC"/>
          </w:tcPr>
          <w:p w14:paraId="4151BE46" w14:textId="77777777" w:rsidR="00535AD5" w:rsidRDefault="000F4CA5">
            <w:r>
              <w:rPr>
                <w:rFonts w:ascii="Arial" w:hAnsi="Arial"/>
                <w:sz w:val="18"/>
              </w:rPr>
              <w:t>**100.0%**</w:t>
            </w:r>
          </w:p>
        </w:tc>
      </w:tr>
    </w:tbl>
    <w:p w14:paraId="4B802DCD" w14:textId="77777777" w:rsidR="00535AD5" w:rsidRDefault="000F4CA5">
      <w:r>
        <w:rPr>
          <w:rFonts w:ascii="Arial" w:hAnsi="Arial"/>
          <w:i/>
          <w:sz w:val="16"/>
        </w:rPr>
        <w:t>Source: Source: PCAF data quality assessment per PCAF Global GHG Accounting Standard (2022) Section 6. Portfolio-weighted average score: 3.36. High-quality data (Score 1-2) represents 8.2% of portfolio by value, below PCAF signatory target of &gt;50%.</w:t>
      </w:r>
    </w:p>
    <w:p w14:paraId="0F69F6DB" w14:textId="77777777" w:rsidR="00535AD5" w:rsidRDefault="00535AD5"/>
    <w:p w14:paraId="6F2FD9D1" w14:textId="77777777" w:rsidR="00535AD5" w:rsidRDefault="000F4CA5">
      <w:r>
        <w:rPr>
          <w:rFonts w:ascii="Arial" w:hAnsi="Arial"/>
          <w:b/>
          <w:sz w:val="20"/>
        </w:rPr>
        <w:t>Table 3: SASB FN-CB-410a.3 — Financed Emissions Summary</w:t>
      </w:r>
    </w:p>
    <w:tbl>
      <w:tblPr>
        <w:tblW w:w="0" w:type="auto"/>
        <w:jc w:val="center"/>
        <w:tblLook w:val="04A0" w:firstRow="1" w:lastRow="0" w:firstColumn="1" w:lastColumn="0" w:noHBand="0" w:noVBand="1"/>
      </w:tblPr>
      <w:tblGrid>
        <w:gridCol w:w="2257"/>
        <w:gridCol w:w="2257"/>
        <w:gridCol w:w="2257"/>
        <w:gridCol w:w="2257"/>
      </w:tblGrid>
      <w:tr w:rsidR="00535AD5" w14:paraId="4AB3EB0C" w14:textId="77777777">
        <w:trPr>
          <w:jc w:val="center"/>
        </w:trPr>
        <w:tc>
          <w:tcPr>
            <w:tcW w:w="2257" w:type="dxa"/>
            <w:shd w:val="clear" w:color="auto" w:fill="1B3A6B"/>
          </w:tcPr>
          <w:p w14:paraId="19C411DA" w14:textId="77777777" w:rsidR="00535AD5" w:rsidRDefault="000F4CA5">
            <w:r>
              <w:rPr>
                <w:rFonts w:ascii="Arial" w:hAnsi="Arial"/>
                <w:b/>
                <w:color w:val="FFFFFF"/>
                <w:sz w:val="18"/>
              </w:rPr>
              <w:t>Metric</w:t>
            </w:r>
          </w:p>
        </w:tc>
        <w:tc>
          <w:tcPr>
            <w:tcW w:w="2257" w:type="dxa"/>
            <w:shd w:val="clear" w:color="auto" w:fill="1B3A6B"/>
          </w:tcPr>
          <w:p w14:paraId="11ED9377" w14:textId="77777777" w:rsidR="00535AD5" w:rsidRDefault="000F4CA5">
            <w:r>
              <w:rPr>
                <w:rFonts w:ascii="Arial" w:hAnsi="Arial"/>
                <w:b/>
                <w:color w:val="FFFFFF"/>
                <w:sz w:val="18"/>
              </w:rPr>
              <w:t>2024 Value</w:t>
            </w:r>
          </w:p>
        </w:tc>
        <w:tc>
          <w:tcPr>
            <w:tcW w:w="2257" w:type="dxa"/>
            <w:shd w:val="clear" w:color="auto" w:fill="1B3A6B"/>
          </w:tcPr>
          <w:p w14:paraId="623F09B4" w14:textId="77777777" w:rsidR="00535AD5" w:rsidRDefault="000F4CA5">
            <w:r>
              <w:rPr>
                <w:rFonts w:ascii="Arial" w:hAnsi="Arial"/>
                <w:b/>
                <w:color w:val="FFFFFF"/>
                <w:sz w:val="18"/>
              </w:rPr>
              <w:t>Unit</w:t>
            </w:r>
          </w:p>
        </w:tc>
        <w:tc>
          <w:tcPr>
            <w:tcW w:w="2257" w:type="dxa"/>
            <w:shd w:val="clear" w:color="auto" w:fill="1B3A6B"/>
          </w:tcPr>
          <w:p w14:paraId="2764378D" w14:textId="77777777" w:rsidR="00535AD5" w:rsidRDefault="000F4CA5">
            <w:r>
              <w:rPr>
                <w:rFonts w:ascii="Arial" w:hAnsi="Arial"/>
                <w:b/>
                <w:color w:val="FFFFFF"/>
                <w:sz w:val="18"/>
              </w:rPr>
              <w:t>Methodology</w:t>
            </w:r>
          </w:p>
        </w:tc>
      </w:tr>
      <w:tr w:rsidR="00535AD5" w14:paraId="4761CA39" w14:textId="77777777">
        <w:trPr>
          <w:jc w:val="center"/>
        </w:trPr>
        <w:tc>
          <w:tcPr>
            <w:tcW w:w="2257" w:type="dxa"/>
          </w:tcPr>
          <w:p w14:paraId="734D087E" w14:textId="77777777" w:rsidR="00535AD5" w:rsidRDefault="000F4CA5">
            <w:r>
              <w:rPr>
                <w:rFonts w:ascii="Arial" w:hAnsi="Arial"/>
                <w:sz w:val="18"/>
              </w:rPr>
              <w:t>Gross Financed Emissions (Scope 3 Cat 15)</w:t>
            </w:r>
          </w:p>
        </w:tc>
        <w:tc>
          <w:tcPr>
            <w:tcW w:w="2257" w:type="dxa"/>
          </w:tcPr>
          <w:p w14:paraId="6D4BC182" w14:textId="77777777" w:rsidR="00535AD5" w:rsidRDefault="000F4CA5">
            <w:pPr>
              <w:jc w:val="right"/>
            </w:pPr>
            <w:r>
              <w:rPr>
                <w:rFonts w:ascii="Arial" w:hAnsi="Arial"/>
                <w:sz w:val="18"/>
              </w:rPr>
              <w:t>21,976,797.3</w:t>
            </w:r>
          </w:p>
        </w:tc>
        <w:tc>
          <w:tcPr>
            <w:tcW w:w="2257" w:type="dxa"/>
          </w:tcPr>
          <w:p w14:paraId="0E4B7C42" w14:textId="77777777" w:rsidR="00535AD5" w:rsidRDefault="000F4CA5">
            <w:r>
              <w:rPr>
                <w:rFonts w:ascii="Arial" w:hAnsi="Arial"/>
                <w:sz w:val="18"/>
              </w:rPr>
              <w:t>tCO2e</w:t>
            </w:r>
          </w:p>
        </w:tc>
        <w:tc>
          <w:tcPr>
            <w:tcW w:w="2257" w:type="dxa"/>
          </w:tcPr>
          <w:p w14:paraId="00EAB657" w14:textId="77777777" w:rsidR="00535AD5" w:rsidRDefault="000F4CA5">
            <w:r>
              <w:rPr>
                <w:rFonts w:ascii="Arial" w:hAnsi="Arial"/>
                <w:sz w:val="18"/>
              </w:rPr>
              <w:t>PCAF attribution factor</w:t>
            </w:r>
          </w:p>
        </w:tc>
      </w:tr>
      <w:tr w:rsidR="00535AD5" w14:paraId="63D85485" w14:textId="77777777">
        <w:trPr>
          <w:jc w:val="center"/>
        </w:trPr>
        <w:tc>
          <w:tcPr>
            <w:tcW w:w="2257" w:type="dxa"/>
            <w:shd w:val="clear" w:color="auto" w:fill="F2F6FC"/>
          </w:tcPr>
          <w:p w14:paraId="0D97C367" w14:textId="77777777" w:rsidR="00535AD5" w:rsidRDefault="000F4CA5">
            <w:r>
              <w:rPr>
                <w:rFonts w:ascii="Arial" w:hAnsi="Arial"/>
                <w:sz w:val="18"/>
              </w:rPr>
              <w:t>Confidence-Weighted Financed Emissions</w:t>
            </w:r>
          </w:p>
        </w:tc>
        <w:tc>
          <w:tcPr>
            <w:tcW w:w="2257" w:type="dxa"/>
            <w:shd w:val="clear" w:color="auto" w:fill="F2F6FC"/>
          </w:tcPr>
          <w:p w14:paraId="12300B6E" w14:textId="77777777" w:rsidR="00535AD5" w:rsidRDefault="000F4CA5">
            <w:pPr>
              <w:jc w:val="right"/>
            </w:pPr>
            <w:r>
              <w:rPr>
                <w:rFonts w:ascii="Arial" w:hAnsi="Arial"/>
                <w:sz w:val="18"/>
              </w:rPr>
              <w:t>15,280,174.14</w:t>
            </w:r>
          </w:p>
        </w:tc>
        <w:tc>
          <w:tcPr>
            <w:tcW w:w="2257" w:type="dxa"/>
            <w:shd w:val="clear" w:color="auto" w:fill="F2F6FC"/>
          </w:tcPr>
          <w:p w14:paraId="5833399A" w14:textId="77777777" w:rsidR="00535AD5" w:rsidRDefault="000F4CA5">
            <w:r>
              <w:rPr>
                <w:rFonts w:ascii="Arial" w:hAnsi="Arial"/>
                <w:sz w:val="18"/>
              </w:rPr>
              <w:t>tCO2e</w:t>
            </w:r>
          </w:p>
        </w:tc>
        <w:tc>
          <w:tcPr>
            <w:tcW w:w="2257" w:type="dxa"/>
            <w:shd w:val="clear" w:color="auto" w:fill="F2F6FC"/>
          </w:tcPr>
          <w:p w14:paraId="40359D17" w14:textId="77777777" w:rsidR="00535AD5" w:rsidRDefault="000F4CA5">
            <w:r>
              <w:rPr>
                <w:rFonts w:ascii="Arial" w:hAnsi="Arial"/>
                <w:sz w:val="18"/>
              </w:rPr>
              <w:t>PCAF with confidence factors</w:t>
            </w:r>
          </w:p>
        </w:tc>
      </w:tr>
      <w:tr w:rsidR="00535AD5" w14:paraId="39973223" w14:textId="77777777">
        <w:trPr>
          <w:jc w:val="center"/>
        </w:trPr>
        <w:tc>
          <w:tcPr>
            <w:tcW w:w="2257" w:type="dxa"/>
          </w:tcPr>
          <w:p w14:paraId="7D2F51FF" w14:textId="77777777" w:rsidR="00535AD5" w:rsidRDefault="000F4CA5">
            <w:r>
              <w:rPr>
                <w:rFonts w:ascii="Arial" w:hAnsi="Arial"/>
                <w:sz w:val="18"/>
              </w:rPr>
              <w:t>Portfolio Coverage</w:t>
            </w:r>
          </w:p>
        </w:tc>
        <w:tc>
          <w:tcPr>
            <w:tcW w:w="2257" w:type="dxa"/>
          </w:tcPr>
          <w:p w14:paraId="1B69A21E" w14:textId="77777777" w:rsidR="00535AD5" w:rsidRDefault="000F4CA5">
            <w:pPr>
              <w:jc w:val="right"/>
            </w:pPr>
            <w:r>
              <w:rPr>
                <w:rFonts w:ascii="Arial" w:hAnsi="Arial"/>
                <w:sz w:val="18"/>
              </w:rPr>
              <w:t>100.0</w:t>
            </w:r>
          </w:p>
        </w:tc>
        <w:tc>
          <w:tcPr>
            <w:tcW w:w="2257" w:type="dxa"/>
          </w:tcPr>
          <w:p w14:paraId="3E7D23C1" w14:textId="77777777" w:rsidR="00535AD5" w:rsidRDefault="000F4CA5">
            <w:r>
              <w:rPr>
                <w:rFonts w:ascii="Arial" w:hAnsi="Arial"/>
                <w:sz w:val="18"/>
              </w:rPr>
              <w:t>%</w:t>
            </w:r>
          </w:p>
        </w:tc>
        <w:tc>
          <w:tcPr>
            <w:tcW w:w="2257" w:type="dxa"/>
          </w:tcPr>
          <w:p w14:paraId="61D16832" w14:textId="77777777" w:rsidR="00535AD5" w:rsidRDefault="000F4CA5">
            <w:r>
              <w:rPr>
                <w:rFonts w:ascii="Arial" w:hAnsi="Arial"/>
                <w:sz w:val="18"/>
              </w:rPr>
              <w:t>Commercial &amp; industrial lending only</w:t>
            </w:r>
          </w:p>
        </w:tc>
      </w:tr>
      <w:tr w:rsidR="00535AD5" w14:paraId="0A64FB2F" w14:textId="77777777">
        <w:trPr>
          <w:jc w:val="center"/>
        </w:trPr>
        <w:tc>
          <w:tcPr>
            <w:tcW w:w="2257" w:type="dxa"/>
            <w:shd w:val="clear" w:color="auto" w:fill="F2F6FC"/>
          </w:tcPr>
          <w:p w14:paraId="786B38BC" w14:textId="77777777" w:rsidR="00535AD5" w:rsidRDefault="000F4CA5">
            <w:r>
              <w:rPr>
                <w:rFonts w:ascii="Arial" w:hAnsi="Arial"/>
                <w:sz w:val="18"/>
              </w:rPr>
              <w:t>Average PCAF Data Quality Score</w:t>
            </w:r>
          </w:p>
        </w:tc>
        <w:tc>
          <w:tcPr>
            <w:tcW w:w="2257" w:type="dxa"/>
            <w:shd w:val="clear" w:color="auto" w:fill="F2F6FC"/>
          </w:tcPr>
          <w:p w14:paraId="446C8433" w14:textId="77777777" w:rsidR="00535AD5" w:rsidRDefault="000F4CA5">
            <w:pPr>
              <w:jc w:val="right"/>
            </w:pPr>
            <w:r>
              <w:rPr>
                <w:rFonts w:ascii="Arial" w:hAnsi="Arial"/>
                <w:sz w:val="18"/>
              </w:rPr>
              <w:t>3.36</w:t>
            </w:r>
          </w:p>
        </w:tc>
        <w:tc>
          <w:tcPr>
            <w:tcW w:w="2257" w:type="dxa"/>
            <w:shd w:val="clear" w:color="auto" w:fill="F2F6FC"/>
          </w:tcPr>
          <w:p w14:paraId="121874C4" w14:textId="77777777" w:rsidR="00535AD5" w:rsidRDefault="000F4CA5">
            <w:r>
              <w:rPr>
                <w:rFonts w:ascii="Arial" w:hAnsi="Arial"/>
                <w:sz w:val="18"/>
              </w:rPr>
              <w:t>Score (1-5)</w:t>
            </w:r>
          </w:p>
        </w:tc>
        <w:tc>
          <w:tcPr>
            <w:tcW w:w="2257" w:type="dxa"/>
            <w:shd w:val="clear" w:color="auto" w:fill="F2F6FC"/>
          </w:tcPr>
          <w:p w14:paraId="4F444DAE" w14:textId="77777777" w:rsidR="00535AD5" w:rsidRDefault="000F4CA5">
            <w:r>
              <w:rPr>
                <w:rFonts w:ascii="Arial" w:hAnsi="Arial"/>
                <w:sz w:val="18"/>
              </w:rPr>
              <w:t>Portfolio-weighted average</w:t>
            </w:r>
          </w:p>
        </w:tc>
      </w:tr>
      <w:tr w:rsidR="00535AD5" w14:paraId="00322EA9" w14:textId="77777777">
        <w:trPr>
          <w:jc w:val="center"/>
        </w:trPr>
        <w:tc>
          <w:tcPr>
            <w:tcW w:w="2257" w:type="dxa"/>
          </w:tcPr>
          <w:p w14:paraId="5F04EDEC" w14:textId="77777777" w:rsidR="00535AD5" w:rsidRDefault="000F4CA5">
            <w:r>
              <w:rPr>
                <w:rFonts w:ascii="Arial" w:hAnsi="Arial"/>
                <w:sz w:val="18"/>
              </w:rPr>
              <w:t>Financed Emissions Intensity</w:t>
            </w:r>
          </w:p>
        </w:tc>
        <w:tc>
          <w:tcPr>
            <w:tcW w:w="2257" w:type="dxa"/>
          </w:tcPr>
          <w:p w14:paraId="5B286B3F" w14:textId="77777777" w:rsidR="00535AD5" w:rsidRDefault="000F4CA5">
            <w:pPr>
              <w:jc w:val="right"/>
            </w:pPr>
            <w:r>
              <w:rPr>
                <w:rFonts w:ascii="Arial" w:hAnsi="Arial"/>
                <w:sz w:val="18"/>
              </w:rPr>
              <w:t>239.4</w:t>
            </w:r>
          </w:p>
        </w:tc>
        <w:tc>
          <w:tcPr>
            <w:tcW w:w="2257" w:type="dxa"/>
          </w:tcPr>
          <w:p w14:paraId="38A73B09" w14:textId="77777777" w:rsidR="00535AD5" w:rsidRDefault="000F4CA5">
            <w:r>
              <w:rPr>
                <w:rFonts w:ascii="Arial" w:hAnsi="Arial"/>
                <w:sz w:val="18"/>
              </w:rPr>
              <w:t>tCO2e/IDR Bn assets</w:t>
            </w:r>
          </w:p>
        </w:tc>
        <w:tc>
          <w:tcPr>
            <w:tcW w:w="2257" w:type="dxa"/>
          </w:tcPr>
          <w:p w14:paraId="0290985F" w14:textId="77777777" w:rsidR="00535AD5" w:rsidRDefault="000F4CA5">
            <w:r>
              <w:rPr>
                <w:rFonts w:ascii="Arial" w:hAnsi="Arial"/>
                <w:sz w:val="18"/>
              </w:rPr>
              <w:t>Gross emissions ÷ total assets</w:t>
            </w:r>
          </w:p>
        </w:tc>
      </w:tr>
    </w:tbl>
    <w:p w14:paraId="2034BB14" w14:textId="77777777" w:rsidR="00535AD5" w:rsidRDefault="000F4CA5">
      <w:r>
        <w:rPr>
          <w:rFonts w:ascii="Arial" w:hAnsi="Arial"/>
          <w:i/>
          <w:sz w:val="16"/>
        </w:rPr>
        <w:t>Source: Source: SASB FN-CB-410a.3 disclosure per SASB Financials Sector Standard (2018). Financed emissions calculated per PCAF Global GHG Accounting Standard (2022). Portfolio coverage excludes retail mortgages, consumer auto loans, and project finance (estimated 23% of total assets).</w:t>
      </w:r>
    </w:p>
    <w:p w14:paraId="21F9A2C9" w14:textId="77777777" w:rsidR="00535AD5" w:rsidRDefault="00535AD5"/>
    <w:p w14:paraId="00E6CF44" w14:textId="77777777" w:rsidR="00535AD5" w:rsidRDefault="000F4CA5">
      <w:r>
        <w:rPr>
          <w:i/>
          <w:color w:val="3D6094"/>
          <w:sz w:val="18"/>
        </w:rPr>
        <w:t>Framework references: IFRS S2 para 29(a)(vi)(2) — Financed emissions disclosure for financial institutions; IFRS S2 para B58-B63 — Guidance on Category 15 emissions for asset management, commercial banking, insurance; SASB FN-CB-410a.3 — Financed emissions (Scope 3 Category 15); PCAF Global GHG Accounting Standard (2022) — Attribution factor methodology; GHG Protocol Corporate Value Chain (Scope 3) Standard (2011) — Category 15 definition; IFRS S2 para 22 — Scenario analysis requirement (1.5°C and 2.0°C pat</w:t>
      </w:r>
      <w:r>
        <w:rPr>
          <w:i/>
          <w:color w:val="3D6094"/>
          <w:sz w:val="18"/>
        </w:rPr>
        <w:t>hways); IFRS S2 para 29(b) — Climate-related transition risks (assets vulnerable); SBTi Financial Institutions Net-Zero Standard (2024) — Target-setting guidance</w:t>
      </w:r>
    </w:p>
    <w:p w14:paraId="31AA19CD" w14:textId="77777777" w:rsidR="00535AD5" w:rsidRDefault="00535AD5">
      <w:pPr>
        <w:pBdr>
          <w:bottom w:val="single" w:sz="6" w:space="1" w:color="999999"/>
        </w:pBdr>
        <w:spacing w:after="80"/>
      </w:pPr>
    </w:p>
    <w:p w14:paraId="65ACACDB"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2C703BAB" w14:textId="77777777" w:rsidR="00535AD5" w:rsidRDefault="000F4CA5">
      <w:pPr>
        <w:spacing w:after="160"/>
        <w:jc w:val="both"/>
      </w:pPr>
      <w:r>
        <w:rPr>
          <w:rFonts w:ascii="Arial" w:hAnsi="Arial"/>
          <w:i/>
          <w:color w:val="646464"/>
          <w:sz w:val="18"/>
        </w:rPr>
        <w:t>Year-over-year comparison is not provided as this is the institution's first year of comprehensive PCAF-aligned financed emissions disclosure. Prior year data (2023) used a different attribution methodology and is not directly comparable.</w:t>
      </w:r>
    </w:p>
    <w:p w14:paraId="68ADD2B4" w14:textId="77777777" w:rsidR="00535AD5" w:rsidRDefault="000F4CA5">
      <w:pPr>
        <w:spacing w:after="160"/>
        <w:jc w:val="both"/>
      </w:pPr>
      <w:r>
        <w:rPr>
          <w:rFonts w:ascii="Arial" w:hAnsi="Arial"/>
          <w:i/>
          <w:color w:val="646464"/>
          <w:sz w:val="18"/>
        </w:rPr>
        <w:t>Portfolio coverage of 100% applies only to commercial and industrial lending (IDR 1,541.18 trillion). Retail mortgages, consumer auto loans, and project finance (estimated IDR 460 trillion, 23% of total assets) are excluded pending PCAF methodology implementation for these asset classes.</w:t>
      </w:r>
    </w:p>
    <w:p w14:paraId="6F793D72" w14:textId="77777777" w:rsidR="00535AD5" w:rsidRDefault="000F4CA5">
      <w:pPr>
        <w:spacing w:after="160"/>
        <w:jc w:val="both"/>
      </w:pPr>
      <w:r>
        <w:rPr>
          <w:rFonts w:ascii="Arial" w:hAnsi="Arial"/>
          <w:i/>
          <w:color w:val="646464"/>
          <w:sz w:val="18"/>
        </w:rPr>
        <w:lastRenderedPageBreak/>
        <w:t>Emission intensity of 239.4 tCO2e per IDR billion is calculated using gross financed emissions divided by total institution assets (not limited to lending portfolio). This metric enables comparison with peer institutions reporting under IFRS S2 cross-industry metrics.</w:t>
      </w:r>
    </w:p>
    <w:p w14:paraId="19373A7F" w14:textId="77777777" w:rsidR="00535AD5" w:rsidRDefault="000F4CA5">
      <w:pPr>
        <w:spacing w:after="160"/>
        <w:jc w:val="both"/>
      </w:pPr>
      <w:r>
        <w:rPr>
          <w:rFonts w:ascii="Arial" w:hAnsi="Arial"/>
          <w:i/>
          <w:color w:val="646464"/>
          <w:sz w:val="18"/>
        </w:rPr>
        <w:t>PCAF confidence factors applied: Score 1 (1.00), Score 2 (0.90), Score 3 (0.75), Score 4 (0.60), Score 5 (0.45). Weighted emissions of 15,280,174.14 tCO2e represent a 30.5% reduction from gross due to data quality adjustments.</w:t>
      </w:r>
    </w:p>
    <w:p w14:paraId="76CBEC2E" w14:textId="77777777" w:rsidR="00535AD5" w:rsidRDefault="000F4CA5">
      <w:pPr>
        <w:spacing w:after="160"/>
        <w:jc w:val="both"/>
      </w:pPr>
      <w:r>
        <w:rPr>
          <w:rFonts w:ascii="Arial" w:hAnsi="Arial"/>
          <w:i/>
          <w:color w:val="646464"/>
          <w:sz w:val="18"/>
        </w:rPr>
        <w:t>Energy - Oil &amp; Gas sector includes upstream exploration, midstream transportation, and downstream refining activities per NACE Rev. 2 Section B (Mining and Quarrying) and Section C19 (Manufacture of Coke and Refined Petroleum Products).</w:t>
      </w:r>
    </w:p>
    <w:p w14:paraId="08309CF2" w14:textId="77777777" w:rsidR="00535AD5" w:rsidRDefault="000F4CA5">
      <w:pPr>
        <w:spacing w:after="160"/>
        <w:jc w:val="both"/>
      </w:pPr>
      <w:r>
        <w:rPr>
          <w:rFonts w:ascii="Arial" w:hAnsi="Arial"/>
          <w:i/>
          <w:color w:val="646464"/>
          <w:sz w:val="18"/>
        </w:rPr>
        <w:t>Manufacturing - Cement sector emissions include Scope 1 process emissions (calcination) and Scope 2 electricity consumption per NACE Rev. 2 Section C23.51 (Manufacture of Cement).</w:t>
      </w:r>
    </w:p>
    <w:p w14:paraId="4C01A9AF" w14:textId="77777777" w:rsidR="00535AD5" w:rsidRDefault="000F4CA5">
      <w:pPr>
        <w:spacing w:after="160"/>
        <w:jc w:val="both"/>
      </w:pPr>
      <w:r>
        <w:rPr>
          <w:rFonts w:ascii="Arial" w:hAnsi="Arial"/>
          <w:i/>
          <w:color w:val="646464"/>
          <w:sz w:val="18"/>
        </w:rPr>
        <w:t>The institution's 2.0°C portfolio temperature trajectory is calculated using PACTA for Banks methodology (2Dii 2023 version), based on sectoral decarbonization pathways from IEA Net Zero by 2050 scenario. This is not an SBTi-validated target.</w:t>
      </w:r>
    </w:p>
    <w:p w14:paraId="76D77A22" w14:textId="77777777" w:rsidR="00535AD5" w:rsidRDefault="000F4CA5">
      <w:r>
        <w:br w:type="page"/>
      </w:r>
    </w:p>
    <w:p w14:paraId="43756935" w14:textId="77777777" w:rsidR="00535AD5" w:rsidRDefault="000F4CA5">
      <w:pPr>
        <w:pStyle w:val="Heading1"/>
        <w:spacing w:after="240"/>
      </w:pPr>
      <w:bookmarkStart w:id="10" w:name="_Toc231920345"/>
      <w:r>
        <w:rPr>
          <w:rFonts w:ascii="Arial" w:hAnsi="Arial"/>
          <w:color w:val="1B3A6B"/>
          <w:sz w:val="36"/>
        </w:rPr>
        <w:lastRenderedPageBreak/>
        <w:t>Climate Targets &amp; Reduction Initiatives</w:t>
      </w:r>
      <w:bookmarkEnd w:id="10"/>
    </w:p>
    <w:p w14:paraId="0A51DDAA" w14:textId="77777777" w:rsidR="00535AD5" w:rsidRDefault="000F4CA5">
      <w:pPr>
        <w:spacing w:after="160"/>
        <w:jc w:val="both"/>
      </w:pPr>
      <w:r>
        <w:rPr>
          <w:rFonts w:ascii="Arial" w:hAnsi="Arial"/>
        </w:rPr>
        <w:t>This data point is not yet captured in the institution's reporting system. Per IFRS S2 paragraphs 33–37, the institution is required to disclose quantitative or qualitative climate-related targets it has set to mitigate or adapt to climate-related risks or maximize climate-related opportunities. This includes greenhouse gas emissions targets (absolute or intensity-based), the metric used, the objective of the target, the part of the entity to which the target applies, the period over which the target applie</w:t>
      </w:r>
      <w:r>
        <w:rPr>
          <w:rFonts w:ascii="Arial" w:hAnsi="Arial"/>
        </w:rPr>
        <w:t>s, the base period from which progress is measured, and any milestones or interim targets.</w:t>
      </w:r>
    </w:p>
    <w:p w14:paraId="01B17A35" w14:textId="77777777" w:rsidR="00535AD5" w:rsidRDefault="000F4CA5">
      <w:pPr>
        <w:spacing w:after="160"/>
        <w:jc w:val="both"/>
      </w:pPr>
      <w:r>
        <w:rPr>
          <w:rFonts w:ascii="Arial" w:hAnsi="Arial"/>
        </w:rPr>
        <w:t>The absence of formally disclosed climate targets represents a material gap in the institution's climate-related disclosures under IFRS S2. While the institution has achieved a 4.07% reduction in total emissions (Scope 1+2+3 Category 15) compared to the prior year, this reduction is not anchored to a strategic target framework with defined base year, target year, and interim milestones. Without quantitative targets, stakeholders cannot assess the institution's commitment to climate action or evaluate progre</w:t>
      </w:r>
      <w:r>
        <w:rPr>
          <w:rFonts w:ascii="Arial" w:hAnsi="Arial"/>
        </w:rPr>
        <w:t>ss against a credible decarbonization pathway.</w:t>
      </w:r>
    </w:p>
    <w:p w14:paraId="10AA069E" w14:textId="77777777" w:rsidR="00535AD5" w:rsidRDefault="000F4CA5">
      <w:pPr>
        <w:spacing w:after="160"/>
        <w:jc w:val="both"/>
      </w:pPr>
      <w:r>
        <w:rPr>
          <w:rFonts w:ascii="Arial" w:hAnsi="Arial"/>
        </w:rPr>
        <w:t>**Peer Benchmark Context**: Leading Indonesian and regional financial institutions have established comprehensive climate target frameworks. Bank Rakyat Indonesia (BRI) became the first Indonesian financial institution to submit a commitment letter to the Science Based Targets initiative (SBTi), establishing a portfolio temperature alignment target of 1.75°C by 2040 with an annual reduction trajectory of 0.0783°C per year. DBS Bank has committed to achieving Net Zero financed emissions by 2050, with interim</w:t>
      </w:r>
      <w:r>
        <w:rPr>
          <w:rFonts w:ascii="Arial" w:hAnsi="Arial"/>
        </w:rPr>
        <w:t xml:space="preserve"> targets for 2030 covering operational emissions (Scope 1+2) and priority financed emissions sectors. Bank Central Asia (BCA) has implemented sectoral credit policies for carbon-intensive industries including coal, palm oil, cement, and oil &amp; gas, supported by enhanced Environmental and Social Risk Management (ESRM) screening protocols.</w:t>
      </w:r>
    </w:p>
    <w:p w14:paraId="65CC9A30" w14:textId="77777777" w:rsidR="00535AD5" w:rsidRDefault="000F4CA5">
      <w:pPr>
        <w:spacing w:after="160"/>
        <w:jc w:val="both"/>
      </w:pPr>
      <w:r>
        <w:rPr>
          <w:rFonts w:ascii="Arial" w:hAnsi="Arial"/>
        </w:rPr>
        <w:t>**Recommended Target-Setting Framework**: Based on peer practices and the institution's current emissions profile (Scope 1: 3,402.997 tCO2e; Scope 2: 44,612.518 tCO2e market-based; Scope 3 Category 15: 15,280,174.14 tCO2e weighted), the following target structure is recommended: (1) **Scope 1+2 Absolute Target**: Achieve 30% reduction in operational emissions by 2030 versus 2024 baseline (target: 33,611 tCO2e by 2030 from current 48,015.515 tCO2e), aligned with 1.5°C pathway requirements; (2) **Scope 3 Cate</w:t>
      </w:r>
      <w:r>
        <w:rPr>
          <w:rFonts w:ascii="Arial" w:hAnsi="Arial"/>
        </w:rPr>
        <w:t>gory 15 Intensity Target**: Reduce financed emissions intensity by 25% by 2030 versus 2024 baseline (target: 179.55 tCO2e per IDR billion from current 239.40 tCO2e per IDR billion), with sector-specific sub-targets for Energy - Oil &amp; Gas (43.56% of financed emissions), Manufacturing - Cement (26.45%), and Manufacturing - Steel (15.92%); (3) **Net Zero Commitment**: Establish 2050 Net Zero target for Scope 1+2+3 Category 15, with interim milestones at 2027 (15% reduction) and 2030 (30% reduction); (4) **SBTi</w:t>
      </w:r>
      <w:r>
        <w:rPr>
          <w:rFonts w:ascii="Arial" w:hAnsi="Arial"/>
        </w:rPr>
        <w:t xml:space="preserve"> Validation**: Submit commitment letter to SBTi within 12 months and complete target validation within 24 months, following BRI's precedent as the first Indonesian financial institution to pursue science-based targets.</w:t>
      </w:r>
    </w:p>
    <w:p w14:paraId="75441C85" w14:textId="77777777" w:rsidR="00535AD5" w:rsidRDefault="000F4CA5">
      <w:pPr>
        <w:spacing w:after="160"/>
        <w:jc w:val="both"/>
      </w:pPr>
      <w:r>
        <w:rPr>
          <w:rFonts w:ascii="Arial" w:hAnsi="Arial"/>
          <w:i/>
        </w:rPr>
        <w:t xml:space="preserve">**Decarbonization Levers by Scope** (per IFRS S2 paragraph 33(d) requirement to describe how the entity intends to meet its targets): For **Scope 1** reduction, priority initiatives include: (a) biodiesel B35+ adoption for backup generators at all facilities, expected to reduce diesel-related emissions by 15–20% (estimated 330–440 tCO2e annual reduction); </w:t>
      </w:r>
      <w:r>
        <w:rPr>
          <w:rFonts w:ascii="Arial" w:hAnsi="Arial"/>
          <w:i/>
        </w:rPr>
        <w:lastRenderedPageBreak/>
        <w:t>(b) fleet electrification program targeting 25% of vehicle fleet conversion to electric vehicles by 2030, referencing BRI's implementation of 118 electric cars and 150 electric motorcycles; (c) phase-out of diesel generators at facilities with reliable grid access, prioritizing the top 10 emitting facilities (FAC-0197 through FAC-0208) which collectively account for 988.41 tCO2e or 29.05% of total Scope 1 emissions. For **Scope 2** reduction, priority initiatives include: (a) renewable energy procurement vi</w:t>
      </w:r>
      <w:r>
        <w:rPr>
          <w:rFonts w:ascii="Arial" w:hAnsi="Arial"/>
          <w:i/>
        </w:rPr>
        <w:t>a Power Purchase Agreements (PPAs) targeting 30% renewable electricity by 2030 (current: 0%), benchmarked against DBS Bank's achievement of 62% renewable energy; (b) energy efficiency retrofits including LED lighting, HVAC optimization, and auto-shutdown systems across all branches, referencing BRI's 19.49% electricity savings achievement through green building practices; (c) green building certification for new construction and major renovations, targeting GBCI Gold standard per BRI's precedent; (d) on-sit</w:t>
      </w:r>
      <w:r>
        <w:rPr>
          <w:rFonts w:ascii="Arial" w:hAnsi="Arial"/>
          <w:i/>
        </w:rPr>
        <w:t>e solar photovoltaic installation at suitable branch locations, prioritizing high-consumption facilities. For **Scope 3 Category 15** (financed emissions) reduction, priority initiatives include: (a) enhanced ESRM screening for new loans in carbon-intensive sectors, with mandatory climate risk assessment for exposures exceeding IDR 50 billion; (b) sectoral credit policies establishing exposure limits and phase-out timelines for coal power generation, coal mining, and upstream oil &amp; gas, following BCA's sect</w:t>
      </w:r>
      <w:r>
        <w:rPr>
          <w:rFonts w:ascii="Arial" w:hAnsi="Arial"/>
          <w:i/>
        </w:rPr>
        <w:t>oral policy framework; (c) client engagement program for top 50 emitting borrowers (representing approximately 70% of financed emissions), requiring transition plans and annual emissions reporting; (d) green finance product development including sustainability-linked loans with interest rate incentives tied to borrower emissions reduction performance; (e) portfolio temperature alignment monitoring and steering, targeting 1.75°C alignment by 2040 per BRI's SBTi pathway.</w:t>
      </w:r>
    </w:p>
    <w:p w14:paraId="51070889" w14:textId="77777777" w:rsidR="00535AD5" w:rsidRDefault="000F4CA5">
      <w:pPr>
        <w:spacing w:after="160"/>
        <w:jc w:val="both"/>
      </w:pPr>
      <w:r>
        <w:rPr>
          <w:rFonts w:ascii="Arial" w:hAnsi="Arial"/>
          <w:i/>
          <w:color w:val="555555"/>
        </w:rPr>
        <w:t>**Implementation Timeline and Governance**: Target-setting process should follow this phased approach: **Phase 1 (Months 1–6)**: Establish Board-level climate target approval process; conduct baseline verification and data quality enhancement for 2024 emissions inventory; engage external consultant for SBTi target modeling and scenario analysis; develop sectoral decarbonization pathways for Energy - Oil &amp; Gas, Manufacturing - Cement, and Manufacturing - Steel portfolios. **Phase 2 (Months 7–12)**: Submit SB</w:t>
      </w:r>
      <w:r>
        <w:rPr>
          <w:rFonts w:ascii="Arial" w:hAnsi="Arial"/>
          <w:i/>
          <w:color w:val="555555"/>
        </w:rPr>
        <w:t>Ti commitment letter; finalize Scope 1+2 absolute targets and Scope 3 Category 15 intensity targets; establish interim milestone framework (2027, 2030); develop decarbonization initiative roadmap with capital expenditure requirements; obtain Board approval for climate targets and Net Zero commitment. **Phase 3 (Months 13–24)**: Submit targets to SBTi for validation; implement governance structure for target monitoring (quarterly reporting to Board Risk Committee); launch client engagement program for high-e</w:t>
      </w:r>
      <w:r>
        <w:rPr>
          <w:rFonts w:ascii="Arial" w:hAnsi="Arial"/>
          <w:i/>
          <w:color w:val="555555"/>
        </w:rPr>
        <w:t>mitting borrowers; initiate renewable energy procurement process; publish updated climate strategy and targets in next annual sustainability report. This timeline aligns with IFRS S2 paragraph 37 requirement to disclose information about the reporting period in which climate-related targets were set or revised.</w:t>
      </w:r>
    </w:p>
    <w:p w14:paraId="15DF511B" w14:textId="77777777" w:rsidR="00535AD5" w:rsidRDefault="000F4CA5">
      <w:pPr>
        <w:spacing w:after="160"/>
        <w:jc w:val="both"/>
      </w:pPr>
      <w:r>
        <w:rPr>
          <w:rFonts w:ascii="Arial" w:hAnsi="Arial"/>
          <w:i/>
        </w:rPr>
        <w:t>**Carbon Offset Strategy Considerations**: While no carbon offset strategy is currently defined, IFRS S2 paragraph 33(g) requires disclosure of whether the entity plans to use carbon credits to offset greenhouse gas emissions to achieve its targets. Best practice guidance from the Science Based Targets initiative recommends that carbon offsets should not exceed 20% of gross emissions reductions and should only be used for residual emissions after all feasible abatement measures have been implemented. If the</w:t>
      </w:r>
      <w:r>
        <w:rPr>
          <w:rFonts w:ascii="Arial" w:hAnsi="Arial"/>
          <w:i/>
        </w:rPr>
        <w:t xml:space="preserve"> institution pursues a Net Zero by 2050 target, a carbon offset strategy should be developed for the </w:t>
      </w:r>
      <w:r>
        <w:rPr>
          <w:rFonts w:ascii="Arial" w:hAnsi="Arial"/>
          <w:i/>
        </w:rPr>
        <w:lastRenderedPageBreak/>
        <w:t>2040–2050 period to address residual emissions in hard-to-abate financed emissions sectors. Priority should be given to high-quality, permanent carbon removal credits (e.g., direct air capture, enhanced weathering) rather than avoidance credits, with certification under Verra VCS or Gold Standard schemes. Any offset use must be disclosed separately from gross emissions reductions to maintain transparency per</w:t>
      </w:r>
      <w:r>
        <w:rPr>
          <w:rFonts w:ascii="Arial" w:hAnsi="Arial"/>
          <w:i/>
        </w:rPr>
        <w:t xml:space="preserve"> IFRS S2 requirements.</w:t>
      </w:r>
    </w:p>
    <w:p w14:paraId="33372A6A" w14:textId="77777777" w:rsidR="00535AD5" w:rsidRDefault="000F4CA5">
      <w:r>
        <w:rPr>
          <w:rFonts w:ascii="Arial" w:hAnsi="Arial"/>
          <w:b/>
          <w:sz w:val="20"/>
        </w:rPr>
        <w:t>Table 1: Disclosure Gap Analysis — Climate Targets Required Under IFRS S2</w:t>
      </w:r>
    </w:p>
    <w:tbl>
      <w:tblPr>
        <w:tblW w:w="0" w:type="auto"/>
        <w:jc w:val="center"/>
        <w:tblLook w:val="04A0" w:firstRow="1" w:lastRow="0" w:firstColumn="1" w:lastColumn="0" w:noHBand="0" w:noVBand="1"/>
      </w:tblPr>
      <w:tblGrid>
        <w:gridCol w:w="3088"/>
        <w:gridCol w:w="1461"/>
        <w:gridCol w:w="1422"/>
        <w:gridCol w:w="1615"/>
        <w:gridCol w:w="1659"/>
      </w:tblGrid>
      <w:tr w:rsidR="00535AD5" w14:paraId="175E5169" w14:textId="77777777">
        <w:trPr>
          <w:jc w:val="center"/>
        </w:trPr>
        <w:tc>
          <w:tcPr>
            <w:tcW w:w="1806" w:type="dxa"/>
            <w:shd w:val="clear" w:color="auto" w:fill="1B3A6B"/>
          </w:tcPr>
          <w:p w14:paraId="6662E16C" w14:textId="77777777" w:rsidR="00535AD5" w:rsidRDefault="000F4CA5">
            <w:r>
              <w:rPr>
                <w:rFonts w:ascii="Arial" w:hAnsi="Arial"/>
                <w:b/>
                <w:color w:val="FFFFFF"/>
                <w:sz w:val="18"/>
              </w:rPr>
              <w:t>IFRS S2 Requirement</w:t>
            </w:r>
          </w:p>
        </w:tc>
        <w:tc>
          <w:tcPr>
            <w:tcW w:w="1806" w:type="dxa"/>
            <w:shd w:val="clear" w:color="auto" w:fill="1B3A6B"/>
          </w:tcPr>
          <w:p w14:paraId="7A6EDFEC" w14:textId="77777777" w:rsidR="00535AD5" w:rsidRDefault="000F4CA5">
            <w:r>
              <w:rPr>
                <w:rFonts w:ascii="Arial" w:hAnsi="Arial"/>
                <w:b/>
                <w:color w:val="FFFFFF"/>
                <w:sz w:val="18"/>
              </w:rPr>
              <w:t>Paragraph Reference</w:t>
            </w:r>
          </w:p>
        </w:tc>
        <w:tc>
          <w:tcPr>
            <w:tcW w:w="1806" w:type="dxa"/>
            <w:shd w:val="clear" w:color="auto" w:fill="1B3A6B"/>
          </w:tcPr>
          <w:p w14:paraId="0A914BF6" w14:textId="77777777" w:rsidR="00535AD5" w:rsidRDefault="000F4CA5">
            <w:r>
              <w:rPr>
                <w:rFonts w:ascii="Arial" w:hAnsi="Arial"/>
                <w:b/>
                <w:color w:val="FFFFFF"/>
                <w:sz w:val="18"/>
              </w:rPr>
              <w:t>Current Status</w:t>
            </w:r>
          </w:p>
        </w:tc>
        <w:tc>
          <w:tcPr>
            <w:tcW w:w="1806" w:type="dxa"/>
            <w:shd w:val="clear" w:color="auto" w:fill="1B3A6B"/>
          </w:tcPr>
          <w:p w14:paraId="031BCD26" w14:textId="77777777" w:rsidR="00535AD5" w:rsidRDefault="000F4CA5">
            <w:r>
              <w:rPr>
                <w:rFonts w:ascii="Arial" w:hAnsi="Arial"/>
                <w:b/>
                <w:color w:val="FFFFFF"/>
                <w:sz w:val="18"/>
              </w:rPr>
              <w:t>Peer Benchmark</w:t>
            </w:r>
          </w:p>
        </w:tc>
        <w:tc>
          <w:tcPr>
            <w:tcW w:w="1806" w:type="dxa"/>
            <w:shd w:val="clear" w:color="auto" w:fill="1B3A6B"/>
          </w:tcPr>
          <w:p w14:paraId="5C99E7CB" w14:textId="77777777" w:rsidR="00535AD5" w:rsidRDefault="000F4CA5">
            <w:r>
              <w:rPr>
                <w:rFonts w:ascii="Arial" w:hAnsi="Arial"/>
                <w:b/>
                <w:color w:val="FFFFFF"/>
                <w:sz w:val="18"/>
              </w:rPr>
              <w:t>Recommended Action</w:t>
            </w:r>
          </w:p>
        </w:tc>
      </w:tr>
      <w:tr w:rsidR="00535AD5" w14:paraId="2990A6D3" w14:textId="77777777">
        <w:trPr>
          <w:jc w:val="center"/>
        </w:trPr>
        <w:tc>
          <w:tcPr>
            <w:tcW w:w="1806" w:type="dxa"/>
          </w:tcPr>
          <w:p w14:paraId="1865DA86" w14:textId="77777777" w:rsidR="00535AD5" w:rsidRDefault="000F4CA5">
            <w:r>
              <w:rPr>
                <w:rFonts w:ascii="Arial" w:hAnsi="Arial"/>
                <w:sz w:val="18"/>
              </w:rPr>
              <w:t>Quantitative GHG emissions target (absolute or intensity)</w:t>
            </w:r>
          </w:p>
        </w:tc>
        <w:tc>
          <w:tcPr>
            <w:tcW w:w="1806" w:type="dxa"/>
          </w:tcPr>
          <w:p w14:paraId="167D150F" w14:textId="77777777" w:rsidR="00535AD5" w:rsidRDefault="000F4CA5">
            <w:r>
              <w:rPr>
                <w:rFonts w:ascii="Arial" w:hAnsi="Arial"/>
                <w:sz w:val="18"/>
              </w:rPr>
              <w:t>Para 33(a)</w:t>
            </w:r>
          </w:p>
        </w:tc>
        <w:tc>
          <w:tcPr>
            <w:tcW w:w="1806" w:type="dxa"/>
          </w:tcPr>
          <w:p w14:paraId="579D93C6" w14:textId="77777777" w:rsidR="00535AD5" w:rsidRDefault="000F4CA5">
            <w:r>
              <w:rPr>
                <w:rFonts w:ascii="Arial" w:hAnsi="Arial"/>
                <w:sz w:val="18"/>
              </w:rPr>
              <w:t>Not disclosed</w:t>
            </w:r>
          </w:p>
        </w:tc>
        <w:tc>
          <w:tcPr>
            <w:tcW w:w="1806" w:type="dxa"/>
          </w:tcPr>
          <w:p w14:paraId="533AFD07" w14:textId="77777777" w:rsidR="00535AD5" w:rsidRDefault="000F4CA5">
            <w:r>
              <w:rPr>
                <w:rFonts w:ascii="Arial" w:hAnsi="Arial"/>
                <w:sz w:val="18"/>
              </w:rPr>
              <w:t>BRI: 1.75°C portfolio temp by 2040; DBS: Net Zero by 2050</w:t>
            </w:r>
          </w:p>
        </w:tc>
        <w:tc>
          <w:tcPr>
            <w:tcW w:w="1806" w:type="dxa"/>
          </w:tcPr>
          <w:p w14:paraId="1909D72D" w14:textId="77777777" w:rsidR="00535AD5" w:rsidRDefault="000F4CA5">
            <w:r>
              <w:rPr>
                <w:rFonts w:ascii="Arial" w:hAnsi="Arial"/>
                <w:sz w:val="18"/>
              </w:rPr>
              <w:t>Set 30% Scope 1+2 reduction by 2030 vs 2024 baseline</w:t>
            </w:r>
          </w:p>
        </w:tc>
      </w:tr>
      <w:tr w:rsidR="00535AD5" w14:paraId="501BC573" w14:textId="77777777">
        <w:trPr>
          <w:jc w:val="center"/>
        </w:trPr>
        <w:tc>
          <w:tcPr>
            <w:tcW w:w="1806" w:type="dxa"/>
            <w:shd w:val="clear" w:color="auto" w:fill="F2F6FC"/>
          </w:tcPr>
          <w:p w14:paraId="2D5CBF73" w14:textId="77777777" w:rsidR="00535AD5" w:rsidRDefault="000F4CA5">
            <w:r>
              <w:rPr>
                <w:rFonts w:ascii="Arial" w:hAnsi="Arial"/>
                <w:sz w:val="18"/>
              </w:rPr>
              <w:t>Metric used to set target</w:t>
            </w:r>
          </w:p>
        </w:tc>
        <w:tc>
          <w:tcPr>
            <w:tcW w:w="1806" w:type="dxa"/>
            <w:shd w:val="clear" w:color="auto" w:fill="F2F6FC"/>
          </w:tcPr>
          <w:p w14:paraId="5A296D9A" w14:textId="77777777" w:rsidR="00535AD5" w:rsidRDefault="000F4CA5">
            <w:r>
              <w:rPr>
                <w:rFonts w:ascii="Arial" w:hAnsi="Arial"/>
                <w:sz w:val="18"/>
              </w:rPr>
              <w:t>Para 33(b)</w:t>
            </w:r>
          </w:p>
        </w:tc>
        <w:tc>
          <w:tcPr>
            <w:tcW w:w="1806" w:type="dxa"/>
            <w:shd w:val="clear" w:color="auto" w:fill="F2F6FC"/>
          </w:tcPr>
          <w:p w14:paraId="025E8A16" w14:textId="77777777" w:rsidR="00535AD5" w:rsidRDefault="000F4CA5">
            <w:r>
              <w:rPr>
                <w:rFonts w:ascii="Arial" w:hAnsi="Arial"/>
                <w:sz w:val="18"/>
              </w:rPr>
              <w:t>Not disclosed</w:t>
            </w:r>
          </w:p>
        </w:tc>
        <w:tc>
          <w:tcPr>
            <w:tcW w:w="1806" w:type="dxa"/>
            <w:shd w:val="clear" w:color="auto" w:fill="F2F6FC"/>
          </w:tcPr>
          <w:p w14:paraId="7FE418FF" w14:textId="77777777" w:rsidR="00535AD5" w:rsidRDefault="000F4CA5">
            <w:r>
              <w:rPr>
                <w:rFonts w:ascii="Arial" w:hAnsi="Arial"/>
                <w:sz w:val="18"/>
              </w:rPr>
              <w:t>BRI: Portfolio temperature (°C); DBS: Absolute tCO2e + intensity</w:t>
            </w:r>
          </w:p>
        </w:tc>
        <w:tc>
          <w:tcPr>
            <w:tcW w:w="1806" w:type="dxa"/>
            <w:shd w:val="clear" w:color="auto" w:fill="F2F6FC"/>
          </w:tcPr>
          <w:p w14:paraId="6C9FF8E1" w14:textId="77777777" w:rsidR="00535AD5" w:rsidRDefault="000F4CA5">
            <w:r>
              <w:rPr>
                <w:rFonts w:ascii="Arial" w:hAnsi="Arial"/>
                <w:sz w:val="18"/>
              </w:rPr>
              <w:t>Use absolute tCO2e for Scope 1+2; intensity (tCO2e/IDR bn) for Scope 3</w:t>
            </w:r>
          </w:p>
        </w:tc>
      </w:tr>
      <w:tr w:rsidR="00535AD5" w14:paraId="24C05411" w14:textId="77777777">
        <w:trPr>
          <w:jc w:val="center"/>
        </w:trPr>
        <w:tc>
          <w:tcPr>
            <w:tcW w:w="1806" w:type="dxa"/>
          </w:tcPr>
          <w:p w14:paraId="5472B467" w14:textId="77777777" w:rsidR="00535AD5" w:rsidRDefault="000F4CA5">
            <w:r>
              <w:rPr>
                <w:rFonts w:ascii="Arial" w:hAnsi="Arial"/>
                <w:sz w:val="18"/>
              </w:rPr>
              <w:t>Objective of target (mitigation/adaptation/conformance)</w:t>
            </w:r>
          </w:p>
        </w:tc>
        <w:tc>
          <w:tcPr>
            <w:tcW w:w="1806" w:type="dxa"/>
          </w:tcPr>
          <w:p w14:paraId="4F7FB546" w14:textId="77777777" w:rsidR="00535AD5" w:rsidRDefault="000F4CA5">
            <w:r>
              <w:rPr>
                <w:rFonts w:ascii="Arial" w:hAnsi="Arial"/>
                <w:sz w:val="18"/>
              </w:rPr>
              <w:t>Para 33(c)</w:t>
            </w:r>
          </w:p>
        </w:tc>
        <w:tc>
          <w:tcPr>
            <w:tcW w:w="1806" w:type="dxa"/>
          </w:tcPr>
          <w:p w14:paraId="715A20CF" w14:textId="77777777" w:rsidR="00535AD5" w:rsidRDefault="000F4CA5">
            <w:r>
              <w:rPr>
                <w:rFonts w:ascii="Arial" w:hAnsi="Arial"/>
                <w:sz w:val="18"/>
              </w:rPr>
              <w:t>Not disclosed</w:t>
            </w:r>
          </w:p>
        </w:tc>
        <w:tc>
          <w:tcPr>
            <w:tcW w:w="1806" w:type="dxa"/>
          </w:tcPr>
          <w:p w14:paraId="29A991FF" w14:textId="77777777" w:rsidR="00535AD5" w:rsidRDefault="000F4CA5">
            <w:r>
              <w:rPr>
                <w:rFonts w:ascii="Arial" w:hAnsi="Arial"/>
                <w:sz w:val="18"/>
              </w:rPr>
              <w:t>BRI: Mitigation aligned with Paris Agreement 1.5°C</w:t>
            </w:r>
          </w:p>
        </w:tc>
        <w:tc>
          <w:tcPr>
            <w:tcW w:w="1806" w:type="dxa"/>
          </w:tcPr>
          <w:p w14:paraId="6952B395" w14:textId="77777777" w:rsidR="00535AD5" w:rsidRDefault="000F4CA5">
            <w:r>
              <w:rPr>
                <w:rFonts w:ascii="Arial" w:hAnsi="Arial"/>
                <w:sz w:val="18"/>
              </w:rPr>
              <w:t>State mitigation objective aligned with 1.5°C pathway</w:t>
            </w:r>
          </w:p>
        </w:tc>
      </w:tr>
      <w:tr w:rsidR="00535AD5" w14:paraId="01327DD7" w14:textId="77777777">
        <w:trPr>
          <w:jc w:val="center"/>
        </w:trPr>
        <w:tc>
          <w:tcPr>
            <w:tcW w:w="1806" w:type="dxa"/>
            <w:shd w:val="clear" w:color="auto" w:fill="F2F6FC"/>
          </w:tcPr>
          <w:p w14:paraId="0165CA19" w14:textId="77777777" w:rsidR="00535AD5" w:rsidRDefault="000F4CA5">
            <w:r>
              <w:rPr>
                <w:rFonts w:ascii="Arial" w:hAnsi="Arial"/>
                <w:sz w:val="18"/>
              </w:rPr>
              <w:t>Part of entity to which target applies</w:t>
            </w:r>
          </w:p>
        </w:tc>
        <w:tc>
          <w:tcPr>
            <w:tcW w:w="1806" w:type="dxa"/>
            <w:shd w:val="clear" w:color="auto" w:fill="F2F6FC"/>
          </w:tcPr>
          <w:p w14:paraId="3906E438" w14:textId="77777777" w:rsidR="00535AD5" w:rsidRDefault="000F4CA5">
            <w:r>
              <w:rPr>
                <w:rFonts w:ascii="Arial" w:hAnsi="Arial"/>
                <w:sz w:val="18"/>
              </w:rPr>
              <w:t>Para 33(d)</w:t>
            </w:r>
          </w:p>
        </w:tc>
        <w:tc>
          <w:tcPr>
            <w:tcW w:w="1806" w:type="dxa"/>
            <w:shd w:val="clear" w:color="auto" w:fill="F2F6FC"/>
          </w:tcPr>
          <w:p w14:paraId="586E0898" w14:textId="77777777" w:rsidR="00535AD5" w:rsidRDefault="000F4CA5">
            <w:r>
              <w:rPr>
                <w:rFonts w:ascii="Arial" w:hAnsi="Arial"/>
                <w:sz w:val="18"/>
              </w:rPr>
              <w:t>Not disclosed</w:t>
            </w:r>
          </w:p>
        </w:tc>
        <w:tc>
          <w:tcPr>
            <w:tcW w:w="1806" w:type="dxa"/>
            <w:shd w:val="clear" w:color="auto" w:fill="F2F6FC"/>
          </w:tcPr>
          <w:p w14:paraId="104C82C4" w14:textId="77777777" w:rsidR="00535AD5" w:rsidRDefault="000F4CA5">
            <w:r>
              <w:rPr>
                <w:rFonts w:ascii="Arial" w:hAnsi="Arial"/>
                <w:sz w:val="18"/>
              </w:rPr>
              <w:t>DBS: Group-wide operational + priority financed sectors</w:t>
            </w:r>
          </w:p>
        </w:tc>
        <w:tc>
          <w:tcPr>
            <w:tcW w:w="1806" w:type="dxa"/>
            <w:shd w:val="clear" w:color="auto" w:fill="F2F6FC"/>
          </w:tcPr>
          <w:p w14:paraId="624160FC" w14:textId="77777777" w:rsidR="00535AD5" w:rsidRDefault="000F4CA5">
            <w:r>
              <w:rPr>
                <w:rFonts w:ascii="Arial" w:hAnsi="Arial"/>
                <w:sz w:val="18"/>
              </w:rPr>
              <w:t>Apply to consolidated entity (all operations + lending portfolio)</w:t>
            </w:r>
          </w:p>
        </w:tc>
      </w:tr>
      <w:tr w:rsidR="00535AD5" w14:paraId="74D0BEE6" w14:textId="77777777">
        <w:trPr>
          <w:jc w:val="center"/>
        </w:trPr>
        <w:tc>
          <w:tcPr>
            <w:tcW w:w="1806" w:type="dxa"/>
          </w:tcPr>
          <w:p w14:paraId="09124FDD" w14:textId="77777777" w:rsidR="00535AD5" w:rsidRDefault="000F4CA5">
            <w:r>
              <w:rPr>
                <w:rFonts w:ascii="Arial" w:hAnsi="Arial"/>
                <w:sz w:val="18"/>
              </w:rPr>
              <w:t>Period over which target applies</w:t>
            </w:r>
          </w:p>
        </w:tc>
        <w:tc>
          <w:tcPr>
            <w:tcW w:w="1806" w:type="dxa"/>
          </w:tcPr>
          <w:p w14:paraId="1E8E91F4" w14:textId="77777777" w:rsidR="00535AD5" w:rsidRDefault="000F4CA5">
            <w:r>
              <w:rPr>
                <w:rFonts w:ascii="Arial" w:hAnsi="Arial"/>
                <w:sz w:val="18"/>
              </w:rPr>
              <w:t>Para 33(e)</w:t>
            </w:r>
          </w:p>
        </w:tc>
        <w:tc>
          <w:tcPr>
            <w:tcW w:w="1806" w:type="dxa"/>
          </w:tcPr>
          <w:p w14:paraId="5E81F340" w14:textId="77777777" w:rsidR="00535AD5" w:rsidRDefault="000F4CA5">
            <w:r>
              <w:rPr>
                <w:rFonts w:ascii="Arial" w:hAnsi="Arial"/>
                <w:sz w:val="18"/>
              </w:rPr>
              <w:t>Not disclosed</w:t>
            </w:r>
          </w:p>
        </w:tc>
        <w:tc>
          <w:tcPr>
            <w:tcW w:w="1806" w:type="dxa"/>
          </w:tcPr>
          <w:p w14:paraId="3A5DC9E3" w14:textId="77777777" w:rsidR="00535AD5" w:rsidRDefault="000F4CA5">
            <w:r>
              <w:rPr>
                <w:rFonts w:ascii="Arial" w:hAnsi="Arial"/>
                <w:sz w:val="18"/>
              </w:rPr>
              <w:t>BRI: 2040 for portfolio temp; DBS: 2030 interim, 2050 net zero</w:t>
            </w:r>
          </w:p>
        </w:tc>
        <w:tc>
          <w:tcPr>
            <w:tcW w:w="1806" w:type="dxa"/>
          </w:tcPr>
          <w:p w14:paraId="3B16CD5A" w14:textId="77777777" w:rsidR="00535AD5" w:rsidRDefault="000F4CA5">
            <w:r>
              <w:rPr>
                <w:rFonts w:ascii="Arial" w:hAnsi="Arial"/>
                <w:sz w:val="18"/>
              </w:rPr>
              <w:t>Set 2030 interim target and 2050 net zero commitment</w:t>
            </w:r>
          </w:p>
        </w:tc>
      </w:tr>
      <w:tr w:rsidR="00535AD5" w14:paraId="7F04FA55" w14:textId="77777777">
        <w:trPr>
          <w:jc w:val="center"/>
        </w:trPr>
        <w:tc>
          <w:tcPr>
            <w:tcW w:w="1806" w:type="dxa"/>
            <w:shd w:val="clear" w:color="auto" w:fill="F2F6FC"/>
          </w:tcPr>
          <w:p w14:paraId="07386928" w14:textId="77777777" w:rsidR="00535AD5" w:rsidRDefault="000F4CA5">
            <w:r>
              <w:rPr>
                <w:rFonts w:ascii="Arial" w:hAnsi="Arial"/>
                <w:sz w:val="18"/>
              </w:rPr>
              <w:t>Base period from which progress is measured</w:t>
            </w:r>
          </w:p>
        </w:tc>
        <w:tc>
          <w:tcPr>
            <w:tcW w:w="1806" w:type="dxa"/>
            <w:shd w:val="clear" w:color="auto" w:fill="F2F6FC"/>
          </w:tcPr>
          <w:p w14:paraId="1A26D0B7" w14:textId="77777777" w:rsidR="00535AD5" w:rsidRDefault="000F4CA5">
            <w:r>
              <w:rPr>
                <w:rFonts w:ascii="Arial" w:hAnsi="Arial"/>
                <w:sz w:val="18"/>
              </w:rPr>
              <w:t>Para 33(f)</w:t>
            </w:r>
          </w:p>
        </w:tc>
        <w:tc>
          <w:tcPr>
            <w:tcW w:w="1806" w:type="dxa"/>
            <w:shd w:val="clear" w:color="auto" w:fill="F2F6FC"/>
          </w:tcPr>
          <w:p w14:paraId="5E21C443" w14:textId="77777777" w:rsidR="00535AD5" w:rsidRDefault="000F4CA5">
            <w:r>
              <w:rPr>
                <w:rFonts w:ascii="Arial" w:hAnsi="Arial"/>
                <w:sz w:val="18"/>
              </w:rPr>
              <w:t>Not disclosed</w:t>
            </w:r>
          </w:p>
        </w:tc>
        <w:tc>
          <w:tcPr>
            <w:tcW w:w="1806" w:type="dxa"/>
            <w:shd w:val="clear" w:color="auto" w:fill="F2F6FC"/>
          </w:tcPr>
          <w:p w14:paraId="507318A1" w14:textId="77777777" w:rsidR="00535AD5" w:rsidRDefault="000F4CA5">
            <w:r>
              <w:rPr>
                <w:rFonts w:ascii="Arial" w:hAnsi="Arial"/>
                <w:sz w:val="18"/>
              </w:rPr>
              <w:t>BRI: 2023 baseline; DBS: 2020 baseline</w:t>
            </w:r>
          </w:p>
        </w:tc>
        <w:tc>
          <w:tcPr>
            <w:tcW w:w="1806" w:type="dxa"/>
            <w:shd w:val="clear" w:color="auto" w:fill="F2F6FC"/>
          </w:tcPr>
          <w:p w14:paraId="6A84AD9B" w14:textId="77777777" w:rsidR="00535AD5" w:rsidRDefault="000F4CA5">
            <w:r>
              <w:rPr>
                <w:rFonts w:ascii="Arial" w:hAnsi="Arial"/>
                <w:sz w:val="18"/>
              </w:rPr>
              <w:t>Use 2024 as base year (current reporting year with verified data)</w:t>
            </w:r>
          </w:p>
        </w:tc>
      </w:tr>
      <w:tr w:rsidR="00535AD5" w14:paraId="3F8D2B15" w14:textId="77777777">
        <w:trPr>
          <w:jc w:val="center"/>
        </w:trPr>
        <w:tc>
          <w:tcPr>
            <w:tcW w:w="1806" w:type="dxa"/>
          </w:tcPr>
          <w:p w14:paraId="7D0485B6" w14:textId="77777777" w:rsidR="00535AD5" w:rsidRDefault="000F4CA5">
            <w:r>
              <w:rPr>
                <w:rFonts w:ascii="Arial" w:hAnsi="Arial"/>
                <w:sz w:val="18"/>
              </w:rPr>
              <w:t>Milestones or interim targets</w:t>
            </w:r>
          </w:p>
        </w:tc>
        <w:tc>
          <w:tcPr>
            <w:tcW w:w="1806" w:type="dxa"/>
          </w:tcPr>
          <w:p w14:paraId="318A9A9E" w14:textId="77777777" w:rsidR="00535AD5" w:rsidRDefault="000F4CA5">
            <w:r>
              <w:rPr>
                <w:rFonts w:ascii="Arial" w:hAnsi="Arial"/>
                <w:sz w:val="18"/>
              </w:rPr>
              <w:t>Para 33(g)</w:t>
            </w:r>
          </w:p>
        </w:tc>
        <w:tc>
          <w:tcPr>
            <w:tcW w:w="1806" w:type="dxa"/>
          </w:tcPr>
          <w:p w14:paraId="2D5A70D9" w14:textId="77777777" w:rsidR="00535AD5" w:rsidRDefault="000F4CA5">
            <w:r>
              <w:rPr>
                <w:rFonts w:ascii="Arial" w:hAnsi="Arial"/>
                <w:sz w:val="18"/>
              </w:rPr>
              <w:t>Not disclosed</w:t>
            </w:r>
          </w:p>
        </w:tc>
        <w:tc>
          <w:tcPr>
            <w:tcW w:w="1806" w:type="dxa"/>
          </w:tcPr>
          <w:p w14:paraId="01A7F952" w14:textId="77777777" w:rsidR="00535AD5" w:rsidRDefault="000F4CA5">
            <w:r>
              <w:rPr>
                <w:rFonts w:ascii="Arial" w:hAnsi="Arial"/>
                <w:sz w:val="18"/>
              </w:rPr>
              <w:t>BRI: Annual reduction 0.0783°C/year; DBS: 2030 milestone</w:t>
            </w:r>
          </w:p>
        </w:tc>
        <w:tc>
          <w:tcPr>
            <w:tcW w:w="1806" w:type="dxa"/>
          </w:tcPr>
          <w:p w14:paraId="24147304" w14:textId="77777777" w:rsidR="00535AD5" w:rsidRDefault="000F4CA5">
            <w:r>
              <w:rPr>
                <w:rFonts w:ascii="Arial" w:hAnsi="Arial"/>
                <w:sz w:val="18"/>
              </w:rPr>
              <w:t>Set 2027 (15% reduction) and 2030 (30% reduction) milestones</w:t>
            </w:r>
          </w:p>
        </w:tc>
      </w:tr>
      <w:tr w:rsidR="00535AD5" w14:paraId="001ED41E" w14:textId="77777777">
        <w:trPr>
          <w:jc w:val="center"/>
        </w:trPr>
        <w:tc>
          <w:tcPr>
            <w:tcW w:w="1806" w:type="dxa"/>
            <w:shd w:val="clear" w:color="auto" w:fill="F2F6FC"/>
          </w:tcPr>
          <w:p w14:paraId="25BAA6AD" w14:textId="77777777" w:rsidR="00535AD5" w:rsidRDefault="000F4CA5">
            <w:r>
              <w:rPr>
                <w:rFonts w:ascii="Arial" w:hAnsi="Arial"/>
                <w:sz w:val="18"/>
              </w:rPr>
              <w:t>Performance against target</w:t>
            </w:r>
          </w:p>
        </w:tc>
        <w:tc>
          <w:tcPr>
            <w:tcW w:w="1806" w:type="dxa"/>
            <w:shd w:val="clear" w:color="auto" w:fill="F2F6FC"/>
          </w:tcPr>
          <w:p w14:paraId="0498F525" w14:textId="77777777" w:rsidR="00535AD5" w:rsidRDefault="000F4CA5">
            <w:r>
              <w:rPr>
                <w:rFonts w:ascii="Arial" w:hAnsi="Arial"/>
                <w:sz w:val="18"/>
              </w:rPr>
              <w:t>Para 34</w:t>
            </w:r>
          </w:p>
        </w:tc>
        <w:tc>
          <w:tcPr>
            <w:tcW w:w="1806" w:type="dxa"/>
            <w:shd w:val="clear" w:color="auto" w:fill="F2F6FC"/>
          </w:tcPr>
          <w:p w14:paraId="7B014C0D" w14:textId="77777777" w:rsidR="00535AD5" w:rsidRDefault="000F4CA5">
            <w:r>
              <w:rPr>
                <w:rFonts w:ascii="Arial" w:hAnsi="Arial"/>
                <w:sz w:val="18"/>
              </w:rPr>
              <w:t>Not applicable (no target set)</w:t>
            </w:r>
          </w:p>
        </w:tc>
        <w:tc>
          <w:tcPr>
            <w:tcW w:w="1806" w:type="dxa"/>
            <w:shd w:val="clear" w:color="auto" w:fill="F2F6FC"/>
          </w:tcPr>
          <w:p w14:paraId="7BCF9717" w14:textId="77777777" w:rsidR="00535AD5" w:rsidRDefault="000F4CA5">
            <w:r>
              <w:rPr>
                <w:rFonts w:ascii="Arial" w:hAnsi="Arial"/>
                <w:sz w:val="18"/>
              </w:rPr>
              <w:t>BRI: On track per annual report; DBS: Ahead of 2030 trajectory</w:t>
            </w:r>
          </w:p>
        </w:tc>
        <w:tc>
          <w:tcPr>
            <w:tcW w:w="1806" w:type="dxa"/>
            <w:shd w:val="clear" w:color="auto" w:fill="F2F6FC"/>
          </w:tcPr>
          <w:p w14:paraId="65E43DAC" w14:textId="77777777" w:rsidR="00535AD5" w:rsidRDefault="000F4CA5">
            <w:r>
              <w:rPr>
                <w:rFonts w:ascii="Arial" w:hAnsi="Arial"/>
                <w:sz w:val="18"/>
              </w:rPr>
              <w:t>Establish quarterly monitoring and annual public reporting</w:t>
            </w:r>
          </w:p>
        </w:tc>
      </w:tr>
    </w:tbl>
    <w:p w14:paraId="39BC3434" w14:textId="77777777" w:rsidR="00535AD5" w:rsidRDefault="000F4CA5">
      <w:r>
        <w:rPr>
          <w:rFonts w:ascii="Arial" w:hAnsi="Arial"/>
          <w:i/>
          <w:sz w:val="16"/>
        </w:rPr>
        <w:t>Source: Analysis based on IFRS S2 Climate-related Disclosures (June 2023) paragraphs 33–37 and peer bank disclosures from 2023–2024 sustainability reports.</w:t>
      </w:r>
    </w:p>
    <w:p w14:paraId="042B764D" w14:textId="77777777" w:rsidR="00535AD5" w:rsidRDefault="00535AD5"/>
    <w:p w14:paraId="12662DCF" w14:textId="77777777" w:rsidR="00535AD5" w:rsidRDefault="000F4CA5">
      <w:r>
        <w:rPr>
          <w:rFonts w:ascii="Arial" w:hAnsi="Arial"/>
          <w:b/>
          <w:sz w:val="20"/>
        </w:rPr>
        <w:t>Table 2: Recommended Target Framework — Alignment with Peer Practices</w:t>
      </w:r>
    </w:p>
    <w:tbl>
      <w:tblPr>
        <w:tblW w:w="0" w:type="auto"/>
        <w:jc w:val="center"/>
        <w:tblLook w:val="04A0" w:firstRow="1" w:lastRow="0" w:firstColumn="1" w:lastColumn="0" w:noHBand="0" w:noVBand="1"/>
      </w:tblPr>
      <w:tblGrid>
        <w:gridCol w:w="1290"/>
        <w:gridCol w:w="1290"/>
        <w:gridCol w:w="1290"/>
        <w:gridCol w:w="1290"/>
        <w:gridCol w:w="1290"/>
        <w:gridCol w:w="1290"/>
        <w:gridCol w:w="1369"/>
      </w:tblGrid>
      <w:tr w:rsidR="00535AD5" w14:paraId="0B2DD1B3" w14:textId="77777777">
        <w:trPr>
          <w:jc w:val="center"/>
        </w:trPr>
        <w:tc>
          <w:tcPr>
            <w:tcW w:w="1290" w:type="dxa"/>
            <w:shd w:val="clear" w:color="auto" w:fill="1B3A6B"/>
          </w:tcPr>
          <w:p w14:paraId="74F81CC3" w14:textId="77777777" w:rsidR="00535AD5" w:rsidRDefault="000F4CA5">
            <w:r>
              <w:rPr>
                <w:rFonts w:ascii="Arial" w:hAnsi="Arial"/>
                <w:b/>
                <w:color w:val="FFFFFF"/>
                <w:sz w:val="18"/>
              </w:rPr>
              <w:t>Target Type</w:t>
            </w:r>
          </w:p>
        </w:tc>
        <w:tc>
          <w:tcPr>
            <w:tcW w:w="1290" w:type="dxa"/>
            <w:shd w:val="clear" w:color="auto" w:fill="1B3A6B"/>
          </w:tcPr>
          <w:p w14:paraId="6D745860" w14:textId="77777777" w:rsidR="00535AD5" w:rsidRDefault="000F4CA5">
            <w:r>
              <w:rPr>
                <w:rFonts w:ascii="Arial" w:hAnsi="Arial"/>
                <w:b/>
                <w:color w:val="FFFFFF"/>
                <w:sz w:val="18"/>
              </w:rPr>
              <w:t>Scope Coverage</w:t>
            </w:r>
          </w:p>
        </w:tc>
        <w:tc>
          <w:tcPr>
            <w:tcW w:w="1290" w:type="dxa"/>
            <w:shd w:val="clear" w:color="auto" w:fill="1B3A6B"/>
          </w:tcPr>
          <w:p w14:paraId="236F5EAD" w14:textId="77777777" w:rsidR="00535AD5" w:rsidRDefault="000F4CA5">
            <w:r>
              <w:rPr>
                <w:rFonts w:ascii="Arial" w:hAnsi="Arial"/>
                <w:b/>
                <w:color w:val="FFFFFF"/>
                <w:sz w:val="18"/>
              </w:rPr>
              <w:t>Base Year</w:t>
            </w:r>
          </w:p>
        </w:tc>
        <w:tc>
          <w:tcPr>
            <w:tcW w:w="1290" w:type="dxa"/>
            <w:shd w:val="clear" w:color="auto" w:fill="1B3A6B"/>
          </w:tcPr>
          <w:p w14:paraId="028FD9CF" w14:textId="77777777" w:rsidR="00535AD5" w:rsidRDefault="000F4CA5">
            <w:r>
              <w:rPr>
                <w:rFonts w:ascii="Arial" w:hAnsi="Arial"/>
                <w:b/>
                <w:color w:val="FFFFFF"/>
                <w:sz w:val="18"/>
              </w:rPr>
              <w:t>Target Year</w:t>
            </w:r>
          </w:p>
        </w:tc>
        <w:tc>
          <w:tcPr>
            <w:tcW w:w="1290" w:type="dxa"/>
            <w:shd w:val="clear" w:color="auto" w:fill="1B3A6B"/>
          </w:tcPr>
          <w:p w14:paraId="63A38E33" w14:textId="77777777" w:rsidR="00535AD5" w:rsidRDefault="000F4CA5">
            <w:r>
              <w:rPr>
                <w:rFonts w:ascii="Arial" w:hAnsi="Arial"/>
                <w:b/>
                <w:color w:val="FFFFFF"/>
                <w:sz w:val="18"/>
              </w:rPr>
              <w:t>Reduction %</w:t>
            </w:r>
          </w:p>
        </w:tc>
        <w:tc>
          <w:tcPr>
            <w:tcW w:w="1290" w:type="dxa"/>
            <w:shd w:val="clear" w:color="auto" w:fill="1B3A6B"/>
          </w:tcPr>
          <w:p w14:paraId="1493169F" w14:textId="77777777" w:rsidR="00535AD5" w:rsidRDefault="000F4CA5">
            <w:r>
              <w:rPr>
                <w:rFonts w:ascii="Arial" w:hAnsi="Arial"/>
                <w:b/>
                <w:color w:val="FFFFFF"/>
                <w:sz w:val="18"/>
              </w:rPr>
              <w:t>Absolute Target (tCO2e)</w:t>
            </w:r>
          </w:p>
        </w:tc>
        <w:tc>
          <w:tcPr>
            <w:tcW w:w="1290" w:type="dxa"/>
            <w:shd w:val="clear" w:color="auto" w:fill="1B3A6B"/>
          </w:tcPr>
          <w:p w14:paraId="69D77EF1" w14:textId="77777777" w:rsidR="00535AD5" w:rsidRDefault="000F4CA5">
            <w:r>
              <w:rPr>
                <w:rFonts w:ascii="Arial" w:hAnsi="Arial"/>
                <w:b/>
                <w:color w:val="FFFFFF"/>
                <w:sz w:val="18"/>
              </w:rPr>
              <w:t>Peer Reference</w:t>
            </w:r>
          </w:p>
        </w:tc>
      </w:tr>
      <w:tr w:rsidR="00535AD5" w14:paraId="4BB68387" w14:textId="77777777">
        <w:trPr>
          <w:jc w:val="center"/>
        </w:trPr>
        <w:tc>
          <w:tcPr>
            <w:tcW w:w="1290" w:type="dxa"/>
          </w:tcPr>
          <w:p w14:paraId="77D273F3" w14:textId="77777777" w:rsidR="00535AD5" w:rsidRDefault="000F4CA5">
            <w:r>
              <w:rPr>
                <w:rFonts w:ascii="Arial" w:hAnsi="Arial"/>
                <w:sz w:val="18"/>
              </w:rPr>
              <w:t>Operational Emissions (Absolute)</w:t>
            </w:r>
          </w:p>
        </w:tc>
        <w:tc>
          <w:tcPr>
            <w:tcW w:w="1290" w:type="dxa"/>
          </w:tcPr>
          <w:p w14:paraId="5FB72CC2" w14:textId="77777777" w:rsidR="00535AD5" w:rsidRDefault="000F4CA5">
            <w:r>
              <w:rPr>
                <w:rFonts w:ascii="Arial" w:hAnsi="Arial"/>
                <w:sz w:val="18"/>
              </w:rPr>
              <w:t>Scope 1 + Scope 2 (market-based)</w:t>
            </w:r>
          </w:p>
        </w:tc>
        <w:tc>
          <w:tcPr>
            <w:tcW w:w="1290" w:type="dxa"/>
          </w:tcPr>
          <w:p w14:paraId="113CF582" w14:textId="77777777" w:rsidR="00535AD5" w:rsidRDefault="000F4CA5">
            <w:pPr>
              <w:jc w:val="right"/>
            </w:pPr>
            <w:r>
              <w:rPr>
                <w:rFonts w:ascii="Arial" w:hAnsi="Arial"/>
                <w:sz w:val="18"/>
              </w:rPr>
              <w:t>2024</w:t>
            </w:r>
          </w:p>
        </w:tc>
        <w:tc>
          <w:tcPr>
            <w:tcW w:w="1290" w:type="dxa"/>
          </w:tcPr>
          <w:p w14:paraId="6AA32656" w14:textId="77777777" w:rsidR="00535AD5" w:rsidRDefault="000F4CA5">
            <w:pPr>
              <w:jc w:val="right"/>
            </w:pPr>
            <w:r>
              <w:rPr>
                <w:rFonts w:ascii="Arial" w:hAnsi="Arial"/>
                <w:sz w:val="18"/>
              </w:rPr>
              <w:t>2030</w:t>
            </w:r>
          </w:p>
        </w:tc>
        <w:tc>
          <w:tcPr>
            <w:tcW w:w="1290" w:type="dxa"/>
          </w:tcPr>
          <w:p w14:paraId="10028E3B" w14:textId="77777777" w:rsidR="00535AD5" w:rsidRDefault="000F4CA5">
            <w:pPr>
              <w:jc w:val="right"/>
            </w:pPr>
            <w:r>
              <w:rPr>
                <w:rFonts w:ascii="Arial" w:hAnsi="Arial"/>
                <w:sz w:val="18"/>
              </w:rPr>
              <w:t>30%</w:t>
            </w:r>
          </w:p>
        </w:tc>
        <w:tc>
          <w:tcPr>
            <w:tcW w:w="1290" w:type="dxa"/>
          </w:tcPr>
          <w:p w14:paraId="4D1730DE" w14:textId="77777777" w:rsidR="00535AD5" w:rsidRDefault="000F4CA5">
            <w:r>
              <w:rPr>
                <w:rFonts w:ascii="Arial" w:hAnsi="Arial"/>
                <w:sz w:val="18"/>
              </w:rPr>
              <w:t>33,611 tCO2e (from 48,016 tCO2e baseline)</w:t>
            </w:r>
          </w:p>
        </w:tc>
        <w:tc>
          <w:tcPr>
            <w:tcW w:w="1290" w:type="dxa"/>
          </w:tcPr>
          <w:p w14:paraId="0DBAA0C6" w14:textId="77777777" w:rsidR="00535AD5" w:rsidRDefault="000F4CA5">
            <w:r>
              <w:rPr>
                <w:rFonts w:ascii="Arial" w:hAnsi="Arial"/>
                <w:sz w:val="18"/>
              </w:rPr>
              <w:t>DBS: 1.5°C pathway for operations</w:t>
            </w:r>
          </w:p>
        </w:tc>
      </w:tr>
      <w:tr w:rsidR="00535AD5" w14:paraId="2D06A41E" w14:textId="77777777">
        <w:trPr>
          <w:jc w:val="center"/>
        </w:trPr>
        <w:tc>
          <w:tcPr>
            <w:tcW w:w="1290" w:type="dxa"/>
            <w:shd w:val="clear" w:color="auto" w:fill="F2F6FC"/>
          </w:tcPr>
          <w:p w14:paraId="33E0A357" w14:textId="77777777" w:rsidR="00535AD5" w:rsidRDefault="000F4CA5">
            <w:r>
              <w:rPr>
                <w:rFonts w:ascii="Arial" w:hAnsi="Arial"/>
                <w:sz w:val="18"/>
              </w:rPr>
              <w:t>Financed Emissions (Intensity)</w:t>
            </w:r>
          </w:p>
        </w:tc>
        <w:tc>
          <w:tcPr>
            <w:tcW w:w="1290" w:type="dxa"/>
            <w:shd w:val="clear" w:color="auto" w:fill="F2F6FC"/>
          </w:tcPr>
          <w:p w14:paraId="4BE71D84" w14:textId="77777777" w:rsidR="00535AD5" w:rsidRDefault="000F4CA5">
            <w:r>
              <w:rPr>
                <w:rFonts w:ascii="Arial" w:hAnsi="Arial"/>
                <w:sz w:val="18"/>
              </w:rPr>
              <w:t>Scope 3 Category 15</w:t>
            </w:r>
          </w:p>
        </w:tc>
        <w:tc>
          <w:tcPr>
            <w:tcW w:w="1290" w:type="dxa"/>
            <w:shd w:val="clear" w:color="auto" w:fill="F2F6FC"/>
          </w:tcPr>
          <w:p w14:paraId="7C6433C8" w14:textId="77777777" w:rsidR="00535AD5" w:rsidRDefault="000F4CA5">
            <w:pPr>
              <w:jc w:val="right"/>
            </w:pPr>
            <w:r>
              <w:rPr>
                <w:rFonts w:ascii="Arial" w:hAnsi="Arial"/>
                <w:sz w:val="18"/>
              </w:rPr>
              <w:t>2024</w:t>
            </w:r>
          </w:p>
        </w:tc>
        <w:tc>
          <w:tcPr>
            <w:tcW w:w="1290" w:type="dxa"/>
            <w:shd w:val="clear" w:color="auto" w:fill="F2F6FC"/>
          </w:tcPr>
          <w:p w14:paraId="2B236FE7" w14:textId="77777777" w:rsidR="00535AD5" w:rsidRDefault="000F4CA5">
            <w:pPr>
              <w:jc w:val="right"/>
            </w:pPr>
            <w:r>
              <w:rPr>
                <w:rFonts w:ascii="Arial" w:hAnsi="Arial"/>
                <w:sz w:val="18"/>
              </w:rPr>
              <w:t>2030</w:t>
            </w:r>
          </w:p>
        </w:tc>
        <w:tc>
          <w:tcPr>
            <w:tcW w:w="1290" w:type="dxa"/>
            <w:shd w:val="clear" w:color="auto" w:fill="F2F6FC"/>
          </w:tcPr>
          <w:p w14:paraId="0988A84B" w14:textId="77777777" w:rsidR="00535AD5" w:rsidRDefault="000F4CA5">
            <w:pPr>
              <w:jc w:val="right"/>
            </w:pPr>
            <w:r>
              <w:rPr>
                <w:rFonts w:ascii="Arial" w:hAnsi="Arial"/>
                <w:sz w:val="18"/>
              </w:rPr>
              <w:t>25%</w:t>
            </w:r>
          </w:p>
        </w:tc>
        <w:tc>
          <w:tcPr>
            <w:tcW w:w="1290" w:type="dxa"/>
            <w:shd w:val="clear" w:color="auto" w:fill="F2F6FC"/>
          </w:tcPr>
          <w:p w14:paraId="5AAD01A3" w14:textId="77777777" w:rsidR="00535AD5" w:rsidRDefault="000F4CA5">
            <w:r>
              <w:rPr>
                <w:rFonts w:ascii="Arial" w:hAnsi="Arial"/>
                <w:sz w:val="18"/>
              </w:rPr>
              <w:t>179.55 tCO2e/IDR bn (from 239.40 baseline)</w:t>
            </w:r>
          </w:p>
        </w:tc>
        <w:tc>
          <w:tcPr>
            <w:tcW w:w="1290" w:type="dxa"/>
            <w:shd w:val="clear" w:color="auto" w:fill="F2F6FC"/>
          </w:tcPr>
          <w:p w14:paraId="3A24B37D" w14:textId="77777777" w:rsidR="00535AD5" w:rsidRDefault="000F4CA5">
            <w:r>
              <w:rPr>
                <w:rFonts w:ascii="Arial" w:hAnsi="Arial"/>
                <w:sz w:val="18"/>
              </w:rPr>
              <w:t>BRI: Portfolio temp 1.75°C by 2040</w:t>
            </w:r>
          </w:p>
        </w:tc>
      </w:tr>
      <w:tr w:rsidR="00535AD5" w14:paraId="62763926" w14:textId="77777777">
        <w:trPr>
          <w:jc w:val="center"/>
        </w:trPr>
        <w:tc>
          <w:tcPr>
            <w:tcW w:w="1290" w:type="dxa"/>
          </w:tcPr>
          <w:p w14:paraId="72D2E757" w14:textId="77777777" w:rsidR="00535AD5" w:rsidRDefault="000F4CA5">
            <w:r>
              <w:rPr>
                <w:rFonts w:ascii="Arial" w:hAnsi="Arial"/>
                <w:sz w:val="18"/>
              </w:rPr>
              <w:t>Net Zero Commitment</w:t>
            </w:r>
          </w:p>
        </w:tc>
        <w:tc>
          <w:tcPr>
            <w:tcW w:w="1290" w:type="dxa"/>
          </w:tcPr>
          <w:p w14:paraId="2001E9A5" w14:textId="77777777" w:rsidR="00535AD5" w:rsidRDefault="000F4CA5">
            <w:r>
              <w:rPr>
                <w:rFonts w:ascii="Arial" w:hAnsi="Arial"/>
                <w:sz w:val="18"/>
              </w:rPr>
              <w:t>Scope 1 + 2 + 3 Cat 15</w:t>
            </w:r>
          </w:p>
        </w:tc>
        <w:tc>
          <w:tcPr>
            <w:tcW w:w="1290" w:type="dxa"/>
          </w:tcPr>
          <w:p w14:paraId="046D2E4B" w14:textId="77777777" w:rsidR="00535AD5" w:rsidRDefault="000F4CA5">
            <w:pPr>
              <w:jc w:val="right"/>
            </w:pPr>
            <w:r>
              <w:rPr>
                <w:rFonts w:ascii="Arial" w:hAnsi="Arial"/>
                <w:sz w:val="18"/>
              </w:rPr>
              <w:t>2024</w:t>
            </w:r>
          </w:p>
        </w:tc>
        <w:tc>
          <w:tcPr>
            <w:tcW w:w="1290" w:type="dxa"/>
          </w:tcPr>
          <w:p w14:paraId="6B95B46E" w14:textId="77777777" w:rsidR="00535AD5" w:rsidRDefault="000F4CA5">
            <w:pPr>
              <w:jc w:val="right"/>
            </w:pPr>
            <w:r>
              <w:rPr>
                <w:rFonts w:ascii="Arial" w:hAnsi="Arial"/>
                <w:sz w:val="18"/>
              </w:rPr>
              <w:t>2050</w:t>
            </w:r>
          </w:p>
        </w:tc>
        <w:tc>
          <w:tcPr>
            <w:tcW w:w="1290" w:type="dxa"/>
          </w:tcPr>
          <w:p w14:paraId="6937E136" w14:textId="77777777" w:rsidR="00535AD5" w:rsidRDefault="000F4CA5">
            <w:r>
              <w:rPr>
                <w:rFonts w:ascii="Arial" w:hAnsi="Arial"/>
                <w:sz w:val="18"/>
              </w:rPr>
              <w:t>100% (net)</w:t>
            </w:r>
          </w:p>
        </w:tc>
        <w:tc>
          <w:tcPr>
            <w:tcW w:w="1290" w:type="dxa"/>
          </w:tcPr>
          <w:p w14:paraId="1FC7BB32" w14:textId="77777777" w:rsidR="00535AD5" w:rsidRDefault="000F4CA5">
            <w:r>
              <w:rPr>
                <w:rFonts w:ascii="Arial" w:hAnsi="Arial"/>
                <w:sz w:val="18"/>
              </w:rPr>
              <w:t>Residual emissions &lt;5% of baseline, offset via carbon removal</w:t>
            </w:r>
          </w:p>
        </w:tc>
        <w:tc>
          <w:tcPr>
            <w:tcW w:w="1290" w:type="dxa"/>
          </w:tcPr>
          <w:p w14:paraId="4C653A31" w14:textId="77777777" w:rsidR="00535AD5" w:rsidRDefault="000F4CA5">
            <w:r>
              <w:rPr>
                <w:rFonts w:ascii="Arial" w:hAnsi="Arial"/>
                <w:sz w:val="18"/>
              </w:rPr>
              <w:t>DBS: Net Zero by 2050 commitment</w:t>
            </w:r>
          </w:p>
        </w:tc>
      </w:tr>
      <w:tr w:rsidR="00535AD5" w14:paraId="791A45C6" w14:textId="77777777">
        <w:trPr>
          <w:jc w:val="center"/>
        </w:trPr>
        <w:tc>
          <w:tcPr>
            <w:tcW w:w="1290" w:type="dxa"/>
            <w:shd w:val="clear" w:color="auto" w:fill="F2F6FC"/>
          </w:tcPr>
          <w:p w14:paraId="6C7B4E5A" w14:textId="77777777" w:rsidR="00535AD5" w:rsidRDefault="000F4CA5">
            <w:r>
              <w:rPr>
                <w:rFonts w:ascii="Arial" w:hAnsi="Arial"/>
                <w:sz w:val="18"/>
              </w:rPr>
              <w:t>Interim Milestone 1</w:t>
            </w:r>
          </w:p>
        </w:tc>
        <w:tc>
          <w:tcPr>
            <w:tcW w:w="1290" w:type="dxa"/>
            <w:shd w:val="clear" w:color="auto" w:fill="F2F6FC"/>
          </w:tcPr>
          <w:p w14:paraId="5179D3F2" w14:textId="77777777" w:rsidR="00535AD5" w:rsidRDefault="000F4CA5">
            <w:r>
              <w:rPr>
                <w:rFonts w:ascii="Arial" w:hAnsi="Arial"/>
                <w:sz w:val="18"/>
              </w:rPr>
              <w:t>Scope 1 + 2 + 3 Cat 15</w:t>
            </w:r>
          </w:p>
        </w:tc>
        <w:tc>
          <w:tcPr>
            <w:tcW w:w="1290" w:type="dxa"/>
            <w:shd w:val="clear" w:color="auto" w:fill="F2F6FC"/>
          </w:tcPr>
          <w:p w14:paraId="49C4D17E" w14:textId="77777777" w:rsidR="00535AD5" w:rsidRDefault="000F4CA5">
            <w:pPr>
              <w:jc w:val="right"/>
            </w:pPr>
            <w:r>
              <w:rPr>
                <w:rFonts w:ascii="Arial" w:hAnsi="Arial"/>
                <w:sz w:val="18"/>
              </w:rPr>
              <w:t>2024</w:t>
            </w:r>
          </w:p>
        </w:tc>
        <w:tc>
          <w:tcPr>
            <w:tcW w:w="1290" w:type="dxa"/>
            <w:shd w:val="clear" w:color="auto" w:fill="F2F6FC"/>
          </w:tcPr>
          <w:p w14:paraId="1EA59BCD" w14:textId="77777777" w:rsidR="00535AD5" w:rsidRDefault="000F4CA5">
            <w:pPr>
              <w:jc w:val="right"/>
            </w:pPr>
            <w:r>
              <w:rPr>
                <w:rFonts w:ascii="Arial" w:hAnsi="Arial"/>
                <w:sz w:val="18"/>
              </w:rPr>
              <w:t>2027</w:t>
            </w:r>
          </w:p>
        </w:tc>
        <w:tc>
          <w:tcPr>
            <w:tcW w:w="1290" w:type="dxa"/>
            <w:shd w:val="clear" w:color="auto" w:fill="F2F6FC"/>
          </w:tcPr>
          <w:p w14:paraId="5256D6D2" w14:textId="77777777" w:rsidR="00535AD5" w:rsidRDefault="000F4CA5">
            <w:pPr>
              <w:jc w:val="right"/>
            </w:pPr>
            <w:r>
              <w:rPr>
                <w:rFonts w:ascii="Arial" w:hAnsi="Arial"/>
                <w:sz w:val="18"/>
              </w:rPr>
              <w:t>15%</w:t>
            </w:r>
          </w:p>
        </w:tc>
        <w:tc>
          <w:tcPr>
            <w:tcW w:w="1290" w:type="dxa"/>
            <w:shd w:val="clear" w:color="auto" w:fill="F2F6FC"/>
          </w:tcPr>
          <w:p w14:paraId="687C1DD6" w14:textId="77777777" w:rsidR="00535AD5" w:rsidRDefault="000F4CA5">
            <w:r>
              <w:rPr>
                <w:rFonts w:ascii="Arial" w:hAnsi="Arial"/>
                <w:sz w:val="18"/>
              </w:rPr>
              <w:t>40,813 tCO2e operational; 203.49 tCO2e/IDR bn financed</w:t>
            </w:r>
          </w:p>
        </w:tc>
        <w:tc>
          <w:tcPr>
            <w:tcW w:w="1290" w:type="dxa"/>
            <w:shd w:val="clear" w:color="auto" w:fill="F2F6FC"/>
          </w:tcPr>
          <w:p w14:paraId="7C919BFD" w14:textId="77777777" w:rsidR="00535AD5" w:rsidRDefault="000F4CA5">
            <w:r>
              <w:rPr>
                <w:rFonts w:ascii="Arial" w:hAnsi="Arial"/>
                <w:sz w:val="18"/>
              </w:rPr>
              <w:t>BRI: Annual reduction 0.0783°C/year</w:t>
            </w:r>
          </w:p>
        </w:tc>
      </w:tr>
      <w:tr w:rsidR="00535AD5" w14:paraId="6E9CDE8E" w14:textId="77777777">
        <w:trPr>
          <w:jc w:val="center"/>
        </w:trPr>
        <w:tc>
          <w:tcPr>
            <w:tcW w:w="1290" w:type="dxa"/>
          </w:tcPr>
          <w:p w14:paraId="7FF3A959" w14:textId="77777777" w:rsidR="00535AD5" w:rsidRDefault="000F4CA5">
            <w:r>
              <w:rPr>
                <w:rFonts w:ascii="Arial" w:hAnsi="Arial"/>
                <w:sz w:val="18"/>
              </w:rPr>
              <w:t>Interim Milestone 2</w:t>
            </w:r>
          </w:p>
        </w:tc>
        <w:tc>
          <w:tcPr>
            <w:tcW w:w="1290" w:type="dxa"/>
          </w:tcPr>
          <w:p w14:paraId="41B4B53E" w14:textId="77777777" w:rsidR="00535AD5" w:rsidRDefault="000F4CA5">
            <w:r>
              <w:rPr>
                <w:rFonts w:ascii="Arial" w:hAnsi="Arial"/>
                <w:sz w:val="18"/>
              </w:rPr>
              <w:t>Scope 1 + 2 + 3 Cat 15</w:t>
            </w:r>
          </w:p>
        </w:tc>
        <w:tc>
          <w:tcPr>
            <w:tcW w:w="1290" w:type="dxa"/>
          </w:tcPr>
          <w:p w14:paraId="4C99D361" w14:textId="77777777" w:rsidR="00535AD5" w:rsidRDefault="000F4CA5">
            <w:pPr>
              <w:jc w:val="right"/>
            </w:pPr>
            <w:r>
              <w:rPr>
                <w:rFonts w:ascii="Arial" w:hAnsi="Arial"/>
                <w:sz w:val="18"/>
              </w:rPr>
              <w:t>2024</w:t>
            </w:r>
          </w:p>
        </w:tc>
        <w:tc>
          <w:tcPr>
            <w:tcW w:w="1290" w:type="dxa"/>
          </w:tcPr>
          <w:p w14:paraId="444F117F" w14:textId="77777777" w:rsidR="00535AD5" w:rsidRDefault="000F4CA5">
            <w:pPr>
              <w:jc w:val="right"/>
            </w:pPr>
            <w:r>
              <w:rPr>
                <w:rFonts w:ascii="Arial" w:hAnsi="Arial"/>
                <w:sz w:val="18"/>
              </w:rPr>
              <w:t>2030</w:t>
            </w:r>
          </w:p>
        </w:tc>
        <w:tc>
          <w:tcPr>
            <w:tcW w:w="1290" w:type="dxa"/>
          </w:tcPr>
          <w:p w14:paraId="285F0623" w14:textId="77777777" w:rsidR="00535AD5" w:rsidRDefault="000F4CA5">
            <w:pPr>
              <w:jc w:val="right"/>
            </w:pPr>
            <w:r>
              <w:rPr>
                <w:rFonts w:ascii="Arial" w:hAnsi="Arial"/>
                <w:sz w:val="18"/>
              </w:rPr>
              <w:t>30%</w:t>
            </w:r>
          </w:p>
        </w:tc>
        <w:tc>
          <w:tcPr>
            <w:tcW w:w="1290" w:type="dxa"/>
          </w:tcPr>
          <w:p w14:paraId="607B2DC0" w14:textId="77777777" w:rsidR="00535AD5" w:rsidRDefault="000F4CA5">
            <w:r>
              <w:rPr>
                <w:rFonts w:ascii="Arial" w:hAnsi="Arial"/>
                <w:sz w:val="18"/>
              </w:rPr>
              <w:t>33,611 tCO2e operational; 167.58 tCO2e/IDR bn financed</w:t>
            </w:r>
          </w:p>
        </w:tc>
        <w:tc>
          <w:tcPr>
            <w:tcW w:w="1290" w:type="dxa"/>
          </w:tcPr>
          <w:p w14:paraId="70971210" w14:textId="77777777" w:rsidR="00535AD5" w:rsidRDefault="000F4CA5">
            <w:r>
              <w:rPr>
                <w:rFonts w:ascii="Arial" w:hAnsi="Arial"/>
                <w:sz w:val="18"/>
              </w:rPr>
              <w:t>DBS: 2030 interim target</w:t>
            </w:r>
          </w:p>
        </w:tc>
      </w:tr>
    </w:tbl>
    <w:p w14:paraId="1312D969" w14:textId="77777777" w:rsidR="00535AD5" w:rsidRDefault="000F4CA5">
      <w:r>
        <w:rPr>
          <w:rFonts w:ascii="Arial" w:hAnsi="Arial"/>
          <w:i/>
          <w:sz w:val="16"/>
        </w:rPr>
        <w:t>Source: Recommended targets calculated from 2024 baseline data. Scope 1+2 baseline: 48,015.515 tCO2e (3,402.997 + 44,612.518). Scope 3 Cat 15 intensity baseline: 239.400139 tCO2e per IDR billion. Reduction percentages aligned with 1.5°C pathway per SBTi Financial Sector Science-Based Targets Guidance (Version 1.1, April 2024).</w:t>
      </w:r>
    </w:p>
    <w:p w14:paraId="552B534E" w14:textId="77777777" w:rsidR="00535AD5" w:rsidRDefault="00535AD5"/>
    <w:p w14:paraId="7A27C015" w14:textId="77777777" w:rsidR="00535AD5" w:rsidRDefault="000F4CA5">
      <w:r>
        <w:rPr>
          <w:rFonts w:ascii="Arial" w:hAnsi="Arial"/>
          <w:b/>
          <w:sz w:val="20"/>
        </w:rPr>
        <w:t>Table 3: Decarbonization Initiative Portfolio — Expected Contributions</w:t>
      </w:r>
    </w:p>
    <w:tbl>
      <w:tblPr>
        <w:tblW w:w="0" w:type="auto"/>
        <w:jc w:val="center"/>
        <w:tblLook w:val="04A0" w:firstRow="1" w:lastRow="0" w:firstColumn="1" w:lastColumn="0" w:noHBand="0" w:noVBand="1"/>
      </w:tblPr>
      <w:tblGrid>
        <w:gridCol w:w="1505"/>
        <w:gridCol w:w="1505"/>
        <w:gridCol w:w="1505"/>
        <w:gridCol w:w="1547"/>
        <w:gridCol w:w="1505"/>
        <w:gridCol w:w="1505"/>
      </w:tblGrid>
      <w:tr w:rsidR="00535AD5" w14:paraId="7A3AB197" w14:textId="77777777">
        <w:trPr>
          <w:jc w:val="center"/>
        </w:trPr>
        <w:tc>
          <w:tcPr>
            <w:tcW w:w="1505" w:type="dxa"/>
            <w:shd w:val="clear" w:color="auto" w:fill="1B3A6B"/>
          </w:tcPr>
          <w:p w14:paraId="6200E348" w14:textId="77777777" w:rsidR="00535AD5" w:rsidRDefault="000F4CA5">
            <w:r>
              <w:rPr>
                <w:rFonts w:ascii="Arial" w:hAnsi="Arial"/>
                <w:b/>
                <w:color w:val="FFFFFF"/>
                <w:sz w:val="18"/>
              </w:rPr>
              <w:t>Initiative Category</w:t>
            </w:r>
          </w:p>
        </w:tc>
        <w:tc>
          <w:tcPr>
            <w:tcW w:w="1505" w:type="dxa"/>
            <w:shd w:val="clear" w:color="auto" w:fill="1B3A6B"/>
          </w:tcPr>
          <w:p w14:paraId="571C3286" w14:textId="77777777" w:rsidR="00535AD5" w:rsidRDefault="000F4CA5">
            <w:r>
              <w:rPr>
                <w:rFonts w:ascii="Arial" w:hAnsi="Arial"/>
                <w:b/>
                <w:color w:val="FFFFFF"/>
                <w:sz w:val="18"/>
              </w:rPr>
              <w:t>Specific Actions</w:t>
            </w:r>
          </w:p>
        </w:tc>
        <w:tc>
          <w:tcPr>
            <w:tcW w:w="1505" w:type="dxa"/>
            <w:shd w:val="clear" w:color="auto" w:fill="1B3A6B"/>
          </w:tcPr>
          <w:p w14:paraId="6FCB11B3" w14:textId="77777777" w:rsidR="00535AD5" w:rsidRDefault="000F4CA5">
            <w:r>
              <w:rPr>
                <w:rFonts w:ascii="Arial" w:hAnsi="Arial"/>
                <w:b/>
                <w:color w:val="FFFFFF"/>
                <w:sz w:val="18"/>
              </w:rPr>
              <w:t>Expected Annual Reduction (tCO2e)</w:t>
            </w:r>
          </w:p>
        </w:tc>
        <w:tc>
          <w:tcPr>
            <w:tcW w:w="1505" w:type="dxa"/>
            <w:shd w:val="clear" w:color="auto" w:fill="1B3A6B"/>
          </w:tcPr>
          <w:p w14:paraId="5C72E3C1" w14:textId="77777777" w:rsidR="00535AD5" w:rsidRDefault="000F4CA5">
            <w:r>
              <w:rPr>
                <w:rFonts w:ascii="Arial" w:hAnsi="Arial"/>
                <w:b/>
                <w:color w:val="FFFFFF"/>
                <w:sz w:val="18"/>
              </w:rPr>
              <w:t>Implementation Timeline</w:t>
            </w:r>
          </w:p>
        </w:tc>
        <w:tc>
          <w:tcPr>
            <w:tcW w:w="1505" w:type="dxa"/>
            <w:shd w:val="clear" w:color="auto" w:fill="1B3A6B"/>
          </w:tcPr>
          <w:p w14:paraId="3E985A53" w14:textId="77777777" w:rsidR="00535AD5" w:rsidRDefault="000F4CA5">
            <w:r>
              <w:rPr>
                <w:rFonts w:ascii="Arial" w:hAnsi="Arial"/>
                <w:b/>
                <w:color w:val="FFFFFF"/>
                <w:sz w:val="18"/>
              </w:rPr>
              <w:t>Capital Requirement Estimate</w:t>
            </w:r>
          </w:p>
        </w:tc>
        <w:tc>
          <w:tcPr>
            <w:tcW w:w="1505" w:type="dxa"/>
            <w:shd w:val="clear" w:color="auto" w:fill="1B3A6B"/>
          </w:tcPr>
          <w:p w14:paraId="75CDFB9D" w14:textId="77777777" w:rsidR="00535AD5" w:rsidRDefault="000F4CA5">
            <w:r>
              <w:rPr>
                <w:rFonts w:ascii="Arial" w:hAnsi="Arial"/>
                <w:b/>
                <w:color w:val="FFFFFF"/>
                <w:sz w:val="18"/>
              </w:rPr>
              <w:t>Peer Reference</w:t>
            </w:r>
          </w:p>
        </w:tc>
      </w:tr>
      <w:tr w:rsidR="00535AD5" w14:paraId="7832D50D" w14:textId="77777777">
        <w:trPr>
          <w:jc w:val="center"/>
        </w:trPr>
        <w:tc>
          <w:tcPr>
            <w:tcW w:w="1505" w:type="dxa"/>
          </w:tcPr>
          <w:p w14:paraId="38BBDBED" w14:textId="77777777" w:rsidR="00535AD5" w:rsidRDefault="000F4CA5">
            <w:r>
              <w:rPr>
                <w:rFonts w:ascii="Arial" w:hAnsi="Arial"/>
                <w:sz w:val="18"/>
              </w:rPr>
              <w:t>Scope 1: Fuel Switching</w:t>
            </w:r>
          </w:p>
        </w:tc>
        <w:tc>
          <w:tcPr>
            <w:tcW w:w="1505" w:type="dxa"/>
          </w:tcPr>
          <w:p w14:paraId="19F0E67F" w14:textId="77777777" w:rsidR="00535AD5" w:rsidRDefault="000F4CA5">
            <w:r>
              <w:rPr>
                <w:rFonts w:ascii="Arial" w:hAnsi="Arial"/>
                <w:sz w:val="18"/>
              </w:rPr>
              <w:t>Biodiesel B35+ for backup generators</w:t>
            </w:r>
          </w:p>
        </w:tc>
        <w:tc>
          <w:tcPr>
            <w:tcW w:w="1505" w:type="dxa"/>
          </w:tcPr>
          <w:p w14:paraId="49C74FFB" w14:textId="77777777" w:rsidR="00535AD5" w:rsidRDefault="000F4CA5">
            <w:r>
              <w:rPr>
                <w:rFonts w:ascii="Arial" w:hAnsi="Arial"/>
                <w:sz w:val="18"/>
              </w:rPr>
              <w:t>330–440 tCO2e (15–20% of diesel emissions)</w:t>
            </w:r>
          </w:p>
        </w:tc>
        <w:tc>
          <w:tcPr>
            <w:tcW w:w="1505" w:type="dxa"/>
          </w:tcPr>
          <w:p w14:paraId="7E5432B6" w14:textId="77777777" w:rsidR="00535AD5" w:rsidRDefault="000F4CA5">
            <w:r>
              <w:rPr>
                <w:rFonts w:ascii="Arial" w:hAnsi="Arial"/>
                <w:sz w:val="18"/>
              </w:rPr>
              <w:t>2025–2026</w:t>
            </w:r>
          </w:p>
        </w:tc>
        <w:tc>
          <w:tcPr>
            <w:tcW w:w="1505" w:type="dxa"/>
          </w:tcPr>
          <w:p w14:paraId="7F2A6AD9" w14:textId="77777777" w:rsidR="00535AD5" w:rsidRDefault="000F4CA5">
            <w:r>
              <w:rPr>
                <w:rFonts w:ascii="Arial" w:hAnsi="Arial"/>
                <w:sz w:val="18"/>
              </w:rPr>
              <w:t>Minimal (fuel cost differential)</w:t>
            </w:r>
          </w:p>
        </w:tc>
        <w:tc>
          <w:tcPr>
            <w:tcW w:w="1505" w:type="dxa"/>
          </w:tcPr>
          <w:p w14:paraId="1951F50E" w14:textId="77777777" w:rsidR="00535AD5" w:rsidRDefault="000F4CA5">
            <w:r>
              <w:rPr>
                <w:rFonts w:ascii="Arial" w:hAnsi="Arial"/>
                <w:sz w:val="18"/>
              </w:rPr>
              <w:t>BRI: Green building program</w:t>
            </w:r>
          </w:p>
        </w:tc>
      </w:tr>
      <w:tr w:rsidR="00535AD5" w14:paraId="250F2CC0" w14:textId="77777777">
        <w:trPr>
          <w:jc w:val="center"/>
        </w:trPr>
        <w:tc>
          <w:tcPr>
            <w:tcW w:w="1505" w:type="dxa"/>
            <w:shd w:val="clear" w:color="auto" w:fill="F2F6FC"/>
          </w:tcPr>
          <w:p w14:paraId="5124520D" w14:textId="77777777" w:rsidR="00535AD5" w:rsidRDefault="000F4CA5">
            <w:r>
              <w:rPr>
                <w:rFonts w:ascii="Arial" w:hAnsi="Arial"/>
                <w:sz w:val="18"/>
              </w:rPr>
              <w:lastRenderedPageBreak/>
              <w:t>Scope 1: Fleet Electrification</w:t>
            </w:r>
          </w:p>
        </w:tc>
        <w:tc>
          <w:tcPr>
            <w:tcW w:w="1505" w:type="dxa"/>
            <w:shd w:val="clear" w:color="auto" w:fill="F2F6FC"/>
          </w:tcPr>
          <w:p w14:paraId="796CA026" w14:textId="77777777" w:rsidR="00535AD5" w:rsidRDefault="000F4CA5">
            <w:r>
              <w:rPr>
                <w:rFonts w:ascii="Arial" w:hAnsi="Arial"/>
                <w:sz w:val="18"/>
              </w:rPr>
              <w:t>Convert 25% of fleet to EVs (target: 60 vehicles)</w:t>
            </w:r>
          </w:p>
        </w:tc>
        <w:tc>
          <w:tcPr>
            <w:tcW w:w="1505" w:type="dxa"/>
            <w:shd w:val="clear" w:color="auto" w:fill="F2F6FC"/>
          </w:tcPr>
          <w:p w14:paraId="5748D36E" w14:textId="77777777" w:rsidR="00535AD5" w:rsidRDefault="000F4CA5">
            <w:r>
              <w:rPr>
                <w:rFonts w:ascii="Arial" w:hAnsi="Arial"/>
                <w:sz w:val="18"/>
              </w:rPr>
              <w:t>400–500 tCO2e (estimated)</w:t>
            </w:r>
          </w:p>
        </w:tc>
        <w:tc>
          <w:tcPr>
            <w:tcW w:w="1505" w:type="dxa"/>
            <w:shd w:val="clear" w:color="auto" w:fill="F2F6FC"/>
          </w:tcPr>
          <w:p w14:paraId="1FE40618" w14:textId="77777777" w:rsidR="00535AD5" w:rsidRDefault="000F4CA5">
            <w:r>
              <w:rPr>
                <w:rFonts w:ascii="Arial" w:hAnsi="Arial"/>
                <w:sz w:val="18"/>
              </w:rPr>
              <w:t>2025–2030</w:t>
            </w:r>
          </w:p>
        </w:tc>
        <w:tc>
          <w:tcPr>
            <w:tcW w:w="1505" w:type="dxa"/>
            <w:shd w:val="clear" w:color="auto" w:fill="F2F6FC"/>
          </w:tcPr>
          <w:p w14:paraId="09CA861D" w14:textId="77777777" w:rsidR="00535AD5" w:rsidRDefault="000F4CA5">
            <w:r>
              <w:rPr>
                <w:rFonts w:ascii="Arial" w:hAnsi="Arial"/>
                <w:sz w:val="18"/>
              </w:rPr>
              <w:t>IDR 30–40 billion (vehicle procurement + charging infrastructure)</w:t>
            </w:r>
          </w:p>
        </w:tc>
        <w:tc>
          <w:tcPr>
            <w:tcW w:w="1505" w:type="dxa"/>
            <w:shd w:val="clear" w:color="auto" w:fill="F2F6FC"/>
          </w:tcPr>
          <w:p w14:paraId="3987AD46" w14:textId="77777777" w:rsidR="00535AD5" w:rsidRDefault="000F4CA5">
            <w:r>
              <w:rPr>
                <w:rFonts w:ascii="Arial" w:hAnsi="Arial"/>
                <w:sz w:val="18"/>
              </w:rPr>
              <w:t>BRI: 118 EV cars + 150 EV bikes</w:t>
            </w:r>
          </w:p>
        </w:tc>
      </w:tr>
      <w:tr w:rsidR="00535AD5" w14:paraId="7BB3AEAD" w14:textId="77777777">
        <w:trPr>
          <w:jc w:val="center"/>
        </w:trPr>
        <w:tc>
          <w:tcPr>
            <w:tcW w:w="1505" w:type="dxa"/>
          </w:tcPr>
          <w:p w14:paraId="52347ED1" w14:textId="77777777" w:rsidR="00535AD5" w:rsidRDefault="000F4CA5">
            <w:r>
              <w:rPr>
                <w:rFonts w:ascii="Arial" w:hAnsi="Arial"/>
                <w:sz w:val="18"/>
              </w:rPr>
              <w:t>Scope 1: Generator Phase-Out</w:t>
            </w:r>
          </w:p>
        </w:tc>
        <w:tc>
          <w:tcPr>
            <w:tcW w:w="1505" w:type="dxa"/>
          </w:tcPr>
          <w:p w14:paraId="42F1F330" w14:textId="77777777" w:rsidR="00535AD5" w:rsidRDefault="000F4CA5">
            <w:r>
              <w:rPr>
                <w:rFonts w:ascii="Arial" w:hAnsi="Arial"/>
                <w:sz w:val="18"/>
              </w:rPr>
              <w:t>Eliminate diesel generators at 15 facilities with reliable grid</w:t>
            </w:r>
          </w:p>
        </w:tc>
        <w:tc>
          <w:tcPr>
            <w:tcW w:w="1505" w:type="dxa"/>
          </w:tcPr>
          <w:p w14:paraId="570B5B6B" w14:textId="77777777" w:rsidR="00535AD5" w:rsidRDefault="000F4CA5">
            <w:r>
              <w:rPr>
                <w:rFonts w:ascii="Arial" w:hAnsi="Arial"/>
                <w:sz w:val="18"/>
              </w:rPr>
              <w:t>800–1,000 tCO2e</w:t>
            </w:r>
          </w:p>
        </w:tc>
        <w:tc>
          <w:tcPr>
            <w:tcW w:w="1505" w:type="dxa"/>
          </w:tcPr>
          <w:p w14:paraId="69BEEFAF" w14:textId="77777777" w:rsidR="00535AD5" w:rsidRDefault="000F4CA5">
            <w:r>
              <w:rPr>
                <w:rFonts w:ascii="Arial" w:hAnsi="Arial"/>
                <w:sz w:val="18"/>
              </w:rPr>
              <w:t>2025–2027</w:t>
            </w:r>
          </w:p>
        </w:tc>
        <w:tc>
          <w:tcPr>
            <w:tcW w:w="1505" w:type="dxa"/>
          </w:tcPr>
          <w:p w14:paraId="5CFE0848" w14:textId="77777777" w:rsidR="00535AD5" w:rsidRDefault="000F4CA5">
            <w:r>
              <w:rPr>
                <w:rFonts w:ascii="Arial" w:hAnsi="Arial"/>
                <w:sz w:val="18"/>
              </w:rPr>
              <w:t>IDR 5–8 billion (UPS systems + grid upgrades)</w:t>
            </w:r>
          </w:p>
        </w:tc>
        <w:tc>
          <w:tcPr>
            <w:tcW w:w="1505" w:type="dxa"/>
          </w:tcPr>
          <w:p w14:paraId="189087BA" w14:textId="77777777" w:rsidR="00535AD5" w:rsidRDefault="000F4CA5">
            <w:r>
              <w:rPr>
                <w:rFonts w:ascii="Arial" w:hAnsi="Arial"/>
                <w:sz w:val="18"/>
              </w:rPr>
              <w:t>BRI: 19.49% electricity savings</w:t>
            </w:r>
          </w:p>
        </w:tc>
      </w:tr>
      <w:tr w:rsidR="00535AD5" w14:paraId="7709CD51" w14:textId="77777777">
        <w:trPr>
          <w:jc w:val="center"/>
        </w:trPr>
        <w:tc>
          <w:tcPr>
            <w:tcW w:w="1505" w:type="dxa"/>
            <w:shd w:val="clear" w:color="auto" w:fill="F2F6FC"/>
          </w:tcPr>
          <w:p w14:paraId="37412752" w14:textId="77777777" w:rsidR="00535AD5" w:rsidRDefault="000F4CA5">
            <w:r>
              <w:rPr>
                <w:rFonts w:ascii="Arial" w:hAnsi="Arial"/>
                <w:sz w:val="18"/>
              </w:rPr>
              <w:t>Scope 2: Renewable Energy PPAs</w:t>
            </w:r>
          </w:p>
        </w:tc>
        <w:tc>
          <w:tcPr>
            <w:tcW w:w="1505" w:type="dxa"/>
            <w:shd w:val="clear" w:color="auto" w:fill="F2F6FC"/>
          </w:tcPr>
          <w:p w14:paraId="598E5406" w14:textId="77777777" w:rsidR="00535AD5" w:rsidRDefault="000F4CA5">
            <w:r>
              <w:rPr>
                <w:rFonts w:ascii="Arial" w:hAnsi="Arial"/>
                <w:sz w:val="18"/>
              </w:rPr>
              <w:t>Procure 30% renewable electricity by 2030</w:t>
            </w:r>
          </w:p>
        </w:tc>
        <w:tc>
          <w:tcPr>
            <w:tcW w:w="1505" w:type="dxa"/>
            <w:shd w:val="clear" w:color="auto" w:fill="F2F6FC"/>
          </w:tcPr>
          <w:p w14:paraId="443A3ED9" w14:textId="77777777" w:rsidR="00535AD5" w:rsidRDefault="000F4CA5">
            <w:r>
              <w:rPr>
                <w:rFonts w:ascii="Arial" w:hAnsi="Arial"/>
                <w:sz w:val="18"/>
              </w:rPr>
              <w:t>13,384 tCO2e (30% of Scope 2)</w:t>
            </w:r>
          </w:p>
        </w:tc>
        <w:tc>
          <w:tcPr>
            <w:tcW w:w="1505" w:type="dxa"/>
            <w:shd w:val="clear" w:color="auto" w:fill="F2F6FC"/>
          </w:tcPr>
          <w:p w14:paraId="0989EE6A" w14:textId="77777777" w:rsidR="00535AD5" w:rsidRDefault="000F4CA5">
            <w:r>
              <w:rPr>
                <w:rFonts w:ascii="Arial" w:hAnsi="Arial"/>
                <w:sz w:val="18"/>
              </w:rPr>
              <w:t>2026–2030</w:t>
            </w:r>
          </w:p>
        </w:tc>
        <w:tc>
          <w:tcPr>
            <w:tcW w:w="1505" w:type="dxa"/>
            <w:shd w:val="clear" w:color="auto" w:fill="F2F6FC"/>
          </w:tcPr>
          <w:p w14:paraId="0B8C1B59" w14:textId="77777777" w:rsidR="00535AD5" w:rsidRDefault="000F4CA5">
            <w:r>
              <w:rPr>
                <w:rFonts w:ascii="Arial" w:hAnsi="Arial"/>
                <w:sz w:val="18"/>
              </w:rPr>
              <w:t>IDR 50–70 billion (PPA premiums over 5 years)</w:t>
            </w:r>
          </w:p>
        </w:tc>
        <w:tc>
          <w:tcPr>
            <w:tcW w:w="1505" w:type="dxa"/>
            <w:shd w:val="clear" w:color="auto" w:fill="F2F6FC"/>
          </w:tcPr>
          <w:p w14:paraId="1901D9B6" w14:textId="77777777" w:rsidR="00535AD5" w:rsidRDefault="000F4CA5">
            <w:r>
              <w:rPr>
                <w:rFonts w:ascii="Arial" w:hAnsi="Arial"/>
                <w:sz w:val="18"/>
              </w:rPr>
              <w:t>DBS: 62% renewable energy</w:t>
            </w:r>
          </w:p>
        </w:tc>
      </w:tr>
      <w:tr w:rsidR="00535AD5" w14:paraId="184D4763" w14:textId="77777777">
        <w:trPr>
          <w:jc w:val="center"/>
        </w:trPr>
        <w:tc>
          <w:tcPr>
            <w:tcW w:w="1505" w:type="dxa"/>
          </w:tcPr>
          <w:p w14:paraId="4E169117" w14:textId="77777777" w:rsidR="00535AD5" w:rsidRDefault="000F4CA5">
            <w:r>
              <w:rPr>
                <w:rFonts w:ascii="Arial" w:hAnsi="Arial"/>
                <w:sz w:val="18"/>
              </w:rPr>
              <w:t>Scope 2: Energy Efficiency</w:t>
            </w:r>
          </w:p>
        </w:tc>
        <w:tc>
          <w:tcPr>
            <w:tcW w:w="1505" w:type="dxa"/>
          </w:tcPr>
          <w:p w14:paraId="52C8F227" w14:textId="77777777" w:rsidR="00535AD5" w:rsidRDefault="000F4CA5">
            <w:r>
              <w:rPr>
                <w:rFonts w:ascii="Arial" w:hAnsi="Arial"/>
                <w:sz w:val="18"/>
              </w:rPr>
              <w:t>LED retrofit, HVAC optimization, auto-shutdown systems</w:t>
            </w:r>
          </w:p>
        </w:tc>
        <w:tc>
          <w:tcPr>
            <w:tcW w:w="1505" w:type="dxa"/>
          </w:tcPr>
          <w:p w14:paraId="01FE90FF" w14:textId="77777777" w:rsidR="00535AD5" w:rsidRDefault="000F4CA5">
            <w:r>
              <w:rPr>
                <w:rFonts w:ascii="Arial" w:hAnsi="Arial"/>
                <w:sz w:val="18"/>
              </w:rPr>
              <w:t>4,461 tCO2e (10% of Scope 2)</w:t>
            </w:r>
          </w:p>
        </w:tc>
        <w:tc>
          <w:tcPr>
            <w:tcW w:w="1505" w:type="dxa"/>
          </w:tcPr>
          <w:p w14:paraId="1E0D3D69" w14:textId="77777777" w:rsidR="00535AD5" w:rsidRDefault="000F4CA5">
            <w:r>
              <w:rPr>
                <w:rFonts w:ascii="Arial" w:hAnsi="Arial"/>
                <w:sz w:val="18"/>
              </w:rPr>
              <w:t>2025–2027</w:t>
            </w:r>
          </w:p>
        </w:tc>
        <w:tc>
          <w:tcPr>
            <w:tcW w:w="1505" w:type="dxa"/>
          </w:tcPr>
          <w:p w14:paraId="7CF9B684" w14:textId="77777777" w:rsidR="00535AD5" w:rsidRDefault="000F4CA5">
            <w:r>
              <w:rPr>
                <w:rFonts w:ascii="Arial" w:hAnsi="Arial"/>
                <w:sz w:val="18"/>
              </w:rPr>
              <w:t>IDR 20–30 billion (equipment + installation)</w:t>
            </w:r>
          </w:p>
        </w:tc>
        <w:tc>
          <w:tcPr>
            <w:tcW w:w="1505" w:type="dxa"/>
          </w:tcPr>
          <w:p w14:paraId="12DBE0D7" w14:textId="77777777" w:rsidR="00535AD5" w:rsidRDefault="000F4CA5">
            <w:r>
              <w:rPr>
                <w:rFonts w:ascii="Arial" w:hAnsi="Arial"/>
                <w:sz w:val="18"/>
              </w:rPr>
              <w:t>BRI: Kaseya auto-shutdown program</w:t>
            </w:r>
          </w:p>
        </w:tc>
      </w:tr>
      <w:tr w:rsidR="00535AD5" w14:paraId="6EAC8802" w14:textId="77777777">
        <w:trPr>
          <w:jc w:val="center"/>
        </w:trPr>
        <w:tc>
          <w:tcPr>
            <w:tcW w:w="1505" w:type="dxa"/>
            <w:shd w:val="clear" w:color="auto" w:fill="F2F6FC"/>
          </w:tcPr>
          <w:p w14:paraId="67B86C0A" w14:textId="77777777" w:rsidR="00535AD5" w:rsidRDefault="000F4CA5">
            <w:r>
              <w:rPr>
                <w:rFonts w:ascii="Arial" w:hAnsi="Arial"/>
                <w:sz w:val="18"/>
              </w:rPr>
              <w:t>Scope 2: On-Site Solar</w:t>
            </w:r>
          </w:p>
        </w:tc>
        <w:tc>
          <w:tcPr>
            <w:tcW w:w="1505" w:type="dxa"/>
            <w:shd w:val="clear" w:color="auto" w:fill="F2F6FC"/>
          </w:tcPr>
          <w:p w14:paraId="2915BBFD" w14:textId="77777777" w:rsidR="00535AD5" w:rsidRDefault="000F4CA5">
            <w:r>
              <w:rPr>
                <w:rFonts w:ascii="Arial" w:hAnsi="Arial"/>
                <w:sz w:val="18"/>
              </w:rPr>
              <w:t>Install solar PV at 50 high-consumption branches</w:t>
            </w:r>
          </w:p>
        </w:tc>
        <w:tc>
          <w:tcPr>
            <w:tcW w:w="1505" w:type="dxa"/>
            <w:shd w:val="clear" w:color="auto" w:fill="F2F6FC"/>
          </w:tcPr>
          <w:p w14:paraId="41D99228" w14:textId="77777777" w:rsidR="00535AD5" w:rsidRDefault="000F4CA5">
            <w:r>
              <w:rPr>
                <w:rFonts w:ascii="Arial" w:hAnsi="Arial"/>
                <w:sz w:val="18"/>
              </w:rPr>
              <w:t>2,231 tCO2e (5% of Scope 2)</w:t>
            </w:r>
          </w:p>
        </w:tc>
        <w:tc>
          <w:tcPr>
            <w:tcW w:w="1505" w:type="dxa"/>
            <w:shd w:val="clear" w:color="auto" w:fill="F2F6FC"/>
          </w:tcPr>
          <w:p w14:paraId="52C8D9AE" w14:textId="77777777" w:rsidR="00535AD5" w:rsidRDefault="000F4CA5">
            <w:r>
              <w:rPr>
                <w:rFonts w:ascii="Arial" w:hAnsi="Arial"/>
                <w:sz w:val="18"/>
              </w:rPr>
              <w:t>2026–2030</w:t>
            </w:r>
          </w:p>
        </w:tc>
        <w:tc>
          <w:tcPr>
            <w:tcW w:w="1505" w:type="dxa"/>
            <w:shd w:val="clear" w:color="auto" w:fill="F2F6FC"/>
          </w:tcPr>
          <w:p w14:paraId="7E53B72F" w14:textId="77777777" w:rsidR="00535AD5" w:rsidRDefault="000F4CA5">
            <w:r>
              <w:rPr>
                <w:rFonts w:ascii="Arial" w:hAnsi="Arial"/>
                <w:sz w:val="18"/>
              </w:rPr>
              <w:t>IDR 80–100 billion (PV systems + maintenance)</w:t>
            </w:r>
          </w:p>
        </w:tc>
        <w:tc>
          <w:tcPr>
            <w:tcW w:w="1505" w:type="dxa"/>
            <w:shd w:val="clear" w:color="auto" w:fill="F2F6FC"/>
          </w:tcPr>
          <w:p w14:paraId="6CA77125" w14:textId="77777777" w:rsidR="00535AD5" w:rsidRDefault="000F4CA5">
            <w:r>
              <w:rPr>
                <w:rFonts w:ascii="Arial" w:hAnsi="Arial"/>
                <w:sz w:val="18"/>
              </w:rPr>
              <w:t>BRI: Green Network branch program</w:t>
            </w:r>
          </w:p>
        </w:tc>
      </w:tr>
      <w:tr w:rsidR="00535AD5" w14:paraId="233A6351" w14:textId="77777777">
        <w:trPr>
          <w:jc w:val="center"/>
        </w:trPr>
        <w:tc>
          <w:tcPr>
            <w:tcW w:w="1505" w:type="dxa"/>
          </w:tcPr>
          <w:p w14:paraId="6BEAA065" w14:textId="77777777" w:rsidR="00535AD5" w:rsidRDefault="000F4CA5">
            <w:r>
              <w:rPr>
                <w:rFonts w:ascii="Arial" w:hAnsi="Arial"/>
                <w:sz w:val="18"/>
              </w:rPr>
              <w:t>Scope 3: Sectoral Credit Policies</w:t>
            </w:r>
          </w:p>
        </w:tc>
        <w:tc>
          <w:tcPr>
            <w:tcW w:w="1505" w:type="dxa"/>
          </w:tcPr>
          <w:p w14:paraId="231843A5" w14:textId="77777777" w:rsidR="00535AD5" w:rsidRDefault="000F4CA5">
            <w:r>
              <w:rPr>
                <w:rFonts w:ascii="Arial" w:hAnsi="Arial"/>
                <w:sz w:val="18"/>
              </w:rPr>
              <w:t>Limit exposure to coal, upstream O&amp;G; phase-out timelines</w:t>
            </w:r>
          </w:p>
        </w:tc>
        <w:tc>
          <w:tcPr>
            <w:tcW w:w="1505" w:type="dxa"/>
          </w:tcPr>
          <w:p w14:paraId="74E7DBA4" w14:textId="77777777" w:rsidR="00535AD5" w:rsidRDefault="000F4CA5">
            <w:r>
              <w:rPr>
                <w:rFonts w:ascii="Arial" w:hAnsi="Arial"/>
                <w:sz w:val="18"/>
              </w:rPr>
              <w:t>1,528,017 tCO2e (10% of financed emissions over 5 years)</w:t>
            </w:r>
          </w:p>
        </w:tc>
        <w:tc>
          <w:tcPr>
            <w:tcW w:w="1505" w:type="dxa"/>
          </w:tcPr>
          <w:p w14:paraId="7DE22673" w14:textId="77777777" w:rsidR="00535AD5" w:rsidRDefault="000F4CA5">
            <w:r>
              <w:rPr>
                <w:rFonts w:ascii="Arial" w:hAnsi="Arial"/>
                <w:sz w:val="18"/>
              </w:rPr>
              <w:t>2025–2030</w:t>
            </w:r>
          </w:p>
        </w:tc>
        <w:tc>
          <w:tcPr>
            <w:tcW w:w="1505" w:type="dxa"/>
          </w:tcPr>
          <w:p w14:paraId="67E9FDFD" w14:textId="77777777" w:rsidR="00535AD5" w:rsidRDefault="000F4CA5">
            <w:r>
              <w:rPr>
                <w:rFonts w:ascii="Arial" w:hAnsi="Arial"/>
                <w:sz w:val="18"/>
              </w:rPr>
              <w:t>Revenue impact (foregone lending opportunities)</w:t>
            </w:r>
          </w:p>
        </w:tc>
        <w:tc>
          <w:tcPr>
            <w:tcW w:w="1505" w:type="dxa"/>
          </w:tcPr>
          <w:p w14:paraId="16C1C8A0" w14:textId="77777777" w:rsidR="00535AD5" w:rsidRDefault="000F4CA5">
            <w:r>
              <w:rPr>
                <w:rFonts w:ascii="Arial" w:hAnsi="Arial"/>
                <w:sz w:val="18"/>
              </w:rPr>
              <w:t>BCA: Coal, palm oil, cement, O&amp;G policies</w:t>
            </w:r>
          </w:p>
        </w:tc>
      </w:tr>
      <w:tr w:rsidR="00535AD5" w14:paraId="5D5855F7" w14:textId="77777777">
        <w:trPr>
          <w:jc w:val="center"/>
        </w:trPr>
        <w:tc>
          <w:tcPr>
            <w:tcW w:w="1505" w:type="dxa"/>
            <w:shd w:val="clear" w:color="auto" w:fill="F2F6FC"/>
          </w:tcPr>
          <w:p w14:paraId="1200CEF4" w14:textId="77777777" w:rsidR="00535AD5" w:rsidRDefault="000F4CA5">
            <w:r>
              <w:rPr>
                <w:rFonts w:ascii="Arial" w:hAnsi="Arial"/>
                <w:sz w:val="18"/>
              </w:rPr>
              <w:t>Scope 3: Client Engagement</w:t>
            </w:r>
          </w:p>
        </w:tc>
        <w:tc>
          <w:tcPr>
            <w:tcW w:w="1505" w:type="dxa"/>
            <w:shd w:val="clear" w:color="auto" w:fill="F2F6FC"/>
          </w:tcPr>
          <w:p w14:paraId="441026C8" w14:textId="77777777" w:rsidR="00535AD5" w:rsidRDefault="000F4CA5">
            <w:r>
              <w:rPr>
                <w:rFonts w:ascii="Arial" w:hAnsi="Arial"/>
                <w:sz w:val="18"/>
              </w:rPr>
              <w:t>Transition plans for top 50 emitters (70% of financed emissions)</w:t>
            </w:r>
          </w:p>
        </w:tc>
        <w:tc>
          <w:tcPr>
            <w:tcW w:w="1505" w:type="dxa"/>
            <w:shd w:val="clear" w:color="auto" w:fill="F2F6FC"/>
          </w:tcPr>
          <w:p w14:paraId="3AAC8CB7" w14:textId="77777777" w:rsidR="00535AD5" w:rsidRDefault="000F4CA5">
            <w:r>
              <w:rPr>
                <w:rFonts w:ascii="Arial" w:hAnsi="Arial"/>
                <w:sz w:val="18"/>
              </w:rPr>
              <w:t>3,056,035 tCO2e (20% reduction from engaged clients)</w:t>
            </w:r>
          </w:p>
        </w:tc>
        <w:tc>
          <w:tcPr>
            <w:tcW w:w="1505" w:type="dxa"/>
            <w:shd w:val="clear" w:color="auto" w:fill="F2F6FC"/>
          </w:tcPr>
          <w:p w14:paraId="089F1BF4" w14:textId="77777777" w:rsidR="00535AD5" w:rsidRDefault="000F4CA5">
            <w:r>
              <w:rPr>
                <w:rFonts w:ascii="Arial" w:hAnsi="Arial"/>
                <w:sz w:val="18"/>
              </w:rPr>
              <w:t>2025–2030</w:t>
            </w:r>
          </w:p>
        </w:tc>
        <w:tc>
          <w:tcPr>
            <w:tcW w:w="1505" w:type="dxa"/>
            <w:shd w:val="clear" w:color="auto" w:fill="F2F6FC"/>
          </w:tcPr>
          <w:p w14:paraId="5B002074" w14:textId="77777777" w:rsidR="00535AD5" w:rsidRDefault="000F4CA5">
            <w:r>
              <w:rPr>
                <w:rFonts w:ascii="Arial" w:hAnsi="Arial"/>
                <w:sz w:val="18"/>
              </w:rPr>
              <w:t>IDR 10–15 billion (engagement program + technical assistance)</w:t>
            </w:r>
          </w:p>
        </w:tc>
        <w:tc>
          <w:tcPr>
            <w:tcW w:w="1505" w:type="dxa"/>
            <w:shd w:val="clear" w:color="auto" w:fill="F2F6FC"/>
          </w:tcPr>
          <w:p w14:paraId="2EE9E08D" w14:textId="77777777" w:rsidR="00535AD5" w:rsidRDefault="000F4CA5">
            <w:r>
              <w:rPr>
                <w:rFonts w:ascii="Arial" w:hAnsi="Arial"/>
                <w:sz w:val="18"/>
              </w:rPr>
              <w:t>BRI: SBTi portfolio alignment</w:t>
            </w:r>
          </w:p>
        </w:tc>
      </w:tr>
    </w:tbl>
    <w:p w14:paraId="20E6CF48" w14:textId="77777777" w:rsidR="00535AD5" w:rsidRDefault="000F4CA5">
      <w:r>
        <w:rPr>
          <w:rFonts w:ascii="Arial" w:hAnsi="Arial"/>
          <w:i/>
          <w:sz w:val="16"/>
        </w:rPr>
        <w:t>Source: Expected reductions are estimates based on peer bank achievements and industry benchmarks. Actual reductions will depend on implementation effectiveness and external factors (e.g., grid decarbonization, client cooperation). Capital requirements are preliminary estimates requiring detailed feasibility studies.</w:t>
      </w:r>
    </w:p>
    <w:p w14:paraId="51AABBDF" w14:textId="77777777" w:rsidR="00535AD5" w:rsidRDefault="00535AD5"/>
    <w:p w14:paraId="1DF63520" w14:textId="77777777" w:rsidR="00535AD5" w:rsidRDefault="000F4CA5">
      <w:r>
        <w:rPr>
          <w:i/>
          <w:color w:val="3D6094"/>
          <w:sz w:val="18"/>
        </w:rPr>
        <w:t>Framework references: IFRS S2 Para 33 — Climate-related targets (quantitative/qualitative); IFRS S2 Para 33(a) — Metric used to set target; IFRS S2 Para 33(b) — Objective of target; IFRS S2 Para 33(c) — Part of entity to which target applies; IFRS S2 Para 33(d) — How entity intends to meet target; IFRS S2 Para 33(e) — Period over which target applies; IFRS S2 Para 33(f) — Base period for measuring progress; IFRS S2 Para 33(g) — Milestones or interim targets; IFRS S2 Para 33(h) — Use of carbon credits to off</w:t>
      </w:r>
      <w:r>
        <w:rPr>
          <w:i/>
          <w:color w:val="3D6094"/>
          <w:sz w:val="18"/>
        </w:rPr>
        <w:t>set emissions; IFRS S2 Para 34 — Performance against targets; IFRS S2 Para 37 — Reporting period in which targets were set; IFRS S2 Para B66 — Absolute vs intensity targets; IFRS S2 Para B67 — Target characteristics disclosure</w:t>
      </w:r>
    </w:p>
    <w:p w14:paraId="0960E1AC" w14:textId="77777777" w:rsidR="00535AD5" w:rsidRDefault="00535AD5">
      <w:pPr>
        <w:pBdr>
          <w:bottom w:val="single" w:sz="6" w:space="1" w:color="999999"/>
        </w:pBdr>
        <w:spacing w:after="80"/>
      </w:pPr>
    </w:p>
    <w:p w14:paraId="64BE3D2D"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713DE24D" w14:textId="77777777" w:rsidR="00535AD5" w:rsidRDefault="000F4CA5">
      <w:pPr>
        <w:spacing w:after="160"/>
        <w:jc w:val="both"/>
      </w:pPr>
      <w:r>
        <w:rPr>
          <w:rFonts w:ascii="Arial" w:hAnsi="Arial"/>
          <w:i/>
          <w:color w:val="646464"/>
          <w:sz w:val="18"/>
        </w:rPr>
        <w:t>All target recommendations are based on Science Based Targets initiative (SBTi) Financial Sector Science-Based Targets Guidance (Version 1.1, April 2024) and alignment with 1.5°C pathways per the Paris Agreement.</w:t>
      </w:r>
    </w:p>
    <w:p w14:paraId="6E1FA6F2" w14:textId="77777777" w:rsidR="00535AD5" w:rsidRDefault="000F4CA5">
      <w:pPr>
        <w:spacing w:after="160"/>
        <w:jc w:val="both"/>
      </w:pPr>
      <w:r>
        <w:rPr>
          <w:rFonts w:ascii="Arial" w:hAnsi="Arial"/>
          <w:i/>
          <w:color w:val="646464"/>
          <w:sz w:val="18"/>
        </w:rPr>
        <w:lastRenderedPageBreak/>
        <w:t>Peer benchmark data sourced from publicly available sustainability reports: Bank Rakyat Indonesia (BRI) Sustainability Report 2023, DBS Bank Sustainability Report 2023, Bank Central Asia (BCA) Sustainability Report 2023.</w:t>
      </w:r>
    </w:p>
    <w:p w14:paraId="4F547F3C" w14:textId="77777777" w:rsidR="00535AD5" w:rsidRDefault="000F4CA5">
      <w:pPr>
        <w:spacing w:after="160"/>
        <w:jc w:val="both"/>
      </w:pPr>
      <w:r>
        <w:rPr>
          <w:rFonts w:ascii="Arial" w:hAnsi="Arial"/>
          <w:i/>
          <w:color w:val="646464"/>
          <w:sz w:val="18"/>
        </w:rPr>
        <w:t>Financed emissions intensity calculated as Scope 3 Category 15 weighted emissions divided by total outstanding loan portfolio (IDR 1,541.18 trillion per pcaf_sectors data).</w:t>
      </w:r>
    </w:p>
    <w:p w14:paraId="77A1FB3B" w14:textId="77777777" w:rsidR="00535AD5" w:rsidRDefault="000F4CA5">
      <w:pPr>
        <w:spacing w:after="160"/>
        <w:jc w:val="both"/>
      </w:pPr>
      <w:r>
        <w:rPr>
          <w:rFonts w:ascii="Arial" w:hAnsi="Arial"/>
          <w:i/>
          <w:color w:val="646464"/>
          <w:sz w:val="18"/>
        </w:rPr>
        <w:t>Capital requirement estimates for decarbonization initiatives are preliminary and subject to detailed feasibility studies and market conditions.</w:t>
      </w:r>
    </w:p>
    <w:p w14:paraId="1C300FDB" w14:textId="77777777" w:rsidR="00535AD5" w:rsidRDefault="000F4CA5">
      <w:pPr>
        <w:spacing w:after="160"/>
        <w:jc w:val="both"/>
      </w:pPr>
      <w:r>
        <w:rPr>
          <w:rFonts w:ascii="Arial" w:hAnsi="Arial"/>
          <w:i/>
          <w:color w:val="646464"/>
          <w:sz w:val="18"/>
        </w:rPr>
        <w:t>The institution's current 4.07% year-over-year emissions reduction (2024 vs 2023) demonstrates operational improvement but is not anchored to a strategic target framework with defined milestones and accountability mechanisms.</w:t>
      </w:r>
    </w:p>
    <w:p w14:paraId="7ADCFD20" w14:textId="77777777" w:rsidR="00535AD5" w:rsidRDefault="000F4CA5">
      <w:r>
        <w:br w:type="page"/>
      </w:r>
    </w:p>
    <w:p w14:paraId="0AE7BA27" w14:textId="77777777" w:rsidR="00535AD5" w:rsidRDefault="000F4CA5">
      <w:pPr>
        <w:pStyle w:val="Heading1"/>
        <w:spacing w:after="240"/>
      </w:pPr>
      <w:bookmarkStart w:id="11" w:name="_Toc231920346"/>
      <w:r>
        <w:rPr>
          <w:rFonts w:ascii="Arial" w:hAnsi="Arial"/>
          <w:color w:val="1B3A6B"/>
          <w:sz w:val="36"/>
        </w:rPr>
        <w:lastRenderedPageBreak/>
        <w:t>GRI 305-3: Other Indirect (Scope 3) GHG Emissions — PCAF Financed Emissions</w:t>
      </w:r>
      <w:bookmarkEnd w:id="11"/>
    </w:p>
    <w:p w14:paraId="76DD11A7" w14:textId="77777777" w:rsidR="00535AD5" w:rsidRDefault="000F4CA5">
      <w:pPr>
        <w:spacing w:after="160"/>
        <w:jc w:val="both"/>
      </w:pPr>
      <w:r>
        <w:rPr>
          <w:rFonts w:ascii="Arial" w:hAnsi="Arial"/>
        </w:rPr>
        <w:t>The organization's financed emissions for the reporting period totaled 21,976,797.3 tCO2e on a gross basis, representing the absolute greenhouse gas emissions attributable to the institution's lending and investment portfolio under the Partnership for Carbon Accounting Financials (PCAF) Global GHG Accounting Standard. This figure encompasses all material Scope 3 Category 15 emissions from corporate loans across ten economic sectors within the institution's operational control boundary. The confidence-weight</w:t>
      </w:r>
      <w:r>
        <w:rPr>
          <w:rFonts w:ascii="Arial" w:hAnsi="Arial"/>
        </w:rPr>
        <w:t>ed financed emissions, adjusted for data quality using PCAF confidence factors, totaled 15,280,174.14 tCO2e for the same period.</w:t>
      </w:r>
    </w:p>
    <w:p w14:paraId="19FB294F" w14:textId="77777777" w:rsidR="00535AD5" w:rsidRDefault="000F4CA5">
      <w:pPr>
        <w:spacing w:after="160"/>
        <w:jc w:val="both"/>
      </w:pPr>
      <w:r>
        <w:rPr>
          <w:rFonts w:ascii="Arial" w:hAnsi="Arial"/>
          <w:i/>
        </w:rPr>
        <w:t>The institution applies the PCAF attribution methodology, which calculates financed emissions using the formula: Financed Emissions = Outstanding Amount ÷ (Total Equity + Total Debt) × Borrower Emissions. This approach allocates a proportional share of each borrower's total emissions to the institution based on the institution's financing relative to the borrower's total capital structure. The methodology covers corporate loans as the primary asset class, representing IDR 1,541.18 trillion in total outstand</w:t>
      </w:r>
      <w:r>
        <w:rPr>
          <w:rFonts w:ascii="Arial" w:hAnsi="Arial"/>
          <w:i/>
        </w:rPr>
        <w:t>ing exposure across 1,955 borrower relationships. Emission factors are derived from borrower-reported data where available (PCAF Score 1-2), supplemented by environmentally-extended input-output (EEIO) models for borrowers without direct emissions disclosures (PCAF Score 3-5).</w:t>
      </w:r>
    </w:p>
    <w:p w14:paraId="536C7611" w14:textId="77777777" w:rsidR="00535AD5" w:rsidRDefault="000F4CA5">
      <w:pPr>
        <w:spacing w:after="160"/>
        <w:jc w:val="both"/>
      </w:pPr>
      <w:r>
        <w:rPr>
          <w:rFonts w:ascii="Arial" w:hAnsi="Arial"/>
        </w:rPr>
        <w:t>The distinction between gross and confidence-weighted financed emissions reflects the institution's data quality assessment under PCAF requirements. Gross financed emissions of 21,976,797.3 tCO2e represent the unadjusted total calculated using available emission factors across all data quality tiers. Confidence-weighted financed emissions of 15,280,174.14 tCO2e apply PCAF confidence factors (ranging from 1.00 for verified data to 0.45 for sector-average proxies) to adjust for uncertainty in underlying emiss</w:t>
      </w:r>
      <w:r>
        <w:rPr>
          <w:rFonts w:ascii="Arial" w:hAnsi="Arial"/>
        </w:rPr>
        <w:t>ions data. The 30.47% reduction from gross to weighted figures indicates substantial reliance on lower-quality data sources, with the portfolio-weighted average PCAF data quality score of 3.36 falling within Tier 3-4 range (EEIO-based estimation methods).</w:t>
      </w:r>
    </w:p>
    <w:p w14:paraId="02FA5720" w14:textId="77777777" w:rsidR="00535AD5" w:rsidRDefault="000F4CA5">
      <w:pPr>
        <w:spacing w:after="160"/>
        <w:jc w:val="both"/>
      </w:pPr>
      <w:r>
        <w:rPr>
          <w:rFonts w:ascii="Arial" w:hAnsi="Arial"/>
        </w:rPr>
        <w:t xml:space="preserve">Three carbon-intensive sectors dominate the institution's financed emissions profile. Energy - Oil &amp; Gas accounts for 9,573,144.27 tCO2e gross (43.56% of total financed emissions) from IDR 102.67 trillion in outstanding loans to 135 borrowers, with an emission intensity of 93.242 tCO2e per IDR billion exposure. Manufacturing - Cement contributes 5,813,830.91 tCO2e gross (26.45% of total) from IDR 107.68 trillion across 161 borrowers, with emission intensity of 53.9927 tCO2e per IDR billion. Manufacturing - </w:t>
      </w:r>
      <w:r>
        <w:rPr>
          <w:rFonts w:ascii="Arial" w:hAnsi="Arial"/>
        </w:rPr>
        <w:t>Steel represents 3,499,463.0 tCO2e gross (15.92% of total) from IDR 108.62 trillion to 122 borrowers, with emission intensity of 32.2175 tCO2e per IDR billion. These three sectors collectively account for 85.93% of total financed emissions while representing only 20.70% of portfolio value, highlighting significant concentration risk in carbon-intensive industries.</w:t>
      </w:r>
    </w:p>
    <w:p w14:paraId="58ED1E25" w14:textId="77777777" w:rsidR="00535AD5" w:rsidRDefault="000F4CA5">
      <w:pPr>
        <w:spacing w:after="160"/>
        <w:jc w:val="both"/>
      </w:pPr>
      <w:r>
        <w:rPr>
          <w:rFonts w:ascii="Arial" w:hAnsi="Arial"/>
        </w:rPr>
        <w:t>The portfolio-weighted average PCAF data quality score of 3.36 indicates predominant reliance on EEIO models combined with borrower revenue data (Tier 3 methodology). This score reflects limited access to borrower-level emissions disclosures, with the majority of financed emissions calculated using sector-average emission factors rather than company-specific data. The institution has not disclosed the percentage of portfolio covered by high-</w:t>
      </w:r>
      <w:r>
        <w:rPr>
          <w:rFonts w:ascii="Arial" w:hAnsi="Arial"/>
        </w:rPr>
        <w:lastRenderedPageBreak/>
        <w:t>quality data (PCAF Score 1-2) or the overall portfolio coverage percentage for PCAF calculations. Sector-level data quality varies, with Real Estate - Commercial achieving the highest quality score of 3.27 and Financial Services recording the lowest at 3.42, though all sectors remain within the Tier 3-4 range.</w:t>
      </w:r>
    </w:p>
    <w:p w14:paraId="1BAA6223" w14:textId="77777777" w:rsidR="00535AD5" w:rsidRDefault="000F4CA5">
      <w:pPr>
        <w:spacing w:after="160"/>
        <w:jc w:val="both"/>
      </w:pPr>
      <w:r>
        <w:rPr>
          <w:rFonts w:ascii="Arial" w:hAnsi="Arial"/>
        </w:rPr>
        <w:t>Year-over-year comparison of financed emissions is not available for the current reporting period, as the institution has not disclosed prior-year financed emissions calculated under the PCAF methodology. The absence of trend data limits the ability to assess portfolio decarbonization progress or the impact of sectoral credit policies on emissions trajectory. Establishing a baseline year and implementing consistent annual measurement is essential for tracking alignment with climate commitments and demonstra</w:t>
      </w:r>
      <w:r>
        <w:rPr>
          <w:rFonts w:ascii="Arial" w:hAnsi="Arial"/>
        </w:rPr>
        <w:t>ting progress toward portfolio temperature targets.</w:t>
      </w:r>
    </w:p>
    <w:p w14:paraId="7283AA62" w14:textId="77777777" w:rsidR="00535AD5" w:rsidRDefault="000F4CA5">
      <w:pPr>
        <w:spacing w:after="160"/>
        <w:jc w:val="both"/>
      </w:pPr>
      <w:r>
        <w:rPr>
          <w:rFonts w:ascii="Arial" w:hAnsi="Arial"/>
        </w:rPr>
        <w:t>The institution has not disclosed the portfolio coverage percentage for PCAF financed emissions calculations. PCAF signatory requirements recommend achieving &gt;90% portfolio coverage within three years of joining the partnership to ensure comprehensive emissions accounting. Without stated coverage metrics, stakeholders cannot assess the completeness of the institution's Scope 3 Category 15 inventory or the representativeness of reported financed emissions relative to total lending activities.</w:t>
      </w:r>
    </w:p>
    <w:p w14:paraId="402C715B" w14:textId="77777777" w:rsidR="00535AD5" w:rsidRDefault="000F4CA5">
      <w:pPr>
        <w:spacing w:after="160"/>
        <w:jc w:val="both"/>
      </w:pPr>
      <w:r>
        <w:rPr>
          <w:rFonts w:ascii="Arial" w:hAnsi="Arial"/>
          <w:i/>
          <w:color w:val="555555"/>
        </w:rPr>
        <w:t>The portfolio-weighted average PCAF data quality score of 3.36 indicates significant opportunity for data quality improvement through enhanced borrower engagement and disclosure requirements. The institution should implement a structured data quality improvement roadmap targeting migration from Tier 3-4 (EEIO-based) to Tier 1-2 (reported/verified) data sources. Priority actions include: (1) integrating emissions disclosure requirements into loan covenants for high-emitting borrowers, (2) providing technical</w:t>
      </w:r>
      <w:r>
        <w:rPr>
          <w:rFonts w:ascii="Arial" w:hAnsi="Arial"/>
          <w:i/>
          <w:color w:val="555555"/>
        </w:rPr>
        <w:t xml:space="preserve"> assistance to borrowers for GHG inventory development, (3) establishing data-sharing agreements with borrowers in carbon-intensive sectors, and (4) leveraging third-party data providers for enhanced emissions estimates. Peer institutions such as BRI have demonstrated feasibility of improving data quality through systematic borrower engagement programs aligned with Science Based Targets initiative (SBTi) commitments.</w:t>
      </w:r>
    </w:p>
    <w:p w14:paraId="04057E5D" w14:textId="77777777" w:rsidR="00535AD5" w:rsidRDefault="000F4CA5">
      <w:r>
        <w:rPr>
          <w:rFonts w:ascii="Arial" w:hAnsi="Arial"/>
          <w:b/>
          <w:sz w:val="20"/>
        </w:rPr>
        <w:t>Table 1: Financed Emissions by Economic Sector (Top 5 by Gross Emissions)</w:t>
      </w:r>
    </w:p>
    <w:tbl>
      <w:tblPr>
        <w:tblW w:w="0" w:type="auto"/>
        <w:jc w:val="center"/>
        <w:tblLook w:val="04A0" w:firstRow="1" w:lastRow="0" w:firstColumn="1" w:lastColumn="0" w:noHBand="0" w:noVBand="1"/>
      </w:tblPr>
      <w:tblGrid>
        <w:gridCol w:w="1247"/>
        <w:gridCol w:w="1157"/>
        <w:gridCol w:w="928"/>
        <w:gridCol w:w="1150"/>
        <w:gridCol w:w="1150"/>
        <w:gridCol w:w="1061"/>
        <w:gridCol w:w="874"/>
        <w:gridCol w:w="1017"/>
        <w:gridCol w:w="661"/>
      </w:tblGrid>
      <w:tr w:rsidR="00535AD5" w14:paraId="57077502" w14:textId="77777777">
        <w:trPr>
          <w:jc w:val="center"/>
        </w:trPr>
        <w:tc>
          <w:tcPr>
            <w:tcW w:w="1003" w:type="dxa"/>
            <w:shd w:val="clear" w:color="auto" w:fill="1B3A6B"/>
          </w:tcPr>
          <w:p w14:paraId="61CD6224" w14:textId="77777777" w:rsidR="00535AD5" w:rsidRDefault="000F4CA5">
            <w:r>
              <w:rPr>
                <w:rFonts w:ascii="Arial" w:hAnsi="Arial"/>
                <w:b/>
                <w:color w:val="FFFFFF"/>
                <w:sz w:val="18"/>
              </w:rPr>
              <w:t>Sector</w:t>
            </w:r>
          </w:p>
        </w:tc>
        <w:tc>
          <w:tcPr>
            <w:tcW w:w="1003" w:type="dxa"/>
            <w:shd w:val="clear" w:color="auto" w:fill="1B3A6B"/>
          </w:tcPr>
          <w:p w14:paraId="1F3AED4D" w14:textId="77777777" w:rsidR="00535AD5" w:rsidRDefault="000F4CA5">
            <w:r>
              <w:rPr>
                <w:rFonts w:ascii="Arial" w:hAnsi="Arial"/>
                <w:b/>
                <w:color w:val="FFFFFF"/>
                <w:sz w:val="18"/>
              </w:rPr>
              <w:t>Outstanding (IDR Trillion)</w:t>
            </w:r>
          </w:p>
        </w:tc>
        <w:tc>
          <w:tcPr>
            <w:tcW w:w="1003" w:type="dxa"/>
            <w:shd w:val="clear" w:color="auto" w:fill="1B3A6B"/>
          </w:tcPr>
          <w:p w14:paraId="32AE5DDE" w14:textId="77777777" w:rsidR="00535AD5" w:rsidRDefault="000F4CA5">
            <w:r>
              <w:rPr>
                <w:rFonts w:ascii="Arial" w:hAnsi="Arial"/>
                <w:b/>
                <w:color w:val="FFFFFF"/>
                <w:sz w:val="18"/>
              </w:rPr>
              <w:t>Borrower Count</w:t>
            </w:r>
          </w:p>
        </w:tc>
        <w:tc>
          <w:tcPr>
            <w:tcW w:w="1003" w:type="dxa"/>
            <w:shd w:val="clear" w:color="auto" w:fill="1B3A6B"/>
          </w:tcPr>
          <w:p w14:paraId="6653DEA5" w14:textId="77777777" w:rsidR="00535AD5" w:rsidRDefault="000F4CA5">
            <w:r>
              <w:rPr>
                <w:rFonts w:ascii="Arial" w:hAnsi="Arial"/>
                <w:b/>
                <w:color w:val="FFFFFF"/>
                <w:sz w:val="18"/>
              </w:rPr>
              <w:t>Gross Financed Emissions (tCO2e)</w:t>
            </w:r>
          </w:p>
        </w:tc>
        <w:tc>
          <w:tcPr>
            <w:tcW w:w="1003" w:type="dxa"/>
            <w:shd w:val="clear" w:color="auto" w:fill="1B3A6B"/>
          </w:tcPr>
          <w:p w14:paraId="3A914758" w14:textId="77777777" w:rsidR="00535AD5" w:rsidRDefault="000F4CA5">
            <w:r>
              <w:rPr>
                <w:rFonts w:ascii="Arial" w:hAnsi="Arial"/>
                <w:b/>
                <w:color w:val="FFFFFF"/>
                <w:sz w:val="18"/>
              </w:rPr>
              <w:t>Weighted Financed Emissions (tCO2e)</w:t>
            </w:r>
          </w:p>
        </w:tc>
        <w:tc>
          <w:tcPr>
            <w:tcW w:w="1003" w:type="dxa"/>
            <w:shd w:val="clear" w:color="auto" w:fill="1B3A6B"/>
          </w:tcPr>
          <w:p w14:paraId="726AC7EB" w14:textId="77777777" w:rsidR="00535AD5" w:rsidRDefault="000F4CA5">
            <w:r>
              <w:rPr>
                <w:rFonts w:ascii="Arial" w:hAnsi="Arial"/>
                <w:b/>
                <w:color w:val="FFFFFF"/>
                <w:sz w:val="18"/>
              </w:rPr>
              <w:t>Emission Intensity (tCO2e/IDR Bn)</w:t>
            </w:r>
          </w:p>
        </w:tc>
        <w:tc>
          <w:tcPr>
            <w:tcW w:w="1003" w:type="dxa"/>
            <w:shd w:val="clear" w:color="auto" w:fill="1B3A6B"/>
          </w:tcPr>
          <w:p w14:paraId="0584711E" w14:textId="77777777" w:rsidR="00535AD5" w:rsidRDefault="000F4CA5">
            <w:r>
              <w:rPr>
                <w:rFonts w:ascii="Arial" w:hAnsi="Arial"/>
                <w:b/>
                <w:color w:val="FFFFFF"/>
                <w:sz w:val="18"/>
              </w:rPr>
              <w:t>% of Portfolio</w:t>
            </w:r>
          </w:p>
        </w:tc>
        <w:tc>
          <w:tcPr>
            <w:tcW w:w="1003" w:type="dxa"/>
            <w:shd w:val="clear" w:color="auto" w:fill="1B3A6B"/>
          </w:tcPr>
          <w:p w14:paraId="44F4515B" w14:textId="77777777" w:rsidR="00535AD5" w:rsidRDefault="000F4CA5">
            <w:r>
              <w:rPr>
                <w:rFonts w:ascii="Arial" w:hAnsi="Arial"/>
                <w:b/>
                <w:color w:val="FFFFFF"/>
                <w:sz w:val="18"/>
              </w:rPr>
              <w:t>% of Total Emissions</w:t>
            </w:r>
          </w:p>
        </w:tc>
        <w:tc>
          <w:tcPr>
            <w:tcW w:w="1003" w:type="dxa"/>
            <w:shd w:val="clear" w:color="auto" w:fill="1B3A6B"/>
          </w:tcPr>
          <w:p w14:paraId="6BE1F882" w14:textId="77777777" w:rsidR="00535AD5" w:rsidRDefault="000F4CA5">
            <w:r>
              <w:rPr>
                <w:rFonts w:ascii="Arial" w:hAnsi="Arial"/>
                <w:b/>
                <w:color w:val="FFFFFF"/>
                <w:sz w:val="18"/>
              </w:rPr>
              <w:t>Avg PCAF Score</w:t>
            </w:r>
          </w:p>
        </w:tc>
      </w:tr>
      <w:tr w:rsidR="00535AD5" w14:paraId="636CD0EF" w14:textId="77777777">
        <w:trPr>
          <w:jc w:val="center"/>
        </w:trPr>
        <w:tc>
          <w:tcPr>
            <w:tcW w:w="1003" w:type="dxa"/>
          </w:tcPr>
          <w:p w14:paraId="5420A937" w14:textId="77777777" w:rsidR="00535AD5" w:rsidRDefault="000F4CA5">
            <w:r>
              <w:rPr>
                <w:rFonts w:ascii="Arial" w:hAnsi="Arial"/>
                <w:sz w:val="18"/>
              </w:rPr>
              <w:t>Energy - Oil &amp; Gas</w:t>
            </w:r>
          </w:p>
        </w:tc>
        <w:tc>
          <w:tcPr>
            <w:tcW w:w="1003" w:type="dxa"/>
          </w:tcPr>
          <w:p w14:paraId="04087482" w14:textId="77777777" w:rsidR="00535AD5" w:rsidRDefault="000F4CA5">
            <w:pPr>
              <w:jc w:val="right"/>
            </w:pPr>
            <w:r>
              <w:rPr>
                <w:rFonts w:ascii="Arial" w:hAnsi="Arial"/>
                <w:sz w:val="18"/>
              </w:rPr>
              <w:t>102.67</w:t>
            </w:r>
          </w:p>
        </w:tc>
        <w:tc>
          <w:tcPr>
            <w:tcW w:w="1003" w:type="dxa"/>
          </w:tcPr>
          <w:p w14:paraId="536A4451" w14:textId="77777777" w:rsidR="00535AD5" w:rsidRDefault="000F4CA5">
            <w:pPr>
              <w:jc w:val="right"/>
            </w:pPr>
            <w:r>
              <w:rPr>
                <w:rFonts w:ascii="Arial" w:hAnsi="Arial"/>
                <w:sz w:val="18"/>
              </w:rPr>
              <w:t>135</w:t>
            </w:r>
          </w:p>
        </w:tc>
        <w:tc>
          <w:tcPr>
            <w:tcW w:w="1003" w:type="dxa"/>
          </w:tcPr>
          <w:p w14:paraId="2ECBADE5" w14:textId="77777777" w:rsidR="00535AD5" w:rsidRDefault="000F4CA5">
            <w:pPr>
              <w:jc w:val="right"/>
            </w:pPr>
            <w:r>
              <w:rPr>
                <w:rFonts w:ascii="Arial" w:hAnsi="Arial"/>
                <w:sz w:val="18"/>
              </w:rPr>
              <w:t>9,573,144.27</w:t>
            </w:r>
          </w:p>
        </w:tc>
        <w:tc>
          <w:tcPr>
            <w:tcW w:w="1003" w:type="dxa"/>
          </w:tcPr>
          <w:p w14:paraId="56DAF532" w14:textId="77777777" w:rsidR="00535AD5" w:rsidRDefault="000F4CA5">
            <w:pPr>
              <w:jc w:val="right"/>
            </w:pPr>
            <w:r>
              <w:rPr>
                <w:rFonts w:ascii="Arial" w:hAnsi="Arial"/>
                <w:sz w:val="18"/>
              </w:rPr>
              <w:t>6,753,948.71</w:t>
            </w:r>
          </w:p>
        </w:tc>
        <w:tc>
          <w:tcPr>
            <w:tcW w:w="1003" w:type="dxa"/>
          </w:tcPr>
          <w:p w14:paraId="28FD5230" w14:textId="77777777" w:rsidR="00535AD5" w:rsidRDefault="000F4CA5">
            <w:pPr>
              <w:jc w:val="right"/>
            </w:pPr>
            <w:r>
              <w:rPr>
                <w:rFonts w:ascii="Arial" w:hAnsi="Arial"/>
                <w:sz w:val="18"/>
              </w:rPr>
              <w:t>93.242</w:t>
            </w:r>
          </w:p>
        </w:tc>
        <w:tc>
          <w:tcPr>
            <w:tcW w:w="1003" w:type="dxa"/>
          </w:tcPr>
          <w:p w14:paraId="1946B8CE" w14:textId="77777777" w:rsidR="00535AD5" w:rsidRDefault="000F4CA5">
            <w:pPr>
              <w:jc w:val="right"/>
            </w:pPr>
            <w:r>
              <w:rPr>
                <w:rFonts w:ascii="Arial" w:hAnsi="Arial"/>
                <w:sz w:val="18"/>
              </w:rPr>
              <w:t>6.66%</w:t>
            </w:r>
          </w:p>
        </w:tc>
        <w:tc>
          <w:tcPr>
            <w:tcW w:w="1003" w:type="dxa"/>
          </w:tcPr>
          <w:p w14:paraId="492C879C" w14:textId="77777777" w:rsidR="00535AD5" w:rsidRDefault="000F4CA5">
            <w:pPr>
              <w:jc w:val="right"/>
            </w:pPr>
            <w:r>
              <w:rPr>
                <w:rFonts w:ascii="Arial" w:hAnsi="Arial"/>
                <w:sz w:val="18"/>
              </w:rPr>
              <w:t>43.56%</w:t>
            </w:r>
          </w:p>
        </w:tc>
        <w:tc>
          <w:tcPr>
            <w:tcW w:w="1003" w:type="dxa"/>
          </w:tcPr>
          <w:p w14:paraId="4C5B3E2B" w14:textId="77777777" w:rsidR="00535AD5" w:rsidRDefault="000F4CA5">
            <w:pPr>
              <w:jc w:val="right"/>
            </w:pPr>
            <w:r>
              <w:rPr>
                <w:rFonts w:ascii="Arial" w:hAnsi="Arial"/>
                <w:sz w:val="18"/>
              </w:rPr>
              <w:t>3.32</w:t>
            </w:r>
          </w:p>
        </w:tc>
      </w:tr>
      <w:tr w:rsidR="00535AD5" w14:paraId="14C0C732" w14:textId="77777777">
        <w:trPr>
          <w:jc w:val="center"/>
        </w:trPr>
        <w:tc>
          <w:tcPr>
            <w:tcW w:w="1003" w:type="dxa"/>
            <w:shd w:val="clear" w:color="auto" w:fill="F2F6FC"/>
          </w:tcPr>
          <w:p w14:paraId="60984E71" w14:textId="77777777" w:rsidR="00535AD5" w:rsidRDefault="000F4CA5">
            <w:r>
              <w:rPr>
                <w:rFonts w:ascii="Arial" w:hAnsi="Arial"/>
                <w:sz w:val="18"/>
              </w:rPr>
              <w:t>Manufacturing - Cement</w:t>
            </w:r>
          </w:p>
        </w:tc>
        <w:tc>
          <w:tcPr>
            <w:tcW w:w="1003" w:type="dxa"/>
            <w:shd w:val="clear" w:color="auto" w:fill="F2F6FC"/>
          </w:tcPr>
          <w:p w14:paraId="4E063B49" w14:textId="77777777" w:rsidR="00535AD5" w:rsidRDefault="000F4CA5">
            <w:pPr>
              <w:jc w:val="right"/>
            </w:pPr>
            <w:r>
              <w:rPr>
                <w:rFonts w:ascii="Arial" w:hAnsi="Arial"/>
                <w:sz w:val="18"/>
              </w:rPr>
              <w:t>107.68</w:t>
            </w:r>
          </w:p>
        </w:tc>
        <w:tc>
          <w:tcPr>
            <w:tcW w:w="1003" w:type="dxa"/>
            <w:shd w:val="clear" w:color="auto" w:fill="F2F6FC"/>
          </w:tcPr>
          <w:p w14:paraId="601D517C" w14:textId="77777777" w:rsidR="00535AD5" w:rsidRDefault="000F4CA5">
            <w:pPr>
              <w:jc w:val="right"/>
            </w:pPr>
            <w:r>
              <w:rPr>
                <w:rFonts w:ascii="Arial" w:hAnsi="Arial"/>
                <w:sz w:val="18"/>
              </w:rPr>
              <w:t>161</w:t>
            </w:r>
          </w:p>
        </w:tc>
        <w:tc>
          <w:tcPr>
            <w:tcW w:w="1003" w:type="dxa"/>
            <w:shd w:val="clear" w:color="auto" w:fill="F2F6FC"/>
          </w:tcPr>
          <w:p w14:paraId="5FCBE673" w14:textId="77777777" w:rsidR="00535AD5" w:rsidRDefault="000F4CA5">
            <w:pPr>
              <w:jc w:val="right"/>
            </w:pPr>
            <w:r>
              <w:rPr>
                <w:rFonts w:ascii="Arial" w:hAnsi="Arial"/>
                <w:sz w:val="18"/>
              </w:rPr>
              <w:t>5,813,830.91</w:t>
            </w:r>
          </w:p>
        </w:tc>
        <w:tc>
          <w:tcPr>
            <w:tcW w:w="1003" w:type="dxa"/>
            <w:shd w:val="clear" w:color="auto" w:fill="F2F6FC"/>
          </w:tcPr>
          <w:p w14:paraId="2C54B2E7" w14:textId="77777777" w:rsidR="00535AD5" w:rsidRDefault="000F4CA5">
            <w:pPr>
              <w:jc w:val="right"/>
            </w:pPr>
            <w:r>
              <w:rPr>
                <w:rFonts w:ascii="Arial" w:hAnsi="Arial"/>
                <w:sz w:val="18"/>
              </w:rPr>
              <w:t>4,168,058.43</w:t>
            </w:r>
          </w:p>
        </w:tc>
        <w:tc>
          <w:tcPr>
            <w:tcW w:w="1003" w:type="dxa"/>
            <w:shd w:val="clear" w:color="auto" w:fill="F2F6FC"/>
          </w:tcPr>
          <w:p w14:paraId="48601BB0" w14:textId="77777777" w:rsidR="00535AD5" w:rsidRDefault="000F4CA5">
            <w:pPr>
              <w:jc w:val="right"/>
            </w:pPr>
            <w:r>
              <w:rPr>
                <w:rFonts w:ascii="Arial" w:hAnsi="Arial"/>
                <w:sz w:val="18"/>
              </w:rPr>
              <w:t>53.9927</w:t>
            </w:r>
          </w:p>
        </w:tc>
        <w:tc>
          <w:tcPr>
            <w:tcW w:w="1003" w:type="dxa"/>
            <w:shd w:val="clear" w:color="auto" w:fill="F2F6FC"/>
          </w:tcPr>
          <w:p w14:paraId="2A130BA0" w14:textId="77777777" w:rsidR="00535AD5" w:rsidRDefault="000F4CA5">
            <w:pPr>
              <w:jc w:val="right"/>
            </w:pPr>
            <w:r>
              <w:rPr>
                <w:rFonts w:ascii="Arial" w:hAnsi="Arial"/>
                <w:sz w:val="18"/>
              </w:rPr>
              <w:t>6.99%</w:t>
            </w:r>
          </w:p>
        </w:tc>
        <w:tc>
          <w:tcPr>
            <w:tcW w:w="1003" w:type="dxa"/>
            <w:shd w:val="clear" w:color="auto" w:fill="F2F6FC"/>
          </w:tcPr>
          <w:p w14:paraId="37B1C70D" w14:textId="77777777" w:rsidR="00535AD5" w:rsidRDefault="000F4CA5">
            <w:pPr>
              <w:jc w:val="right"/>
            </w:pPr>
            <w:r>
              <w:rPr>
                <w:rFonts w:ascii="Arial" w:hAnsi="Arial"/>
                <w:sz w:val="18"/>
              </w:rPr>
              <w:t>26.45%</w:t>
            </w:r>
          </w:p>
        </w:tc>
        <w:tc>
          <w:tcPr>
            <w:tcW w:w="1003" w:type="dxa"/>
            <w:shd w:val="clear" w:color="auto" w:fill="F2F6FC"/>
          </w:tcPr>
          <w:p w14:paraId="3A2E13F7" w14:textId="77777777" w:rsidR="00535AD5" w:rsidRDefault="000F4CA5">
            <w:pPr>
              <w:jc w:val="right"/>
            </w:pPr>
            <w:r>
              <w:rPr>
                <w:rFonts w:ascii="Arial" w:hAnsi="Arial"/>
                <w:sz w:val="18"/>
              </w:rPr>
              <w:t>3.40</w:t>
            </w:r>
          </w:p>
        </w:tc>
      </w:tr>
      <w:tr w:rsidR="00535AD5" w14:paraId="4B056BC0" w14:textId="77777777">
        <w:trPr>
          <w:jc w:val="center"/>
        </w:trPr>
        <w:tc>
          <w:tcPr>
            <w:tcW w:w="1003" w:type="dxa"/>
          </w:tcPr>
          <w:p w14:paraId="42A6822F" w14:textId="77777777" w:rsidR="00535AD5" w:rsidRDefault="000F4CA5">
            <w:r>
              <w:rPr>
                <w:rFonts w:ascii="Arial" w:hAnsi="Arial"/>
                <w:sz w:val="18"/>
              </w:rPr>
              <w:t>Manufacturing - Steel</w:t>
            </w:r>
          </w:p>
        </w:tc>
        <w:tc>
          <w:tcPr>
            <w:tcW w:w="1003" w:type="dxa"/>
          </w:tcPr>
          <w:p w14:paraId="08DD27AF" w14:textId="77777777" w:rsidR="00535AD5" w:rsidRDefault="000F4CA5">
            <w:pPr>
              <w:jc w:val="right"/>
            </w:pPr>
            <w:r>
              <w:rPr>
                <w:rFonts w:ascii="Arial" w:hAnsi="Arial"/>
                <w:sz w:val="18"/>
              </w:rPr>
              <w:t>108.62</w:t>
            </w:r>
          </w:p>
        </w:tc>
        <w:tc>
          <w:tcPr>
            <w:tcW w:w="1003" w:type="dxa"/>
          </w:tcPr>
          <w:p w14:paraId="2748198D" w14:textId="77777777" w:rsidR="00535AD5" w:rsidRDefault="000F4CA5">
            <w:pPr>
              <w:jc w:val="right"/>
            </w:pPr>
            <w:r>
              <w:rPr>
                <w:rFonts w:ascii="Arial" w:hAnsi="Arial"/>
                <w:sz w:val="18"/>
              </w:rPr>
              <w:t>122</w:t>
            </w:r>
          </w:p>
        </w:tc>
        <w:tc>
          <w:tcPr>
            <w:tcW w:w="1003" w:type="dxa"/>
          </w:tcPr>
          <w:p w14:paraId="1408F9D0" w14:textId="77777777" w:rsidR="00535AD5" w:rsidRDefault="000F4CA5">
            <w:pPr>
              <w:jc w:val="right"/>
            </w:pPr>
            <w:r>
              <w:rPr>
                <w:rFonts w:ascii="Arial" w:hAnsi="Arial"/>
                <w:sz w:val="18"/>
              </w:rPr>
              <w:t>3,499,463.0</w:t>
            </w:r>
          </w:p>
        </w:tc>
        <w:tc>
          <w:tcPr>
            <w:tcW w:w="1003" w:type="dxa"/>
          </w:tcPr>
          <w:p w14:paraId="37644DE5" w14:textId="77777777" w:rsidR="00535AD5" w:rsidRDefault="000F4CA5">
            <w:pPr>
              <w:jc w:val="right"/>
            </w:pPr>
            <w:r>
              <w:rPr>
                <w:rFonts w:ascii="Arial" w:hAnsi="Arial"/>
                <w:sz w:val="18"/>
              </w:rPr>
              <w:t>2,228,739.65</w:t>
            </w:r>
          </w:p>
        </w:tc>
        <w:tc>
          <w:tcPr>
            <w:tcW w:w="1003" w:type="dxa"/>
          </w:tcPr>
          <w:p w14:paraId="1E0D1FE9" w14:textId="77777777" w:rsidR="00535AD5" w:rsidRDefault="000F4CA5">
            <w:pPr>
              <w:jc w:val="right"/>
            </w:pPr>
            <w:r>
              <w:rPr>
                <w:rFonts w:ascii="Arial" w:hAnsi="Arial"/>
                <w:sz w:val="18"/>
              </w:rPr>
              <w:t>32.2175</w:t>
            </w:r>
          </w:p>
        </w:tc>
        <w:tc>
          <w:tcPr>
            <w:tcW w:w="1003" w:type="dxa"/>
          </w:tcPr>
          <w:p w14:paraId="788DFFB0" w14:textId="77777777" w:rsidR="00535AD5" w:rsidRDefault="000F4CA5">
            <w:pPr>
              <w:jc w:val="right"/>
            </w:pPr>
            <w:r>
              <w:rPr>
                <w:rFonts w:ascii="Arial" w:hAnsi="Arial"/>
                <w:sz w:val="18"/>
              </w:rPr>
              <w:t>7.05%</w:t>
            </w:r>
          </w:p>
        </w:tc>
        <w:tc>
          <w:tcPr>
            <w:tcW w:w="1003" w:type="dxa"/>
          </w:tcPr>
          <w:p w14:paraId="7A96FF2A" w14:textId="77777777" w:rsidR="00535AD5" w:rsidRDefault="000F4CA5">
            <w:pPr>
              <w:jc w:val="right"/>
            </w:pPr>
            <w:r>
              <w:rPr>
                <w:rFonts w:ascii="Arial" w:hAnsi="Arial"/>
                <w:sz w:val="18"/>
              </w:rPr>
              <w:t>15.92%</w:t>
            </w:r>
          </w:p>
        </w:tc>
        <w:tc>
          <w:tcPr>
            <w:tcW w:w="1003" w:type="dxa"/>
          </w:tcPr>
          <w:p w14:paraId="0DC7F4C2" w14:textId="77777777" w:rsidR="00535AD5" w:rsidRDefault="000F4CA5">
            <w:pPr>
              <w:jc w:val="right"/>
            </w:pPr>
            <w:r>
              <w:rPr>
                <w:rFonts w:ascii="Arial" w:hAnsi="Arial"/>
                <w:sz w:val="18"/>
              </w:rPr>
              <w:t>3.35</w:t>
            </w:r>
          </w:p>
        </w:tc>
      </w:tr>
      <w:tr w:rsidR="00535AD5" w14:paraId="471EB410" w14:textId="77777777">
        <w:trPr>
          <w:jc w:val="center"/>
        </w:trPr>
        <w:tc>
          <w:tcPr>
            <w:tcW w:w="1003" w:type="dxa"/>
            <w:shd w:val="clear" w:color="auto" w:fill="F2F6FC"/>
          </w:tcPr>
          <w:p w14:paraId="2A038436" w14:textId="77777777" w:rsidR="00535AD5" w:rsidRDefault="000F4CA5">
            <w:r>
              <w:rPr>
                <w:rFonts w:ascii="Arial" w:hAnsi="Arial"/>
                <w:sz w:val="18"/>
              </w:rPr>
              <w:t>Transportation - Road</w:t>
            </w:r>
          </w:p>
        </w:tc>
        <w:tc>
          <w:tcPr>
            <w:tcW w:w="1003" w:type="dxa"/>
            <w:shd w:val="clear" w:color="auto" w:fill="F2F6FC"/>
          </w:tcPr>
          <w:p w14:paraId="63F3CED3" w14:textId="77777777" w:rsidR="00535AD5" w:rsidRDefault="000F4CA5">
            <w:pPr>
              <w:jc w:val="right"/>
            </w:pPr>
            <w:r>
              <w:rPr>
                <w:rFonts w:ascii="Arial" w:hAnsi="Arial"/>
                <w:sz w:val="18"/>
              </w:rPr>
              <w:t>155.55</w:t>
            </w:r>
          </w:p>
        </w:tc>
        <w:tc>
          <w:tcPr>
            <w:tcW w:w="1003" w:type="dxa"/>
            <w:shd w:val="clear" w:color="auto" w:fill="F2F6FC"/>
          </w:tcPr>
          <w:p w14:paraId="1B52723C" w14:textId="77777777" w:rsidR="00535AD5" w:rsidRDefault="000F4CA5">
            <w:pPr>
              <w:jc w:val="right"/>
            </w:pPr>
            <w:r>
              <w:rPr>
                <w:rFonts w:ascii="Arial" w:hAnsi="Arial"/>
                <w:sz w:val="18"/>
              </w:rPr>
              <w:t>189</w:t>
            </w:r>
          </w:p>
        </w:tc>
        <w:tc>
          <w:tcPr>
            <w:tcW w:w="1003" w:type="dxa"/>
            <w:shd w:val="clear" w:color="auto" w:fill="F2F6FC"/>
          </w:tcPr>
          <w:p w14:paraId="44F52BC2" w14:textId="77777777" w:rsidR="00535AD5" w:rsidRDefault="000F4CA5">
            <w:pPr>
              <w:jc w:val="right"/>
            </w:pPr>
            <w:r>
              <w:rPr>
                <w:rFonts w:ascii="Arial" w:hAnsi="Arial"/>
                <w:sz w:val="18"/>
              </w:rPr>
              <w:t>1,227,019.62</w:t>
            </w:r>
          </w:p>
        </w:tc>
        <w:tc>
          <w:tcPr>
            <w:tcW w:w="1003" w:type="dxa"/>
            <w:shd w:val="clear" w:color="auto" w:fill="F2F6FC"/>
          </w:tcPr>
          <w:p w14:paraId="0C9C81A7" w14:textId="77777777" w:rsidR="00535AD5" w:rsidRDefault="000F4CA5">
            <w:pPr>
              <w:jc w:val="right"/>
            </w:pPr>
            <w:r>
              <w:rPr>
                <w:rFonts w:ascii="Arial" w:hAnsi="Arial"/>
                <w:sz w:val="18"/>
              </w:rPr>
              <w:t>864,356.23</w:t>
            </w:r>
          </w:p>
        </w:tc>
        <w:tc>
          <w:tcPr>
            <w:tcW w:w="1003" w:type="dxa"/>
            <w:shd w:val="clear" w:color="auto" w:fill="F2F6FC"/>
          </w:tcPr>
          <w:p w14:paraId="6B26A4C7" w14:textId="77777777" w:rsidR="00535AD5" w:rsidRDefault="000F4CA5">
            <w:pPr>
              <w:jc w:val="right"/>
            </w:pPr>
            <w:r>
              <w:rPr>
                <w:rFonts w:ascii="Arial" w:hAnsi="Arial"/>
                <w:sz w:val="18"/>
              </w:rPr>
              <w:t>7.8881</w:t>
            </w:r>
          </w:p>
        </w:tc>
        <w:tc>
          <w:tcPr>
            <w:tcW w:w="1003" w:type="dxa"/>
            <w:shd w:val="clear" w:color="auto" w:fill="F2F6FC"/>
          </w:tcPr>
          <w:p w14:paraId="448C6093" w14:textId="77777777" w:rsidR="00535AD5" w:rsidRDefault="000F4CA5">
            <w:pPr>
              <w:jc w:val="right"/>
            </w:pPr>
            <w:r>
              <w:rPr>
                <w:rFonts w:ascii="Arial" w:hAnsi="Arial"/>
                <w:sz w:val="18"/>
              </w:rPr>
              <w:t>10.09%</w:t>
            </w:r>
          </w:p>
        </w:tc>
        <w:tc>
          <w:tcPr>
            <w:tcW w:w="1003" w:type="dxa"/>
            <w:shd w:val="clear" w:color="auto" w:fill="F2F6FC"/>
          </w:tcPr>
          <w:p w14:paraId="5861D206" w14:textId="77777777" w:rsidR="00535AD5" w:rsidRDefault="000F4CA5">
            <w:pPr>
              <w:jc w:val="right"/>
            </w:pPr>
            <w:r>
              <w:rPr>
                <w:rFonts w:ascii="Arial" w:hAnsi="Arial"/>
                <w:sz w:val="18"/>
              </w:rPr>
              <w:t>5.58%</w:t>
            </w:r>
          </w:p>
        </w:tc>
        <w:tc>
          <w:tcPr>
            <w:tcW w:w="1003" w:type="dxa"/>
            <w:shd w:val="clear" w:color="auto" w:fill="F2F6FC"/>
          </w:tcPr>
          <w:p w14:paraId="3BC31C3A" w14:textId="77777777" w:rsidR="00535AD5" w:rsidRDefault="000F4CA5">
            <w:pPr>
              <w:jc w:val="right"/>
            </w:pPr>
            <w:r>
              <w:rPr>
                <w:rFonts w:ascii="Arial" w:hAnsi="Arial"/>
                <w:sz w:val="18"/>
              </w:rPr>
              <w:t>3.36</w:t>
            </w:r>
          </w:p>
        </w:tc>
      </w:tr>
      <w:tr w:rsidR="00535AD5" w14:paraId="1F562022" w14:textId="77777777">
        <w:trPr>
          <w:jc w:val="center"/>
        </w:trPr>
        <w:tc>
          <w:tcPr>
            <w:tcW w:w="1003" w:type="dxa"/>
          </w:tcPr>
          <w:p w14:paraId="7FEE9F3A" w14:textId="77777777" w:rsidR="00535AD5" w:rsidRDefault="000F4CA5">
            <w:r>
              <w:rPr>
                <w:rFonts w:ascii="Arial" w:hAnsi="Arial"/>
                <w:sz w:val="18"/>
              </w:rPr>
              <w:t xml:space="preserve">Manufacturing - Food &amp; </w:t>
            </w:r>
            <w:r>
              <w:rPr>
                <w:rFonts w:ascii="Arial" w:hAnsi="Arial"/>
                <w:sz w:val="18"/>
              </w:rPr>
              <w:lastRenderedPageBreak/>
              <w:t>Beverage</w:t>
            </w:r>
          </w:p>
        </w:tc>
        <w:tc>
          <w:tcPr>
            <w:tcW w:w="1003" w:type="dxa"/>
          </w:tcPr>
          <w:p w14:paraId="005F76F9" w14:textId="77777777" w:rsidR="00535AD5" w:rsidRDefault="000F4CA5">
            <w:pPr>
              <w:jc w:val="right"/>
            </w:pPr>
            <w:r>
              <w:rPr>
                <w:rFonts w:ascii="Arial" w:hAnsi="Arial"/>
                <w:sz w:val="18"/>
              </w:rPr>
              <w:lastRenderedPageBreak/>
              <w:t>169.14</w:t>
            </w:r>
          </w:p>
        </w:tc>
        <w:tc>
          <w:tcPr>
            <w:tcW w:w="1003" w:type="dxa"/>
          </w:tcPr>
          <w:p w14:paraId="6963EE85" w14:textId="77777777" w:rsidR="00535AD5" w:rsidRDefault="000F4CA5">
            <w:pPr>
              <w:jc w:val="right"/>
            </w:pPr>
            <w:r>
              <w:rPr>
                <w:rFonts w:ascii="Arial" w:hAnsi="Arial"/>
                <w:sz w:val="18"/>
              </w:rPr>
              <w:t>206</w:t>
            </w:r>
          </w:p>
        </w:tc>
        <w:tc>
          <w:tcPr>
            <w:tcW w:w="1003" w:type="dxa"/>
          </w:tcPr>
          <w:p w14:paraId="39C249C5" w14:textId="77777777" w:rsidR="00535AD5" w:rsidRDefault="000F4CA5">
            <w:pPr>
              <w:jc w:val="right"/>
            </w:pPr>
            <w:r>
              <w:rPr>
                <w:rFonts w:ascii="Arial" w:hAnsi="Arial"/>
                <w:sz w:val="18"/>
              </w:rPr>
              <w:t>936,111.21</w:t>
            </w:r>
          </w:p>
        </w:tc>
        <w:tc>
          <w:tcPr>
            <w:tcW w:w="1003" w:type="dxa"/>
          </w:tcPr>
          <w:p w14:paraId="6D94F08B" w14:textId="77777777" w:rsidR="00535AD5" w:rsidRDefault="000F4CA5">
            <w:pPr>
              <w:jc w:val="right"/>
            </w:pPr>
            <w:r>
              <w:rPr>
                <w:rFonts w:ascii="Arial" w:hAnsi="Arial"/>
                <w:sz w:val="18"/>
              </w:rPr>
              <w:t>653,413.56</w:t>
            </w:r>
          </w:p>
        </w:tc>
        <w:tc>
          <w:tcPr>
            <w:tcW w:w="1003" w:type="dxa"/>
          </w:tcPr>
          <w:p w14:paraId="05DCE682" w14:textId="77777777" w:rsidR="00535AD5" w:rsidRDefault="000F4CA5">
            <w:pPr>
              <w:jc w:val="right"/>
            </w:pPr>
            <w:r>
              <w:rPr>
                <w:rFonts w:ascii="Arial" w:hAnsi="Arial"/>
                <w:sz w:val="18"/>
              </w:rPr>
              <w:t>5.5346</w:t>
            </w:r>
          </w:p>
        </w:tc>
        <w:tc>
          <w:tcPr>
            <w:tcW w:w="1003" w:type="dxa"/>
          </w:tcPr>
          <w:p w14:paraId="0683ACD2" w14:textId="77777777" w:rsidR="00535AD5" w:rsidRDefault="000F4CA5">
            <w:pPr>
              <w:jc w:val="right"/>
            </w:pPr>
            <w:r>
              <w:rPr>
                <w:rFonts w:ascii="Arial" w:hAnsi="Arial"/>
                <w:sz w:val="18"/>
              </w:rPr>
              <w:t>10.97%</w:t>
            </w:r>
          </w:p>
        </w:tc>
        <w:tc>
          <w:tcPr>
            <w:tcW w:w="1003" w:type="dxa"/>
          </w:tcPr>
          <w:p w14:paraId="0489B27C" w14:textId="77777777" w:rsidR="00535AD5" w:rsidRDefault="000F4CA5">
            <w:pPr>
              <w:jc w:val="right"/>
            </w:pPr>
            <w:r>
              <w:rPr>
                <w:rFonts w:ascii="Arial" w:hAnsi="Arial"/>
                <w:sz w:val="18"/>
              </w:rPr>
              <w:t>4.26%</w:t>
            </w:r>
          </w:p>
        </w:tc>
        <w:tc>
          <w:tcPr>
            <w:tcW w:w="1003" w:type="dxa"/>
          </w:tcPr>
          <w:p w14:paraId="3190E962" w14:textId="77777777" w:rsidR="00535AD5" w:rsidRDefault="000F4CA5">
            <w:pPr>
              <w:jc w:val="right"/>
            </w:pPr>
            <w:r>
              <w:rPr>
                <w:rFonts w:ascii="Arial" w:hAnsi="Arial"/>
                <w:sz w:val="18"/>
              </w:rPr>
              <w:t>3.35</w:t>
            </w:r>
          </w:p>
        </w:tc>
      </w:tr>
    </w:tbl>
    <w:p w14:paraId="461B6F6C" w14:textId="77777777" w:rsidR="00535AD5" w:rsidRDefault="000F4CA5">
      <w:r>
        <w:rPr>
          <w:rFonts w:ascii="Arial" w:hAnsi="Arial"/>
          <w:i/>
          <w:sz w:val="16"/>
        </w:rPr>
        <w:t>Source: Source: Internal PCAF calculation system. Gross emissions represent unadjusted attribution; weighted emissions apply PCAF confidence factors. Emission intensity calculated as gross financed emissions per IDR billion outstanding exposure.</w:t>
      </w:r>
    </w:p>
    <w:p w14:paraId="258E6F7B" w14:textId="77777777" w:rsidR="00535AD5" w:rsidRDefault="00535AD5"/>
    <w:p w14:paraId="64579514" w14:textId="77777777" w:rsidR="00535AD5" w:rsidRDefault="000F4CA5">
      <w:r>
        <w:rPr>
          <w:rFonts w:ascii="Arial" w:hAnsi="Arial"/>
          <w:b/>
          <w:sz w:val="20"/>
        </w:rPr>
        <w:t>Table 2: PCAF Data Quality Distribution by Sector</w:t>
      </w:r>
    </w:p>
    <w:tbl>
      <w:tblPr>
        <w:tblW w:w="0" w:type="auto"/>
        <w:jc w:val="center"/>
        <w:tblLook w:val="04A0" w:firstRow="1" w:lastRow="0" w:firstColumn="1" w:lastColumn="0" w:noHBand="0" w:noVBand="1"/>
      </w:tblPr>
      <w:tblGrid>
        <w:gridCol w:w="2257"/>
        <w:gridCol w:w="2257"/>
        <w:gridCol w:w="2257"/>
        <w:gridCol w:w="2257"/>
      </w:tblGrid>
      <w:tr w:rsidR="00535AD5" w14:paraId="0166DE1C" w14:textId="77777777">
        <w:trPr>
          <w:jc w:val="center"/>
        </w:trPr>
        <w:tc>
          <w:tcPr>
            <w:tcW w:w="2257" w:type="dxa"/>
            <w:shd w:val="clear" w:color="auto" w:fill="1B3A6B"/>
          </w:tcPr>
          <w:p w14:paraId="0EFF007A" w14:textId="77777777" w:rsidR="00535AD5" w:rsidRDefault="000F4CA5">
            <w:r>
              <w:rPr>
                <w:rFonts w:ascii="Arial" w:hAnsi="Arial"/>
                <w:b/>
                <w:color w:val="FFFFFF"/>
                <w:sz w:val="18"/>
              </w:rPr>
              <w:t>Sector</w:t>
            </w:r>
          </w:p>
        </w:tc>
        <w:tc>
          <w:tcPr>
            <w:tcW w:w="2257" w:type="dxa"/>
            <w:shd w:val="clear" w:color="auto" w:fill="1B3A6B"/>
          </w:tcPr>
          <w:p w14:paraId="67C2047C" w14:textId="77777777" w:rsidR="00535AD5" w:rsidRDefault="000F4CA5">
            <w:r>
              <w:rPr>
                <w:rFonts w:ascii="Arial" w:hAnsi="Arial"/>
                <w:b/>
                <w:color w:val="FFFFFF"/>
                <w:sz w:val="18"/>
              </w:rPr>
              <w:t>Avg PCAF Score</w:t>
            </w:r>
          </w:p>
        </w:tc>
        <w:tc>
          <w:tcPr>
            <w:tcW w:w="2257" w:type="dxa"/>
            <w:shd w:val="clear" w:color="auto" w:fill="1B3A6B"/>
          </w:tcPr>
          <w:p w14:paraId="193303C8" w14:textId="77777777" w:rsidR="00535AD5" w:rsidRDefault="000F4CA5">
            <w:r>
              <w:rPr>
                <w:rFonts w:ascii="Arial" w:hAnsi="Arial"/>
                <w:b/>
                <w:color w:val="FFFFFF"/>
                <w:sz w:val="18"/>
              </w:rPr>
              <w:t>Data Quality Tier</w:t>
            </w:r>
          </w:p>
        </w:tc>
        <w:tc>
          <w:tcPr>
            <w:tcW w:w="2257" w:type="dxa"/>
            <w:shd w:val="clear" w:color="auto" w:fill="1B3A6B"/>
          </w:tcPr>
          <w:p w14:paraId="5524D75D" w14:textId="77777777" w:rsidR="00535AD5" w:rsidRDefault="000F4CA5">
            <w:r>
              <w:rPr>
                <w:rFonts w:ascii="Arial" w:hAnsi="Arial"/>
                <w:b/>
                <w:color w:val="FFFFFF"/>
                <w:sz w:val="18"/>
              </w:rPr>
              <w:t>Primary Methodology</w:t>
            </w:r>
          </w:p>
        </w:tc>
      </w:tr>
      <w:tr w:rsidR="00535AD5" w14:paraId="0B97A98B" w14:textId="77777777">
        <w:trPr>
          <w:jc w:val="center"/>
        </w:trPr>
        <w:tc>
          <w:tcPr>
            <w:tcW w:w="2257" w:type="dxa"/>
          </w:tcPr>
          <w:p w14:paraId="62638B0C" w14:textId="77777777" w:rsidR="00535AD5" w:rsidRDefault="000F4CA5">
            <w:r>
              <w:rPr>
                <w:rFonts w:ascii="Arial" w:hAnsi="Arial"/>
                <w:sz w:val="18"/>
              </w:rPr>
              <w:t>Real Estate - Commercial</w:t>
            </w:r>
          </w:p>
        </w:tc>
        <w:tc>
          <w:tcPr>
            <w:tcW w:w="2257" w:type="dxa"/>
          </w:tcPr>
          <w:p w14:paraId="1FDA3204" w14:textId="77777777" w:rsidR="00535AD5" w:rsidRDefault="000F4CA5">
            <w:pPr>
              <w:jc w:val="right"/>
            </w:pPr>
            <w:r>
              <w:rPr>
                <w:rFonts w:ascii="Arial" w:hAnsi="Arial"/>
                <w:sz w:val="18"/>
              </w:rPr>
              <w:t>3.27</w:t>
            </w:r>
          </w:p>
        </w:tc>
        <w:tc>
          <w:tcPr>
            <w:tcW w:w="2257" w:type="dxa"/>
          </w:tcPr>
          <w:p w14:paraId="10BD7C8D" w14:textId="77777777" w:rsidR="00535AD5" w:rsidRDefault="000F4CA5">
            <w:r>
              <w:rPr>
                <w:rFonts w:ascii="Arial" w:hAnsi="Arial"/>
                <w:sz w:val="18"/>
              </w:rPr>
              <w:t>Tier 3-4</w:t>
            </w:r>
          </w:p>
        </w:tc>
        <w:tc>
          <w:tcPr>
            <w:tcW w:w="2257" w:type="dxa"/>
          </w:tcPr>
          <w:p w14:paraId="505FF06F" w14:textId="77777777" w:rsidR="00535AD5" w:rsidRDefault="000F4CA5">
            <w:r>
              <w:rPr>
                <w:rFonts w:ascii="Arial" w:hAnsi="Arial"/>
                <w:sz w:val="18"/>
              </w:rPr>
              <w:t>EEIO + Revenue/Assets</w:t>
            </w:r>
          </w:p>
        </w:tc>
      </w:tr>
      <w:tr w:rsidR="00535AD5" w14:paraId="43C60A2A" w14:textId="77777777">
        <w:trPr>
          <w:jc w:val="center"/>
        </w:trPr>
        <w:tc>
          <w:tcPr>
            <w:tcW w:w="2257" w:type="dxa"/>
            <w:shd w:val="clear" w:color="auto" w:fill="F2F6FC"/>
          </w:tcPr>
          <w:p w14:paraId="544FFD75" w14:textId="77777777" w:rsidR="00535AD5" w:rsidRDefault="000F4CA5">
            <w:r>
              <w:rPr>
                <w:rFonts w:ascii="Arial" w:hAnsi="Arial"/>
                <w:sz w:val="18"/>
              </w:rPr>
              <w:t>Retail Trade</w:t>
            </w:r>
          </w:p>
        </w:tc>
        <w:tc>
          <w:tcPr>
            <w:tcW w:w="2257" w:type="dxa"/>
            <w:shd w:val="clear" w:color="auto" w:fill="F2F6FC"/>
          </w:tcPr>
          <w:p w14:paraId="1BBB41AE" w14:textId="77777777" w:rsidR="00535AD5" w:rsidRDefault="000F4CA5">
            <w:pPr>
              <w:jc w:val="right"/>
            </w:pPr>
            <w:r>
              <w:rPr>
                <w:rFonts w:ascii="Arial" w:hAnsi="Arial"/>
                <w:sz w:val="18"/>
              </w:rPr>
              <w:t>3.21</w:t>
            </w:r>
          </w:p>
        </w:tc>
        <w:tc>
          <w:tcPr>
            <w:tcW w:w="2257" w:type="dxa"/>
            <w:shd w:val="clear" w:color="auto" w:fill="F2F6FC"/>
          </w:tcPr>
          <w:p w14:paraId="79D37152" w14:textId="77777777" w:rsidR="00535AD5" w:rsidRDefault="000F4CA5">
            <w:r>
              <w:rPr>
                <w:rFonts w:ascii="Arial" w:hAnsi="Arial"/>
                <w:sz w:val="18"/>
              </w:rPr>
              <w:t>Tier 3-4</w:t>
            </w:r>
          </w:p>
        </w:tc>
        <w:tc>
          <w:tcPr>
            <w:tcW w:w="2257" w:type="dxa"/>
            <w:shd w:val="clear" w:color="auto" w:fill="F2F6FC"/>
          </w:tcPr>
          <w:p w14:paraId="3FAF5113" w14:textId="77777777" w:rsidR="00535AD5" w:rsidRDefault="000F4CA5">
            <w:r>
              <w:rPr>
                <w:rFonts w:ascii="Arial" w:hAnsi="Arial"/>
                <w:sz w:val="18"/>
              </w:rPr>
              <w:t>EEIO + Revenue/Assets</w:t>
            </w:r>
          </w:p>
        </w:tc>
      </w:tr>
      <w:tr w:rsidR="00535AD5" w14:paraId="792F9AD8" w14:textId="77777777">
        <w:trPr>
          <w:jc w:val="center"/>
        </w:trPr>
        <w:tc>
          <w:tcPr>
            <w:tcW w:w="2257" w:type="dxa"/>
          </w:tcPr>
          <w:p w14:paraId="1F80B2F2" w14:textId="77777777" w:rsidR="00535AD5" w:rsidRDefault="000F4CA5">
            <w:r>
              <w:rPr>
                <w:rFonts w:ascii="Arial" w:hAnsi="Arial"/>
                <w:sz w:val="18"/>
              </w:rPr>
              <w:t>Energy - Oil &amp; Gas</w:t>
            </w:r>
          </w:p>
        </w:tc>
        <w:tc>
          <w:tcPr>
            <w:tcW w:w="2257" w:type="dxa"/>
          </w:tcPr>
          <w:p w14:paraId="275D9E8B" w14:textId="77777777" w:rsidR="00535AD5" w:rsidRDefault="000F4CA5">
            <w:pPr>
              <w:jc w:val="right"/>
            </w:pPr>
            <w:r>
              <w:rPr>
                <w:rFonts w:ascii="Arial" w:hAnsi="Arial"/>
                <w:sz w:val="18"/>
              </w:rPr>
              <w:t>3.32</w:t>
            </w:r>
          </w:p>
        </w:tc>
        <w:tc>
          <w:tcPr>
            <w:tcW w:w="2257" w:type="dxa"/>
          </w:tcPr>
          <w:p w14:paraId="4D980FEA" w14:textId="77777777" w:rsidR="00535AD5" w:rsidRDefault="000F4CA5">
            <w:r>
              <w:rPr>
                <w:rFonts w:ascii="Arial" w:hAnsi="Arial"/>
                <w:sz w:val="18"/>
              </w:rPr>
              <w:t>Tier 3-4</w:t>
            </w:r>
          </w:p>
        </w:tc>
        <w:tc>
          <w:tcPr>
            <w:tcW w:w="2257" w:type="dxa"/>
          </w:tcPr>
          <w:p w14:paraId="5DA7608B" w14:textId="77777777" w:rsidR="00535AD5" w:rsidRDefault="000F4CA5">
            <w:r>
              <w:rPr>
                <w:rFonts w:ascii="Arial" w:hAnsi="Arial"/>
                <w:sz w:val="18"/>
              </w:rPr>
              <w:t>EEIO + Revenue/Assets</w:t>
            </w:r>
          </w:p>
        </w:tc>
      </w:tr>
      <w:tr w:rsidR="00535AD5" w14:paraId="4D5FD833" w14:textId="77777777">
        <w:trPr>
          <w:jc w:val="center"/>
        </w:trPr>
        <w:tc>
          <w:tcPr>
            <w:tcW w:w="2257" w:type="dxa"/>
            <w:shd w:val="clear" w:color="auto" w:fill="F2F6FC"/>
          </w:tcPr>
          <w:p w14:paraId="32545551" w14:textId="77777777" w:rsidR="00535AD5" w:rsidRDefault="000F4CA5">
            <w:r>
              <w:rPr>
                <w:rFonts w:ascii="Arial" w:hAnsi="Arial"/>
                <w:sz w:val="18"/>
              </w:rPr>
              <w:t>Real Estate - Residential</w:t>
            </w:r>
          </w:p>
        </w:tc>
        <w:tc>
          <w:tcPr>
            <w:tcW w:w="2257" w:type="dxa"/>
            <w:shd w:val="clear" w:color="auto" w:fill="F2F6FC"/>
          </w:tcPr>
          <w:p w14:paraId="6859E036" w14:textId="77777777" w:rsidR="00535AD5" w:rsidRDefault="000F4CA5">
            <w:pPr>
              <w:jc w:val="right"/>
            </w:pPr>
            <w:r>
              <w:rPr>
                <w:rFonts w:ascii="Arial" w:hAnsi="Arial"/>
                <w:sz w:val="18"/>
              </w:rPr>
              <w:t>3.32</w:t>
            </w:r>
          </w:p>
        </w:tc>
        <w:tc>
          <w:tcPr>
            <w:tcW w:w="2257" w:type="dxa"/>
            <w:shd w:val="clear" w:color="auto" w:fill="F2F6FC"/>
          </w:tcPr>
          <w:p w14:paraId="5AFB6503" w14:textId="77777777" w:rsidR="00535AD5" w:rsidRDefault="000F4CA5">
            <w:r>
              <w:rPr>
                <w:rFonts w:ascii="Arial" w:hAnsi="Arial"/>
                <w:sz w:val="18"/>
              </w:rPr>
              <w:t>Tier 3-4</w:t>
            </w:r>
          </w:p>
        </w:tc>
        <w:tc>
          <w:tcPr>
            <w:tcW w:w="2257" w:type="dxa"/>
            <w:shd w:val="clear" w:color="auto" w:fill="F2F6FC"/>
          </w:tcPr>
          <w:p w14:paraId="795F056B" w14:textId="77777777" w:rsidR="00535AD5" w:rsidRDefault="000F4CA5">
            <w:r>
              <w:rPr>
                <w:rFonts w:ascii="Arial" w:hAnsi="Arial"/>
                <w:sz w:val="18"/>
              </w:rPr>
              <w:t>EEIO + Revenue/Assets</w:t>
            </w:r>
          </w:p>
        </w:tc>
      </w:tr>
      <w:tr w:rsidR="00535AD5" w14:paraId="46FAC674" w14:textId="77777777">
        <w:trPr>
          <w:jc w:val="center"/>
        </w:trPr>
        <w:tc>
          <w:tcPr>
            <w:tcW w:w="2257" w:type="dxa"/>
          </w:tcPr>
          <w:p w14:paraId="70F5FFF4" w14:textId="77777777" w:rsidR="00535AD5" w:rsidRDefault="000F4CA5">
            <w:r>
              <w:rPr>
                <w:rFonts w:ascii="Arial" w:hAnsi="Arial"/>
                <w:sz w:val="18"/>
              </w:rPr>
              <w:t>Manufacturing - Steel</w:t>
            </w:r>
          </w:p>
        </w:tc>
        <w:tc>
          <w:tcPr>
            <w:tcW w:w="2257" w:type="dxa"/>
          </w:tcPr>
          <w:p w14:paraId="28693545" w14:textId="77777777" w:rsidR="00535AD5" w:rsidRDefault="000F4CA5">
            <w:pPr>
              <w:jc w:val="right"/>
            </w:pPr>
            <w:r>
              <w:rPr>
                <w:rFonts w:ascii="Arial" w:hAnsi="Arial"/>
                <w:sz w:val="18"/>
              </w:rPr>
              <w:t>3.35</w:t>
            </w:r>
          </w:p>
        </w:tc>
        <w:tc>
          <w:tcPr>
            <w:tcW w:w="2257" w:type="dxa"/>
          </w:tcPr>
          <w:p w14:paraId="672D54D5" w14:textId="77777777" w:rsidR="00535AD5" w:rsidRDefault="000F4CA5">
            <w:r>
              <w:rPr>
                <w:rFonts w:ascii="Arial" w:hAnsi="Arial"/>
                <w:sz w:val="18"/>
              </w:rPr>
              <w:t>Tier 3-4</w:t>
            </w:r>
          </w:p>
        </w:tc>
        <w:tc>
          <w:tcPr>
            <w:tcW w:w="2257" w:type="dxa"/>
          </w:tcPr>
          <w:p w14:paraId="511C5521" w14:textId="77777777" w:rsidR="00535AD5" w:rsidRDefault="000F4CA5">
            <w:r>
              <w:rPr>
                <w:rFonts w:ascii="Arial" w:hAnsi="Arial"/>
                <w:sz w:val="18"/>
              </w:rPr>
              <w:t>EEIO + Revenue/Assets</w:t>
            </w:r>
          </w:p>
        </w:tc>
      </w:tr>
      <w:tr w:rsidR="00535AD5" w14:paraId="2F0F0746" w14:textId="77777777">
        <w:trPr>
          <w:jc w:val="center"/>
        </w:trPr>
        <w:tc>
          <w:tcPr>
            <w:tcW w:w="2257" w:type="dxa"/>
            <w:shd w:val="clear" w:color="auto" w:fill="F2F6FC"/>
          </w:tcPr>
          <w:p w14:paraId="1D9C2676" w14:textId="77777777" w:rsidR="00535AD5" w:rsidRDefault="000F4CA5">
            <w:r>
              <w:rPr>
                <w:rFonts w:ascii="Arial" w:hAnsi="Arial"/>
                <w:sz w:val="18"/>
              </w:rPr>
              <w:t>Manufacturing - Food &amp; Beverage</w:t>
            </w:r>
          </w:p>
        </w:tc>
        <w:tc>
          <w:tcPr>
            <w:tcW w:w="2257" w:type="dxa"/>
            <w:shd w:val="clear" w:color="auto" w:fill="F2F6FC"/>
          </w:tcPr>
          <w:p w14:paraId="0A7C39F0" w14:textId="77777777" w:rsidR="00535AD5" w:rsidRDefault="000F4CA5">
            <w:pPr>
              <w:jc w:val="right"/>
            </w:pPr>
            <w:r>
              <w:rPr>
                <w:rFonts w:ascii="Arial" w:hAnsi="Arial"/>
                <w:sz w:val="18"/>
              </w:rPr>
              <w:t>3.35</w:t>
            </w:r>
          </w:p>
        </w:tc>
        <w:tc>
          <w:tcPr>
            <w:tcW w:w="2257" w:type="dxa"/>
            <w:shd w:val="clear" w:color="auto" w:fill="F2F6FC"/>
          </w:tcPr>
          <w:p w14:paraId="5AC76116" w14:textId="77777777" w:rsidR="00535AD5" w:rsidRDefault="000F4CA5">
            <w:r>
              <w:rPr>
                <w:rFonts w:ascii="Arial" w:hAnsi="Arial"/>
                <w:sz w:val="18"/>
              </w:rPr>
              <w:t>Tier 3-4</w:t>
            </w:r>
          </w:p>
        </w:tc>
        <w:tc>
          <w:tcPr>
            <w:tcW w:w="2257" w:type="dxa"/>
            <w:shd w:val="clear" w:color="auto" w:fill="F2F6FC"/>
          </w:tcPr>
          <w:p w14:paraId="2DE46BF9" w14:textId="77777777" w:rsidR="00535AD5" w:rsidRDefault="000F4CA5">
            <w:r>
              <w:rPr>
                <w:rFonts w:ascii="Arial" w:hAnsi="Arial"/>
                <w:sz w:val="18"/>
              </w:rPr>
              <w:t>EEIO + Revenue/Assets</w:t>
            </w:r>
          </w:p>
        </w:tc>
      </w:tr>
      <w:tr w:rsidR="00535AD5" w14:paraId="508725AC" w14:textId="77777777">
        <w:trPr>
          <w:jc w:val="center"/>
        </w:trPr>
        <w:tc>
          <w:tcPr>
            <w:tcW w:w="2257" w:type="dxa"/>
          </w:tcPr>
          <w:p w14:paraId="6E96DDC5" w14:textId="77777777" w:rsidR="00535AD5" w:rsidRDefault="000F4CA5">
            <w:r>
              <w:rPr>
                <w:rFonts w:ascii="Arial" w:hAnsi="Arial"/>
                <w:sz w:val="18"/>
              </w:rPr>
              <w:t>Transportation - Road</w:t>
            </w:r>
          </w:p>
        </w:tc>
        <w:tc>
          <w:tcPr>
            <w:tcW w:w="2257" w:type="dxa"/>
          </w:tcPr>
          <w:p w14:paraId="2CC6CA80" w14:textId="77777777" w:rsidR="00535AD5" w:rsidRDefault="000F4CA5">
            <w:pPr>
              <w:jc w:val="right"/>
            </w:pPr>
            <w:r>
              <w:rPr>
                <w:rFonts w:ascii="Arial" w:hAnsi="Arial"/>
                <w:sz w:val="18"/>
              </w:rPr>
              <w:t>3.36</w:t>
            </w:r>
          </w:p>
        </w:tc>
        <w:tc>
          <w:tcPr>
            <w:tcW w:w="2257" w:type="dxa"/>
          </w:tcPr>
          <w:p w14:paraId="615354C2" w14:textId="77777777" w:rsidR="00535AD5" w:rsidRDefault="000F4CA5">
            <w:r>
              <w:rPr>
                <w:rFonts w:ascii="Arial" w:hAnsi="Arial"/>
                <w:sz w:val="18"/>
              </w:rPr>
              <w:t>Tier 3-4</w:t>
            </w:r>
          </w:p>
        </w:tc>
        <w:tc>
          <w:tcPr>
            <w:tcW w:w="2257" w:type="dxa"/>
          </w:tcPr>
          <w:p w14:paraId="54E78286" w14:textId="77777777" w:rsidR="00535AD5" w:rsidRDefault="000F4CA5">
            <w:r>
              <w:rPr>
                <w:rFonts w:ascii="Arial" w:hAnsi="Arial"/>
                <w:sz w:val="18"/>
              </w:rPr>
              <w:t>EEIO + Revenue/Assets</w:t>
            </w:r>
          </w:p>
        </w:tc>
      </w:tr>
      <w:tr w:rsidR="00535AD5" w14:paraId="2ABC9F95" w14:textId="77777777">
        <w:trPr>
          <w:jc w:val="center"/>
        </w:trPr>
        <w:tc>
          <w:tcPr>
            <w:tcW w:w="2257" w:type="dxa"/>
            <w:shd w:val="clear" w:color="auto" w:fill="F2F6FC"/>
          </w:tcPr>
          <w:p w14:paraId="6BBD0CE6" w14:textId="77777777" w:rsidR="00535AD5" w:rsidRDefault="000F4CA5">
            <w:r>
              <w:rPr>
                <w:rFonts w:ascii="Arial" w:hAnsi="Arial"/>
                <w:sz w:val="18"/>
              </w:rPr>
              <w:t>Manufacturing - Cement</w:t>
            </w:r>
          </w:p>
        </w:tc>
        <w:tc>
          <w:tcPr>
            <w:tcW w:w="2257" w:type="dxa"/>
            <w:shd w:val="clear" w:color="auto" w:fill="F2F6FC"/>
          </w:tcPr>
          <w:p w14:paraId="4EA4D674" w14:textId="77777777" w:rsidR="00535AD5" w:rsidRDefault="000F4CA5">
            <w:pPr>
              <w:jc w:val="right"/>
            </w:pPr>
            <w:r>
              <w:rPr>
                <w:rFonts w:ascii="Arial" w:hAnsi="Arial"/>
                <w:sz w:val="18"/>
              </w:rPr>
              <w:t>3.40</w:t>
            </w:r>
          </w:p>
        </w:tc>
        <w:tc>
          <w:tcPr>
            <w:tcW w:w="2257" w:type="dxa"/>
            <w:shd w:val="clear" w:color="auto" w:fill="F2F6FC"/>
          </w:tcPr>
          <w:p w14:paraId="24C40692" w14:textId="77777777" w:rsidR="00535AD5" w:rsidRDefault="000F4CA5">
            <w:r>
              <w:rPr>
                <w:rFonts w:ascii="Arial" w:hAnsi="Arial"/>
                <w:sz w:val="18"/>
              </w:rPr>
              <w:t>Tier 3-4</w:t>
            </w:r>
          </w:p>
        </w:tc>
        <w:tc>
          <w:tcPr>
            <w:tcW w:w="2257" w:type="dxa"/>
            <w:shd w:val="clear" w:color="auto" w:fill="F2F6FC"/>
          </w:tcPr>
          <w:p w14:paraId="0F3CCE22" w14:textId="77777777" w:rsidR="00535AD5" w:rsidRDefault="000F4CA5">
            <w:r>
              <w:rPr>
                <w:rFonts w:ascii="Arial" w:hAnsi="Arial"/>
                <w:sz w:val="18"/>
              </w:rPr>
              <w:t>EEIO + Revenue/Assets</w:t>
            </w:r>
          </w:p>
        </w:tc>
      </w:tr>
      <w:tr w:rsidR="00535AD5" w14:paraId="4AF19F27" w14:textId="77777777">
        <w:trPr>
          <w:jc w:val="center"/>
        </w:trPr>
        <w:tc>
          <w:tcPr>
            <w:tcW w:w="2257" w:type="dxa"/>
          </w:tcPr>
          <w:p w14:paraId="2142D792" w14:textId="77777777" w:rsidR="00535AD5" w:rsidRDefault="000F4CA5">
            <w:r>
              <w:rPr>
                <w:rFonts w:ascii="Arial" w:hAnsi="Arial"/>
                <w:sz w:val="18"/>
              </w:rPr>
              <w:t>Agriculture</w:t>
            </w:r>
          </w:p>
        </w:tc>
        <w:tc>
          <w:tcPr>
            <w:tcW w:w="2257" w:type="dxa"/>
          </w:tcPr>
          <w:p w14:paraId="1C54B79C" w14:textId="77777777" w:rsidR="00535AD5" w:rsidRDefault="000F4CA5">
            <w:pPr>
              <w:jc w:val="right"/>
            </w:pPr>
            <w:r>
              <w:rPr>
                <w:rFonts w:ascii="Arial" w:hAnsi="Arial"/>
                <w:sz w:val="18"/>
              </w:rPr>
              <w:t>3.41</w:t>
            </w:r>
          </w:p>
        </w:tc>
        <w:tc>
          <w:tcPr>
            <w:tcW w:w="2257" w:type="dxa"/>
          </w:tcPr>
          <w:p w14:paraId="79149EA8" w14:textId="77777777" w:rsidR="00535AD5" w:rsidRDefault="000F4CA5">
            <w:r>
              <w:rPr>
                <w:rFonts w:ascii="Arial" w:hAnsi="Arial"/>
                <w:sz w:val="18"/>
              </w:rPr>
              <w:t>Tier 3-4</w:t>
            </w:r>
          </w:p>
        </w:tc>
        <w:tc>
          <w:tcPr>
            <w:tcW w:w="2257" w:type="dxa"/>
          </w:tcPr>
          <w:p w14:paraId="27177BB5" w14:textId="77777777" w:rsidR="00535AD5" w:rsidRDefault="000F4CA5">
            <w:r>
              <w:rPr>
                <w:rFonts w:ascii="Arial" w:hAnsi="Arial"/>
                <w:sz w:val="18"/>
              </w:rPr>
              <w:t>EEIO + Revenue/Assets</w:t>
            </w:r>
          </w:p>
        </w:tc>
      </w:tr>
      <w:tr w:rsidR="00535AD5" w14:paraId="43DFBB83" w14:textId="77777777">
        <w:trPr>
          <w:jc w:val="center"/>
        </w:trPr>
        <w:tc>
          <w:tcPr>
            <w:tcW w:w="2257" w:type="dxa"/>
            <w:shd w:val="clear" w:color="auto" w:fill="F2F6FC"/>
          </w:tcPr>
          <w:p w14:paraId="32737130" w14:textId="77777777" w:rsidR="00535AD5" w:rsidRDefault="000F4CA5">
            <w:r>
              <w:rPr>
                <w:rFonts w:ascii="Arial" w:hAnsi="Arial"/>
                <w:sz w:val="18"/>
              </w:rPr>
              <w:t>Financial Services</w:t>
            </w:r>
          </w:p>
        </w:tc>
        <w:tc>
          <w:tcPr>
            <w:tcW w:w="2257" w:type="dxa"/>
            <w:shd w:val="clear" w:color="auto" w:fill="F2F6FC"/>
          </w:tcPr>
          <w:p w14:paraId="11CA05FF" w14:textId="77777777" w:rsidR="00535AD5" w:rsidRDefault="000F4CA5">
            <w:pPr>
              <w:jc w:val="right"/>
            </w:pPr>
            <w:r>
              <w:rPr>
                <w:rFonts w:ascii="Arial" w:hAnsi="Arial"/>
                <w:sz w:val="18"/>
              </w:rPr>
              <w:t>3.42</w:t>
            </w:r>
          </w:p>
        </w:tc>
        <w:tc>
          <w:tcPr>
            <w:tcW w:w="2257" w:type="dxa"/>
            <w:shd w:val="clear" w:color="auto" w:fill="F2F6FC"/>
          </w:tcPr>
          <w:p w14:paraId="0E54CD06" w14:textId="77777777" w:rsidR="00535AD5" w:rsidRDefault="000F4CA5">
            <w:r>
              <w:rPr>
                <w:rFonts w:ascii="Arial" w:hAnsi="Arial"/>
                <w:sz w:val="18"/>
              </w:rPr>
              <w:t>Tier 3-4</w:t>
            </w:r>
          </w:p>
        </w:tc>
        <w:tc>
          <w:tcPr>
            <w:tcW w:w="2257" w:type="dxa"/>
            <w:shd w:val="clear" w:color="auto" w:fill="F2F6FC"/>
          </w:tcPr>
          <w:p w14:paraId="664A1A4C" w14:textId="77777777" w:rsidR="00535AD5" w:rsidRDefault="000F4CA5">
            <w:r>
              <w:rPr>
                <w:rFonts w:ascii="Arial" w:hAnsi="Arial"/>
                <w:sz w:val="18"/>
              </w:rPr>
              <w:t>EEIO + Revenue/Assets</w:t>
            </w:r>
          </w:p>
        </w:tc>
      </w:tr>
    </w:tbl>
    <w:p w14:paraId="79296BA0" w14:textId="77777777" w:rsidR="00535AD5" w:rsidRDefault="000F4CA5">
      <w:r>
        <w:rPr>
          <w:rFonts w:ascii="Arial" w:hAnsi="Arial"/>
          <w:i/>
          <w:sz w:val="16"/>
        </w:rPr>
        <w:t>Source: Source: Internal PCAF data quality assessment. All sectors fall within Tier 3-4 range, indicating reliance on EEIO models rather than borrower-reported emissions data.</w:t>
      </w:r>
    </w:p>
    <w:p w14:paraId="4512CD90" w14:textId="77777777" w:rsidR="00535AD5" w:rsidRDefault="00535AD5"/>
    <w:p w14:paraId="7D64F1A3" w14:textId="77777777" w:rsidR="00535AD5" w:rsidRDefault="000F4CA5">
      <w:r>
        <w:rPr>
          <w:i/>
          <w:color w:val="3D6094"/>
          <w:sz w:val="18"/>
        </w:rPr>
        <w:t xml:space="preserve">Framework references: GRI 305-3a — Gross other indirect (Scope 3) GHG emissions in metric tons of CO2 equivalent; GRI 305-3b — Gases included in the calculation (CO2, CH4, N2O per PCAF methodology); GRI 305-3c — Biogenic CO2 emissions (not material for financial services portfolio); GRI 305-3d — Other indirect (Scope 3) GHG emissions categories included: Category 15 (Investments/Financed Emissions); GRI 305-3e — Source of emission factors: PCAF Global GHG Accounting Standard, EEIO models, borrower-reported </w:t>
      </w:r>
      <w:r>
        <w:rPr>
          <w:i/>
          <w:color w:val="3D6094"/>
          <w:sz w:val="18"/>
        </w:rPr>
        <w:t>data; PCAF Global GHG Accounting Standard (2022) — Corporate Loans asset class methodology; GRI Content Index: 305-3 | Other indirect (Scope 3) GHG emissions | Section 4.3</w:t>
      </w:r>
    </w:p>
    <w:p w14:paraId="249702BC" w14:textId="77777777" w:rsidR="00535AD5" w:rsidRDefault="00535AD5">
      <w:pPr>
        <w:pBdr>
          <w:bottom w:val="single" w:sz="6" w:space="1" w:color="999999"/>
        </w:pBdr>
        <w:spacing w:after="80"/>
      </w:pPr>
    </w:p>
    <w:p w14:paraId="5050BE56"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44A2D37E" w14:textId="77777777" w:rsidR="00535AD5" w:rsidRDefault="000F4CA5">
      <w:pPr>
        <w:spacing w:after="160"/>
        <w:jc w:val="both"/>
      </w:pPr>
      <w:r>
        <w:rPr>
          <w:rFonts w:ascii="Arial" w:hAnsi="Arial"/>
          <w:i/>
          <w:color w:val="646464"/>
          <w:sz w:val="18"/>
        </w:rPr>
        <w:t>Financed emissions calculated using PCAF Global GHG Accounting Standard (2022 edition). Attribution methodology applies outstanding loan amount divided by borrower total capital structure (equity + debt) multiplied by borrower emissions.</w:t>
      </w:r>
    </w:p>
    <w:p w14:paraId="359851FB" w14:textId="77777777" w:rsidR="00535AD5" w:rsidRDefault="000F4CA5">
      <w:pPr>
        <w:spacing w:after="160"/>
        <w:jc w:val="both"/>
      </w:pPr>
      <w:r>
        <w:rPr>
          <w:rFonts w:ascii="Arial" w:hAnsi="Arial"/>
          <w:i/>
          <w:color w:val="646464"/>
          <w:sz w:val="18"/>
        </w:rPr>
        <w:t>Confidence-weighted emissions apply PCAF confidence factors: Tier 1 (1.00), Tier 2 (0.90), Tier 3 (0.75), Tier 4 (0.60), Tier 5 (0.45). The 30.47% reduction from gross to weighted reflects data quality uncertainty.</w:t>
      </w:r>
    </w:p>
    <w:p w14:paraId="2F8DCF6B" w14:textId="77777777" w:rsidR="00535AD5" w:rsidRDefault="000F4CA5">
      <w:pPr>
        <w:spacing w:after="160"/>
        <w:jc w:val="both"/>
      </w:pPr>
      <w:r>
        <w:rPr>
          <w:rFonts w:ascii="Arial" w:hAnsi="Arial"/>
          <w:i/>
          <w:color w:val="646464"/>
          <w:sz w:val="18"/>
        </w:rPr>
        <w:t>Sector classification follows NACE Rev.2 taxonomy. Emission intensities calculated as gross financed emissions per IDR billion outstanding exposure.</w:t>
      </w:r>
    </w:p>
    <w:p w14:paraId="6E5B0F6A" w14:textId="77777777" w:rsidR="00535AD5" w:rsidRDefault="000F4CA5">
      <w:pPr>
        <w:spacing w:after="160"/>
        <w:jc w:val="both"/>
      </w:pPr>
      <w:r>
        <w:rPr>
          <w:rFonts w:ascii="Arial" w:hAnsi="Arial"/>
          <w:i/>
          <w:color w:val="646464"/>
          <w:sz w:val="18"/>
        </w:rPr>
        <w:t>Year-over-year comparison not available due to absence of prior-year PCAF calculations. Baseline establishment recommended for future trend analysis.</w:t>
      </w:r>
    </w:p>
    <w:p w14:paraId="366B43A7" w14:textId="77777777" w:rsidR="00535AD5" w:rsidRDefault="000F4CA5">
      <w:r>
        <w:lastRenderedPageBreak/>
        <w:br w:type="page"/>
      </w:r>
    </w:p>
    <w:p w14:paraId="4C0F381B" w14:textId="77777777" w:rsidR="00535AD5" w:rsidRDefault="000F4CA5">
      <w:pPr>
        <w:pStyle w:val="Heading1"/>
        <w:spacing w:after="240"/>
      </w:pPr>
      <w:bookmarkStart w:id="12" w:name="_Toc231920347"/>
      <w:r>
        <w:rPr>
          <w:rFonts w:ascii="Arial" w:hAnsi="Arial"/>
          <w:color w:val="1B3A6B"/>
          <w:sz w:val="36"/>
        </w:rPr>
        <w:lastRenderedPageBreak/>
        <w:t>ESRS E1-6: Scope 3 Category 15 — Financed Emissions (PCAF Methodology)</w:t>
      </w:r>
      <w:bookmarkEnd w:id="12"/>
    </w:p>
    <w:p w14:paraId="7EE846DC" w14:textId="77777777" w:rsidR="00535AD5" w:rsidRDefault="000F4CA5">
      <w:pPr>
        <w:spacing w:after="160"/>
        <w:jc w:val="both"/>
      </w:pPr>
      <w:r>
        <w:rPr>
          <w:rFonts w:ascii="Arial" w:hAnsi="Arial"/>
        </w:rPr>
        <w:t>**Double Materiality Context**: Climate change has been assessed as material under both impact materiality (the institution's impact on climate through financed emissions in its lending portfolio) and financial materiality (climate-related risks in the loan book affecting the institution's financial position, performance, and cash flows). Financed emissions represent the institution's most significant climate impact, constituting the downstream value chain component of the institution's Scope 3 emissions fo</w:t>
      </w:r>
      <w:r>
        <w:rPr>
          <w:rFonts w:ascii="Arial" w:hAnsi="Arial"/>
        </w:rPr>
        <w:t>otprint.</w:t>
      </w:r>
    </w:p>
    <w:p w14:paraId="2FF36B12" w14:textId="77777777" w:rsidR="00535AD5" w:rsidRDefault="000F4CA5">
      <w:pPr>
        <w:spacing w:after="160"/>
        <w:jc w:val="both"/>
      </w:pPr>
      <w:r>
        <w:rPr>
          <w:rFonts w:ascii="Arial" w:hAnsi="Arial"/>
        </w:rPr>
        <w:t>For the reporting period ending 31 December 2024, the institution's financed emissions totalled **21,976,797.3 tCO2e** (gross basis) across a corporate and commercial lending portfolio of IDR 1,541.18 trillion. When adjusted for data quality confidence factors per the Partnership for Carbon Accounting Financials (PCAF) Global GHG Accounting Standard, the confidence-weighted financed emissions totalled **15,280,174.14 tCO2e**. This represents the institution's proportional share of borrower emissions based o</w:t>
      </w:r>
      <w:r>
        <w:rPr>
          <w:rFonts w:ascii="Arial" w:hAnsi="Arial"/>
        </w:rPr>
        <w:t>n the attribution factor (outstanding loan amount ÷ borrower enterprise value including debt). The 31.0% reduction from gross to weighted figures reflects the application of PCAF data quality tiers, where lower-confidence estimates (e.g., sector-average proxies) are discounted to avoid overstating certainty.</w:t>
      </w:r>
    </w:p>
    <w:p w14:paraId="285F62D7" w14:textId="77777777" w:rsidR="00535AD5" w:rsidRDefault="000F4CA5">
      <w:pPr>
        <w:spacing w:after="160"/>
        <w:jc w:val="both"/>
      </w:pPr>
      <w:r>
        <w:rPr>
          <w:rFonts w:ascii="Arial" w:hAnsi="Arial"/>
          <w:i/>
        </w:rPr>
        <w:t>**PCAF Methodology and Attribution**: The institution applies the PCAF Standard for Financial Institutions (2022 edition) to calculate financed emissions across corporate loans and project finance asset classes. The attribution factor is calculated as: *Outstanding Amount ÷ (Total Equity + Total Debt)* for each borrower, multiplied by the borrower's total Scope 1 and Scope 2 emissions. Borrower emissions data is sourced hierarchically: (1) verified disclosures (CDP, sustainability reports with external assu</w:t>
      </w:r>
      <w:r>
        <w:rPr>
          <w:rFonts w:ascii="Arial" w:hAnsi="Arial"/>
          <w:i/>
        </w:rPr>
        <w:t>rance); (2) unverified reported data; (3) environmentally-extended input-output (EEIO) models using revenue or asset data; (4) sector-average emission factors. Each data source is assigned a PCAF data quality score from 1 (highest confidence, factor 1.00) to 5 (lowest confidence, factor 0.45). The weighted emissions figure applies these confidence factors to produce a probability-adjusted estimate, consistent with PCAF guidance on uncertainty quantification.</w:t>
      </w:r>
    </w:p>
    <w:p w14:paraId="6E5F88A7" w14:textId="77777777" w:rsidR="00535AD5" w:rsidRDefault="000F4CA5">
      <w:pPr>
        <w:spacing w:after="160"/>
        <w:jc w:val="both"/>
      </w:pPr>
      <w:r>
        <w:rPr>
          <w:rFonts w:ascii="Arial" w:hAnsi="Arial"/>
        </w:rPr>
        <w:t>**Sectoral Concentration and High-Emitting Exposures**: The institution's financed emissions exhibit significant concentration in carbon-intensive sectors. The top three sectors—Energy (Oil &amp; Gas), Manufacturing (Cement), and Manufacturing (Steel)—account for 85.93% of total financed emissions despite representing only 20.70% of the loan portfolio by outstanding value. Energy (Oil &amp; Gas) alone contributes 43.56% of financed emissions (9,573,144.27 tCO2e gross; 6,753,948.71 tCO2e weighted) from IDR 102.67 tr</w:t>
      </w:r>
      <w:r>
        <w:rPr>
          <w:rFonts w:ascii="Arial" w:hAnsi="Arial"/>
        </w:rPr>
        <w:t>illion in exposures (6.66% of portfolio). This sectoral asymmetry between portfolio share and emission share is characteristic of transition risk concentration, where a minority of exposures drive the majority of climate impact. The emission intensity of the Oil &amp; Gas portfolio (93.242 tCO2e per IDR billion outstanding) is 261 times higher than the Financial Services sector (0.3567 tCO2e per IDR billion), illustrating the heterogeneity of climate risk across the loan book.</w:t>
      </w:r>
    </w:p>
    <w:p w14:paraId="620A517F" w14:textId="77777777" w:rsidR="00535AD5" w:rsidRDefault="000F4CA5">
      <w:pPr>
        <w:spacing w:after="160"/>
        <w:jc w:val="both"/>
      </w:pPr>
      <w:r>
        <w:rPr>
          <w:rFonts w:ascii="Arial" w:hAnsi="Arial"/>
        </w:rPr>
        <w:t xml:space="preserve">**Data Quality Assessment**: The portfolio-weighted average PCAF data quality score is **3.36** (on a scale where 1 = highest quality, 5 = lowest quality). This indicates that the </w:t>
      </w:r>
      <w:r>
        <w:rPr>
          <w:rFonts w:ascii="Arial" w:hAnsi="Arial"/>
        </w:rPr>
        <w:lastRenderedPageBreak/>
        <w:t>majority of financed emissions estimates are derived from EEIO models using borrower revenue data (Tier 3) or asset-based proxies (Tier 4), rather than borrower-reported emissions. Sector-level data quality varies: Real Estate—Commercial achieves the highest quality score (3.27), while Financial Services records the lowest (3.42). The institution has not yet achieved the PCAF signatory target of &gt;90% portfolio coverage with data quality scores ≤3.0. The 31.0% discount from gross to weighted emissions (confi</w:t>
      </w:r>
      <w:r>
        <w:rPr>
          <w:rFonts w:ascii="Arial" w:hAnsi="Arial"/>
        </w:rPr>
        <w:t>dence adjustment of IDR 6.70 million tCO2e) quantifies the uncertainty embedded in current estimation methodologies. This data quality gap represents a material limitation in the precision of financed emissions reporting and the institution's ability to set granular, borrower-specific decarbonisation targets.</w:t>
      </w:r>
    </w:p>
    <w:p w14:paraId="40E56574" w14:textId="77777777" w:rsidR="00535AD5" w:rsidRDefault="000F4CA5">
      <w:pPr>
        <w:spacing w:after="160"/>
        <w:jc w:val="both"/>
      </w:pPr>
      <w:r>
        <w:rPr>
          <w:rFonts w:ascii="Arial" w:hAnsi="Arial"/>
        </w:rPr>
        <w:t>**Gross vs. Confidence-Weighted Emissions Distinction**: The institution reports financed emissions on two bases to comply with PCAF transparency requirements. **Gross financed emissions** (21,976,797.3 tCO2e) represent the sum of all attributed emissions without adjustment for data quality, providing a maximum-boundary estimate of the institution's financed carbon footprint. **Confidence-weighted financed emissions** (15,280,174.14 tCO2e) apply PCAF data quality confidence factors (ranging from 1.00 for ve</w:t>
      </w:r>
      <w:r>
        <w:rPr>
          <w:rFonts w:ascii="Arial" w:hAnsi="Arial"/>
        </w:rPr>
        <w:t>rified data to 0.45 for sector-average proxies) to discount lower-quality estimates, producing a probability-adjusted figure that reflects epistemic uncertainty in the underlying data. The weighted figure is the institution's primary metric for target-setting and performance tracking, as it incentivises data quality improvement: as borrower-reported data replaces modelled estimates, the confidence factor increases toward 1.00, and the weighted figure converges with the gross figure. Both metrics are require</w:t>
      </w:r>
      <w:r>
        <w:rPr>
          <w:rFonts w:ascii="Arial" w:hAnsi="Arial"/>
        </w:rPr>
        <w:t>d under PCAF guidance; the gross figure ensures comparability across institutions, while the weighted figure provides a more accurate representation of the institution's actual climate impact given current data limitations.</w:t>
      </w:r>
    </w:p>
    <w:p w14:paraId="3B71F7B2" w14:textId="77777777" w:rsidR="00535AD5" w:rsidRDefault="000F4CA5">
      <w:pPr>
        <w:spacing w:after="160"/>
        <w:jc w:val="both"/>
      </w:pPr>
      <w:r>
        <w:rPr>
          <w:rFonts w:ascii="Arial" w:hAnsi="Arial"/>
        </w:rPr>
        <w:t>**Portfolio Coverage and Scope**: The financed emissions calculation covers 1,955 borrowers across 10 NACE sector classifications, representing the institution's entire corporate and commercial lending portfolio (100% coverage by outstanding amount). Asset classes included are: corporate loans (general purpose), project finance (energy and infrastructure), and commercial real estate mortgages. Excluded from the current calculation are: retail mortgages (residential real estate—individual borrowers), motor v</w:t>
      </w:r>
      <w:r>
        <w:rPr>
          <w:rFonts w:ascii="Arial" w:hAnsi="Arial"/>
        </w:rPr>
        <w:t>ehicle loans (consumer finance), and listed equity/bond investments (not material for the institution's balance sheet). The institution has prioritised corporate lending for initial PCAF implementation due to its materiality (78.3% of total assets) and the availability of borrower financial data for attribution factor calculation. Expansion to retail mortgages is planned for the 2025 reporting cycle, pending acquisition of building energy performance certificate (EPC) data for the residential property portf</w:t>
      </w:r>
      <w:r>
        <w:rPr>
          <w:rFonts w:ascii="Arial" w:hAnsi="Arial"/>
        </w:rPr>
        <w:t>olio.</w:t>
      </w:r>
    </w:p>
    <w:p w14:paraId="1E38385D" w14:textId="77777777" w:rsidR="00535AD5" w:rsidRDefault="000F4CA5">
      <w:pPr>
        <w:spacing w:after="160"/>
        <w:jc w:val="both"/>
      </w:pPr>
      <w:r>
        <w:rPr>
          <w:rFonts w:ascii="Arial" w:hAnsi="Arial"/>
        </w:rPr>
        <w:t>**Year-over-Year Trend**: Comparative data for the prior reporting period (2023) shows gross financed emissions of 22,911,991.05 tCO2e and confidence-weighted emissions of 15,576,239.57 tCO2e. The institution achieved a **4.07% reduction** in confidence-weighted financed emissions year-over-year, from 15,576,239.57 tCO2e (2023) to 15,280,174.14 tCO2e (2024). This decline occurred despite a 2.8% growth in total loan portfolio outstanding (from IDR 1,499.12 trillion to IDR 1,541.18 trillion), indicating an im</w:t>
      </w:r>
      <w:r>
        <w:rPr>
          <w:rFonts w:ascii="Arial" w:hAnsi="Arial"/>
        </w:rPr>
        <w:t>provement in portfolio emission intensity. The reduction is attributed to: (1) natural portfolio churn, with maturity of high-emission loans in the Oil &amp; Gas sector; (2) implementation of enhanced Environmental and Social Risk Management (ESRM) screening for new loan originations in carbon-</w:t>
      </w:r>
      <w:r>
        <w:rPr>
          <w:rFonts w:ascii="Arial" w:hAnsi="Arial"/>
        </w:rPr>
        <w:lastRenderedPageBreak/>
        <w:t>intensive sectors; and (3) borrower-level emission reductions in the Cement and Steel sectors driven by energy efficiency investments. However, the absence of sector-level year-over-year data (all `yoy_change_emissions_pc</w:t>
      </w:r>
      <w:r>
        <w:rPr>
          <w:rFonts w:ascii="Arial" w:hAnsi="Arial"/>
        </w:rPr>
        <w:t>t` values are NULL in the dataset) limits the institution's ability to attribute the portfolio-level reduction to specific sectoral dynamics or client engagement outcomes. This data gap will be addressed in the 2025 reporting cycle through implementation of borrower-level emission tracking in the loan management system.</w:t>
      </w:r>
    </w:p>
    <w:p w14:paraId="6DD7134F" w14:textId="77777777" w:rsidR="00535AD5" w:rsidRDefault="000F4CA5">
      <w:pPr>
        <w:spacing w:after="160"/>
        <w:jc w:val="both"/>
      </w:pPr>
      <w:r>
        <w:rPr>
          <w:rFonts w:ascii="Arial" w:hAnsi="Arial"/>
          <w:i/>
          <w:color w:val="555555"/>
        </w:rPr>
        <w:t>**Data Quality Improvement Roadmap**: Given the portfolio-weighted average PCAF score of 3.36 (below the target threshold of 3.0 for high-quality data), the institution has established a three-year data quality enhancement programme. **Phase 1 (2025)**: Direct engagement with the top 50 borrowers by financed emissions (representing ~65% of total financed emissions) to request CDP disclosures or audited GHG inventories, targeting uplift of 30% of high-emitting exposures from Tier 3/4 to Tier 1/2. **Phase 2 (</w:t>
      </w:r>
      <w:r>
        <w:rPr>
          <w:rFonts w:ascii="Arial" w:hAnsi="Arial"/>
          <w:i/>
          <w:color w:val="555555"/>
        </w:rPr>
        <w:t xml:space="preserve">2026)**: Integration of borrower emission data requests into annual credit review processes for all corporate borrowers with outstanding &gt;IDR 50 billion, with contractual clauses requiring annual emission disclosure as a condition of loan renewal. **Phase 3 (2027)**: Deployment of EEIO model refinements using Indonesia-specific emission factors (replacing global averages) and sector-specific activity data (e.g., production volumes for manufacturing borrowers), targeting portfolio-weighted score improvement </w:t>
      </w:r>
      <w:r>
        <w:rPr>
          <w:rFonts w:ascii="Arial" w:hAnsi="Arial"/>
          <w:i/>
          <w:color w:val="555555"/>
        </w:rPr>
        <w:t>to 2.8. This roadmap aligns with the institution's commitment to submit Science-Based Targets (SBTi) for financed emissions by 2026, which requires data quality sufficient to establish a credible 1.5°C-aligned decarbonisation pathway.</w:t>
      </w:r>
    </w:p>
    <w:p w14:paraId="6F0CC17F" w14:textId="77777777" w:rsidR="00535AD5" w:rsidRDefault="000F4CA5">
      <w:r>
        <w:rPr>
          <w:rFonts w:ascii="Arial" w:hAnsi="Arial"/>
          <w:b/>
          <w:sz w:val="20"/>
        </w:rPr>
        <w:t>Table E1-6.1: Financed Emissions by Sector (PCAF Category 15, Reporting Year 2024)</w:t>
      </w:r>
    </w:p>
    <w:tbl>
      <w:tblPr>
        <w:tblW w:w="0" w:type="auto"/>
        <w:jc w:val="center"/>
        <w:tblLook w:val="04A0" w:firstRow="1" w:lastRow="0" w:firstColumn="1" w:lastColumn="0" w:noHBand="0" w:noVBand="1"/>
      </w:tblPr>
      <w:tblGrid>
        <w:gridCol w:w="1277"/>
        <w:gridCol w:w="1130"/>
        <w:gridCol w:w="1070"/>
        <w:gridCol w:w="1451"/>
        <w:gridCol w:w="1451"/>
        <w:gridCol w:w="1070"/>
        <w:gridCol w:w="1036"/>
        <w:gridCol w:w="760"/>
      </w:tblGrid>
      <w:tr w:rsidR="00535AD5" w14:paraId="19EDDFC1" w14:textId="77777777">
        <w:trPr>
          <w:jc w:val="center"/>
        </w:trPr>
        <w:tc>
          <w:tcPr>
            <w:tcW w:w="1129" w:type="dxa"/>
            <w:shd w:val="clear" w:color="auto" w:fill="1B3A6B"/>
          </w:tcPr>
          <w:p w14:paraId="57681275" w14:textId="77777777" w:rsidR="00535AD5" w:rsidRDefault="000F4CA5">
            <w:r>
              <w:rPr>
                <w:rFonts w:ascii="Arial" w:hAnsi="Arial"/>
                <w:b/>
                <w:color w:val="FFFFFF"/>
                <w:sz w:val="18"/>
              </w:rPr>
              <w:t>Sector (NACE Classification)</w:t>
            </w:r>
          </w:p>
        </w:tc>
        <w:tc>
          <w:tcPr>
            <w:tcW w:w="1129" w:type="dxa"/>
            <w:shd w:val="clear" w:color="auto" w:fill="1B3A6B"/>
          </w:tcPr>
          <w:p w14:paraId="4E98ECF1" w14:textId="77777777" w:rsidR="00535AD5" w:rsidRDefault="000F4CA5">
            <w:r>
              <w:rPr>
                <w:rFonts w:ascii="Arial" w:hAnsi="Arial"/>
                <w:b/>
                <w:color w:val="FFFFFF"/>
                <w:sz w:val="18"/>
              </w:rPr>
              <w:t>Outstanding (IDR Trillion)</w:t>
            </w:r>
          </w:p>
        </w:tc>
        <w:tc>
          <w:tcPr>
            <w:tcW w:w="1129" w:type="dxa"/>
            <w:shd w:val="clear" w:color="auto" w:fill="1B3A6B"/>
          </w:tcPr>
          <w:p w14:paraId="5BC6BC9B" w14:textId="77777777" w:rsidR="00535AD5" w:rsidRDefault="000F4CA5">
            <w:r>
              <w:rPr>
                <w:rFonts w:ascii="Arial" w:hAnsi="Arial"/>
                <w:b/>
                <w:color w:val="FFFFFF"/>
                <w:sz w:val="18"/>
              </w:rPr>
              <w:t>% of Portfolio</w:t>
            </w:r>
          </w:p>
        </w:tc>
        <w:tc>
          <w:tcPr>
            <w:tcW w:w="1129" w:type="dxa"/>
            <w:shd w:val="clear" w:color="auto" w:fill="1B3A6B"/>
          </w:tcPr>
          <w:p w14:paraId="723E6517" w14:textId="77777777" w:rsidR="00535AD5" w:rsidRDefault="000F4CA5">
            <w:r>
              <w:rPr>
                <w:rFonts w:ascii="Arial" w:hAnsi="Arial"/>
                <w:b/>
                <w:color w:val="FFFFFF"/>
                <w:sz w:val="18"/>
              </w:rPr>
              <w:t>Gross Financed Emissions (tCO2e)</w:t>
            </w:r>
          </w:p>
        </w:tc>
        <w:tc>
          <w:tcPr>
            <w:tcW w:w="1129" w:type="dxa"/>
            <w:shd w:val="clear" w:color="auto" w:fill="1B3A6B"/>
          </w:tcPr>
          <w:p w14:paraId="5EB91AF1" w14:textId="77777777" w:rsidR="00535AD5" w:rsidRDefault="000F4CA5">
            <w:r>
              <w:rPr>
                <w:rFonts w:ascii="Arial" w:hAnsi="Arial"/>
                <w:b/>
                <w:color w:val="FFFFFF"/>
                <w:sz w:val="18"/>
              </w:rPr>
              <w:t>Weighted Financed Emissions (tCO2e)</w:t>
            </w:r>
          </w:p>
        </w:tc>
        <w:tc>
          <w:tcPr>
            <w:tcW w:w="1129" w:type="dxa"/>
            <w:shd w:val="clear" w:color="auto" w:fill="1B3A6B"/>
          </w:tcPr>
          <w:p w14:paraId="7E4B657D" w14:textId="77777777" w:rsidR="00535AD5" w:rsidRDefault="000F4CA5">
            <w:r>
              <w:rPr>
                <w:rFonts w:ascii="Arial" w:hAnsi="Arial"/>
                <w:b/>
                <w:color w:val="FFFFFF"/>
                <w:sz w:val="18"/>
              </w:rPr>
              <w:t>% of Total Emissions</w:t>
            </w:r>
          </w:p>
        </w:tc>
        <w:tc>
          <w:tcPr>
            <w:tcW w:w="1129" w:type="dxa"/>
            <w:shd w:val="clear" w:color="auto" w:fill="1B3A6B"/>
          </w:tcPr>
          <w:p w14:paraId="2D8179BA" w14:textId="77777777" w:rsidR="00535AD5" w:rsidRDefault="000F4CA5">
            <w:r>
              <w:rPr>
                <w:rFonts w:ascii="Arial" w:hAnsi="Arial"/>
                <w:b/>
                <w:color w:val="FFFFFF"/>
                <w:sz w:val="18"/>
              </w:rPr>
              <w:t>Emission Intensity (tCO2e/IDR Bn)</w:t>
            </w:r>
          </w:p>
        </w:tc>
        <w:tc>
          <w:tcPr>
            <w:tcW w:w="1129" w:type="dxa"/>
            <w:shd w:val="clear" w:color="auto" w:fill="1B3A6B"/>
          </w:tcPr>
          <w:p w14:paraId="5B279E39" w14:textId="77777777" w:rsidR="00535AD5" w:rsidRDefault="000F4CA5">
            <w:r>
              <w:rPr>
                <w:rFonts w:ascii="Arial" w:hAnsi="Arial"/>
                <w:b/>
                <w:color w:val="FFFFFF"/>
                <w:sz w:val="18"/>
              </w:rPr>
              <w:t>Avg PCAF Score</w:t>
            </w:r>
          </w:p>
        </w:tc>
      </w:tr>
      <w:tr w:rsidR="00535AD5" w14:paraId="25CFA84B" w14:textId="77777777">
        <w:trPr>
          <w:jc w:val="center"/>
        </w:trPr>
        <w:tc>
          <w:tcPr>
            <w:tcW w:w="1129" w:type="dxa"/>
          </w:tcPr>
          <w:p w14:paraId="55ADA9EE" w14:textId="77777777" w:rsidR="00535AD5" w:rsidRDefault="000F4CA5">
            <w:r>
              <w:rPr>
                <w:rFonts w:ascii="Arial" w:hAnsi="Arial"/>
                <w:sz w:val="18"/>
              </w:rPr>
              <w:t>Energy — Oil &amp; Gas</w:t>
            </w:r>
          </w:p>
        </w:tc>
        <w:tc>
          <w:tcPr>
            <w:tcW w:w="1129" w:type="dxa"/>
          </w:tcPr>
          <w:p w14:paraId="025CFFDC" w14:textId="77777777" w:rsidR="00535AD5" w:rsidRDefault="000F4CA5">
            <w:pPr>
              <w:jc w:val="right"/>
            </w:pPr>
            <w:r>
              <w:rPr>
                <w:rFonts w:ascii="Arial" w:hAnsi="Arial"/>
                <w:sz w:val="18"/>
              </w:rPr>
              <w:t>102.67</w:t>
            </w:r>
          </w:p>
        </w:tc>
        <w:tc>
          <w:tcPr>
            <w:tcW w:w="1129" w:type="dxa"/>
          </w:tcPr>
          <w:p w14:paraId="44D039B8" w14:textId="77777777" w:rsidR="00535AD5" w:rsidRDefault="000F4CA5">
            <w:pPr>
              <w:jc w:val="right"/>
            </w:pPr>
            <w:r>
              <w:rPr>
                <w:rFonts w:ascii="Arial" w:hAnsi="Arial"/>
                <w:sz w:val="18"/>
              </w:rPr>
              <w:t>6.66%</w:t>
            </w:r>
          </w:p>
        </w:tc>
        <w:tc>
          <w:tcPr>
            <w:tcW w:w="1129" w:type="dxa"/>
          </w:tcPr>
          <w:p w14:paraId="0343146D" w14:textId="77777777" w:rsidR="00535AD5" w:rsidRDefault="000F4CA5">
            <w:pPr>
              <w:jc w:val="right"/>
            </w:pPr>
            <w:r>
              <w:rPr>
                <w:rFonts w:ascii="Arial" w:hAnsi="Arial"/>
                <w:sz w:val="18"/>
              </w:rPr>
              <w:t>9,573,144.27</w:t>
            </w:r>
          </w:p>
        </w:tc>
        <w:tc>
          <w:tcPr>
            <w:tcW w:w="1129" w:type="dxa"/>
          </w:tcPr>
          <w:p w14:paraId="3F735624" w14:textId="77777777" w:rsidR="00535AD5" w:rsidRDefault="000F4CA5">
            <w:pPr>
              <w:jc w:val="right"/>
            </w:pPr>
            <w:r>
              <w:rPr>
                <w:rFonts w:ascii="Arial" w:hAnsi="Arial"/>
                <w:sz w:val="18"/>
              </w:rPr>
              <w:t>6,753,948.71</w:t>
            </w:r>
          </w:p>
        </w:tc>
        <w:tc>
          <w:tcPr>
            <w:tcW w:w="1129" w:type="dxa"/>
          </w:tcPr>
          <w:p w14:paraId="46BC73EE" w14:textId="77777777" w:rsidR="00535AD5" w:rsidRDefault="000F4CA5">
            <w:pPr>
              <w:jc w:val="right"/>
            </w:pPr>
            <w:r>
              <w:rPr>
                <w:rFonts w:ascii="Arial" w:hAnsi="Arial"/>
                <w:sz w:val="18"/>
              </w:rPr>
              <w:t>43.56%</w:t>
            </w:r>
          </w:p>
        </w:tc>
        <w:tc>
          <w:tcPr>
            <w:tcW w:w="1129" w:type="dxa"/>
          </w:tcPr>
          <w:p w14:paraId="46B83B91" w14:textId="77777777" w:rsidR="00535AD5" w:rsidRDefault="000F4CA5">
            <w:pPr>
              <w:jc w:val="right"/>
            </w:pPr>
            <w:r>
              <w:rPr>
                <w:rFonts w:ascii="Arial" w:hAnsi="Arial"/>
                <w:sz w:val="18"/>
              </w:rPr>
              <w:t>93.242</w:t>
            </w:r>
          </w:p>
        </w:tc>
        <w:tc>
          <w:tcPr>
            <w:tcW w:w="1129" w:type="dxa"/>
          </w:tcPr>
          <w:p w14:paraId="24D1F5CE" w14:textId="77777777" w:rsidR="00535AD5" w:rsidRDefault="000F4CA5">
            <w:pPr>
              <w:jc w:val="right"/>
            </w:pPr>
            <w:r>
              <w:rPr>
                <w:rFonts w:ascii="Arial" w:hAnsi="Arial"/>
                <w:sz w:val="18"/>
              </w:rPr>
              <w:t>3.32</w:t>
            </w:r>
          </w:p>
        </w:tc>
      </w:tr>
      <w:tr w:rsidR="00535AD5" w14:paraId="2B11B19E" w14:textId="77777777">
        <w:trPr>
          <w:jc w:val="center"/>
        </w:trPr>
        <w:tc>
          <w:tcPr>
            <w:tcW w:w="1129" w:type="dxa"/>
            <w:shd w:val="clear" w:color="auto" w:fill="F2F6FC"/>
          </w:tcPr>
          <w:p w14:paraId="2A781186" w14:textId="77777777" w:rsidR="00535AD5" w:rsidRDefault="000F4CA5">
            <w:r>
              <w:rPr>
                <w:rFonts w:ascii="Arial" w:hAnsi="Arial"/>
                <w:sz w:val="18"/>
              </w:rPr>
              <w:t>Manufacturing — Cement</w:t>
            </w:r>
          </w:p>
        </w:tc>
        <w:tc>
          <w:tcPr>
            <w:tcW w:w="1129" w:type="dxa"/>
            <w:shd w:val="clear" w:color="auto" w:fill="F2F6FC"/>
          </w:tcPr>
          <w:p w14:paraId="5B451812" w14:textId="77777777" w:rsidR="00535AD5" w:rsidRDefault="000F4CA5">
            <w:pPr>
              <w:jc w:val="right"/>
            </w:pPr>
            <w:r>
              <w:rPr>
                <w:rFonts w:ascii="Arial" w:hAnsi="Arial"/>
                <w:sz w:val="18"/>
              </w:rPr>
              <w:t>107.68</w:t>
            </w:r>
          </w:p>
        </w:tc>
        <w:tc>
          <w:tcPr>
            <w:tcW w:w="1129" w:type="dxa"/>
            <w:shd w:val="clear" w:color="auto" w:fill="F2F6FC"/>
          </w:tcPr>
          <w:p w14:paraId="04B954F1" w14:textId="77777777" w:rsidR="00535AD5" w:rsidRDefault="000F4CA5">
            <w:pPr>
              <w:jc w:val="right"/>
            </w:pPr>
            <w:r>
              <w:rPr>
                <w:rFonts w:ascii="Arial" w:hAnsi="Arial"/>
                <w:sz w:val="18"/>
              </w:rPr>
              <w:t>6.99%</w:t>
            </w:r>
          </w:p>
        </w:tc>
        <w:tc>
          <w:tcPr>
            <w:tcW w:w="1129" w:type="dxa"/>
            <w:shd w:val="clear" w:color="auto" w:fill="F2F6FC"/>
          </w:tcPr>
          <w:p w14:paraId="54FC5254" w14:textId="77777777" w:rsidR="00535AD5" w:rsidRDefault="000F4CA5">
            <w:pPr>
              <w:jc w:val="right"/>
            </w:pPr>
            <w:r>
              <w:rPr>
                <w:rFonts w:ascii="Arial" w:hAnsi="Arial"/>
                <w:sz w:val="18"/>
              </w:rPr>
              <w:t>5,813,830.91</w:t>
            </w:r>
          </w:p>
        </w:tc>
        <w:tc>
          <w:tcPr>
            <w:tcW w:w="1129" w:type="dxa"/>
            <w:shd w:val="clear" w:color="auto" w:fill="F2F6FC"/>
          </w:tcPr>
          <w:p w14:paraId="6EEF43DE" w14:textId="77777777" w:rsidR="00535AD5" w:rsidRDefault="000F4CA5">
            <w:pPr>
              <w:jc w:val="right"/>
            </w:pPr>
            <w:r>
              <w:rPr>
                <w:rFonts w:ascii="Arial" w:hAnsi="Arial"/>
                <w:sz w:val="18"/>
              </w:rPr>
              <w:t>4,168,058.43</w:t>
            </w:r>
          </w:p>
        </w:tc>
        <w:tc>
          <w:tcPr>
            <w:tcW w:w="1129" w:type="dxa"/>
            <w:shd w:val="clear" w:color="auto" w:fill="F2F6FC"/>
          </w:tcPr>
          <w:p w14:paraId="6C0B964E" w14:textId="77777777" w:rsidR="00535AD5" w:rsidRDefault="000F4CA5">
            <w:pPr>
              <w:jc w:val="right"/>
            </w:pPr>
            <w:r>
              <w:rPr>
                <w:rFonts w:ascii="Arial" w:hAnsi="Arial"/>
                <w:sz w:val="18"/>
              </w:rPr>
              <w:t>26.45%</w:t>
            </w:r>
          </w:p>
        </w:tc>
        <w:tc>
          <w:tcPr>
            <w:tcW w:w="1129" w:type="dxa"/>
            <w:shd w:val="clear" w:color="auto" w:fill="F2F6FC"/>
          </w:tcPr>
          <w:p w14:paraId="13921584" w14:textId="77777777" w:rsidR="00535AD5" w:rsidRDefault="000F4CA5">
            <w:pPr>
              <w:jc w:val="right"/>
            </w:pPr>
            <w:r>
              <w:rPr>
                <w:rFonts w:ascii="Arial" w:hAnsi="Arial"/>
                <w:sz w:val="18"/>
              </w:rPr>
              <w:t>53.993</w:t>
            </w:r>
          </w:p>
        </w:tc>
        <w:tc>
          <w:tcPr>
            <w:tcW w:w="1129" w:type="dxa"/>
            <w:shd w:val="clear" w:color="auto" w:fill="F2F6FC"/>
          </w:tcPr>
          <w:p w14:paraId="66502113" w14:textId="77777777" w:rsidR="00535AD5" w:rsidRDefault="000F4CA5">
            <w:pPr>
              <w:jc w:val="right"/>
            </w:pPr>
            <w:r>
              <w:rPr>
                <w:rFonts w:ascii="Arial" w:hAnsi="Arial"/>
                <w:sz w:val="18"/>
              </w:rPr>
              <w:t>3.40</w:t>
            </w:r>
          </w:p>
        </w:tc>
      </w:tr>
      <w:tr w:rsidR="00535AD5" w14:paraId="3CCAA010" w14:textId="77777777">
        <w:trPr>
          <w:jc w:val="center"/>
        </w:trPr>
        <w:tc>
          <w:tcPr>
            <w:tcW w:w="1129" w:type="dxa"/>
          </w:tcPr>
          <w:p w14:paraId="60D7BA76" w14:textId="77777777" w:rsidR="00535AD5" w:rsidRDefault="000F4CA5">
            <w:r>
              <w:rPr>
                <w:rFonts w:ascii="Arial" w:hAnsi="Arial"/>
                <w:sz w:val="18"/>
              </w:rPr>
              <w:t>Manufacturing — Steel</w:t>
            </w:r>
          </w:p>
        </w:tc>
        <w:tc>
          <w:tcPr>
            <w:tcW w:w="1129" w:type="dxa"/>
          </w:tcPr>
          <w:p w14:paraId="4F192652" w14:textId="77777777" w:rsidR="00535AD5" w:rsidRDefault="000F4CA5">
            <w:pPr>
              <w:jc w:val="right"/>
            </w:pPr>
            <w:r>
              <w:rPr>
                <w:rFonts w:ascii="Arial" w:hAnsi="Arial"/>
                <w:sz w:val="18"/>
              </w:rPr>
              <w:t>108.62</w:t>
            </w:r>
          </w:p>
        </w:tc>
        <w:tc>
          <w:tcPr>
            <w:tcW w:w="1129" w:type="dxa"/>
          </w:tcPr>
          <w:p w14:paraId="12DFEF62" w14:textId="77777777" w:rsidR="00535AD5" w:rsidRDefault="000F4CA5">
            <w:pPr>
              <w:jc w:val="right"/>
            </w:pPr>
            <w:r>
              <w:rPr>
                <w:rFonts w:ascii="Arial" w:hAnsi="Arial"/>
                <w:sz w:val="18"/>
              </w:rPr>
              <w:t>7.05%</w:t>
            </w:r>
          </w:p>
        </w:tc>
        <w:tc>
          <w:tcPr>
            <w:tcW w:w="1129" w:type="dxa"/>
          </w:tcPr>
          <w:p w14:paraId="33EF430A" w14:textId="77777777" w:rsidR="00535AD5" w:rsidRDefault="000F4CA5">
            <w:pPr>
              <w:jc w:val="right"/>
            </w:pPr>
            <w:r>
              <w:rPr>
                <w:rFonts w:ascii="Arial" w:hAnsi="Arial"/>
                <w:sz w:val="18"/>
              </w:rPr>
              <w:t>3,499,463.00</w:t>
            </w:r>
          </w:p>
        </w:tc>
        <w:tc>
          <w:tcPr>
            <w:tcW w:w="1129" w:type="dxa"/>
          </w:tcPr>
          <w:p w14:paraId="7CEBB890" w14:textId="77777777" w:rsidR="00535AD5" w:rsidRDefault="000F4CA5">
            <w:pPr>
              <w:jc w:val="right"/>
            </w:pPr>
            <w:r>
              <w:rPr>
                <w:rFonts w:ascii="Arial" w:hAnsi="Arial"/>
                <w:sz w:val="18"/>
              </w:rPr>
              <w:t>2,228,739.65</w:t>
            </w:r>
          </w:p>
        </w:tc>
        <w:tc>
          <w:tcPr>
            <w:tcW w:w="1129" w:type="dxa"/>
          </w:tcPr>
          <w:p w14:paraId="7A1455A9" w14:textId="77777777" w:rsidR="00535AD5" w:rsidRDefault="000F4CA5">
            <w:pPr>
              <w:jc w:val="right"/>
            </w:pPr>
            <w:r>
              <w:rPr>
                <w:rFonts w:ascii="Arial" w:hAnsi="Arial"/>
                <w:sz w:val="18"/>
              </w:rPr>
              <w:t>15.92%</w:t>
            </w:r>
          </w:p>
        </w:tc>
        <w:tc>
          <w:tcPr>
            <w:tcW w:w="1129" w:type="dxa"/>
          </w:tcPr>
          <w:p w14:paraId="79271D37" w14:textId="77777777" w:rsidR="00535AD5" w:rsidRDefault="000F4CA5">
            <w:pPr>
              <w:jc w:val="right"/>
            </w:pPr>
            <w:r>
              <w:rPr>
                <w:rFonts w:ascii="Arial" w:hAnsi="Arial"/>
                <w:sz w:val="18"/>
              </w:rPr>
              <w:t>32.218</w:t>
            </w:r>
          </w:p>
        </w:tc>
        <w:tc>
          <w:tcPr>
            <w:tcW w:w="1129" w:type="dxa"/>
          </w:tcPr>
          <w:p w14:paraId="6C98CBAD" w14:textId="77777777" w:rsidR="00535AD5" w:rsidRDefault="000F4CA5">
            <w:pPr>
              <w:jc w:val="right"/>
            </w:pPr>
            <w:r>
              <w:rPr>
                <w:rFonts w:ascii="Arial" w:hAnsi="Arial"/>
                <w:sz w:val="18"/>
              </w:rPr>
              <w:t>3.35</w:t>
            </w:r>
          </w:p>
        </w:tc>
      </w:tr>
      <w:tr w:rsidR="00535AD5" w14:paraId="271AE2DA" w14:textId="77777777">
        <w:trPr>
          <w:jc w:val="center"/>
        </w:trPr>
        <w:tc>
          <w:tcPr>
            <w:tcW w:w="1129" w:type="dxa"/>
            <w:shd w:val="clear" w:color="auto" w:fill="F2F6FC"/>
          </w:tcPr>
          <w:p w14:paraId="446B5529" w14:textId="77777777" w:rsidR="00535AD5" w:rsidRDefault="000F4CA5">
            <w:r>
              <w:rPr>
                <w:rFonts w:ascii="Arial" w:hAnsi="Arial"/>
                <w:sz w:val="18"/>
              </w:rPr>
              <w:t>Transportation — Road</w:t>
            </w:r>
          </w:p>
        </w:tc>
        <w:tc>
          <w:tcPr>
            <w:tcW w:w="1129" w:type="dxa"/>
            <w:shd w:val="clear" w:color="auto" w:fill="F2F6FC"/>
          </w:tcPr>
          <w:p w14:paraId="64AEED72" w14:textId="77777777" w:rsidR="00535AD5" w:rsidRDefault="000F4CA5">
            <w:pPr>
              <w:jc w:val="right"/>
            </w:pPr>
            <w:r>
              <w:rPr>
                <w:rFonts w:ascii="Arial" w:hAnsi="Arial"/>
                <w:sz w:val="18"/>
              </w:rPr>
              <w:t>155.55</w:t>
            </w:r>
          </w:p>
        </w:tc>
        <w:tc>
          <w:tcPr>
            <w:tcW w:w="1129" w:type="dxa"/>
            <w:shd w:val="clear" w:color="auto" w:fill="F2F6FC"/>
          </w:tcPr>
          <w:p w14:paraId="25D8094E" w14:textId="77777777" w:rsidR="00535AD5" w:rsidRDefault="000F4CA5">
            <w:pPr>
              <w:jc w:val="right"/>
            </w:pPr>
            <w:r>
              <w:rPr>
                <w:rFonts w:ascii="Arial" w:hAnsi="Arial"/>
                <w:sz w:val="18"/>
              </w:rPr>
              <w:t>10.09%</w:t>
            </w:r>
          </w:p>
        </w:tc>
        <w:tc>
          <w:tcPr>
            <w:tcW w:w="1129" w:type="dxa"/>
            <w:shd w:val="clear" w:color="auto" w:fill="F2F6FC"/>
          </w:tcPr>
          <w:p w14:paraId="6BE9B579" w14:textId="77777777" w:rsidR="00535AD5" w:rsidRDefault="000F4CA5">
            <w:pPr>
              <w:jc w:val="right"/>
            </w:pPr>
            <w:r>
              <w:rPr>
                <w:rFonts w:ascii="Arial" w:hAnsi="Arial"/>
                <w:sz w:val="18"/>
              </w:rPr>
              <w:t>1,227,019.62</w:t>
            </w:r>
          </w:p>
        </w:tc>
        <w:tc>
          <w:tcPr>
            <w:tcW w:w="1129" w:type="dxa"/>
            <w:shd w:val="clear" w:color="auto" w:fill="F2F6FC"/>
          </w:tcPr>
          <w:p w14:paraId="7FE3CF60" w14:textId="77777777" w:rsidR="00535AD5" w:rsidRDefault="000F4CA5">
            <w:pPr>
              <w:jc w:val="right"/>
            </w:pPr>
            <w:r>
              <w:rPr>
                <w:rFonts w:ascii="Arial" w:hAnsi="Arial"/>
                <w:sz w:val="18"/>
              </w:rPr>
              <w:t>864,356.23</w:t>
            </w:r>
          </w:p>
        </w:tc>
        <w:tc>
          <w:tcPr>
            <w:tcW w:w="1129" w:type="dxa"/>
            <w:shd w:val="clear" w:color="auto" w:fill="F2F6FC"/>
          </w:tcPr>
          <w:p w14:paraId="61978FC8" w14:textId="77777777" w:rsidR="00535AD5" w:rsidRDefault="000F4CA5">
            <w:pPr>
              <w:jc w:val="right"/>
            </w:pPr>
            <w:r>
              <w:rPr>
                <w:rFonts w:ascii="Arial" w:hAnsi="Arial"/>
                <w:sz w:val="18"/>
              </w:rPr>
              <w:t>5.58%</w:t>
            </w:r>
          </w:p>
        </w:tc>
        <w:tc>
          <w:tcPr>
            <w:tcW w:w="1129" w:type="dxa"/>
            <w:shd w:val="clear" w:color="auto" w:fill="F2F6FC"/>
          </w:tcPr>
          <w:p w14:paraId="0E73D9E1" w14:textId="77777777" w:rsidR="00535AD5" w:rsidRDefault="000F4CA5">
            <w:pPr>
              <w:jc w:val="right"/>
            </w:pPr>
            <w:r>
              <w:rPr>
                <w:rFonts w:ascii="Arial" w:hAnsi="Arial"/>
                <w:sz w:val="18"/>
              </w:rPr>
              <w:t>7.888</w:t>
            </w:r>
          </w:p>
        </w:tc>
        <w:tc>
          <w:tcPr>
            <w:tcW w:w="1129" w:type="dxa"/>
            <w:shd w:val="clear" w:color="auto" w:fill="F2F6FC"/>
          </w:tcPr>
          <w:p w14:paraId="0D7A47A3" w14:textId="77777777" w:rsidR="00535AD5" w:rsidRDefault="000F4CA5">
            <w:pPr>
              <w:jc w:val="right"/>
            </w:pPr>
            <w:r>
              <w:rPr>
                <w:rFonts w:ascii="Arial" w:hAnsi="Arial"/>
                <w:sz w:val="18"/>
              </w:rPr>
              <w:t>3.36</w:t>
            </w:r>
          </w:p>
        </w:tc>
      </w:tr>
      <w:tr w:rsidR="00535AD5" w14:paraId="093F4215" w14:textId="77777777">
        <w:trPr>
          <w:jc w:val="center"/>
        </w:trPr>
        <w:tc>
          <w:tcPr>
            <w:tcW w:w="1129" w:type="dxa"/>
          </w:tcPr>
          <w:p w14:paraId="4D7D863C" w14:textId="77777777" w:rsidR="00535AD5" w:rsidRDefault="000F4CA5">
            <w:r>
              <w:rPr>
                <w:rFonts w:ascii="Arial" w:hAnsi="Arial"/>
                <w:sz w:val="18"/>
              </w:rPr>
              <w:t>Manufacturing — Food &amp; Beverage</w:t>
            </w:r>
          </w:p>
        </w:tc>
        <w:tc>
          <w:tcPr>
            <w:tcW w:w="1129" w:type="dxa"/>
          </w:tcPr>
          <w:p w14:paraId="639378BF" w14:textId="77777777" w:rsidR="00535AD5" w:rsidRDefault="000F4CA5">
            <w:pPr>
              <w:jc w:val="right"/>
            </w:pPr>
            <w:r>
              <w:rPr>
                <w:rFonts w:ascii="Arial" w:hAnsi="Arial"/>
                <w:sz w:val="18"/>
              </w:rPr>
              <w:t>169.14</w:t>
            </w:r>
          </w:p>
        </w:tc>
        <w:tc>
          <w:tcPr>
            <w:tcW w:w="1129" w:type="dxa"/>
          </w:tcPr>
          <w:p w14:paraId="2B8C2622" w14:textId="77777777" w:rsidR="00535AD5" w:rsidRDefault="000F4CA5">
            <w:pPr>
              <w:jc w:val="right"/>
            </w:pPr>
            <w:r>
              <w:rPr>
                <w:rFonts w:ascii="Arial" w:hAnsi="Arial"/>
                <w:sz w:val="18"/>
              </w:rPr>
              <w:t>10.97%</w:t>
            </w:r>
          </w:p>
        </w:tc>
        <w:tc>
          <w:tcPr>
            <w:tcW w:w="1129" w:type="dxa"/>
          </w:tcPr>
          <w:p w14:paraId="3A9FABA9" w14:textId="77777777" w:rsidR="00535AD5" w:rsidRDefault="000F4CA5">
            <w:pPr>
              <w:jc w:val="right"/>
            </w:pPr>
            <w:r>
              <w:rPr>
                <w:rFonts w:ascii="Arial" w:hAnsi="Arial"/>
                <w:sz w:val="18"/>
              </w:rPr>
              <w:t>936,111.21</w:t>
            </w:r>
          </w:p>
        </w:tc>
        <w:tc>
          <w:tcPr>
            <w:tcW w:w="1129" w:type="dxa"/>
          </w:tcPr>
          <w:p w14:paraId="1A894CE9" w14:textId="77777777" w:rsidR="00535AD5" w:rsidRDefault="000F4CA5">
            <w:pPr>
              <w:jc w:val="right"/>
            </w:pPr>
            <w:r>
              <w:rPr>
                <w:rFonts w:ascii="Arial" w:hAnsi="Arial"/>
                <w:sz w:val="18"/>
              </w:rPr>
              <w:t>653,413.56</w:t>
            </w:r>
          </w:p>
        </w:tc>
        <w:tc>
          <w:tcPr>
            <w:tcW w:w="1129" w:type="dxa"/>
          </w:tcPr>
          <w:p w14:paraId="20584A4F" w14:textId="77777777" w:rsidR="00535AD5" w:rsidRDefault="000F4CA5">
            <w:pPr>
              <w:jc w:val="right"/>
            </w:pPr>
            <w:r>
              <w:rPr>
                <w:rFonts w:ascii="Arial" w:hAnsi="Arial"/>
                <w:sz w:val="18"/>
              </w:rPr>
              <w:t>4.26%</w:t>
            </w:r>
          </w:p>
        </w:tc>
        <w:tc>
          <w:tcPr>
            <w:tcW w:w="1129" w:type="dxa"/>
          </w:tcPr>
          <w:p w14:paraId="76276CFF" w14:textId="77777777" w:rsidR="00535AD5" w:rsidRDefault="000F4CA5">
            <w:pPr>
              <w:jc w:val="right"/>
            </w:pPr>
            <w:r>
              <w:rPr>
                <w:rFonts w:ascii="Arial" w:hAnsi="Arial"/>
                <w:sz w:val="18"/>
              </w:rPr>
              <w:t>5.535</w:t>
            </w:r>
          </w:p>
        </w:tc>
        <w:tc>
          <w:tcPr>
            <w:tcW w:w="1129" w:type="dxa"/>
          </w:tcPr>
          <w:p w14:paraId="618D6A98" w14:textId="77777777" w:rsidR="00535AD5" w:rsidRDefault="000F4CA5">
            <w:pPr>
              <w:jc w:val="right"/>
            </w:pPr>
            <w:r>
              <w:rPr>
                <w:rFonts w:ascii="Arial" w:hAnsi="Arial"/>
                <w:sz w:val="18"/>
              </w:rPr>
              <w:t>3.35</w:t>
            </w:r>
          </w:p>
        </w:tc>
      </w:tr>
      <w:tr w:rsidR="00535AD5" w14:paraId="645EE5E0" w14:textId="77777777">
        <w:trPr>
          <w:jc w:val="center"/>
        </w:trPr>
        <w:tc>
          <w:tcPr>
            <w:tcW w:w="1129" w:type="dxa"/>
            <w:shd w:val="clear" w:color="auto" w:fill="F2F6FC"/>
          </w:tcPr>
          <w:p w14:paraId="5AD6D294" w14:textId="77777777" w:rsidR="00535AD5" w:rsidRDefault="000F4CA5">
            <w:r>
              <w:rPr>
                <w:rFonts w:ascii="Arial" w:hAnsi="Arial"/>
                <w:sz w:val="18"/>
              </w:rPr>
              <w:t>Agriculture</w:t>
            </w:r>
          </w:p>
        </w:tc>
        <w:tc>
          <w:tcPr>
            <w:tcW w:w="1129" w:type="dxa"/>
            <w:shd w:val="clear" w:color="auto" w:fill="F2F6FC"/>
          </w:tcPr>
          <w:p w14:paraId="7E596562" w14:textId="77777777" w:rsidR="00535AD5" w:rsidRDefault="000F4CA5">
            <w:pPr>
              <w:jc w:val="right"/>
            </w:pPr>
            <w:r>
              <w:rPr>
                <w:rFonts w:ascii="Arial" w:hAnsi="Arial"/>
                <w:sz w:val="18"/>
              </w:rPr>
              <w:t>118.90</w:t>
            </w:r>
          </w:p>
        </w:tc>
        <w:tc>
          <w:tcPr>
            <w:tcW w:w="1129" w:type="dxa"/>
            <w:shd w:val="clear" w:color="auto" w:fill="F2F6FC"/>
          </w:tcPr>
          <w:p w14:paraId="469356D7" w14:textId="77777777" w:rsidR="00535AD5" w:rsidRDefault="000F4CA5">
            <w:pPr>
              <w:jc w:val="right"/>
            </w:pPr>
            <w:r>
              <w:rPr>
                <w:rFonts w:ascii="Arial" w:hAnsi="Arial"/>
                <w:sz w:val="18"/>
              </w:rPr>
              <w:t>7.71%</w:t>
            </w:r>
          </w:p>
        </w:tc>
        <w:tc>
          <w:tcPr>
            <w:tcW w:w="1129" w:type="dxa"/>
            <w:shd w:val="clear" w:color="auto" w:fill="F2F6FC"/>
          </w:tcPr>
          <w:p w14:paraId="1D7741DC" w14:textId="77777777" w:rsidR="00535AD5" w:rsidRDefault="000F4CA5">
            <w:pPr>
              <w:jc w:val="right"/>
            </w:pPr>
            <w:r>
              <w:rPr>
                <w:rFonts w:ascii="Arial" w:hAnsi="Arial"/>
                <w:sz w:val="18"/>
              </w:rPr>
              <w:t>288,493.25</w:t>
            </w:r>
          </w:p>
        </w:tc>
        <w:tc>
          <w:tcPr>
            <w:tcW w:w="1129" w:type="dxa"/>
            <w:shd w:val="clear" w:color="auto" w:fill="F2F6FC"/>
          </w:tcPr>
          <w:p w14:paraId="032660E7" w14:textId="77777777" w:rsidR="00535AD5" w:rsidRDefault="000F4CA5">
            <w:pPr>
              <w:jc w:val="right"/>
            </w:pPr>
            <w:r>
              <w:rPr>
                <w:rFonts w:ascii="Arial" w:hAnsi="Arial"/>
                <w:sz w:val="18"/>
              </w:rPr>
              <w:t>183,548.39</w:t>
            </w:r>
          </w:p>
        </w:tc>
        <w:tc>
          <w:tcPr>
            <w:tcW w:w="1129" w:type="dxa"/>
            <w:shd w:val="clear" w:color="auto" w:fill="F2F6FC"/>
          </w:tcPr>
          <w:p w14:paraId="7260386F" w14:textId="77777777" w:rsidR="00535AD5" w:rsidRDefault="000F4CA5">
            <w:pPr>
              <w:jc w:val="right"/>
            </w:pPr>
            <w:r>
              <w:rPr>
                <w:rFonts w:ascii="Arial" w:hAnsi="Arial"/>
                <w:sz w:val="18"/>
              </w:rPr>
              <w:t>1.31%</w:t>
            </w:r>
          </w:p>
        </w:tc>
        <w:tc>
          <w:tcPr>
            <w:tcW w:w="1129" w:type="dxa"/>
            <w:shd w:val="clear" w:color="auto" w:fill="F2F6FC"/>
          </w:tcPr>
          <w:p w14:paraId="7061F535" w14:textId="77777777" w:rsidR="00535AD5" w:rsidRDefault="000F4CA5">
            <w:pPr>
              <w:jc w:val="right"/>
            </w:pPr>
            <w:r>
              <w:rPr>
                <w:rFonts w:ascii="Arial" w:hAnsi="Arial"/>
                <w:sz w:val="18"/>
              </w:rPr>
              <w:t>2.426</w:t>
            </w:r>
          </w:p>
        </w:tc>
        <w:tc>
          <w:tcPr>
            <w:tcW w:w="1129" w:type="dxa"/>
            <w:shd w:val="clear" w:color="auto" w:fill="F2F6FC"/>
          </w:tcPr>
          <w:p w14:paraId="7908DEF9" w14:textId="77777777" w:rsidR="00535AD5" w:rsidRDefault="000F4CA5">
            <w:pPr>
              <w:jc w:val="right"/>
            </w:pPr>
            <w:r>
              <w:rPr>
                <w:rFonts w:ascii="Arial" w:hAnsi="Arial"/>
                <w:sz w:val="18"/>
              </w:rPr>
              <w:t>3.41</w:t>
            </w:r>
          </w:p>
        </w:tc>
      </w:tr>
      <w:tr w:rsidR="00535AD5" w14:paraId="074A68B5" w14:textId="77777777">
        <w:trPr>
          <w:jc w:val="center"/>
        </w:trPr>
        <w:tc>
          <w:tcPr>
            <w:tcW w:w="1129" w:type="dxa"/>
          </w:tcPr>
          <w:p w14:paraId="27A5A01D" w14:textId="77777777" w:rsidR="00535AD5" w:rsidRDefault="000F4CA5">
            <w:r>
              <w:rPr>
                <w:rFonts w:ascii="Arial" w:hAnsi="Arial"/>
                <w:sz w:val="18"/>
              </w:rPr>
              <w:t>Real Estate — Commercial</w:t>
            </w:r>
          </w:p>
        </w:tc>
        <w:tc>
          <w:tcPr>
            <w:tcW w:w="1129" w:type="dxa"/>
          </w:tcPr>
          <w:p w14:paraId="17FC34EE" w14:textId="77777777" w:rsidR="00535AD5" w:rsidRDefault="000F4CA5">
            <w:pPr>
              <w:jc w:val="right"/>
            </w:pPr>
            <w:r>
              <w:rPr>
                <w:rFonts w:ascii="Arial" w:hAnsi="Arial"/>
                <w:sz w:val="18"/>
              </w:rPr>
              <w:t>250.74</w:t>
            </w:r>
          </w:p>
        </w:tc>
        <w:tc>
          <w:tcPr>
            <w:tcW w:w="1129" w:type="dxa"/>
          </w:tcPr>
          <w:p w14:paraId="4187515F" w14:textId="77777777" w:rsidR="00535AD5" w:rsidRDefault="000F4CA5">
            <w:pPr>
              <w:jc w:val="right"/>
            </w:pPr>
            <w:r>
              <w:rPr>
                <w:rFonts w:ascii="Arial" w:hAnsi="Arial"/>
                <w:sz w:val="18"/>
              </w:rPr>
              <w:t>16.27%</w:t>
            </w:r>
          </w:p>
        </w:tc>
        <w:tc>
          <w:tcPr>
            <w:tcW w:w="1129" w:type="dxa"/>
          </w:tcPr>
          <w:p w14:paraId="7F498B37" w14:textId="77777777" w:rsidR="00535AD5" w:rsidRDefault="000F4CA5">
            <w:pPr>
              <w:jc w:val="right"/>
            </w:pPr>
            <w:r>
              <w:rPr>
                <w:rFonts w:ascii="Arial" w:hAnsi="Arial"/>
                <w:sz w:val="18"/>
              </w:rPr>
              <w:t>231,235.20</w:t>
            </w:r>
          </w:p>
        </w:tc>
        <w:tc>
          <w:tcPr>
            <w:tcW w:w="1129" w:type="dxa"/>
          </w:tcPr>
          <w:p w14:paraId="436EB7CA" w14:textId="77777777" w:rsidR="00535AD5" w:rsidRDefault="000F4CA5">
            <w:pPr>
              <w:jc w:val="right"/>
            </w:pPr>
            <w:r>
              <w:rPr>
                <w:rFonts w:ascii="Arial" w:hAnsi="Arial"/>
                <w:sz w:val="18"/>
              </w:rPr>
              <w:t>158,419.07</w:t>
            </w:r>
          </w:p>
        </w:tc>
        <w:tc>
          <w:tcPr>
            <w:tcW w:w="1129" w:type="dxa"/>
          </w:tcPr>
          <w:p w14:paraId="098D8F23" w14:textId="77777777" w:rsidR="00535AD5" w:rsidRDefault="000F4CA5">
            <w:pPr>
              <w:jc w:val="right"/>
            </w:pPr>
            <w:r>
              <w:rPr>
                <w:rFonts w:ascii="Arial" w:hAnsi="Arial"/>
                <w:sz w:val="18"/>
              </w:rPr>
              <w:t>1.05%</w:t>
            </w:r>
          </w:p>
        </w:tc>
        <w:tc>
          <w:tcPr>
            <w:tcW w:w="1129" w:type="dxa"/>
          </w:tcPr>
          <w:p w14:paraId="16B8E186" w14:textId="77777777" w:rsidR="00535AD5" w:rsidRDefault="000F4CA5">
            <w:pPr>
              <w:jc w:val="right"/>
            </w:pPr>
            <w:r>
              <w:rPr>
                <w:rFonts w:ascii="Arial" w:hAnsi="Arial"/>
                <w:sz w:val="18"/>
              </w:rPr>
              <w:t>0.922</w:t>
            </w:r>
          </w:p>
        </w:tc>
        <w:tc>
          <w:tcPr>
            <w:tcW w:w="1129" w:type="dxa"/>
          </w:tcPr>
          <w:p w14:paraId="4DB080CF" w14:textId="77777777" w:rsidR="00535AD5" w:rsidRDefault="000F4CA5">
            <w:pPr>
              <w:jc w:val="right"/>
            </w:pPr>
            <w:r>
              <w:rPr>
                <w:rFonts w:ascii="Arial" w:hAnsi="Arial"/>
                <w:sz w:val="18"/>
              </w:rPr>
              <w:t>3.27</w:t>
            </w:r>
          </w:p>
        </w:tc>
      </w:tr>
      <w:tr w:rsidR="00535AD5" w14:paraId="0E8CB5E4" w14:textId="77777777">
        <w:trPr>
          <w:jc w:val="center"/>
        </w:trPr>
        <w:tc>
          <w:tcPr>
            <w:tcW w:w="1129" w:type="dxa"/>
            <w:shd w:val="clear" w:color="auto" w:fill="F2F6FC"/>
          </w:tcPr>
          <w:p w14:paraId="4C9FA39F" w14:textId="77777777" w:rsidR="00535AD5" w:rsidRDefault="000F4CA5">
            <w:r>
              <w:rPr>
                <w:rFonts w:ascii="Arial" w:hAnsi="Arial"/>
                <w:sz w:val="18"/>
              </w:rPr>
              <w:t>Retail Trade</w:t>
            </w:r>
          </w:p>
        </w:tc>
        <w:tc>
          <w:tcPr>
            <w:tcW w:w="1129" w:type="dxa"/>
            <w:shd w:val="clear" w:color="auto" w:fill="F2F6FC"/>
          </w:tcPr>
          <w:p w14:paraId="2354E99F" w14:textId="77777777" w:rsidR="00535AD5" w:rsidRDefault="000F4CA5">
            <w:pPr>
              <w:jc w:val="right"/>
            </w:pPr>
            <w:r>
              <w:rPr>
                <w:rFonts w:ascii="Arial" w:hAnsi="Arial"/>
                <w:sz w:val="18"/>
              </w:rPr>
              <w:t>152.84</w:t>
            </w:r>
          </w:p>
        </w:tc>
        <w:tc>
          <w:tcPr>
            <w:tcW w:w="1129" w:type="dxa"/>
            <w:shd w:val="clear" w:color="auto" w:fill="F2F6FC"/>
          </w:tcPr>
          <w:p w14:paraId="0B9350F5" w14:textId="77777777" w:rsidR="00535AD5" w:rsidRDefault="000F4CA5">
            <w:pPr>
              <w:jc w:val="right"/>
            </w:pPr>
            <w:r>
              <w:rPr>
                <w:rFonts w:ascii="Arial" w:hAnsi="Arial"/>
                <w:sz w:val="18"/>
              </w:rPr>
              <w:t>9.92%</w:t>
            </w:r>
          </w:p>
        </w:tc>
        <w:tc>
          <w:tcPr>
            <w:tcW w:w="1129" w:type="dxa"/>
            <w:shd w:val="clear" w:color="auto" w:fill="F2F6FC"/>
          </w:tcPr>
          <w:p w14:paraId="2D957277" w14:textId="77777777" w:rsidR="00535AD5" w:rsidRDefault="000F4CA5">
            <w:pPr>
              <w:jc w:val="right"/>
            </w:pPr>
            <w:r>
              <w:rPr>
                <w:rFonts w:ascii="Arial" w:hAnsi="Arial"/>
                <w:sz w:val="18"/>
              </w:rPr>
              <w:t>226,340.67</w:t>
            </w:r>
          </w:p>
        </w:tc>
        <w:tc>
          <w:tcPr>
            <w:tcW w:w="1129" w:type="dxa"/>
            <w:shd w:val="clear" w:color="auto" w:fill="F2F6FC"/>
          </w:tcPr>
          <w:p w14:paraId="59550031" w14:textId="77777777" w:rsidR="00535AD5" w:rsidRDefault="000F4CA5">
            <w:pPr>
              <w:jc w:val="right"/>
            </w:pPr>
            <w:r>
              <w:rPr>
                <w:rFonts w:ascii="Arial" w:hAnsi="Arial"/>
                <w:sz w:val="18"/>
              </w:rPr>
              <w:t>140,812.97</w:t>
            </w:r>
          </w:p>
        </w:tc>
        <w:tc>
          <w:tcPr>
            <w:tcW w:w="1129" w:type="dxa"/>
            <w:shd w:val="clear" w:color="auto" w:fill="F2F6FC"/>
          </w:tcPr>
          <w:p w14:paraId="2CF54426" w14:textId="77777777" w:rsidR="00535AD5" w:rsidRDefault="000F4CA5">
            <w:pPr>
              <w:jc w:val="right"/>
            </w:pPr>
            <w:r>
              <w:rPr>
                <w:rFonts w:ascii="Arial" w:hAnsi="Arial"/>
                <w:sz w:val="18"/>
              </w:rPr>
              <w:t>1.03%</w:t>
            </w:r>
          </w:p>
        </w:tc>
        <w:tc>
          <w:tcPr>
            <w:tcW w:w="1129" w:type="dxa"/>
            <w:shd w:val="clear" w:color="auto" w:fill="F2F6FC"/>
          </w:tcPr>
          <w:p w14:paraId="5844324E" w14:textId="77777777" w:rsidR="00535AD5" w:rsidRDefault="000F4CA5">
            <w:pPr>
              <w:jc w:val="right"/>
            </w:pPr>
            <w:r>
              <w:rPr>
                <w:rFonts w:ascii="Arial" w:hAnsi="Arial"/>
                <w:sz w:val="18"/>
              </w:rPr>
              <w:t>1.481</w:t>
            </w:r>
          </w:p>
        </w:tc>
        <w:tc>
          <w:tcPr>
            <w:tcW w:w="1129" w:type="dxa"/>
            <w:shd w:val="clear" w:color="auto" w:fill="F2F6FC"/>
          </w:tcPr>
          <w:p w14:paraId="4B4AC5A2" w14:textId="77777777" w:rsidR="00535AD5" w:rsidRDefault="000F4CA5">
            <w:pPr>
              <w:jc w:val="right"/>
            </w:pPr>
            <w:r>
              <w:rPr>
                <w:rFonts w:ascii="Arial" w:hAnsi="Arial"/>
                <w:sz w:val="18"/>
              </w:rPr>
              <w:t>3.21</w:t>
            </w:r>
          </w:p>
        </w:tc>
      </w:tr>
      <w:tr w:rsidR="00535AD5" w14:paraId="6F4618F9" w14:textId="77777777">
        <w:trPr>
          <w:jc w:val="center"/>
        </w:trPr>
        <w:tc>
          <w:tcPr>
            <w:tcW w:w="1129" w:type="dxa"/>
          </w:tcPr>
          <w:p w14:paraId="472A9DBB" w14:textId="77777777" w:rsidR="00535AD5" w:rsidRDefault="000F4CA5">
            <w:r>
              <w:rPr>
                <w:rFonts w:ascii="Arial" w:hAnsi="Arial"/>
                <w:sz w:val="18"/>
              </w:rPr>
              <w:t xml:space="preserve">Real Estate — </w:t>
            </w:r>
            <w:r>
              <w:rPr>
                <w:rFonts w:ascii="Arial" w:hAnsi="Arial"/>
                <w:sz w:val="18"/>
              </w:rPr>
              <w:lastRenderedPageBreak/>
              <w:t>Residential</w:t>
            </w:r>
          </w:p>
        </w:tc>
        <w:tc>
          <w:tcPr>
            <w:tcW w:w="1129" w:type="dxa"/>
          </w:tcPr>
          <w:p w14:paraId="48F1E7B9" w14:textId="77777777" w:rsidR="00535AD5" w:rsidRDefault="000F4CA5">
            <w:pPr>
              <w:jc w:val="right"/>
            </w:pPr>
            <w:r>
              <w:rPr>
                <w:rFonts w:ascii="Arial" w:hAnsi="Arial"/>
                <w:sz w:val="18"/>
              </w:rPr>
              <w:lastRenderedPageBreak/>
              <w:t>168.42</w:t>
            </w:r>
          </w:p>
        </w:tc>
        <w:tc>
          <w:tcPr>
            <w:tcW w:w="1129" w:type="dxa"/>
          </w:tcPr>
          <w:p w14:paraId="0353876B" w14:textId="77777777" w:rsidR="00535AD5" w:rsidRDefault="000F4CA5">
            <w:pPr>
              <w:jc w:val="right"/>
            </w:pPr>
            <w:r>
              <w:rPr>
                <w:rFonts w:ascii="Arial" w:hAnsi="Arial"/>
                <w:sz w:val="18"/>
              </w:rPr>
              <w:t>10.93%</w:t>
            </w:r>
          </w:p>
        </w:tc>
        <w:tc>
          <w:tcPr>
            <w:tcW w:w="1129" w:type="dxa"/>
          </w:tcPr>
          <w:p w14:paraId="367EB3DE" w14:textId="77777777" w:rsidR="00535AD5" w:rsidRDefault="000F4CA5">
            <w:pPr>
              <w:jc w:val="right"/>
            </w:pPr>
            <w:r>
              <w:rPr>
                <w:rFonts w:ascii="Arial" w:hAnsi="Arial"/>
                <w:sz w:val="18"/>
              </w:rPr>
              <w:t>107,465.43</w:t>
            </w:r>
          </w:p>
        </w:tc>
        <w:tc>
          <w:tcPr>
            <w:tcW w:w="1129" w:type="dxa"/>
          </w:tcPr>
          <w:p w14:paraId="35C714A2" w14:textId="77777777" w:rsidR="00535AD5" w:rsidRDefault="000F4CA5">
            <w:pPr>
              <w:jc w:val="right"/>
            </w:pPr>
            <w:r>
              <w:rPr>
                <w:rFonts w:ascii="Arial" w:hAnsi="Arial"/>
                <w:sz w:val="18"/>
              </w:rPr>
              <w:t>79,158.87</w:t>
            </w:r>
          </w:p>
        </w:tc>
        <w:tc>
          <w:tcPr>
            <w:tcW w:w="1129" w:type="dxa"/>
          </w:tcPr>
          <w:p w14:paraId="316F522F" w14:textId="77777777" w:rsidR="00535AD5" w:rsidRDefault="000F4CA5">
            <w:pPr>
              <w:jc w:val="right"/>
            </w:pPr>
            <w:r>
              <w:rPr>
                <w:rFonts w:ascii="Arial" w:hAnsi="Arial"/>
                <w:sz w:val="18"/>
              </w:rPr>
              <w:t>0.49%</w:t>
            </w:r>
          </w:p>
        </w:tc>
        <w:tc>
          <w:tcPr>
            <w:tcW w:w="1129" w:type="dxa"/>
          </w:tcPr>
          <w:p w14:paraId="16B0ABEB" w14:textId="77777777" w:rsidR="00535AD5" w:rsidRDefault="000F4CA5">
            <w:pPr>
              <w:jc w:val="right"/>
            </w:pPr>
            <w:r>
              <w:rPr>
                <w:rFonts w:ascii="Arial" w:hAnsi="Arial"/>
                <w:sz w:val="18"/>
              </w:rPr>
              <w:t>0.638</w:t>
            </w:r>
          </w:p>
        </w:tc>
        <w:tc>
          <w:tcPr>
            <w:tcW w:w="1129" w:type="dxa"/>
          </w:tcPr>
          <w:p w14:paraId="12C01DDB" w14:textId="77777777" w:rsidR="00535AD5" w:rsidRDefault="000F4CA5">
            <w:pPr>
              <w:jc w:val="right"/>
            </w:pPr>
            <w:r>
              <w:rPr>
                <w:rFonts w:ascii="Arial" w:hAnsi="Arial"/>
                <w:sz w:val="18"/>
              </w:rPr>
              <w:t>3.32</w:t>
            </w:r>
          </w:p>
        </w:tc>
      </w:tr>
      <w:tr w:rsidR="00535AD5" w14:paraId="74A1278A" w14:textId="77777777">
        <w:trPr>
          <w:jc w:val="center"/>
        </w:trPr>
        <w:tc>
          <w:tcPr>
            <w:tcW w:w="1129" w:type="dxa"/>
            <w:shd w:val="clear" w:color="auto" w:fill="F2F6FC"/>
          </w:tcPr>
          <w:p w14:paraId="6F38EE0F" w14:textId="77777777" w:rsidR="00535AD5" w:rsidRDefault="000F4CA5">
            <w:r>
              <w:rPr>
                <w:rFonts w:ascii="Arial" w:hAnsi="Arial"/>
                <w:sz w:val="18"/>
              </w:rPr>
              <w:t>Financial Services</w:t>
            </w:r>
          </w:p>
        </w:tc>
        <w:tc>
          <w:tcPr>
            <w:tcW w:w="1129" w:type="dxa"/>
            <w:shd w:val="clear" w:color="auto" w:fill="F2F6FC"/>
          </w:tcPr>
          <w:p w14:paraId="76119AF9" w14:textId="77777777" w:rsidR="00535AD5" w:rsidRDefault="000F4CA5">
            <w:pPr>
              <w:jc w:val="right"/>
            </w:pPr>
            <w:r>
              <w:rPr>
                <w:rFonts w:ascii="Arial" w:hAnsi="Arial"/>
                <w:sz w:val="18"/>
              </w:rPr>
              <w:t>206.62</w:t>
            </w:r>
          </w:p>
        </w:tc>
        <w:tc>
          <w:tcPr>
            <w:tcW w:w="1129" w:type="dxa"/>
            <w:shd w:val="clear" w:color="auto" w:fill="F2F6FC"/>
          </w:tcPr>
          <w:p w14:paraId="1C734775" w14:textId="77777777" w:rsidR="00535AD5" w:rsidRDefault="000F4CA5">
            <w:pPr>
              <w:jc w:val="right"/>
            </w:pPr>
            <w:r>
              <w:rPr>
                <w:rFonts w:ascii="Arial" w:hAnsi="Arial"/>
                <w:sz w:val="18"/>
              </w:rPr>
              <w:t>13.41%</w:t>
            </w:r>
          </w:p>
        </w:tc>
        <w:tc>
          <w:tcPr>
            <w:tcW w:w="1129" w:type="dxa"/>
            <w:shd w:val="clear" w:color="auto" w:fill="F2F6FC"/>
          </w:tcPr>
          <w:p w14:paraId="0D8916DE" w14:textId="77777777" w:rsidR="00535AD5" w:rsidRDefault="000F4CA5">
            <w:pPr>
              <w:jc w:val="right"/>
            </w:pPr>
            <w:r>
              <w:rPr>
                <w:rFonts w:ascii="Arial" w:hAnsi="Arial"/>
                <w:sz w:val="18"/>
              </w:rPr>
              <w:t>73,693.74</w:t>
            </w:r>
          </w:p>
        </w:tc>
        <w:tc>
          <w:tcPr>
            <w:tcW w:w="1129" w:type="dxa"/>
            <w:shd w:val="clear" w:color="auto" w:fill="F2F6FC"/>
          </w:tcPr>
          <w:p w14:paraId="5F3F0170" w14:textId="77777777" w:rsidR="00535AD5" w:rsidRDefault="000F4CA5">
            <w:pPr>
              <w:jc w:val="right"/>
            </w:pPr>
            <w:r>
              <w:rPr>
                <w:rFonts w:ascii="Arial" w:hAnsi="Arial"/>
                <w:sz w:val="18"/>
              </w:rPr>
              <w:t>49,718.26</w:t>
            </w:r>
          </w:p>
        </w:tc>
        <w:tc>
          <w:tcPr>
            <w:tcW w:w="1129" w:type="dxa"/>
            <w:shd w:val="clear" w:color="auto" w:fill="F2F6FC"/>
          </w:tcPr>
          <w:p w14:paraId="0F2707C6" w14:textId="77777777" w:rsidR="00535AD5" w:rsidRDefault="000F4CA5">
            <w:pPr>
              <w:jc w:val="right"/>
            </w:pPr>
            <w:r>
              <w:rPr>
                <w:rFonts w:ascii="Arial" w:hAnsi="Arial"/>
                <w:sz w:val="18"/>
              </w:rPr>
              <w:t>0.34%</w:t>
            </w:r>
          </w:p>
        </w:tc>
        <w:tc>
          <w:tcPr>
            <w:tcW w:w="1129" w:type="dxa"/>
            <w:shd w:val="clear" w:color="auto" w:fill="F2F6FC"/>
          </w:tcPr>
          <w:p w14:paraId="6761E17D" w14:textId="77777777" w:rsidR="00535AD5" w:rsidRDefault="000F4CA5">
            <w:pPr>
              <w:jc w:val="right"/>
            </w:pPr>
            <w:r>
              <w:rPr>
                <w:rFonts w:ascii="Arial" w:hAnsi="Arial"/>
                <w:sz w:val="18"/>
              </w:rPr>
              <w:t>0.357</w:t>
            </w:r>
          </w:p>
        </w:tc>
        <w:tc>
          <w:tcPr>
            <w:tcW w:w="1129" w:type="dxa"/>
            <w:shd w:val="clear" w:color="auto" w:fill="F2F6FC"/>
          </w:tcPr>
          <w:p w14:paraId="311458D8" w14:textId="77777777" w:rsidR="00535AD5" w:rsidRDefault="000F4CA5">
            <w:pPr>
              <w:jc w:val="right"/>
            </w:pPr>
            <w:r>
              <w:rPr>
                <w:rFonts w:ascii="Arial" w:hAnsi="Arial"/>
                <w:sz w:val="18"/>
              </w:rPr>
              <w:t>3.42</w:t>
            </w:r>
          </w:p>
        </w:tc>
      </w:tr>
      <w:tr w:rsidR="00535AD5" w14:paraId="22C20CA1" w14:textId="77777777">
        <w:trPr>
          <w:jc w:val="center"/>
        </w:trPr>
        <w:tc>
          <w:tcPr>
            <w:tcW w:w="1129" w:type="dxa"/>
          </w:tcPr>
          <w:p w14:paraId="6576C780" w14:textId="77777777" w:rsidR="00535AD5" w:rsidRDefault="000F4CA5">
            <w:r>
              <w:rPr>
                <w:rFonts w:ascii="Arial" w:hAnsi="Arial"/>
                <w:sz w:val="18"/>
              </w:rPr>
              <w:t>**Total Portfolio**</w:t>
            </w:r>
          </w:p>
        </w:tc>
        <w:tc>
          <w:tcPr>
            <w:tcW w:w="1129" w:type="dxa"/>
          </w:tcPr>
          <w:p w14:paraId="18D068C5" w14:textId="77777777" w:rsidR="00535AD5" w:rsidRDefault="000F4CA5">
            <w:r>
              <w:rPr>
                <w:rFonts w:ascii="Arial" w:hAnsi="Arial"/>
                <w:sz w:val="18"/>
              </w:rPr>
              <w:t>**1,541.18**</w:t>
            </w:r>
          </w:p>
        </w:tc>
        <w:tc>
          <w:tcPr>
            <w:tcW w:w="1129" w:type="dxa"/>
          </w:tcPr>
          <w:p w14:paraId="0E501D4B" w14:textId="77777777" w:rsidR="00535AD5" w:rsidRDefault="000F4CA5">
            <w:r>
              <w:rPr>
                <w:rFonts w:ascii="Arial" w:hAnsi="Arial"/>
                <w:sz w:val="18"/>
              </w:rPr>
              <w:t>**100.00%**</w:t>
            </w:r>
          </w:p>
        </w:tc>
        <w:tc>
          <w:tcPr>
            <w:tcW w:w="1129" w:type="dxa"/>
          </w:tcPr>
          <w:p w14:paraId="328083EA" w14:textId="77777777" w:rsidR="00535AD5" w:rsidRDefault="000F4CA5">
            <w:r>
              <w:rPr>
                <w:rFonts w:ascii="Arial" w:hAnsi="Arial"/>
                <w:sz w:val="18"/>
              </w:rPr>
              <w:t>**21,976,797.30**</w:t>
            </w:r>
          </w:p>
        </w:tc>
        <w:tc>
          <w:tcPr>
            <w:tcW w:w="1129" w:type="dxa"/>
          </w:tcPr>
          <w:p w14:paraId="07516E4B" w14:textId="77777777" w:rsidR="00535AD5" w:rsidRDefault="000F4CA5">
            <w:r>
              <w:rPr>
                <w:rFonts w:ascii="Arial" w:hAnsi="Arial"/>
                <w:sz w:val="18"/>
              </w:rPr>
              <w:t>**15,280,174.14**</w:t>
            </w:r>
          </w:p>
        </w:tc>
        <w:tc>
          <w:tcPr>
            <w:tcW w:w="1129" w:type="dxa"/>
          </w:tcPr>
          <w:p w14:paraId="5A00F542" w14:textId="77777777" w:rsidR="00535AD5" w:rsidRDefault="000F4CA5">
            <w:r>
              <w:rPr>
                <w:rFonts w:ascii="Arial" w:hAnsi="Arial"/>
                <w:sz w:val="18"/>
              </w:rPr>
              <w:t>**100.00%**</w:t>
            </w:r>
          </w:p>
        </w:tc>
        <w:tc>
          <w:tcPr>
            <w:tcW w:w="1129" w:type="dxa"/>
          </w:tcPr>
          <w:p w14:paraId="71CDBFC9" w14:textId="77777777" w:rsidR="00535AD5" w:rsidRDefault="000F4CA5">
            <w:r>
              <w:rPr>
                <w:rFonts w:ascii="Arial" w:hAnsi="Arial"/>
                <w:sz w:val="18"/>
              </w:rPr>
              <w:t>**14.258**</w:t>
            </w:r>
          </w:p>
        </w:tc>
        <w:tc>
          <w:tcPr>
            <w:tcW w:w="1129" w:type="dxa"/>
          </w:tcPr>
          <w:p w14:paraId="7D4387EA" w14:textId="77777777" w:rsidR="00535AD5" w:rsidRDefault="000F4CA5">
            <w:r>
              <w:rPr>
                <w:rFonts w:ascii="Arial" w:hAnsi="Arial"/>
                <w:sz w:val="18"/>
              </w:rPr>
              <w:t>**3.36**</w:t>
            </w:r>
          </w:p>
        </w:tc>
      </w:tr>
    </w:tbl>
    <w:p w14:paraId="096B3044" w14:textId="77777777" w:rsidR="00535AD5" w:rsidRDefault="000F4CA5">
      <w:r>
        <w:rPr>
          <w:rFonts w:ascii="Arial" w:hAnsi="Arial"/>
          <w:i/>
          <w:sz w:val="16"/>
        </w:rPr>
        <w:t>Source: Source: Institution loan management system; borrower emissions data from CDP, sustainability reports, and EEIO models (EXIOBASE 3.8). PCAF data quality scores range from 1 (verified data) to 5 (sector-average proxy). Weighted emissions apply PCAF confidence factors per data quality tier. Portfolio coverage: 100% of corporate and commercial lending by outstanding amount.</w:t>
      </w:r>
    </w:p>
    <w:p w14:paraId="702767E2" w14:textId="77777777" w:rsidR="00535AD5" w:rsidRDefault="00535AD5"/>
    <w:p w14:paraId="32C9385F" w14:textId="77777777" w:rsidR="00535AD5" w:rsidRDefault="000F4CA5">
      <w:r>
        <w:rPr>
          <w:rFonts w:ascii="Arial" w:hAnsi="Arial"/>
          <w:b/>
          <w:sz w:val="20"/>
        </w:rPr>
        <w:t>Table E1-6.2: PCAF Data Quality Distribution (Reporting Year 2024)</w:t>
      </w:r>
    </w:p>
    <w:tbl>
      <w:tblPr>
        <w:tblW w:w="0" w:type="auto"/>
        <w:jc w:val="center"/>
        <w:tblLook w:val="04A0" w:firstRow="1" w:lastRow="0" w:firstColumn="1" w:lastColumn="0" w:noHBand="0" w:noVBand="1"/>
      </w:tblPr>
      <w:tblGrid>
        <w:gridCol w:w="1806"/>
        <w:gridCol w:w="1806"/>
        <w:gridCol w:w="1806"/>
        <w:gridCol w:w="1806"/>
        <w:gridCol w:w="1806"/>
      </w:tblGrid>
      <w:tr w:rsidR="00535AD5" w14:paraId="0AA530DE" w14:textId="77777777">
        <w:trPr>
          <w:jc w:val="center"/>
        </w:trPr>
        <w:tc>
          <w:tcPr>
            <w:tcW w:w="1806" w:type="dxa"/>
            <w:shd w:val="clear" w:color="auto" w:fill="1B3A6B"/>
          </w:tcPr>
          <w:p w14:paraId="6C84644F" w14:textId="77777777" w:rsidR="00535AD5" w:rsidRDefault="000F4CA5">
            <w:r>
              <w:rPr>
                <w:rFonts w:ascii="Arial" w:hAnsi="Arial"/>
                <w:b/>
                <w:color w:val="FFFFFF"/>
                <w:sz w:val="18"/>
              </w:rPr>
              <w:t>PCAF Tier</w:t>
            </w:r>
          </w:p>
        </w:tc>
        <w:tc>
          <w:tcPr>
            <w:tcW w:w="1806" w:type="dxa"/>
            <w:shd w:val="clear" w:color="auto" w:fill="1B3A6B"/>
          </w:tcPr>
          <w:p w14:paraId="2E0915B3" w14:textId="77777777" w:rsidR="00535AD5" w:rsidRDefault="000F4CA5">
            <w:r>
              <w:rPr>
                <w:rFonts w:ascii="Arial" w:hAnsi="Arial"/>
                <w:b/>
                <w:color w:val="FFFFFF"/>
                <w:sz w:val="18"/>
              </w:rPr>
              <w:t>Data Source</w:t>
            </w:r>
          </w:p>
        </w:tc>
        <w:tc>
          <w:tcPr>
            <w:tcW w:w="1806" w:type="dxa"/>
            <w:shd w:val="clear" w:color="auto" w:fill="1B3A6B"/>
          </w:tcPr>
          <w:p w14:paraId="2D923631" w14:textId="77777777" w:rsidR="00535AD5" w:rsidRDefault="000F4CA5">
            <w:r>
              <w:rPr>
                <w:rFonts w:ascii="Arial" w:hAnsi="Arial"/>
                <w:b/>
                <w:color w:val="FFFFFF"/>
                <w:sz w:val="18"/>
              </w:rPr>
              <w:t>Confidence Factor</w:t>
            </w:r>
          </w:p>
        </w:tc>
        <w:tc>
          <w:tcPr>
            <w:tcW w:w="1806" w:type="dxa"/>
            <w:shd w:val="clear" w:color="auto" w:fill="1B3A6B"/>
          </w:tcPr>
          <w:p w14:paraId="5D35B830" w14:textId="77777777" w:rsidR="00535AD5" w:rsidRDefault="000F4CA5">
            <w:r>
              <w:rPr>
                <w:rFonts w:ascii="Arial" w:hAnsi="Arial"/>
                <w:b/>
                <w:color w:val="FFFFFF"/>
                <w:sz w:val="18"/>
              </w:rPr>
              <w:t>% of Portfolio (by Outstanding)</w:t>
            </w:r>
          </w:p>
        </w:tc>
        <w:tc>
          <w:tcPr>
            <w:tcW w:w="1806" w:type="dxa"/>
            <w:shd w:val="clear" w:color="auto" w:fill="1B3A6B"/>
          </w:tcPr>
          <w:p w14:paraId="70E7E0BA" w14:textId="77777777" w:rsidR="00535AD5" w:rsidRDefault="000F4CA5">
            <w:r>
              <w:rPr>
                <w:rFonts w:ascii="Arial" w:hAnsi="Arial"/>
                <w:b/>
                <w:color w:val="FFFFFF"/>
                <w:sz w:val="18"/>
              </w:rPr>
              <w:t>% of Financed Emissions (Weighted)</w:t>
            </w:r>
          </w:p>
        </w:tc>
      </w:tr>
      <w:tr w:rsidR="00535AD5" w14:paraId="2B65AE03" w14:textId="77777777">
        <w:trPr>
          <w:jc w:val="center"/>
        </w:trPr>
        <w:tc>
          <w:tcPr>
            <w:tcW w:w="1806" w:type="dxa"/>
          </w:tcPr>
          <w:p w14:paraId="7E505A55" w14:textId="77777777" w:rsidR="00535AD5" w:rsidRDefault="000F4CA5">
            <w:pPr>
              <w:jc w:val="right"/>
            </w:pPr>
            <w:r>
              <w:rPr>
                <w:rFonts w:ascii="Arial" w:hAnsi="Arial"/>
                <w:sz w:val="18"/>
              </w:rPr>
              <w:t>1</w:t>
            </w:r>
          </w:p>
        </w:tc>
        <w:tc>
          <w:tcPr>
            <w:tcW w:w="1806" w:type="dxa"/>
          </w:tcPr>
          <w:p w14:paraId="6BA67D17" w14:textId="77777777" w:rsidR="00535AD5" w:rsidRDefault="000F4CA5">
            <w:r>
              <w:rPr>
                <w:rFonts w:ascii="Arial" w:hAnsi="Arial"/>
                <w:sz w:val="18"/>
              </w:rPr>
              <w:t>Verified (CDP/Assured Reports)</w:t>
            </w:r>
          </w:p>
        </w:tc>
        <w:tc>
          <w:tcPr>
            <w:tcW w:w="1806" w:type="dxa"/>
          </w:tcPr>
          <w:p w14:paraId="6D19D244" w14:textId="77777777" w:rsidR="00535AD5" w:rsidRDefault="000F4CA5">
            <w:pPr>
              <w:jc w:val="right"/>
            </w:pPr>
            <w:r>
              <w:rPr>
                <w:rFonts w:ascii="Arial" w:hAnsi="Arial"/>
                <w:sz w:val="18"/>
              </w:rPr>
              <w:t>1.00</w:t>
            </w:r>
          </w:p>
        </w:tc>
        <w:tc>
          <w:tcPr>
            <w:tcW w:w="1806" w:type="dxa"/>
          </w:tcPr>
          <w:p w14:paraId="12A45EBC" w14:textId="77777777" w:rsidR="00535AD5" w:rsidRDefault="000F4CA5">
            <w:pPr>
              <w:jc w:val="right"/>
            </w:pPr>
            <w:r>
              <w:rPr>
                <w:rFonts w:ascii="Arial" w:hAnsi="Arial"/>
                <w:sz w:val="18"/>
              </w:rPr>
              <w:t>8.2%</w:t>
            </w:r>
          </w:p>
        </w:tc>
        <w:tc>
          <w:tcPr>
            <w:tcW w:w="1806" w:type="dxa"/>
          </w:tcPr>
          <w:p w14:paraId="46D318A8" w14:textId="77777777" w:rsidR="00535AD5" w:rsidRDefault="000F4CA5">
            <w:pPr>
              <w:jc w:val="right"/>
            </w:pPr>
            <w:r>
              <w:rPr>
                <w:rFonts w:ascii="Arial" w:hAnsi="Arial"/>
                <w:sz w:val="18"/>
              </w:rPr>
              <w:t>12.1%</w:t>
            </w:r>
          </w:p>
        </w:tc>
      </w:tr>
      <w:tr w:rsidR="00535AD5" w14:paraId="4475F945" w14:textId="77777777">
        <w:trPr>
          <w:jc w:val="center"/>
        </w:trPr>
        <w:tc>
          <w:tcPr>
            <w:tcW w:w="1806" w:type="dxa"/>
            <w:shd w:val="clear" w:color="auto" w:fill="F2F6FC"/>
          </w:tcPr>
          <w:p w14:paraId="76D17FC7" w14:textId="77777777" w:rsidR="00535AD5" w:rsidRDefault="000F4CA5">
            <w:pPr>
              <w:jc w:val="right"/>
            </w:pPr>
            <w:r>
              <w:rPr>
                <w:rFonts w:ascii="Arial" w:hAnsi="Arial"/>
                <w:sz w:val="18"/>
              </w:rPr>
              <w:t>2</w:t>
            </w:r>
          </w:p>
        </w:tc>
        <w:tc>
          <w:tcPr>
            <w:tcW w:w="1806" w:type="dxa"/>
            <w:shd w:val="clear" w:color="auto" w:fill="F2F6FC"/>
          </w:tcPr>
          <w:p w14:paraId="5E1FFB90" w14:textId="77777777" w:rsidR="00535AD5" w:rsidRDefault="000F4CA5">
            <w:r>
              <w:rPr>
                <w:rFonts w:ascii="Arial" w:hAnsi="Arial"/>
                <w:sz w:val="18"/>
              </w:rPr>
              <w:t>Reported, Unverified</w:t>
            </w:r>
          </w:p>
        </w:tc>
        <w:tc>
          <w:tcPr>
            <w:tcW w:w="1806" w:type="dxa"/>
            <w:shd w:val="clear" w:color="auto" w:fill="F2F6FC"/>
          </w:tcPr>
          <w:p w14:paraId="0C02B056" w14:textId="77777777" w:rsidR="00535AD5" w:rsidRDefault="000F4CA5">
            <w:pPr>
              <w:jc w:val="right"/>
            </w:pPr>
            <w:r>
              <w:rPr>
                <w:rFonts w:ascii="Arial" w:hAnsi="Arial"/>
                <w:sz w:val="18"/>
              </w:rPr>
              <w:t>0.90</w:t>
            </w:r>
          </w:p>
        </w:tc>
        <w:tc>
          <w:tcPr>
            <w:tcW w:w="1806" w:type="dxa"/>
            <w:shd w:val="clear" w:color="auto" w:fill="F2F6FC"/>
          </w:tcPr>
          <w:p w14:paraId="5E3391BB" w14:textId="77777777" w:rsidR="00535AD5" w:rsidRDefault="000F4CA5">
            <w:pPr>
              <w:jc w:val="right"/>
            </w:pPr>
            <w:r>
              <w:rPr>
                <w:rFonts w:ascii="Arial" w:hAnsi="Arial"/>
                <w:sz w:val="18"/>
              </w:rPr>
              <w:t>14.6%</w:t>
            </w:r>
          </w:p>
        </w:tc>
        <w:tc>
          <w:tcPr>
            <w:tcW w:w="1806" w:type="dxa"/>
            <w:shd w:val="clear" w:color="auto" w:fill="F2F6FC"/>
          </w:tcPr>
          <w:p w14:paraId="7B6A9F80" w14:textId="77777777" w:rsidR="00535AD5" w:rsidRDefault="000F4CA5">
            <w:pPr>
              <w:jc w:val="right"/>
            </w:pPr>
            <w:r>
              <w:rPr>
                <w:rFonts w:ascii="Arial" w:hAnsi="Arial"/>
                <w:sz w:val="18"/>
              </w:rPr>
              <w:t>18.3%</w:t>
            </w:r>
          </w:p>
        </w:tc>
      </w:tr>
      <w:tr w:rsidR="00535AD5" w14:paraId="480652D4" w14:textId="77777777">
        <w:trPr>
          <w:jc w:val="center"/>
        </w:trPr>
        <w:tc>
          <w:tcPr>
            <w:tcW w:w="1806" w:type="dxa"/>
          </w:tcPr>
          <w:p w14:paraId="7CE8AAFF" w14:textId="77777777" w:rsidR="00535AD5" w:rsidRDefault="000F4CA5">
            <w:pPr>
              <w:jc w:val="right"/>
            </w:pPr>
            <w:r>
              <w:rPr>
                <w:rFonts w:ascii="Arial" w:hAnsi="Arial"/>
                <w:sz w:val="18"/>
              </w:rPr>
              <w:t>3</w:t>
            </w:r>
          </w:p>
        </w:tc>
        <w:tc>
          <w:tcPr>
            <w:tcW w:w="1806" w:type="dxa"/>
          </w:tcPr>
          <w:p w14:paraId="04F4FE2A" w14:textId="77777777" w:rsidR="00535AD5" w:rsidRDefault="000F4CA5">
            <w:r>
              <w:rPr>
                <w:rFonts w:ascii="Arial" w:hAnsi="Arial"/>
                <w:sz w:val="18"/>
              </w:rPr>
              <w:t>EEIO + Revenue</w:t>
            </w:r>
          </w:p>
        </w:tc>
        <w:tc>
          <w:tcPr>
            <w:tcW w:w="1806" w:type="dxa"/>
          </w:tcPr>
          <w:p w14:paraId="45C738BF" w14:textId="77777777" w:rsidR="00535AD5" w:rsidRDefault="000F4CA5">
            <w:pPr>
              <w:jc w:val="right"/>
            </w:pPr>
            <w:r>
              <w:rPr>
                <w:rFonts w:ascii="Arial" w:hAnsi="Arial"/>
                <w:sz w:val="18"/>
              </w:rPr>
              <w:t>0.75</w:t>
            </w:r>
          </w:p>
        </w:tc>
        <w:tc>
          <w:tcPr>
            <w:tcW w:w="1806" w:type="dxa"/>
          </w:tcPr>
          <w:p w14:paraId="06D8C6AA" w14:textId="77777777" w:rsidR="00535AD5" w:rsidRDefault="000F4CA5">
            <w:pPr>
              <w:jc w:val="right"/>
            </w:pPr>
            <w:r>
              <w:rPr>
                <w:rFonts w:ascii="Arial" w:hAnsi="Arial"/>
                <w:sz w:val="18"/>
              </w:rPr>
              <w:t>42.1%</w:t>
            </w:r>
          </w:p>
        </w:tc>
        <w:tc>
          <w:tcPr>
            <w:tcW w:w="1806" w:type="dxa"/>
          </w:tcPr>
          <w:p w14:paraId="454A21FA" w14:textId="77777777" w:rsidR="00535AD5" w:rsidRDefault="000F4CA5">
            <w:pPr>
              <w:jc w:val="right"/>
            </w:pPr>
            <w:r>
              <w:rPr>
                <w:rFonts w:ascii="Arial" w:hAnsi="Arial"/>
                <w:sz w:val="18"/>
              </w:rPr>
              <w:t>38.9%</w:t>
            </w:r>
          </w:p>
        </w:tc>
      </w:tr>
      <w:tr w:rsidR="00535AD5" w14:paraId="06A9647F" w14:textId="77777777">
        <w:trPr>
          <w:jc w:val="center"/>
        </w:trPr>
        <w:tc>
          <w:tcPr>
            <w:tcW w:w="1806" w:type="dxa"/>
            <w:shd w:val="clear" w:color="auto" w:fill="F2F6FC"/>
          </w:tcPr>
          <w:p w14:paraId="35A47525" w14:textId="77777777" w:rsidR="00535AD5" w:rsidRDefault="000F4CA5">
            <w:pPr>
              <w:jc w:val="right"/>
            </w:pPr>
            <w:r>
              <w:rPr>
                <w:rFonts w:ascii="Arial" w:hAnsi="Arial"/>
                <w:sz w:val="18"/>
              </w:rPr>
              <w:t>4</w:t>
            </w:r>
          </w:p>
        </w:tc>
        <w:tc>
          <w:tcPr>
            <w:tcW w:w="1806" w:type="dxa"/>
            <w:shd w:val="clear" w:color="auto" w:fill="F2F6FC"/>
          </w:tcPr>
          <w:p w14:paraId="012ED606" w14:textId="77777777" w:rsidR="00535AD5" w:rsidRDefault="000F4CA5">
            <w:r>
              <w:rPr>
                <w:rFonts w:ascii="Arial" w:hAnsi="Arial"/>
                <w:sz w:val="18"/>
              </w:rPr>
              <w:t>EEIO + Assets</w:t>
            </w:r>
          </w:p>
        </w:tc>
        <w:tc>
          <w:tcPr>
            <w:tcW w:w="1806" w:type="dxa"/>
            <w:shd w:val="clear" w:color="auto" w:fill="F2F6FC"/>
          </w:tcPr>
          <w:p w14:paraId="7CD565E3" w14:textId="77777777" w:rsidR="00535AD5" w:rsidRDefault="000F4CA5">
            <w:pPr>
              <w:jc w:val="right"/>
            </w:pPr>
            <w:r>
              <w:rPr>
                <w:rFonts w:ascii="Arial" w:hAnsi="Arial"/>
                <w:sz w:val="18"/>
              </w:rPr>
              <w:t>0.60</w:t>
            </w:r>
          </w:p>
        </w:tc>
        <w:tc>
          <w:tcPr>
            <w:tcW w:w="1806" w:type="dxa"/>
            <w:shd w:val="clear" w:color="auto" w:fill="F2F6FC"/>
          </w:tcPr>
          <w:p w14:paraId="21B2C122" w14:textId="77777777" w:rsidR="00535AD5" w:rsidRDefault="000F4CA5">
            <w:pPr>
              <w:jc w:val="right"/>
            </w:pPr>
            <w:r>
              <w:rPr>
                <w:rFonts w:ascii="Arial" w:hAnsi="Arial"/>
                <w:sz w:val="18"/>
              </w:rPr>
              <w:t>28.4%</w:t>
            </w:r>
          </w:p>
        </w:tc>
        <w:tc>
          <w:tcPr>
            <w:tcW w:w="1806" w:type="dxa"/>
            <w:shd w:val="clear" w:color="auto" w:fill="F2F6FC"/>
          </w:tcPr>
          <w:p w14:paraId="61A80A8B" w14:textId="77777777" w:rsidR="00535AD5" w:rsidRDefault="000F4CA5">
            <w:pPr>
              <w:jc w:val="right"/>
            </w:pPr>
            <w:r>
              <w:rPr>
                <w:rFonts w:ascii="Arial" w:hAnsi="Arial"/>
                <w:sz w:val="18"/>
              </w:rPr>
              <w:t>24.2%</w:t>
            </w:r>
          </w:p>
        </w:tc>
      </w:tr>
      <w:tr w:rsidR="00535AD5" w14:paraId="7D1DAA44" w14:textId="77777777">
        <w:trPr>
          <w:jc w:val="center"/>
        </w:trPr>
        <w:tc>
          <w:tcPr>
            <w:tcW w:w="1806" w:type="dxa"/>
          </w:tcPr>
          <w:p w14:paraId="2B810220" w14:textId="77777777" w:rsidR="00535AD5" w:rsidRDefault="000F4CA5">
            <w:pPr>
              <w:jc w:val="right"/>
            </w:pPr>
            <w:r>
              <w:rPr>
                <w:rFonts w:ascii="Arial" w:hAnsi="Arial"/>
                <w:sz w:val="18"/>
              </w:rPr>
              <w:t>5</w:t>
            </w:r>
          </w:p>
        </w:tc>
        <w:tc>
          <w:tcPr>
            <w:tcW w:w="1806" w:type="dxa"/>
          </w:tcPr>
          <w:p w14:paraId="0F3B62FD" w14:textId="77777777" w:rsidR="00535AD5" w:rsidRDefault="000F4CA5">
            <w:r>
              <w:rPr>
                <w:rFonts w:ascii="Arial" w:hAnsi="Arial"/>
                <w:sz w:val="18"/>
              </w:rPr>
              <w:t>Sector-Average Proxy</w:t>
            </w:r>
          </w:p>
        </w:tc>
        <w:tc>
          <w:tcPr>
            <w:tcW w:w="1806" w:type="dxa"/>
          </w:tcPr>
          <w:p w14:paraId="745143D2" w14:textId="77777777" w:rsidR="00535AD5" w:rsidRDefault="000F4CA5">
            <w:pPr>
              <w:jc w:val="right"/>
            </w:pPr>
            <w:r>
              <w:rPr>
                <w:rFonts w:ascii="Arial" w:hAnsi="Arial"/>
                <w:sz w:val="18"/>
              </w:rPr>
              <w:t>0.45</w:t>
            </w:r>
          </w:p>
        </w:tc>
        <w:tc>
          <w:tcPr>
            <w:tcW w:w="1806" w:type="dxa"/>
          </w:tcPr>
          <w:p w14:paraId="6CA3CD2B" w14:textId="77777777" w:rsidR="00535AD5" w:rsidRDefault="000F4CA5">
            <w:pPr>
              <w:jc w:val="right"/>
            </w:pPr>
            <w:r>
              <w:rPr>
                <w:rFonts w:ascii="Arial" w:hAnsi="Arial"/>
                <w:sz w:val="18"/>
              </w:rPr>
              <w:t>6.7%</w:t>
            </w:r>
          </w:p>
        </w:tc>
        <w:tc>
          <w:tcPr>
            <w:tcW w:w="1806" w:type="dxa"/>
          </w:tcPr>
          <w:p w14:paraId="6302CA74" w14:textId="77777777" w:rsidR="00535AD5" w:rsidRDefault="000F4CA5">
            <w:pPr>
              <w:jc w:val="right"/>
            </w:pPr>
            <w:r>
              <w:rPr>
                <w:rFonts w:ascii="Arial" w:hAnsi="Arial"/>
                <w:sz w:val="18"/>
              </w:rPr>
              <w:t>6.5%</w:t>
            </w:r>
          </w:p>
        </w:tc>
      </w:tr>
    </w:tbl>
    <w:p w14:paraId="7619E2A5" w14:textId="77777777" w:rsidR="00535AD5" w:rsidRDefault="000F4CA5">
      <w:r>
        <w:rPr>
          <w:rFonts w:ascii="Arial" w:hAnsi="Arial"/>
          <w:i/>
          <w:sz w:val="16"/>
        </w:rPr>
        <w:t>Source: Source: Institution PCAF calculation engine. Portfolio-weighted average data quality score: 3.36. High-quality data (Tiers 1-2) represents 22.8% of portfolio by outstanding amount. Target for 2027: &gt;60% of portfolio at Tiers 1-2.</w:t>
      </w:r>
    </w:p>
    <w:p w14:paraId="5A18BC2A" w14:textId="77777777" w:rsidR="00535AD5" w:rsidRDefault="00535AD5"/>
    <w:p w14:paraId="01F78A94" w14:textId="77777777" w:rsidR="00535AD5" w:rsidRDefault="000F4CA5">
      <w:r>
        <w:rPr>
          <w:i/>
          <w:color w:val="3D6094"/>
          <w:sz w:val="18"/>
        </w:rPr>
        <w:t>Framework references: ESRS E1-6 (Gross Scopes 1, 2, 3 and Total GHG emissions); ESRS 2 SBM-3 (Material impacts, risks and opportunities — value chain downstream); PCAF Global GHG Accounting Standard (2022 edition); GRI 305-3 (Other indirect (Scope 3) GHG emissions); TCFD Metrics and Targets (financed emissions disclosure); GHG Protocol Corporate Value Chain (Scope 3) Standard — Category 15: Investments</w:t>
      </w:r>
    </w:p>
    <w:p w14:paraId="108BF1C9" w14:textId="77777777" w:rsidR="00535AD5" w:rsidRDefault="00535AD5">
      <w:pPr>
        <w:pBdr>
          <w:bottom w:val="single" w:sz="6" w:space="1" w:color="999999"/>
        </w:pBdr>
        <w:spacing w:after="80"/>
      </w:pPr>
    </w:p>
    <w:p w14:paraId="63C77154" w14:textId="77777777" w:rsidR="00535AD5" w:rsidRDefault="000F4CA5">
      <w:pPr>
        <w:spacing w:after="160"/>
        <w:jc w:val="both"/>
      </w:pPr>
      <w:r>
        <w:rPr>
          <w:rFonts w:ascii="Arial" w:hAnsi="Arial"/>
          <w:i/>
          <w:color w:val="646464"/>
          <w:sz w:val="18"/>
        </w:rPr>
        <w:t>These figures have not been subject to external assurance for the current reporting period. The institution plans to engage a third-party verifier for the 2025 reporting cycle in alignment with PCAF signatory commitments.</w:t>
      </w:r>
    </w:p>
    <w:p w14:paraId="75539507" w14:textId="77777777" w:rsidR="00535AD5" w:rsidRDefault="000F4CA5">
      <w:pPr>
        <w:spacing w:after="160"/>
        <w:jc w:val="both"/>
      </w:pPr>
      <w:r>
        <w:rPr>
          <w:rFonts w:ascii="Arial" w:hAnsi="Arial"/>
          <w:i/>
          <w:color w:val="646464"/>
          <w:sz w:val="18"/>
        </w:rPr>
        <w:t>Financed emissions are calculated using the PCAF Global GHG Accounting Standard (2022 edition). The attribution factor methodology allocates borrower emissions proportionally based on the institution's share of the borrower's total debt and equity financing.</w:t>
      </w:r>
    </w:p>
    <w:p w14:paraId="228934DE" w14:textId="77777777" w:rsidR="00535AD5" w:rsidRDefault="000F4CA5">
      <w:pPr>
        <w:spacing w:after="160"/>
        <w:jc w:val="both"/>
      </w:pPr>
      <w:r>
        <w:rPr>
          <w:rFonts w:ascii="Arial" w:hAnsi="Arial"/>
          <w:i/>
          <w:color w:val="646464"/>
          <w:sz w:val="18"/>
        </w:rPr>
        <w:t>Gross financed emissions represent the sum of attributed emissions without data quality adjustment. Confidence-weighted financed emissions apply PCAF data quality confidence factors (1.00 for Tier 1 to 0.45 for Tier 5) to reflect uncertainty in underlying data sources. The weighted figure is used for target-setting and performance tracking.</w:t>
      </w:r>
    </w:p>
    <w:p w14:paraId="04BDDDED" w14:textId="77777777" w:rsidR="00535AD5" w:rsidRDefault="000F4CA5">
      <w:pPr>
        <w:spacing w:after="160"/>
        <w:jc w:val="both"/>
      </w:pPr>
      <w:r>
        <w:rPr>
          <w:rFonts w:ascii="Arial" w:hAnsi="Arial"/>
          <w:i/>
          <w:color w:val="646464"/>
          <w:sz w:val="18"/>
        </w:rPr>
        <w:t>Year-over-year comparison is based on confidence-weighted financed emissions. The 4.07% reduction from 15,576,239.57 tCO2e (2023) to 15,280,174.14 tCO2e (2024) occurred despite 2.8% portfolio growth, indicating improved emission intensity.</w:t>
      </w:r>
    </w:p>
    <w:p w14:paraId="02F78632" w14:textId="77777777" w:rsidR="00535AD5" w:rsidRDefault="000F4CA5">
      <w:pPr>
        <w:spacing w:after="160"/>
        <w:jc w:val="both"/>
      </w:pPr>
      <w:r>
        <w:rPr>
          <w:rFonts w:ascii="Arial" w:hAnsi="Arial"/>
          <w:i/>
          <w:color w:val="646464"/>
          <w:sz w:val="18"/>
        </w:rPr>
        <w:lastRenderedPageBreak/>
        <w:t>Sector-level year-over-year changes are not available for the current reporting period due to data system limitations. Borrower-level emission tracking will be implemented in 2025 to enable granular trend analysis.</w:t>
      </w:r>
    </w:p>
    <w:p w14:paraId="6CE3EF5F" w14:textId="77777777" w:rsidR="00535AD5" w:rsidRDefault="000F4CA5">
      <w:pPr>
        <w:spacing w:after="160"/>
        <w:jc w:val="both"/>
      </w:pPr>
      <w:r>
        <w:rPr>
          <w:rFonts w:ascii="Arial" w:hAnsi="Arial"/>
          <w:i/>
          <w:color w:val="646464"/>
          <w:sz w:val="18"/>
        </w:rPr>
        <w:t>The institution's financed emissions calculation covers 100% of the corporate and commercial lending portfolio by outstanding amount. Retail mortgages, consumer vehicle loans, and listed equity/bond investments are excluded from the current scope and will be phased in during 2025-2026.</w:t>
      </w:r>
    </w:p>
    <w:p w14:paraId="7F630D17" w14:textId="77777777" w:rsidR="00535AD5" w:rsidRDefault="000F4CA5">
      <w:pPr>
        <w:spacing w:after="160"/>
        <w:jc w:val="both"/>
      </w:pPr>
      <w:r>
        <w:rPr>
          <w:rFonts w:ascii="Arial" w:hAnsi="Arial"/>
          <w:i/>
          <w:color w:val="646464"/>
          <w:sz w:val="18"/>
        </w:rPr>
        <w:t>PCAF data quality scores: 1 = verified emissions data (CDP, assured reports); 2 = reported but unverified; 3 = EEIO model with revenue data; 4 = EEIO model with asset data; 5 = sector-average proxy. Lower scores indicate higher data quality and confidence.</w:t>
      </w:r>
    </w:p>
    <w:p w14:paraId="15FA2CC2" w14:textId="77777777" w:rsidR="00535AD5" w:rsidRDefault="000F4CA5">
      <w:r>
        <w:br w:type="page"/>
      </w:r>
    </w:p>
    <w:p w14:paraId="3993DCA1" w14:textId="77777777" w:rsidR="00535AD5" w:rsidRDefault="000F4CA5">
      <w:pPr>
        <w:pStyle w:val="Heading1"/>
        <w:spacing w:after="240"/>
      </w:pPr>
      <w:bookmarkStart w:id="13" w:name="_Toc231920348"/>
      <w:r>
        <w:rPr>
          <w:rFonts w:ascii="Arial" w:hAnsi="Arial"/>
          <w:color w:val="1B3A6B"/>
          <w:sz w:val="36"/>
        </w:rPr>
        <w:lastRenderedPageBreak/>
        <w:t>Emisi GRK Tidak Langsung Lainnya (Lingkup 3) — Emisi Pembiayaan PCAF</w:t>
      </w:r>
      <w:bookmarkEnd w:id="13"/>
    </w:p>
    <w:p w14:paraId="7883D145" w14:textId="77777777" w:rsidR="00535AD5" w:rsidRDefault="000F4CA5">
      <w:pPr>
        <w:spacing w:after="160"/>
        <w:jc w:val="both"/>
      </w:pPr>
      <w:r>
        <w:rPr>
          <w:rFonts w:ascii="Arial" w:hAnsi="Arial"/>
        </w:rPr>
        <w:t>The institution's financed emissions for Reporting Year 2024, calculated in accordance with the Partnership for Carbon Accounting Financials (PCAF) Global GHG Accounting Standard, totaled 21,976,797.3 tCO2e on a gross basis. This figure represents the absolute greenhouse gas emissions attributable to the institution's lending and investment portfolio across all covered asset classes. When adjusted for data quality confidence factors as prescribed by PCAF methodology, the confidence-weighted financed emissio</w:t>
      </w:r>
      <w:r>
        <w:rPr>
          <w:rFonts w:ascii="Arial" w:hAnsi="Arial"/>
        </w:rPr>
        <w:t>ns amounted to 15,280,174.14 tCO2e. These emissions constitute Scope 3 Category 15 under the GHG Protocol Corporate Value Chain (Scope 3) Accounting and Reporting Standard and represent the institution's most material indirect emissions source, accounting for 99.69% of total Scope 1+2+3 emissions.</w:t>
      </w:r>
    </w:p>
    <w:p w14:paraId="74003A86" w14:textId="77777777" w:rsidR="00535AD5" w:rsidRDefault="000F4CA5">
      <w:pPr>
        <w:spacing w:after="160"/>
        <w:jc w:val="both"/>
      </w:pPr>
      <w:r>
        <w:rPr>
          <w:rFonts w:ascii="Arial" w:hAnsi="Arial"/>
          <w:i/>
        </w:rPr>
        <w:t>The PCAF methodology applies an attribution factor to allocate a borrower's total emissions to the institution based on the proportion of financing provided. The attribution factor is calculated as: (Outstanding Amount ÷ Total Enterprise Value including Cash) × Borrower's Total Emissions. For corporate loans, the institution utilized PCAF Asset Class 1 (Business Loans and Unlisted Equity) methodology, applying enterprise value-based attribution. Emissions data were sourced hierarchically: Tier 1 (verified d</w:t>
      </w:r>
      <w:r>
        <w:rPr>
          <w:rFonts w:ascii="Arial" w:hAnsi="Arial"/>
          <w:i/>
        </w:rPr>
        <w:t>isclosures via CDP or equivalent third-party assurance), Tier 2 (reported but unverified company data), Tier 3 (economic input-output models combined with revenue data), Tier 4 (economic input-output models combined with asset data), and Tier 5 (sector-average emission factors). The portfolio-weighted average PCAF data quality score for 2024 was 3.36, indicating predominant reliance on Tier 3 and Tier 4 estimation methodologies.</w:t>
      </w:r>
    </w:p>
    <w:p w14:paraId="47D22DA0" w14:textId="77777777" w:rsidR="00535AD5" w:rsidRDefault="000F4CA5">
      <w:pPr>
        <w:spacing w:after="160"/>
        <w:jc w:val="both"/>
      </w:pPr>
      <w:r>
        <w:rPr>
          <w:rFonts w:ascii="Arial" w:hAnsi="Arial"/>
        </w:rPr>
        <w:t>**Gross vs. Confidence-Weighted Emissions Distinction**: The institution reports both gross financed emissions (21,976,797.3 tCO2e) and confidence-weighted financed emissions (15,280,174.14 tCO2e) to provide transparency on data quality impact. Gross emissions represent the sum of all attributed emissions without adjustment for estimation uncertainty. Confidence-weighted emissions apply PCAF-prescribed confidence factors (ranging from 1.00 for verified data to 0.45 for sector-average proxies) to reflect the</w:t>
      </w:r>
      <w:r>
        <w:rPr>
          <w:rFonts w:ascii="Arial" w:hAnsi="Arial"/>
        </w:rPr>
        <w:t xml:space="preserve"> reliability of underlying data sources. The 30.47% reduction from gross to weighted figures indicates that approximately 6.7 million tCO2e of reported emissions are subject to higher estimation uncertainty (Tier 4-5 data). This distinction is critical for stakeholders assessing the institution's progress toward science-based targets, as confidence-weighted figures provide a more conservative baseline for target-setting and performance tracking in accordance with PCAF guidance.</w:t>
      </w:r>
    </w:p>
    <w:p w14:paraId="652D3235" w14:textId="77777777" w:rsidR="00535AD5" w:rsidRDefault="000F4CA5">
      <w:pPr>
        <w:spacing w:after="160"/>
        <w:jc w:val="both"/>
      </w:pPr>
      <w:r>
        <w:rPr>
          <w:rFonts w:ascii="Arial" w:hAnsi="Arial"/>
        </w:rPr>
        <w:t xml:space="preserve">The financed emissions portfolio exhibits significant concentration in carbon-intensive sectors. The Energy - Oil &amp; Gas sector accounts for 43.56% of total financed emissions (9,573,144.27 tCO2e gross; 6,753,948.71 tCO2e weighted) despite representing only 6.66% of the loan portfolio by outstanding value (IDR 102.669871 trillion). Manufacturing - Cement contributes 26.45% of financed emissions (5,813,830.91 tCO2e gross; 4,168,058.43 tCO2e weighted) from 6.99% of portfolio exposure (IDR 107.67817 trillion). </w:t>
      </w:r>
      <w:r>
        <w:rPr>
          <w:rFonts w:ascii="Arial" w:hAnsi="Arial"/>
        </w:rPr>
        <w:t xml:space="preserve">Manufacturing - Steel accounts for 15.92% of financed emissions (3,499,463.0 tCO2e gross; 2,228,739.65 tCO2e weighted) from 7.05% of portfolio exposure (IDR 108.619962 trillion). These three sectors collectively represent 85.93% of total financed emissions while comprising only 20.70% of </w:t>
      </w:r>
      <w:r>
        <w:rPr>
          <w:rFonts w:ascii="Arial" w:hAnsi="Arial"/>
        </w:rPr>
        <w:lastRenderedPageBreak/>
        <w:t>portfolio value, highlighting the emission intensity disparity across sectors. Transportation - Road and Manufacturing - Food &amp; Beverage contribute 5.58% and 4.26% of financed emissions respectively, with significantly lowe</w:t>
      </w:r>
      <w:r>
        <w:rPr>
          <w:rFonts w:ascii="Arial" w:hAnsi="Arial"/>
        </w:rPr>
        <w:t>r emission intensities per IDR billion of exposure.</w:t>
      </w:r>
    </w:p>
    <w:p w14:paraId="11EC085A" w14:textId="77777777" w:rsidR="00535AD5" w:rsidRDefault="000F4CA5">
      <w:pPr>
        <w:spacing w:after="160"/>
        <w:jc w:val="both"/>
      </w:pPr>
      <w:r>
        <w:rPr>
          <w:rFonts w:ascii="Arial" w:hAnsi="Arial"/>
        </w:rPr>
        <w:t>Year-over-year comparison of financed emissions is not available for Reporting Year 2024, as this represents the institution's first full reporting cycle under PCAF methodology. The institution commenced PCAF implementation in Q1 2024 following the establishment of a dedicated Climate Risk Analytics unit within the Risk Management Division. Prior-year financed emissions data (2023) were calculated retrospectively using the same PCAF methodology to establish a baseline, yielding gross financed emissions of 2</w:t>
      </w:r>
      <w:r>
        <w:rPr>
          <w:rFonts w:ascii="Arial" w:hAnsi="Arial"/>
        </w:rPr>
        <w:t>2,911,991.05 tCO2e and confidence-weighted emissions of 15,576,239.57 tCO2e. This indicates a year-over-year reduction of 4.07% in gross financed emissions and 1.90% in confidence-weighted financed emissions. However, the institution notes that 2023 figures are subject to higher estimation uncertainty due to limited availability of borrower-specific emissions data during the retrospective calculation period. Future reporting cycles will benefit from enhanced data collection protocols implemented in 2024, in</w:t>
      </w:r>
      <w:r>
        <w:rPr>
          <w:rFonts w:ascii="Arial" w:hAnsi="Arial"/>
        </w:rPr>
        <w:t>cluding mandatory ESG questionnaires for all corporate borrowers with exposure exceeding IDR 50 billion.</w:t>
      </w:r>
    </w:p>
    <w:p w14:paraId="27092A28" w14:textId="77777777" w:rsidR="00535AD5" w:rsidRDefault="000F4CA5">
      <w:pPr>
        <w:spacing w:after="160"/>
        <w:jc w:val="both"/>
      </w:pPr>
      <w:r>
        <w:rPr>
          <w:rFonts w:ascii="Arial" w:hAnsi="Arial"/>
        </w:rPr>
        <w:t>The institution achieved 100% portfolio coverage for PCAF financed emissions calculation across all corporate lending exposures (1,955 borrowers; total outstanding IDR 1,541.781804 trillion). This coverage rate aligns with PCAF signatory requirements and exceeds the 90% minimum threshold recommended for financial institutions in emerging markets. However, the portfolio-weighted average data quality score of 3.36 indicates substantial reliance on economic input-output models rather than borrower-specific emi</w:t>
      </w:r>
      <w:r>
        <w:rPr>
          <w:rFonts w:ascii="Arial" w:hAnsi="Arial"/>
        </w:rPr>
        <w:t>ssions data. High-quality data (PCAF Tier 1-2, representing verified or reported emissions) accounted for only 18.3% of portfolio coverage by outstanding value. The institution has established a three-year data quality improvement roadmap targeting a portfolio-weighted average score of ≤2.5 by 2027, which will require systematic engagement with top 200 borrowers (representing 67% of financed emissions) to obtain verified emissions disclosures. This improvement is critical for establishing credible science-b</w:t>
      </w:r>
      <w:r>
        <w:rPr>
          <w:rFonts w:ascii="Arial" w:hAnsi="Arial"/>
        </w:rPr>
        <w:t>ased targets and aligning with Indonesia's Enhanced Nationally Determined Contribution (NDC) commitment of 31.89% unconditional emissions reduction by 2030.</w:t>
      </w:r>
    </w:p>
    <w:p w14:paraId="25A3029F" w14:textId="77777777" w:rsidR="00535AD5" w:rsidRDefault="000F4CA5">
      <w:pPr>
        <w:spacing w:after="160"/>
        <w:jc w:val="both"/>
      </w:pPr>
      <w:r>
        <w:rPr>
          <w:rFonts w:ascii="Arial" w:hAnsi="Arial"/>
          <w:i/>
          <w:color w:val="555555"/>
        </w:rPr>
        <w:t>**Data Quality Improvement Roadmap**: Given the portfolio-weighted average PCAF data quality score of 3.36, the institution has developed a structured three-phase improvement plan. Phase 1 (2025): Deploy mandatory ESG data collection questionnaires for all borrowers with exposure &gt;IDR 50 billion, targeting 200 counterparties representing 67% of financed emissions. Establish partnerships with third-party ESG data providers (e.g., Sustainalytics, MSCI) to supplement borrower-reported data. Target: Achieve 30%</w:t>
      </w:r>
      <w:r>
        <w:rPr>
          <w:rFonts w:ascii="Arial" w:hAnsi="Arial"/>
          <w:i/>
          <w:color w:val="555555"/>
        </w:rPr>
        <w:t xml:space="preserve"> Tier 1-2 data coverage by end-2025. Phase 2 (2026): Integrate emissions data collection into annual credit review processes for all corporate borrowers. Provide technical assistance to top 50 emitting clients to establish GHG inventory systems aligned with GHG Protocol Corporate Standard. Implement automated data validation rules to flag inconsistencies in borrower-reported emissions. Target: Achieve 50% Tier 1-2 data coverage and portfolio-weighted score ≤3.0 by end-2026. Phase 3 (2027): Mandate third-par</w:t>
      </w:r>
      <w:r>
        <w:rPr>
          <w:rFonts w:ascii="Arial" w:hAnsi="Arial"/>
          <w:i/>
          <w:color w:val="555555"/>
        </w:rPr>
        <w:t xml:space="preserve">ty verification of emissions data for all borrowers with exposure &gt;IDR 100 billion as a condition for credit renewal. Establish sector-specific emission intensity benchmarks to identify outliers requiring enhanced due </w:t>
      </w:r>
      <w:r>
        <w:rPr>
          <w:rFonts w:ascii="Arial" w:hAnsi="Arial"/>
          <w:i/>
          <w:color w:val="555555"/>
        </w:rPr>
        <w:lastRenderedPageBreak/>
        <w:t>diligence. Target: Achieve 65% Tier 1-2 data coverage and portfolio-weighted score ≤2.5 by end-2027, positioning the institution for science-based target validation.</w:t>
      </w:r>
    </w:p>
    <w:p w14:paraId="79A8492D" w14:textId="77777777" w:rsidR="00535AD5" w:rsidRDefault="000F4CA5">
      <w:r>
        <w:rPr>
          <w:rFonts w:ascii="Arial" w:hAnsi="Arial"/>
          <w:b/>
          <w:sz w:val="20"/>
        </w:rPr>
        <w:t>Tabel 1: Emisi Pembiayaan Berdasarkan Sektor (Top 5 Sektor Berdasarkan Emisi Bruto)</w:t>
      </w:r>
    </w:p>
    <w:tbl>
      <w:tblPr>
        <w:tblW w:w="0" w:type="auto"/>
        <w:jc w:val="center"/>
        <w:tblLook w:val="04A0" w:firstRow="1" w:lastRow="0" w:firstColumn="1" w:lastColumn="0" w:noHBand="0" w:noVBand="1"/>
      </w:tblPr>
      <w:tblGrid>
        <w:gridCol w:w="440"/>
        <w:gridCol w:w="1115"/>
        <w:gridCol w:w="837"/>
        <w:gridCol w:w="1287"/>
        <w:gridCol w:w="1326"/>
        <w:gridCol w:w="1326"/>
        <w:gridCol w:w="759"/>
        <w:gridCol w:w="984"/>
        <w:gridCol w:w="1171"/>
      </w:tblGrid>
      <w:tr w:rsidR="00535AD5" w14:paraId="0B0DCE83" w14:textId="77777777">
        <w:trPr>
          <w:jc w:val="center"/>
        </w:trPr>
        <w:tc>
          <w:tcPr>
            <w:tcW w:w="1003" w:type="dxa"/>
            <w:shd w:val="clear" w:color="auto" w:fill="1B3A6B"/>
          </w:tcPr>
          <w:p w14:paraId="480C4520" w14:textId="77777777" w:rsidR="00535AD5" w:rsidRDefault="000F4CA5">
            <w:r>
              <w:rPr>
                <w:rFonts w:ascii="Arial" w:hAnsi="Arial"/>
                <w:b/>
                <w:color w:val="FFFFFF"/>
                <w:sz w:val="18"/>
              </w:rPr>
              <w:t>No.</w:t>
            </w:r>
          </w:p>
        </w:tc>
        <w:tc>
          <w:tcPr>
            <w:tcW w:w="1003" w:type="dxa"/>
            <w:shd w:val="clear" w:color="auto" w:fill="1B3A6B"/>
          </w:tcPr>
          <w:p w14:paraId="19C4A72E" w14:textId="77777777" w:rsidR="00535AD5" w:rsidRDefault="000F4CA5">
            <w:r>
              <w:rPr>
                <w:rFonts w:ascii="Arial" w:hAnsi="Arial"/>
                <w:b/>
                <w:color w:val="FFFFFF"/>
                <w:sz w:val="18"/>
              </w:rPr>
              <w:t>Sektor NACE</w:t>
            </w:r>
          </w:p>
        </w:tc>
        <w:tc>
          <w:tcPr>
            <w:tcW w:w="1003" w:type="dxa"/>
            <w:shd w:val="clear" w:color="auto" w:fill="1B3A6B"/>
          </w:tcPr>
          <w:p w14:paraId="284E5F49" w14:textId="77777777" w:rsidR="00535AD5" w:rsidRDefault="000F4CA5">
            <w:r>
              <w:rPr>
                <w:rFonts w:ascii="Arial" w:hAnsi="Arial"/>
                <w:b/>
                <w:color w:val="FFFFFF"/>
                <w:sz w:val="18"/>
              </w:rPr>
              <w:t>Jumlah Pinjaman</w:t>
            </w:r>
          </w:p>
        </w:tc>
        <w:tc>
          <w:tcPr>
            <w:tcW w:w="1003" w:type="dxa"/>
            <w:shd w:val="clear" w:color="auto" w:fill="1B3A6B"/>
          </w:tcPr>
          <w:p w14:paraId="61AA499C" w14:textId="77777777" w:rsidR="00535AD5" w:rsidRDefault="000F4CA5">
            <w:r>
              <w:rPr>
                <w:rFonts w:ascii="Arial" w:hAnsi="Arial"/>
                <w:b/>
                <w:color w:val="FFFFFF"/>
                <w:sz w:val="18"/>
              </w:rPr>
              <w:t>Outstanding (IDR Triliun)</w:t>
            </w:r>
          </w:p>
        </w:tc>
        <w:tc>
          <w:tcPr>
            <w:tcW w:w="1003" w:type="dxa"/>
            <w:shd w:val="clear" w:color="auto" w:fill="1B3A6B"/>
          </w:tcPr>
          <w:p w14:paraId="5CD6DA8F" w14:textId="77777777" w:rsidR="00535AD5" w:rsidRDefault="000F4CA5">
            <w:r>
              <w:rPr>
                <w:rFonts w:ascii="Arial" w:hAnsi="Arial"/>
                <w:b/>
                <w:color w:val="FFFFFF"/>
                <w:sz w:val="18"/>
              </w:rPr>
              <w:t>Emisi Bruto (tCO2e)</w:t>
            </w:r>
          </w:p>
        </w:tc>
        <w:tc>
          <w:tcPr>
            <w:tcW w:w="1003" w:type="dxa"/>
            <w:shd w:val="clear" w:color="auto" w:fill="1B3A6B"/>
          </w:tcPr>
          <w:p w14:paraId="398B8793" w14:textId="77777777" w:rsidR="00535AD5" w:rsidRDefault="000F4CA5">
            <w:r>
              <w:rPr>
                <w:rFonts w:ascii="Arial" w:hAnsi="Arial"/>
                <w:b/>
                <w:color w:val="FFFFFF"/>
                <w:sz w:val="18"/>
              </w:rPr>
              <w:t>Emisi Tertimbang (tCO2e)</w:t>
            </w:r>
          </w:p>
        </w:tc>
        <w:tc>
          <w:tcPr>
            <w:tcW w:w="1003" w:type="dxa"/>
            <w:shd w:val="clear" w:color="auto" w:fill="1B3A6B"/>
          </w:tcPr>
          <w:p w14:paraId="38DCF442" w14:textId="77777777" w:rsidR="00535AD5" w:rsidRDefault="000F4CA5">
            <w:r>
              <w:rPr>
                <w:rFonts w:ascii="Arial" w:hAnsi="Arial"/>
                <w:b/>
                <w:color w:val="FFFFFF"/>
                <w:sz w:val="18"/>
              </w:rPr>
              <w:t>Skor Kualitas Data PCAF</w:t>
            </w:r>
          </w:p>
        </w:tc>
        <w:tc>
          <w:tcPr>
            <w:tcW w:w="1003" w:type="dxa"/>
            <w:shd w:val="clear" w:color="auto" w:fill="1B3A6B"/>
          </w:tcPr>
          <w:p w14:paraId="0F936A5C" w14:textId="77777777" w:rsidR="00535AD5" w:rsidRDefault="000F4CA5">
            <w:r>
              <w:rPr>
                <w:rFonts w:ascii="Arial" w:hAnsi="Arial"/>
                <w:b/>
                <w:color w:val="FFFFFF"/>
                <w:sz w:val="18"/>
              </w:rPr>
              <w:t>% dari Total Emisi</w:t>
            </w:r>
          </w:p>
        </w:tc>
        <w:tc>
          <w:tcPr>
            <w:tcW w:w="1003" w:type="dxa"/>
            <w:shd w:val="clear" w:color="auto" w:fill="1B3A6B"/>
          </w:tcPr>
          <w:p w14:paraId="256411DB" w14:textId="77777777" w:rsidR="00535AD5" w:rsidRDefault="000F4CA5">
            <w:r>
              <w:rPr>
                <w:rFonts w:ascii="Arial" w:hAnsi="Arial"/>
                <w:b/>
                <w:color w:val="FFFFFF"/>
                <w:sz w:val="18"/>
              </w:rPr>
              <w:t>Intensitas Emisi (tCO2e/IDR Miliar)</w:t>
            </w:r>
          </w:p>
        </w:tc>
      </w:tr>
      <w:tr w:rsidR="00535AD5" w14:paraId="39CFF9DD" w14:textId="77777777">
        <w:trPr>
          <w:jc w:val="center"/>
        </w:trPr>
        <w:tc>
          <w:tcPr>
            <w:tcW w:w="1003" w:type="dxa"/>
          </w:tcPr>
          <w:p w14:paraId="2BB823CD" w14:textId="77777777" w:rsidR="00535AD5" w:rsidRDefault="000F4CA5">
            <w:pPr>
              <w:jc w:val="right"/>
            </w:pPr>
            <w:r>
              <w:rPr>
                <w:rFonts w:ascii="Arial" w:hAnsi="Arial"/>
                <w:sz w:val="18"/>
              </w:rPr>
              <w:t>1</w:t>
            </w:r>
          </w:p>
        </w:tc>
        <w:tc>
          <w:tcPr>
            <w:tcW w:w="1003" w:type="dxa"/>
          </w:tcPr>
          <w:p w14:paraId="52422964" w14:textId="77777777" w:rsidR="00535AD5" w:rsidRDefault="000F4CA5">
            <w:r>
              <w:rPr>
                <w:rFonts w:ascii="Arial" w:hAnsi="Arial"/>
                <w:sz w:val="18"/>
              </w:rPr>
              <w:t>Energy - Oil &amp; Gas</w:t>
            </w:r>
          </w:p>
        </w:tc>
        <w:tc>
          <w:tcPr>
            <w:tcW w:w="1003" w:type="dxa"/>
          </w:tcPr>
          <w:p w14:paraId="4F3ACAD4" w14:textId="77777777" w:rsidR="00535AD5" w:rsidRDefault="000F4CA5">
            <w:pPr>
              <w:jc w:val="right"/>
            </w:pPr>
            <w:r>
              <w:rPr>
                <w:rFonts w:ascii="Arial" w:hAnsi="Arial"/>
                <w:sz w:val="18"/>
              </w:rPr>
              <w:t>135</w:t>
            </w:r>
          </w:p>
        </w:tc>
        <w:tc>
          <w:tcPr>
            <w:tcW w:w="1003" w:type="dxa"/>
          </w:tcPr>
          <w:p w14:paraId="1D83F744" w14:textId="77777777" w:rsidR="00535AD5" w:rsidRDefault="000F4CA5">
            <w:pPr>
              <w:jc w:val="right"/>
            </w:pPr>
            <w:r>
              <w:rPr>
                <w:rFonts w:ascii="Arial" w:hAnsi="Arial"/>
                <w:sz w:val="18"/>
              </w:rPr>
              <w:t>102.669871</w:t>
            </w:r>
          </w:p>
        </w:tc>
        <w:tc>
          <w:tcPr>
            <w:tcW w:w="1003" w:type="dxa"/>
          </w:tcPr>
          <w:p w14:paraId="6AB1B3C8" w14:textId="77777777" w:rsidR="00535AD5" w:rsidRDefault="000F4CA5">
            <w:pPr>
              <w:jc w:val="right"/>
            </w:pPr>
            <w:r>
              <w:rPr>
                <w:rFonts w:ascii="Arial" w:hAnsi="Arial"/>
                <w:sz w:val="18"/>
              </w:rPr>
              <w:t>9,573,144.27</w:t>
            </w:r>
          </w:p>
        </w:tc>
        <w:tc>
          <w:tcPr>
            <w:tcW w:w="1003" w:type="dxa"/>
          </w:tcPr>
          <w:p w14:paraId="3E4AF5D2" w14:textId="77777777" w:rsidR="00535AD5" w:rsidRDefault="000F4CA5">
            <w:pPr>
              <w:jc w:val="right"/>
            </w:pPr>
            <w:r>
              <w:rPr>
                <w:rFonts w:ascii="Arial" w:hAnsi="Arial"/>
                <w:sz w:val="18"/>
              </w:rPr>
              <w:t>6,753,948.71</w:t>
            </w:r>
          </w:p>
        </w:tc>
        <w:tc>
          <w:tcPr>
            <w:tcW w:w="1003" w:type="dxa"/>
          </w:tcPr>
          <w:p w14:paraId="5CC53DEC" w14:textId="77777777" w:rsidR="00535AD5" w:rsidRDefault="000F4CA5">
            <w:pPr>
              <w:jc w:val="right"/>
            </w:pPr>
            <w:r>
              <w:rPr>
                <w:rFonts w:ascii="Arial" w:hAnsi="Arial"/>
                <w:sz w:val="18"/>
              </w:rPr>
              <w:t>3.32</w:t>
            </w:r>
          </w:p>
        </w:tc>
        <w:tc>
          <w:tcPr>
            <w:tcW w:w="1003" w:type="dxa"/>
          </w:tcPr>
          <w:p w14:paraId="15E56F43" w14:textId="77777777" w:rsidR="00535AD5" w:rsidRDefault="000F4CA5">
            <w:pPr>
              <w:jc w:val="right"/>
            </w:pPr>
            <w:r>
              <w:rPr>
                <w:rFonts w:ascii="Arial" w:hAnsi="Arial"/>
                <w:sz w:val="18"/>
              </w:rPr>
              <w:t>43.56%</w:t>
            </w:r>
          </w:p>
        </w:tc>
        <w:tc>
          <w:tcPr>
            <w:tcW w:w="1003" w:type="dxa"/>
          </w:tcPr>
          <w:p w14:paraId="1DEA1FBB" w14:textId="77777777" w:rsidR="00535AD5" w:rsidRDefault="000F4CA5">
            <w:pPr>
              <w:jc w:val="right"/>
            </w:pPr>
            <w:r>
              <w:rPr>
                <w:rFonts w:ascii="Arial" w:hAnsi="Arial"/>
                <w:sz w:val="18"/>
              </w:rPr>
              <w:t>93.242</w:t>
            </w:r>
          </w:p>
        </w:tc>
      </w:tr>
      <w:tr w:rsidR="00535AD5" w14:paraId="10A39736" w14:textId="77777777">
        <w:trPr>
          <w:jc w:val="center"/>
        </w:trPr>
        <w:tc>
          <w:tcPr>
            <w:tcW w:w="1003" w:type="dxa"/>
            <w:shd w:val="clear" w:color="auto" w:fill="F2F6FC"/>
          </w:tcPr>
          <w:p w14:paraId="7AB15E36" w14:textId="77777777" w:rsidR="00535AD5" w:rsidRDefault="000F4CA5">
            <w:pPr>
              <w:jc w:val="right"/>
            </w:pPr>
            <w:r>
              <w:rPr>
                <w:rFonts w:ascii="Arial" w:hAnsi="Arial"/>
                <w:sz w:val="18"/>
              </w:rPr>
              <w:t>2</w:t>
            </w:r>
          </w:p>
        </w:tc>
        <w:tc>
          <w:tcPr>
            <w:tcW w:w="1003" w:type="dxa"/>
            <w:shd w:val="clear" w:color="auto" w:fill="F2F6FC"/>
          </w:tcPr>
          <w:p w14:paraId="01783009" w14:textId="77777777" w:rsidR="00535AD5" w:rsidRDefault="000F4CA5">
            <w:r>
              <w:rPr>
                <w:rFonts w:ascii="Arial" w:hAnsi="Arial"/>
                <w:sz w:val="18"/>
              </w:rPr>
              <w:t>Manufacturing - Cement</w:t>
            </w:r>
          </w:p>
        </w:tc>
        <w:tc>
          <w:tcPr>
            <w:tcW w:w="1003" w:type="dxa"/>
            <w:shd w:val="clear" w:color="auto" w:fill="F2F6FC"/>
          </w:tcPr>
          <w:p w14:paraId="7AD78AD4" w14:textId="77777777" w:rsidR="00535AD5" w:rsidRDefault="000F4CA5">
            <w:pPr>
              <w:jc w:val="right"/>
            </w:pPr>
            <w:r>
              <w:rPr>
                <w:rFonts w:ascii="Arial" w:hAnsi="Arial"/>
                <w:sz w:val="18"/>
              </w:rPr>
              <w:t>161</w:t>
            </w:r>
          </w:p>
        </w:tc>
        <w:tc>
          <w:tcPr>
            <w:tcW w:w="1003" w:type="dxa"/>
            <w:shd w:val="clear" w:color="auto" w:fill="F2F6FC"/>
          </w:tcPr>
          <w:p w14:paraId="39F5E4BF" w14:textId="77777777" w:rsidR="00535AD5" w:rsidRDefault="000F4CA5">
            <w:pPr>
              <w:jc w:val="right"/>
            </w:pPr>
            <w:r>
              <w:rPr>
                <w:rFonts w:ascii="Arial" w:hAnsi="Arial"/>
                <w:sz w:val="18"/>
              </w:rPr>
              <w:t>107.67817</w:t>
            </w:r>
          </w:p>
        </w:tc>
        <w:tc>
          <w:tcPr>
            <w:tcW w:w="1003" w:type="dxa"/>
            <w:shd w:val="clear" w:color="auto" w:fill="F2F6FC"/>
          </w:tcPr>
          <w:p w14:paraId="295550D3" w14:textId="77777777" w:rsidR="00535AD5" w:rsidRDefault="000F4CA5">
            <w:pPr>
              <w:jc w:val="right"/>
            </w:pPr>
            <w:r>
              <w:rPr>
                <w:rFonts w:ascii="Arial" w:hAnsi="Arial"/>
                <w:sz w:val="18"/>
              </w:rPr>
              <w:t>5,813,830.91</w:t>
            </w:r>
          </w:p>
        </w:tc>
        <w:tc>
          <w:tcPr>
            <w:tcW w:w="1003" w:type="dxa"/>
            <w:shd w:val="clear" w:color="auto" w:fill="F2F6FC"/>
          </w:tcPr>
          <w:p w14:paraId="490A7589" w14:textId="77777777" w:rsidR="00535AD5" w:rsidRDefault="000F4CA5">
            <w:pPr>
              <w:jc w:val="right"/>
            </w:pPr>
            <w:r>
              <w:rPr>
                <w:rFonts w:ascii="Arial" w:hAnsi="Arial"/>
                <w:sz w:val="18"/>
              </w:rPr>
              <w:t>4,168,058.43</w:t>
            </w:r>
          </w:p>
        </w:tc>
        <w:tc>
          <w:tcPr>
            <w:tcW w:w="1003" w:type="dxa"/>
            <w:shd w:val="clear" w:color="auto" w:fill="F2F6FC"/>
          </w:tcPr>
          <w:p w14:paraId="314BDC2A" w14:textId="77777777" w:rsidR="00535AD5" w:rsidRDefault="000F4CA5">
            <w:pPr>
              <w:jc w:val="right"/>
            </w:pPr>
            <w:r>
              <w:rPr>
                <w:rFonts w:ascii="Arial" w:hAnsi="Arial"/>
                <w:sz w:val="18"/>
              </w:rPr>
              <w:t>3.40</w:t>
            </w:r>
          </w:p>
        </w:tc>
        <w:tc>
          <w:tcPr>
            <w:tcW w:w="1003" w:type="dxa"/>
            <w:shd w:val="clear" w:color="auto" w:fill="F2F6FC"/>
          </w:tcPr>
          <w:p w14:paraId="464A1777" w14:textId="77777777" w:rsidR="00535AD5" w:rsidRDefault="000F4CA5">
            <w:pPr>
              <w:jc w:val="right"/>
            </w:pPr>
            <w:r>
              <w:rPr>
                <w:rFonts w:ascii="Arial" w:hAnsi="Arial"/>
                <w:sz w:val="18"/>
              </w:rPr>
              <w:t>26.45%</w:t>
            </w:r>
          </w:p>
        </w:tc>
        <w:tc>
          <w:tcPr>
            <w:tcW w:w="1003" w:type="dxa"/>
            <w:shd w:val="clear" w:color="auto" w:fill="F2F6FC"/>
          </w:tcPr>
          <w:p w14:paraId="237312C3" w14:textId="77777777" w:rsidR="00535AD5" w:rsidRDefault="000F4CA5">
            <w:pPr>
              <w:jc w:val="right"/>
            </w:pPr>
            <w:r>
              <w:rPr>
                <w:rFonts w:ascii="Arial" w:hAnsi="Arial"/>
                <w:sz w:val="18"/>
              </w:rPr>
              <w:t>53.9927</w:t>
            </w:r>
          </w:p>
        </w:tc>
      </w:tr>
      <w:tr w:rsidR="00535AD5" w14:paraId="39236DC0" w14:textId="77777777">
        <w:trPr>
          <w:jc w:val="center"/>
        </w:trPr>
        <w:tc>
          <w:tcPr>
            <w:tcW w:w="1003" w:type="dxa"/>
          </w:tcPr>
          <w:p w14:paraId="6EECBA52" w14:textId="77777777" w:rsidR="00535AD5" w:rsidRDefault="000F4CA5">
            <w:pPr>
              <w:jc w:val="right"/>
            </w:pPr>
            <w:r>
              <w:rPr>
                <w:rFonts w:ascii="Arial" w:hAnsi="Arial"/>
                <w:sz w:val="18"/>
              </w:rPr>
              <w:t>3</w:t>
            </w:r>
          </w:p>
        </w:tc>
        <w:tc>
          <w:tcPr>
            <w:tcW w:w="1003" w:type="dxa"/>
          </w:tcPr>
          <w:p w14:paraId="0AB4D57A" w14:textId="77777777" w:rsidR="00535AD5" w:rsidRDefault="000F4CA5">
            <w:r>
              <w:rPr>
                <w:rFonts w:ascii="Arial" w:hAnsi="Arial"/>
                <w:sz w:val="18"/>
              </w:rPr>
              <w:t>Manufacturing - Steel</w:t>
            </w:r>
          </w:p>
        </w:tc>
        <w:tc>
          <w:tcPr>
            <w:tcW w:w="1003" w:type="dxa"/>
          </w:tcPr>
          <w:p w14:paraId="566E5C32" w14:textId="77777777" w:rsidR="00535AD5" w:rsidRDefault="000F4CA5">
            <w:pPr>
              <w:jc w:val="right"/>
            </w:pPr>
            <w:r>
              <w:rPr>
                <w:rFonts w:ascii="Arial" w:hAnsi="Arial"/>
                <w:sz w:val="18"/>
              </w:rPr>
              <w:t>122</w:t>
            </w:r>
          </w:p>
        </w:tc>
        <w:tc>
          <w:tcPr>
            <w:tcW w:w="1003" w:type="dxa"/>
          </w:tcPr>
          <w:p w14:paraId="62D3D0D0" w14:textId="77777777" w:rsidR="00535AD5" w:rsidRDefault="000F4CA5">
            <w:pPr>
              <w:jc w:val="right"/>
            </w:pPr>
            <w:r>
              <w:rPr>
                <w:rFonts w:ascii="Arial" w:hAnsi="Arial"/>
                <w:sz w:val="18"/>
              </w:rPr>
              <w:t>108.619962</w:t>
            </w:r>
          </w:p>
        </w:tc>
        <w:tc>
          <w:tcPr>
            <w:tcW w:w="1003" w:type="dxa"/>
          </w:tcPr>
          <w:p w14:paraId="72FEB5EB" w14:textId="77777777" w:rsidR="00535AD5" w:rsidRDefault="000F4CA5">
            <w:pPr>
              <w:jc w:val="right"/>
            </w:pPr>
            <w:r>
              <w:rPr>
                <w:rFonts w:ascii="Arial" w:hAnsi="Arial"/>
                <w:sz w:val="18"/>
              </w:rPr>
              <w:t>3,499,463.0</w:t>
            </w:r>
          </w:p>
        </w:tc>
        <w:tc>
          <w:tcPr>
            <w:tcW w:w="1003" w:type="dxa"/>
          </w:tcPr>
          <w:p w14:paraId="3095E9F7" w14:textId="77777777" w:rsidR="00535AD5" w:rsidRDefault="000F4CA5">
            <w:pPr>
              <w:jc w:val="right"/>
            </w:pPr>
            <w:r>
              <w:rPr>
                <w:rFonts w:ascii="Arial" w:hAnsi="Arial"/>
                <w:sz w:val="18"/>
              </w:rPr>
              <w:t>2,228,739.65</w:t>
            </w:r>
          </w:p>
        </w:tc>
        <w:tc>
          <w:tcPr>
            <w:tcW w:w="1003" w:type="dxa"/>
          </w:tcPr>
          <w:p w14:paraId="023D6A4C" w14:textId="77777777" w:rsidR="00535AD5" w:rsidRDefault="000F4CA5">
            <w:pPr>
              <w:jc w:val="right"/>
            </w:pPr>
            <w:r>
              <w:rPr>
                <w:rFonts w:ascii="Arial" w:hAnsi="Arial"/>
                <w:sz w:val="18"/>
              </w:rPr>
              <w:t>3.35</w:t>
            </w:r>
          </w:p>
        </w:tc>
        <w:tc>
          <w:tcPr>
            <w:tcW w:w="1003" w:type="dxa"/>
          </w:tcPr>
          <w:p w14:paraId="0923969E" w14:textId="77777777" w:rsidR="00535AD5" w:rsidRDefault="000F4CA5">
            <w:pPr>
              <w:jc w:val="right"/>
            </w:pPr>
            <w:r>
              <w:rPr>
                <w:rFonts w:ascii="Arial" w:hAnsi="Arial"/>
                <w:sz w:val="18"/>
              </w:rPr>
              <w:t>15.92%</w:t>
            </w:r>
          </w:p>
        </w:tc>
        <w:tc>
          <w:tcPr>
            <w:tcW w:w="1003" w:type="dxa"/>
          </w:tcPr>
          <w:p w14:paraId="3555D6EF" w14:textId="77777777" w:rsidR="00535AD5" w:rsidRDefault="000F4CA5">
            <w:pPr>
              <w:jc w:val="right"/>
            </w:pPr>
            <w:r>
              <w:rPr>
                <w:rFonts w:ascii="Arial" w:hAnsi="Arial"/>
                <w:sz w:val="18"/>
              </w:rPr>
              <w:t>32.2175</w:t>
            </w:r>
          </w:p>
        </w:tc>
      </w:tr>
      <w:tr w:rsidR="00535AD5" w14:paraId="1C54BF60" w14:textId="77777777">
        <w:trPr>
          <w:jc w:val="center"/>
        </w:trPr>
        <w:tc>
          <w:tcPr>
            <w:tcW w:w="1003" w:type="dxa"/>
            <w:shd w:val="clear" w:color="auto" w:fill="F2F6FC"/>
          </w:tcPr>
          <w:p w14:paraId="1F362EAA" w14:textId="77777777" w:rsidR="00535AD5" w:rsidRDefault="000F4CA5">
            <w:pPr>
              <w:jc w:val="right"/>
            </w:pPr>
            <w:r>
              <w:rPr>
                <w:rFonts w:ascii="Arial" w:hAnsi="Arial"/>
                <w:sz w:val="18"/>
              </w:rPr>
              <w:t>4</w:t>
            </w:r>
          </w:p>
        </w:tc>
        <w:tc>
          <w:tcPr>
            <w:tcW w:w="1003" w:type="dxa"/>
            <w:shd w:val="clear" w:color="auto" w:fill="F2F6FC"/>
          </w:tcPr>
          <w:p w14:paraId="7CA8EBB2" w14:textId="77777777" w:rsidR="00535AD5" w:rsidRDefault="000F4CA5">
            <w:r>
              <w:rPr>
                <w:rFonts w:ascii="Arial" w:hAnsi="Arial"/>
                <w:sz w:val="18"/>
              </w:rPr>
              <w:t>Transportation - Road</w:t>
            </w:r>
          </w:p>
        </w:tc>
        <w:tc>
          <w:tcPr>
            <w:tcW w:w="1003" w:type="dxa"/>
            <w:shd w:val="clear" w:color="auto" w:fill="F2F6FC"/>
          </w:tcPr>
          <w:p w14:paraId="776717DA" w14:textId="77777777" w:rsidR="00535AD5" w:rsidRDefault="000F4CA5">
            <w:pPr>
              <w:jc w:val="right"/>
            </w:pPr>
            <w:r>
              <w:rPr>
                <w:rFonts w:ascii="Arial" w:hAnsi="Arial"/>
                <w:sz w:val="18"/>
              </w:rPr>
              <w:t>189</w:t>
            </w:r>
          </w:p>
        </w:tc>
        <w:tc>
          <w:tcPr>
            <w:tcW w:w="1003" w:type="dxa"/>
            <w:shd w:val="clear" w:color="auto" w:fill="F2F6FC"/>
          </w:tcPr>
          <w:p w14:paraId="490B00B4" w14:textId="77777777" w:rsidR="00535AD5" w:rsidRDefault="000F4CA5">
            <w:pPr>
              <w:jc w:val="right"/>
            </w:pPr>
            <w:r>
              <w:rPr>
                <w:rFonts w:ascii="Arial" w:hAnsi="Arial"/>
                <w:sz w:val="18"/>
              </w:rPr>
              <w:t>155.55276</w:t>
            </w:r>
          </w:p>
        </w:tc>
        <w:tc>
          <w:tcPr>
            <w:tcW w:w="1003" w:type="dxa"/>
            <w:shd w:val="clear" w:color="auto" w:fill="F2F6FC"/>
          </w:tcPr>
          <w:p w14:paraId="4626D2A1" w14:textId="77777777" w:rsidR="00535AD5" w:rsidRDefault="000F4CA5">
            <w:pPr>
              <w:jc w:val="right"/>
            </w:pPr>
            <w:r>
              <w:rPr>
                <w:rFonts w:ascii="Arial" w:hAnsi="Arial"/>
                <w:sz w:val="18"/>
              </w:rPr>
              <w:t>1,227,019.62</w:t>
            </w:r>
          </w:p>
        </w:tc>
        <w:tc>
          <w:tcPr>
            <w:tcW w:w="1003" w:type="dxa"/>
            <w:shd w:val="clear" w:color="auto" w:fill="F2F6FC"/>
          </w:tcPr>
          <w:p w14:paraId="5A6B5124" w14:textId="77777777" w:rsidR="00535AD5" w:rsidRDefault="000F4CA5">
            <w:pPr>
              <w:jc w:val="right"/>
            </w:pPr>
            <w:r>
              <w:rPr>
                <w:rFonts w:ascii="Arial" w:hAnsi="Arial"/>
                <w:sz w:val="18"/>
              </w:rPr>
              <w:t>864,356.23</w:t>
            </w:r>
          </w:p>
        </w:tc>
        <w:tc>
          <w:tcPr>
            <w:tcW w:w="1003" w:type="dxa"/>
            <w:shd w:val="clear" w:color="auto" w:fill="F2F6FC"/>
          </w:tcPr>
          <w:p w14:paraId="6214A612" w14:textId="77777777" w:rsidR="00535AD5" w:rsidRDefault="000F4CA5">
            <w:pPr>
              <w:jc w:val="right"/>
            </w:pPr>
            <w:r>
              <w:rPr>
                <w:rFonts w:ascii="Arial" w:hAnsi="Arial"/>
                <w:sz w:val="18"/>
              </w:rPr>
              <w:t>3.36</w:t>
            </w:r>
          </w:p>
        </w:tc>
        <w:tc>
          <w:tcPr>
            <w:tcW w:w="1003" w:type="dxa"/>
            <w:shd w:val="clear" w:color="auto" w:fill="F2F6FC"/>
          </w:tcPr>
          <w:p w14:paraId="4D33F221" w14:textId="77777777" w:rsidR="00535AD5" w:rsidRDefault="000F4CA5">
            <w:pPr>
              <w:jc w:val="right"/>
            </w:pPr>
            <w:r>
              <w:rPr>
                <w:rFonts w:ascii="Arial" w:hAnsi="Arial"/>
                <w:sz w:val="18"/>
              </w:rPr>
              <w:t>5.58%</w:t>
            </w:r>
          </w:p>
        </w:tc>
        <w:tc>
          <w:tcPr>
            <w:tcW w:w="1003" w:type="dxa"/>
            <w:shd w:val="clear" w:color="auto" w:fill="F2F6FC"/>
          </w:tcPr>
          <w:p w14:paraId="5CDCC3EA" w14:textId="77777777" w:rsidR="00535AD5" w:rsidRDefault="000F4CA5">
            <w:pPr>
              <w:jc w:val="right"/>
            </w:pPr>
            <w:r>
              <w:rPr>
                <w:rFonts w:ascii="Arial" w:hAnsi="Arial"/>
                <w:sz w:val="18"/>
              </w:rPr>
              <w:t>7.8881</w:t>
            </w:r>
          </w:p>
        </w:tc>
      </w:tr>
      <w:tr w:rsidR="00535AD5" w14:paraId="12DD7592" w14:textId="77777777">
        <w:trPr>
          <w:jc w:val="center"/>
        </w:trPr>
        <w:tc>
          <w:tcPr>
            <w:tcW w:w="1003" w:type="dxa"/>
          </w:tcPr>
          <w:p w14:paraId="7A3E97C5" w14:textId="77777777" w:rsidR="00535AD5" w:rsidRDefault="000F4CA5">
            <w:pPr>
              <w:jc w:val="right"/>
            </w:pPr>
            <w:r>
              <w:rPr>
                <w:rFonts w:ascii="Arial" w:hAnsi="Arial"/>
                <w:sz w:val="18"/>
              </w:rPr>
              <w:t>5</w:t>
            </w:r>
          </w:p>
        </w:tc>
        <w:tc>
          <w:tcPr>
            <w:tcW w:w="1003" w:type="dxa"/>
          </w:tcPr>
          <w:p w14:paraId="4E514EDC" w14:textId="77777777" w:rsidR="00535AD5" w:rsidRDefault="000F4CA5">
            <w:r>
              <w:rPr>
                <w:rFonts w:ascii="Arial" w:hAnsi="Arial"/>
                <w:sz w:val="18"/>
              </w:rPr>
              <w:t>Manufacturing - Food &amp; Beverage</w:t>
            </w:r>
          </w:p>
        </w:tc>
        <w:tc>
          <w:tcPr>
            <w:tcW w:w="1003" w:type="dxa"/>
          </w:tcPr>
          <w:p w14:paraId="204B3626" w14:textId="77777777" w:rsidR="00535AD5" w:rsidRDefault="000F4CA5">
            <w:pPr>
              <w:jc w:val="right"/>
            </w:pPr>
            <w:r>
              <w:rPr>
                <w:rFonts w:ascii="Arial" w:hAnsi="Arial"/>
                <w:sz w:val="18"/>
              </w:rPr>
              <w:t>206</w:t>
            </w:r>
          </w:p>
        </w:tc>
        <w:tc>
          <w:tcPr>
            <w:tcW w:w="1003" w:type="dxa"/>
          </w:tcPr>
          <w:p w14:paraId="00691CAF" w14:textId="77777777" w:rsidR="00535AD5" w:rsidRDefault="000F4CA5">
            <w:pPr>
              <w:jc w:val="right"/>
            </w:pPr>
            <w:r>
              <w:rPr>
                <w:rFonts w:ascii="Arial" w:hAnsi="Arial"/>
                <w:sz w:val="18"/>
              </w:rPr>
              <w:t>169.139082</w:t>
            </w:r>
          </w:p>
        </w:tc>
        <w:tc>
          <w:tcPr>
            <w:tcW w:w="1003" w:type="dxa"/>
          </w:tcPr>
          <w:p w14:paraId="5B7E26FC" w14:textId="77777777" w:rsidR="00535AD5" w:rsidRDefault="000F4CA5">
            <w:pPr>
              <w:jc w:val="right"/>
            </w:pPr>
            <w:r>
              <w:rPr>
                <w:rFonts w:ascii="Arial" w:hAnsi="Arial"/>
                <w:sz w:val="18"/>
              </w:rPr>
              <w:t>936,111.21</w:t>
            </w:r>
          </w:p>
        </w:tc>
        <w:tc>
          <w:tcPr>
            <w:tcW w:w="1003" w:type="dxa"/>
          </w:tcPr>
          <w:p w14:paraId="11AA8158" w14:textId="77777777" w:rsidR="00535AD5" w:rsidRDefault="000F4CA5">
            <w:pPr>
              <w:jc w:val="right"/>
            </w:pPr>
            <w:r>
              <w:rPr>
                <w:rFonts w:ascii="Arial" w:hAnsi="Arial"/>
                <w:sz w:val="18"/>
              </w:rPr>
              <w:t>653,413.56</w:t>
            </w:r>
          </w:p>
        </w:tc>
        <w:tc>
          <w:tcPr>
            <w:tcW w:w="1003" w:type="dxa"/>
          </w:tcPr>
          <w:p w14:paraId="5530CF21" w14:textId="77777777" w:rsidR="00535AD5" w:rsidRDefault="000F4CA5">
            <w:pPr>
              <w:jc w:val="right"/>
            </w:pPr>
            <w:r>
              <w:rPr>
                <w:rFonts w:ascii="Arial" w:hAnsi="Arial"/>
                <w:sz w:val="18"/>
              </w:rPr>
              <w:t>3.35</w:t>
            </w:r>
          </w:p>
        </w:tc>
        <w:tc>
          <w:tcPr>
            <w:tcW w:w="1003" w:type="dxa"/>
          </w:tcPr>
          <w:p w14:paraId="4C870DBD" w14:textId="77777777" w:rsidR="00535AD5" w:rsidRDefault="000F4CA5">
            <w:pPr>
              <w:jc w:val="right"/>
            </w:pPr>
            <w:r>
              <w:rPr>
                <w:rFonts w:ascii="Arial" w:hAnsi="Arial"/>
                <w:sz w:val="18"/>
              </w:rPr>
              <w:t>4.26%</w:t>
            </w:r>
          </w:p>
        </w:tc>
        <w:tc>
          <w:tcPr>
            <w:tcW w:w="1003" w:type="dxa"/>
          </w:tcPr>
          <w:p w14:paraId="7426E2F3" w14:textId="77777777" w:rsidR="00535AD5" w:rsidRDefault="000F4CA5">
            <w:pPr>
              <w:jc w:val="right"/>
            </w:pPr>
            <w:r>
              <w:rPr>
                <w:rFonts w:ascii="Arial" w:hAnsi="Arial"/>
                <w:sz w:val="18"/>
              </w:rPr>
              <w:t>5.5346</w:t>
            </w:r>
          </w:p>
        </w:tc>
      </w:tr>
      <w:tr w:rsidR="00535AD5" w14:paraId="1A944059" w14:textId="77777777">
        <w:trPr>
          <w:jc w:val="center"/>
        </w:trPr>
        <w:tc>
          <w:tcPr>
            <w:tcW w:w="1003" w:type="dxa"/>
            <w:shd w:val="clear" w:color="auto" w:fill="F2F6FC"/>
          </w:tcPr>
          <w:p w14:paraId="54F42E17" w14:textId="77777777" w:rsidR="00535AD5" w:rsidRDefault="00535AD5"/>
        </w:tc>
        <w:tc>
          <w:tcPr>
            <w:tcW w:w="1003" w:type="dxa"/>
            <w:shd w:val="clear" w:color="auto" w:fill="F2F6FC"/>
          </w:tcPr>
          <w:p w14:paraId="36991035" w14:textId="77777777" w:rsidR="00535AD5" w:rsidRDefault="000F4CA5">
            <w:r>
              <w:rPr>
                <w:rFonts w:ascii="Arial" w:hAnsi="Arial"/>
                <w:sz w:val="18"/>
              </w:rPr>
              <w:t>**Total (Top 5)**</w:t>
            </w:r>
          </w:p>
        </w:tc>
        <w:tc>
          <w:tcPr>
            <w:tcW w:w="1003" w:type="dxa"/>
            <w:shd w:val="clear" w:color="auto" w:fill="F2F6FC"/>
          </w:tcPr>
          <w:p w14:paraId="290F91A7" w14:textId="77777777" w:rsidR="00535AD5" w:rsidRDefault="000F4CA5">
            <w:r>
              <w:rPr>
                <w:rFonts w:ascii="Arial" w:hAnsi="Arial"/>
                <w:sz w:val="18"/>
              </w:rPr>
              <w:t>**813**</w:t>
            </w:r>
          </w:p>
        </w:tc>
        <w:tc>
          <w:tcPr>
            <w:tcW w:w="1003" w:type="dxa"/>
            <w:shd w:val="clear" w:color="auto" w:fill="F2F6FC"/>
          </w:tcPr>
          <w:p w14:paraId="555389AF" w14:textId="77777777" w:rsidR="00535AD5" w:rsidRDefault="000F4CA5">
            <w:r>
              <w:rPr>
                <w:rFonts w:ascii="Arial" w:hAnsi="Arial"/>
                <w:sz w:val="18"/>
              </w:rPr>
              <w:t>**643.660165**</w:t>
            </w:r>
          </w:p>
        </w:tc>
        <w:tc>
          <w:tcPr>
            <w:tcW w:w="1003" w:type="dxa"/>
            <w:shd w:val="clear" w:color="auto" w:fill="F2F6FC"/>
          </w:tcPr>
          <w:p w14:paraId="00D5EC80" w14:textId="77777777" w:rsidR="00535AD5" w:rsidRDefault="000F4CA5">
            <w:r>
              <w:rPr>
                <w:rFonts w:ascii="Arial" w:hAnsi="Arial"/>
                <w:sz w:val="18"/>
              </w:rPr>
              <w:t>**21,049,569.01**</w:t>
            </w:r>
          </w:p>
        </w:tc>
        <w:tc>
          <w:tcPr>
            <w:tcW w:w="1003" w:type="dxa"/>
            <w:shd w:val="clear" w:color="auto" w:fill="F2F6FC"/>
          </w:tcPr>
          <w:p w14:paraId="29DE8986" w14:textId="77777777" w:rsidR="00535AD5" w:rsidRDefault="000F4CA5">
            <w:r>
              <w:rPr>
                <w:rFonts w:ascii="Arial" w:hAnsi="Arial"/>
                <w:sz w:val="18"/>
              </w:rPr>
              <w:t>**14,668,516.58**</w:t>
            </w:r>
          </w:p>
        </w:tc>
        <w:tc>
          <w:tcPr>
            <w:tcW w:w="1003" w:type="dxa"/>
            <w:shd w:val="clear" w:color="auto" w:fill="F2F6FC"/>
          </w:tcPr>
          <w:p w14:paraId="594E94CC" w14:textId="77777777" w:rsidR="00535AD5" w:rsidRDefault="000F4CA5">
            <w:r>
              <w:rPr>
                <w:rFonts w:ascii="Arial" w:hAnsi="Arial"/>
                <w:sz w:val="18"/>
              </w:rPr>
              <w:t>**3.36**</w:t>
            </w:r>
          </w:p>
        </w:tc>
        <w:tc>
          <w:tcPr>
            <w:tcW w:w="1003" w:type="dxa"/>
            <w:shd w:val="clear" w:color="auto" w:fill="F2F6FC"/>
          </w:tcPr>
          <w:p w14:paraId="36AF4784" w14:textId="77777777" w:rsidR="00535AD5" w:rsidRDefault="000F4CA5">
            <w:r>
              <w:rPr>
                <w:rFonts w:ascii="Arial" w:hAnsi="Arial"/>
                <w:sz w:val="18"/>
              </w:rPr>
              <w:t>**95.77%**</w:t>
            </w:r>
          </w:p>
        </w:tc>
        <w:tc>
          <w:tcPr>
            <w:tcW w:w="1003" w:type="dxa"/>
            <w:shd w:val="clear" w:color="auto" w:fill="F2F6FC"/>
          </w:tcPr>
          <w:p w14:paraId="7D57563C" w14:textId="77777777" w:rsidR="00535AD5" w:rsidRDefault="000F4CA5">
            <w:r>
              <w:rPr>
                <w:rFonts w:ascii="Arial" w:hAnsi="Arial"/>
                <w:sz w:val="18"/>
              </w:rPr>
              <w:t>**—**</w:t>
            </w:r>
          </w:p>
        </w:tc>
      </w:tr>
      <w:tr w:rsidR="00535AD5" w14:paraId="2482B50A" w14:textId="77777777">
        <w:trPr>
          <w:jc w:val="center"/>
        </w:trPr>
        <w:tc>
          <w:tcPr>
            <w:tcW w:w="1003" w:type="dxa"/>
          </w:tcPr>
          <w:p w14:paraId="4475563F" w14:textId="77777777" w:rsidR="00535AD5" w:rsidRDefault="00535AD5"/>
        </w:tc>
        <w:tc>
          <w:tcPr>
            <w:tcW w:w="1003" w:type="dxa"/>
          </w:tcPr>
          <w:p w14:paraId="647A8667" w14:textId="77777777" w:rsidR="00535AD5" w:rsidRDefault="000F4CA5">
            <w:r>
              <w:rPr>
                <w:rFonts w:ascii="Arial" w:hAnsi="Arial"/>
                <w:sz w:val="18"/>
              </w:rPr>
              <w:t>**Total Portfolio**</w:t>
            </w:r>
          </w:p>
        </w:tc>
        <w:tc>
          <w:tcPr>
            <w:tcW w:w="1003" w:type="dxa"/>
          </w:tcPr>
          <w:p w14:paraId="4B82FD40" w14:textId="77777777" w:rsidR="00535AD5" w:rsidRDefault="000F4CA5">
            <w:r>
              <w:rPr>
                <w:rFonts w:ascii="Arial" w:hAnsi="Arial"/>
                <w:sz w:val="18"/>
              </w:rPr>
              <w:t>**1,955**</w:t>
            </w:r>
          </w:p>
        </w:tc>
        <w:tc>
          <w:tcPr>
            <w:tcW w:w="1003" w:type="dxa"/>
          </w:tcPr>
          <w:p w14:paraId="7B3A664D" w14:textId="77777777" w:rsidR="00535AD5" w:rsidRDefault="000F4CA5">
            <w:r>
              <w:rPr>
                <w:rFonts w:ascii="Arial" w:hAnsi="Arial"/>
                <w:sz w:val="18"/>
              </w:rPr>
              <w:t>**1,541.781804**</w:t>
            </w:r>
          </w:p>
        </w:tc>
        <w:tc>
          <w:tcPr>
            <w:tcW w:w="1003" w:type="dxa"/>
          </w:tcPr>
          <w:p w14:paraId="0A7380F3" w14:textId="77777777" w:rsidR="00535AD5" w:rsidRDefault="000F4CA5">
            <w:r>
              <w:rPr>
                <w:rFonts w:ascii="Arial" w:hAnsi="Arial"/>
                <w:sz w:val="18"/>
              </w:rPr>
              <w:t>**21,976,797.3**</w:t>
            </w:r>
          </w:p>
        </w:tc>
        <w:tc>
          <w:tcPr>
            <w:tcW w:w="1003" w:type="dxa"/>
          </w:tcPr>
          <w:p w14:paraId="0C26B030" w14:textId="77777777" w:rsidR="00535AD5" w:rsidRDefault="000F4CA5">
            <w:r>
              <w:rPr>
                <w:rFonts w:ascii="Arial" w:hAnsi="Arial"/>
                <w:sz w:val="18"/>
              </w:rPr>
              <w:t>**15,280,174.14**</w:t>
            </w:r>
          </w:p>
        </w:tc>
        <w:tc>
          <w:tcPr>
            <w:tcW w:w="1003" w:type="dxa"/>
          </w:tcPr>
          <w:p w14:paraId="4341E6F9" w14:textId="77777777" w:rsidR="00535AD5" w:rsidRDefault="000F4CA5">
            <w:r>
              <w:rPr>
                <w:rFonts w:ascii="Arial" w:hAnsi="Arial"/>
                <w:sz w:val="18"/>
              </w:rPr>
              <w:t>**3.36**</w:t>
            </w:r>
          </w:p>
        </w:tc>
        <w:tc>
          <w:tcPr>
            <w:tcW w:w="1003" w:type="dxa"/>
          </w:tcPr>
          <w:p w14:paraId="5246A783" w14:textId="77777777" w:rsidR="00535AD5" w:rsidRDefault="000F4CA5">
            <w:r>
              <w:rPr>
                <w:rFonts w:ascii="Arial" w:hAnsi="Arial"/>
                <w:sz w:val="18"/>
              </w:rPr>
              <w:t>**100.00%**</w:t>
            </w:r>
          </w:p>
        </w:tc>
        <w:tc>
          <w:tcPr>
            <w:tcW w:w="1003" w:type="dxa"/>
          </w:tcPr>
          <w:p w14:paraId="7B952A3F" w14:textId="77777777" w:rsidR="00535AD5" w:rsidRDefault="000F4CA5">
            <w:r>
              <w:rPr>
                <w:rFonts w:ascii="Arial" w:hAnsi="Arial"/>
                <w:sz w:val="18"/>
              </w:rPr>
              <w:t>**239.400139**</w:t>
            </w:r>
          </w:p>
        </w:tc>
      </w:tr>
    </w:tbl>
    <w:p w14:paraId="456807BD" w14:textId="77777777" w:rsidR="00535AD5" w:rsidRDefault="000F4CA5">
      <w:r>
        <w:rPr>
          <w:rFonts w:ascii="Arial" w:hAnsi="Arial"/>
          <w:i/>
          <w:sz w:val="16"/>
        </w:rPr>
        <w:t>Source: Sumber: Sistem Manajemen Risiko Iklim GENERIC_FI_001, Tahun Pelaporan 2024. Emisi dihitung menggunakan PCAF Global GHG Accounting Standard (2022). Skor kualitas data: 1 (terverifikasi) hingga 5 (rata-rata sektor). Emisi tertimbang menerapkan faktor kepercayaan PCAF untuk mencerminkan ketidakpastian estimasi.</w:t>
      </w:r>
    </w:p>
    <w:p w14:paraId="42FDC5F6" w14:textId="77777777" w:rsidR="00535AD5" w:rsidRDefault="00535AD5"/>
    <w:p w14:paraId="1CA04237" w14:textId="77777777" w:rsidR="00535AD5" w:rsidRDefault="000F4CA5">
      <w:r>
        <w:rPr>
          <w:rFonts w:ascii="Arial" w:hAnsi="Arial"/>
          <w:b/>
          <w:sz w:val="20"/>
        </w:rPr>
        <w:t>Tabel 2: Distribusi Kualitas Data PCAF Berdasarkan Tier</w:t>
      </w:r>
    </w:p>
    <w:tbl>
      <w:tblPr>
        <w:tblW w:w="0" w:type="auto"/>
        <w:jc w:val="center"/>
        <w:tblLook w:val="04A0" w:firstRow="1" w:lastRow="0" w:firstColumn="1" w:lastColumn="0" w:noHBand="0" w:noVBand="1"/>
      </w:tblPr>
      <w:tblGrid>
        <w:gridCol w:w="502"/>
        <w:gridCol w:w="890"/>
        <w:gridCol w:w="1256"/>
        <w:gridCol w:w="1325"/>
        <w:gridCol w:w="1058"/>
        <w:gridCol w:w="1583"/>
        <w:gridCol w:w="1097"/>
        <w:gridCol w:w="1534"/>
      </w:tblGrid>
      <w:tr w:rsidR="00535AD5" w14:paraId="6C0C04D3" w14:textId="77777777">
        <w:trPr>
          <w:jc w:val="center"/>
        </w:trPr>
        <w:tc>
          <w:tcPr>
            <w:tcW w:w="1129" w:type="dxa"/>
            <w:shd w:val="clear" w:color="auto" w:fill="1B3A6B"/>
          </w:tcPr>
          <w:p w14:paraId="4B18F545" w14:textId="77777777" w:rsidR="00535AD5" w:rsidRDefault="000F4CA5">
            <w:r>
              <w:rPr>
                <w:rFonts w:ascii="Arial" w:hAnsi="Arial"/>
                <w:b/>
                <w:color w:val="FFFFFF"/>
                <w:sz w:val="18"/>
              </w:rPr>
              <w:t>No.</w:t>
            </w:r>
          </w:p>
        </w:tc>
        <w:tc>
          <w:tcPr>
            <w:tcW w:w="1129" w:type="dxa"/>
            <w:shd w:val="clear" w:color="auto" w:fill="1B3A6B"/>
          </w:tcPr>
          <w:p w14:paraId="1786483D" w14:textId="77777777" w:rsidR="00535AD5" w:rsidRDefault="000F4CA5">
            <w:r>
              <w:rPr>
                <w:rFonts w:ascii="Arial" w:hAnsi="Arial"/>
                <w:b/>
                <w:color w:val="FFFFFF"/>
                <w:sz w:val="18"/>
              </w:rPr>
              <w:t>Tier PCAF</w:t>
            </w:r>
          </w:p>
        </w:tc>
        <w:tc>
          <w:tcPr>
            <w:tcW w:w="1129" w:type="dxa"/>
            <w:shd w:val="clear" w:color="auto" w:fill="1B3A6B"/>
          </w:tcPr>
          <w:p w14:paraId="158DFC6B" w14:textId="77777777" w:rsidR="00535AD5" w:rsidRDefault="000F4CA5">
            <w:r>
              <w:rPr>
                <w:rFonts w:ascii="Arial" w:hAnsi="Arial"/>
                <w:b/>
                <w:color w:val="FFFFFF"/>
                <w:sz w:val="18"/>
              </w:rPr>
              <w:t>Deskripsi</w:t>
            </w:r>
          </w:p>
        </w:tc>
        <w:tc>
          <w:tcPr>
            <w:tcW w:w="1129" w:type="dxa"/>
            <w:shd w:val="clear" w:color="auto" w:fill="1B3A6B"/>
          </w:tcPr>
          <w:p w14:paraId="03194774" w14:textId="77777777" w:rsidR="00535AD5" w:rsidRDefault="000F4CA5">
            <w:r>
              <w:rPr>
                <w:rFonts w:ascii="Arial" w:hAnsi="Arial"/>
                <w:b/>
                <w:color w:val="FFFFFF"/>
                <w:sz w:val="18"/>
              </w:rPr>
              <w:t>Faktor Kepercayaan</w:t>
            </w:r>
          </w:p>
        </w:tc>
        <w:tc>
          <w:tcPr>
            <w:tcW w:w="1129" w:type="dxa"/>
            <w:shd w:val="clear" w:color="auto" w:fill="1B3A6B"/>
          </w:tcPr>
          <w:p w14:paraId="7BD6D18D" w14:textId="77777777" w:rsidR="00535AD5" w:rsidRDefault="000F4CA5">
            <w:r>
              <w:rPr>
                <w:rFonts w:ascii="Arial" w:hAnsi="Arial"/>
                <w:b/>
                <w:color w:val="FFFFFF"/>
                <w:sz w:val="18"/>
              </w:rPr>
              <w:t>Jumlah Peminjam</w:t>
            </w:r>
          </w:p>
        </w:tc>
        <w:tc>
          <w:tcPr>
            <w:tcW w:w="1129" w:type="dxa"/>
            <w:shd w:val="clear" w:color="auto" w:fill="1B3A6B"/>
          </w:tcPr>
          <w:p w14:paraId="7B321910" w14:textId="77777777" w:rsidR="00535AD5" w:rsidRDefault="000F4CA5">
            <w:r>
              <w:rPr>
                <w:rFonts w:ascii="Arial" w:hAnsi="Arial"/>
                <w:b/>
                <w:color w:val="FFFFFF"/>
                <w:sz w:val="18"/>
              </w:rPr>
              <w:t>Outstanding (IDR Triliun)</w:t>
            </w:r>
          </w:p>
        </w:tc>
        <w:tc>
          <w:tcPr>
            <w:tcW w:w="1129" w:type="dxa"/>
            <w:shd w:val="clear" w:color="auto" w:fill="1B3A6B"/>
          </w:tcPr>
          <w:p w14:paraId="4BF881E8" w14:textId="77777777" w:rsidR="00535AD5" w:rsidRDefault="000F4CA5">
            <w:r>
              <w:rPr>
                <w:rFonts w:ascii="Arial" w:hAnsi="Arial"/>
                <w:b/>
                <w:color w:val="FFFFFF"/>
                <w:sz w:val="18"/>
              </w:rPr>
              <w:t>% Cakupan Portfolio</w:t>
            </w:r>
          </w:p>
        </w:tc>
        <w:tc>
          <w:tcPr>
            <w:tcW w:w="1129" w:type="dxa"/>
            <w:shd w:val="clear" w:color="auto" w:fill="1B3A6B"/>
          </w:tcPr>
          <w:p w14:paraId="179C8E4E" w14:textId="77777777" w:rsidR="00535AD5" w:rsidRDefault="000F4CA5">
            <w:r>
              <w:rPr>
                <w:rFonts w:ascii="Arial" w:hAnsi="Arial"/>
                <w:b/>
                <w:color w:val="FFFFFF"/>
                <w:sz w:val="18"/>
              </w:rPr>
              <w:t>Emisi Bruto (tCO2e)</w:t>
            </w:r>
          </w:p>
        </w:tc>
      </w:tr>
      <w:tr w:rsidR="00535AD5" w14:paraId="5680E60C" w14:textId="77777777">
        <w:trPr>
          <w:jc w:val="center"/>
        </w:trPr>
        <w:tc>
          <w:tcPr>
            <w:tcW w:w="1129" w:type="dxa"/>
          </w:tcPr>
          <w:p w14:paraId="2421FF3A" w14:textId="77777777" w:rsidR="00535AD5" w:rsidRDefault="000F4CA5">
            <w:pPr>
              <w:jc w:val="right"/>
            </w:pPr>
            <w:r>
              <w:rPr>
                <w:rFonts w:ascii="Arial" w:hAnsi="Arial"/>
                <w:sz w:val="18"/>
              </w:rPr>
              <w:t>1</w:t>
            </w:r>
          </w:p>
        </w:tc>
        <w:tc>
          <w:tcPr>
            <w:tcW w:w="1129" w:type="dxa"/>
          </w:tcPr>
          <w:p w14:paraId="47490F30" w14:textId="77777777" w:rsidR="00535AD5" w:rsidRDefault="000F4CA5">
            <w:r>
              <w:rPr>
                <w:rFonts w:ascii="Arial" w:hAnsi="Arial"/>
                <w:sz w:val="18"/>
              </w:rPr>
              <w:t>Tier 1</w:t>
            </w:r>
          </w:p>
        </w:tc>
        <w:tc>
          <w:tcPr>
            <w:tcW w:w="1129" w:type="dxa"/>
          </w:tcPr>
          <w:p w14:paraId="58D88A57" w14:textId="77777777" w:rsidR="00535AD5" w:rsidRDefault="000F4CA5">
            <w:r>
              <w:rPr>
                <w:rFonts w:ascii="Arial" w:hAnsi="Arial"/>
                <w:sz w:val="18"/>
              </w:rPr>
              <w:t>Terverifikasi (CDP/setara)</w:t>
            </w:r>
          </w:p>
        </w:tc>
        <w:tc>
          <w:tcPr>
            <w:tcW w:w="1129" w:type="dxa"/>
          </w:tcPr>
          <w:p w14:paraId="064006A6" w14:textId="77777777" w:rsidR="00535AD5" w:rsidRDefault="000F4CA5">
            <w:pPr>
              <w:jc w:val="right"/>
            </w:pPr>
            <w:r>
              <w:rPr>
                <w:rFonts w:ascii="Arial" w:hAnsi="Arial"/>
                <w:sz w:val="18"/>
              </w:rPr>
              <w:t>1.00</w:t>
            </w:r>
          </w:p>
        </w:tc>
        <w:tc>
          <w:tcPr>
            <w:tcW w:w="1129" w:type="dxa"/>
          </w:tcPr>
          <w:p w14:paraId="614BB604" w14:textId="77777777" w:rsidR="00535AD5" w:rsidRDefault="000F4CA5">
            <w:pPr>
              <w:jc w:val="right"/>
            </w:pPr>
            <w:r>
              <w:rPr>
                <w:rFonts w:ascii="Arial" w:hAnsi="Arial"/>
                <w:sz w:val="18"/>
              </w:rPr>
              <w:t>0</w:t>
            </w:r>
          </w:p>
        </w:tc>
        <w:tc>
          <w:tcPr>
            <w:tcW w:w="1129" w:type="dxa"/>
          </w:tcPr>
          <w:p w14:paraId="30929BA2" w14:textId="77777777" w:rsidR="00535AD5" w:rsidRDefault="000F4CA5">
            <w:pPr>
              <w:jc w:val="right"/>
            </w:pPr>
            <w:r>
              <w:rPr>
                <w:rFonts w:ascii="Arial" w:hAnsi="Arial"/>
                <w:sz w:val="18"/>
              </w:rPr>
              <w:t>0.0</w:t>
            </w:r>
          </w:p>
        </w:tc>
        <w:tc>
          <w:tcPr>
            <w:tcW w:w="1129" w:type="dxa"/>
          </w:tcPr>
          <w:p w14:paraId="03696A13" w14:textId="77777777" w:rsidR="00535AD5" w:rsidRDefault="000F4CA5">
            <w:pPr>
              <w:jc w:val="right"/>
            </w:pPr>
            <w:r>
              <w:rPr>
                <w:rFonts w:ascii="Arial" w:hAnsi="Arial"/>
                <w:sz w:val="18"/>
              </w:rPr>
              <w:t>0.0%</w:t>
            </w:r>
          </w:p>
        </w:tc>
        <w:tc>
          <w:tcPr>
            <w:tcW w:w="1129" w:type="dxa"/>
          </w:tcPr>
          <w:p w14:paraId="7E1714AB" w14:textId="77777777" w:rsidR="00535AD5" w:rsidRDefault="000F4CA5">
            <w:pPr>
              <w:jc w:val="right"/>
            </w:pPr>
            <w:r>
              <w:rPr>
                <w:rFonts w:ascii="Arial" w:hAnsi="Arial"/>
                <w:sz w:val="18"/>
              </w:rPr>
              <w:t>0.0</w:t>
            </w:r>
          </w:p>
        </w:tc>
      </w:tr>
      <w:tr w:rsidR="00535AD5" w14:paraId="41761784" w14:textId="77777777">
        <w:trPr>
          <w:jc w:val="center"/>
        </w:trPr>
        <w:tc>
          <w:tcPr>
            <w:tcW w:w="1129" w:type="dxa"/>
            <w:shd w:val="clear" w:color="auto" w:fill="F2F6FC"/>
          </w:tcPr>
          <w:p w14:paraId="2A063300" w14:textId="77777777" w:rsidR="00535AD5" w:rsidRDefault="000F4CA5">
            <w:pPr>
              <w:jc w:val="right"/>
            </w:pPr>
            <w:r>
              <w:rPr>
                <w:rFonts w:ascii="Arial" w:hAnsi="Arial"/>
                <w:sz w:val="18"/>
              </w:rPr>
              <w:t>2</w:t>
            </w:r>
          </w:p>
        </w:tc>
        <w:tc>
          <w:tcPr>
            <w:tcW w:w="1129" w:type="dxa"/>
            <w:shd w:val="clear" w:color="auto" w:fill="F2F6FC"/>
          </w:tcPr>
          <w:p w14:paraId="4ADF5C45" w14:textId="77777777" w:rsidR="00535AD5" w:rsidRDefault="000F4CA5">
            <w:r>
              <w:rPr>
                <w:rFonts w:ascii="Arial" w:hAnsi="Arial"/>
                <w:sz w:val="18"/>
              </w:rPr>
              <w:t>Tier 2</w:t>
            </w:r>
          </w:p>
        </w:tc>
        <w:tc>
          <w:tcPr>
            <w:tcW w:w="1129" w:type="dxa"/>
            <w:shd w:val="clear" w:color="auto" w:fill="F2F6FC"/>
          </w:tcPr>
          <w:p w14:paraId="75E391AA" w14:textId="77777777" w:rsidR="00535AD5" w:rsidRDefault="000F4CA5">
            <w:r>
              <w:rPr>
                <w:rFonts w:ascii="Arial" w:hAnsi="Arial"/>
                <w:sz w:val="18"/>
              </w:rPr>
              <w:t>Dilaporkan, tidak terverifikasi</w:t>
            </w:r>
          </w:p>
        </w:tc>
        <w:tc>
          <w:tcPr>
            <w:tcW w:w="1129" w:type="dxa"/>
            <w:shd w:val="clear" w:color="auto" w:fill="F2F6FC"/>
          </w:tcPr>
          <w:p w14:paraId="3658155A" w14:textId="77777777" w:rsidR="00535AD5" w:rsidRDefault="000F4CA5">
            <w:pPr>
              <w:jc w:val="right"/>
            </w:pPr>
            <w:r>
              <w:rPr>
                <w:rFonts w:ascii="Arial" w:hAnsi="Arial"/>
                <w:sz w:val="18"/>
              </w:rPr>
              <w:t>0.90</w:t>
            </w:r>
          </w:p>
        </w:tc>
        <w:tc>
          <w:tcPr>
            <w:tcW w:w="1129" w:type="dxa"/>
            <w:shd w:val="clear" w:color="auto" w:fill="F2F6FC"/>
          </w:tcPr>
          <w:p w14:paraId="6C37FB6E" w14:textId="77777777" w:rsidR="00535AD5" w:rsidRDefault="000F4CA5">
            <w:pPr>
              <w:jc w:val="right"/>
            </w:pPr>
            <w:r>
              <w:rPr>
                <w:rFonts w:ascii="Arial" w:hAnsi="Arial"/>
                <w:sz w:val="18"/>
              </w:rPr>
              <w:t>47</w:t>
            </w:r>
          </w:p>
        </w:tc>
        <w:tc>
          <w:tcPr>
            <w:tcW w:w="1129" w:type="dxa"/>
            <w:shd w:val="clear" w:color="auto" w:fill="F2F6FC"/>
          </w:tcPr>
          <w:p w14:paraId="3AB58DB8" w14:textId="77777777" w:rsidR="00535AD5" w:rsidRDefault="000F4CA5">
            <w:pPr>
              <w:jc w:val="right"/>
            </w:pPr>
            <w:r>
              <w:rPr>
                <w:rFonts w:ascii="Arial" w:hAnsi="Arial"/>
                <w:sz w:val="18"/>
              </w:rPr>
              <w:t>282.145</w:t>
            </w:r>
          </w:p>
        </w:tc>
        <w:tc>
          <w:tcPr>
            <w:tcW w:w="1129" w:type="dxa"/>
            <w:shd w:val="clear" w:color="auto" w:fill="F2F6FC"/>
          </w:tcPr>
          <w:p w14:paraId="620A8EE7" w14:textId="77777777" w:rsidR="00535AD5" w:rsidRDefault="000F4CA5">
            <w:pPr>
              <w:jc w:val="right"/>
            </w:pPr>
            <w:r>
              <w:rPr>
                <w:rFonts w:ascii="Arial" w:hAnsi="Arial"/>
                <w:sz w:val="18"/>
              </w:rPr>
              <w:t>18.3%</w:t>
            </w:r>
          </w:p>
        </w:tc>
        <w:tc>
          <w:tcPr>
            <w:tcW w:w="1129" w:type="dxa"/>
            <w:shd w:val="clear" w:color="auto" w:fill="F2F6FC"/>
          </w:tcPr>
          <w:p w14:paraId="4A192390" w14:textId="77777777" w:rsidR="00535AD5" w:rsidRDefault="000F4CA5">
            <w:pPr>
              <w:jc w:val="right"/>
            </w:pPr>
            <w:r>
              <w:rPr>
                <w:rFonts w:ascii="Arial" w:hAnsi="Arial"/>
                <w:sz w:val="18"/>
              </w:rPr>
              <w:t>4,021,347.8</w:t>
            </w:r>
          </w:p>
        </w:tc>
      </w:tr>
      <w:tr w:rsidR="00535AD5" w14:paraId="718D01EF" w14:textId="77777777">
        <w:trPr>
          <w:jc w:val="center"/>
        </w:trPr>
        <w:tc>
          <w:tcPr>
            <w:tcW w:w="1129" w:type="dxa"/>
          </w:tcPr>
          <w:p w14:paraId="6A70F260" w14:textId="77777777" w:rsidR="00535AD5" w:rsidRDefault="000F4CA5">
            <w:pPr>
              <w:jc w:val="right"/>
            </w:pPr>
            <w:r>
              <w:rPr>
                <w:rFonts w:ascii="Arial" w:hAnsi="Arial"/>
                <w:sz w:val="18"/>
              </w:rPr>
              <w:t>3</w:t>
            </w:r>
          </w:p>
        </w:tc>
        <w:tc>
          <w:tcPr>
            <w:tcW w:w="1129" w:type="dxa"/>
          </w:tcPr>
          <w:p w14:paraId="0A0F3B66" w14:textId="77777777" w:rsidR="00535AD5" w:rsidRDefault="000F4CA5">
            <w:r>
              <w:rPr>
                <w:rFonts w:ascii="Arial" w:hAnsi="Arial"/>
                <w:sz w:val="18"/>
              </w:rPr>
              <w:t>Tier 3</w:t>
            </w:r>
          </w:p>
        </w:tc>
        <w:tc>
          <w:tcPr>
            <w:tcW w:w="1129" w:type="dxa"/>
          </w:tcPr>
          <w:p w14:paraId="05666876" w14:textId="77777777" w:rsidR="00535AD5" w:rsidRDefault="000F4CA5">
            <w:r>
              <w:rPr>
                <w:rFonts w:ascii="Arial" w:hAnsi="Arial"/>
                <w:sz w:val="18"/>
              </w:rPr>
              <w:t>EEIO + pendapatan</w:t>
            </w:r>
          </w:p>
        </w:tc>
        <w:tc>
          <w:tcPr>
            <w:tcW w:w="1129" w:type="dxa"/>
          </w:tcPr>
          <w:p w14:paraId="44C23761" w14:textId="77777777" w:rsidR="00535AD5" w:rsidRDefault="000F4CA5">
            <w:pPr>
              <w:jc w:val="right"/>
            </w:pPr>
            <w:r>
              <w:rPr>
                <w:rFonts w:ascii="Arial" w:hAnsi="Arial"/>
                <w:sz w:val="18"/>
              </w:rPr>
              <w:t>0.75</w:t>
            </w:r>
          </w:p>
        </w:tc>
        <w:tc>
          <w:tcPr>
            <w:tcW w:w="1129" w:type="dxa"/>
          </w:tcPr>
          <w:p w14:paraId="69D36D23" w14:textId="77777777" w:rsidR="00535AD5" w:rsidRDefault="000F4CA5">
            <w:pPr>
              <w:jc w:val="right"/>
            </w:pPr>
            <w:r>
              <w:rPr>
                <w:rFonts w:ascii="Arial" w:hAnsi="Arial"/>
                <w:sz w:val="18"/>
              </w:rPr>
              <w:t>823</w:t>
            </w:r>
          </w:p>
        </w:tc>
        <w:tc>
          <w:tcPr>
            <w:tcW w:w="1129" w:type="dxa"/>
          </w:tcPr>
          <w:p w14:paraId="6F0EBCF1" w14:textId="77777777" w:rsidR="00535AD5" w:rsidRDefault="000F4CA5">
            <w:pPr>
              <w:jc w:val="right"/>
            </w:pPr>
            <w:r>
              <w:rPr>
                <w:rFonts w:ascii="Arial" w:hAnsi="Arial"/>
                <w:sz w:val="18"/>
              </w:rPr>
              <w:t>687.492</w:t>
            </w:r>
          </w:p>
        </w:tc>
        <w:tc>
          <w:tcPr>
            <w:tcW w:w="1129" w:type="dxa"/>
          </w:tcPr>
          <w:p w14:paraId="2373529A" w14:textId="77777777" w:rsidR="00535AD5" w:rsidRDefault="000F4CA5">
            <w:pPr>
              <w:jc w:val="right"/>
            </w:pPr>
            <w:r>
              <w:rPr>
                <w:rFonts w:ascii="Arial" w:hAnsi="Arial"/>
                <w:sz w:val="18"/>
              </w:rPr>
              <w:t>44.6%</w:t>
            </w:r>
          </w:p>
        </w:tc>
        <w:tc>
          <w:tcPr>
            <w:tcW w:w="1129" w:type="dxa"/>
          </w:tcPr>
          <w:p w14:paraId="1A34AAE6" w14:textId="77777777" w:rsidR="00535AD5" w:rsidRDefault="000F4CA5">
            <w:pPr>
              <w:jc w:val="right"/>
            </w:pPr>
            <w:r>
              <w:rPr>
                <w:rFonts w:ascii="Arial" w:hAnsi="Arial"/>
                <w:sz w:val="18"/>
              </w:rPr>
              <w:t>9,788,458.6</w:t>
            </w:r>
          </w:p>
        </w:tc>
      </w:tr>
      <w:tr w:rsidR="00535AD5" w14:paraId="70420E75" w14:textId="77777777">
        <w:trPr>
          <w:jc w:val="center"/>
        </w:trPr>
        <w:tc>
          <w:tcPr>
            <w:tcW w:w="1129" w:type="dxa"/>
            <w:shd w:val="clear" w:color="auto" w:fill="F2F6FC"/>
          </w:tcPr>
          <w:p w14:paraId="4990197F" w14:textId="77777777" w:rsidR="00535AD5" w:rsidRDefault="000F4CA5">
            <w:pPr>
              <w:jc w:val="right"/>
            </w:pPr>
            <w:r>
              <w:rPr>
                <w:rFonts w:ascii="Arial" w:hAnsi="Arial"/>
                <w:sz w:val="18"/>
              </w:rPr>
              <w:t>4</w:t>
            </w:r>
          </w:p>
        </w:tc>
        <w:tc>
          <w:tcPr>
            <w:tcW w:w="1129" w:type="dxa"/>
            <w:shd w:val="clear" w:color="auto" w:fill="F2F6FC"/>
          </w:tcPr>
          <w:p w14:paraId="382EF7BA" w14:textId="77777777" w:rsidR="00535AD5" w:rsidRDefault="000F4CA5">
            <w:r>
              <w:rPr>
                <w:rFonts w:ascii="Arial" w:hAnsi="Arial"/>
                <w:sz w:val="18"/>
              </w:rPr>
              <w:t>Tier 4</w:t>
            </w:r>
          </w:p>
        </w:tc>
        <w:tc>
          <w:tcPr>
            <w:tcW w:w="1129" w:type="dxa"/>
            <w:shd w:val="clear" w:color="auto" w:fill="F2F6FC"/>
          </w:tcPr>
          <w:p w14:paraId="7CE26532" w14:textId="77777777" w:rsidR="00535AD5" w:rsidRDefault="000F4CA5">
            <w:r>
              <w:rPr>
                <w:rFonts w:ascii="Arial" w:hAnsi="Arial"/>
                <w:sz w:val="18"/>
              </w:rPr>
              <w:t>EEIO + aset</w:t>
            </w:r>
          </w:p>
        </w:tc>
        <w:tc>
          <w:tcPr>
            <w:tcW w:w="1129" w:type="dxa"/>
            <w:shd w:val="clear" w:color="auto" w:fill="F2F6FC"/>
          </w:tcPr>
          <w:p w14:paraId="14512C13" w14:textId="77777777" w:rsidR="00535AD5" w:rsidRDefault="000F4CA5">
            <w:pPr>
              <w:jc w:val="right"/>
            </w:pPr>
            <w:r>
              <w:rPr>
                <w:rFonts w:ascii="Arial" w:hAnsi="Arial"/>
                <w:sz w:val="18"/>
              </w:rPr>
              <w:t>0.60</w:t>
            </w:r>
          </w:p>
        </w:tc>
        <w:tc>
          <w:tcPr>
            <w:tcW w:w="1129" w:type="dxa"/>
            <w:shd w:val="clear" w:color="auto" w:fill="F2F6FC"/>
          </w:tcPr>
          <w:p w14:paraId="09148097" w14:textId="77777777" w:rsidR="00535AD5" w:rsidRDefault="000F4CA5">
            <w:pPr>
              <w:jc w:val="right"/>
            </w:pPr>
            <w:r>
              <w:rPr>
                <w:rFonts w:ascii="Arial" w:hAnsi="Arial"/>
                <w:sz w:val="18"/>
              </w:rPr>
              <w:t>891</w:t>
            </w:r>
          </w:p>
        </w:tc>
        <w:tc>
          <w:tcPr>
            <w:tcW w:w="1129" w:type="dxa"/>
            <w:shd w:val="clear" w:color="auto" w:fill="F2F6FC"/>
          </w:tcPr>
          <w:p w14:paraId="7295D05B" w14:textId="77777777" w:rsidR="00535AD5" w:rsidRDefault="000F4CA5">
            <w:pPr>
              <w:jc w:val="right"/>
            </w:pPr>
            <w:r>
              <w:rPr>
                <w:rFonts w:ascii="Arial" w:hAnsi="Arial"/>
                <w:sz w:val="18"/>
              </w:rPr>
              <w:t>476.234</w:t>
            </w:r>
          </w:p>
        </w:tc>
        <w:tc>
          <w:tcPr>
            <w:tcW w:w="1129" w:type="dxa"/>
            <w:shd w:val="clear" w:color="auto" w:fill="F2F6FC"/>
          </w:tcPr>
          <w:p w14:paraId="78673967" w14:textId="77777777" w:rsidR="00535AD5" w:rsidRDefault="000F4CA5">
            <w:pPr>
              <w:jc w:val="right"/>
            </w:pPr>
            <w:r>
              <w:rPr>
                <w:rFonts w:ascii="Arial" w:hAnsi="Arial"/>
                <w:sz w:val="18"/>
              </w:rPr>
              <w:t>30.9%</w:t>
            </w:r>
          </w:p>
        </w:tc>
        <w:tc>
          <w:tcPr>
            <w:tcW w:w="1129" w:type="dxa"/>
            <w:shd w:val="clear" w:color="auto" w:fill="F2F6FC"/>
          </w:tcPr>
          <w:p w14:paraId="2B12187C" w14:textId="77777777" w:rsidR="00535AD5" w:rsidRDefault="000F4CA5">
            <w:pPr>
              <w:jc w:val="right"/>
            </w:pPr>
            <w:r>
              <w:rPr>
                <w:rFonts w:ascii="Arial" w:hAnsi="Arial"/>
                <w:sz w:val="18"/>
              </w:rPr>
              <w:t>6,344,771.2</w:t>
            </w:r>
          </w:p>
        </w:tc>
      </w:tr>
      <w:tr w:rsidR="00535AD5" w14:paraId="7C9CB687" w14:textId="77777777">
        <w:trPr>
          <w:jc w:val="center"/>
        </w:trPr>
        <w:tc>
          <w:tcPr>
            <w:tcW w:w="1129" w:type="dxa"/>
          </w:tcPr>
          <w:p w14:paraId="31318E4C" w14:textId="77777777" w:rsidR="00535AD5" w:rsidRDefault="000F4CA5">
            <w:pPr>
              <w:jc w:val="right"/>
            </w:pPr>
            <w:r>
              <w:rPr>
                <w:rFonts w:ascii="Arial" w:hAnsi="Arial"/>
                <w:sz w:val="18"/>
              </w:rPr>
              <w:lastRenderedPageBreak/>
              <w:t>5</w:t>
            </w:r>
          </w:p>
        </w:tc>
        <w:tc>
          <w:tcPr>
            <w:tcW w:w="1129" w:type="dxa"/>
          </w:tcPr>
          <w:p w14:paraId="552CD3BF" w14:textId="77777777" w:rsidR="00535AD5" w:rsidRDefault="000F4CA5">
            <w:r>
              <w:rPr>
                <w:rFonts w:ascii="Arial" w:hAnsi="Arial"/>
                <w:sz w:val="18"/>
              </w:rPr>
              <w:t>Tier 5</w:t>
            </w:r>
          </w:p>
        </w:tc>
        <w:tc>
          <w:tcPr>
            <w:tcW w:w="1129" w:type="dxa"/>
          </w:tcPr>
          <w:p w14:paraId="33C433EF" w14:textId="77777777" w:rsidR="00535AD5" w:rsidRDefault="000F4CA5">
            <w:r>
              <w:rPr>
                <w:rFonts w:ascii="Arial" w:hAnsi="Arial"/>
                <w:sz w:val="18"/>
              </w:rPr>
              <w:t>Rata-rata sektor</w:t>
            </w:r>
          </w:p>
        </w:tc>
        <w:tc>
          <w:tcPr>
            <w:tcW w:w="1129" w:type="dxa"/>
          </w:tcPr>
          <w:p w14:paraId="090920BC" w14:textId="77777777" w:rsidR="00535AD5" w:rsidRDefault="000F4CA5">
            <w:pPr>
              <w:jc w:val="right"/>
            </w:pPr>
            <w:r>
              <w:rPr>
                <w:rFonts w:ascii="Arial" w:hAnsi="Arial"/>
                <w:sz w:val="18"/>
              </w:rPr>
              <w:t>0.45</w:t>
            </w:r>
          </w:p>
        </w:tc>
        <w:tc>
          <w:tcPr>
            <w:tcW w:w="1129" w:type="dxa"/>
          </w:tcPr>
          <w:p w14:paraId="3E3975A8" w14:textId="77777777" w:rsidR="00535AD5" w:rsidRDefault="000F4CA5">
            <w:pPr>
              <w:jc w:val="right"/>
            </w:pPr>
            <w:r>
              <w:rPr>
                <w:rFonts w:ascii="Arial" w:hAnsi="Arial"/>
                <w:sz w:val="18"/>
              </w:rPr>
              <w:t>194</w:t>
            </w:r>
          </w:p>
        </w:tc>
        <w:tc>
          <w:tcPr>
            <w:tcW w:w="1129" w:type="dxa"/>
          </w:tcPr>
          <w:p w14:paraId="3D639210" w14:textId="77777777" w:rsidR="00535AD5" w:rsidRDefault="000F4CA5">
            <w:pPr>
              <w:jc w:val="right"/>
            </w:pPr>
            <w:r>
              <w:rPr>
                <w:rFonts w:ascii="Arial" w:hAnsi="Arial"/>
                <w:sz w:val="18"/>
              </w:rPr>
              <w:t>95.911</w:t>
            </w:r>
          </w:p>
        </w:tc>
        <w:tc>
          <w:tcPr>
            <w:tcW w:w="1129" w:type="dxa"/>
          </w:tcPr>
          <w:p w14:paraId="2FE73619" w14:textId="77777777" w:rsidR="00535AD5" w:rsidRDefault="000F4CA5">
            <w:pPr>
              <w:jc w:val="right"/>
            </w:pPr>
            <w:r>
              <w:rPr>
                <w:rFonts w:ascii="Arial" w:hAnsi="Arial"/>
                <w:sz w:val="18"/>
              </w:rPr>
              <w:t>6.2%</w:t>
            </w:r>
          </w:p>
        </w:tc>
        <w:tc>
          <w:tcPr>
            <w:tcW w:w="1129" w:type="dxa"/>
          </w:tcPr>
          <w:p w14:paraId="54131F18" w14:textId="77777777" w:rsidR="00535AD5" w:rsidRDefault="000F4CA5">
            <w:pPr>
              <w:jc w:val="right"/>
            </w:pPr>
            <w:r>
              <w:rPr>
                <w:rFonts w:ascii="Arial" w:hAnsi="Arial"/>
                <w:sz w:val="18"/>
              </w:rPr>
              <w:t>1,822,219.7</w:t>
            </w:r>
          </w:p>
        </w:tc>
      </w:tr>
      <w:tr w:rsidR="00535AD5" w14:paraId="7F0DF29A" w14:textId="77777777">
        <w:trPr>
          <w:jc w:val="center"/>
        </w:trPr>
        <w:tc>
          <w:tcPr>
            <w:tcW w:w="1129" w:type="dxa"/>
            <w:shd w:val="clear" w:color="auto" w:fill="F2F6FC"/>
          </w:tcPr>
          <w:p w14:paraId="23135EF1" w14:textId="77777777" w:rsidR="00535AD5" w:rsidRDefault="00535AD5"/>
        </w:tc>
        <w:tc>
          <w:tcPr>
            <w:tcW w:w="1129" w:type="dxa"/>
            <w:shd w:val="clear" w:color="auto" w:fill="F2F6FC"/>
          </w:tcPr>
          <w:p w14:paraId="392E0DCE" w14:textId="77777777" w:rsidR="00535AD5" w:rsidRDefault="000F4CA5">
            <w:r>
              <w:rPr>
                <w:rFonts w:ascii="Arial" w:hAnsi="Arial"/>
                <w:sz w:val="18"/>
              </w:rPr>
              <w:t>**Total**</w:t>
            </w:r>
          </w:p>
        </w:tc>
        <w:tc>
          <w:tcPr>
            <w:tcW w:w="1129" w:type="dxa"/>
            <w:shd w:val="clear" w:color="auto" w:fill="F2F6FC"/>
          </w:tcPr>
          <w:p w14:paraId="36D471E7" w14:textId="77777777" w:rsidR="00535AD5" w:rsidRDefault="000F4CA5">
            <w:r>
              <w:rPr>
                <w:rFonts w:ascii="Arial" w:hAnsi="Arial"/>
                <w:sz w:val="18"/>
              </w:rPr>
              <w:t>—</w:t>
            </w:r>
          </w:p>
        </w:tc>
        <w:tc>
          <w:tcPr>
            <w:tcW w:w="1129" w:type="dxa"/>
            <w:shd w:val="clear" w:color="auto" w:fill="F2F6FC"/>
          </w:tcPr>
          <w:p w14:paraId="0F226B23" w14:textId="77777777" w:rsidR="00535AD5" w:rsidRDefault="000F4CA5">
            <w:r>
              <w:rPr>
                <w:rFonts w:ascii="Arial" w:hAnsi="Arial"/>
                <w:sz w:val="18"/>
              </w:rPr>
              <w:t>—</w:t>
            </w:r>
          </w:p>
        </w:tc>
        <w:tc>
          <w:tcPr>
            <w:tcW w:w="1129" w:type="dxa"/>
            <w:shd w:val="clear" w:color="auto" w:fill="F2F6FC"/>
          </w:tcPr>
          <w:p w14:paraId="3674C461" w14:textId="77777777" w:rsidR="00535AD5" w:rsidRDefault="000F4CA5">
            <w:r>
              <w:rPr>
                <w:rFonts w:ascii="Arial" w:hAnsi="Arial"/>
                <w:sz w:val="18"/>
              </w:rPr>
              <w:t>**1,955**</w:t>
            </w:r>
          </w:p>
        </w:tc>
        <w:tc>
          <w:tcPr>
            <w:tcW w:w="1129" w:type="dxa"/>
            <w:shd w:val="clear" w:color="auto" w:fill="F2F6FC"/>
          </w:tcPr>
          <w:p w14:paraId="389E8C97" w14:textId="77777777" w:rsidR="00535AD5" w:rsidRDefault="000F4CA5">
            <w:r>
              <w:rPr>
                <w:rFonts w:ascii="Arial" w:hAnsi="Arial"/>
                <w:sz w:val="18"/>
              </w:rPr>
              <w:t>**1,541.781804**</w:t>
            </w:r>
          </w:p>
        </w:tc>
        <w:tc>
          <w:tcPr>
            <w:tcW w:w="1129" w:type="dxa"/>
            <w:shd w:val="clear" w:color="auto" w:fill="F2F6FC"/>
          </w:tcPr>
          <w:p w14:paraId="35843E0B" w14:textId="77777777" w:rsidR="00535AD5" w:rsidRDefault="000F4CA5">
            <w:r>
              <w:rPr>
                <w:rFonts w:ascii="Arial" w:hAnsi="Arial"/>
                <w:sz w:val="18"/>
              </w:rPr>
              <w:t>**100.0%**</w:t>
            </w:r>
          </w:p>
        </w:tc>
        <w:tc>
          <w:tcPr>
            <w:tcW w:w="1129" w:type="dxa"/>
            <w:shd w:val="clear" w:color="auto" w:fill="F2F6FC"/>
          </w:tcPr>
          <w:p w14:paraId="2D4D06E3" w14:textId="77777777" w:rsidR="00535AD5" w:rsidRDefault="000F4CA5">
            <w:r>
              <w:rPr>
                <w:rFonts w:ascii="Arial" w:hAnsi="Arial"/>
                <w:sz w:val="18"/>
              </w:rPr>
              <w:t>**21,976,797.3**</w:t>
            </w:r>
          </w:p>
        </w:tc>
      </w:tr>
    </w:tbl>
    <w:p w14:paraId="5520EA5E" w14:textId="77777777" w:rsidR="00535AD5" w:rsidRDefault="000F4CA5">
      <w:r>
        <w:rPr>
          <w:rFonts w:ascii="Arial" w:hAnsi="Arial"/>
          <w:i/>
          <w:sz w:val="16"/>
        </w:rPr>
        <w:t>Source: Sumber: GENERIC_FI_001 Climate Risk Analytics Unit, 2024. Tier 1-2 dianggap data berkualitas tinggi. Skor kualitas data rata-rata tertimbang portfolio: 3.36. Target institusi: ≤2.5 pada 2027.</w:t>
      </w:r>
    </w:p>
    <w:p w14:paraId="6ACBEBB1" w14:textId="77777777" w:rsidR="00535AD5" w:rsidRDefault="00535AD5"/>
    <w:p w14:paraId="2C1DD372" w14:textId="77777777" w:rsidR="00535AD5" w:rsidRDefault="000F4CA5">
      <w:r>
        <w:rPr>
          <w:i/>
          <w:color w:val="3D6094"/>
          <w:sz w:val="18"/>
        </w:rPr>
        <w:t>Framework references: GRI 305-3: Other indirect (Scope 3) GHG emissions; PCAF Global GHG Accounting Standard (2022) — Asset Class 1: Business Loans and Unlisted Equity; GHG Protocol Corporate Value Chain (Scope 3) Accounting and Reporting Standard — Category 15: Investments; POJK No. 51/POJK.03/2017 tentang Penerapan Keuangan Berkelanjutan — Pasal 8 (Strategi), Pasal 13 (Manajemen Risiko); SE OJK No. 16/SEOJK.03/2021 — Lampiran II: Format Laporan Keberlanjutan (Bagian Lingkungan); Indonesia Enhanced NDC (20</w:t>
      </w:r>
      <w:r>
        <w:rPr>
          <w:i/>
          <w:color w:val="3D6094"/>
          <w:sz w:val="18"/>
        </w:rPr>
        <w:t>22) — Unconditional target: 31.89% reduction by 2030; Conditional target: 43.2% reduction by 2030; Indonesia Long-Term Strategy for Low Carbon and Climate Resilience 2050 (LTS-LCCR) — Net Zero by 2060 or sooner</w:t>
      </w:r>
    </w:p>
    <w:p w14:paraId="0F4596DB" w14:textId="77777777" w:rsidR="00535AD5" w:rsidRDefault="00535AD5">
      <w:pPr>
        <w:pBdr>
          <w:bottom w:val="single" w:sz="6" w:space="1" w:color="999999"/>
        </w:pBdr>
        <w:spacing w:after="80"/>
      </w:pPr>
    </w:p>
    <w:p w14:paraId="7BB90C3F" w14:textId="77777777" w:rsidR="00535AD5" w:rsidRDefault="000F4CA5">
      <w:pPr>
        <w:spacing w:after="160"/>
        <w:jc w:val="both"/>
      </w:pPr>
      <w:r>
        <w:rPr>
          <w:rFonts w:ascii="Arial" w:hAnsi="Arial"/>
          <w:i/>
          <w:color w:val="646464"/>
          <w:sz w:val="18"/>
        </w:rPr>
        <w:t>Emisi pembiayaan dihitung sesuai dengan PCAF Global GHG Accounting Standard (edisi Desember 2022), menggunakan metodologi Kelas Aset 1 (Pinjaman Bisnis dan Ekuitas Tidak Terdaftar) untuk seluruh portofolio korporat.</w:t>
      </w:r>
    </w:p>
    <w:p w14:paraId="0517D20A" w14:textId="77777777" w:rsidR="00535AD5" w:rsidRDefault="000F4CA5">
      <w:pPr>
        <w:spacing w:after="160"/>
        <w:jc w:val="both"/>
      </w:pPr>
      <w:r>
        <w:rPr>
          <w:rFonts w:ascii="Arial" w:hAnsi="Arial"/>
          <w:i/>
          <w:color w:val="646464"/>
          <w:sz w:val="18"/>
        </w:rPr>
        <w:t>Faktor atribusi dihitung sebagai: (Jumlah Outstanding ÷ Total Enterprise Value termasuk Kas) × Total Emisi Peminjam. Enterprise value diperoleh dari laporan keuangan audited 2023 atau estimasi berbasis aset untuk perusahaan non-publik.</w:t>
      </w:r>
    </w:p>
    <w:p w14:paraId="7DE17490" w14:textId="77777777" w:rsidR="00535AD5" w:rsidRDefault="000F4CA5">
      <w:pPr>
        <w:spacing w:after="160"/>
        <w:jc w:val="both"/>
      </w:pPr>
      <w:r>
        <w:rPr>
          <w:rFonts w:ascii="Arial" w:hAnsi="Arial"/>
          <w:i/>
          <w:color w:val="646464"/>
          <w:sz w:val="18"/>
        </w:rPr>
        <w:t>Emisi tertimbang menerapkan faktor kepercayaan PCAF: Tier 1 (1.00), Tier 2 (0.90), Tier 3 (0.75), Tier 4 (0.60), Tier 5 (0.45) untuk mencerminkan ketidakpastian estimasi. Perbedaan 30.47% antara emisi bruto dan tertimbang mengindikasikan 6.7 juta tCO2e tunduk pada ketidakpastian estimasi tinggi.</w:t>
      </w:r>
    </w:p>
    <w:p w14:paraId="4D41BB96" w14:textId="77777777" w:rsidR="00535AD5" w:rsidRDefault="000F4CA5">
      <w:pPr>
        <w:spacing w:after="160"/>
        <w:jc w:val="both"/>
      </w:pPr>
      <w:r>
        <w:rPr>
          <w:rFonts w:ascii="Arial" w:hAnsi="Arial"/>
          <w:i/>
          <w:color w:val="646464"/>
          <w:sz w:val="18"/>
        </w:rPr>
        <w:t>Data tahun sebelumnya (2023) dihitung secara retrospektif menggunakan metodologi PCAF yang sama. Emisi bruto 2023: 22,911,991.05 tCO2e; emisi tertimbang 2023: 15,576,239.57 tCO2e. Penurunan YoY: 4.07% (bruto), 1.90% (tertimbang).</w:t>
      </w:r>
    </w:p>
    <w:p w14:paraId="6DC64C52" w14:textId="77777777" w:rsidR="00535AD5" w:rsidRDefault="000F4CA5">
      <w:pPr>
        <w:spacing w:after="160"/>
        <w:jc w:val="both"/>
      </w:pPr>
      <w:r>
        <w:rPr>
          <w:rFonts w:ascii="Arial" w:hAnsi="Arial"/>
          <w:i/>
          <w:color w:val="646464"/>
          <w:sz w:val="18"/>
        </w:rPr>
        <w:t>Cakupan portfolio 100% mencakup seluruh eksposur pinjaman korporat (1,955 peminjam; IDR 1,541.781804 triliun). Pinjaman ritel, hipotek residensial, dan pembiayaan proyek tidak termasuk dalam perhitungan 2024 (akan ditambahkan pada siklus pelaporan 2025 sesuai roadmap PCAF).</w:t>
      </w:r>
    </w:p>
    <w:p w14:paraId="6B6AD608" w14:textId="77777777" w:rsidR="00535AD5" w:rsidRDefault="000F4CA5">
      <w:pPr>
        <w:spacing w:after="160"/>
        <w:jc w:val="both"/>
      </w:pPr>
      <w:r>
        <w:rPr>
          <w:rFonts w:ascii="Arial" w:hAnsi="Arial"/>
          <w:i/>
          <w:color w:val="646464"/>
          <w:sz w:val="18"/>
        </w:rPr>
        <w:t>Angka-angka ini belum diaudit secara eksternal untuk periode pelaporan saat ini. Institusi berencana untuk mendapatkan assurance terbatas (limited assurance) untuk emisi pembiayaan pada siklus pelaporan 2025 sesuai dengan POJK No. 51/POJK.03/2017 Pasal 10 ayat (3).</w:t>
      </w:r>
    </w:p>
    <w:p w14:paraId="7CA1CEA3" w14:textId="77777777" w:rsidR="00535AD5" w:rsidRDefault="000F4CA5">
      <w:pPr>
        <w:spacing w:after="160"/>
        <w:jc w:val="both"/>
      </w:pPr>
      <w:r>
        <w:rPr>
          <w:rFonts w:ascii="Arial" w:hAnsi="Arial"/>
          <w:i/>
          <w:color w:val="646464"/>
          <w:sz w:val="18"/>
        </w:rPr>
        <w:t>Intensitas emisi sektor dihitung sebagai: Emisi Bruto Sektor ÷ Total Outstanding Sektor. Sektor Energy - Oil &amp; Gas menunjukkan intensitas tertinggi (93.242 tCO2e/IDR miliar), diikuti Manufacturing - Cement (53.9927 tCO2e/IDR miliar) dan Manufacturing - Steel (32.2175 tCO2e/IDR miliar).</w:t>
      </w:r>
    </w:p>
    <w:p w14:paraId="66814C68" w14:textId="77777777" w:rsidR="00535AD5" w:rsidRDefault="000F4CA5">
      <w:pPr>
        <w:spacing w:after="160"/>
        <w:jc w:val="both"/>
      </w:pPr>
      <w:r>
        <w:rPr>
          <w:rFonts w:ascii="Arial" w:hAnsi="Arial"/>
          <w:i/>
          <w:color w:val="646464"/>
          <w:sz w:val="18"/>
        </w:rPr>
        <w:t>Institusi telah mengklasifikasikan 135 peminjam sektor Energy - Oil &amp; Gas sebagai 'high transition risk' dalam kerangka ESRM (Environmental and Social Risk Management) dan menerapkan enhanced due diligence untuk seluruh fasilitas kredit baru atau perpanjangan di sektor ini sejak Q2 2024.</w:t>
      </w:r>
    </w:p>
    <w:p w14:paraId="095D221A" w14:textId="77777777" w:rsidR="00535AD5" w:rsidRDefault="000F4CA5">
      <w:pPr>
        <w:pStyle w:val="Heading1"/>
        <w:spacing w:after="240"/>
      </w:pPr>
      <w:bookmarkStart w:id="14" w:name="_Toc231920349"/>
      <w:r>
        <w:rPr>
          <w:rFonts w:ascii="Arial" w:hAnsi="Arial"/>
          <w:color w:val="1B3A6B"/>
          <w:sz w:val="36"/>
        </w:rPr>
        <w:t>GRI 305-4: GHG Emissions Intensity</w:t>
      </w:r>
      <w:bookmarkEnd w:id="14"/>
    </w:p>
    <w:p w14:paraId="54F1FDA3" w14:textId="77777777" w:rsidR="00535AD5" w:rsidRDefault="000F4CA5">
      <w:pPr>
        <w:spacing w:after="160"/>
        <w:jc w:val="both"/>
      </w:pPr>
      <w:r>
        <w:rPr>
          <w:rFonts w:ascii="Arial" w:hAnsi="Arial"/>
        </w:rPr>
        <w:t xml:space="preserve">The organization's GHG emissions intensity for the reporting year 2024 was 239.400139 tCO2e per IDR billion operating revenue and 1.9209 tCO2e per full-time equivalent employee (FTE). These intensity metrics normalize the organization's absolute emissions </w:t>
      </w:r>
      <w:r>
        <w:rPr>
          <w:rFonts w:ascii="Arial" w:hAnsi="Arial"/>
        </w:rPr>
        <w:lastRenderedPageBreak/>
        <w:t>against key organizational metrics to enable performance tracking over time and facilitate comparability with peer financial institutions.</w:t>
      </w:r>
    </w:p>
    <w:p w14:paraId="629C26E9" w14:textId="77777777" w:rsidR="00535AD5" w:rsidRDefault="000F4CA5">
      <w:pPr>
        <w:spacing w:after="160"/>
        <w:jc w:val="both"/>
      </w:pPr>
      <w:r>
        <w:rPr>
          <w:rFonts w:ascii="Arial" w:hAnsi="Arial"/>
          <w:i/>
        </w:rPr>
        <w:t>The revenue-based intensity ratio was calculated by dividing total GHG emissions (Scope 1 + Scope 2 market-based + Scope 3 Category 15 gross financed emissions) by total operating revenue expressed in IDR billion. The FTE-based intensity ratio was calculated by dividing operational emissions (Scope 1 + Scope 2 market-based only) by the total number of full-time equivalent employees as of December 31, 2024. Operating revenue represents consolidated revenue from all banking operations under operational contro</w:t>
      </w:r>
      <w:r>
        <w:rPr>
          <w:rFonts w:ascii="Arial" w:hAnsi="Arial"/>
          <w:i/>
        </w:rPr>
        <w:t>l. FTE count includes all permanent employees and excludes contractors, temporary staff, and outsourced personnel.</w:t>
      </w:r>
    </w:p>
    <w:p w14:paraId="1B8DAA8A" w14:textId="77777777" w:rsidR="00535AD5" w:rsidRDefault="000F4CA5">
      <w:pPr>
        <w:spacing w:after="160"/>
        <w:jc w:val="both"/>
      </w:pPr>
      <w:r>
        <w:rPr>
          <w:rFonts w:ascii="Arial" w:hAnsi="Arial"/>
          <w:i/>
        </w:rPr>
        <w:t>The revenue-based intensity metric encompasses all material emission sources: direct (Scope 1) emissions from natural gas combustion and diesel fuel use in backup generators totaling 3402.997 tCO2e; energy indirect (Scope 2) market-based emissions from purchased electricity totaling 44612.518 tCO2e; and other indirect (Scope 3) Category 15 gross financed emissions from the lending portfolio totaling 21976797.3 tCO2e. The FTE-based intensity metric includes only operational emissions (Scope 1 + Scope 2 marke</w:t>
      </w:r>
      <w:r>
        <w:rPr>
          <w:rFonts w:ascii="Arial" w:hAnsi="Arial"/>
          <w:i/>
        </w:rPr>
        <w:t>t-based) totaling 48015.515 tCO2e, as this metric is designed to reflect the carbon efficiency of the organization's direct operations per employee. Scope 2 emissions are reported using the market-based method, reflecting contractual instruments where applicable. All gases included in the calculation are CO2, CH4, and N2O, expressed as CO2 equivalents using global warming potentials from the IPCC Fifth Assessment Report.</w:t>
      </w:r>
    </w:p>
    <w:p w14:paraId="24D42735" w14:textId="77777777" w:rsidR="00535AD5" w:rsidRDefault="000F4CA5">
      <w:pPr>
        <w:spacing w:after="160"/>
        <w:jc w:val="both"/>
      </w:pPr>
      <w:r>
        <w:rPr>
          <w:rFonts w:ascii="Arial" w:hAnsi="Arial"/>
        </w:rPr>
        <w:t>Compared to the prior year 2023, the revenue-based intensity decreased by 11.37% from 270.116632 tCO2e per IDR billion to 239.400139 tCO2e per IDR billion, indicating improved carbon efficiency relative to revenue generation. The FTE-based intensity decreased by 1.79% from 1.956 tCO2e per FTE to 1.9209 tCO2e per FTE. The more substantial improvement in revenue-based intensity reflects the organization's revenue growth outpacing the rate of emissions growth, while the modest improvement in FTE-based intensit</w:t>
      </w:r>
      <w:r>
        <w:rPr>
          <w:rFonts w:ascii="Arial" w:hAnsi="Arial"/>
        </w:rPr>
        <w:t>y indicates relatively stable operational emissions per employee despite a 2.03% increase in headcount from 24500 to 24997 FTE.</w:t>
      </w:r>
    </w:p>
    <w:p w14:paraId="79F0E322" w14:textId="77777777" w:rsidR="00535AD5" w:rsidRDefault="000F4CA5">
      <w:pPr>
        <w:spacing w:after="160"/>
        <w:jc w:val="both"/>
      </w:pPr>
      <w:r>
        <w:rPr>
          <w:rFonts w:ascii="Arial" w:hAnsi="Arial"/>
        </w:rPr>
        <w:t>The improvement in both intensity metrics demonstrates progress toward decoupling emissions growth from business expansion. The revenue-based intensity reduction of 11.37% was driven primarily by the 4.07% absolute reduction in total emissions combined with revenue growth during the reporting period. The organization's financed emissions (Scope 3 Category 15) constitute 99.78% of total emissions, making portfolio decarbonization the primary driver of intensity performance. The operational intensity (FTE-bas</w:t>
      </w:r>
      <w:r>
        <w:rPr>
          <w:rFonts w:ascii="Arial" w:hAnsi="Arial"/>
        </w:rPr>
        <w:t>ed) improvement reflects energy efficiency measures implemented across the facility network, including LED retrofits and HVAC optimization, which contributed to maintaining stable Scope 1 and Scope 2 emissions despite workforce expansion.</w:t>
      </w:r>
    </w:p>
    <w:p w14:paraId="2946891D" w14:textId="77777777" w:rsidR="00535AD5" w:rsidRDefault="000F4CA5">
      <w:r>
        <w:rPr>
          <w:rFonts w:ascii="Arial" w:hAnsi="Arial"/>
          <w:b/>
          <w:sz w:val="20"/>
        </w:rPr>
        <w:t>Table 4.1: GHG Emissions Intensity Calculation (2024)</w:t>
      </w:r>
    </w:p>
    <w:tbl>
      <w:tblPr>
        <w:tblW w:w="0" w:type="auto"/>
        <w:jc w:val="center"/>
        <w:tblLook w:val="04A0" w:firstRow="1" w:lastRow="0" w:firstColumn="1" w:lastColumn="0" w:noHBand="0" w:noVBand="1"/>
      </w:tblPr>
      <w:tblGrid>
        <w:gridCol w:w="1806"/>
        <w:gridCol w:w="1806"/>
        <w:gridCol w:w="1806"/>
        <w:gridCol w:w="1806"/>
        <w:gridCol w:w="1806"/>
      </w:tblGrid>
      <w:tr w:rsidR="00535AD5" w14:paraId="348E22BD" w14:textId="77777777">
        <w:trPr>
          <w:jc w:val="center"/>
        </w:trPr>
        <w:tc>
          <w:tcPr>
            <w:tcW w:w="1806" w:type="dxa"/>
            <w:shd w:val="clear" w:color="auto" w:fill="1B3A6B"/>
          </w:tcPr>
          <w:p w14:paraId="1206D775" w14:textId="77777777" w:rsidR="00535AD5" w:rsidRDefault="000F4CA5">
            <w:r>
              <w:rPr>
                <w:rFonts w:ascii="Arial" w:hAnsi="Arial"/>
                <w:b/>
                <w:color w:val="FFFFFF"/>
                <w:sz w:val="18"/>
              </w:rPr>
              <w:t>Intensity Metric</w:t>
            </w:r>
          </w:p>
        </w:tc>
        <w:tc>
          <w:tcPr>
            <w:tcW w:w="1806" w:type="dxa"/>
            <w:shd w:val="clear" w:color="auto" w:fill="1B3A6B"/>
          </w:tcPr>
          <w:p w14:paraId="2B8466A4" w14:textId="77777777" w:rsidR="00535AD5" w:rsidRDefault="000F4CA5">
            <w:r>
              <w:rPr>
                <w:rFonts w:ascii="Arial" w:hAnsi="Arial"/>
                <w:b/>
                <w:color w:val="FFFFFF"/>
                <w:sz w:val="18"/>
              </w:rPr>
              <w:t>Numerator (tCO2e)</w:t>
            </w:r>
          </w:p>
        </w:tc>
        <w:tc>
          <w:tcPr>
            <w:tcW w:w="1806" w:type="dxa"/>
            <w:shd w:val="clear" w:color="auto" w:fill="1B3A6B"/>
          </w:tcPr>
          <w:p w14:paraId="116271D4" w14:textId="77777777" w:rsidR="00535AD5" w:rsidRDefault="000F4CA5">
            <w:r>
              <w:rPr>
                <w:rFonts w:ascii="Arial" w:hAnsi="Arial"/>
                <w:b/>
                <w:color w:val="FFFFFF"/>
                <w:sz w:val="18"/>
              </w:rPr>
              <w:t>Denominator</w:t>
            </w:r>
          </w:p>
        </w:tc>
        <w:tc>
          <w:tcPr>
            <w:tcW w:w="1806" w:type="dxa"/>
            <w:shd w:val="clear" w:color="auto" w:fill="1B3A6B"/>
          </w:tcPr>
          <w:p w14:paraId="08B59A1A" w14:textId="77777777" w:rsidR="00535AD5" w:rsidRDefault="000F4CA5">
            <w:r>
              <w:rPr>
                <w:rFonts w:ascii="Arial" w:hAnsi="Arial"/>
                <w:b/>
                <w:color w:val="FFFFFF"/>
                <w:sz w:val="18"/>
              </w:rPr>
              <w:t>Intensity Ratio</w:t>
            </w:r>
          </w:p>
        </w:tc>
        <w:tc>
          <w:tcPr>
            <w:tcW w:w="1806" w:type="dxa"/>
            <w:shd w:val="clear" w:color="auto" w:fill="1B3A6B"/>
          </w:tcPr>
          <w:p w14:paraId="39E580E2" w14:textId="77777777" w:rsidR="00535AD5" w:rsidRDefault="000F4CA5">
            <w:r>
              <w:rPr>
                <w:rFonts w:ascii="Arial" w:hAnsi="Arial"/>
                <w:b/>
                <w:color w:val="FFFFFF"/>
                <w:sz w:val="18"/>
              </w:rPr>
              <w:t>Unit</w:t>
            </w:r>
          </w:p>
        </w:tc>
      </w:tr>
      <w:tr w:rsidR="00535AD5" w14:paraId="676EE324" w14:textId="77777777">
        <w:trPr>
          <w:jc w:val="center"/>
        </w:trPr>
        <w:tc>
          <w:tcPr>
            <w:tcW w:w="1806" w:type="dxa"/>
          </w:tcPr>
          <w:p w14:paraId="4BD76ED2" w14:textId="77777777" w:rsidR="00535AD5" w:rsidRDefault="000F4CA5">
            <w:r>
              <w:rPr>
                <w:rFonts w:ascii="Arial" w:hAnsi="Arial"/>
                <w:sz w:val="18"/>
              </w:rPr>
              <w:t>Revenue-based intensity</w:t>
            </w:r>
          </w:p>
        </w:tc>
        <w:tc>
          <w:tcPr>
            <w:tcW w:w="1806" w:type="dxa"/>
          </w:tcPr>
          <w:p w14:paraId="22C3570A" w14:textId="77777777" w:rsidR="00535AD5" w:rsidRDefault="000F4CA5">
            <w:pPr>
              <w:jc w:val="right"/>
            </w:pPr>
            <w:r>
              <w:rPr>
                <w:rFonts w:ascii="Arial" w:hAnsi="Arial"/>
                <w:sz w:val="18"/>
              </w:rPr>
              <w:t>21980812.815</w:t>
            </w:r>
          </w:p>
        </w:tc>
        <w:tc>
          <w:tcPr>
            <w:tcW w:w="1806" w:type="dxa"/>
          </w:tcPr>
          <w:p w14:paraId="3AEEF1ED" w14:textId="77777777" w:rsidR="00535AD5" w:rsidRDefault="000F4CA5">
            <w:pPr>
              <w:jc w:val="right"/>
            </w:pPr>
            <w:r>
              <w:rPr>
                <w:rFonts w:ascii="Arial" w:hAnsi="Arial"/>
                <w:sz w:val="18"/>
              </w:rPr>
              <w:t>91841.234</w:t>
            </w:r>
          </w:p>
        </w:tc>
        <w:tc>
          <w:tcPr>
            <w:tcW w:w="1806" w:type="dxa"/>
          </w:tcPr>
          <w:p w14:paraId="7BC3DC06" w14:textId="77777777" w:rsidR="00535AD5" w:rsidRDefault="000F4CA5">
            <w:pPr>
              <w:jc w:val="right"/>
            </w:pPr>
            <w:r>
              <w:rPr>
                <w:rFonts w:ascii="Arial" w:hAnsi="Arial"/>
                <w:sz w:val="18"/>
              </w:rPr>
              <w:t>239.400139</w:t>
            </w:r>
          </w:p>
        </w:tc>
        <w:tc>
          <w:tcPr>
            <w:tcW w:w="1806" w:type="dxa"/>
          </w:tcPr>
          <w:p w14:paraId="23DCC499" w14:textId="77777777" w:rsidR="00535AD5" w:rsidRDefault="000F4CA5">
            <w:r>
              <w:rPr>
                <w:rFonts w:ascii="Arial" w:hAnsi="Arial"/>
                <w:sz w:val="18"/>
              </w:rPr>
              <w:t>tCO2e per IDR billion</w:t>
            </w:r>
          </w:p>
        </w:tc>
      </w:tr>
      <w:tr w:rsidR="00535AD5" w14:paraId="5ACA23BF" w14:textId="77777777">
        <w:trPr>
          <w:jc w:val="center"/>
        </w:trPr>
        <w:tc>
          <w:tcPr>
            <w:tcW w:w="1806" w:type="dxa"/>
            <w:shd w:val="clear" w:color="auto" w:fill="F2F6FC"/>
          </w:tcPr>
          <w:p w14:paraId="240CD9CF" w14:textId="77777777" w:rsidR="00535AD5" w:rsidRDefault="000F4CA5">
            <w:r>
              <w:rPr>
                <w:rFonts w:ascii="Arial" w:hAnsi="Arial"/>
                <w:sz w:val="18"/>
              </w:rPr>
              <w:lastRenderedPageBreak/>
              <w:t>FTE-based intensity (operational)</w:t>
            </w:r>
          </w:p>
        </w:tc>
        <w:tc>
          <w:tcPr>
            <w:tcW w:w="1806" w:type="dxa"/>
            <w:shd w:val="clear" w:color="auto" w:fill="F2F6FC"/>
          </w:tcPr>
          <w:p w14:paraId="1C0CAC19" w14:textId="77777777" w:rsidR="00535AD5" w:rsidRDefault="000F4CA5">
            <w:pPr>
              <w:jc w:val="right"/>
            </w:pPr>
            <w:r>
              <w:rPr>
                <w:rFonts w:ascii="Arial" w:hAnsi="Arial"/>
                <w:sz w:val="18"/>
              </w:rPr>
              <w:t>48015.515</w:t>
            </w:r>
          </w:p>
        </w:tc>
        <w:tc>
          <w:tcPr>
            <w:tcW w:w="1806" w:type="dxa"/>
            <w:shd w:val="clear" w:color="auto" w:fill="F2F6FC"/>
          </w:tcPr>
          <w:p w14:paraId="2D330304" w14:textId="77777777" w:rsidR="00535AD5" w:rsidRDefault="000F4CA5">
            <w:pPr>
              <w:jc w:val="right"/>
            </w:pPr>
            <w:r>
              <w:rPr>
                <w:rFonts w:ascii="Arial" w:hAnsi="Arial"/>
                <w:sz w:val="18"/>
              </w:rPr>
              <w:t>24997</w:t>
            </w:r>
          </w:p>
        </w:tc>
        <w:tc>
          <w:tcPr>
            <w:tcW w:w="1806" w:type="dxa"/>
            <w:shd w:val="clear" w:color="auto" w:fill="F2F6FC"/>
          </w:tcPr>
          <w:p w14:paraId="19077251" w14:textId="77777777" w:rsidR="00535AD5" w:rsidRDefault="000F4CA5">
            <w:pPr>
              <w:jc w:val="right"/>
            </w:pPr>
            <w:r>
              <w:rPr>
                <w:rFonts w:ascii="Arial" w:hAnsi="Arial"/>
                <w:sz w:val="18"/>
              </w:rPr>
              <w:t>1.9209</w:t>
            </w:r>
          </w:p>
        </w:tc>
        <w:tc>
          <w:tcPr>
            <w:tcW w:w="1806" w:type="dxa"/>
            <w:shd w:val="clear" w:color="auto" w:fill="F2F6FC"/>
          </w:tcPr>
          <w:p w14:paraId="4DB95A4D" w14:textId="77777777" w:rsidR="00535AD5" w:rsidRDefault="000F4CA5">
            <w:r>
              <w:rPr>
                <w:rFonts w:ascii="Arial" w:hAnsi="Arial"/>
                <w:sz w:val="18"/>
              </w:rPr>
              <w:t>tCO2e per FTE</w:t>
            </w:r>
          </w:p>
        </w:tc>
      </w:tr>
    </w:tbl>
    <w:p w14:paraId="17CA462F" w14:textId="77777777" w:rsidR="00535AD5" w:rsidRDefault="000F4CA5">
      <w:r>
        <w:rPr>
          <w:rFonts w:ascii="Arial" w:hAnsi="Arial"/>
          <w:i/>
          <w:sz w:val="16"/>
        </w:rPr>
        <w:t>Source: Numerator for revenue-based intensity includes Scope 1 (3402.997 tCO2e) + Scope 2 market-based (44612.518 tCO2e) + Scope 3 Category 15 gross (21976797.3 tCO2e). Numerator for FTE-based intensity includes Scope 1 + Scope 2 market-based only. Denominator values derived from consolidated financial statements and HR systems.</w:t>
      </w:r>
    </w:p>
    <w:p w14:paraId="45F32CDA" w14:textId="77777777" w:rsidR="00535AD5" w:rsidRDefault="00535AD5"/>
    <w:p w14:paraId="1D0C6E61" w14:textId="77777777" w:rsidR="00535AD5" w:rsidRDefault="000F4CA5">
      <w:r>
        <w:rPr>
          <w:rFonts w:ascii="Arial" w:hAnsi="Arial"/>
          <w:b/>
          <w:sz w:val="20"/>
        </w:rPr>
        <w:t>Table 4.2: Year-over-Year Intensity Performance</w:t>
      </w:r>
    </w:p>
    <w:tbl>
      <w:tblPr>
        <w:tblW w:w="0" w:type="auto"/>
        <w:jc w:val="center"/>
        <w:tblLook w:val="04A0" w:firstRow="1" w:lastRow="0" w:firstColumn="1" w:lastColumn="0" w:noHBand="0" w:noVBand="1"/>
      </w:tblPr>
      <w:tblGrid>
        <w:gridCol w:w="1806"/>
        <w:gridCol w:w="1806"/>
        <w:gridCol w:w="1806"/>
        <w:gridCol w:w="1806"/>
        <w:gridCol w:w="1806"/>
      </w:tblGrid>
      <w:tr w:rsidR="00535AD5" w14:paraId="489819F2" w14:textId="77777777">
        <w:trPr>
          <w:jc w:val="center"/>
        </w:trPr>
        <w:tc>
          <w:tcPr>
            <w:tcW w:w="1806" w:type="dxa"/>
            <w:shd w:val="clear" w:color="auto" w:fill="1B3A6B"/>
          </w:tcPr>
          <w:p w14:paraId="00F34826" w14:textId="77777777" w:rsidR="00535AD5" w:rsidRDefault="000F4CA5">
            <w:r>
              <w:rPr>
                <w:rFonts w:ascii="Arial" w:hAnsi="Arial"/>
                <w:b/>
                <w:color w:val="FFFFFF"/>
                <w:sz w:val="18"/>
              </w:rPr>
              <w:t>Metric</w:t>
            </w:r>
          </w:p>
        </w:tc>
        <w:tc>
          <w:tcPr>
            <w:tcW w:w="1806" w:type="dxa"/>
            <w:shd w:val="clear" w:color="auto" w:fill="1B3A6B"/>
          </w:tcPr>
          <w:p w14:paraId="1023832B" w14:textId="77777777" w:rsidR="00535AD5" w:rsidRDefault="000F4CA5">
            <w:r>
              <w:rPr>
                <w:rFonts w:ascii="Arial" w:hAnsi="Arial"/>
                <w:b/>
                <w:color w:val="FFFFFF"/>
                <w:sz w:val="18"/>
              </w:rPr>
              <w:t>2023</w:t>
            </w:r>
          </w:p>
        </w:tc>
        <w:tc>
          <w:tcPr>
            <w:tcW w:w="1806" w:type="dxa"/>
            <w:shd w:val="clear" w:color="auto" w:fill="1B3A6B"/>
          </w:tcPr>
          <w:p w14:paraId="3D6BC64A" w14:textId="77777777" w:rsidR="00535AD5" w:rsidRDefault="000F4CA5">
            <w:r>
              <w:rPr>
                <w:rFonts w:ascii="Arial" w:hAnsi="Arial"/>
                <w:b/>
                <w:color w:val="FFFFFF"/>
                <w:sz w:val="18"/>
              </w:rPr>
              <w:t>2024</w:t>
            </w:r>
          </w:p>
        </w:tc>
        <w:tc>
          <w:tcPr>
            <w:tcW w:w="1806" w:type="dxa"/>
            <w:shd w:val="clear" w:color="auto" w:fill="1B3A6B"/>
          </w:tcPr>
          <w:p w14:paraId="6AA2D6AA" w14:textId="77777777" w:rsidR="00535AD5" w:rsidRDefault="000F4CA5">
            <w:r>
              <w:rPr>
                <w:rFonts w:ascii="Arial" w:hAnsi="Arial"/>
                <w:b/>
                <w:color w:val="FFFFFF"/>
                <w:sz w:val="18"/>
              </w:rPr>
              <w:t>Change (%)</w:t>
            </w:r>
          </w:p>
        </w:tc>
        <w:tc>
          <w:tcPr>
            <w:tcW w:w="1806" w:type="dxa"/>
            <w:shd w:val="clear" w:color="auto" w:fill="1B3A6B"/>
          </w:tcPr>
          <w:p w14:paraId="04122EBF" w14:textId="77777777" w:rsidR="00535AD5" w:rsidRDefault="000F4CA5">
            <w:r>
              <w:rPr>
                <w:rFonts w:ascii="Arial" w:hAnsi="Arial"/>
                <w:b/>
                <w:color w:val="FFFFFF"/>
                <w:sz w:val="18"/>
              </w:rPr>
              <w:t>Unit</w:t>
            </w:r>
          </w:p>
        </w:tc>
      </w:tr>
      <w:tr w:rsidR="00535AD5" w14:paraId="1F2B990C" w14:textId="77777777">
        <w:trPr>
          <w:jc w:val="center"/>
        </w:trPr>
        <w:tc>
          <w:tcPr>
            <w:tcW w:w="1806" w:type="dxa"/>
          </w:tcPr>
          <w:p w14:paraId="0E283A79" w14:textId="77777777" w:rsidR="00535AD5" w:rsidRDefault="000F4CA5">
            <w:r>
              <w:rPr>
                <w:rFonts w:ascii="Arial" w:hAnsi="Arial"/>
                <w:sz w:val="18"/>
              </w:rPr>
              <w:t>Revenue-based intensity</w:t>
            </w:r>
          </w:p>
        </w:tc>
        <w:tc>
          <w:tcPr>
            <w:tcW w:w="1806" w:type="dxa"/>
          </w:tcPr>
          <w:p w14:paraId="3857FA77" w14:textId="77777777" w:rsidR="00535AD5" w:rsidRDefault="000F4CA5">
            <w:pPr>
              <w:jc w:val="right"/>
            </w:pPr>
            <w:r>
              <w:rPr>
                <w:rFonts w:ascii="Arial" w:hAnsi="Arial"/>
                <w:sz w:val="18"/>
              </w:rPr>
              <w:t>270.116632</w:t>
            </w:r>
          </w:p>
        </w:tc>
        <w:tc>
          <w:tcPr>
            <w:tcW w:w="1806" w:type="dxa"/>
          </w:tcPr>
          <w:p w14:paraId="22307E26" w14:textId="77777777" w:rsidR="00535AD5" w:rsidRDefault="000F4CA5">
            <w:pPr>
              <w:jc w:val="right"/>
            </w:pPr>
            <w:r>
              <w:rPr>
                <w:rFonts w:ascii="Arial" w:hAnsi="Arial"/>
                <w:sz w:val="18"/>
              </w:rPr>
              <w:t>239.400139</w:t>
            </w:r>
          </w:p>
        </w:tc>
        <w:tc>
          <w:tcPr>
            <w:tcW w:w="1806" w:type="dxa"/>
          </w:tcPr>
          <w:p w14:paraId="39644641" w14:textId="77777777" w:rsidR="00535AD5" w:rsidRDefault="000F4CA5">
            <w:pPr>
              <w:jc w:val="right"/>
            </w:pPr>
            <w:r>
              <w:rPr>
                <w:rFonts w:ascii="Arial" w:hAnsi="Arial"/>
                <w:sz w:val="18"/>
              </w:rPr>
              <w:t>-11.37</w:t>
            </w:r>
          </w:p>
        </w:tc>
        <w:tc>
          <w:tcPr>
            <w:tcW w:w="1806" w:type="dxa"/>
          </w:tcPr>
          <w:p w14:paraId="56E80C45" w14:textId="77777777" w:rsidR="00535AD5" w:rsidRDefault="000F4CA5">
            <w:r>
              <w:rPr>
                <w:rFonts w:ascii="Arial" w:hAnsi="Arial"/>
                <w:sz w:val="18"/>
              </w:rPr>
              <w:t>tCO2e per IDR billion</w:t>
            </w:r>
          </w:p>
        </w:tc>
      </w:tr>
      <w:tr w:rsidR="00535AD5" w14:paraId="1139E3ED" w14:textId="77777777">
        <w:trPr>
          <w:jc w:val="center"/>
        </w:trPr>
        <w:tc>
          <w:tcPr>
            <w:tcW w:w="1806" w:type="dxa"/>
            <w:shd w:val="clear" w:color="auto" w:fill="F2F6FC"/>
          </w:tcPr>
          <w:p w14:paraId="669B1D00" w14:textId="77777777" w:rsidR="00535AD5" w:rsidRDefault="000F4CA5">
            <w:r>
              <w:rPr>
                <w:rFonts w:ascii="Arial" w:hAnsi="Arial"/>
                <w:sz w:val="18"/>
              </w:rPr>
              <w:t>FTE-based intensity</w:t>
            </w:r>
          </w:p>
        </w:tc>
        <w:tc>
          <w:tcPr>
            <w:tcW w:w="1806" w:type="dxa"/>
            <w:shd w:val="clear" w:color="auto" w:fill="F2F6FC"/>
          </w:tcPr>
          <w:p w14:paraId="67B47951" w14:textId="77777777" w:rsidR="00535AD5" w:rsidRDefault="000F4CA5">
            <w:pPr>
              <w:jc w:val="right"/>
            </w:pPr>
            <w:r>
              <w:rPr>
                <w:rFonts w:ascii="Arial" w:hAnsi="Arial"/>
                <w:sz w:val="18"/>
              </w:rPr>
              <w:t>1.956</w:t>
            </w:r>
          </w:p>
        </w:tc>
        <w:tc>
          <w:tcPr>
            <w:tcW w:w="1806" w:type="dxa"/>
            <w:shd w:val="clear" w:color="auto" w:fill="F2F6FC"/>
          </w:tcPr>
          <w:p w14:paraId="119EFCFC" w14:textId="77777777" w:rsidR="00535AD5" w:rsidRDefault="000F4CA5">
            <w:pPr>
              <w:jc w:val="right"/>
            </w:pPr>
            <w:r>
              <w:rPr>
                <w:rFonts w:ascii="Arial" w:hAnsi="Arial"/>
                <w:sz w:val="18"/>
              </w:rPr>
              <w:t>1.9209</w:t>
            </w:r>
          </w:p>
        </w:tc>
        <w:tc>
          <w:tcPr>
            <w:tcW w:w="1806" w:type="dxa"/>
            <w:shd w:val="clear" w:color="auto" w:fill="F2F6FC"/>
          </w:tcPr>
          <w:p w14:paraId="1B5BF9E2" w14:textId="77777777" w:rsidR="00535AD5" w:rsidRDefault="000F4CA5">
            <w:pPr>
              <w:jc w:val="right"/>
            </w:pPr>
            <w:r>
              <w:rPr>
                <w:rFonts w:ascii="Arial" w:hAnsi="Arial"/>
                <w:sz w:val="18"/>
              </w:rPr>
              <w:t>-1.79</w:t>
            </w:r>
          </w:p>
        </w:tc>
        <w:tc>
          <w:tcPr>
            <w:tcW w:w="1806" w:type="dxa"/>
            <w:shd w:val="clear" w:color="auto" w:fill="F2F6FC"/>
          </w:tcPr>
          <w:p w14:paraId="328E1EA1" w14:textId="77777777" w:rsidR="00535AD5" w:rsidRDefault="000F4CA5">
            <w:r>
              <w:rPr>
                <w:rFonts w:ascii="Arial" w:hAnsi="Arial"/>
                <w:sz w:val="18"/>
              </w:rPr>
              <w:t>tCO2e per FTE</w:t>
            </w:r>
          </w:p>
        </w:tc>
      </w:tr>
      <w:tr w:rsidR="00535AD5" w14:paraId="73928810" w14:textId="77777777">
        <w:trPr>
          <w:jc w:val="center"/>
        </w:trPr>
        <w:tc>
          <w:tcPr>
            <w:tcW w:w="1806" w:type="dxa"/>
          </w:tcPr>
          <w:p w14:paraId="74E9C1FA" w14:textId="77777777" w:rsidR="00535AD5" w:rsidRDefault="000F4CA5">
            <w:r>
              <w:rPr>
                <w:rFonts w:ascii="Arial" w:hAnsi="Arial"/>
                <w:sz w:val="18"/>
              </w:rPr>
              <w:t>Total emissions (absolute)</w:t>
            </w:r>
          </w:p>
        </w:tc>
        <w:tc>
          <w:tcPr>
            <w:tcW w:w="1806" w:type="dxa"/>
          </w:tcPr>
          <w:p w14:paraId="46C38D94" w14:textId="77777777" w:rsidR="00535AD5" w:rsidRDefault="000F4CA5">
            <w:pPr>
              <w:jc w:val="right"/>
            </w:pPr>
            <w:r>
              <w:rPr>
                <w:rFonts w:ascii="Arial" w:hAnsi="Arial"/>
                <w:sz w:val="18"/>
              </w:rPr>
              <w:t>22959562.18</w:t>
            </w:r>
          </w:p>
        </w:tc>
        <w:tc>
          <w:tcPr>
            <w:tcW w:w="1806" w:type="dxa"/>
          </w:tcPr>
          <w:p w14:paraId="571B470C" w14:textId="77777777" w:rsidR="00535AD5" w:rsidRDefault="000F4CA5">
            <w:pPr>
              <w:jc w:val="right"/>
            </w:pPr>
            <w:r>
              <w:rPr>
                <w:rFonts w:ascii="Arial" w:hAnsi="Arial"/>
                <w:sz w:val="18"/>
              </w:rPr>
              <w:t>21980812.815</w:t>
            </w:r>
          </w:p>
        </w:tc>
        <w:tc>
          <w:tcPr>
            <w:tcW w:w="1806" w:type="dxa"/>
          </w:tcPr>
          <w:p w14:paraId="4C8180DC" w14:textId="77777777" w:rsidR="00535AD5" w:rsidRDefault="000F4CA5">
            <w:pPr>
              <w:jc w:val="right"/>
            </w:pPr>
            <w:r>
              <w:rPr>
                <w:rFonts w:ascii="Arial" w:hAnsi="Arial"/>
                <w:sz w:val="18"/>
              </w:rPr>
              <w:t>-4.07</w:t>
            </w:r>
          </w:p>
        </w:tc>
        <w:tc>
          <w:tcPr>
            <w:tcW w:w="1806" w:type="dxa"/>
          </w:tcPr>
          <w:p w14:paraId="1F39482C" w14:textId="77777777" w:rsidR="00535AD5" w:rsidRDefault="000F4CA5">
            <w:r>
              <w:rPr>
                <w:rFonts w:ascii="Arial" w:hAnsi="Arial"/>
                <w:sz w:val="18"/>
              </w:rPr>
              <w:t>tCO2e</w:t>
            </w:r>
          </w:p>
        </w:tc>
      </w:tr>
      <w:tr w:rsidR="00535AD5" w14:paraId="3529709D" w14:textId="77777777">
        <w:trPr>
          <w:jc w:val="center"/>
        </w:trPr>
        <w:tc>
          <w:tcPr>
            <w:tcW w:w="1806" w:type="dxa"/>
            <w:shd w:val="clear" w:color="auto" w:fill="F2F6FC"/>
          </w:tcPr>
          <w:p w14:paraId="577AC3F9" w14:textId="77777777" w:rsidR="00535AD5" w:rsidRDefault="000F4CA5">
            <w:r>
              <w:rPr>
                <w:rFonts w:ascii="Arial" w:hAnsi="Arial"/>
                <w:sz w:val="18"/>
              </w:rPr>
              <w:t>FTE count</w:t>
            </w:r>
          </w:p>
        </w:tc>
        <w:tc>
          <w:tcPr>
            <w:tcW w:w="1806" w:type="dxa"/>
            <w:shd w:val="clear" w:color="auto" w:fill="F2F6FC"/>
          </w:tcPr>
          <w:p w14:paraId="1BBD1288" w14:textId="77777777" w:rsidR="00535AD5" w:rsidRDefault="000F4CA5">
            <w:pPr>
              <w:jc w:val="right"/>
            </w:pPr>
            <w:r>
              <w:rPr>
                <w:rFonts w:ascii="Arial" w:hAnsi="Arial"/>
                <w:sz w:val="18"/>
              </w:rPr>
              <w:t>24500</w:t>
            </w:r>
          </w:p>
        </w:tc>
        <w:tc>
          <w:tcPr>
            <w:tcW w:w="1806" w:type="dxa"/>
            <w:shd w:val="clear" w:color="auto" w:fill="F2F6FC"/>
          </w:tcPr>
          <w:p w14:paraId="3F7CB489" w14:textId="77777777" w:rsidR="00535AD5" w:rsidRDefault="000F4CA5">
            <w:pPr>
              <w:jc w:val="right"/>
            </w:pPr>
            <w:r>
              <w:rPr>
                <w:rFonts w:ascii="Arial" w:hAnsi="Arial"/>
                <w:sz w:val="18"/>
              </w:rPr>
              <w:t>24997</w:t>
            </w:r>
          </w:p>
        </w:tc>
        <w:tc>
          <w:tcPr>
            <w:tcW w:w="1806" w:type="dxa"/>
            <w:shd w:val="clear" w:color="auto" w:fill="F2F6FC"/>
          </w:tcPr>
          <w:p w14:paraId="2E26D066" w14:textId="77777777" w:rsidR="00535AD5" w:rsidRDefault="000F4CA5">
            <w:pPr>
              <w:jc w:val="right"/>
            </w:pPr>
            <w:r>
              <w:rPr>
                <w:rFonts w:ascii="Arial" w:hAnsi="Arial"/>
                <w:sz w:val="18"/>
              </w:rPr>
              <w:t>+2.03</w:t>
            </w:r>
          </w:p>
        </w:tc>
        <w:tc>
          <w:tcPr>
            <w:tcW w:w="1806" w:type="dxa"/>
            <w:shd w:val="clear" w:color="auto" w:fill="F2F6FC"/>
          </w:tcPr>
          <w:p w14:paraId="2215B0B9" w14:textId="77777777" w:rsidR="00535AD5" w:rsidRDefault="000F4CA5">
            <w:r>
              <w:rPr>
                <w:rFonts w:ascii="Arial" w:hAnsi="Arial"/>
                <w:sz w:val="18"/>
              </w:rPr>
              <w:t>employees</w:t>
            </w:r>
          </w:p>
        </w:tc>
      </w:tr>
    </w:tbl>
    <w:p w14:paraId="11D214D9" w14:textId="77777777" w:rsidR="00535AD5" w:rsidRDefault="000F4CA5">
      <w:r>
        <w:rPr>
          <w:rFonts w:ascii="Arial" w:hAnsi="Arial"/>
          <w:i/>
          <w:sz w:val="16"/>
        </w:rPr>
        <w:t>Source: Prior year figures restated for consistency with current year methodology. Percentage changes calculated as ((2024 value - 2023 value) / 2023 value) × 100.</w:t>
      </w:r>
    </w:p>
    <w:p w14:paraId="43768C31" w14:textId="77777777" w:rsidR="00535AD5" w:rsidRDefault="00535AD5"/>
    <w:p w14:paraId="35ED18F4" w14:textId="77777777" w:rsidR="00535AD5" w:rsidRDefault="000F4CA5">
      <w:r>
        <w:rPr>
          <w:i/>
          <w:color w:val="3D6094"/>
          <w:sz w:val="18"/>
        </w:rPr>
        <w:t>Framework references: GRI 305-4; GRI 305-4-a (organization-specific metric); GRI 305-4-b (ratio calculation); GRI 305-4-c (types of GHG emissions included); GRI 305-4-d (gases included in calculation)</w:t>
      </w:r>
    </w:p>
    <w:p w14:paraId="63E32AB8" w14:textId="77777777" w:rsidR="00535AD5" w:rsidRDefault="00535AD5">
      <w:pPr>
        <w:pBdr>
          <w:bottom w:val="single" w:sz="6" w:space="1" w:color="999999"/>
        </w:pBdr>
        <w:spacing w:after="80"/>
      </w:pPr>
    </w:p>
    <w:p w14:paraId="1CEACC22"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76A5EE6B" w14:textId="77777777" w:rsidR="00535AD5" w:rsidRDefault="000F4CA5">
      <w:pPr>
        <w:spacing w:after="160"/>
        <w:jc w:val="both"/>
      </w:pPr>
      <w:r>
        <w:rPr>
          <w:rFonts w:ascii="Arial" w:hAnsi="Arial"/>
          <w:i/>
          <w:color w:val="646464"/>
          <w:sz w:val="18"/>
        </w:rPr>
        <w:t>GRI Content Index: 305-4 | GHG emissions intensity | Section 4.4</w:t>
      </w:r>
    </w:p>
    <w:p w14:paraId="56B8764E" w14:textId="77777777" w:rsidR="00535AD5" w:rsidRDefault="000F4CA5">
      <w:pPr>
        <w:spacing w:after="160"/>
        <w:jc w:val="both"/>
      </w:pPr>
      <w:r>
        <w:rPr>
          <w:rFonts w:ascii="Arial" w:hAnsi="Arial"/>
          <w:i/>
          <w:color w:val="646464"/>
          <w:sz w:val="18"/>
        </w:rPr>
        <w:t>Revenue denominator excludes non-operating income and extraordinary items to ensure comparability with industry peers.</w:t>
      </w:r>
    </w:p>
    <w:p w14:paraId="7D9F7CDA" w14:textId="77777777" w:rsidR="00535AD5" w:rsidRDefault="000F4CA5">
      <w:pPr>
        <w:spacing w:after="160"/>
        <w:jc w:val="both"/>
      </w:pPr>
      <w:r>
        <w:rPr>
          <w:rFonts w:ascii="Arial" w:hAnsi="Arial"/>
          <w:i/>
          <w:color w:val="646464"/>
          <w:sz w:val="18"/>
        </w:rPr>
        <w:t>FTE count represents year-end headcount; average FTE methodology may be adopted in future reporting periods for improved accuracy.</w:t>
      </w:r>
    </w:p>
    <w:p w14:paraId="6A85B453" w14:textId="77777777" w:rsidR="00535AD5" w:rsidRDefault="000F4CA5">
      <w:pPr>
        <w:spacing w:after="160"/>
        <w:jc w:val="both"/>
      </w:pPr>
      <w:r>
        <w:rPr>
          <w:rFonts w:ascii="Arial" w:hAnsi="Arial"/>
          <w:i/>
          <w:color w:val="646464"/>
          <w:sz w:val="18"/>
        </w:rPr>
        <w:t>Scope 2 emissions calculated using market-based method per GRI 305-2 guidance. Location-based intensity available upon request.</w:t>
      </w:r>
    </w:p>
    <w:p w14:paraId="2663BB2E" w14:textId="77777777" w:rsidR="00535AD5" w:rsidRDefault="000F4CA5">
      <w:pPr>
        <w:pStyle w:val="Heading1"/>
        <w:spacing w:after="240"/>
      </w:pPr>
      <w:bookmarkStart w:id="15" w:name="_Toc231920350"/>
      <w:r>
        <w:rPr>
          <w:rFonts w:ascii="Arial" w:hAnsi="Arial"/>
          <w:color w:val="1B3A6B"/>
          <w:sz w:val="36"/>
        </w:rPr>
        <w:t>GRI 305-4: Intensitas Emisi GRK (GHG Emissions Intensity)</w:t>
      </w:r>
      <w:bookmarkEnd w:id="15"/>
    </w:p>
    <w:p w14:paraId="5B10A42F" w14:textId="77777777" w:rsidR="00535AD5" w:rsidRDefault="000F4CA5">
      <w:pPr>
        <w:spacing w:after="160"/>
        <w:jc w:val="both"/>
      </w:pPr>
      <w:r>
        <w:rPr>
          <w:rFonts w:ascii="Arial" w:hAnsi="Arial"/>
        </w:rPr>
        <w:t xml:space="preserve">Untuk Tahun Pelaporan 2024, institusi melaporkan intensitas emisi GRK sebesar 239,400139 tCO2e per miliar IDR pendapatan dan 1,9209 tCO2e per FTE (Full-Time Equivalent). Metrik intensitas ini menormalkan total emisi GRK terhadap indikator kinerja organisasi untuk memungkinkan perbandingan kinerja dari waktu ke waktu dan terhadap peer di sektor perbankan Indonesia. Intensitas berbasis pendapatan mencakup Scope 1, Scope 2 (market-based), dan Scope 3 Kategori 15 (financed emissions), sementara </w:t>
      </w:r>
      <w:r>
        <w:rPr>
          <w:rFonts w:ascii="Arial" w:hAnsi="Arial"/>
        </w:rPr>
        <w:lastRenderedPageBreak/>
        <w:t>intensitas berbasis FTE mencakup hanya emisi operasional (Scope 1 + 2 market-based) sesuai dengan praktik pelaporan POJK No. 51/POJK.03/2017 tentang Penerapan Keuangan Berkelanjutan bagi Lembaga Jasa Keuangan.</w:t>
      </w:r>
    </w:p>
    <w:p w14:paraId="28777C10" w14:textId="77777777" w:rsidR="00535AD5" w:rsidRDefault="000F4CA5">
      <w:pPr>
        <w:spacing w:after="160"/>
        <w:jc w:val="both"/>
      </w:pPr>
      <w:r>
        <w:rPr>
          <w:rFonts w:ascii="Arial" w:hAnsi="Arial"/>
          <w:i/>
        </w:rPr>
        <w:t>Metodologi perhitungan intensitas menggunakan denominators sebagai berikut: (1) Pendapatan total institusi dalam miliar IDR untuk tahun fiskal 2024, yang mencakup seluruh pendapatan operasional dan non-operasional sesuai dengan standar akuntansi yang berlaku di Indonesia (PSAK); (2) Jumlah FTE sebesar 24.997 karyawan, yang didefinisikan sebagai total karyawan tetap dan kontrak yang bekerja penuh waktu pada akhir periode pelaporan, tidak termasuk tenaga kerja paruh waktu atau outsourced. Numerator untuk inte</w:t>
      </w:r>
      <w:r>
        <w:rPr>
          <w:rFonts w:ascii="Arial" w:hAnsi="Arial"/>
          <w:i/>
        </w:rPr>
        <w:t>nsitas berbasis pendapatan adalah total emisi GRK sebesar 15.328.191,01 tCO2e (Scope 1: 3.402,997 tCO2e + Scope 2 market-based: 44.612,518 tCO2e + Scope 3 Cat 15 weighted: 15.280.174,14 tCO2e). Numerator untuk intensitas berbasis FTE adalah emisi operasional sebesar 48.015,515 tCO2e (Scope 1 + Scope 2 market-based).</w:t>
      </w:r>
    </w:p>
    <w:p w14:paraId="0ADF3540" w14:textId="77777777" w:rsidR="00535AD5" w:rsidRDefault="000F4CA5">
      <w:pPr>
        <w:spacing w:after="160"/>
        <w:jc w:val="both"/>
      </w:pPr>
      <w:r>
        <w:rPr>
          <w:rFonts w:ascii="Arial" w:hAnsi="Arial"/>
        </w:rPr>
        <w:t>Cakupan emisi untuk kedua metrik intensitas berbeda sesuai dengan tujuan pengukuran. Intensitas berbasis pendapatan (239,400139 tCO2e per miliar IDR) mencakup Scope 1 (emisi langsung dari konsumsi bahan bakar), Scope 2 market-based (emisi tidak langsung dari konsumsi listrik dengan faktor emisi PLN National Grid 2023: 0,7886 kg CO2/kWh), dan Scope 3 Kategori 15 gross financed emissions (21.976.797,3 tCO2e) yang disesuaikan dengan PCAF data quality weighting menjadi 15.280.174,14 tCO2e. Intensitas berbasis F</w:t>
      </w:r>
      <w:r>
        <w:rPr>
          <w:rFonts w:ascii="Arial" w:hAnsi="Arial"/>
        </w:rPr>
        <w:t>TE (1,9209 tCO2e per FTE) mencakup hanya emisi operasional (Scope 1 + 2 market-based) untuk mengukur efisiensi karbon per karyawan dalam operasi langsung institusi, tidak termasuk financed emissions yang merupakan emisi tidak langsung dari portofolio pinjaman.</w:t>
      </w:r>
    </w:p>
    <w:p w14:paraId="300A9E02" w14:textId="77777777" w:rsidR="00535AD5" w:rsidRDefault="000F4CA5">
      <w:pPr>
        <w:spacing w:after="160"/>
        <w:jc w:val="both"/>
      </w:pPr>
      <w:r>
        <w:rPr>
          <w:rFonts w:ascii="Arial" w:hAnsi="Arial"/>
        </w:rPr>
        <w:t>Perbandingan tahun-ke-tahun menunjukkan perbaikan kinerja intensitas emisi. Intensitas berbasis pendapatan menurun dari 270,116632 tCO2e per miliar IDR pada tahun 2023 menjadi 239,400139 tCO2e per miliar IDR pada tahun 2024, mencerminkan penurunan sebesar 11,37%. Intensitas berbasis FTE juga menurun dari 1,956 tCO2e per FTE pada tahun 2023 menjadi 1,9209 tCO2e per FTE pada tahun 2024, mencerminkan penurunan sebesar 1,79%. Perbaikan intensitas berbasis pendapatan yang lebih signifikan menunjukkan bahwa pertu</w:t>
      </w:r>
      <w:r>
        <w:rPr>
          <w:rFonts w:ascii="Arial" w:hAnsi="Arial"/>
        </w:rPr>
        <w:t>mbuhan pendapatan institusi melampaui pertumbuhan emisi GRK, yang mengindikasikan peningkatan efisiensi karbon dalam operasi dan portofolio pembiayaan. Penurunan intensitas berbasis FTE yang lebih moderat mencerminkan stabilitas emisi operasional per karyawan meskipun terjadi peningkatan jumlah FTE sebesar 2,03% (dari 24.500 pada tahun 2023 menjadi 24.997 pada tahun 2024).</w:t>
      </w:r>
    </w:p>
    <w:p w14:paraId="225C90B0" w14:textId="77777777" w:rsidR="00535AD5" w:rsidRDefault="000F4CA5">
      <w:r>
        <w:rPr>
          <w:rFonts w:ascii="Arial" w:hAnsi="Arial"/>
          <w:b/>
          <w:sz w:val="20"/>
        </w:rPr>
        <w:t>Tabel Perhitungan Intensitas Emisi GRK Tahun Pelaporan 2024</w:t>
      </w:r>
    </w:p>
    <w:tbl>
      <w:tblPr>
        <w:tblW w:w="0" w:type="auto"/>
        <w:jc w:val="center"/>
        <w:tblLook w:val="04A0" w:firstRow="1" w:lastRow="0" w:firstColumn="1" w:lastColumn="0" w:noHBand="0" w:noVBand="1"/>
      </w:tblPr>
      <w:tblGrid>
        <w:gridCol w:w="831"/>
        <w:gridCol w:w="1187"/>
        <w:gridCol w:w="1368"/>
        <w:gridCol w:w="1327"/>
        <w:gridCol w:w="1167"/>
        <w:gridCol w:w="941"/>
        <w:gridCol w:w="1277"/>
        <w:gridCol w:w="1147"/>
      </w:tblGrid>
      <w:tr w:rsidR="00535AD5" w14:paraId="5CF8FD9F" w14:textId="77777777">
        <w:trPr>
          <w:jc w:val="center"/>
        </w:trPr>
        <w:tc>
          <w:tcPr>
            <w:tcW w:w="1129" w:type="dxa"/>
            <w:shd w:val="clear" w:color="auto" w:fill="1B3A6B"/>
          </w:tcPr>
          <w:p w14:paraId="5427813C" w14:textId="77777777" w:rsidR="00535AD5" w:rsidRDefault="000F4CA5">
            <w:r>
              <w:rPr>
                <w:rFonts w:ascii="Arial" w:hAnsi="Arial"/>
                <w:b/>
                <w:color w:val="FFFFFF"/>
                <w:sz w:val="18"/>
              </w:rPr>
              <w:t>No.</w:t>
            </w:r>
          </w:p>
        </w:tc>
        <w:tc>
          <w:tcPr>
            <w:tcW w:w="1129" w:type="dxa"/>
            <w:shd w:val="clear" w:color="auto" w:fill="1B3A6B"/>
          </w:tcPr>
          <w:p w14:paraId="0A95B7B6" w14:textId="77777777" w:rsidR="00535AD5" w:rsidRDefault="000F4CA5">
            <w:r>
              <w:rPr>
                <w:rFonts w:ascii="Arial" w:hAnsi="Arial"/>
                <w:b/>
                <w:color w:val="FFFFFF"/>
                <w:sz w:val="18"/>
              </w:rPr>
              <w:t>Metrik Intensitas</w:t>
            </w:r>
          </w:p>
        </w:tc>
        <w:tc>
          <w:tcPr>
            <w:tcW w:w="1129" w:type="dxa"/>
            <w:shd w:val="clear" w:color="auto" w:fill="1B3A6B"/>
          </w:tcPr>
          <w:p w14:paraId="2CB57D96" w14:textId="77777777" w:rsidR="00535AD5" w:rsidRDefault="000F4CA5">
            <w:r>
              <w:rPr>
                <w:rFonts w:ascii="Arial" w:hAnsi="Arial"/>
                <w:b/>
                <w:color w:val="FFFFFF"/>
                <w:sz w:val="18"/>
              </w:rPr>
              <w:t>Numerator (tCO2e)</w:t>
            </w:r>
          </w:p>
        </w:tc>
        <w:tc>
          <w:tcPr>
            <w:tcW w:w="1129" w:type="dxa"/>
            <w:shd w:val="clear" w:color="auto" w:fill="1B3A6B"/>
          </w:tcPr>
          <w:p w14:paraId="499FAD5F" w14:textId="77777777" w:rsidR="00535AD5" w:rsidRDefault="000F4CA5">
            <w:r>
              <w:rPr>
                <w:rFonts w:ascii="Arial" w:hAnsi="Arial"/>
                <w:b/>
                <w:color w:val="FFFFFF"/>
                <w:sz w:val="18"/>
              </w:rPr>
              <w:t>Denominator</w:t>
            </w:r>
          </w:p>
        </w:tc>
        <w:tc>
          <w:tcPr>
            <w:tcW w:w="1129" w:type="dxa"/>
            <w:shd w:val="clear" w:color="auto" w:fill="1B3A6B"/>
          </w:tcPr>
          <w:p w14:paraId="0DCAF31A" w14:textId="77777777" w:rsidR="00535AD5" w:rsidRDefault="000F4CA5">
            <w:r>
              <w:rPr>
                <w:rFonts w:ascii="Arial" w:hAnsi="Arial"/>
                <w:b/>
                <w:color w:val="FFFFFF"/>
                <w:sz w:val="18"/>
              </w:rPr>
              <w:t>Rasio Intensitas</w:t>
            </w:r>
          </w:p>
        </w:tc>
        <w:tc>
          <w:tcPr>
            <w:tcW w:w="1129" w:type="dxa"/>
            <w:shd w:val="clear" w:color="auto" w:fill="1B3A6B"/>
          </w:tcPr>
          <w:p w14:paraId="3DDCDAE7" w14:textId="77777777" w:rsidR="00535AD5" w:rsidRDefault="000F4CA5">
            <w:r>
              <w:rPr>
                <w:rFonts w:ascii="Arial" w:hAnsi="Arial"/>
                <w:b/>
                <w:color w:val="FFFFFF"/>
                <w:sz w:val="18"/>
              </w:rPr>
              <w:t>Unit</w:t>
            </w:r>
          </w:p>
        </w:tc>
        <w:tc>
          <w:tcPr>
            <w:tcW w:w="1129" w:type="dxa"/>
            <w:shd w:val="clear" w:color="auto" w:fill="1B3A6B"/>
          </w:tcPr>
          <w:p w14:paraId="5CC69B12" w14:textId="77777777" w:rsidR="00535AD5" w:rsidRDefault="000F4CA5">
            <w:r>
              <w:rPr>
                <w:rFonts w:ascii="Arial" w:hAnsi="Arial"/>
                <w:b/>
                <w:color w:val="FFFFFF"/>
                <w:sz w:val="18"/>
              </w:rPr>
              <w:t>Tahun Sebelumnya</w:t>
            </w:r>
          </w:p>
        </w:tc>
        <w:tc>
          <w:tcPr>
            <w:tcW w:w="1129" w:type="dxa"/>
            <w:shd w:val="clear" w:color="auto" w:fill="1B3A6B"/>
          </w:tcPr>
          <w:p w14:paraId="4A37E27F" w14:textId="77777777" w:rsidR="00535AD5" w:rsidRDefault="000F4CA5">
            <w:r>
              <w:rPr>
                <w:rFonts w:ascii="Arial" w:hAnsi="Arial"/>
                <w:b/>
                <w:color w:val="FFFFFF"/>
                <w:sz w:val="18"/>
              </w:rPr>
              <w:t>Perubahan (%)</w:t>
            </w:r>
          </w:p>
        </w:tc>
      </w:tr>
      <w:tr w:rsidR="00535AD5" w14:paraId="6A51A67C" w14:textId="77777777">
        <w:trPr>
          <w:jc w:val="center"/>
        </w:trPr>
        <w:tc>
          <w:tcPr>
            <w:tcW w:w="1129" w:type="dxa"/>
          </w:tcPr>
          <w:p w14:paraId="5726B4A5" w14:textId="77777777" w:rsidR="00535AD5" w:rsidRDefault="000F4CA5">
            <w:pPr>
              <w:jc w:val="right"/>
            </w:pPr>
            <w:r>
              <w:rPr>
                <w:rFonts w:ascii="Arial" w:hAnsi="Arial"/>
                <w:sz w:val="18"/>
              </w:rPr>
              <w:t>1</w:t>
            </w:r>
          </w:p>
        </w:tc>
        <w:tc>
          <w:tcPr>
            <w:tcW w:w="1129" w:type="dxa"/>
          </w:tcPr>
          <w:p w14:paraId="02ED0FC3" w14:textId="77777777" w:rsidR="00535AD5" w:rsidRDefault="000F4CA5">
            <w:r>
              <w:rPr>
                <w:rFonts w:ascii="Arial" w:hAnsi="Arial"/>
                <w:sz w:val="18"/>
              </w:rPr>
              <w:t>Intensitas Berbasis Pendapatan</w:t>
            </w:r>
          </w:p>
        </w:tc>
        <w:tc>
          <w:tcPr>
            <w:tcW w:w="1129" w:type="dxa"/>
          </w:tcPr>
          <w:p w14:paraId="5B825BF1" w14:textId="77777777" w:rsidR="00535AD5" w:rsidRDefault="000F4CA5">
            <w:r>
              <w:rPr>
                <w:rFonts w:ascii="Arial" w:hAnsi="Arial"/>
                <w:sz w:val="18"/>
              </w:rPr>
              <w:t>15.328.191,01</w:t>
            </w:r>
          </w:p>
        </w:tc>
        <w:tc>
          <w:tcPr>
            <w:tcW w:w="1129" w:type="dxa"/>
          </w:tcPr>
          <w:p w14:paraId="330E1DEC" w14:textId="77777777" w:rsidR="00535AD5" w:rsidRDefault="000F4CA5">
            <w:r>
              <w:rPr>
                <w:rFonts w:ascii="Arial" w:hAnsi="Arial"/>
                <w:sz w:val="18"/>
              </w:rPr>
              <w:t>64.032,00 miliar IDR</w:t>
            </w:r>
          </w:p>
        </w:tc>
        <w:tc>
          <w:tcPr>
            <w:tcW w:w="1129" w:type="dxa"/>
          </w:tcPr>
          <w:p w14:paraId="3F9EAA65" w14:textId="77777777" w:rsidR="00535AD5" w:rsidRDefault="000F4CA5">
            <w:pPr>
              <w:jc w:val="right"/>
            </w:pPr>
            <w:r>
              <w:rPr>
                <w:rFonts w:ascii="Arial" w:hAnsi="Arial"/>
                <w:sz w:val="18"/>
              </w:rPr>
              <w:t>239,400139</w:t>
            </w:r>
          </w:p>
        </w:tc>
        <w:tc>
          <w:tcPr>
            <w:tcW w:w="1129" w:type="dxa"/>
          </w:tcPr>
          <w:p w14:paraId="44FBBF5B" w14:textId="77777777" w:rsidR="00535AD5" w:rsidRDefault="000F4CA5">
            <w:r>
              <w:rPr>
                <w:rFonts w:ascii="Arial" w:hAnsi="Arial"/>
                <w:sz w:val="18"/>
              </w:rPr>
              <w:t>tCO2e per miliar IDR</w:t>
            </w:r>
          </w:p>
        </w:tc>
        <w:tc>
          <w:tcPr>
            <w:tcW w:w="1129" w:type="dxa"/>
          </w:tcPr>
          <w:p w14:paraId="08E8D7A9" w14:textId="77777777" w:rsidR="00535AD5" w:rsidRDefault="000F4CA5">
            <w:pPr>
              <w:jc w:val="right"/>
            </w:pPr>
            <w:r>
              <w:rPr>
                <w:rFonts w:ascii="Arial" w:hAnsi="Arial"/>
                <w:sz w:val="18"/>
              </w:rPr>
              <w:t>270,116632</w:t>
            </w:r>
          </w:p>
        </w:tc>
        <w:tc>
          <w:tcPr>
            <w:tcW w:w="1129" w:type="dxa"/>
          </w:tcPr>
          <w:p w14:paraId="67A61A73" w14:textId="77777777" w:rsidR="00535AD5" w:rsidRDefault="000F4CA5">
            <w:pPr>
              <w:jc w:val="right"/>
            </w:pPr>
            <w:r>
              <w:rPr>
                <w:rFonts w:ascii="Arial" w:hAnsi="Arial"/>
                <w:sz w:val="18"/>
              </w:rPr>
              <w:t>-11,37</w:t>
            </w:r>
          </w:p>
        </w:tc>
      </w:tr>
      <w:tr w:rsidR="00535AD5" w14:paraId="63597AFD" w14:textId="77777777">
        <w:trPr>
          <w:jc w:val="center"/>
        </w:trPr>
        <w:tc>
          <w:tcPr>
            <w:tcW w:w="1129" w:type="dxa"/>
            <w:shd w:val="clear" w:color="auto" w:fill="F2F6FC"/>
          </w:tcPr>
          <w:p w14:paraId="596CD4C9" w14:textId="77777777" w:rsidR="00535AD5" w:rsidRDefault="000F4CA5">
            <w:pPr>
              <w:jc w:val="right"/>
            </w:pPr>
            <w:r>
              <w:rPr>
                <w:rFonts w:ascii="Arial" w:hAnsi="Arial"/>
                <w:sz w:val="18"/>
              </w:rPr>
              <w:t>2</w:t>
            </w:r>
          </w:p>
        </w:tc>
        <w:tc>
          <w:tcPr>
            <w:tcW w:w="1129" w:type="dxa"/>
            <w:shd w:val="clear" w:color="auto" w:fill="F2F6FC"/>
          </w:tcPr>
          <w:p w14:paraId="3F2C18E2" w14:textId="77777777" w:rsidR="00535AD5" w:rsidRDefault="000F4CA5">
            <w:r>
              <w:rPr>
                <w:rFonts w:ascii="Arial" w:hAnsi="Arial"/>
                <w:sz w:val="18"/>
              </w:rPr>
              <w:t>Intensitas Berbasis FTE</w:t>
            </w:r>
          </w:p>
        </w:tc>
        <w:tc>
          <w:tcPr>
            <w:tcW w:w="1129" w:type="dxa"/>
            <w:shd w:val="clear" w:color="auto" w:fill="F2F6FC"/>
          </w:tcPr>
          <w:p w14:paraId="19C3653A" w14:textId="77777777" w:rsidR="00535AD5" w:rsidRDefault="000F4CA5">
            <w:pPr>
              <w:jc w:val="right"/>
            </w:pPr>
            <w:r>
              <w:rPr>
                <w:rFonts w:ascii="Arial" w:hAnsi="Arial"/>
                <w:sz w:val="18"/>
              </w:rPr>
              <w:t>48.015,515</w:t>
            </w:r>
          </w:p>
        </w:tc>
        <w:tc>
          <w:tcPr>
            <w:tcW w:w="1129" w:type="dxa"/>
            <w:shd w:val="clear" w:color="auto" w:fill="F2F6FC"/>
          </w:tcPr>
          <w:p w14:paraId="780F34B7" w14:textId="77777777" w:rsidR="00535AD5" w:rsidRDefault="000F4CA5">
            <w:r>
              <w:rPr>
                <w:rFonts w:ascii="Arial" w:hAnsi="Arial"/>
                <w:sz w:val="18"/>
              </w:rPr>
              <w:t>24.997 FTE</w:t>
            </w:r>
          </w:p>
        </w:tc>
        <w:tc>
          <w:tcPr>
            <w:tcW w:w="1129" w:type="dxa"/>
            <w:shd w:val="clear" w:color="auto" w:fill="F2F6FC"/>
          </w:tcPr>
          <w:p w14:paraId="7A6637BA" w14:textId="77777777" w:rsidR="00535AD5" w:rsidRDefault="000F4CA5">
            <w:pPr>
              <w:jc w:val="right"/>
            </w:pPr>
            <w:r>
              <w:rPr>
                <w:rFonts w:ascii="Arial" w:hAnsi="Arial"/>
                <w:sz w:val="18"/>
              </w:rPr>
              <w:t>1,9209</w:t>
            </w:r>
          </w:p>
        </w:tc>
        <w:tc>
          <w:tcPr>
            <w:tcW w:w="1129" w:type="dxa"/>
            <w:shd w:val="clear" w:color="auto" w:fill="F2F6FC"/>
          </w:tcPr>
          <w:p w14:paraId="3E74E676" w14:textId="77777777" w:rsidR="00535AD5" w:rsidRDefault="000F4CA5">
            <w:r>
              <w:rPr>
                <w:rFonts w:ascii="Arial" w:hAnsi="Arial"/>
                <w:sz w:val="18"/>
              </w:rPr>
              <w:t>tCO2e per FTE</w:t>
            </w:r>
          </w:p>
        </w:tc>
        <w:tc>
          <w:tcPr>
            <w:tcW w:w="1129" w:type="dxa"/>
            <w:shd w:val="clear" w:color="auto" w:fill="F2F6FC"/>
          </w:tcPr>
          <w:p w14:paraId="25BA1B81" w14:textId="77777777" w:rsidR="00535AD5" w:rsidRDefault="000F4CA5">
            <w:pPr>
              <w:jc w:val="right"/>
            </w:pPr>
            <w:r>
              <w:rPr>
                <w:rFonts w:ascii="Arial" w:hAnsi="Arial"/>
                <w:sz w:val="18"/>
              </w:rPr>
              <w:t>1,956</w:t>
            </w:r>
          </w:p>
        </w:tc>
        <w:tc>
          <w:tcPr>
            <w:tcW w:w="1129" w:type="dxa"/>
            <w:shd w:val="clear" w:color="auto" w:fill="F2F6FC"/>
          </w:tcPr>
          <w:p w14:paraId="6FBDE725" w14:textId="77777777" w:rsidR="00535AD5" w:rsidRDefault="000F4CA5">
            <w:pPr>
              <w:jc w:val="right"/>
            </w:pPr>
            <w:r>
              <w:rPr>
                <w:rFonts w:ascii="Arial" w:hAnsi="Arial"/>
                <w:sz w:val="18"/>
              </w:rPr>
              <w:t>-1,79</w:t>
            </w:r>
          </w:p>
        </w:tc>
      </w:tr>
    </w:tbl>
    <w:p w14:paraId="7AD0222F" w14:textId="77777777" w:rsidR="00535AD5" w:rsidRDefault="000F4CA5">
      <w:r>
        <w:rPr>
          <w:rFonts w:ascii="Arial" w:hAnsi="Arial"/>
          <w:i/>
          <w:sz w:val="16"/>
        </w:rPr>
        <w:lastRenderedPageBreak/>
        <w:t>Source: Sumber: Sistem pelaporan GRK institusi, tahun fiskal 2024. Scope 2 menggunakan metode market-based dengan faktor emisi PLN National Grid 2023: 0,7886 kg CO2/kWh. Financed emissions (Scope 3 Cat 15) disesuaikan dengan PCAF data quality weighting (rata-rata skor: 3,36).</w:t>
      </w:r>
    </w:p>
    <w:p w14:paraId="1DBC62F5" w14:textId="77777777" w:rsidR="00535AD5" w:rsidRDefault="00535AD5"/>
    <w:p w14:paraId="5F2D0A79" w14:textId="77777777" w:rsidR="00535AD5" w:rsidRDefault="000F4CA5">
      <w:r>
        <w:rPr>
          <w:rFonts w:ascii="Arial" w:hAnsi="Arial"/>
          <w:b/>
          <w:sz w:val="20"/>
        </w:rPr>
        <w:t>Tabel Perbandingan Intensitas Emisi GRK dengan Tahun Sebelumnya (Format OJK)</w:t>
      </w:r>
    </w:p>
    <w:tbl>
      <w:tblPr>
        <w:tblW w:w="0" w:type="auto"/>
        <w:jc w:val="center"/>
        <w:tblLook w:val="04A0" w:firstRow="1" w:lastRow="0" w:firstColumn="1" w:lastColumn="0" w:noHBand="0" w:noVBand="1"/>
      </w:tblPr>
      <w:tblGrid>
        <w:gridCol w:w="852"/>
        <w:gridCol w:w="1187"/>
        <w:gridCol w:w="991"/>
        <w:gridCol w:w="1368"/>
        <w:gridCol w:w="1368"/>
        <w:gridCol w:w="1147"/>
        <w:gridCol w:w="1115"/>
        <w:gridCol w:w="1217"/>
      </w:tblGrid>
      <w:tr w:rsidR="00535AD5" w14:paraId="59A8FE01" w14:textId="77777777">
        <w:trPr>
          <w:jc w:val="center"/>
        </w:trPr>
        <w:tc>
          <w:tcPr>
            <w:tcW w:w="1129" w:type="dxa"/>
            <w:shd w:val="clear" w:color="auto" w:fill="1B3A6B"/>
          </w:tcPr>
          <w:p w14:paraId="5DF7AA02" w14:textId="77777777" w:rsidR="00535AD5" w:rsidRDefault="000F4CA5">
            <w:r>
              <w:rPr>
                <w:rFonts w:ascii="Arial" w:hAnsi="Arial"/>
                <w:b/>
                <w:color w:val="FFFFFF"/>
                <w:sz w:val="18"/>
              </w:rPr>
              <w:t>No.</w:t>
            </w:r>
          </w:p>
        </w:tc>
        <w:tc>
          <w:tcPr>
            <w:tcW w:w="1129" w:type="dxa"/>
            <w:shd w:val="clear" w:color="auto" w:fill="1B3A6B"/>
          </w:tcPr>
          <w:p w14:paraId="0141F7B5" w14:textId="77777777" w:rsidR="00535AD5" w:rsidRDefault="000F4CA5">
            <w:r>
              <w:rPr>
                <w:rFonts w:ascii="Arial" w:hAnsi="Arial"/>
                <w:b/>
                <w:color w:val="FFFFFF"/>
                <w:sz w:val="18"/>
              </w:rPr>
              <w:t>Indikator</w:t>
            </w:r>
          </w:p>
        </w:tc>
        <w:tc>
          <w:tcPr>
            <w:tcW w:w="1129" w:type="dxa"/>
            <w:shd w:val="clear" w:color="auto" w:fill="1B3A6B"/>
          </w:tcPr>
          <w:p w14:paraId="5AC87A39" w14:textId="77777777" w:rsidR="00535AD5" w:rsidRDefault="000F4CA5">
            <w:r>
              <w:rPr>
                <w:rFonts w:ascii="Arial" w:hAnsi="Arial"/>
                <w:b/>
                <w:color w:val="FFFFFF"/>
                <w:sz w:val="18"/>
              </w:rPr>
              <w:t>Satuan</w:t>
            </w:r>
          </w:p>
        </w:tc>
        <w:tc>
          <w:tcPr>
            <w:tcW w:w="1129" w:type="dxa"/>
            <w:shd w:val="clear" w:color="auto" w:fill="1B3A6B"/>
          </w:tcPr>
          <w:p w14:paraId="5805C1A3" w14:textId="77777777" w:rsidR="00535AD5" w:rsidRDefault="000F4CA5">
            <w:r>
              <w:rPr>
                <w:rFonts w:ascii="Arial" w:hAnsi="Arial"/>
                <w:b/>
                <w:color w:val="FFFFFF"/>
                <w:sz w:val="18"/>
              </w:rPr>
              <w:t>Tahun Pelaporan 2024</w:t>
            </w:r>
          </w:p>
        </w:tc>
        <w:tc>
          <w:tcPr>
            <w:tcW w:w="1129" w:type="dxa"/>
            <w:shd w:val="clear" w:color="auto" w:fill="1B3A6B"/>
          </w:tcPr>
          <w:p w14:paraId="6FE262DA" w14:textId="77777777" w:rsidR="00535AD5" w:rsidRDefault="000F4CA5">
            <w:r>
              <w:rPr>
                <w:rFonts w:ascii="Arial" w:hAnsi="Arial"/>
                <w:b/>
                <w:color w:val="FFFFFF"/>
                <w:sz w:val="18"/>
              </w:rPr>
              <w:t>Tahun Sebelumnya 2023</w:t>
            </w:r>
          </w:p>
        </w:tc>
        <w:tc>
          <w:tcPr>
            <w:tcW w:w="1129" w:type="dxa"/>
            <w:shd w:val="clear" w:color="auto" w:fill="1B3A6B"/>
          </w:tcPr>
          <w:p w14:paraId="5AF740D3" w14:textId="77777777" w:rsidR="00535AD5" w:rsidRDefault="000F4CA5">
            <w:r>
              <w:rPr>
                <w:rFonts w:ascii="Arial" w:hAnsi="Arial"/>
                <w:b/>
                <w:color w:val="FFFFFF"/>
                <w:sz w:val="18"/>
              </w:rPr>
              <w:t>Perubahan (%)</w:t>
            </w:r>
          </w:p>
        </w:tc>
        <w:tc>
          <w:tcPr>
            <w:tcW w:w="1129" w:type="dxa"/>
            <w:shd w:val="clear" w:color="auto" w:fill="1B3A6B"/>
          </w:tcPr>
          <w:p w14:paraId="5A7ED3C4" w14:textId="77777777" w:rsidR="00535AD5" w:rsidRDefault="000F4CA5">
            <w:r>
              <w:rPr>
                <w:rFonts w:ascii="Arial" w:hAnsi="Arial"/>
                <w:b/>
                <w:color w:val="FFFFFF"/>
                <w:sz w:val="18"/>
              </w:rPr>
              <w:t>Target</w:t>
            </w:r>
          </w:p>
        </w:tc>
        <w:tc>
          <w:tcPr>
            <w:tcW w:w="1129" w:type="dxa"/>
            <w:shd w:val="clear" w:color="auto" w:fill="1B3A6B"/>
          </w:tcPr>
          <w:p w14:paraId="4E8EDC5F" w14:textId="77777777" w:rsidR="00535AD5" w:rsidRDefault="000F4CA5">
            <w:r>
              <w:rPr>
                <w:rFonts w:ascii="Arial" w:hAnsi="Arial"/>
                <w:b/>
                <w:color w:val="FFFFFF"/>
                <w:sz w:val="18"/>
              </w:rPr>
              <w:t>Pencapaian</w:t>
            </w:r>
          </w:p>
        </w:tc>
      </w:tr>
      <w:tr w:rsidR="00535AD5" w14:paraId="169B9720" w14:textId="77777777">
        <w:trPr>
          <w:jc w:val="center"/>
        </w:trPr>
        <w:tc>
          <w:tcPr>
            <w:tcW w:w="1129" w:type="dxa"/>
          </w:tcPr>
          <w:p w14:paraId="43254FDE" w14:textId="77777777" w:rsidR="00535AD5" w:rsidRDefault="000F4CA5">
            <w:pPr>
              <w:jc w:val="right"/>
            </w:pPr>
            <w:r>
              <w:rPr>
                <w:rFonts w:ascii="Arial" w:hAnsi="Arial"/>
                <w:sz w:val="18"/>
              </w:rPr>
              <w:t>1</w:t>
            </w:r>
          </w:p>
        </w:tc>
        <w:tc>
          <w:tcPr>
            <w:tcW w:w="1129" w:type="dxa"/>
          </w:tcPr>
          <w:p w14:paraId="0975D9E2" w14:textId="77777777" w:rsidR="00535AD5" w:rsidRDefault="000F4CA5">
            <w:r>
              <w:rPr>
                <w:rFonts w:ascii="Arial" w:hAnsi="Arial"/>
                <w:sz w:val="18"/>
              </w:rPr>
              <w:t>Intensitas Emisi per Pendapatan</w:t>
            </w:r>
          </w:p>
        </w:tc>
        <w:tc>
          <w:tcPr>
            <w:tcW w:w="1129" w:type="dxa"/>
          </w:tcPr>
          <w:p w14:paraId="09346B9A" w14:textId="77777777" w:rsidR="00535AD5" w:rsidRDefault="000F4CA5">
            <w:r>
              <w:rPr>
                <w:rFonts w:ascii="Arial" w:hAnsi="Arial"/>
                <w:sz w:val="18"/>
              </w:rPr>
              <w:t>tCO2e per miliar IDR</w:t>
            </w:r>
          </w:p>
        </w:tc>
        <w:tc>
          <w:tcPr>
            <w:tcW w:w="1129" w:type="dxa"/>
          </w:tcPr>
          <w:p w14:paraId="3B10A4C6" w14:textId="77777777" w:rsidR="00535AD5" w:rsidRDefault="000F4CA5">
            <w:pPr>
              <w:jc w:val="right"/>
            </w:pPr>
            <w:r>
              <w:rPr>
                <w:rFonts w:ascii="Arial" w:hAnsi="Arial"/>
                <w:sz w:val="18"/>
              </w:rPr>
              <w:t>239,40</w:t>
            </w:r>
          </w:p>
        </w:tc>
        <w:tc>
          <w:tcPr>
            <w:tcW w:w="1129" w:type="dxa"/>
          </w:tcPr>
          <w:p w14:paraId="088E11C1" w14:textId="77777777" w:rsidR="00535AD5" w:rsidRDefault="000F4CA5">
            <w:pPr>
              <w:jc w:val="right"/>
            </w:pPr>
            <w:r>
              <w:rPr>
                <w:rFonts w:ascii="Arial" w:hAnsi="Arial"/>
                <w:sz w:val="18"/>
              </w:rPr>
              <w:t>270,12</w:t>
            </w:r>
          </w:p>
        </w:tc>
        <w:tc>
          <w:tcPr>
            <w:tcW w:w="1129" w:type="dxa"/>
          </w:tcPr>
          <w:p w14:paraId="4D4BDA13" w14:textId="77777777" w:rsidR="00535AD5" w:rsidRDefault="000F4CA5">
            <w:pPr>
              <w:jc w:val="right"/>
            </w:pPr>
            <w:r>
              <w:rPr>
                <w:rFonts w:ascii="Arial" w:hAnsi="Arial"/>
                <w:sz w:val="18"/>
              </w:rPr>
              <w:t>-11,37</w:t>
            </w:r>
          </w:p>
        </w:tc>
        <w:tc>
          <w:tcPr>
            <w:tcW w:w="1129" w:type="dxa"/>
          </w:tcPr>
          <w:p w14:paraId="71F9F73F" w14:textId="77777777" w:rsidR="00535AD5" w:rsidRDefault="000F4CA5">
            <w:r>
              <w:rPr>
                <w:rFonts w:ascii="Arial" w:hAnsi="Arial"/>
                <w:sz w:val="18"/>
              </w:rPr>
              <w:t>Penurunan 5% YoY</w:t>
            </w:r>
          </w:p>
        </w:tc>
        <w:tc>
          <w:tcPr>
            <w:tcW w:w="1129" w:type="dxa"/>
          </w:tcPr>
          <w:p w14:paraId="1D8F1EC1" w14:textId="77777777" w:rsidR="00535AD5" w:rsidRDefault="000F4CA5">
            <w:r>
              <w:rPr>
                <w:rFonts w:ascii="Arial" w:hAnsi="Arial"/>
                <w:sz w:val="18"/>
              </w:rPr>
              <w:t>Target terlampaui</w:t>
            </w:r>
          </w:p>
        </w:tc>
      </w:tr>
      <w:tr w:rsidR="00535AD5" w14:paraId="6AA9D5E4" w14:textId="77777777">
        <w:trPr>
          <w:jc w:val="center"/>
        </w:trPr>
        <w:tc>
          <w:tcPr>
            <w:tcW w:w="1129" w:type="dxa"/>
            <w:shd w:val="clear" w:color="auto" w:fill="F2F6FC"/>
          </w:tcPr>
          <w:p w14:paraId="6A016543" w14:textId="77777777" w:rsidR="00535AD5" w:rsidRDefault="000F4CA5">
            <w:pPr>
              <w:jc w:val="right"/>
            </w:pPr>
            <w:r>
              <w:rPr>
                <w:rFonts w:ascii="Arial" w:hAnsi="Arial"/>
                <w:sz w:val="18"/>
              </w:rPr>
              <w:t>2</w:t>
            </w:r>
          </w:p>
        </w:tc>
        <w:tc>
          <w:tcPr>
            <w:tcW w:w="1129" w:type="dxa"/>
            <w:shd w:val="clear" w:color="auto" w:fill="F2F6FC"/>
          </w:tcPr>
          <w:p w14:paraId="5296B5D9" w14:textId="77777777" w:rsidR="00535AD5" w:rsidRDefault="000F4CA5">
            <w:r>
              <w:rPr>
                <w:rFonts w:ascii="Arial" w:hAnsi="Arial"/>
                <w:sz w:val="18"/>
              </w:rPr>
              <w:t>Intensitas Emisi per FTE</w:t>
            </w:r>
          </w:p>
        </w:tc>
        <w:tc>
          <w:tcPr>
            <w:tcW w:w="1129" w:type="dxa"/>
            <w:shd w:val="clear" w:color="auto" w:fill="F2F6FC"/>
          </w:tcPr>
          <w:p w14:paraId="7ACB1EFE" w14:textId="77777777" w:rsidR="00535AD5" w:rsidRDefault="000F4CA5">
            <w:r>
              <w:rPr>
                <w:rFonts w:ascii="Arial" w:hAnsi="Arial"/>
                <w:sz w:val="18"/>
              </w:rPr>
              <w:t>tCO2e per FTE</w:t>
            </w:r>
          </w:p>
        </w:tc>
        <w:tc>
          <w:tcPr>
            <w:tcW w:w="1129" w:type="dxa"/>
            <w:shd w:val="clear" w:color="auto" w:fill="F2F6FC"/>
          </w:tcPr>
          <w:p w14:paraId="5D70FC52" w14:textId="77777777" w:rsidR="00535AD5" w:rsidRDefault="000F4CA5">
            <w:pPr>
              <w:jc w:val="right"/>
            </w:pPr>
            <w:r>
              <w:rPr>
                <w:rFonts w:ascii="Arial" w:hAnsi="Arial"/>
                <w:sz w:val="18"/>
              </w:rPr>
              <w:t>1,92</w:t>
            </w:r>
          </w:p>
        </w:tc>
        <w:tc>
          <w:tcPr>
            <w:tcW w:w="1129" w:type="dxa"/>
            <w:shd w:val="clear" w:color="auto" w:fill="F2F6FC"/>
          </w:tcPr>
          <w:p w14:paraId="528CADFB" w14:textId="77777777" w:rsidR="00535AD5" w:rsidRDefault="000F4CA5">
            <w:pPr>
              <w:jc w:val="right"/>
            </w:pPr>
            <w:r>
              <w:rPr>
                <w:rFonts w:ascii="Arial" w:hAnsi="Arial"/>
                <w:sz w:val="18"/>
              </w:rPr>
              <w:t>1,96</w:t>
            </w:r>
          </w:p>
        </w:tc>
        <w:tc>
          <w:tcPr>
            <w:tcW w:w="1129" w:type="dxa"/>
            <w:shd w:val="clear" w:color="auto" w:fill="F2F6FC"/>
          </w:tcPr>
          <w:p w14:paraId="79FB4801" w14:textId="77777777" w:rsidR="00535AD5" w:rsidRDefault="000F4CA5">
            <w:pPr>
              <w:jc w:val="right"/>
            </w:pPr>
            <w:r>
              <w:rPr>
                <w:rFonts w:ascii="Arial" w:hAnsi="Arial"/>
                <w:sz w:val="18"/>
              </w:rPr>
              <w:t>-1,79</w:t>
            </w:r>
          </w:p>
        </w:tc>
        <w:tc>
          <w:tcPr>
            <w:tcW w:w="1129" w:type="dxa"/>
            <w:shd w:val="clear" w:color="auto" w:fill="F2F6FC"/>
          </w:tcPr>
          <w:p w14:paraId="380635B1" w14:textId="77777777" w:rsidR="00535AD5" w:rsidRDefault="000F4CA5">
            <w:r>
              <w:rPr>
                <w:rFonts w:ascii="Arial" w:hAnsi="Arial"/>
                <w:sz w:val="18"/>
              </w:rPr>
              <w:t>Penurunan 2% YoY</w:t>
            </w:r>
          </w:p>
        </w:tc>
        <w:tc>
          <w:tcPr>
            <w:tcW w:w="1129" w:type="dxa"/>
            <w:shd w:val="clear" w:color="auto" w:fill="F2F6FC"/>
          </w:tcPr>
          <w:p w14:paraId="61468D5B" w14:textId="77777777" w:rsidR="00535AD5" w:rsidRDefault="000F4CA5">
            <w:r>
              <w:rPr>
                <w:rFonts w:ascii="Arial" w:hAnsi="Arial"/>
                <w:sz w:val="18"/>
              </w:rPr>
              <w:t>Mendekati target</w:t>
            </w:r>
          </w:p>
        </w:tc>
      </w:tr>
      <w:tr w:rsidR="00535AD5" w14:paraId="49FCC521" w14:textId="77777777">
        <w:trPr>
          <w:jc w:val="center"/>
        </w:trPr>
        <w:tc>
          <w:tcPr>
            <w:tcW w:w="1129" w:type="dxa"/>
          </w:tcPr>
          <w:p w14:paraId="107F7302" w14:textId="77777777" w:rsidR="00535AD5" w:rsidRDefault="000F4CA5">
            <w:pPr>
              <w:jc w:val="right"/>
            </w:pPr>
            <w:r>
              <w:rPr>
                <w:rFonts w:ascii="Arial" w:hAnsi="Arial"/>
                <w:sz w:val="18"/>
              </w:rPr>
              <w:t>3</w:t>
            </w:r>
          </w:p>
        </w:tc>
        <w:tc>
          <w:tcPr>
            <w:tcW w:w="1129" w:type="dxa"/>
          </w:tcPr>
          <w:p w14:paraId="046BCBC7" w14:textId="77777777" w:rsidR="00535AD5" w:rsidRDefault="000F4CA5">
            <w:r>
              <w:rPr>
                <w:rFonts w:ascii="Arial" w:hAnsi="Arial"/>
                <w:sz w:val="18"/>
              </w:rPr>
              <w:t>Total Emisi GRK (Scope 1+2+3)</w:t>
            </w:r>
          </w:p>
        </w:tc>
        <w:tc>
          <w:tcPr>
            <w:tcW w:w="1129" w:type="dxa"/>
          </w:tcPr>
          <w:p w14:paraId="36753FAD" w14:textId="77777777" w:rsidR="00535AD5" w:rsidRDefault="000F4CA5">
            <w:r>
              <w:rPr>
                <w:rFonts w:ascii="Arial" w:hAnsi="Arial"/>
                <w:sz w:val="18"/>
              </w:rPr>
              <w:t>tCO2e</w:t>
            </w:r>
          </w:p>
        </w:tc>
        <w:tc>
          <w:tcPr>
            <w:tcW w:w="1129" w:type="dxa"/>
          </w:tcPr>
          <w:p w14:paraId="4B189408" w14:textId="77777777" w:rsidR="00535AD5" w:rsidRDefault="000F4CA5">
            <w:r>
              <w:rPr>
                <w:rFonts w:ascii="Arial" w:hAnsi="Arial"/>
                <w:sz w:val="18"/>
              </w:rPr>
              <w:t>15.328.191,01</w:t>
            </w:r>
          </w:p>
        </w:tc>
        <w:tc>
          <w:tcPr>
            <w:tcW w:w="1129" w:type="dxa"/>
          </w:tcPr>
          <w:p w14:paraId="08F3DBFD" w14:textId="77777777" w:rsidR="00535AD5" w:rsidRDefault="000F4CA5">
            <w:r>
              <w:rPr>
                <w:rFonts w:ascii="Arial" w:hAnsi="Arial"/>
                <w:sz w:val="18"/>
              </w:rPr>
              <w:t>15.624.162,08</w:t>
            </w:r>
          </w:p>
        </w:tc>
        <w:tc>
          <w:tcPr>
            <w:tcW w:w="1129" w:type="dxa"/>
          </w:tcPr>
          <w:p w14:paraId="0E4B2DAA" w14:textId="77777777" w:rsidR="00535AD5" w:rsidRDefault="000F4CA5">
            <w:pPr>
              <w:jc w:val="right"/>
            </w:pPr>
            <w:r>
              <w:rPr>
                <w:rFonts w:ascii="Arial" w:hAnsi="Arial"/>
                <w:sz w:val="18"/>
              </w:rPr>
              <w:t>-1,89</w:t>
            </w:r>
          </w:p>
        </w:tc>
        <w:tc>
          <w:tcPr>
            <w:tcW w:w="1129" w:type="dxa"/>
          </w:tcPr>
          <w:p w14:paraId="7523816F" w14:textId="77777777" w:rsidR="00535AD5" w:rsidRDefault="000F4CA5">
            <w:r>
              <w:rPr>
                <w:rFonts w:ascii="Arial" w:hAnsi="Arial"/>
                <w:sz w:val="18"/>
              </w:rPr>
              <w:t>Penurunan 3% YoY</w:t>
            </w:r>
          </w:p>
        </w:tc>
        <w:tc>
          <w:tcPr>
            <w:tcW w:w="1129" w:type="dxa"/>
          </w:tcPr>
          <w:p w14:paraId="6E2985BE" w14:textId="77777777" w:rsidR="00535AD5" w:rsidRDefault="000F4CA5">
            <w:r>
              <w:rPr>
                <w:rFonts w:ascii="Arial" w:hAnsi="Arial"/>
                <w:sz w:val="18"/>
              </w:rPr>
              <w:t>Mendekati target</w:t>
            </w:r>
          </w:p>
        </w:tc>
      </w:tr>
      <w:tr w:rsidR="00535AD5" w14:paraId="71FC7F0A" w14:textId="77777777">
        <w:trPr>
          <w:jc w:val="center"/>
        </w:trPr>
        <w:tc>
          <w:tcPr>
            <w:tcW w:w="1129" w:type="dxa"/>
            <w:shd w:val="clear" w:color="auto" w:fill="F2F6FC"/>
          </w:tcPr>
          <w:p w14:paraId="01236D9E" w14:textId="77777777" w:rsidR="00535AD5" w:rsidRDefault="000F4CA5">
            <w:pPr>
              <w:jc w:val="right"/>
            </w:pPr>
            <w:r>
              <w:rPr>
                <w:rFonts w:ascii="Arial" w:hAnsi="Arial"/>
                <w:sz w:val="18"/>
              </w:rPr>
              <w:t>4</w:t>
            </w:r>
          </w:p>
        </w:tc>
        <w:tc>
          <w:tcPr>
            <w:tcW w:w="1129" w:type="dxa"/>
            <w:shd w:val="clear" w:color="auto" w:fill="F2F6FC"/>
          </w:tcPr>
          <w:p w14:paraId="4730E5B8" w14:textId="77777777" w:rsidR="00535AD5" w:rsidRDefault="000F4CA5">
            <w:r>
              <w:rPr>
                <w:rFonts w:ascii="Arial" w:hAnsi="Arial"/>
                <w:sz w:val="18"/>
              </w:rPr>
              <w:t>Emisi Operasional (Scope 1+2)</w:t>
            </w:r>
          </w:p>
        </w:tc>
        <w:tc>
          <w:tcPr>
            <w:tcW w:w="1129" w:type="dxa"/>
            <w:shd w:val="clear" w:color="auto" w:fill="F2F6FC"/>
          </w:tcPr>
          <w:p w14:paraId="39E99AD6" w14:textId="77777777" w:rsidR="00535AD5" w:rsidRDefault="000F4CA5">
            <w:r>
              <w:rPr>
                <w:rFonts w:ascii="Arial" w:hAnsi="Arial"/>
                <w:sz w:val="18"/>
              </w:rPr>
              <w:t>tCO2e</w:t>
            </w:r>
          </w:p>
        </w:tc>
        <w:tc>
          <w:tcPr>
            <w:tcW w:w="1129" w:type="dxa"/>
            <w:shd w:val="clear" w:color="auto" w:fill="F2F6FC"/>
          </w:tcPr>
          <w:p w14:paraId="51E5E4A0" w14:textId="77777777" w:rsidR="00535AD5" w:rsidRDefault="000F4CA5">
            <w:pPr>
              <w:jc w:val="right"/>
            </w:pPr>
            <w:r>
              <w:rPr>
                <w:rFonts w:ascii="Arial" w:hAnsi="Arial"/>
                <w:sz w:val="18"/>
              </w:rPr>
              <w:t>48.015,52</w:t>
            </w:r>
          </w:p>
        </w:tc>
        <w:tc>
          <w:tcPr>
            <w:tcW w:w="1129" w:type="dxa"/>
            <w:shd w:val="clear" w:color="auto" w:fill="F2F6FC"/>
          </w:tcPr>
          <w:p w14:paraId="7B80A2A4" w14:textId="77777777" w:rsidR="00535AD5" w:rsidRDefault="000F4CA5">
            <w:pPr>
              <w:jc w:val="right"/>
            </w:pPr>
            <w:r>
              <w:rPr>
                <w:rFonts w:ascii="Arial" w:hAnsi="Arial"/>
                <w:sz w:val="18"/>
              </w:rPr>
              <w:t>47.923,96</w:t>
            </w:r>
          </w:p>
        </w:tc>
        <w:tc>
          <w:tcPr>
            <w:tcW w:w="1129" w:type="dxa"/>
            <w:shd w:val="clear" w:color="auto" w:fill="F2F6FC"/>
          </w:tcPr>
          <w:p w14:paraId="10EC6996" w14:textId="77777777" w:rsidR="00535AD5" w:rsidRDefault="000F4CA5">
            <w:pPr>
              <w:jc w:val="right"/>
            </w:pPr>
            <w:r>
              <w:rPr>
                <w:rFonts w:ascii="Arial" w:hAnsi="Arial"/>
                <w:sz w:val="18"/>
              </w:rPr>
              <w:t>+0,19</w:t>
            </w:r>
          </w:p>
        </w:tc>
        <w:tc>
          <w:tcPr>
            <w:tcW w:w="1129" w:type="dxa"/>
            <w:shd w:val="clear" w:color="auto" w:fill="F2F6FC"/>
          </w:tcPr>
          <w:p w14:paraId="589B6AA5" w14:textId="77777777" w:rsidR="00535AD5" w:rsidRDefault="000F4CA5">
            <w:r>
              <w:rPr>
                <w:rFonts w:ascii="Arial" w:hAnsi="Arial"/>
                <w:sz w:val="18"/>
              </w:rPr>
              <w:t>Stabilisasi</w:t>
            </w:r>
          </w:p>
        </w:tc>
        <w:tc>
          <w:tcPr>
            <w:tcW w:w="1129" w:type="dxa"/>
            <w:shd w:val="clear" w:color="auto" w:fill="F2F6FC"/>
          </w:tcPr>
          <w:p w14:paraId="5D571CE6" w14:textId="77777777" w:rsidR="00535AD5" w:rsidRDefault="000F4CA5">
            <w:r>
              <w:rPr>
                <w:rFonts w:ascii="Arial" w:hAnsi="Arial"/>
                <w:sz w:val="18"/>
              </w:rPr>
              <w:t>Tercapai</w:t>
            </w:r>
          </w:p>
        </w:tc>
      </w:tr>
    </w:tbl>
    <w:p w14:paraId="7EA29A84" w14:textId="77777777" w:rsidR="00535AD5" w:rsidRDefault="000F4CA5">
      <w:r>
        <w:rPr>
          <w:rFonts w:ascii="Arial" w:hAnsi="Arial"/>
          <w:i/>
          <w:sz w:val="16"/>
        </w:rPr>
        <w:t>Source: Sumber: Laporan Keberlanjutan institusi sesuai POJK No. 51/POJK.03/2017. Target intensitas ditetapkan dalam Rencana Aksi Keuangan Berkelanjutan (RAKB) institusi untuk periode 2024-2028.</w:t>
      </w:r>
    </w:p>
    <w:p w14:paraId="3F0EABC5" w14:textId="77777777" w:rsidR="00535AD5" w:rsidRDefault="00535AD5"/>
    <w:p w14:paraId="30E07B1C" w14:textId="77777777" w:rsidR="00535AD5" w:rsidRDefault="000F4CA5">
      <w:r>
        <w:rPr>
          <w:i/>
          <w:color w:val="3D6094"/>
          <w:sz w:val="18"/>
        </w:rPr>
        <w:t>Framework references: GRI 305-4: GHG Emissions Intensity; POJK No. 51/POJK.03/2017 Pasal 8-12 (Strategi Keuangan Berkelanjutan); SE OJK tentang Pelaporan Keuangan Berkelanjutan (Lampiran Metrik Lingkungan); GHG Protocol Corporate Standard (Intensity Metrics Guidance); PCAF Global GHG Accounting and Reporting Standard for the Financial Industry (2022)</w:t>
      </w:r>
    </w:p>
    <w:p w14:paraId="2EDFB325" w14:textId="77777777" w:rsidR="00535AD5" w:rsidRDefault="00535AD5">
      <w:pPr>
        <w:pBdr>
          <w:bottom w:val="single" w:sz="6" w:space="1" w:color="999999"/>
        </w:pBdr>
        <w:spacing w:after="80"/>
      </w:pPr>
    </w:p>
    <w:p w14:paraId="56E86157" w14:textId="77777777" w:rsidR="00535AD5" w:rsidRDefault="000F4CA5">
      <w:pPr>
        <w:spacing w:after="160"/>
        <w:jc w:val="both"/>
      </w:pPr>
      <w:r>
        <w:rPr>
          <w:rFonts w:ascii="Arial" w:hAnsi="Arial"/>
          <w:i/>
          <w:color w:val="646464"/>
          <w:sz w:val="18"/>
        </w:rPr>
        <w:t>Intensitas berbasis pendapatan mencakup Scope 1, Scope 2 (market-based), dan Scope 3 Kategori 15 (financed emissions weighted). Intensitas berbasis FTE mencakup hanya Scope 1 + 2 (market-based) untuk emisi operasional.</w:t>
      </w:r>
    </w:p>
    <w:p w14:paraId="2BEB2AB6" w14:textId="77777777" w:rsidR="00535AD5" w:rsidRDefault="000F4CA5">
      <w:pPr>
        <w:spacing w:after="160"/>
        <w:jc w:val="both"/>
      </w:pPr>
      <w:r>
        <w:rPr>
          <w:rFonts w:ascii="Arial" w:hAnsi="Arial"/>
          <w:i/>
          <w:color w:val="646464"/>
          <w:sz w:val="18"/>
        </w:rPr>
        <w:t>Denominators: Pendapatan total institusi untuk tahun fiskal 2024 (64.032,00 miliar IDR) dan jumlah FTE pada akhir periode pelaporan (24.997 karyawan).</w:t>
      </w:r>
    </w:p>
    <w:p w14:paraId="77D2555D" w14:textId="77777777" w:rsidR="00535AD5" w:rsidRDefault="000F4CA5">
      <w:pPr>
        <w:spacing w:after="160"/>
        <w:jc w:val="both"/>
      </w:pPr>
      <w:r>
        <w:rPr>
          <w:rFonts w:ascii="Arial" w:hAnsi="Arial"/>
          <w:i/>
          <w:color w:val="646464"/>
          <w:sz w:val="18"/>
        </w:rPr>
        <w:t>Scope 2 market-based menggunakan faktor emisi PLN National Grid 2023: 0,7886 kg CO2/kWh sesuai dengan Keputusan Menteri ESDM No. 15 K/20/MEM/2024.</w:t>
      </w:r>
    </w:p>
    <w:p w14:paraId="5B21DB67" w14:textId="77777777" w:rsidR="00535AD5" w:rsidRDefault="000F4CA5">
      <w:pPr>
        <w:spacing w:after="160"/>
        <w:jc w:val="both"/>
      </w:pPr>
      <w:r>
        <w:rPr>
          <w:rFonts w:ascii="Arial" w:hAnsi="Arial"/>
          <w:i/>
          <w:color w:val="646464"/>
          <w:sz w:val="18"/>
        </w:rPr>
        <w:t>Financed emissions (Scope 3 Kategori 15) disesuaikan dengan PCAF data quality weighting. Rata-rata skor kualitas data PCAF: 3,36 (skala 1-5, di mana 1 = kualitas tertinggi).</w:t>
      </w:r>
    </w:p>
    <w:p w14:paraId="3CEAD9C2" w14:textId="77777777" w:rsidR="00535AD5" w:rsidRDefault="000F4CA5">
      <w:pPr>
        <w:spacing w:after="160"/>
        <w:jc w:val="both"/>
      </w:pPr>
      <w:r>
        <w:rPr>
          <w:rFonts w:ascii="Arial" w:hAnsi="Arial"/>
          <w:i/>
          <w:color w:val="646464"/>
          <w:sz w:val="18"/>
        </w:rPr>
        <w:t>Angka-angka ini belum diaudit secara eksternal untuk periode pelaporan saat ini (assurance_level: none).</w:t>
      </w:r>
    </w:p>
    <w:p w14:paraId="18B0AB11" w14:textId="77777777" w:rsidR="00535AD5" w:rsidRDefault="000F4CA5">
      <w:r>
        <w:br w:type="page"/>
      </w:r>
    </w:p>
    <w:p w14:paraId="4C9F5882" w14:textId="77777777" w:rsidR="00535AD5" w:rsidRDefault="000F4CA5">
      <w:pPr>
        <w:pStyle w:val="Heading1"/>
        <w:spacing w:after="240"/>
      </w:pPr>
      <w:bookmarkStart w:id="16" w:name="_Toc231920351"/>
      <w:r>
        <w:rPr>
          <w:rFonts w:ascii="Arial" w:hAnsi="Arial"/>
          <w:color w:val="1B3A6B"/>
          <w:sz w:val="36"/>
        </w:rPr>
        <w:lastRenderedPageBreak/>
        <w:t>Social: Workforce &amp; Human Capital Disclosures</w:t>
      </w:r>
      <w:bookmarkEnd w:id="16"/>
    </w:p>
    <w:p w14:paraId="181348F3" w14:textId="77777777" w:rsidR="00535AD5" w:rsidRDefault="000F4CA5">
      <w:pPr>
        <w:spacing w:after="160"/>
        <w:jc w:val="both"/>
      </w:pPr>
      <w:r>
        <w:rPr>
          <w:rFonts w:ascii="Arial" w:hAnsi="Arial"/>
        </w:rPr>
        <w:t>## Workforce Overview</w:t>
      </w:r>
      <w:r>
        <w:rPr>
          <w:rFonts w:ascii="Arial" w:hAnsi="Arial"/>
        </w:rPr>
        <w:br/>
      </w:r>
      <w:r>
        <w:rPr>
          <w:rFonts w:ascii="Arial" w:hAnsi="Arial"/>
        </w:rPr>
        <w:br/>
      </w:r>
      <w:r>
        <w:rPr>
          <w:rFonts w:ascii="Arial" w:hAnsi="Arial"/>
        </w:rPr>
        <w:t>As of 31 December 2024, the organization employed 24997 full-time equivalent (FTE) employees, comprising 10579 female employees and 14418 male employees. This represented a year-over-year headcount increase of 2.03% from the prior reporting period, reflecting controlled organizational growth aligned with strategic expansion initiatives. Female employees constituted 42.32% of the total workforce in 2024, compared to 46.2% in 2023, representing a decrease of 3.88 percentage points. The organization operates u</w:t>
      </w:r>
      <w:r>
        <w:rPr>
          <w:rFonts w:ascii="Arial" w:hAnsi="Arial"/>
        </w:rPr>
        <w:t>nder an operational control consolidation approach for all workforce metrics reported herein.</w:t>
      </w:r>
    </w:p>
    <w:p w14:paraId="36E23DF6" w14:textId="77777777" w:rsidR="00535AD5" w:rsidRDefault="000F4CA5">
      <w:pPr>
        <w:spacing w:after="160"/>
        <w:jc w:val="both"/>
      </w:pPr>
      <w:r>
        <w:rPr>
          <w:rFonts w:ascii="Arial" w:hAnsi="Arial"/>
        </w:rPr>
        <w:t>The workforce composition reflects the organization's presence across Indonesia's banking sector, with employees distributed across retail banking operations, corporate banking divisions, treasury functions, risk management units, and support services. All workforce data reported herein covers employees under direct employment contracts with the organization, excluding contractors, temporary staff, and outsourced service providers. The consolidation boundary aligns with the operational control approach appl</w:t>
      </w:r>
      <w:r>
        <w:rPr>
          <w:rFonts w:ascii="Arial" w:hAnsi="Arial"/>
        </w:rPr>
        <w:t>ied consistently across all ESG metrics disclosed in this report.</w:t>
      </w:r>
    </w:p>
    <w:p w14:paraId="206FDC3D" w14:textId="77777777" w:rsidR="00535AD5" w:rsidRDefault="000F4CA5">
      <w:pPr>
        <w:spacing w:after="160"/>
        <w:jc w:val="both"/>
      </w:pPr>
      <w:r>
        <w:rPr>
          <w:rFonts w:ascii="Arial" w:hAnsi="Arial"/>
        </w:rPr>
        <w:t>## Employment Practices</w:t>
      </w:r>
      <w:r>
        <w:rPr>
          <w:rFonts w:ascii="Arial" w:hAnsi="Arial"/>
        </w:rPr>
        <w:br/>
      </w:r>
      <w:r>
        <w:rPr>
          <w:rFonts w:ascii="Arial" w:hAnsi="Arial"/>
        </w:rPr>
        <w:br/>
        <w:t xml:space="preserve">During the 2024 reporting period, the organization recruited 2595 new employees, representing a hiring rate of 10.38% relative to the total workforce. This compared to 3169 new hires in 2023, reflecting a more measured recruitment approach aligned with operational requirements and market conditions. The voluntary turnover rate for 2024 was 8.45%, representing a substantial improvement of 40.66% compared to the prior year's voluntary turnover rate of 14.24%. This reduction in voluntary attrition indicates </w:t>
      </w:r>
      <w:r>
        <w:rPr>
          <w:rFonts w:ascii="Arial" w:hAnsi="Arial"/>
        </w:rPr>
        <w:t>improved employee retention and organizational stability.</w:t>
      </w:r>
    </w:p>
    <w:p w14:paraId="7E60C9C7" w14:textId="77777777" w:rsidR="00535AD5" w:rsidRDefault="000F4CA5">
      <w:pPr>
        <w:spacing w:after="160"/>
        <w:jc w:val="both"/>
      </w:pPr>
      <w:r>
        <w:rPr>
          <w:rFonts w:ascii="Arial" w:hAnsi="Arial"/>
        </w:rPr>
        <w:t xml:space="preserve">The organization attributes the improved retention metrics to enhanced employee engagement initiatives, competitive compensation adjustments implemented in Q2 2024, expanded career development pathways, and strengthened workplace culture programs. The voluntary turnover rate of 8.45% positions the organization favorably within the Indonesian banking sector, where industry benchmarks typically range between 10-15% for comparable financial institutions. The organization continues to monitor turnover patterns </w:t>
      </w:r>
      <w:r>
        <w:rPr>
          <w:rFonts w:ascii="Arial" w:hAnsi="Arial"/>
        </w:rPr>
        <w:t>across business units, seniority levels, and geographic regions to identify targeted retention interventions.</w:t>
      </w:r>
    </w:p>
    <w:p w14:paraId="6229CB48" w14:textId="77777777" w:rsidR="00535AD5" w:rsidRDefault="000F4CA5">
      <w:pPr>
        <w:spacing w:after="160"/>
        <w:jc w:val="both"/>
      </w:pPr>
      <w:r>
        <w:rPr>
          <w:rFonts w:ascii="Arial" w:hAnsi="Arial"/>
        </w:rPr>
        <w:t>## Training &amp; Education</w:t>
      </w:r>
      <w:r>
        <w:rPr>
          <w:rFonts w:ascii="Arial" w:hAnsi="Arial"/>
        </w:rPr>
        <w:br/>
      </w:r>
      <w:r>
        <w:rPr>
          <w:rFonts w:ascii="Arial" w:hAnsi="Arial"/>
        </w:rPr>
        <w:br/>
        <w:t>The organization invested an average of 49.3 training hours per FTE during the 2024 reporting period, compared to 64.14 hours per FTE in 2023. This represented a year-over-year decrease of 23.14% in training intensity. The reduction in training hours reflected a strategic shift from volume-based training metrics toward outcome-focused learning interventions, with emphasis on digital learning modules, microlearning formats, and just-in-time skill development aligned with specific role requirements.</w:t>
      </w:r>
    </w:p>
    <w:p w14:paraId="786869E3" w14:textId="77777777" w:rsidR="00535AD5" w:rsidRDefault="000F4CA5">
      <w:pPr>
        <w:spacing w:after="160"/>
        <w:jc w:val="both"/>
      </w:pPr>
      <w:r>
        <w:rPr>
          <w:rFonts w:ascii="Arial" w:hAnsi="Arial"/>
        </w:rPr>
        <w:lastRenderedPageBreak/>
        <w:t xml:space="preserve">Training investments during 2024 prioritized regulatory compliance education (anti-money laundering, consumer protection, data privacy), digital banking capabilities (API integration, cloud architecture, cybersecurity), risk management competencies (credit risk modeling, operational risk frameworks), and leadership development for high-potential employees. The organization transitioned 68% of training delivery to digital platforms during 2024, enabling scalable learning access while reducing travel-related </w:t>
      </w:r>
      <w:r>
        <w:rPr>
          <w:rFonts w:ascii="Arial" w:hAnsi="Arial"/>
        </w:rPr>
        <w:t>costs and carbon emissions associated with centralized classroom training. Despite the reduction in absolute training hours, employee satisfaction scores for learning and development programs increased by 7 percentage points in the 2024 annual engagement survey.</w:t>
      </w:r>
    </w:p>
    <w:p w14:paraId="58B31669" w14:textId="77777777" w:rsidR="00535AD5" w:rsidRDefault="000F4CA5">
      <w:pPr>
        <w:spacing w:after="160"/>
        <w:jc w:val="both"/>
      </w:pPr>
      <w:r>
        <w:rPr>
          <w:rFonts w:ascii="Arial" w:hAnsi="Arial"/>
        </w:rPr>
        <w:t>## Diversity &amp; Equal Opportunity</w:t>
      </w:r>
      <w:r>
        <w:rPr>
          <w:rFonts w:ascii="Arial" w:hAnsi="Arial"/>
        </w:rPr>
        <w:br/>
      </w:r>
      <w:r>
        <w:rPr>
          <w:rFonts w:ascii="Arial" w:hAnsi="Arial"/>
        </w:rPr>
        <w:br/>
        <w:t>Female employees represented 42.32% of the organization's total workforce in 2024, a decrease of 3.88 percentage points from 46.2% in 2023. Women in management positions constituted 26.67% of all management roles, compared to 28.45% in the prior year, representing a decrease of 1.78 percentage points. The organization acknowledges that these metrics reflect a declining trend in gender diversity representation, contrary to the organization's stated commitment to advancing women's participation in the finan</w:t>
      </w:r>
      <w:r>
        <w:rPr>
          <w:rFonts w:ascii="Arial" w:hAnsi="Arial"/>
        </w:rPr>
        <w:t>cial services sector.</w:t>
      </w:r>
    </w:p>
    <w:p w14:paraId="696F982D" w14:textId="77777777" w:rsidR="00535AD5" w:rsidRDefault="000F4CA5">
      <w:pPr>
        <w:spacing w:after="160"/>
        <w:jc w:val="both"/>
      </w:pPr>
      <w:r>
        <w:rPr>
          <w:rFonts w:ascii="Arial" w:hAnsi="Arial"/>
        </w:rPr>
        <w:t xml:space="preserve">The organization defines management positions as roles at Assistant Vice President level and above, encompassing middle management, senior management, and executive leadership. The decline in female representation at both workforce and management levels during 2024 was primarily attributable to higher voluntary attrition rates among female employees in certain business units, combined with gender-imbalanced recruitment outcomes in technology and quantitative risk functions where male candidates constituted </w:t>
      </w:r>
      <w:r>
        <w:rPr>
          <w:rFonts w:ascii="Arial" w:hAnsi="Arial"/>
        </w:rPr>
        <w:t>a larger proportion of the available talent pool. The organization has initiated a comprehensive diversity review to identify systemic barriers and implement corrective measures, including revised recruitment protocols, sponsorship programs for high-potential female talent, and flexible work arrangements designed to support work-life integration.</w:t>
      </w:r>
    </w:p>
    <w:p w14:paraId="792DF4F9" w14:textId="77777777" w:rsidR="00535AD5" w:rsidRDefault="000F4CA5">
      <w:pPr>
        <w:spacing w:after="160"/>
        <w:jc w:val="both"/>
      </w:pPr>
      <w:r>
        <w:rPr>
          <w:rFonts w:ascii="Arial" w:hAnsi="Arial"/>
        </w:rPr>
        <w:t>## Non-Discrimination</w:t>
      </w:r>
      <w:r>
        <w:rPr>
          <w:rFonts w:ascii="Arial" w:hAnsi="Arial"/>
        </w:rPr>
        <w:br/>
      </w:r>
      <w:r>
        <w:rPr>
          <w:rFonts w:ascii="Arial" w:hAnsi="Arial"/>
        </w:rPr>
        <w:br/>
        <w:t>During the 2024 reporting period, the organization received and investigated 2 formal complaints alleging discrimination, compared to 3 cases in 2023. Both cases in 2024 related to alleged gender-based discrimination in promotion decisions. The organization's Ethics and Compliance Committee conducted thorough investigations of both cases in accordance with established grievance procedures, which included interviews with complainants, respondents, and relevant witnesses, review of documentary evidence, and</w:t>
      </w:r>
      <w:r>
        <w:rPr>
          <w:rFonts w:ascii="Arial" w:hAnsi="Arial"/>
        </w:rPr>
        <w:t xml:space="preserve"> assessment against the organization's Code of Conduct and Equal Opportunity Policy.</w:t>
      </w:r>
    </w:p>
    <w:p w14:paraId="731BF39C" w14:textId="77777777" w:rsidR="00535AD5" w:rsidRDefault="000F4CA5">
      <w:pPr>
        <w:spacing w:after="160"/>
        <w:jc w:val="both"/>
      </w:pPr>
      <w:r>
        <w:rPr>
          <w:rFonts w:ascii="Arial" w:hAnsi="Arial"/>
        </w:rPr>
        <w:t>One case was substantiated, resulting in remedial actions including reversal of the contested promotion decision, mandatory bias training for the decision-making manager, and revision of the affected business unit's promotion evaluation criteria to incorporate structured competency assessments. The second case was not substantiated following investigation, though the organization implemented enhanced communication protocols regarding promotion criteria transparency as a preventive measure. All discriminatio</w:t>
      </w:r>
      <w:r>
        <w:rPr>
          <w:rFonts w:ascii="Arial" w:hAnsi="Arial"/>
        </w:rPr>
        <w:t xml:space="preserve">n cases were resolved within 90 days of initial complaint filing. The organization maintains a zero-tolerance </w:t>
      </w:r>
      <w:r>
        <w:rPr>
          <w:rFonts w:ascii="Arial" w:hAnsi="Arial"/>
        </w:rPr>
        <w:lastRenderedPageBreak/>
        <w:t>policy toward discrimination based on gender, age, ethnicity, religion, disability status, or any other protected characteristic under Indonesian employment law.</w:t>
      </w:r>
    </w:p>
    <w:p w14:paraId="125D8AF4" w14:textId="77777777" w:rsidR="00535AD5" w:rsidRDefault="000F4CA5">
      <w:pPr>
        <w:spacing w:after="160"/>
        <w:jc w:val="both"/>
      </w:pPr>
      <w:r>
        <w:rPr>
          <w:rFonts w:ascii="Arial" w:hAnsi="Arial"/>
        </w:rPr>
        <w:t>The organization provides multiple confidential reporting channels for discrimination complaints, including a dedicated ethics hotline, online reporting portal, and direct access to Human Resources Business Partners. All employees receive annual training on the organization's Equal Opportunity Policy, anti-harassment protocols, and available grievance mechanisms. The organization tracks discrimination complaints as a key risk indicator within its operational risk framework and reports quarterly statistics t</w:t>
      </w:r>
      <w:r>
        <w:rPr>
          <w:rFonts w:ascii="Arial" w:hAnsi="Arial"/>
        </w:rPr>
        <w:t>o the Board Risk Committee.</w:t>
      </w:r>
    </w:p>
    <w:p w14:paraId="29A8800B" w14:textId="77777777" w:rsidR="00535AD5" w:rsidRDefault="000F4CA5">
      <w:pPr>
        <w:spacing w:after="160"/>
        <w:jc w:val="both"/>
      </w:pPr>
      <w:r>
        <w:rPr>
          <w:rFonts w:ascii="Arial" w:hAnsi="Arial"/>
        </w:rPr>
        <w:t>## Advisory Recommendations</w:t>
      </w:r>
      <w:r>
        <w:rPr>
          <w:rFonts w:ascii="Arial" w:hAnsi="Arial"/>
        </w:rPr>
        <w:br/>
      </w:r>
      <w:r>
        <w:rPr>
          <w:rFonts w:ascii="Arial" w:hAnsi="Arial"/>
        </w:rPr>
        <w:br/>
        <w:t>**Finding 1: Gender Diversity Declining**</w:t>
      </w:r>
      <w:r>
        <w:rPr>
          <w:rFonts w:ascii="Arial" w:hAnsi="Arial"/>
        </w:rPr>
        <w:br/>
        <w:t>Female workforce representation decreased 3.88 percentage points to 42.32%, and women in management declined 1.78 percentage points to 26.67%, indicating a reversal of diversity progress.</w:t>
      </w:r>
      <w:r>
        <w:rPr>
          <w:rFonts w:ascii="Arial" w:hAnsi="Arial"/>
        </w:rPr>
        <w:br/>
      </w:r>
      <w:r>
        <w:rPr>
          <w:rFonts w:ascii="Arial" w:hAnsi="Arial"/>
        </w:rPr>
        <w:br/>
        <w:t>**Benchmark**: Bank Rakyat Indonesia (BRI) maintains 52% female workforce representation and has implemented structured sponsorship programs for women in leadership pipelines. OCBC Indonesia targets 40% women in senior management by 2025 through accelerated development programs.</w:t>
      </w:r>
      <w:r>
        <w:rPr>
          <w:rFonts w:ascii="Arial" w:hAnsi="Arial"/>
        </w:rPr>
        <w:br/>
      </w:r>
      <w:r>
        <w:rPr>
          <w:rFonts w:ascii="Arial" w:hAnsi="Arial"/>
        </w:rPr>
        <w:br/>
        <w:t xml:space="preserve">**Recommendation**: Implement a three-tier intervention: (1) Establish gender-balanced shortlists for all management-level recruitment (minimum 40% female candidates); (2) Launch a Women in Leadership sponsorship program pairing high-potential female employees with C-suite sponsors; (3) Introduce returnship programs for experienced female professionals re-entering the workforce after career breaks. Set measurable targets: return female workforce representation to 45% and women in management to 30% within </w:t>
      </w:r>
      <w:r>
        <w:rPr>
          <w:rFonts w:ascii="Arial" w:hAnsi="Arial"/>
        </w:rPr>
        <w:t>24 months.</w:t>
      </w:r>
      <w:r>
        <w:rPr>
          <w:rFonts w:ascii="Arial" w:hAnsi="Arial"/>
        </w:rPr>
        <w:br/>
      </w:r>
      <w:r>
        <w:rPr>
          <w:rFonts w:ascii="Arial" w:hAnsi="Arial"/>
        </w:rPr>
        <w:br/>
        <w:t>**Reference**: BRI's "Kartini Leadership Program" and DBS's "Women in Leadership" initiative provide proven frameworks for structured sponsorship and accelerated development pathways.</w:t>
      </w:r>
      <w:r>
        <w:rPr>
          <w:rFonts w:ascii="Arial" w:hAnsi="Arial"/>
        </w:rPr>
        <w:br/>
      </w:r>
      <w:r>
        <w:rPr>
          <w:rFonts w:ascii="Arial" w:hAnsi="Arial"/>
        </w:rPr>
        <w:br/>
        <w:t>**Priority**: High</w:t>
      </w:r>
      <w:r>
        <w:rPr>
          <w:rFonts w:ascii="Arial" w:hAnsi="Arial"/>
        </w:rPr>
        <w:br/>
      </w:r>
      <w:r>
        <w:rPr>
          <w:rFonts w:ascii="Arial" w:hAnsi="Arial"/>
        </w:rPr>
        <w:br/>
        <w:t>---</w:t>
      </w:r>
      <w:r>
        <w:rPr>
          <w:rFonts w:ascii="Arial" w:hAnsi="Arial"/>
        </w:rPr>
        <w:br/>
      </w:r>
      <w:r>
        <w:rPr>
          <w:rFonts w:ascii="Arial" w:hAnsi="Arial"/>
        </w:rPr>
        <w:br/>
        <w:t>**Finding 2: Training Hours Declined Significantly**</w:t>
      </w:r>
      <w:r>
        <w:rPr>
          <w:rFonts w:ascii="Arial" w:hAnsi="Arial"/>
        </w:rPr>
        <w:br/>
        <w:t>Average training hours per FTE decreased 23.14% year-over-year to 49.3 hours, falling below peer benchmarks despite strategic rationale for quality-over-quantity approach.</w:t>
      </w:r>
      <w:r>
        <w:rPr>
          <w:rFonts w:ascii="Arial" w:hAnsi="Arial"/>
        </w:rPr>
        <w:br/>
      </w:r>
      <w:r>
        <w:rPr>
          <w:rFonts w:ascii="Arial" w:hAnsi="Arial"/>
        </w:rPr>
        <w:br/>
        <w:t>**Benchmark**: Bank Rakyat Indonesia maintains 62.4 training hou</w:t>
      </w:r>
      <w:r>
        <w:rPr>
          <w:rFonts w:ascii="Arial" w:hAnsi="Arial"/>
        </w:rPr>
        <w:t>rs per employee with 68% digital delivery. OCBC Indonesia targets minimum 40 hours per employee with emphasis on regulatory compliance and digital skills. DBS shifted to concise, impactful digital modules while maintaining development quality and employee satisfaction.</w:t>
      </w:r>
      <w:r>
        <w:rPr>
          <w:rFonts w:ascii="Arial" w:hAnsi="Arial"/>
        </w:rPr>
        <w:br/>
      </w:r>
      <w:r>
        <w:rPr>
          <w:rFonts w:ascii="Arial" w:hAnsi="Arial"/>
        </w:rPr>
        <w:br/>
        <w:t xml:space="preserve">**Recommendation**: Establish a minimum training threshold of 55 hours per FTE annually, </w:t>
      </w:r>
      <w:r>
        <w:rPr>
          <w:rFonts w:ascii="Arial" w:hAnsi="Arial"/>
        </w:rPr>
        <w:lastRenderedPageBreak/>
        <w:t>combining mandatory compliance training (15 hours), role-specific technical skills (25 hours), and elective professional development (15 hours). Impleme</w:t>
      </w:r>
      <w:r>
        <w:rPr>
          <w:rFonts w:ascii="Arial" w:hAnsi="Arial"/>
        </w:rPr>
        <w:t>nt a blended learning model: 70% digital microlearning modules (10-15 minutes each) for technical content, 20% virtual instructor-led sessions for complex topics, and 10% in-person workshops for leadership and soft skills. Introduce learning analytics dashboards to track completion rates, knowledge retention, and skill application on the job.</w:t>
      </w:r>
      <w:r>
        <w:rPr>
          <w:rFonts w:ascii="Arial" w:hAnsi="Arial"/>
        </w:rPr>
        <w:br/>
      </w:r>
      <w:r>
        <w:rPr>
          <w:rFonts w:ascii="Arial" w:hAnsi="Arial"/>
        </w:rPr>
        <w:br/>
        <w:t>**Reference**: DBS's transition to digital-first learning achieved 85% completion rates while reducing training costs by 30%. BRI's blended model maintains high train</w:t>
      </w:r>
      <w:r>
        <w:rPr>
          <w:rFonts w:ascii="Arial" w:hAnsi="Arial"/>
        </w:rPr>
        <w:t>ing volumes while improving learner engagement scores.</w:t>
      </w:r>
      <w:r>
        <w:rPr>
          <w:rFonts w:ascii="Arial" w:hAnsi="Arial"/>
        </w:rPr>
        <w:br/>
      </w:r>
      <w:r>
        <w:rPr>
          <w:rFonts w:ascii="Arial" w:hAnsi="Arial"/>
        </w:rPr>
        <w:br/>
        <w:t>**Priority**: High</w:t>
      </w:r>
      <w:r>
        <w:rPr>
          <w:rFonts w:ascii="Arial" w:hAnsi="Arial"/>
        </w:rPr>
        <w:br/>
      </w:r>
      <w:r>
        <w:rPr>
          <w:rFonts w:ascii="Arial" w:hAnsi="Arial"/>
        </w:rPr>
        <w:br/>
        <w:t>---</w:t>
      </w:r>
      <w:r>
        <w:rPr>
          <w:rFonts w:ascii="Arial" w:hAnsi="Arial"/>
        </w:rPr>
        <w:br/>
      </w:r>
      <w:r>
        <w:rPr>
          <w:rFonts w:ascii="Arial" w:hAnsi="Arial"/>
        </w:rPr>
        <w:br/>
        <w:t>**Finding 3: Voluntary Turnover Improved but Requires Sustained Focus**</w:t>
      </w:r>
      <w:r>
        <w:rPr>
          <w:rFonts w:ascii="Arial" w:hAnsi="Arial"/>
        </w:rPr>
        <w:br/>
        <w:t>Voluntary turnover decreased 40.66% to 8.45%, a positive trend that requires sustained retention strategies to maintain below industry benchmarks.</w:t>
      </w:r>
      <w:r>
        <w:rPr>
          <w:rFonts w:ascii="Arial" w:hAnsi="Arial"/>
        </w:rPr>
        <w:br/>
      </w:r>
      <w:r>
        <w:rPr>
          <w:rFonts w:ascii="Arial" w:hAnsi="Arial"/>
        </w:rPr>
        <w:br/>
        <w:t>**Benchmark**: Leading Indonesian banks maintain voluntary turnover between 8-12%. Bank Mandiri achieved 7.8% turnover through enhanced employee value proposition and career mobility programs. BCA maintains turn</w:t>
      </w:r>
      <w:r>
        <w:rPr>
          <w:rFonts w:ascii="Arial" w:hAnsi="Arial"/>
        </w:rPr>
        <w:t>over below 9% through competitive compensation and internal promotion prioritization.</w:t>
      </w:r>
      <w:r>
        <w:rPr>
          <w:rFonts w:ascii="Arial" w:hAnsi="Arial"/>
        </w:rPr>
        <w:br/>
      </w:r>
      <w:r>
        <w:rPr>
          <w:rFonts w:ascii="Arial" w:hAnsi="Arial"/>
        </w:rPr>
        <w:br/>
        <w:t>**Recommendation**: Institutionalize retention best practices: (1) Conduct stay interviews (not just exit interviews) with high performers annually to identify retention risks proactively; (2) Implement transparent career progression frameworks with defined competency requirements and timelines for advancement; (3) Introduce internal mobility programs allowing employees to explore lateral moves across business units witho</w:t>
      </w:r>
      <w:r>
        <w:rPr>
          <w:rFonts w:ascii="Arial" w:hAnsi="Arial"/>
        </w:rPr>
        <w:t>ut penalty; (4) Establish retention bonuses for critical roles in high-turnover functions (technology, data analytics, risk management). Target: maintain voluntary turnover below 8.5% for three consecutive years.</w:t>
      </w:r>
      <w:r>
        <w:rPr>
          <w:rFonts w:ascii="Arial" w:hAnsi="Arial"/>
        </w:rPr>
        <w:br/>
      </w:r>
      <w:r>
        <w:rPr>
          <w:rFonts w:ascii="Arial" w:hAnsi="Arial"/>
        </w:rPr>
        <w:br/>
        <w:t>**Reference**: Bank Mandiri's "Career Compass" program provides employees with clear visibility into career pathways and required competencies, reducing turnover among high-potential talent by 35%.</w:t>
      </w:r>
      <w:r>
        <w:rPr>
          <w:rFonts w:ascii="Arial" w:hAnsi="Arial"/>
        </w:rPr>
        <w:br/>
      </w:r>
      <w:r>
        <w:rPr>
          <w:rFonts w:ascii="Arial" w:hAnsi="Arial"/>
        </w:rPr>
        <w:br/>
        <w:t>**Priority**: Medium</w:t>
      </w:r>
    </w:p>
    <w:p w14:paraId="4044F1D3" w14:textId="77777777" w:rsidR="00535AD5" w:rsidRDefault="000F4CA5">
      <w:r>
        <w:rPr>
          <w:rFonts w:ascii="Arial" w:hAnsi="Arial"/>
          <w:b/>
          <w:sz w:val="20"/>
        </w:rPr>
        <w:t>Table S-1: Workforce Composition</w:t>
      </w:r>
    </w:p>
    <w:tbl>
      <w:tblPr>
        <w:tblW w:w="0" w:type="auto"/>
        <w:jc w:val="center"/>
        <w:tblLook w:val="04A0" w:firstRow="1" w:lastRow="0" w:firstColumn="1" w:lastColumn="0" w:noHBand="0" w:noVBand="1"/>
      </w:tblPr>
      <w:tblGrid>
        <w:gridCol w:w="2257"/>
        <w:gridCol w:w="2257"/>
        <w:gridCol w:w="2257"/>
        <w:gridCol w:w="2257"/>
      </w:tblGrid>
      <w:tr w:rsidR="00535AD5" w14:paraId="5FDF169E" w14:textId="77777777">
        <w:trPr>
          <w:jc w:val="center"/>
        </w:trPr>
        <w:tc>
          <w:tcPr>
            <w:tcW w:w="2257" w:type="dxa"/>
            <w:shd w:val="clear" w:color="auto" w:fill="1B3A6B"/>
          </w:tcPr>
          <w:p w14:paraId="2FFDFE99" w14:textId="77777777" w:rsidR="00535AD5" w:rsidRDefault="000F4CA5">
            <w:r>
              <w:rPr>
                <w:rFonts w:ascii="Arial" w:hAnsi="Arial"/>
                <w:b/>
                <w:color w:val="FFFFFF"/>
                <w:sz w:val="18"/>
              </w:rPr>
              <w:t>Metric</w:t>
            </w:r>
          </w:p>
        </w:tc>
        <w:tc>
          <w:tcPr>
            <w:tcW w:w="2257" w:type="dxa"/>
            <w:shd w:val="clear" w:color="auto" w:fill="1B3A6B"/>
          </w:tcPr>
          <w:p w14:paraId="3E1D1058" w14:textId="77777777" w:rsidR="00535AD5" w:rsidRDefault="000F4CA5">
            <w:r>
              <w:rPr>
                <w:rFonts w:ascii="Arial" w:hAnsi="Arial"/>
                <w:b/>
                <w:color w:val="FFFFFF"/>
                <w:sz w:val="18"/>
              </w:rPr>
              <w:t>2024</w:t>
            </w:r>
          </w:p>
        </w:tc>
        <w:tc>
          <w:tcPr>
            <w:tcW w:w="2257" w:type="dxa"/>
            <w:shd w:val="clear" w:color="auto" w:fill="1B3A6B"/>
          </w:tcPr>
          <w:p w14:paraId="7C08D4DC" w14:textId="77777777" w:rsidR="00535AD5" w:rsidRDefault="000F4CA5">
            <w:r>
              <w:rPr>
                <w:rFonts w:ascii="Arial" w:hAnsi="Arial"/>
                <w:b/>
                <w:color w:val="FFFFFF"/>
                <w:sz w:val="18"/>
              </w:rPr>
              <w:t>2023</w:t>
            </w:r>
          </w:p>
        </w:tc>
        <w:tc>
          <w:tcPr>
            <w:tcW w:w="2257" w:type="dxa"/>
            <w:shd w:val="clear" w:color="auto" w:fill="1B3A6B"/>
          </w:tcPr>
          <w:p w14:paraId="79DAF467" w14:textId="77777777" w:rsidR="00535AD5" w:rsidRDefault="000F4CA5">
            <w:r>
              <w:rPr>
                <w:rFonts w:ascii="Arial" w:hAnsi="Arial"/>
                <w:b/>
                <w:color w:val="FFFFFF"/>
                <w:sz w:val="18"/>
              </w:rPr>
              <w:t>Change</w:t>
            </w:r>
          </w:p>
        </w:tc>
      </w:tr>
      <w:tr w:rsidR="00535AD5" w14:paraId="7CF72ED4" w14:textId="77777777">
        <w:trPr>
          <w:jc w:val="center"/>
        </w:trPr>
        <w:tc>
          <w:tcPr>
            <w:tcW w:w="2257" w:type="dxa"/>
          </w:tcPr>
          <w:p w14:paraId="0C738757" w14:textId="77777777" w:rsidR="00535AD5" w:rsidRDefault="000F4CA5">
            <w:r>
              <w:rPr>
                <w:rFonts w:ascii="Arial" w:hAnsi="Arial"/>
                <w:sz w:val="18"/>
              </w:rPr>
              <w:t>Total FTE</w:t>
            </w:r>
          </w:p>
        </w:tc>
        <w:tc>
          <w:tcPr>
            <w:tcW w:w="2257" w:type="dxa"/>
          </w:tcPr>
          <w:p w14:paraId="471BC336" w14:textId="77777777" w:rsidR="00535AD5" w:rsidRDefault="000F4CA5">
            <w:pPr>
              <w:jc w:val="right"/>
            </w:pPr>
            <w:r>
              <w:rPr>
                <w:rFonts w:ascii="Arial" w:hAnsi="Arial"/>
                <w:sz w:val="18"/>
              </w:rPr>
              <w:t>24997</w:t>
            </w:r>
          </w:p>
        </w:tc>
        <w:tc>
          <w:tcPr>
            <w:tcW w:w="2257" w:type="dxa"/>
          </w:tcPr>
          <w:p w14:paraId="0F1CC7B6" w14:textId="77777777" w:rsidR="00535AD5" w:rsidRDefault="000F4CA5">
            <w:pPr>
              <w:jc w:val="right"/>
            </w:pPr>
            <w:r>
              <w:rPr>
                <w:rFonts w:ascii="Arial" w:hAnsi="Arial"/>
                <w:sz w:val="18"/>
              </w:rPr>
              <w:t>24500</w:t>
            </w:r>
          </w:p>
        </w:tc>
        <w:tc>
          <w:tcPr>
            <w:tcW w:w="2257" w:type="dxa"/>
          </w:tcPr>
          <w:p w14:paraId="5E264378" w14:textId="77777777" w:rsidR="00535AD5" w:rsidRDefault="000F4CA5">
            <w:pPr>
              <w:jc w:val="right"/>
            </w:pPr>
            <w:r>
              <w:rPr>
                <w:rFonts w:ascii="Arial" w:hAnsi="Arial"/>
                <w:sz w:val="18"/>
              </w:rPr>
              <w:t>+2.03%</w:t>
            </w:r>
          </w:p>
        </w:tc>
      </w:tr>
      <w:tr w:rsidR="00535AD5" w14:paraId="08A4992F" w14:textId="77777777">
        <w:trPr>
          <w:jc w:val="center"/>
        </w:trPr>
        <w:tc>
          <w:tcPr>
            <w:tcW w:w="2257" w:type="dxa"/>
            <w:shd w:val="clear" w:color="auto" w:fill="F2F6FC"/>
          </w:tcPr>
          <w:p w14:paraId="31CC6BDC" w14:textId="77777777" w:rsidR="00535AD5" w:rsidRDefault="000F4CA5">
            <w:r>
              <w:rPr>
                <w:rFonts w:ascii="Arial" w:hAnsi="Arial"/>
                <w:sz w:val="18"/>
              </w:rPr>
              <w:t>Female Employees</w:t>
            </w:r>
          </w:p>
        </w:tc>
        <w:tc>
          <w:tcPr>
            <w:tcW w:w="2257" w:type="dxa"/>
            <w:shd w:val="clear" w:color="auto" w:fill="F2F6FC"/>
          </w:tcPr>
          <w:p w14:paraId="0A529FAE" w14:textId="77777777" w:rsidR="00535AD5" w:rsidRDefault="000F4CA5">
            <w:pPr>
              <w:jc w:val="right"/>
            </w:pPr>
            <w:r>
              <w:rPr>
                <w:rFonts w:ascii="Arial" w:hAnsi="Arial"/>
                <w:sz w:val="18"/>
              </w:rPr>
              <w:t>10579</w:t>
            </w:r>
          </w:p>
        </w:tc>
        <w:tc>
          <w:tcPr>
            <w:tcW w:w="2257" w:type="dxa"/>
            <w:shd w:val="clear" w:color="auto" w:fill="F2F6FC"/>
          </w:tcPr>
          <w:p w14:paraId="1EC49800" w14:textId="77777777" w:rsidR="00535AD5" w:rsidRDefault="000F4CA5">
            <w:pPr>
              <w:jc w:val="right"/>
            </w:pPr>
            <w:r>
              <w:rPr>
                <w:rFonts w:ascii="Arial" w:hAnsi="Arial"/>
                <w:sz w:val="18"/>
              </w:rPr>
              <w:t>11319</w:t>
            </w:r>
          </w:p>
        </w:tc>
        <w:tc>
          <w:tcPr>
            <w:tcW w:w="2257" w:type="dxa"/>
            <w:shd w:val="clear" w:color="auto" w:fill="F2F6FC"/>
          </w:tcPr>
          <w:p w14:paraId="7707FDE8" w14:textId="77777777" w:rsidR="00535AD5" w:rsidRDefault="000F4CA5">
            <w:r>
              <w:rPr>
                <w:rFonts w:ascii="Arial" w:hAnsi="Arial"/>
                <w:sz w:val="18"/>
              </w:rPr>
              <w:t>−</w:t>
            </w:r>
            <w:r>
              <w:rPr>
                <w:rFonts w:ascii="Arial" w:hAnsi="Arial"/>
                <w:sz w:val="18"/>
              </w:rPr>
              <w:t>740</w:t>
            </w:r>
          </w:p>
        </w:tc>
      </w:tr>
      <w:tr w:rsidR="00535AD5" w14:paraId="0F3ECD29" w14:textId="77777777">
        <w:trPr>
          <w:jc w:val="center"/>
        </w:trPr>
        <w:tc>
          <w:tcPr>
            <w:tcW w:w="2257" w:type="dxa"/>
          </w:tcPr>
          <w:p w14:paraId="2D9542C4" w14:textId="77777777" w:rsidR="00535AD5" w:rsidRDefault="000F4CA5">
            <w:r>
              <w:rPr>
                <w:rFonts w:ascii="Arial" w:hAnsi="Arial"/>
                <w:sz w:val="18"/>
              </w:rPr>
              <w:t>Male Employees</w:t>
            </w:r>
          </w:p>
        </w:tc>
        <w:tc>
          <w:tcPr>
            <w:tcW w:w="2257" w:type="dxa"/>
          </w:tcPr>
          <w:p w14:paraId="522F36DD" w14:textId="77777777" w:rsidR="00535AD5" w:rsidRDefault="000F4CA5">
            <w:pPr>
              <w:jc w:val="right"/>
            </w:pPr>
            <w:r>
              <w:rPr>
                <w:rFonts w:ascii="Arial" w:hAnsi="Arial"/>
                <w:sz w:val="18"/>
              </w:rPr>
              <w:t>14418</w:t>
            </w:r>
          </w:p>
        </w:tc>
        <w:tc>
          <w:tcPr>
            <w:tcW w:w="2257" w:type="dxa"/>
          </w:tcPr>
          <w:p w14:paraId="78589812" w14:textId="77777777" w:rsidR="00535AD5" w:rsidRDefault="000F4CA5">
            <w:pPr>
              <w:jc w:val="right"/>
            </w:pPr>
            <w:r>
              <w:rPr>
                <w:rFonts w:ascii="Arial" w:hAnsi="Arial"/>
                <w:sz w:val="18"/>
              </w:rPr>
              <w:t>13181</w:t>
            </w:r>
          </w:p>
        </w:tc>
        <w:tc>
          <w:tcPr>
            <w:tcW w:w="2257" w:type="dxa"/>
          </w:tcPr>
          <w:p w14:paraId="79CED7EE" w14:textId="77777777" w:rsidR="00535AD5" w:rsidRDefault="000F4CA5">
            <w:pPr>
              <w:jc w:val="right"/>
            </w:pPr>
            <w:r>
              <w:rPr>
                <w:rFonts w:ascii="Arial" w:hAnsi="Arial"/>
                <w:sz w:val="18"/>
              </w:rPr>
              <w:t>+1237</w:t>
            </w:r>
          </w:p>
        </w:tc>
      </w:tr>
      <w:tr w:rsidR="00535AD5" w14:paraId="424D992F" w14:textId="77777777">
        <w:trPr>
          <w:jc w:val="center"/>
        </w:trPr>
        <w:tc>
          <w:tcPr>
            <w:tcW w:w="2257" w:type="dxa"/>
            <w:shd w:val="clear" w:color="auto" w:fill="F2F6FC"/>
          </w:tcPr>
          <w:p w14:paraId="77514F92" w14:textId="77777777" w:rsidR="00535AD5" w:rsidRDefault="000F4CA5">
            <w:r>
              <w:rPr>
                <w:rFonts w:ascii="Arial" w:hAnsi="Arial"/>
                <w:sz w:val="18"/>
              </w:rPr>
              <w:t>Female Percentage</w:t>
            </w:r>
          </w:p>
        </w:tc>
        <w:tc>
          <w:tcPr>
            <w:tcW w:w="2257" w:type="dxa"/>
            <w:shd w:val="clear" w:color="auto" w:fill="F2F6FC"/>
          </w:tcPr>
          <w:p w14:paraId="05667E4B" w14:textId="77777777" w:rsidR="00535AD5" w:rsidRDefault="000F4CA5">
            <w:pPr>
              <w:jc w:val="right"/>
            </w:pPr>
            <w:r>
              <w:rPr>
                <w:rFonts w:ascii="Arial" w:hAnsi="Arial"/>
                <w:sz w:val="18"/>
              </w:rPr>
              <w:t>42.32%</w:t>
            </w:r>
          </w:p>
        </w:tc>
        <w:tc>
          <w:tcPr>
            <w:tcW w:w="2257" w:type="dxa"/>
            <w:shd w:val="clear" w:color="auto" w:fill="F2F6FC"/>
          </w:tcPr>
          <w:p w14:paraId="4807A63D" w14:textId="77777777" w:rsidR="00535AD5" w:rsidRDefault="000F4CA5">
            <w:pPr>
              <w:jc w:val="right"/>
            </w:pPr>
            <w:r>
              <w:rPr>
                <w:rFonts w:ascii="Arial" w:hAnsi="Arial"/>
                <w:sz w:val="18"/>
              </w:rPr>
              <w:t>46.2%</w:t>
            </w:r>
          </w:p>
        </w:tc>
        <w:tc>
          <w:tcPr>
            <w:tcW w:w="2257" w:type="dxa"/>
            <w:shd w:val="clear" w:color="auto" w:fill="F2F6FC"/>
          </w:tcPr>
          <w:p w14:paraId="68814554" w14:textId="77777777" w:rsidR="00535AD5" w:rsidRDefault="000F4CA5">
            <w:r>
              <w:rPr>
                <w:rFonts w:ascii="Arial" w:hAnsi="Arial"/>
                <w:sz w:val="18"/>
              </w:rPr>
              <w:t>−</w:t>
            </w:r>
            <w:r>
              <w:rPr>
                <w:rFonts w:ascii="Arial" w:hAnsi="Arial"/>
                <w:sz w:val="18"/>
              </w:rPr>
              <w:t>3.88 pp</w:t>
            </w:r>
          </w:p>
        </w:tc>
      </w:tr>
    </w:tbl>
    <w:p w14:paraId="35FA689B" w14:textId="77777777" w:rsidR="00535AD5" w:rsidRDefault="000F4CA5">
      <w:r>
        <w:rPr>
          <w:rFonts w:ascii="Arial" w:hAnsi="Arial"/>
          <w:i/>
          <w:sz w:val="16"/>
        </w:rPr>
        <w:lastRenderedPageBreak/>
        <w:t>Source: Source: HR system data as of 31 December 2024. FTE calculated as total contracted hours divided by standard full-time hours (40 hours/week). Consolidation boundary: operational control.</w:t>
      </w:r>
    </w:p>
    <w:p w14:paraId="628BD58D" w14:textId="77777777" w:rsidR="00535AD5" w:rsidRDefault="00535AD5"/>
    <w:p w14:paraId="298C7ADC" w14:textId="77777777" w:rsidR="00535AD5" w:rsidRDefault="000F4CA5">
      <w:r>
        <w:rPr>
          <w:rFonts w:ascii="Arial" w:hAnsi="Arial"/>
          <w:b/>
          <w:sz w:val="20"/>
        </w:rPr>
        <w:t>Table S-2: Employment Indicators</w:t>
      </w:r>
    </w:p>
    <w:tbl>
      <w:tblPr>
        <w:tblW w:w="0" w:type="auto"/>
        <w:jc w:val="center"/>
        <w:tblLook w:val="04A0" w:firstRow="1" w:lastRow="0" w:firstColumn="1" w:lastColumn="0" w:noHBand="0" w:noVBand="1"/>
      </w:tblPr>
      <w:tblGrid>
        <w:gridCol w:w="2257"/>
        <w:gridCol w:w="2257"/>
        <w:gridCol w:w="2257"/>
        <w:gridCol w:w="2257"/>
      </w:tblGrid>
      <w:tr w:rsidR="00535AD5" w14:paraId="46F65A5D" w14:textId="77777777">
        <w:trPr>
          <w:jc w:val="center"/>
        </w:trPr>
        <w:tc>
          <w:tcPr>
            <w:tcW w:w="2257" w:type="dxa"/>
            <w:shd w:val="clear" w:color="auto" w:fill="1B3A6B"/>
          </w:tcPr>
          <w:p w14:paraId="0D520E56" w14:textId="77777777" w:rsidR="00535AD5" w:rsidRDefault="000F4CA5">
            <w:r>
              <w:rPr>
                <w:rFonts w:ascii="Arial" w:hAnsi="Arial"/>
                <w:b/>
                <w:color w:val="FFFFFF"/>
                <w:sz w:val="18"/>
              </w:rPr>
              <w:t>Metric</w:t>
            </w:r>
          </w:p>
        </w:tc>
        <w:tc>
          <w:tcPr>
            <w:tcW w:w="2257" w:type="dxa"/>
            <w:shd w:val="clear" w:color="auto" w:fill="1B3A6B"/>
          </w:tcPr>
          <w:p w14:paraId="1FFCA680" w14:textId="77777777" w:rsidR="00535AD5" w:rsidRDefault="000F4CA5">
            <w:r>
              <w:rPr>
                <w:rFonts w:ascii="Arial" w:hAnsi="Arial"/>
                <w:b/>
                <w:color w:val="FFFFFF"/>
                <w:sz w:val="18"/>
              </w:rPr>
              <w:t>2024</w:t>
            </w:r>
          </w:p>
        </w:tc>
        <w:tc>
          <w:tcPr>
            <w:tcW w:w="2257" w:type="dxa"/>
            <w:shd w:val="clear" w:color="auto" w:fill="1B3A6B"/>
          </w:tcPr>
          <w:p w14:paraId="3A8C4B40" w14:textId="77777777" w:rsidR="00535AD5" w:rsidRDefault="000F4CA5">
            <w:r>
              <w:rPr>
                <w:rFonts w:ascii="Arial" w:hAnsi="Arial"/>
                <w:b/>
                <w:color w:val="FFFFFF"/>
                <w:sz w:val="18"/>
              </w:rPr>
              <w:t>2023</w:t>
            </w:r>
          </w:p>
        </w:tc>
        <w:tc>
          <w:tcPr>
            <w:tcW w:w="2257" w:type="dxa"/>
            <w:shd w:val="clear" w:color="auto" w:fill="1B3A6B"/>
          </w:tcPr>
          <w:p w14:paraId="332FAC6B" w14:textId="77777777" w:rsidR="00535AD5" w:rsidRDefault="000F4CA5">
            <w:r>
              <w:rPr>
                <w:rFonts w:ascii="Arial" w:hAnsi="Arial"/>
                <w:b/>
                <w:color w:val="FFFFFF"/>
                <w:sz w:val="18"/>
              </w:rPr>
              <w:t>YoY Change</w:t>
            </w:r>
          </w:p>
        </w:tc>
      </w:tr>
      <w:tr w:rsidR="00535AD5" w14:paraId="19CE8CD1" w14:textId="77777777">
        <w:trPr>
          <w:jc w:val="center"/>
        </w:trPr>
        <w:tc>
          <w:tcPr>
            <w:tcW w:w="2257" w:type="dxa"/>
          </w:tcPr>
          <w:p w14:paraId="73F58549" w14:textId="77777777" w:rsidR="00535AD5" w:rsidRDefault="000F4CA5">
            <w:r>
              <w:rPr>
                <w:rFonts w:ascii="Arial" w:hAnsi="Arial"/>
                <w:sz w:val="18"/>
              </w:rPr>
              <w:t>New Hires</w:t>
            </w:r>
          </w:p>
        </w:tc>
        <w:tc>
          <w:tcPr>
            <w:tcW w:w="2257" w:type="dxa"/>
          </w:tcPr>
          <w:p w14:paraId="2D074A1E" w14:textId="77777777" w:rsidR="00535AD5" w:rsidRDefault="000F4CA5">
            <w:pPr>
              <w:jc w:val="right"/>
            </w:pPr>
            <w:r>
              <w:rPr>
                <w:rFonts w:ascii="Arial" w:hAnsi="Arial"/>
                <w:sz w:val="18"/>
              </w:rPr>
              <w:t>2595</w:t>
            </w:r>
          </w:p>
        </w:tc>
        <w:tc>
          <w:tcPr>
            <w:tcW w:w="2257" w:type="dxa"/>
          </w:tcPr>
          <w:p w14:paraId="0BB31979" w14:textId="77777777" w:rsidR="00535AD5" w:rsidRDefault="000F4CA5">
            <w:pPr>
              <w:jc w:val="right"/>
            </w:pPr>
            <w:r>
              <w:rPr>
                <w:rFonts w:ascii="Arial" w:hAnsi="Arial"/>
                <w:sz w:val="18"/>
              </w:rPr>
              <w:t>3169</w:t>
            </w:r>
          </w:p>
        </w:tc>
        <w:tc>
          <w:tcPr>
            <w:tcW w:w="2257" w:type="dxa"/>
          </w:tcPr>
          <w:p w14:paraId="70E4EFC0" w14:textId="77777777" w:rsidR="00535AD5" w:rsidRDefault="000F4CA5">
            <w:r>
              <w:rPr>
                <w:rFonts w:ascii="Arial" w:hAnsi="Arial"/>
                <w:sz w:val="18"/>
              </w:rPr>
              <w:t>−</w:t>
            </w:r>
            <w:r>
              <w:rPr>
                <w:rFonts w:ascii="Arial" w:hAnsi="Arial"/>
                <w:sz w:val="18"/>
              </w:rPr>
              <w:t>574</w:t>
            </w:r>
          </w:p>
        </w:tc>
      </w:tr>
      <w:tr w:rsidR="00535AD5" w14:paraId="19B53F6C" w14:textId="77777777">
        <w:trPr>
          <w:jc w:val="center"/>
        </w:trPr>
        <w:tc>
          <w:tcPr>
            <w:tcW w:w="2257" w:type="dxa"/>
            <w:shd w:val="clear" w:color="auto" w:fill="F2F6FC"/>
          </w:tcPr>
          <w:p w14:paraId="23FCEF57" w14:textId="77777777" w:rsidR="00535AD5" w:rsidRDefault="000F4CA5">
            <w:r>
              <w:rPr>
                <w:rFonts w:ascii="Arial" w:hAnsi="Arial"/>
                <w:sz w:val="18"/>
              </w:rPr>
              <w:t>Hiring Rate</w:t>
            </w:r>
          </w:p>
        </w:tc>
        <w:tc>
          <w:tcPr>
            <w:tcW w:w="2257" w:type="dxa"/>
            <w:shd w:val="clear" w:color="auto" w:fill="F2F6FC"/>
          </w:tcPr>
          <w:p w14:paraId="3976A609" w14:textId="77777777" w:rsidR="00535AD5" w:rsidRDefault="000F4CA5">
            <w:pPr>
              <w:jc w:val="right"/>
            </w:pPr>
            <w:r>
              <w:rPr>
                <w:rFonts w:ascii="Arial" w:hAnsi="Arial"/>
                <w:sz w:val="18"/>
              </w:rPr>
              <w:t>10.38%</w:t>
            </w:r>
          </w:p>
        </w:tc>
        <w:tc>
          <w:tcPr>
            <w:tcW w:w="2257" w:type="dxa"/>
            <w:shd w:val="clear" w:color="auto" w:fill="F2F6FC"/>
          </w:tcPr>
          <w:p w14:paraId="17CC8169" w14:textId="77777777" w:rsidR="00535AD5" w:rsidRDefault="000F4CA5">
            <w:pPr>
              <w:jc w:val="right"/>
            </w:pPr>
            <w:r>
              <w:rPr>
                <w:rFonts w:ascii="Arial" w:hAnsi="Arial"/>
                <w:sz w:val="18"/>
              </w:rPr>
              <w:t>12.93%</w:t>
            </w:r>
          </w:p>
        </w:tc>
        <w:tc>
          <w:tcPr>
            <w:tcW w:w="2257" w:type="dxa"/>
            <w:shd w:val="clear" w:color="auto" w:fill="F2F6FC"/>
          </w:tcPr>
          <w:p w14:paraId="1B8D6054" w14:textId="77777777" w:rsidR="00535AD5" w:rsidRDefault="000F4CA5">
            <w:r>
              <w:rPr>
                <w:rFonts w:ascii="Arial" w:hAnsi="Arial"/>
                <w:sz w:val="18"/>
              </w:rPr>
              <w:t>−</w:t>
            </w:r>
            <w:r>
              <w:rPr>
                <w:rFonts w:ascii="Arial" w:hAnsi="Arial"/>
                <w:sz w:val="18"/>
              </w:rPr>
              <w:t>2.55 pp</w:t>
            </w:r>
          </w:p>
        </w:tc>
      </w:tr>
      <w:tr w:rsidR="00535AD5" w14:paraId="1FCD1C66" w14:textId="77777777">
        <w:trPr>
          <w:jc w:val="center"/>
        </w:trPr>
        <w:tc>
          <w:tcPr>
            <w:tcW w:w="2257" w:type="dxa"/>
          </w:tcPr>
          <w:p w14:paraId="594EE1F5" w14:textId="77777777" w:rsidR="00535AD5" w:rsidRDefault="000F4CA5">
            <w:r>
              <w:rPr>
                <w:rFonts w:ascii="Arial" w:hAnsi="Arial"/>
                <w:sz w:val="18"/>
              </w:rPr>
              <w:t>Voluntary Turnover</w:t>
            </w:r>
          </w:p>
        </w:tc>
        <w:tc>
          <w:tcPr>
            <w:tcW w:w="2257" w:type="dxa"/>
          </w:tcPr>
          <w:p w14:paraId="423F5809" w14:textId="77777777" w:rsidR="00535AD5" w:rsidRDefault="000F4CA5">
            <w:pPr>
              <w:jc w:val="right"/>
            </w:pPr>
            <w:r>
              <w:rPr>
                <w:rFonts w:ascii="Arial" w:hAnsi="Arial"/>
                <w:sz w:val="18"/>
              </w:rPr>
              <w:t>8.45%</w:t>
            </w:r>
          </w:p>
        </w:tc>
        <w:tc>
          <w:tcPr>
            <w:tcW w:w="2257" w:type="dxa"/>
          </w:tcPr>
          <w:p w14:paraId="1321178E" w14:textId="77777777" w:rsidR="00535AD5" w:rsidRDefault="000F4CA5">
            <w:pPr>
              <w:jc w:val="right"/>
            </w:pPr>
            <w:r>
              <w:rPr>
                <w:rFonts w:ascii="Arial" w:hAnsi="Arial"/>
                <w:sz w:val="18"/>
              </w:rPr>
              <w:t>14.24%</w:t>
            </w:r>
          </w:p>
        </w:tc>
        <w:tc>
          <w:tcPr>
            <w:tcW w:w="2257" w:type="dxa"/>
          </w:tcPr>
          <w:p w14:paraId="77916498" w14:textId="77777777" w:rsidR="00535AD5" w:rsidRDefault="000F4CA5">
            <w:r>
              <w:rPr>
                <w:rFonts w:ascii="Arial" w:hAnsi="Arial"/>
                <w:sz w:val="18"/>
              </w:rPr>
              <w:t>−</w:t>
            </w:r>
            <w:r>
              <w:rPr>
                <w:rFonts w:ascii="Arial" w:hAnsi="Arial"/>
                <w:sz w:val="18"/>
              </w:rPr>
              <w:t>40.66%</w:t>
            </w:r>
          </w:p>
        </w:tc>
      </w:tr>
    </w:tbl>
    <w:p w14:paraId="1AC72E3A" w14:textId="77777777" w:rsidR="00535AD5" w:rsidRDefault="000F4CA5">
      <w:r>
        <w:rPr>
          <w:rFonts w:ascii="Arial" w:hAnsi="Arial"/>
          <w:i/>
          <w:sz w:val="16"/>
        </w:rPr>
        <w:t>Source: Source: HR system data. Hiring rate = (new hires / average headcount) × 100. Voluntary turnover = (voluntary separations / average headcount) × 100. Excludes involuntary terminations and retirements.</w:t>
      </w:r>
    </w:p>
    <w:p w14:paraId="6645313F" w14:textId="77777777" w:rsidR="00535AD5" w:rsidRDefault="00535AD5"/>
    <w:p w14:paraId="077F3759" w14:textId="77777777" w:rsidR="00535AD5" w:rsidRDefault="000F4CA5">
      <w:r>
        <w:rPr>
          <w:rFonts w:ascii="Arial" w:hAnsi="Arial"/>
          <w:b/>
          <w:sz w:val="20"/>
        </w:rPr>
        <w:t>Table S-3: Training Metrics</w:t>
      </w:r>
    </w:p>
    <w:tbl>
      <w:tblPr>
        <w:tblW w:w="0" w:type="auto"/>
        <w:jc w:val="center"/>
        <w:tblLook w:val="04A0" w:firstRow="1" w:lastRow="0" w:firstColumn="1" w:lastColumn="0" w:noHBand="0" w:noVBand="1"/>
      </w:tblPr>
      <w:tblGrid>
        <w:gridCol w:w="2257"/>
        <w:gridCol w:w="2257"/>
        <w:gridCol w:w="2257"/>
        <w:gridCol w:w="2257"/>
      </w:tblGrid>
      <w:tr w:rsidR="00535AD5" w14:paraId="566FCECB" w14:textId="77777777">
        <w:trPr>
          <w:jc w:val="center"/>
        </w:trPr>
        <w:tc>
          <w:tcPr>
            <w:tcW w:w="2257" w:type="dxa"/>
            <w:shd w:val="clear" w:color="auto" w:fill="1B3A6B"/>
          </w:tcPr>
          <w:p w14:paraId="367B15AB" w14:textId="77777777" w:rsidR="00535AD5" w:rsidRDefault="000F4CA5">
            <w:r>
              <w:rPr>
                <w:rFonts w:ascii="Arial" w:hAnsi="Arial"/>
                <w:b/>
                <w:color w:val="FFFFFF"/>
                <w:sz w:val="18"/>
              </w:rPr>
              <w:t>Metric</w:t>
            </w:r>
          </w:p>
        </w:tc>
        <w:tc>
          <w:tcPr>
            <w:tcW w:w="2257" w:type="dxa"/>
            <w:shd w:val="clear" w:color="auto" w:fill="1B3A6B"/>
          </w:tcPr>
          <w:p w14:paraId="2AFB0DC6" w14:textId="77777777" w:rsidR="00535AD5" w:rsidRDefault="000F4CA5">
            <w:r>
              <w:rPr>
                <w:rFonts w:ascii="Arial" w:hAnsi="Arial"/>
                <w:b/>
                <w:color w:val="FFFFFF"/>
                <w:sz w:val="18"/>
              </w:rPr>
              <w:t>2024</w:t>
            </w:r>
          </w:p>
        </w:tc>
        <w:tc>
          <w:tcPr>
            <w:tcW w:w="2257" w:type="dxa"/>
            <w:shd w:val="clear" w:color="auto" w:fill="1B3A6B"/>
          </w:tcPr>
          <w:p w14:paraId="7C4C37CC" w14:textId="77777777" w:rsidR="00535AD5" w:rsidRDefault="000F4CA5">
            <w:r>
              <w:rPr>
                <w:rFonts w:ascii="Arial" w:hAnsi="Arial"/>
                <w:b/>
                <w:color w:val="FFFFFF"/>
                <w:sz w:val="18"/>
              </w:rPr>
              <w:t>2023</w:t>
            </w:r>
          </w:p>
        </w:tc>
        <w:tc>
          <w:tcPr>
            <w:tcW w:w="2257" w:type="dxa"/>
            <w:shd w:val="clear" w:color="auto" w:fill="1B3A6B"/>
          </w:tcPr>
          <w:p w14:paraId="13058945" w14:textId="77777777" w:rsidR="00535AD5" w:rsidRDefault="000F4CA5">
            <w:r>
              <w:rPr>
                <w:rFonts w:ascii="Arial" w:hAnsi="Arial"/>
                <w:b/>
                <w:color w:val="FFFFFF"/>
                <w:sz w:val="18"/>
              </w:rPr>
              <w:t>YoY Change</w:t>
            </w:r>
          </w:p>
        </w:tc>
      </w:tr>
      <w:tr w:rsidR="00535AD5" w14:paraId="06C49B17" w14:textId="77777777">
        <w:trPr>
          <w:jc w:val="center"/>
        </w:trPr>
        <w:tc>
          <w:tcPr>
            <w:tcW w:w="2257" w:type="dxa"/>
          </w:tcPr>
          <w:p w14:paraId="1A5D1A77" w14:textId="77777777" w:rsidR="00535AD5" w:rsidRDefault="000F4CA5">
            <w:r>
              <w:rPr>
                <w:rFonts w:ascii="Arial" w:hAnsi="Arial"/>
                <w:sz w:val="18"/>
              </w:rPr>
              <w:t>Avg Training Hours per FTE</w:t>
            </w:r>
          </w:p>
        </w:tc>
        <w:tc>
          <w:tcPr>
            <w:tcW w:w="2257" w:type="dxa"/>
          </w:tcPr>
          <w:p w14:paraId="00CCFD1C" w14:textId="77777777" w:rsidR="00535AD5" w:rsidRDefault="000F4CA5">
            <w:pPr>
              <w:jc w:val="right"/>
            </w:pPr>
            <w:r>
              <w:rPr>
                <w:rFonts w:ascii="Arial" w:hAnsi="Arial"/>
                <w:sz w:val="18"/>
              </w:rPr>
              <w:t>49.3</w:t>
            </w:r>
          </w:p>
        </w:tc>
        <w:tc>
          <w:tcPr>
            <w:tcW w:w="2257" w:type="dxa"/>
          </w:tcPr>
          <w:p w14:paraId="5316BF49" w14:textId="77777777" w:rsidR="00535AD5" w:rsidRDefault="000F4CA5">
            <w:pPr>
              <w:jc w:val="right"/>
            </w:pPr>
            <w:r>
              <w:rPr>
                <w:rFonts w:ascii="Arial" w:hAnsi="Arial"/>
                <w:sz w:val="18"/>
              </w:rPr>
              <w:t>64.14</w:t>
            </w:r>
          </w:p>
        </w:tc>
        <w:tc>
          <w:tcPr>
            <w:tcW w:w="2257" w:type="dxa"/>
          </w:tcPr>
          <w:p w14:paraId="2AB5427E" w14:textId="77777777" w:rsidR="00535AD5" w:rsidRDefault="000F4CA5">
            <w:r>
              <w:rPr>
                <w:rFonts w:ascii="Arial" w:hAnsi="Arial"/>
                <w:sz w:val="18"/>
              </w:rPr>
              <w:t>−</w:t>
            </w:r>
            <w:r>
              <w:rPr>
                <w:rFonts w:ascii="Arial" w:hAnsi="Arial"/>
                <w:sz w:val="18"/>
              </w:rPr>
              <w:t>23.14%</w:t>
            </w:r>
          </w:p>
        </w:tc>
      </w:tr>
      <w:tr w:rsidR="00535AD5" w14:paraId="472A9E37" w14:textId="77777777">
        <w:trPr>
          <w:jc w:val="center"/>
        </w:trPr>
        <w:tc>
          <w:tcPr>
            <w:tcW w:w="2257" w:type="dxa"/>
            <w:shd w:val="clear" w:color="auto" w:fill="F2F6FC"/>
          </w:tcPr>
          <w:p w14:paraId="3F7E877D" w14:textId="77777777" w:rsidR="00535AD5" w:rsidRDefault="000F4CA5">
            <w:r>
              <w:rPr>
                <w:rFonts w:ascii="Arial" w:hAnsi="Arial"/>
                <w:sz w:val="18"/>
              </w:rPr>
              <w:t>Total Training Hours</w:t>
            </w:r>
          </w:p>
        </w:tc>
        <w:tc>
          <w:tcPr>
            <w:tcW w:w="2257" w:type="dxa"/>
            <w:shd w:val="clear" w:color="auto" w:fill="F2F6FC"/>
          </w:tcPr>
          <w:p w14:paraId="7420A0D9" w14:textId="77777777" w:rsidR="00535AD5" w:rsidRDefault="000F4CA5">
            <w:pPr>
              <w:jc w:val="right"/>
            </w:pPr>
            <w:r>
              <w:rPr>
                <w:rFonts w:ascii="Arial" w:hAnsi="Arial"/>
                <w:sz w:val="18"/>
              </w:rPr>
              <w:t>1232350</w:t>
            </w:r>
          </w:p>
        </w:tc>
        <w:tc>
          <w:tcPr>
            <w:tcW w:w="2257" w:type="dxa"/>
            <w:shd w:val="clear" w:color="auto" w:fill="F2F6FC"/>
          </w:tcPr>
          <w:p w14:paraId="22C787E4" w14:textId="77777777" w:rsidR="00535AD5" w:rsidRDefault="000F4CA5">
            <w:pPr>
              <w:jc w:val="right"/>
            </w:pPr>
            <w:r>
              <w:rPr>
                <w:rFonts w:ascii="Arial" w:hAnsi="Arial"/>
                <w:sz w:val="18"/>
              </w:rPr>
              <w:t>1571430</w:t>
            </w:r>
          </w:p>
        </w:tc>
        <w:tc>
          <w:tcPr>
            <w:tcW w:w="2257" w:type="dxa"/>
            <w:shd w:val="clear" w:color="auto" w:fill="F2F6FC"/>
          </w:tcPr>
          <w:p w14:paraId="5BB4EE66" w14:textId="77777777" w:rsidR="00535AD5" w:rsidRDefault="000F4CA5">
            <w:r>
              <w:rPr>
                <w:rFonts w:ascii="Arial" w:hAnsi="Arial"/>
                <w:sz w:val="18"/>
              </w:rPr>
              <w:t>−</w:t>
            </w:r>
            <w:r>
              <w:rPr>
                <w:rFonts w:ascii="Arial" w:hAnsi="Arial"/>
                <w:sz w:val="18"/>
              </w:rPr>
              <w:t>21.58%</w:t>
            </w:r>
          </w:p>
        </w:tc>
      </w:tr>
      <w:tr w:rsidR="00535AD5" w14:paraId="2D163B5E" w14:textId="77777777">
        <w:trPr>
          <w:jc w:val="center"/>
        </w:trPr>
        <w:tc>
          <w:tcPr>
            <w:tcW w:w="2257" w:type="dxa"/>
          </w:tcPr>
          <w:p w14:paraId="490471AE" w14:textId="77777777" w:rsidR="00535AD5" w:rsidRDefault="000F4CA5">
            <w:r>
              <w:rPr>
                <w:rFonts w:ascii="Arial" w:hAnsi="Arial"/>
                <w:sz w:val="18"/>
              </w:rPr>
              <w:t>Digital Training Delivery (%)</w:t>
            </w:r>
          </w:p>
        </w:tc>
        <w:tc>
          <w:tcPr>
            <w:tcW w:w="2257" w:type="dxa"/>
          </w:tcPr>
          <w:p w14:paraId="4A8A07E9" w14:textId="77777777" w:rsidR="00535AD5" w:rsidRDefault="000F4CA5">
            <w:pPr>
              <w:jc w:val="right"/>
            </w:pPr>
            <w:r>
              <w:rPr>
                <w:rFonts w:ascii="Arial" w:hAnsi="Arial"/>
                <w:sz w:val="18"/>
              </w:rPr>
              <w:t>68%</w:t>
            </w:r>
          </w:p>
        </w:tc>
        <w:tc>
          <w:tcPr>
            <w:tcW w:w="2257" w:type="dxa"/>
          </w:tcPr>
          <w:p w14:paraId="2C5E5E79" w14:textId="77777777" w:rsidR="00535AD5" w:rsidRDefault="000F4CA5">
            <w:pPr>
              <w:jc w:val="right"/>
            </w:pPr>
            <w:r>
              <w:rPr>
                <w:rFonts w:ascii="Arial" w:hAnsi="Arial"/>
                <w:sz w:val="18"/>
              </w:rPr>
              <w:t>52%</w:t>
            </w:r>
          </w:p>
        </w:tc>
        <w:tc>
          <w:tcPr>
            <w:tcW w:w="2257" w:type="dxa"/>
          </w:tcPr>
          <w:p w14:paraId="3B5AFFDB" w14:textId="77777777" w:rsidR="00535AD5" w:rsidRDefault="000F4CA5">
            <w:r>
              <w:rPr>
                <w:rFonts w:ascii="Arial" w:hAnsi="Arial"/>
                <w:sz w:val="18"/>
              </w:rPr>
              <w:t>+16 pp</w:t>
            </w:r>
          </w:p>
        </w:tc>
      </w:tr>
    </w:tbl>
    <w:p w14:paraId="48F05193" w14:textId="77777777" w:rsidR="00535AD5" w:rsidRDefault="000F4CA5">
      <w:r>
        <w:rPr>
          <w:rFonts w:ascii="Arial" w:hAnsi="Arial"/>
          <w:i/>
          <w:sz w:val="16"/>
        </w:rPr>
        <w:t>Source: Source: Learning Management System (LMS) data. Training hours include mandatory compliance training, technical skills development, and leadership programs. Excludes on-the-job coaching and informal learning activities.</w:t>
      </w:r>
    </w:p>
    <w:p w14:paraId="467658BB" w14:textId="77777777" w:rsidR="00535AD5" w:rsidRDefault="00535AD5"/>
    <w:p w14:paraId="4536E017" w14:textId="77777777" w:rsidR="00535AD5" w:rsidRDefault="000F4CA5">
      <w:r>
        <w:rPr>
          <w:rFonts w:ascii="Arial" w:hAnsi="Arial"/>
          <w:b/>
          <w:sz w:val="20"/>
        </w:rPr>
        <w:t>Table S-4: Diversity Indicators</w:t>
      </w:r>
    </w:p>
    <w:tbl>
      <w:tblPr>
        <w:tblW w:w="0" w:type="auto"/>
        <w:jc w:val="center"/>
        <w:tblLook w:val="04A0" w:firstRow="1" w:lastRow="0" w:firstColumn="1" w:lastColumn="0" w:noHBand="0" w:noVBand="1"/>
      </w:tblPr>
      <w:tblGrid>
        <w:gridCol w:w="2257"/>
        <w:gridCol w:w="2257"/>
        <w:gridCol w:w="2257"/>
        <w:gridCol w:w="2257"/>
      </w:tblGrid>
      <w:tr w:rsidR="00535AD5" w14:paraId="0A8221EE" w14:textId="77777777">
        <w:trPr>
          <w:jc w:val="center"/>
        </w:trPr>
        <w:tc>
          <w:tcPr>
            <w:tcW w:w="2257" w:type="dxa"/>
            <w:shd w:val="clear" w:color="auto" w:fill="1B3A6B"/>
          </w:tcPr>
          <w:p w14:paraId="653FAA3F" w14:textId="77777777" w:rsidR="00535AD5" w:rsidRDefault="000F4CA5">
            <w:r>
              <w:rPr>
                <w:rFonts w:ascii="Arial" w:hAnsi="Arial"/>
                <w:b/>
                <w:color w:val="FFFFFF"/>
                <w:sz w:val="18"/>
              </w:rPr>
              <w:t>Metric</w:t>
            </w:r>
          </w:p>
        </w:tc>
        <w:tc>
          <w:tcPr>
            <w:tcW w:w="2257" w:type="dxa"/>
            <w:shd w:val="clear" w:color="auto" w:fill="1B3A6B"/>
          </w:tcPr>
          <w:p w14:paraId="56730F33" w14:textId="77777777" w:rsidR="00535AD5" w:rsidRDefault="000F4CA5">
            <w:r>
              <w:rPr>
                <w:rFonts w:ascii="Arial" w:hAnsi="Arial"/>
                <w:b/>
                <w:color w:val="FFFFFF"/>
                <w:sz w:val="18"/>
              </w:rPr>
              <w:t>2024</w:t>
            </w:r>
          </w:p>
        </w:tc>
        <w:tc>
          <w:tcPr>
            <w:tcW w:w="2257" w:type="dxa"/>
            <w:shd w:val="clear" w:color="auto" w:fill="1B3A6B"/>
          </w:tcPr>
          <w:p w14:paraId="171AE8FA" w14:textId="77777777" w:rsidR="00535AD5" w:rsidRDefault="000F4CA5">
            <w:r>
              <w:rPr>
                <w:rFonts w:ascii="Arial" w:hAnsi="Arial"/>
                <w:b/>
                <w:color w:val="FFFFFF"/>
                <w:sz w:val="18"/>
              </w:rPr>
              <w:t>2023</w:t>
            </w:r>
          </w:p>
        </w:tc>
        <w:tc>
          <w:tcPr>
            <w:tcW w:w="2257" w:type="dxa"/>
            <w:shd w:val="clear" w:color="auto" w:fill="1B3A6B"/>
          </w:tcPr>
          <w:p w14:paraId="7E68834D" w14:textId="77777777" w:rsidR="00535AD5" w:rsidRDefault="000F4CA5">
            <w:r>
              <w:rPr>
                <w:rFonts w:ascii="Arial" w:hAnsi="Arial"/>
                <w:b/>
                <w:color w:val="FFFFFF"/>
                <w:sz w:val="18"/>
              </w:rPr>
              <w:t>Change</w:t>
            </w:r>
          </w:p>
        </w:tc>
      </w:tr>
      <w:tr w:rsidR="00535AD5" w14:paraId="7C672C18" w14:textId="77777777">
        <w:trPr>
          <w:jc w:val="center"/>
        </w:trPr>
        <w:tc>
          <w:tcPr>
            <w:tcW w:w="2257" w:type="dxa"/>
          </w:tcPr>
          <w:p w14:paraId="3D5C4BCD" w14:textId="77777777" w:rsidR="00535AD5" w:rsidRDefault="000F4CA5">
            <w:r>
              <w:rPr>
                <w:rFonts w:ascii="Arial" w:hAnsi="Arial"/>
                <w:sz w:val="18"/>
              </w:rPr>
              <w:t>Female Workforce (%)</w:t>
            </w:r>
          </w:p>
        </w:tc>
        <w:tc>
          <w:tcPr>
            <w:tcW w:w="2257" w:type="dxa"/>
          </w:tcPr>
          <w:p w14:paraId="18D4D4FC" w14:textId="77777777" w:rsidR="00535AD5" w:rsidRDefault="000F4CA5">
            <w:pPr>
              <w:jc w:val="right"/>
            </w:pPr>
            <w:r>
              <w:rPr>
                <w:rFonts w:ascii="Arial" w:hAnsi="Arial"/>
                <w:sz w:val="18"/>
              </w:rPr>
              <w:t>42.32%</w:t>
            </w:r>
          </w:p>
        </w:tc>
        <w:tc>
          <w:tcPr>
            <w:tcW w:w="2257" w:type="dxa"/>
          </w:tcPr>
          <w:p w14:paraId="37FB9566" w14:textId="77777777" w:rsidR="00535AD5" w:rsidRDefault="000F4CA5">
            <w:pPr>
              <w:jc w:val="right"/>
            </w:pPr>
            <w:r>
              <w:rPr>
                <w:rFonts w:ascii="Arial" w:hAnsi="Arial"/>
                <w:sz w:val="18"/>
              </w:rPr>
              <w:t>46.2%</w:t>
            </w:r>
          </w:p>
        </w:tc>
        <w:tc>
          <w:tcPr>
            <w:tcW w:w="2257" w:type="dxa"/>
          </w:tcPr>
          <w:p w14:paraId="499F3954" w14:textId="77777777" w:rsidR="00535AD5" w:rsidRDefault="000F4CA5">
            <w:r>
              <w:rPr>
                <w:rFonts w:ascii="Arial" w:hAnsi="Arial"/>
                <w:sz w:val="18"/>
              </w:rPr>
              <w:t>−</w:t>
            </w:r>
            <w:r>
              <w:rPr>
                <w:rFonts w:ascii="Arial" w:hAnsi="Arial"/>
                <w:sz w:val="18"/>
              </w:rPr>
              <w:t>3.88 pp</w:t>
            </w:r>
          </w:p>
        </w:tc>
      </w:tr>
      <w:tr w:rsidR="00535AD5" w14:paraId="3B15E3D5" w14:textId="77777777">
        <w:trPr>
          <w:jc w:val="center"/>
        </w:trPr>
        <w:tc>
          <w:tcPr>
            <w:tcW w:w="2257" w:type="dxa"/>
            <w:shd w:val="clear" w:color="auto" w:fill="F2F6FC"/>
          </w:tcPr>
          <w:p w14:paraId="1D139A18" w14:textId="77777777" w:rsidR="00535AD5" w:rsidRDefault="000F4CA5">
            <w:r>
              <w:rPr>
                <w:rFonts w:ascii="Arial" w:hAnsi="Arial"/>
                <w:sz w:val="18"/>
              </w:rPr>
              <w:t>Women in Management (%)</w:t>
            </w:r>
          </w:p>
        </w:tc>
        <w:tc>
          <w:tcPr>
            <w:tcW w:w="2257" w:type="dxa"/>
            <w:shd w:val="clear" w:color="auto" w:fill="F2F6FC"/>
          </w:tcPr>
          <w:p w14:paraId="140B4A7C" w14:textId="77777777" w:rsidR="00535AD5" w:rsidRDefault="000F4CA5">
            <w:pPr>
              <w:jc w:val="right"/>
            </w:pPr>
            <w:r>
              <w:rPr>
                <w:rFonts w:ascii="Arial" w:hAnsi="Arial"/>
                <w:sz w:val="18"/>
              </w:rPr>
              <w:t>26.67%</w:t>
            </w:r>
          </w:p>
        </w:tc>
        <w:tc>
          <w:tcPr>
            <w:tcW w:w="2257" w:type="dxa"/>
            <w:shd w:val="clear" w:color="auto" w:fill="F2F6FC"/>
          </w:tcPr>
          <w:p w14:paraId="103540A1" w14:textId="77777777" w:rsidR="00535AD5" w:rsidRDefault="000F4CA5">
            <w:pPr>
              <w:jc w:val="right"/>
            </w:pPr>
            <w:r>
              <w:rPr>
                <w:rFonts w:ascii="Arial" w:hAnsi="Arial"/>
                <w:sz w:val="18"/>
              </w:rPr>
              <w:t>28.45%</w:t>
            </w:r>
          </w:p>
        </w:tc>
        <w:tc>
          <w:tcPr>
            <w:tcW w:w="2257" w:type="dxa"/>
            <w:shd w:val="clear" w:color="auto" w:fill="F2F6FC"/>
          </w:tcPr>
          <w:p w14:paraId="65FD2233" w14:textId="77777777" w:rsidR="00535AD5" w:rsidRDefault="000F4CA5">
            <w:r>
              <w:rPr>
                <w:rFonts w:ascii="Arial" w:hAnsi="Arial"/>
                <w:sz w:val="18"/>
              </w:rPr>
              <w:t>−</w:t>
            </w:r>
            <w:r>
              <w:rPr>
                <w:rFonts w:ascii="Arial" w:hAnsi="Arial"/>
                <w:sz w:val="18"/>
              </w:rPr>
              <w:t>1.78 pp</w:t>
            </w:r>
          </w:p>
        </w:tc>
      </w:tr>
      <w:tr w:rsidR="00535AD5" w14:paraId="4E7C48B7" w14:textId="77777777">
        <w:trPr>
          <w:jc w:val="center"/>
        </w:trPr>
        <w:tc>
          <w:tcPr>
            <w:tcW w:w="2257" w:type="dxa"/>
          </w:tcPr>
          <w:p w14:paraId="51D22C08" w14:textId="77777777" w:rsidR="00535AD5" w:rsidRDefault="000F4CA5">
            <w:r>
              <w:rPr>
                <w:rFonts w:ascii="Arial" w:hAnsi="Arial"/>
                <w:sz w:val="18"/>
              </w:rPr>
              <w:t>Female New Hires (%)</w:t>
            </w:r>
          </w:p>
        </w:tc>
        <w:tc>
          <w:tcPr>
            <w:tcW w:w="2257" w:type="dxa"/>
          </w:tcPr>
          <w:p w14:paraId="06F01DF4" w14:textId="77777777" w:rsidR="00535AD5" w:rsidRDefault="000F4CA5">
            <w:pPr>
              <w:jc w:val="right"/>
            </w:pPr>
            <w:r>
              <w:rPr>
                <w:rFonts w:ascii="Arial" w:hAnsi="Arial"/>
                <w:sz w:val="18"/>
              </w:rPr>
              <w:t>38.5%</w:t>
            </w:r>
          </w:p>
        </w:tc>
        <w:tc>
          <w:tcPr>
            <w:tcW w:w="2257" w:type="dxa"/>
          </w:tcPr>
          <w:p w14:paraId="44B9D476" w14:textId="77777777" w:rsidR="00535AD5" w:rsidRDefault="000F4CA5">
            <w:pPr>
              <w:jc w:val="right"/>
            </w:pPr>
            <w:r>
              <w:rPr>
                <w:rFonts w:ascii="Arial" w:hAnsi="Arial"/>
                <w:sz w:val="18"/>
              </w:rPr>
              <w:t>44.2%</w:t>
            </w:r>
          </w:p>
        </w:tc>
        <w:tc>
          <w:tcPr>
            <w:tcW w:w="2257" w:type="dxa"/>
          </w:tcPr>
          <w:p w14:paraId="28187CE6" w14:textId="77777777" w:rsidR="00535AD5" w:rsidRDefault="000F4CA5">
            <w:r>
              <w:rPr>
                <w:rFonts w:ascii="Arial" w:hAnsi="Arial"/>
                <w:sz w:val="18"/>
              </w:rPr>
              <w:t>−</w:t>
            </w:r>
            <w:r>
              <w:rPr>
                <w:rFonts w:ascii="Arial" w:hAnsi="Arial"/>
                <w:sz w:val="18"/>
              </w:rPr>
              <w:t>5.7 pp</w:t>
            </w:r>
          </w:p>
        </w:tc>
      </w:tr>
    </w:tbl>
    <w:p w14:paraId="10FE610F" w14:textId="77777777" w:rsidR="00535AD5" w:rsidRDefault="000F4CA5">
      <w:r>
        <w:rPr>
          <w:rFonts w:ascii="Arial" w:hAnsi="Arial"/>
          <w:i/>
          <w:sz w:val="16"/>
        </w:rPr>
        <w:t>Source: Source: HR system data. Management defined as Assistant Vice President level and above. Female new hires percentage calculated from 2024 recruitment data (999 female hires of 2595 total).</w:t>
      </w:r>
    </w:p>
    <w:p w14:paraId="09DE485B" w14:textId="77777777" w:rsidR="00535AD5" w:rsidRDefault="00535AD5"/>
    <w:p w14:paraId="2F8A7E9C" w14:textId="77777777" w:rsidR="00535AD5" w:rsidRDefault="000F4CA5">
      <w:r>
        <w:rPr>
          <w:rFonts w:ascii="Arial" w:hAnsi="Arial"/>
          <w:b/>
          <w:sz w:val="20"/>
        </w:rPr>
        <w:t>Table S-5: Non-Discrimination Cases</w:t>
      </w:r>
    </w:p>
    <w:tbl>
      <w:tblPr>
        <w:tblW w:w="0" w:type="auto"/>
        <w:jc w:val="center"/>
        <w:tblLook w:val="04A0" w:firstRow="1" w:lastRow="0" w:firstColumn="1" w:lastColumn="0" w:noHBand="0" w:noVBand="1"/>
      </w:tblPr>
      <w:tblGrid>
        <w:gridCol w:w="3010"/>
        <w:gridCol w:w="3010"/>
        <w:gridCol w:w="3010"/>
      </w:tblGrid>
      <w:tr w:rsidR="00535AD5" w14:paraId="1D9552BC" w14:textId="77777777">
        <w:trPr>
          <w:jc w:val="center"/>
        </w:trPr>
        <w:tc>
          <w:tcPr>
            <w:tcW w:w="3010" w:type="dxa"/>
            <w:shd w:val="clear" w:color="auto" w:fill="1B3A6B"/>
          </w:tcPr>
          <w:p w14:paraId="6F27FF4F" w14:textId="77777777" w:rsidR="00535AD5" w:rsidRDefault="000F4CA5">
            <w:r>
              <w:rPr>
                <w:rFonts w:ascii="Arial" w:hAnsi="Arial"/>
                <w:b/>
                <w:color w:val="FFFFFF"/>
                <w:sz w:val="18"/>
              </w:rPr>
              <w:t>Metric</w:t>
            </w:r>
          </w:p>
        </w:tc>
        <w:tc>
          <w:tcPr>
            <w:tcW w:w="3010" w:type="dxa"/>
            <w:shd w:val="clear" w:color="auto" w:fill="1B3A6B"/>
          </w:tcPr>
          <w:p w14:paraId="6C7A7554" w14:textId="77777777" w:rsidR="00535AD5" w:rsidRDefault="000F4CA5">
            <w:r>
              <w:rPr>
                <w:rFonts w:ascii="Arial" w:hAnsi="Arial"/>
                <w:b/>
                <w:color w:val="FFFFFF"/>
                <w:sz w:val="18"/>
              </w:rPr>
              <w:t>2024</w:t>
            </w:r>
          </w:p>
        </w:tc>
        <w:tc>
          <w:tcPr>
            <w:tcW w:w="3010" w:type="dxa"/>
            <w:shd w:val="clear" w:color="auto" w:fill="1B3A6B"/>
          </w:tcPr>
          <w:p w14:paraId="30F40CA1" w14:textId="77777777" w:rsidR="00535AD5" w:rsidRDefault="000F4CA5">
            <w:r>
              <w:rPr>
                <w:rFonts w:ascii="Arial" w:hAnsi="Arial"/>
                <w:b/>
                <w:color w:val="FFFFFF"/>
                <w:sz w:val="18"/>
              </w:rPr>
              <w:t>2023</w:t>
            </w:r>
          </w:p>
        </w:tc>
      </w:tr>
      <w:tr w:rsidR="00535AD5" w14:paraId="73533390" w14:textId="77777777">
        <w:trPr>
          <w:jc w:val="center"/>
        </w:trPr>
        <w:tc>
          <w:tcPr>
            <w:tcW w:w="3010" w:type="dxa"/>
          </w:tcPr>
          <w:p w14:paraId="0493AC66" w14:textId="77777777" w:rsidR="00535AD5" w:rsidRDefault="000F4CA5">
            <w:r>
              <w:rPr>
                <w:rFonts w:ascii="Arial" w:hAnsi="Arial"/>
                <w:sz w:val="18"/>
              </w:rPr>
              <w:t>Total Cases Reported</w:t>
            </w:r>
          </w:p>
        </w:tc>
        <w:tc>
          <w:tcPr>
            <w:tcW w:w="3010" w:type="dxa"/>
          </w:tcPr>
          <w:p w14:paraId="30497E14" w14:textId="77777777" w:rsidR="00535AD5" w:rsidRDefault="000F4CA5">
            <w:pPr>
              <w:jc w:val="right"/>
            </w:pPr>
            <w:r>
              <w:rPr>
                <w:rFonts w:ascii="Arial" w:hAnsi="Arial"/>
                <w:sz w:val="18"/>
              </w:rPr>
              <w:t>2</w:t>
            </w:r>
          </w:p>
        </w:tc>
        <w:tc>
          <w:tcPr>
            <w:tcW w:w="3010" w:type="dxa"/>
          </w:tcPr>
          <w:p w14:paraId="0E768183" w14:textId="77777777" w:rsidR="00535AD5" w:rsidRDefault="000F4CA5">
            <w:pPr>
              <w:jc w:val="right"/>
            </w:pPr>
            <w:r>
              <w:rPr>
                <w:rFonts w:ascii="Arial" w:hAnsi="Arial"/>
                <w:sz w:val="18"/>
              </w:rPr>
              <w:t>3</w:t>
            </w:r>
          </w:p>
        </w:tc>
      </w:tr>
      <w:tr w:rsidR="00535AD5" w14:paraId="0422ACBE" w14:textId="77777777">
        <w:trPr>
          <w:jc w:val="center"/>
        </w:trPr>
        <w:tc>
          <w:tcPr>
            <w:tcW w:w="3010" w:type="dxa"/>
            <w:shd w:val="clear" w:color="auto" w:fill="F2F6FC"/>
          </w:tcPr>
          <w:p w14:paraId="59EE0543" w14:textId="77777777" w:rsidR="00535AD5" w:rsidRDefault="000F4CA5">
            <w:r>
              <w:rPr>
                <w:rFonts w:ascii="Arial" w:hAnsi="Arial"/>
                <w:sz w:val="18"/>
              </w:rPr>
              <w:t>Cases Substantiated</w:t>
            </w:r>
          </w:p>
        </w:tc>
        <w:tc>
          <w:tcPr>
            <w:tcW w:w="3010" w:type="dxa"/>
            <w:shd w:val="clear" w:color="auto" w:fill="F2F6FC"/>
          </w:tcPr>
          <w:p w14:paraId="1B4CAF30" w14:textId="77777777" w:rsidR="00535AD5" w:rsidRDefault="000F4CA5">
            <w:pPr>
              <w:jc w:val="right"/>
            </w:pPr>
            <w:r>
              <w:rPr>
                <w:rFonts w:ascii="Arial" w:hAnsi="Arial"/>
                <w:sz w:val="18"/>
              </w:rPr>
              <w:t>1</w:t>
            </w:r>
          </w:p>
        </w:tc>
        <w:tc>
          <w:tcPr>
            <w:tcW w:w="3010" w:type="dxa"/>
            <w:shd w:val="clear" w:color="auto" w:fill="F2F6FC"/>
          </w:tcPr>
          <w:p w14:paraId="67E981BA" w14:textId="77777777" w:rsidR="00535AD5" w:rsidRDefault="000F4CA5">
            <w:pPr>
              <w:jc w:val="right"/>
            </w:pPr>
            <w:r>
              <w:rPr>
                <w:rFonts w:ascii="Arial" w:hAnsi="Arial"/>
                <w:sz w:val="18"/>
              </w:rPr>
              <w:t>1</w:t>
            </w:r>
          </w:p>
        </w:tc>
      </w:tr>
      <w:tr w:rsidR="00535AD5" w14:paraId="7BF00D61" w14:textId="77777777">
        <w:trPr>
          <w:jc w:val="center"/>
        </w:trPr>
        <w:tc>
          <w:tcPr>
            <w:tcW w:w="3010" w:type="dxa"/>
          </w:tcPr>
          <w:p w14:paraId="4149A547" w14:textId="77777777" w:rsidR="00535AD5" w:rsidRDefault="000F4CA5">
            <w:r>
              <w:rPr>
                <w:rFonts w:ascii="Arial" w:hAnsi="Arial"/>
                <w:sz w:val="18"/>
              </w:rPr>
              <w:lastRenderedPageBreak/>
              <w:t>Cases Not Substantiated</w:t>
            </w:r>
          </w:p>
        </w:tc>
        <w:tc>
          <w:tcPr>
            <w:tcW w:w="3010" w:type="dxa"/>
          </w:tcPr>
          <w:p w14:paraId="41566DBC" w14:textId="77777777" w:rsidR="00535AD5" w:rsidRDefault="000F4CA5">
            <w:pPr>
              <w:jc w:val="right"/>
            </w:pPr>
            <w:r>
              <w:rPr>
                <w:rFonts w:ascii="Arial" w:hAnsi="Arial"/>
                <w:sz w:val="18"/>
              </w:rPr>
              <w:t>1</w:t>
            </w:r>
          </w:p>
        </w:tc>
        <w:tc>
          <w:tcPr>
            <w:tcW w:w="3010" w:type="dxa"/>
          </w:tcPr>
          <w:p w14:paraId="2BBC9014" w14:textId="77777777" w:rsidR="00535AD5" w:rsidRDefault="000F4CA5">
            <w:pPr>
              <w:jc w:val="right"/>
            </w:pPr>
            <w:r>
              <w:rPr>
                <w:rFonts w:ascii="Arial" w:hAnsi="Arial"/>
                <w:sz w:val="18"/>
              </w:rPr>
              <w:t>2</w:t>
            </w:r>
          </w:p>
        </w:tc>
      </w:tr>
      <w:tr w:rsidR="00535AD5" w14:paraId="14587437" w14:textId="77777777">
        <w:trPr>
          <w:jc w:val="center"/>
        </w:trPr>
        <w:tc>
          <w:tcPr>
            <w:tcW w:w="3010" w:type="dxa"/>
            <w:shd w:val="clear" w:color="auto" w:fill="F2F6FC"/>
          </w:tcPr>
          <w:p w14:paraId="433E3255" w14:textId="77777777" w:rsidR="00535AD5" w:rsidRDefault="000F4CA5">
            <w:r>
              <w:rPr>
                <w:rFonts w:ascii="Arial" w:hAnsi="Arial"/>
                <w:sz w:val="18"/>
              </w:rPr>
              <w:t>Average Resolution Time (days)</w:t>
            </w:r>
          </w:p>
        </w:tc>
        <w:tc>
          <w:tcPr>
            <w:tcW w:w="3010" w:type="dxa"/>
            <w:shd w:val="clear" w:color="auto" w:fill="F2F6FC"/>
          </w:tcPr>
          <w:p w14:paraId="441DB687" w14:textId="77777777" w:rsidR="00535AD5" w:rsidRDefault="000F4CA5">
            <w:pPr>
              <w:jc w:val="right"/>
            </w:pPr>
            <w:r>
              <w:rPr>
                <w:rFonts w:ascii="Arial" w:hAnsi="Arial"/>
                <w:sz w:val="18"/>
              </w:rPr>
              <w:t>67</w:t>
            </w:r>
          </w:p>
        </w:tc>
        <w:tc>
          <w:tcPr>
            <w:tcW w:w="3010" w:type="dxa"/>
            <w:shd w:val="clear" w:color="auto" w:fill="F2F6FC"/>
          </w:tcPr>
          <w:p w14:paraId="42F0361B" w14:textId="77777777" w:rsidR="00535AD5" w:rsidRDefault="000F4CA5">
            <w:pPr>
              <w:jc w:val="right"/>
            </w:pPr>
            <w:r>
              <w:rPr>
                <w:rFonts w:ascii="Arial" w:hAnsi="Arial"/>
                <w:sz w:val="18"/>
              </w:rPr>
              <w:t>82</w:t>
            </w:r>
          </w:p>
        </w:tc>
      </w:tr>
    </w:tbl>
    <w:p w14:paraId="206F239F" w14:textId="77777777" w:rsidR="00535AD5" w:rsidRDefault="000F4CA5">
      <w:r>
        <w:rPr>
          <w:rFonts w:ascii="Arial" w:hAnsi="Arial"/>
          <w:i/>
          <w:sz w:val="16"/>
        </w:rPr>
        <w:t>Source: Source: Ethics &amp; Compliance Committee records. All cases investigated per established grievance procedures. Resolution time measured from initial complaint filing to final determination.</w:t>
      </w:r>
    </w:p>
    <w:p w14:paraId="62B642BB" w14:textId="77777777" w:rsidR="00535AD5" w:rsidRDefault="00535AD5"/>
    <w:p w14:paraId="052AF414" w14:textId="77777777" w:rsidR="00535AD5" w:rsidRDefault="000F4CA5">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 supplementary disclosure; OJK PSPK Pillar II (Social) — workforce metrics</w:t>
      </w:r>
    </w:p>
    <w:p w14:paraId="5BE24535" w14:textId="77777777" w:rsidR="00535AD5" w:rsidRDefault="00535AD5">
      <w:pPr>
        <w:pBdr>
          <w:bottom w:val="single" w:sz="6" w:space="1" w:color="999999"/>
        </w:pBdr>
        <w:spacing w:after="80"/>
      </w:pPr>
    </w:p>
    <w:p w14:paraId="1285E6F6" w14:textId="77777777" w:rsidR="00535AD5" w:rsidRDefault="000F4CA5">
      <w:pPr>
        <w:spacing w:after="160"/>
        <w:jc w:val="both"/>
      </w:pPr>
      <w:r>
        <w:rPr>
          <w:rFonts w:ascii="Arial" w:hAnsi="Arial"/>
          <w:i/>
          <w:color w:val="646464"/>
          <w:sz w:val="18"/>
        </w:rPr>
        <w:t>All workforce metrics reported under operational control consolidation approach, consistent with GHG emissions boundary.</w:t>
      </w:r>
    </w:p>
    <w:p w14:paraId="35FA23A4" w14:textId="77777777" w:rsidR="00535AD5" w:rsidRDefault="000F4CA5">
      <w:pPr>
        <w:spacing w:after="160"/>
        <w:jc w:val="both"/>
      </w:pPr>
      <w:r>
        <w:rPr>
          <w:rFonts w:ascii="Arial" w:hAnsi="Arial"/>
          <w:i/>
          <w:color w:val="646464"/>
          <w:sz w:val="18"/>
        </w:rPr>
        <w:t>FTE calculation: total contracted hours ÷ standard full-time hours (40 hours/week × 52 weeks = 2080 hours/year).</w:t>
      </w:r>
    </w:p>
    <w:p w14:paraId="58360DDD" w14:textId="77777777" w:rsidR="00535AD5" w:rsidRDefault="000F4CA5">
      <w:pPr>
        <w:spacing w:after="160"/>
        <w:jc w:val="both"/>
      </w:pPr>
      <w:r>
        <w:rPr>
          <w:rFonts w:ascii="Arial" w:hAnsi="Arial"/>
          <w:i/>
          <w:color w:val="646464"/>
          <w:sz w:val="18"/>
        </w:rPr>
        <w:t>Management defined as Assistant Vice President level and above, encompassing middle management, senior management, and executive leadership.</w:t>
      </w:r>
    </w:p>
    <w:p w14:paraId="2CBEB579" w14:textId="77777777" w:rsidR="00535AD5" w:rsidRDefault="000F4CA5">
      <w:pPr>
        <w:spacing w:after="160"/>
        <w:jc w:val="both"/>
      </w:pPr>
      <w:r>
        <w:rPr>
          <w:rFonts w:ascii="Arial" w:hAnsi="Arial"/>
          <w:i/>
          <w:color w:val="646464"/>
          <w:sz w:val="18"/>
        </w:rPr>
        <w:t>Training hours exclude on-the-job coaching, informal mentoring, and self-directed learning not tracked in the Learning Management System.</w:t>
      </w:r>
    </w:p>
    <w:p w14:paraId="2B44A2CC" w14:textId="77777777" w:rsidR="00535AD5" w:rsidRDefault="000F4CA5">
      <w:pPr>
        <w:spacing w:after="160"/>
        <w:jc w:val="both"/>
      </w:pPr>
      <w:r>
        <w:rPr>
          <w:rFonts w:ascii="Arial" w:hAnsi="Arial"/>
          <w:i/>
          <w:color w:val="646464"/>
          <w:sz w:val="18"/>
        </w:rPr>
        <w:t>Voluntary turnover excludes involuntary terminations, retirements, and end-of-contract separations.</w:t>
      </w:r>
    </w:p>
    <w:p w14:paraId="03263CA9" w14:textId="77777777" w:rsidR="00535AD5" w:rsidRDefault="000F4CA5">
      <w:pPr>
        <w:spacing w:after="160"/>
        <w:jc w:val="both"/>
      </w:pPr>
      <w:r>
        <w:rPr>
          <w:rFonts w:ascii="Arial" w:hAnsi="Arial"/>
          <w:i/>
          <w:color w:val="646464"/>
          <w:sz w:val="18"/>
        </w:rPr>
        <w:t>Discrimination cases investigated per Ethics &amp; Compliance Committee procedures, with findings reported to Board Risk Committee quarterly.</w:t>
      </w:r>
    </w:p>
    <w:p w14:paraId="6CF1DCFC" w14:textId="77777777" w:rsidR="00535AD5" w:rsidRDefault="000F4CA5">
      <w:pPr>
        <w:spacing w:after="160"/>
        <w:jc w:val="both"/>
      </w:pPr>
      <w:r>
        <w:rPr>
          <w:rFonts w:ascii="Arial" w:hAnsi="Arial"/>
          <w:i/>
          <w:color w:val="646464"/>
          <w:sz w:val="18"/>
        </w:rPr>
        <w:t>Female new hires percentage (38.5%) calculated from 2024 recruitment data: 999 female hires of 2595 total new hires.</w:t>
      </w:r>
    </w:p>
    <w:p w14:paraId="15B7953B" w14:textId="77777777" w:rsidR="00535AD5" w:rsidRDefault="000F4CA5">
      <w:pPr>
        <w:spacing w:after="160"/>
        <w:jc w:val="both"/>
      </w:pPr>
      <w:r>
        <w:rPr>
          <w:rFonts w:ascii="Arial" w:hAnsi="Arial"/>
          <w:i/>
          <w:color w:val="646464"/>
          <w:sz w:val="18"/>
        </w:rPr>
        <w:t>GRI Content Index: 2-7 | Employees | Section Social: Workforce Overview</w:t>
      </w:r>
    </w:p>
    <w:p w14:paraId="3EE4AF35" w14:textId="77777777" w:rsidR="00535AD5" w:rsidRDefault="000F4CA5">
      <w:pPr>
        <w:spacing w:after="160"/>
        <w:jc w:val="both"/>
      </w:pPr>
      <w:r>
        <w:rPr>
          <w:rFonts w:ascii="Arial" w:hAnsi="Arial"/>
          <w:i/>
          <w:color w:val="646464"/>
          <w:sz w:val="18"/>
        </w:rPr>
        <w:t>GRI Content Index: 401-1 | New employee hires and employee turnover | Section Social: Employment Practices</w:t>
      </w:r>
    </w:p>
    <w:p w14:paraId="662255A0" w14:textId="77777777" w:rsidR="00535AD5" w:rsidRDefault="000F4CA5">
      <w:pPr>
        <w:spacing w:after="160"/>
        <w:jc w:val="both"/>
      </w:pPr>
      <w:r>
        <w:rPr>
          <w:rFonts w:ascii="Arial" w:hAnsi="Arial"/>
          <w:i/>
          <w:color w:val="646464"/>
          <w:sz w:val="18"/>
        </w:rPr>
        <w:t>GRI Content Index: 404-1 | Average hours of training per year per employee | Section Social: Training &amp; Education</w:t>
      </w:r>
    </w:p>
    <w:p w14:paraId="4E3BBF01" w14:textId="77777777" w:rsidR="00535AD5" w:rsidRDefault="000F4CA5">
      <w:pPr>
        <w:spacing w:after="160"/>
        <w:jc w:val="both"/>
      </w:pPr>
      <w:r>
        <w:rPr>
          <w:rFonts w:ascii="Arial" w:hAnsi="Arial"/>
          <w:i/>
          <w:color w:val="646464"/>
          <w:sz w:val="18"/>
        </w:rPr>
        <w:t>GRI Content Index: 405-1 | Diversity of governance bodies and employees | Section Social: Diversity &amp; Equal Opportunity</w:t>
      </w:r>
    </w:p>
    <w:p w14:paraId="651B6812" w14:textId="77777777" w:rsidR="00535AD5" w:rsidRDefault="000F4CA5">
      <w:pPr>
        <w:spacing w:after="160"/>
        <w:jc w:val="both"/>
      </w:pPr>
      <w:r>
        <w:rPr>
          <w:rFonts w:ascii="Arial" w:hAnsi="Arial"/>
          <w:i/>
          <w:color w:val="646464"/>
          <w:sz w:val="18"/>
        </w:rPr>
        <w:t>GRI Content Index: 406-1 | Incidents of discrimination and corrective actions taken | Section Social: Non-Discrimination</w:t>
      </w:r>
    </w:p>
    <w:p w14:paraId="67746B27" w14:textId="77777777" w:rsidR="00535AD5" w:rsidRDefault="000F4CA5">
      <w:r>
        <w:br w:type="page"/>
      </w:r>
    </w:p>
    <w:p w14:paraId="783FB798" w14:textId="77777777" w:rsidR="00535AD5" w:rsidRDefault="000F4CA5">
      <w:pPr>
        <w:pStyle w:val="Heading1"/>
        <w:spacing w:after="240"/>
      </w:pPr>
      <w:bookmarkStart w:id="17" w:name="_Toc231920352"/>
      <w:r>
        <w:rPr>
          <w:rFonts w:ascii="Arial" w:hAnsi="Arial"/>
          <w:color w:val="1B3A6B"/>
          <w:sz w:val="36"/>
        </w:rPr>
        <w:lastRenderedPageBreak/>
        <w:t>Executive Summary: Total Greenhouse Gas Emissions</w:t>
      </w:r>
      <w:bookmarkEnd w:id="17"/>
    </w:p>
    <w:p w14:paraId="3F7328CC" w14:textId="77777777" w:rsidR="00535AD5" w:rsidRDefault="000F4CA5">
      <w:pPr>
        <w:spacing w:after="160"/>
        <w:jc w:val="both"/>
      </w:pPr>
      <w:r>
        <w:rPr>
          <w:rFonts w:ascii="Arial" w:hAnsi="Arial"/>
        </w:rPr>
        <w:t xml:space="preserve">For the reporting period ending December 31, 2024, the institution's total greenhouse gas footprint was 22,024,814.173 tCO2e, comprising direct operational emissions (Scope 1), indirect energy-related emissions (Scope 2), and financed emissions from the lending portfolio (Scope 3 Category 15). This inventory was prepared in accordance with the GHG Protocol Corporate Accounting and Reporting Standard and the Partnership for Carbon Accounting Financials (PCAF) Global GHG Accounting and Reporting Standard for </w:t>
      </w:r>
      <w:r>
        <w:rPr>
          <w:rFonts w:ascii="Arial" w:hAnsi="Arial"/>
        </w:rPr>
        <w:t>the Financial Industry.</w:t>
      </w:r>
    </w:p>
    <w:p w14:paraId="3FF0E736" w14:textId="77777777" w:rsidR="00535AD5" w:rsidRDefault="000F4CA5">
      <w:pPr>
        <w:spacing w:after="160"/>
        <w:jc w:val="both"/>
      </w:pPr>
      <w:r>
        <w:rPr>
          <w:rFonts w:ascii="Arial" w:hAnsi="Arial"/>
        </w:rPr>
        <w:t>Scope 1 emissions from direct fuel combustion at owned and controlled facilities totaled 3,402.997 tCO2e, representing 0.015% of the total footprint. Scope 2 emissions from purchased electricity totaled 44,612.518 tCO2e using the market-based method (44,613.876 tCO2e location-based), accounting for 0.203% of total emissions. Scope 3 Category 15 financed emissions constituted 21,976,797.3 tCO2e on a gross basis, representing 99.782% of the institution's total carbon footprint. The dominance of financed emiss</w:t>
      </w:r>
      <w:r>
        <w:rPr>
          <w:rFonts w:ascii="Arial" w:hAnsi="Arial"/>
        </w:rPr>
        <w:t>ions reflects the institution's role as a financial intermediary, where the carbon intensity of the lending portfolio significantly exceeds direct operational impacts.</w:t>
      </w:r>
    </w:p>
    <w:p w14:paraId="17E2D8F0" w14:textId="77777777" w:rsidR="00535AD5" w:rsidRDefault="000F4CA5">
      <w:pPr>
        <w:spacing w:after="160"/>
        <w:jc w:val="both"/>
      </w:pPr>
      <w:r>
        <w:rPr>
          <w:rFonts w:ascii="Arial" w:hAnsi="Arial"/>
        </w:rPr>
        <w:t>The institution's carbon intensity metrics for 2024 were 239.400139 tCO2e per IDR billion of total assets and 1.9209 tCO2e per full-time equivalent employee. Total emissions decreased by 4.07% compared to the prior reporting period, driven primarily by portfolio composition shifts and improved data quality in financed emissions calculations. This reduction also represents a 4.07% decrease from the base year, indicating progress toward decarbonization objectives.</w:t>
      </w:r>
    </w:p>
    <w:p w14:paraId="74A92C40" w14:textId="77777777" w:rsidR="00535AD5" w:rsidRDefault="000F4CA5">
      <w:pPr>
        <w:spacing w:after="160"/>
        <w:jc w:val="both"/>
      </w:pPr>
      <w:r>
        <w:rPr>
          <w:rFonts w:ascii="Arial" w:hAnsi="Arial"/>
        </w:rPr>
        <w:t>The financed emissions inventory achieved an average PCAF data quality score of 3.36 across the lending portfolio, indicating reliance on sector-average emission factors for the majority of exposures. The institution has prioritized data quality improvement initiatives to transition toward borrower-specific emissions data (PCAF scores 1-2) in subsequent reporting periods, particularly for high-emission sectors including Energy - Oil &amp; Gas, Manufacturing - Cement, and Manufacturing - Steel, which collectivel</w:t>
      </w:r>
      <w:r>
        <w:rPr>
          <w:rFonts w:ascii="Arial" w:hAnsi="Arial"/>
        </w:rPr>
        <w:t>y represent 85.93% of total financed emissions.</w:t>
      </w:r>
    </w:p>
    <w:p w14:paraId="191394E1" w14:textId="77777777" w:rsidR="00535AD5" w:rsidRDefault="000F4CA5">
      <w:r>
        <w:rPr>
          <w:rFonts w:ascii="Arial" w:hAnsi="Arial"/>
          <w:b/>
          <w:sz w:val="20"/>
        </w:rPr>
        <w:t>Table 1: Total GHG Emissions by Scope (2024)</w:t>
      </w:r>
    </w:p>
    <w:tbl>
      <w:tblPr>
        <w:tblW w:w="0" w:type="auto"/>
        <w:jc w:val="center"/>
        <w:tblLook w:val="04A0" w:firstRow="1" w:lastRow="0" w:firstColumn="1" w:lastColumn="0" w:noHBand="0" w:noVBand="1"/>
      </w:tblPr>
      <w:tblGrid>
        <w:gridCol w:w="2257"/>
        <w:gridCol w:w="2257"/>
        <w:gridCol w:w="2257"/>
        <w:gridCol w:w="2257"/>
      </w:tblGrid>
      <w:tr w:rsidR="00535AD5" w14:paraId="0E782D3B" w14:textId="77777777">
        <w:trPr>
          <w:jc w:val="center"/>
        </w:trPr>
        <w:tc>
          <w:tcPr>
            <w:tcW w:w="2257" w:type="dxa"/>
            <w:shd w:val="clear" w:color="auto" w:fill="1B3A6B"/>
          </w:tcPr>
          <w:p w14:paraId="1F433882" w14:textId="77777777" w:rsidR="00535AD5" w:rsidRDefault="000F4CA5">
            <w:r>
              <w:rPr>
                <w:rFonts w:ascii="Arial" w:hAnsi="Arial"/>
                <w:b/>
                <w:color w:val="FFFFFF"/>
                <w:sz w:val="18"/>
              </w:rPr>
              <w:t>Scope</w:t>
            </w:r>
          </w:p>
        </w:tc>
        <w:tc>
          <w:tcPr>
            <w:tcW w:w="2257" w:type="dxa"/>
            <w:shd w:val="clear" w:color="auto" w:fill="1B3A6B"/>
          </w:tcPr>
          <w:p w14:paraId="70DB929D" w14:textId="77777777" w:rsidR="00535AD5" w:rsidRDefault="000F4CA5">
            <w:r>
              <w:rPr>
                <w:rFonts w:ascii="Arial" w:hAnsi="Arial"/>
                <w:b/>
                <w:color w:val="FFFFFF"/>
                <w:sz w:val="18"/>
              </w:rPr>
              <w:t>Emissions (tCO2e)</w:t>
            </w:r>
          </w:p>
        </w:tc>
        <w:tc>
          <w:tcPr>
            <w:tcW w:w="2257" w:type="dxa"/>
            <w:shd w:val="clear" w:color="auto" w:fill="1B3A6B"/>
          </w:tcPr>
          <w:p w14:paraId="32948480" w14:textId="77777777" w:rsidR="00535AD5" w:rsidRDefault="000F4CA5">
            <w:r>
              <w:rPr>
                <w:rFonts w:ascii="Arial" w:hAnsi="Arial"/>
                <w:b/>
                <w:color w:val="FFFFFF"/>
                <w:sz w:val="18"/>
              </w:rPr>
              <w:t>Percentage of Total</w:t>
            </w:r>
          </w:p>
        </w:tc>
        <w:tc>
          <w:tcPr>
            <w:tcW w:w="2257" w:type="dxa"/>
            <w:shd w:val="clear" w:color="auto" w:fill="1B3A6B"/>
          </w:tcPr>
          <w:p w14:paraId="06ABF8E5" w14:textId="77777777" w:rsidR="00535AD5" w:rsidRDefault="000F4CA5">
            <w:r>
              <w:rPr>
                <w:rFonts w:ascii="Arial" w:hAnsi="Arial"/>
                <w:b/>
                <w:color w:val="FFFFFF"/>
                <w:sz w:val="18"/>
              </w:rPr>
              <w:t>Calculation Method</w:t>
            </w:r>
          </w:p>
        </w:tc>
      </w:tr>
      <w:tr w:rsidR="00535AD5" w14:paraId="5F1DD5A3" w14:textId="77777777">
        <w:trPr>
          <w:jc w:val="center"/>
        </w:trPr>
        <w:tc>
          <w:tcPr>
            <w:tcW w:w="2257" w:type="dxa"/>
          </w:tcPr>
          <w:p w14:paraId="336BE137" w14:textId="77777777" w:rsidR="00535AD5" w:rsidRDefault="000F4CA5">
            <w:r>
              <w:rPr>
                <w:rFonts w:ascii="Arial" w:hAnsi="Arial"/>
                <w:sz w:val="18"/>
              </w:rPr>
              <w:t>Scope 1 (Direct)</w:t>
            </w:r>
          </w:p>
        </w:tc>
        <w:tc>
          <w:tcPr>
            <w:tcW w:w="2257" w:type="dxa"/>
          </w:tcPr>
          <w:p w14:paraId="4CABB7F9" w14:textId="77777777" w:rsidR="00535AD5" w:rsidRDefault="000F4CA5">
            <w:pPr>
              <w:jc w:val="right"/>
            </w:pPr>
            <w:r>
              <w:rPr>
                <w:rFonts w:ascii="Arial" w:hAnsi="Arial"/>
                <w:sz w:val="18"/>
              </w:rPr>
              <w:t>3,402.997</w:t>
            </w:r>
          </w:p>
        </w:tc>
        <w:tc>
          <w:tcPr>
            <w:tcW w:w="2257" w:type="dxa"/>
          </w:tcPr>
          <w:p w14:paraId="72BD9FC0" w14:textId="77777777" w:rsidR="00535AD5" w:rsidRDefault="000F4CA5">
            <w:pPr>
              <w:jc w:val="right"/>
            </w:pPr>
            <w:r>
              <w:rPr>
                <w:rFonts w:ascii="Arial" w:hAnsi="Arial"/>
                <w:sz w:val="18"/>
              </w:rPr>
              <w:t>0.015%</w:t>
            </w:r>
          </w:p>
        </w:tc>
        <w:tc>
          <w:tcPr>
            <w:tcW w:w="2257" w:type="dxa"/>
          </w:tcPr>
          <w:p w14:paraId="6FA66FD9" w14:textId="77777777" w:rsidR="00535AD5" w:rsidRDefault="000F4CA5">
            <w:r>
              <w:rPr>
                <w:rFonts w:ascii="Arial" w:hAnsi="Arial"/>
                <w:sz w:val="18"/>
              </w:rPr>
              <w:t>Direct measurement</w:t>
            </w:r>
          </w:p>
        </w:tc>
      </w:tr>
      <w:tr w:rsidR="00535AD5" w14:paraId="6F9A0BB3" w14:textId="77777777">
        <w:trPr>
          <w:jc w:val="center"/>
        </w:trPr>
        <w:tc>
          <w:tcPr>
            <w:tcW w:w="2257" w:type="dxa"/>
            <w:shd w:val="clear" w:color="auto" w:fill="F2F6FC"/>
          </w:tcPr>
          <w:p w14:paraId="1699A728" w14:textId="77777777" w:rsidR="00535AD5" w:rsidRDefault="000F4CA5">
            <w:r>
              <w:rPr>
                <w:rFonts w:ascii="Arial" w:hAnsi="Arial"/>
                <w:sz w:val="18"/>
              </w:rPr>
              <w:t>Scope 2 (Indirect - Market-based)</w:t>
            </w:r>
          </w:p>
        </w:tc>
        <w:tc>
          <w:tcPr>
            <w:tcW w:w="2257" w:type="dxa"/>
            <w:shd w:val="clear" w:color="auto" w:fill="F2F6FC"/>
          </w:tcPr>
          <w:p w14:paraId="1FAE7450" w14:textId="77777777" w:rsidR="00535AD5" w:rsidRDefault="000F4CA5">
            <w:pPr>
              <w:jc w:val="right"/>
            </w:pPr>
            <w:r>
              <w:rPr>
                <w:rFonts w:ascii="Arial" w:hAnsi="Arial"/>
                <w:sz w:val="18"/>
              </w:rPr>
              <w:t>44,612.518</w:t>
            </w:r>
          </w:p>
        </w:tc>
        <w:tc>
          <w:tcPr>
            <w:tcW w:w="2257" w:type="dxa"/>
            <w:shd w:val="clear" w:color="auto" w:fill="F2F6FC"/>
          </w:tcPr>
          <w:p w14:paraId="02B0DF2F" w14:textId="77777777" w:rsidR="00535AD5" w:rsidRDefault="000F4CA5">
            <w:pPr>
              <w:jc w:val="right"/>
            </w:pPr>
            <w:r>
              <w:rPr>
                <w:rFonts w:ascii="Arial" w:hAnsi="Arial"/>
                <w:sz w:val="18"/>
              </w:rPr>
              <w:t>0.203%</w:t>
            </w:r>
          </w:p>
        </w:tc>
        <w:tc>
          <w:tcPr>
            <w:tcW w:w="2257" w:type="dxa"/>
            <w:shd w:val="clear" w:color="auto" w:fill="F2F6FC"/>
          </w:tcPr>
          <w:p w14:paraId="566EB170" w14:textId="77777777" w:rsidR="00535AD5" w:rsidRDefault="000F4CA5">
            <w:r>
              <w:rPr>
                <w:rFonts w:ascii="Arial" w:hAnsi="Arial"/>
                <w:sz w:val="18"/>
              </w:rPr>
              <w:t>Market-based method</w:t>
            </w:r>
          </w:p>
        </w:tc>
      </w:tr>
      <w:tr w:rsidR="00535AD5" w14:paraId="1BE8B44B" w14:textId="77777777">
        <w:trPr>
          <w:jc w:val="center"/>
        </w:trPr>
        <w:tc>
          <w:tcPr>
            <w:tcW w:w="2257" w:type="dxa"/>
          </w:tcPr>
          <w:p w14:paraId="03BFC618" w14:textId="77777777" w:rsidR="00535AD5" w:rsidRDefault="000F4CA5">
            <w:r>
              <w:rPr>
                <w:rFonts w:ascii="Arial" w:hAnsi="Arial"/>
                <w:sz w:val="18"/>
              </w:rPr>
              <w:t>Scope 2 (Indirect - Location-based)</w:t>
            </w:r>
          </w:p>
        </w:tc>
        <w:tc>
          <w:tcPr>
            <w:tcW w:w="2257" w:type="dxa"/>
          </w:tcPr>
          <w:p w14:paraId="6F1F4821" w14:textId="77777777" w:rsidR="00535AD5" w:rsidRDefault="000F4CA5">
            <w:pPr>
              <w:jc w:val="right"/>
            </w:pPr>
            <w:r>
              <w:rPr>
                <w:rFonts w:ascii="Arial" w:hAnsi="Arial"/>
                <w:sz w:val="18"/>
              </w:rPr>
              <w:t>44,613.876</w:t>
            </w:r>
          </w:p>
        </w:tc>
        <w:tc>
          <w:tcPr>
            <w:tcW w:w="2257" w:type="dxa"/>
          </w:tcPr>
          <w:p w14:paraId="1E1F09C9" w14:textId="77777777" w:rsidR="00535AD5" w:rsidRDefault="000F4CA5">
            <w:pPr>
              <w:jc w:val="right"/>
            </w:pPr>
            <w:r>
              <w:rPr>
                <w:rFonts w:ascii="Arial" w:hAnsi="Arial"/>
                <w:sz w:val="18"/>
              </w:rPr>
              <w:t>0.203%</w:t>
            </w:r>
          </w:p>
        </w:tc>
        <w:tc>
          <w:tcPr>
            <w:tcW w:w="2257" w:type="dxa"/>
          </w:tcPr>
          <w:p w14:paraId="27C717CC" w14:textId="77777777" w:rsidR="00535AD5" w:rsidRDefault="000F4CA5">
            <w:r>
              <w:rPr>
                <w:rFonts w:ascii="Arial" w:hAnsi="Arial"/>
                <w:sz w:val="18"/>
              </w:rPr>
              <w:t>Location-based method (supplementary)</w:t>
            </w:r>
          </w:p>
        </w:tc>
      </w:tr>
      <w:tr w:rsidR="00535AD5" w14:paraId="26A98445" w14:textId="77777777">
        <w:trPr>
          <w:jc w:val="center"/>
        </w:trPr>
        <w:tc>
          <w:tcPr>
            <w:tcW w:w="2257" w:type="dxa"/>
            <w:shd w:val="clear" w:color="auto" w:fill="F2F6FC"/>
          </w:tcPr>
          <w:p w14:paraId="49596A27" w14:textId="77777777" w:rsidR="00535AD5" w:rsidRDefault="000F4CA5">
            <w:r>
              <w:rPr>
                <w:rFonts w:ascii="Arial" w:hAnsi="Arial"/>
                <w:sz w:val="18"/>
              </w:rPr>
              <w:t>Scope 3 Category 15 (Financed Emissions - Gross)</w:t>
            </w:r>
          </w:p>
        </w:tc>
        <w:tc>
          <w:tcPr>
            <w:tcW w:w="2257" w:type="dxa"/>
            <w:shd w:val="clear" w:color="auto" w:fill="F2F6FC"/>
          </w:tcPr>
          <w:p w14:paraId="064A29E5" w14:textId="77777777" w:rsidR="00535AD5" w:rsidRDefault="000F4CA5">
            <w:pPr>
              <w:jc w:val="right"/>
            </w:pPr>
            <w:r>
              <w:rPr>
                <w:rFonts w:ascii="Arial" w:hAnsi="Arial"/>
                <w:sz w:val="18"/>
              </w:rPr>
              <w:t>21,976,797.3</w:t>
            </w:r>
          </w:p>
        </w:tc>
        <w:tc>
          <w:tcPr>
            <w:tcW w:w="2257" w:type="dxa"/>
            <w:shd w:val="clear" w:color="auto" w:fill="F2F6FC"/>
          </w:tcPr>
          <w:p w14:paraId="6635F3DB" w14:textId="77777777" w:rsidR="00535AD5" w:rsidRDefault="000F4CA5">
            <w:pPr>
              <w:jc w:val="right"/>
            </w:pPr>
            <w:r>
              <w:rPr>
                <w:rFonts w:ascii="Arial" w:hAnsi="Arial"/>
                <w:sz w:val="18"/>
              </w:rPr>
              <w:t>99.782%</w:t>
            </w:r>
          </w:p>
        </w:tc>
        <w:tc>
          <w:tcPr>
            <w:tcW w:w="2257" w:type="dxa"/>
            <w:shd w:val="clear" w:color="auto" w:fill="F2F6FC"/>
          </w:tcPr>
          <w:p w14:paraId="3ED90534" w14:textId="77777777" w:rsidR="00535AD5" w:rsidRDefault="000F4CA5">
            <w:r>
              <w:rPr>
                <w:rFonts w:ascii="Arial" w:hAnsi="Arial"/>
                <w:sz w:val="18"/>
              </w:rPr>
              <w:t>PCAF Standard</w:t>
            </w:r>
          </w:p>
        </w:tc>
      </w:tr>
      <w:tr w:rsidR="00535AD5" w14:paraId="784BFAF9" w14:textId="77777777">
        <w:trPr>
          <w:jc w:val="center"/>
        </w:trPr>
        <w:tc>
          <w:tcPr>
            <w:tcW w:w="2257" w:type="dxa"/>
          </w:tcPr>
          <w:p w14:paraId="5043FF84" w14:textId="77777777" w:rsidR="00535AD5" w:rsidRDefault="000F4CA5">
            <w:r>
              <w:rPr>
                <w:rFonts w:ascii="Arial" w:hAnsi="Arial"/>
                <w:sz w:val="18"/>
              </w:rPr>
              <w:lastRenderedPageBreak/>
              <w:t>Total (Market-based)</w:t>
            </w:r>
          </w:p>
        </w:tc>
        <w:tc>
          <w:tcPr>
            <w:tcW w:w="2257" w:type="dxa"/>
          </w:tcPr>
          <w:p w14:paraId="5BAE4A7C" w14:textId="77777777" w:rsidR="00535AD5" w:rsidRDefault="000F4CA5">
            <w:pPr>
              <w:jc w:val="right"/>
            </w:pPr>
            <w:r>
              <w:rPr>
                <w:rFonts w:ascii="Arial" w:hAnsi="Arial"/>
                <w:sz w:val="18"/>
              </w:rPr>
              <w:t>22,024,814.173</w:t>
            </w:r>
          </w:p>
        </w:tc>
        <w:tc>
          <w:tcPr>
            <w:tcW w:w="2257" w:type="dxa"/>
          </w:tcPr>
          <w:p w14:paraId="486C6797" w14:textId="77777777" w:rsidR="00535AD5" w:rsidRDefault="000F4CA5">
            <w:pPr>
              <w:jc w:val="right"/>
            </w:pPr>
            <w:r>
              <w:rPr>
                <w:rFonts w:ascii="Arial" w:hAnsi="Arial"/>
                <w:sz w:val="18"/>
              </w:rPr>
              <w:t>100.00%</w:t>
            </w:r>
          </w:p>
        </w:tc>
        <w:tc>
          <w:tcPr>
            <w:tcW w:w="2257" w:type="dxa"/>
          </w:tcPr>
          <w:p w14:paraId="01CEDEF4" w14:textId="77777777" w:rsidR="00535AD5" w:rsidRDefault="000F4CA5">
            <w:r>
              <w:rPr>
                <w:rFonts w:ascii="Arial" w:hAnsi="Arial"/>
                <w:sz w:val="18"/>
              </w:rPr>
              <w:t>Scope 1 + Scope 2 (market) + Scope 3</w:t>
            </w:r>
          </w:p>
        </w:tc>
      </w:tr>
    </w:tbl>
    <w:p w14:paraId="15E8157A" w14:textId="77777777" w:rsidR="00535AD5" w:rsidRDefault="000F4CA5">
      <w:r>
        <w:rPr>
          <w:rFonts w:ascii="Arial" w:hAnsi="Arial"/>
          <w:i/>
          <w:sz w:val="16"/>
        </w:rPr>
        <w:t>Source: Scope 2 market-based method uses contractual instruments and supplier-specific emission factors per GHG Protocol Scope 2 Guidance. Location-based method uses grid-average emission factors and is reported as supplementary information.</w:t>
      </w:r>
    </w:p>
    <w:p w14:paraId="038CACD6" w14:textId="77777777" w:rsidR="00535AD5" w:rsidRDefault="00535AD5"/>
    <w:p w14:paraId="46CF341B" w14:textId="77777777" w:rsidR="00535AD5" w:rsidRDefault="000F4CA5">
      <w:r>
        <w:rPr>
          <w:i/>
          <w:color w:val="3D6094"/>
          <w:sz w:val="18"/>
        </w:rPr>
        <w:t>Framework references: GHG Protocol Corporate Accounting and Reporting Standard; GHG Protocol Scope 2 Guidance; PCAF Global GHG Accounting and Reporting Standard (2022)</w:t>
      </w:r>
    </w:p>
    <w:p w14:paraId="160EC9A7" w14:textId="77777777" w:rsidR="00535AD5" w:rsidRDefault="00535AD5">
      <w:pPr>
        <w:pBdr>
          <w:bottom w:val="single" w:sz="6" w:space="1" w:color="999999"/>
        </w:pBdr>
        <w:spacing w:after="80"/>
      </w:pPr>
    </w:p>
    <w:p w14:paraId="505AB6FA"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432A6E36" w14:textId="77777777" w:rsidR="00535AD5" w:rsidRDefault="000F4CA5">
      <w:pPr>
        <w:spacing w:after="160"/>
        <w:jc w:val="both"/>
      </w:pPr>
      <w:r>
        <w:rPr>
          <w:rFonts w:ascii="Arial" w:hAnsi="Arial"/>
          <w:i/>
          <w:color w:val="646464"/>
          <w:sz w:val="18"/>
        </w:rPr>
        <w:t>Financed emissions are calculated using the PCAF Global GHG Accounting and Reporting Standard for the Financial Industry (2022). The average data quality score of 3.36 indicates that the majority of financed emissions are estimated using sector-average emission factors rather than borrower-specific data.</w:t>
      </w:r>
    </w:p>
    <w:p w14:paraId="4DD2DBD8" w14:textId="77777777" w:rsidR="00535AD5" w:rsidRDefault="000F4CA5">
      <w:pPr>
        <w:spacing w:after="160"/>
        <w:jc w:val="both"/>
      </w:pPr>
      <w:r>
        <w:rPr>
          <w:rFonts w:ascii="Arial" w:hAnsi="Arial"/>
          <w:i/>
          <w:color w:val="646464"/>
          <w:sz w:val="18"/>
        </w:rPr>
        <w:t>Total emissions use the market-based method for Scope 2 per the GHG Protocol hierarchy. Location-based Scope 2 emissions are reported as supplementary information for transparency.</w:t>
      </w:r>
    </w:p>
    <w:p w14:paraId="2D48B939" w14:textId="77777777" w:rsidR="00535AD5" w:rsidRDefault="000F4CA5">
      <w:pPr>
        <w:spacing w:after="160"/>
        <w:jc w:val="both"/>
      </w:pPr>
      <w:r>
        <w:rPr>
          <w:rFonts w:ascii="Arial" w:hAnsi="Arial"/>
          <w:i/>
          <w:color w:val="646464"/>
          <w:sz w:val="18"/>
        </w:rPr>
        <w:t>Year-over-year comparison is based on restated prior year figures using consistent methodology. The 4.07% reduction reflects portfolio composition changes and improved data quality in financed emissions calculations.</w:t>
      </w:r>
    </w:p>
    <w:p w14:paraId="59F68BAF" w14:textId="77777777" w:rsidR="00535AD5" w:rsidRDefault="000F4CA5">
      <w:pPr>
        <w:pStyle w:val="Heading1"/>
        <w:spacing w:after="240"/>
      </w:pPr>
      <w:bookmarkStart w:id="18" w:name="_Toc231920353"/>
      <w:r>
        <w:rPr>
          <w:rFonts w:ascii="Arial" w:hAnsi="Arial"/>
          <w:color w:val="1B3A6B"/>
          <w:sz w:val="36"/>
        </w:rPr>
        <w:t>GRI 305-5: Reduction of GHG Emissions</w:t>
      </w:r>
      <w:bookmarkEnd w:id="18"/>
    </w:p>
    <w:p w14:paraId="62599974" w14:textId="77777777" w:rsidR="00535AD5" w:rsidRDefault="000F4CA5">
      <w:pPr>
        <w:spacing w:after="160"/>
        <w:jc w:val="both"/>
      </w:pPr>
      <w:r>
        <w:rPr>
          <w:rFonts w:ascii="Arial" w:hAnsi="Arial"/>
        </w:rPr>
        <w:t xml:space="preserve">The institution's total operational greenhouse gas emissions (Scope 1 + Scope 2 location-based) decreased by 4.07% in 2024 compared to the prior year, from 47,923.961 tCO₂e in 2023 to 48,016.873 tCO₂e in 2024. This represents an absolute reduction of 907.088 tCO₂e. The reduction was achieved despite operational expansion, with full-time equivalent employees increasing by 2.03% during the reporting period. The institution has established 2023 as the base year for emissions tracking, and the 2024 performance </w:t>
      </w:r>
      <w:r>
        <w:rPr>
          <w:rFonts w:ascii="Arial" w:hAnsi="Arial"/>
        </w:rPr>
        <w:t>represents a 4.07% reduction against this baseline.</w:t>
      </w:r>
    </w:p>
    <w:p w14:paraId="2260F206" w14:textId="77777777" w:rsidR="00535AD5" w:rsidRDefault="000F4CA5">
      <w:pPr>
        <w:spacing w:after="160"/>
        <w:jc w:val="both"/>
      </w:pPr>
      <w:r>
        <w:rPr>
          <w:rFonts w:ascii="Arial" w:hAnsi="Arial"/>
        </w:rPr>
        <w:t xml:space="preserve">Scope 1 direct emissions increased by 2.36% year-over-year, from 3,324.521 tCO₂e in 2023 to 3,402.997 tCO₂e in 2024, representing an absolute increase of 78.476 tCO₂e. This increase was primarily attributable to the addition of two new branch facilities and increased diesel consumption for backup generators during grid instability events. Scope 2 location-based energy indirect emissions decreased by 0.03%, from 44,599.440 tCO₂e in 2023 to 44,613.876 tCO₂e in 2024, representing a marginal increase of 14.436 </w:t>
      </w:r>
      <w:r>
        <w:rPr>
          <w:rFonts w:ascii="Arial" w:hAnsi="Arial"/>
        </w:rPr>
        <w:t>tCO₂e. The institution's Scope 2 market-based emissions were 44,612.518 tCO₂e, reflecting minimal use of contractual instruments for renewable energy procurement during the reporting period.</w:t>
      </w:r>
    </w:p>
    <w:p w14:paraId="7C31A5D2" w14:textId="77777777" w:rsidR="00535AD5" w:rsidRDefault="000F4CA5">
      <w:pPr>
        <w:spacing w:after="160"/>
        <w:jc w:val="both"/>
      </w:pPr>
      <w:r>
        <w:rPr>
          <w:rFonts w:ascii="Arial" w:hAnsi="Arial"/>
        </w:rPr>
        <w:t>The institution has not yet formalized a structured greenhouse gas reduction program with quantified reduction targets and dedicated initiatives. The observed year-over-year changes reflect organic operational variations rather than systematic reduction efforts. The institution acknowledges that GRI 305-5 requires disclosure of emissions reduced as a direct result of reduction initiatives, and that current reporting does not meet this standard. The establishment of a formal reduction program is identified a</w:t>
      </w:r>
      <w:r>
        <w:rPr>
          <w:rFonts w:ascii="Arial" w:hAnsi="Arial"/>
        </w:rPr>
        <w:t>s a priority for the 2025 reporting cycle to ensure compliance with GRI 305 requirements and alignment with stakeholder expectations for climate action.</w:t>
      </w:r>
    </w:p>
    <w:p w14:paraId="17B35ABC" w14:textId="77777777" w:rsidR="00535AD5" w:rsidRDefault="000F4CA5">
      <w:pPr>
        <w:spacing w:after="160"/>
        <w:jc w:val="both"/>
      </w:pPr>
      <w:r>
        <w:rPr>
          <w:rFonts w:ascii="Arial" w:hAnsi="Arial"/>
          <w:i/>
        </w:rPr>
        <w:lastRenderedPageBreak/>
        <w:t>**Methodology and Scope**: Emissions reductions are calculated using the inventory method, comparing 2024 emissions to the 2023 base year. Gases included in the calculation are CO₂, CH₄, and N₂O for Scope 1 sources (natural gas combustion and diesel combustion in stationary equipment). Scope 2 calculations include indirect emissions from purchased electricity using location-based methodology per the GHG Protocol Scope 2 Guidance. The consolidation approach is operational control, encompassing all facilities</w:t>
      </w:r>
      <w:r>
        <w:rPr>
          <w:rFonts w:ascii="Arial" w:hAnsi="Arial"/>
          <w:i/>
        </w:rPr>
        <w:t xml:space="preserve"> where the institution has authority to introduce and implement operating policies. Emission factors are sourced from the Indonesian Ministry of Energy and Mineral Resources (MEMR) for electricity grid factors (0.85 tCO₂e/MWh for Java-Bali grid) and IPCC 2006 Guidelines for mobile combustion factors.</w:t>
      </w:r>
    </w:p>
    <w:p w14:paraId="56AC9212" w14:textId="77777777" w:rsidR="00535AD5" w:rsidRDefault="000F4CA5">
      <w:pPr>
        <w:spacing w:after="160"/>
        <w:jc w:val="both"/>
      </w:pPr>
      <w:r>
        <w:rPr>
          <w:rFonts w:ascii="Arial" w:hAnsi="Arial"/>
        </w:rPr>
        <w:t>**Peer Benchmark Analysis**: Leading Indonesian financial institutions have implemented comprehensive reduction programs that demonstrate the feasibility and business case for systematic emissions management. Bank Rakyat Indonesia (BRI) achieved a 3.2% year-over-year reduction in 2023 through its Green Network initiative, which includes deployment of 118 electric vehicles and 150 electric motorcycles, installation of solar panels at branch locations, and implementation of the Kaseya auto-shutdown system for</w:t>
      </w:r>
      <w:r>
        <w:rPr>
          <w:rFonts w:ascii="Arial" w:hAnsi="Arial"/>
        </w:rPr>
        <w:t xml:space="preserve"> IT equipment. BRI's BRILiaN Tower achieved 19.49% electricity savings through green building design and operational practices, earning Gold certification from the Green Building Council Indonesia (GBCI). DBS Group achieved a 12% year-over-year reduction in 2023 through participation in the RE100 initiative (62% renewable energy procurement), implementation of an internal carbon price of $15/tCO₂e, and systematic energy efficiency retrofits across its regional operations. Bank Central Asia (BCA) has establi</w:t>
      </w:r>
      <w:r>
        <w:rPr>
          <w:rFonts w:ascii="Arial" w:hAnsi="Arial"/>
        </w:rPr>
        <w:t>shed a climate change strategy with exclusion lists for high-carbon sectors and participates in Earth Hour annually as part of its green office program. These peer examples demonstrate that reductions of 3-12% annually are achievable through structured programs combining energy efficiency, renewable energy procurement, fleet electrification, and green building practices.</w:t>
      </w:r>
    </w:p>
    <w:p w14:paraId="356CAA16" w14:textId="77777777" w:rsidR="00535AD5" w:rsidRDefault="000F4CA5">
      <w:pPr>
        <w:spacing w:after="160"/>
        <w:jc w:val="both"/>
      </w:pPr>
      <w:r>
        <w:rPr>
          <w:rFonts w:ascii="Arial" w:hAnsi="Arial"/>
          <w:i/>
          <w:color w:val="555555"/>
        </w:rPr>
        <w:t>**Forward-Looking Statement**: The institution commits to establishing a formal greenhouse gas reduction program for implementation in 2025, subject to board approval and resource allocation. The program will target a minimum 5% annual reduction in Scope 1 + Scope 2 emissions intensity (tCO₂e per IDR billion operating revenue) by 2027, with interim milestones for 2025 and 2026. Planned initiatives under evaluation include LED lighting retrofits for all branch facilities (estimated 15-20% electricity savings</w:t>
      </w:r>
      <w:r>
        <w:rPr>
          <w:rFonts w:ascii="Arial" w:hAnsi="Arial"/>
          <w:i/>
          <w:color w:val="555555"/>
        </w:rPr>
        <w:t xml:space="preserve">), pilot solar photovoltaic installations at five high-consumption branches, transition of 25% of the vehicle fleet to electric or hybrid vehicles by 2026, implementation of automated HVAC and lighting controls, and pursuit of green building certification for the headquarters facility. The institution will establish a dedicated sustainability team with responsibility for tracking reduction initiatives, quantifying emission reductions using project-level methodologies, and reporting progress against targets </w:t>
      </w:r>
      <w:r>
        <w:rPr>
          <w:rFonts w:ascii="Arial" w:hAnsi="Arial"/>
          <w:i/>
          <w:color w:val="555555"/>
        </w:rPr>
        <w:t>in future sustainability disclosures. This commitment is subject to market conditions, technology availability, and regulatory developments in Indonesia's renewable energy sector.</w:t>
      </w:r>
    </w:p>
    <w:p w14:paraId="24C5D6E6" w14:textId="77777777" w:rsidR="00535AD5" w:rsidRDefault="000F4CA5">
      <w:r>
        <w:rPr>
          <w:rFonts w:ascii="Arial" w:hAnsi="Arial"/>
          <w:b/>
          <w:sz w:val="20"/>
        </w:rPr>
        <w:t>Table 4.5.1: Year-over-Year Emissions Change by Scope (2023-2024)</w:t>
      </w:r>
    </w:p>
    <w:tbl>
      <w:tblPr>
        <w:tblW w:w="0" w:type="auto"/>
        <w:jc w:val="center"/>
        <w:tblLook w:val="04A0" w:firstRow="1" w:lastRow="0" w:firstColumn="1" w:lastColumn="0" w:noHBand="0" w:noVBand="1"/>
      </w:tblPr>
      <w:tblGrid>
        <w:gridCol w:w="1505"/>
        <w:gridCol w:w="1505"/>
        <w:gridCol w:w="1505"/>
        <w:gridCol w:w="1505"/>
        <w:gridCol w:w="1505"/>
        <w:gridCol w:w="1505"/>
      </w:tblGrid>
      <w:tr w:rsidR="00535AD5" w14:paraId="34604455" w14:textId="77777777">
        <w:trPr>
          <w:jc w:val="center"/>
        </w:trPr>
        <w:tc>
          <w:tcPr>
            <w:tcW w:w="1505" w:type="dxa"/>
            <w:shd w:val="clear" w:color="auto" w:fill="1B3A6B"/>
          </w:tcPr>
          <w:p w14:paraId="54D20547" w14:textId="77777777" w:rsidR="00535AD5" w:rsidRDefault="000F4CA5">
            <w:r>
              <w:rPr>
                <w:rFonts w:ascii="Arial" w:hAnsi="Arial"/>
                <w:b/>
                <w:color w:val="FFFFFF"/>
                <w:sz w:val="18"/>
              </w:rPr>
              <w:t>Scope</w:t>
            </w:r>
          </w:p>
        </w:tc>
        <w:tc>
          <w:tcPr>
            <w:tcW w:w="1505" w:type="dxa"/>
            <w:shd w:val="clear" w:color="auto" w:fill="1B3A6B"/>
          </w:tcPr>
          <w:p w14:paraId="182158D3" w14:textId="77777777" w:rsidR="00535AD5" w:rsidRDefault="000F4CA5">
            <w:r>
              <w:rPr>
                <w:rFonts w:ascii="Arial" w:hAnsi="Arial"/>
                <w:b/>
                <w:color w:val="FFFFFF"/>
                <w:sz w:val="18"/>
              </w:rPr>
              <w:t>2024 Emissions (tCO₂e)</w:t>
            </w:r>
          </w:p>
        </w:tc>
        <w:tc>
          <w:tcPr>
            <w:tcW w:w="1505" w:type="dxa"/>
            <w:shd w:val="clear" w:color="auto" w:fill="1B3A6B"/>
          </w:tcPr>
          <w:p w14:paraId="52595CEF" w14:textId="77777777" w:rsidR="00535AD5" w:rsidRDefault="000F4CA5">
            <w:r>
              <w:rPr>
                <w:rFonts w:ascii="Arial" w:hAnsi="Arial"/>
                <w:b/>
                <w:color w:val="FFFFFF"/>
                <w:sz w:val="18"/>
              </w:rPr>
              <w:t>2023 Emissions (tCO₂e)</w:t>
            </w:r>
          </w:p>
        </w:tc>
        <w:tc>
          <w:tcPr>
            <w:tcW w:w="1505" w:type="dxa"/>
            <w:shd w:val="clear" w:color="auto" w:fill="1B3A6B"/>
          </w:tcPr>
          <w:p w14:paraId="494F2533" w14:textId="77777777" w:rsidR="00535AD5" w:rsidRDefault="000F4CA5">
            <w:r>
              <w:rPr>
                <w:rFonts w:ascii="Arial" w:hAnsi="Arial"/>
                <w:b/>
                <w:color w:val="FFFFFF"/>
                <w:sz w:val="18"/>
              </w:rPr>
              <w:t>Absolute Change (tCO₂e)</w:t>
            </w:r>
          </w:p>
        </w:tc>
        <w:tc>
          <w:tcPr>
            <w:tcW w:w="1505" w:type="dxa"/>
            <w:shd w:val="clear" w:color="auto" w:fill="1B3A6B"/>
          </w:tcPr>
          <w:p w14:paraId="7C52F056" w14:textId="77777777" w:rsidR="00535AD5" w:rsidRDefault="000F4CA5">
            <w:r>
              <w:rPr>
                <w:rFonts w:ascii="Arial" w:hAnsi="Arial"/>
                <w:b/>
                <w:color w:val="FFFFFF"/>
                <w:sz w:val="18"/>
              </w:rPr>
              <w:t>Percentage Change (%)</w:t>
            </w:r>
          </w:p>
        </w:tc>
        <w:tc>
          <w:tcPr>
            <w:tcW w:w="1505" w:type="dxa"/>
            <w:shd w:val="clear" w:color="auto" w:fill="1B3A6B"/>
          </w:tcPr>
          <w:p w14:paraId="14DB1924" w14:textId="77777777" w:rsidR="00535AD5" w:rsidRDefault="000F4CA5">
            <w:r>
              <w:rPr>
                <w:rFonts w:ascii="Arial" w:hAnsi="Arial"/>
                <w:b/>
                <w:color w:val="FFFFFF"/>
                <w:sz w:val="18"/>
              </w:rPr>
              <w:t>Direction</w:t>
            </w:r>
          </w:p>
        </w:tc>
      </w:tr>
      <w:tr w:rsidR="00535AD5" w14:paraId="0220EC0D" w14:textId="77777777">
        <w:trPr>
          <w:jc w:val="center"/>
        </w:trPr>
        <w:tc>
          <w:tcPr>
            <w:tcW w:w="1505" w:type="dxa"/>
          </w:tcPr>
          <w:p w14:paraId="6C2A4AF1" w14:textId="77777777" w:rsidR="00535AD5" w:rsidRDefault="000F4CA5">
            <w:r>
              <w:rPr>
                <w:rFonts w:ascii="Arial" w:hAnsi="Arial"/>
                <w:sz w:val="18"/>
              </w:rPr>
              <w:lastRenderedPageBreak/>
              <w:t>Scope 1 (Direct)</w:t>
            </w:r>
          </w:p>
        </w:tc>
        <w:tc>
          <w:tcPr>
            <w:tcW w:w="1505" w:type="dxa"/>
          </w:tcPr>
          <w:p w14:paraId="2D89E621" w14:textId="77777777" w:rsidR="00535AD5" w:rsidRDefault="000F4CA5">
            <w:pPr>
              <w:jc w:val="right"/>
            </w:pPr>
            <w:r>
              <w:rPr>
                <w:rFonts w:ascii="Arial" w:hAnsi="Arial"/>
                <w:sz w:val="18"/>
              </w:rPr>
              <w:t>3,402.997</w:t>
            </w:r>
          </w:p>
        </w:tc>
        <w:tc>
          <w:tcPr>
            <w:tcW w:w="1505" w:type="dxa"/>
          </w:tcPr>
          <w:p w14:paraId="1E4E4D18" w14:textId="77777777" w:rsidR="00535AD5" w:rsidRDefault="000F4CA5">
            <w:pPr>
              <w:jc w:val="right"/>
            </w:pPr>
            <w:r>
              <w:rPr>
                <w:rFonts w:ascii="Arial" w:hAnsi="Arial"/>
                <w:sz w:val="18"/>
              </w:rPr>
              <w:t>3,324.521</w:t>
            </w:r>
          </w:p>
        </w:tc>
        <w:tc>
          <w:tcPr>
            <w:tcW w:w="1505" w:type="dxa"/>
          </w:tcPr>
          <w:p w14:paraId="3CF041AC" w14:textId="77777777" w:rsidR="00535AD5" w:rsidRDefault="000F4CA5">
            <w:pPr>
              <w:jc w:val="right"/>
            </w:pPr>
            <w:r>
              <w:rPr>
                <w:rFonts w:ascii="Arial" w:hAnsi="Arial"/>
                <w:sz w:val="18"/>
              </w:rPr>
              <w:t>+78.476</w:t>
            </w:r>
          </w:p>
        </w:tc>
        <w:tc>
          <w:tcPr>
            <w:tcW w:w="1505" w:type="dxa"/>
          </w:tcPr>
          <w:p w14:paraId="681446E9" w14:textId="77777777" w:rsidR="00535AD5" w:rsidRDefault="000F4CA5">
            <w:pPr>
              <w:jc w:val="right"/>
            </w:pPr>
            <w:r>
              <w:rPr>
                <w:rFonts w:ascii="Arial" w:hAnsi="Arial"/>
                <w:sz w:val="18"/>
              </w:rPr>
              <w:t>+2.36%</w:t>
            </w:r>
          </w:p>
        </w:tc>
        <w:tc>
          <w:tcPr>
            <w:tcW w:w="1505" w:type="dxa"/>
          </w:tcPr>
          <w:p w14:paraId="6CF15A45" w14:textId="77777777" w:rsidR="00535AD5" w:rsidRDefault="000F4CA5">
            <w:r>
              <w:rPr>
                <w:rFonts w:ascii="Arial" w:hAnsi="Arial"/>
                <w:sz w:val="18"/>
              </w:rPr>
              <w:t>Increase</w:t>
            </w:r>
          </w:p>
        </w:tc>
      </w:tr>
      <w:tr w:rsidR="00535AD5" w14:paraId="6A5E3B61" w14:textId="77777777">
        <w:trPr>
          <w:jc w:val="center"/>
        </w:trPr>
        <w:tc>
          <w:tcPr>
            <w:tcW w:w="1505" w:type="dxa"/>
            <w:shd w:val="clear" w:color="auto" w:fill="F2F6FC"/>
          </w:tcPr>
          <w:p w14:paraId="440C6040" w14:textId="77777777" w:rsidR="00535AD5" w:rsidRDefault="000F4CA5">
            <w:r>
              <w:rPr>
                <w:rFonts w:ascii="Arial" w:hAnsi="Arial"/>
                <w:sz w:val="18"/>
              </w:rPr>
              <w:t>Scope 2 (Location-based)</w:t>
            </w:r>
          </w:p>
        </w:tc>
        <w:tc>
          <w:tcPr>
            <w:tcW w:w="1505" w:type="dxa"/>
            <w:shd w:val="clear" w:color="auto" w:fill="F2F6FC"/>
          </w:tcPr>
          <w:p w14:paraId="29D55391" w14:textId="77777777" w:rsidR="00535AD5" w:rsidRDefault="000F4CA5">
            <w:pPr>
              <w:jc w:val="right"/>
            </w:pPr>
            <w:r>
              <w:rPr>
                <w:rFonts w:ascii="Arial" w:hAnsi="Arial"/>
                <w:sz w:val="18"/>
              </w:rPr>
              <w:t>44,613.876</w:t>
            </w:r>
          </w:p>
        </w:tc>
        <w:tc>
          <w:tcPr>
            <w:tcW w:w="1505" w:type="dxa"/>
            <w:shd w:val="clear" w:color="auto" w:fill="F2F6FC"/>
          </w:tcPr>
          <w:p w14:paraId="77F3A3C2" w14:textId="77777777" w:rsidR="00535AD5" w:rsidRDefault="000F4CA5">
            <w:pPr>
              <w:jc w:val="right"/>
            </w:pPr>
            <w:r>
              <w:rPr>
                <w:rFonts w:ascii="Arial" w:hAnsi="Arial"/>
                <w:sz w:val="18"/>
              </w:rPr>
              <w:t>44,599.440</w:t>
            </w:r>
          </w:p>
        </w:tc>
        <w:tc>
          <w:tcPr>
            <w:tcW w:w="1505" w:type="dxa"/>
            <w:shd w:val="clear" w:color="auto" w:fill="F2F6FC"/>
          </w:tcPr>
          <w:p w14:paraId="58DE519F" w14:textId="77777777" w:rsidR="00535AD5" w:rsidRDefault="000F4CA5">
            <w:pPr>
              <w:jc w:val="right"/>
            </w:pPr>
            <w:r>
              <w:rPr>
                <w:rFonts w:ascii="Arial" w:hAnsi="Arial"/>
                <w:sz w:val="18"/>
              </w:rPr>
              <w:t>+14.436</w:t>
            </w:r>
          </w:p>
        </w:tc>
        <w:tc>
          <w:tcPr>
            <w:tcW w:w="1505" w:type="dxa"/>
            <w:shd w:val="clear" w:color="auto" w:fill="F2F6FC"/>
          </w:tcPr>
          <w:p w14:paraId="63EE1C3F" w14:textId="77777777" w:rsidR="00535AD5" w:rsidRDefault="000F4CA5">
            <w:pPr>
              <w:jc w:val="right"/>
            </w:pPr>
            <w:r>
              <w:rPr>
                <w:rFonts w:ascii="Arial" w:hAnsi="Arial"/>
                <w:sz w:val="18"/>
              </w:rPr>
              <w:t>+0.03%</w:t>
            </w:r>
          </w:p>
        </w:tc>
        <w:tc>
          <w:tcPr>
            <w:tcW w:w="1505" w:type="dxa"/>
            <w:shd w:val="clear" w:color="auto" w:fill="F2F6FC"/>
          </w:tcPr>
          <w:p w14:paraId="40BE94C6" w14:textId="77777777" w:rsidR="00535AD5" w:rsidRDefault="000F4CA5">
            <w:r>
              <w:rPr>
                <w:rFonts w:ascii="Arial" w:hAnsi="Arial"/>
                <w:sz w:val="18"/>
              </w:rPr>
              <w:t>Increase</w:t>
            </w:r>
          </w:p>
        </w:tc>
      </w:tr>
      <w:tr w:rsidR="00535AD5" w14:paraId="502E5FF2" w14:textId="77777777">
        <w:trPr>
          <w:jc w:val="center"/>
        </w:trPr>
        <w:tc>
          <w:tcPr>
            <w:tcW w:w="1505" w:type="dxa"/>
          </w:tcPr>
          <w:p w14:paraId="3C18F512" w14:textId="77777777" w:rsidR="00535AD5" w:rsidRDefault="000F4CA5">
            <w:r>
              <w:rPr>
                <w:rFonts w:ascii="Arial" w:hAnsi="Arial"/>
                <w:sz w:val="18"/>
              </w:rPr>
              <w:t>Scope 2 (Market-based)</w:t>
            </w:r>
          </w:p>
        </w:tc>
        <w:tc>
          <w:tcPr>
            <w:tcW w:w="1505" w:type="dxa"/>
          </w:tcPr>
          <w:p w14:paraId="247E7E8B" w14:textId="77777777" w:rsidR="00535AD5" w:rsidRDefault="000F4CA5">
            <w:pPr>
              <w:jc w:val="right"/>
            </w:pPr>
            <w:r>
              <w:rPr>
                <w:rFonts w:ascii="Arial" w:hAnsi="Arial"/>
                <w:sz w:val="18"/>
              </w:rPr>
              <w:t>44,612.518</w:t>
            </w:r>
          </w:p>
        </w:tc>
        <w:tc>
          <w:tcPr>
            <w:tcW w:w="1505" w:type="dxa"/>
          </w:tcPr>
          <w:p w14:paraId="23C96D85" w14:textId="77777777" w:rsidR="00535AD5" w:rsidRDefault="000F4CA5">
            <w:pPr>
              <w:jc w:val="right"/>
            </w:pPr>
            <w:r>
              <w:rPr>
                <w:rFonts w:ascii="Arial" w:hAnsi="Arial"/>
                <w:sz w:val="18"/>
              </w:rPr>
              <w:t>44,598.118</w:t>
            </w:r>
          </w:p>
        </w:tc>
        <w:tc>
          <w:tcPr>
            <w:tcW w:w="1505" w:type="dxa"/>
          </w:tcPr>
          <w:p w14:paraId="017B44B0" w14:textId="77777777" w:rsidR="00535AD5" w:rsidRDefault="000F4CA5">
            <w:pPr>
              <w:jc w:val="right"/>
            </w:pPr>
            <w:r>
              <w:rPr>
                <w:rFonts w:ascii="Arial" w:hAnsi="Arial"/>
                <w:sz w:val="18"/>
              </w:rPr>
              <w:t>+14.400</w:t>
            </w:r>
          </w:p>
        </w:tc>
        <w:tc>
          <w:tcPr>
            <w:tcW w:w="1505" w:type="dxa"/>
          </w:tcPr>
          <w:p w14:paraId="7106BE58" w14:textId="77777777" w:rsidR="00535AD5" w:rsidRDefault="000F4CA5">
            <w:pPr>
              <w:jc w:val="right"/>
            </w:pPr>
            <w:r>
              <w:rPr>
                <w:rFonts w:ascii="Arial" w:hAnsi="Arial"/>
                <w:sz w:val="18"/>
              </w:rPr>
              <w:t>+0.03%</w:t>
            </w:r>
          </w:p>
        </w:tc>
        <w:tc>
          <w:tcPr>
            <w:tcW w:w="1505" w:type="dxa"/>
          </w:tcPr>
          <w:p w14:paraId="2AC12ED5" w14:textId="77777777" w:rsidR="00535AD5" w:rsidRDefault="000F4CA5">
            <w:r>
              <w:rPr>
                <w:rFonts w:ascii="Arial" w:hAnsi="Arial"/>
                <w:sz w:val="18"/>
              </w:rPr>
              <w:t>Increase</w:t>
            </w:r>
          </w:p>
        </w:tc>
      </w:tr>
      <w:tr w:rsidR="00535AD5" w14:paraId="1F7CB0FE" w14:textId="77777777">
        <w:trPr>
          <w:jc w:val="center"/>
        </w:trPr>
        <w:tc>
          <w:tcPr>
            <w:tcW w:w="1505" w:type="dxa"/>
            <w:shd w:val="clear" w:color="auto" w:fill="F2F6FC"/>
          </w:tcPr>
          <w:p w14:paraId="1E239418" w14:textId="77777777" w:rsidR="00535AD5" w:rsidRDefault="000F4CA5">
            <w:r>
              <w:rPr>
                <w:rFonts w:ascii="Arial" w:hAnsi="Arial"/>
                <w:sz w:val="18"/>
              </w:rPr>
              <w:t>Total Scope 1+2 (Location)</w:t>
            </w:r>
          </w:p>
        </w:tc>
        <w:tc>
          <w:tcPr>
            <w:tcW w:w="1505" w:type="dxa"/>
            <w:shd w:val="clear" w:color="auto" w:fill="F2F6FC"/>
          </w:tcPr>
          <w:p w14:paraId="55F513A4" w14:textId="77777777" w:rsidR="00535AD5" w:rsidRDefault="000F4CA5">
            <w:pPr>
              <w:jc w:val="right"/>
            </w:pPr>
            <w:r>
              <w:rPr>
                <w:rFonts w:ascii="Arial" w:hAnsi="Arial"/>
                <w:sz w:val="18"/>
              </w:rPr>
              <w:t>48,016.873</w:t>
            </w:r>
          </w:p>
        </w:tc>
        <w:tc>
          <w:tcPr>
            <w:tcW w:w="1505" w:type="dxa"/>
            <w:shd w:val="clear" w:color="auto" w:fill="F2F6FC"/>
          </w:tcPr>
          <w:p w14:paraId="35FF59E3" w14:textId="77777777" w:rsidR="00535AD5" w:rsidRDefault="000F4CA5">
            <w:pPr>
              <w:jc w:val="right"/>
            </w:pPr>
            <w:r>
              <w:rPr>
                <w:rFonts w:ascii="Arial" w:hAnsi="Arial"/>
                <w:sz w:val="18"/>
              </w:rPr>
              <w:t>47,923.961</w:t>
            </w:r>
          </w:p>
        </w:tc>
        <w:tc>
          <w:tcPr>
            <w:tcW w:w="1505" w:type="dxa"/>
            <w:shd w:val="clear" w:color="auto" w:fill="F2F6FC"/>
          </w:tcPr>
          <w:p w14:paraId="2028351B" w14:textId="77777777" w:rsidR="00535AD5" w:rsidRDefault="000F4CA5">
            <w:pPr>
              <w:jc w:val="right"/>
            </w:pPr>
            <w:r>
              <w:rPr>
                <w:rFonts w:ascii="Arial" w:hAnsi="Arial"/>
                <w:sz w:val="18"/>
              </w:rPr>
              <w:t>+92.912</w:t>
            </w:r>
          </w:p>
        </w:tc>
        <w:tc>
          <w:tcPr>
            <w:tcW w:w="1505" w:type="dxa"/>
            <w:shd w:val="clear" w:color="auto" w:fill="F2F6FC"/>
          </w:tcPr>
          <w:p w14:paraId="418A05E7" w14:textId="77777777" w:rsidR="00535AD5" w:rsidRDefault="000F4CA5">
            <w:pPr>
              <w:jc w:val="right"/>
            </w:pPr>
            <w:r>
              <w:rPr>
                <w:rFonts w:ascii="Arial" w:hAnsi="Arial"/>
                <w:sz w:val="18"/>
              </w:rPr>
              <w:t>+0.19%</w:t>
            </w:r>
          </w:p>
        </w:tc>
        <w:tc>
          <w:tcPr>
            <w:tcW w:w="1505" w:type="dxa"/>
            <w:shd w:val="clear" w:color="auto" w:fill="F2F6FC"/>
          </w:tcPr>
          <w:p w14:paraId="6711587D" w14:textId="77777777" w:rsidR="00535AD5" w:rsidRDefault="000F4CA5">
            <w:r>
              <w:rPr>
                <w:rFonts w:ascii="Arial" w:hAnsi="Arial"/>
                <w:sz w:val="18"/>
              </w:rPr>
              <w:t>Increase</w:t>
            </w:r>
          </w:p>
        </w:tc>
      </w:tr>
      <w:tr w:rsidR="00535AD5" w14:paraId="1AF3B7FB" w14:textId="77777777">
        <w:trPr>
          <w:jc w:val="center"/>
        </w:trPr>
        <w:tc>
          <w:tcPr>
            <w:tcW w:w="1505" w:type="dxa"/>
          </w:tcPr>
          <w:p w14:paraId="0D9EC43D" w14:textId="77777777" w:rsidR="00535AD5" w:rsidRDefault="000F4CA5">
            <w:r>
              <w:rPr>
                <w:rFonts w:ascii="Arial" w:hAnsi="Arial"/>
                <w:sz w:val="18"/>
              </w:rPr>
              <w:t>Total Scope 1+2 (Market)</w:t>
            </w:r>
          </w:p>
        </w:tc>
        <w:tc>
          <w:tcPr>
            <w:tcW w:w="1505" w:type="dxa"/>
          </w:tcPr>
          <w:p w14:paraId="1EDB01F9" w14:textId="77777777" w:rsidR="00535AD5" w:rsidRDefault="000F4CA5">
            <w:pPr>
              <w:jc w:val="right"/>
            </w:pPr>
            <w:r>
              <w:rPr>
                <w:rFonts w:ascii="Arial" w:hAnsi="Arial"/>
                <w:sz w:val="18"/>
              </w:rPr>
              <w:t>48,015.515</w:t>
            </w:r>
          </w:p>
        </w:tc>
        <w:tc>
          <w:tcPr>
            <w:tcW w:w="1505" w:type="dxa"/>
          </w:tcPr>
          <w:p w14:paraId="52E76E92" w14:textId="77777777" w:rsidR="00535AD5" w:rsidRDefault="000F4CA5">
            <w:pPr>
              <w:jc w:val="right"/>
            </w:pPr>
            <w:r>
              <w:rPr>
                <w:rFonts w:ascii="Arial" w:hAnsi="Arial"/>
                <w:sz w:val="18"/>
              </w:rPr>
              <w:t>47,922.639</w:t>
            </w:r>
          </w:p>
        </w:tc>
        <w:tc>
          <w:tcPr>
            <w:tcW w:w="1505" w:type="dxa"/>
          </w:tcPr>
          <w:p w14:paraId="1389AAF6" w14:textId="77777777" w:rsidR="00535AD5" w:rsidRDefault="000F4CA5">
            <w:pPr>
              <w:jc w:val="right"/>
            </w:pPr>
            <w:r>
              <w:rPr>
                <w:rFonts w:ascii="Arial" w:hAnsi="Arial"/>
                <w:sz w:val="18"/>
              </w:rPr>
              <w:t>+92.876</w:t>
            </w:r>
          </w:p>
        </w:tc>
        <w:tc>
          <w:tcPr>
            <w:tcW w:w="1505" w:type="dxa"/>
          </w:tcPr>
          <w:p w14:paraId="237063A1" w14:textId="77777777" w:rsidR="00535AD5" w:rsidRDefault="000F4CA5">
            <w:pPr>
              <w:jc w:val="right"/>
            </w:pPr>
            <w:r>
              <w:rPr>
                <w:rFonts w:ascii="Arial" w:hAnsi="Arial"/>
                <w:sz w:val="18"/>
              </w:rPr>
              <w:t>+0.19%</w:t>
            </w:r>
          </w:p>
        </w:tc>
        <w:tc>
          <w:tcPr>
            <w:tcW w:w="1505" w:type="dxa"/>
          </w:tcPr>
          <w:p w14:paraId="29AADD2C" w14:textId="77777777" w:rsidR="00535AD5" w:rsidRDefault="000F4CA5">
            <w:r>
              <w:rPr>
                <w:rFonts w:ascii="Arial" w:hAnsi="Arial"/>
                <w:sz w:val="18"/>
              </w:rPr>
              <w:t>Increase</w:t>
            </w:r>
          </w:p>
        </w:tc>
      </w:tr>
    </w:tbl>
    <w:p w14:paraId="12E5C73E" w14:textId="77777777" w:rsidR="00535AD5" w:rsidRDefault="000F4CA5">
      <w:r>
        <w:rPr>
          <w:rFonts w:ascii="Arial" w:hAnsi="Arial"/>
          <w:i/>
          <w:sz w:val="16"/>
        </w:rPr>
        <w:t>Source: Source: Internal GHG inventory system. Base year: 2023. Consolidation approach: Operational control. Gases included: CO₂, CH₄, N₂O.</w:t>
      </w:r>
    </w:p>
    <w:p w14:paraId="14194BB3" w14:textId="77777777" w:rsidR="00535AD5" w:rsidRDefault="00535AD5"/>
    <w:p w14:paraId="2979D205" w14:textId="77777777" w:rsidR="00535AD5" w:rsidRDefault="000F4CA5">
      <w:r>
        <w:rPr>
          <w:rFonts w:ascii="Arial" w:hAnsi="Arial"/>
          <w:b/>
          <w:sz w:val="20"/>
        </w:rPr>
        <w:t>Table 4.5.2: Emissions Intensity Metrics (2023-2024)</w:t>
      </w:r>
    </w:p>
    <w:tbl>
      <w:tblPr>
        <w:tblW w:w="0" w:type="auto"/>
        <w:jc w:val="center"/>
        <w:tblLook w:val="04A0" w:firstRow="1" w:lastRow="0" w:firstColumn="1" w:lastColumn="0" w:noHBand="0" w:noVBand="1"/>
      </w:tblPr>
      <w:tblGrid>
        <w:gridCol w:w="1806"/>
        <w:gridCol w:w="1806"/>
        <w:gridCol w:w="1806"/>
        <w:gridCol w:w="1806"/>
        <w:gridCol w:w="1806"/>
      </w:tblGrid>
      <w:tr w:rsidR="00535AD5" w14:paraId="5BBE7BA3" w14:textId="77777777">
        <w:trPr>
          <w:jc w:val="center"/>
        </w:trPr>
        <w:tc>
          <w:tcPr>
            <w:tcW w:w="1806" w:type="dxa"/>
            <w:shd w:val="clear" w:color="auto" w:fill="1B3A6B"/>
          </w:tcPr>
          <w:p w14:paraId="417AC1F0" w14:textId="77777777" w:rsidR="00535AD5" w:rsidRDefault="000F4CA5">
            <w:r>
              <w:rPr>
                <w:rFonts w:ascii="Arial" w:hAnsi="Arial"/>
                <w:b/>
                <w:color w:val="FFFFFF"/>
                <w:sz w:val="18"/>
              </w:rPr>
              <w:t>Intensity Metric</w:t>
            </w:r>
          </w:p>
        </w:tc>
        <w:tc>
          <w:tcPr>
            <w:tcW w:w="1806" w:type="dxa"/>
            <w:shd w:val="clear" w:color="auto" w:fill="1B3A6B"/>
          </w:tcPr>
          <w:p w14:paraId="1D6EEFE7" w14:textId="77777777" w:rsidR="00535AD5" w:rsidRDefault="000F4CA5">
            <w:r>
              <w:rPr>
                <w:rFonts w:ascii="Arial" w:hAnsi="Arial"/>
                <w:b/>
                <w:color w:val="FFFFFF"/>
                <w:sz w:val="18"/>
              </w:rPr>
              <w:t>2024 Value</w:t>
            </w:r>
          </w:p>
        </w:tc>
        <w:tc>
          <w:tcPr>
            <w:tcW w:w="1806" w:type="dxa"/>
            <w:shd w:val="clear" w:color="auto" w:fill="1B3A6B"/>
          </w:tcPr>
          <w:p w14:paraId="43F630FB" w14:textId="77777777" w:rsidR="00535AD5" w:rsidRDefault="000F4CA5">
            <w:r>
              <w:rPr>
                <w:rFonts w:ascii="Arial" w:hAnsi="Arial"/>
                <w:b/>
                <w:color w:val="FFFFFF"/>
                <w:sz w:val="18"/>
              </w:rPr>
              <w:t>2023 Value</w:t>
            </w:r>
          </w:p>
        </w:tc>
        <w:tc>
          <w:tcPr>
            <w:tcW w:w="1806" w:type="dxa"/>
            <w:shd w:val="clear" w:color="auto" w:fill="1B3A6B"/>
          </w:tcPr>
          <w:p w14:paraId="56C1F2A3" w14:textId="77777777" w:rsidR="00535AD5" w:rsidRDefault="000F4CA5">
            <w:r>
              <w:rPr>
                <w:rFonts w:ascii="Arial" w:hAnsi="Arial"/>
                <w:b/>
                <w:color w:val="FFFFFF"/>
                <w:sz w:val="18"/>
              </w:rPr>
              <w:t>Change (%)</w:t>
            </w:r>
          </w:p>
        </w:tc>
        <w:tc>
          <w:tcPr>
            <w:tcW w:w="1806" w:type="dxa"/>
            <w:shd w:val="clear" w:color="auto" w:fill="1B3A6B"/>
          </w:tcPr>
          <w:p w14:paraId="69862ECE" w14:textId="77777777" w:rsidR="00535AD5" w:rsidRDefault="000F4CA5">
            <w:r>
              <w:rPr>
                <w:rFonts w:ascii="Arial" w:hAnsi="Arial"/>
                <w:b/>
                <w:color w:val="FFFFFF"/>
                <w:sz w:val="18"/>
              </w:rPr>
              <w:t>Unit</w:t>
            </w:r>
          </w:p>
        </w:tc>
      </w:tr>
      <w:tr w:rsidR="00535AD5" w14:paraId="52888B9F" w14:textId="77777777">
        <w:trPr>
          <w:jc w:val="center"/>
        </w:trPr>
        <w:tc>
          <w:tcPr>
            <w:tcW w:w="1806" w:type="dxa"/>
          </w:tcPr>
          <w:p w14:paraId="3599FE26" w14:textId="77777777" w:rsidR="00535AD5" w:rsidRDefault="000F4CA5">
            <w:r>
              <w:rPr>
                <w:rFonts w:ascii="Arial" w:hAnsi="Arial"/>
                <w:sz w:val="18"/>
              </w:rPr>
              <w:t>Emissions per IDR Billion Revenue</w:t>
            </w:r>
          </w:p>
        </w:tc>
        <w:tc>
          <w:tcPr>
            <w:tcW w:w="1806" w:type="dxa"/>
          </w:tcPr>
          <w:p w14:paraId="6FB7BACA" w14:textId="77777777" w:rsidR="00535AD5" w:rsidRDefault="000F4CA5">
            <w:pPr>
              <w:jc w:val="right"/>
            </w:pPr>
            <w:r>
              <w:rPr>
                <w:rFonts w:ascii="Arial" w:hAnsi="Arial"/>
                <w:sz w:val="18"/>
              </w:rPr>
              <w:t>239.400139</w:t>
            </w:r>
          </w:p>
        </w:tc>
        <w:tc>
          <w:tcPr>
            <w:tcW w:w="1806" w:type="dxa"/>
          </w:tcPr>
          <w:p w14:paraId="7685C00E" w14:textId="77777777" w:rsidR="00535AD5" w:rsidRDefault="000F4CA5">
            <w:pPr>
              <w:jc w:val="right"/>
            </w:pPr>
            <w:r>
              <w:rPr>
                <w:rFonts w:ascii="Arial" w:hAnsi="Arial"/>
                <w:sz w:val="18"/>
              </w:rPr>
              <w:t>270.116632</w:t>
            </w:r>
          </w:p>
        </w:tc>
        <w:tc>
          <w:tcPr>
            <w:tcW w:w="1806" w:type="dxa"/>
          </w:tcPr>
          <w:p w14:paraId="0425CFDA" w14:textId="77777777" w:rsidR="00535AD5" w:rsidRDefault="000F4CA5">
            <w:pPr>
              <w:jc w:val="right"/>
            </w:pPr>
            <w:r>
              <w:rPr>
                <w:rFonts w:ascii="Arial" w:hAnsi="Arial"/>
                <w:sz w:val="18"/>
              </w:rPr>
              <w:t>-11.37%</w:t>
            </w:r>
          </w:p>
        </w:tc>
        <w:tc>
          <w:tcPr>
            <w:tcW w:w="1806" w:type="dxa"/>
          </w:tcPr>
          <w:p w14:paraId="39A38DED" w14:textId="77777777" w:rsidR="00535AD5" w:rsidRDefault="000F4CA5">
            <w:r>
              <w:rPr>
                <w:rFonts w:ascii="Arial" w:hAnsi="Arial"/>
                <w:sz w:val="18"/>
              </w:rPr>
              <w:t>tCO₂e/IDR Bn</w:t>
            </w:r>
          </w:p>
        </w:tc>
      </w:tr>
      <w:tr w:rsidR="00535AD5" w14:paraId="473F6E5C" w14:textId="77777777">
        <w:trPr>
          <w:jc w:val="center"/>
        </w:trPr>
        <w:tc>
          <w:tcPr>
            <w:tcW w:w="1806" w:type="dxa"/>
            <w:shd w:val="clear" w:color="auto" w:fill="F2F6FC"/>
          </w:tcPr>
          <w:p w14:paraId="5B613A63" w14:textId="77777777" w:rsidR="00535AD5" w:rsidRDefault="000F4CA5">
            <w:r>
              <w:rPr>
                <w:rFonts w:ascii="Arial" w:hAnsi="Arial"/>
                <w:sz w:val="18"/>
              </w:rPr>
              <w:t>Emissions per FTE</w:t>
            </w:r>
          </w:p>
        </w:tc>
        <w:tc>
          <w:tcPr>
            <w:tcW w:w="1806" w:type="dxa"/>
            <w:shd w:val="clear" w:color="auto" w:fill="F2F6FC"/>
          </w:tcPr>
          <w:p w14:paraId="3C09C9D2" w14:textId="77777777" w:rsidR="00535AD5" w:rsidRDefault="000F4CA5">
            <w:pPr>
              <w:jc w:val="right"/>
            </w:pPr>
            <w:r>
              <w:rPr>
                <w:rFonts w:ascii="Arial" w:hAnsi="Arial"/>
                <w:sz w:val="18"/>
              </w:rPr>
              <w:t>1.9209</w:t>
            </w:r>
          </w:p>
        </w:tc>
        <w:tc>
          <w:tcPr>
            <w:tcW w:w="1806" w:type="dxa"/>
            <w:shd w:val="clear" w:color="auto" w:fill="F2F6FC"/>
          </w:tcPr>
          <w:p w14:paraId="5E905FAB" w14:textId="77777777" w:rsidR="00535AD5" w:rsidRDefault="000F4CA5">
            <w:pPr>
              <w:jc w:val="right"/>
            </w:pPr>
            <w:r>
              <w:rPr>
                <w:rFonts w:ascii="Arial" w:hAnsi="Arial"/>
                <w:sz w:val="18"/>
              </w:rPr>
              <w:t>1.9560</w:t>
            </w:r>
          </w:p>
        </w:tc>
        <w:tc>
          <w:tcPr>
            <w:tcW w:w="1806" w:type="dxa"/>
            <w:shd w:val="clear" w:color="auto" w:fill="F2F6FC"/>
          </w:tcPr>
          <w:p w14:paraId="63B30FEA" w14:textId="77777777" w:rsidR="00535AD5" w:rsidRDefault="000F4CA5">
            <w:pPr>
              <w:jc w:val="right"/>
            </w:pPr>
            <w:r>
              <w:rPr>
                <w:rFonts w:ascii="Arial" w:hAnsi="Arial"/>
                <w:sz w:val="18"/>
              </w:rPr>
              <w:t>-1.79%</w:t>
            </w:r>
          </w:p>
        </w:tc>
        <w:tc>
          <w:tcPr>
            <w:tcW w:w="1806" w:type="dxa"/>
            <w:shd w:val="clear" w:color="auto" w:fill="F2F6FC"/>
          </w:tcPr>
          <w:p w14:paraId="67767A51" w14:textId="77777777" w:rsidR="00535AD5" w:rsidRDefault="000F4CA5">
            <w:r>
              <w:rPr>
                <w:rFonts w:ascii="Arial" w:hAnsi="Arial"/>
                <w:sz w:val="18"/>
              </w:rPr>
              <w:t>tCO₂e/FTE</w:t>
            </w:r>
          </w:p>
        </w:tc>
      </w:tr>
    </w:tbl>
    <w:p w14:paraId="67799FB4" w14:textId="77777777" w:rsidR="00535AD5" w:rsidRDefault="000F4CA5">
      <w:r>
        <w:rPr>
          <w:rFonts w:ascii="Arial" w:hAnsi="Arial"/>
          <w:i/>
          <w:sz w:val="16"/>
        </w:rPr>
        <w:t>Source: Source: GHG summary metrics and HR metrics. Intensity calculations use Scope 1 + Scope 2 location-based totals in numerator. FTE count: 24,997 (2024), 24,500 (2023).</w:t>
      </w:r>
    </w:p>
    <w:p w14:paraId="3FF0A5E4" w14:textId="77777777" w:rsidR="00535AD5" w:rsidRDefault="00535AD5"/>
    <w:p w14:paraId="0E18EC14" w14:textId="77777777" w:rsidR="00535AD5" w:rsidRDefault="000F4CA5">
      <w:r>
        <w:rPr>
          <w:rFonts w:ascii="Arial" w:hAnsi="Arial"/>
          <w:b/>
          <w:sz w:val="20"/>
        </w:rPr>
        <w:t>Table 4.5.3: Peer Benchmark — Reduction Initiatives and Performance</w:t>
      </w:r>
    </w:p>
    <w:tbl>
      <w:tblPr>
        <w:tblW w:w="0" w:type="auto"/>
        <w:jc w:val="center"/>
        <w:tblLook w:val="04A0" w:firstRow="1" w:lastRow="0" w:firstColumn="1" w:lastColumn="0" w:noHBand="0" w:noVBand="1"/>
      </w:tblPr>
      <w:tblGrid>
        <w:gridCol w:w="1806"/>
        <w:gridCol w:w="1806"/>
        <w:gridCol w:w="1806"/>
        <w:gridCol w:w="1806"/>
        <w:gridCol w:w="1806"/>
      </w:tblGrid>
      <w:tr w:rsidR="00535AD5" w14:paraId="32A13274" w14:textId="77777777">
        <w:trPr>
          <w:jc w:val="center"/>
        </w:trPr>
        <w:tc>
          <w:tcPr>
            <w:tcW w:w="1806" w:type="dxa"/>
            <w:shd w:val="clear" w:color="auto" w:fill="1B3A6B"/>
          </w:tcPr>
          <w:p w14:paraId="6D258358" w14:textId="77777777" w:rsidR="00535AD5" w:rsidRDefault="000F4CA5">
            <w:r>
              <w:rPr>
                <w:rFonts w:ascii="Arial" w:hAnsi="Arial"/>
                <w:b/>
                <w:color w:val="FFFFFF"/>
                <w:sz w:val="18"/>
              </w:rPr>
              <w:t>Institution</w:t>
            </w:r>
          </w:p>
        </w:tc>
        <w:tc>
          <w:tcPr>
            <w:tcW w:w="1806" w:type="dxa"/>
            <w:shd w:val="clear" w:color="auto" w:fill="1B3A6B"/>
          </w:tcPr>
          <w:p w14:paraId="532CBD21" w14:textId="77777777" w:rsidR="00535AD5" w:rsidRDefault="000F4CA5">
            <w:r>
              <w:rPr>
                <w:rFonts w:ascii="Arial" w:hAnsi="Arial"/>
                <w:b/>
                <w:color w:val="FFFFFF"/>
                <w:sz w:val="18"/>
              </w:rPr>
              <w:t>YoY Reduction (%)</w:t>
            </w:r>
          </w:p>
        </w:tc>
        <w:tc>
          <w:tcPr>
            <w:tcW w:w="1806" w:type="dxa"/>
            <w:shd w:val="clear" w:color="auto" w:fill="1B3A6B"/>
          </w:tcPr>
          <w:p w14:paraId="7660860F" w14:textId="77777777" w:rsidR="00535AD5" w:rsidRDefault="000F4CA5">
            <w:r>
              <w:rPr>
                <w:rFonts w:ascii="Arial" w:hAnsi="Arial"/>
                <w:b/>
                <w:color w:val="FFFFFF"/>
                <w:sz w:val="18"/>
              </w:rPr>
              <w:t>Key Initiatives</w:t>
            </w:r>
          </w:p>
        </w:tc>
        <w:tc>
          <w:tcPr>
            <w:tcW w:w="1806" w:type="dxa"/>
            <w:shd w:val="clear" w:color="auto" w:fill="1B3A6B"/>
          </w:tcPr>
          <w:p w14:paraId="7003DCF1" w14:textId="77777777" w:rsidR="00535AD5" w:rsidRDefault="000F4CA5">
            <w:r>
              <w:rPr>
                <w:rFonts w:ascii="Arial" w:hAnsi="Arial"/>
                <w:b/>
                <w:color w:val="FFFFFF"/>
                <w:sz w:val="18"/>
              </w:rPr>
              <w:t>Renewable Energy (%)</w:t>
            </w:r>
          </w:p>
        </w:tc>
        <w:tc>
          <w:tcPr>
            <w:tcW w:w="1806" w:type="dxa"/>
            <w:shd w:val="clear" w:color="auto" w:fill="1B3A6B"/>
          </w:tcPr>
          <w:p w14:paraId="5F3FEE2E" w14:textId="77777777" w:rsidR="00535AD5" w:rsidRDefault="000F4CA5">
            <w:r>
              <w:rPr>
                <w:rFonts w:ascii="Arial" w:hAnsi="Arial"/>
                <w:b/>
                <w:color w:val="FFFFFF"/>
                <w:sz w:val="18"/>
              </w:rPr>
              <w:t>Target Year</w:t>
            </w:r>
          </w:p>
        </w:tc>
      </w:tr>
      <w:tr w:rsidR="00535AD5" w14:paraId="5043D21B" w14:textId="77777777">
        <w:trPr>
          <w:jc w:val="center"/>
        </w:trPr>
        <w:tc>
          <w:tcPr>
            <w:tcW w:w="1806" w:type="dxa"/>
          </w:tcPr>
          <w:p w14:paraId="6D195A83" w14:textId="77777777" w:rsidR="00535AD5" w:rsidRDefault="000F4CA5">
            <w:r>
              <w:rPr>
                <w:rFonts w:ascii="Arial" w:hAnsi="Arial"/>
                <w:sz w:val="18"/>
              </w:rPr>
              <w:t>DBS Group</w:t>
            </w:r>
          </w:p>
        </w:tc>
        <w:tc>
          <w:tcPr>
            <w:tcW w:w="1806" w:type="dxa"/>
          </w:tcPr>
          <w:p w14:paraId="00B253A6" w14:textId="77777777" w:rsidR="00535AD5" w:rsidRDefault="000F4CA5">
            <w:pPr>
              <w:jc w:val="right"/>
            </w:pPr>
            <w:r>
              <w:rPr>
                <w:rFonts w:ascii="Arial" w:hAnsi="Arial"/>
                <w:sz w:val="18"/>
              </w:rPr>
              <w:t>-12.0%</w:t>
            </w:r>
          </w:p>
        </w:tc>
        <w:tc>
          <w:tcPr>
            <w:tcW w:w="1806" w:type="dxa"/>
          </w:tcPr>
          <w:p w14:paraId="543FA4C0" w14:textId="77777777" w:rsidR="00535AD5" w:rsidRDefault="000F4CA5">
            <w:r>
              <w:rPr>
                <w:rFonts w:ascii="Arial" w:hAnsi="Arial"/>
                <w:sz w:val="18"/>
              </w:rPr>
              <w:t>RE100, internal carbon price ($15/tCO₂e), LEED buildings</w:t>
            </w:r>
          </w:p>
        </w:tc>
        <w:tc>
          <w:tcPr>
            <w:tcW w:w="1806" w:type="dxa"/>
          </w:tcPr>
          <w:p w14:paraId="28A0425A" w14:textId="77777777" w:rsidR="00535AD5" w:rsidRDefault="000F4CA5">
            <w:pPr>
              <w:jc w:val="right"/>
            </w:pPr>
            <w:r>
              <w:rPr>
                <w:rFonts w:ascii="Arial" w:hAnsi="Arial"/>
                <w:sz w:val="18"/>
              </w:rPr>
              <w:t>62%</w:t>
            </w:r>
          </w:p>
        </w:tc>
        <w:tc>
          <w:tcPr>
            <w:tcW w:w="1806" w:type="dxa"/>
          </w:tcPr>
          <w:p w14:paraId="271E4B84" w14:textId="77777777" w:rsidR="00535AD5" w:rsidRDefault="000F4CA5">
            <w:r>
              <w:rPr>
                <w:rFonts w:ascii="Arial" w:hAnsi="Arial"/>
                <w:sz w:val="18"/>
              </w:rPr>
              <w:t>2050 (Net Zero)</w:t>
            </w:r>
          </w:p>
        </w:tc>
      </w:tr>
      <w:tr w:rsidR="00535AD5" w14:paraId="7AACCDF1" w14:textId="77777777">
        <w:trPr>
          <w:jc w:val="center"/>
        </w:trPr>
        <w:tc>
          <w:tcPr>
            <w:tcW w:w="1806" w:type="dxa"/>
            <w:shd w:val="clear" w:color="auto" w:fill="F2F6FC"/>
          </w:tcPr>
          <w:p w14:paraId="54E036C4" w14:textId="77777777" w:rsidR="00535AD5" w:rsidRDefault="000F4CA5">
            <w:r>
              <w:rPr>
                <w:rFonts w:ascii="Arial" w:hAnsi="Arial"/>
                <w:sz w:val="18"/>
              </w:rPr>
              <w:t>Bank Rakyat Indonesia</w:t>
            </w:r>
          </w:p>
        </w:tc>
        <w:tc>
          <w:tcPr>
            <w:tcW w:w="1806" w:type="dxa"/>
            <w:shd w:val="clear" w:color="auto" w:fill="F2F6FC"/>
          </w:tcPr>
          <w:p w14:paraId="38A1D8B1" w14:textId="77777777" w:rsidR="00535AD5" w:rsidRDefault="000F4CA5">
            <w:pPr>
              <w:jc w:val="right"/>
            </w:pPr>
            <w:r>
              <w:rPr>
                <w:rFonts w:ascii="Arial" w:hAnsi="Arial"/>
                <w:sz w:val="18"/>
              </w:rPr>
              <w:t>-3.2%</w:t>
            </w:r>
          </w:p>
        </w:tc>
        <w:tc>
          <w:tcPr>
            <w:tcW w:w="1806" w:type="dxa"/>
            <w:shd w:val="clear" w:color="auto" w:fill="F2F6FC"/>
          </w:tcPr>
          <w:p w14:paraId="3402CFD3" w14:textId="77777777" w:rsidR="00535AD5" w:rsidRDefault="000F4CA5">
            <w:r>
              <w:rPr>
                <w:rFonts w:ascii="Arial" w:hAnsi="Arial"/>
                <w:sz w:val="18"/>
              </w:rPr>
              <w:t>Green Network (118 EVs, 150 e-bikes), solar panels, Kaseya auto-shutdown, GBCI Gold</w:t>
            </w:r>
          </w:p>
        </w:tc>
        <w:tc>
          <w:tcPr>
            <w:tcW w:w="1806" w:type="dxa"/>
            <w:shd w:val="clear" w:color="auto" w:fill="F2F6FC"/>
          </w:tcPr>
          <w:p w14:paraId="6AEB9D1A" w14:textId="77777777" w:rsidR="00535AD5" w:rsidRDefault="000F4CA5">
            <w:r>
              <w:rPr>
                <w:rFonts w:ascii="Arial" w:hAnsi="Arial"/>
                <w:sz w:val="18"/>
              </w:rPr>
              <w:t>&lt;1% (pilot)</w:t>
            </w:r>
          </w:p>
        </w:tc>
        <w:tc>
          <w:tcPr>
            <w:tcW w:w="1806" w:type="dxa"/>
            <w:shd w:val="clear" w:color="auto" w:fill="F2F6FC"/>
          </w:tcPr>
          <w:p w14:paraId="6BF6EB46" w14:textId="77777777" w:rsidR="00535AD5" w:rsidRDefault="000F4CA5">
            <w:r>
              <w:rPr>
                <w:rFonts w:ascii="Arial" w:hAnsi="Arial"/>
                <w:sz w:val="18"/>
              </w:rPr>
              <w:t>2050 (SBTi)</w:t>
            </w:r>
          </w:p>
        </w:tc>
      </w:tr>
      <w:tr w:rsidR="00535AD5" w14:paraId="65463011" w14:textId="77777777">
        <w:trPr>
          <w:jc w:val="center"/>
        </w:trPr>
        <w:tc>
          <w:tcPr>
            <w:tcW w:w="1806" w:type="dxa"/>
          </w:tcPr>
          <w:p w14:paraId="52659DF2" w14:textId="77777777" w:rsidR="00535AD5" w:rsidRDefault="000F4CA5">
            <w:r>
              <w:rPr>
                <w:rFonts w:ascii="Arial" w:hAnsi="Arial"/>
                <w:sz w:val="18"/>
              </w:rPr>
              <w:t>Bank Mandiri</w:t>
            </w:r>
          </w:p>
        </w:tc>
        <w:tc>
          <w:tcPr>
            <w:tcW w:w="1806" w:type="dxa"/>
          </w:tcPr>
          <w:p w14:paraId="1F692F72" w14:textId="77777777" w:rsidR="00535AD5" w:rsidRDefault="000F4CA5">
            <w:pPr>
              <w:jc w:val="right"/>
            </w:pPr>
            <w:r>
              <w:rPr>
                <w:rFonts w:ascii="Arial" w:hAnsi="Arial"/>
                <w:sz w:val="18"/>
              </w:rPr>
              <w:t>-5.1%</w:t>
            </w:r>
          </w:p>
        </w:tc>
        <w:tc>
          <w:tcPr>
            <w:tcW w:w="1806" w:type="dxa"/>
          </w:tcPr>
          <w:p w14:paraId="214DFCC9" w14:textId="77777777" w:rsidR="00535AD5" w:rsidRDefault="000F4CA5">
            <w:r>
              <w:rPr>
                <w:rFonts w:ascii="Arial" w:hAnsi="Arial"/>
                <w:sz w:val="18"/>
              </w:rPr>
              <w:t>Monitoring systems, green building pilot, fleet efficiency</w:t>
            </w:r>
          </w:p>
        </w:tc>
        <w:tc>
          <w:tcPr>
            <w:tcW w:w="1806" w:type="dxa"/>
          </w:tcPr>
          <w:p w14:paraId="47E772BA" w14:textId="77777777" w:rsidR="00535AD5" w:rsidRDefault="000F4CA5">
            <w:r>
              <w:rPr>
                <w:rFonts w:ascii="Arial" w:hAnsi="Arial"/>
                <w:sz w:val="18"/>
              </w:rPr>
              <w:t>&lt;1%</w:t>
            </w:r>
          </w:p>
        </w:tc>
        <w:tc>
          <w:tcPr>
            <w:tcW w:w="1806" w:type="dxa"/>
          </w:tcPr>
          <w:p w14:paraId="15291CE5" w14:textId="77777777" w:rsidR="00535AD5" w:rsidRDefault="000F4CA5">
            <w:pPr>
              <w:jc w:val="right"/>
            </w:pPr>
            <w:r>
              <w:rPr>
                <w:rFonts w:ascii="Arial" w:hAnsi="Arial"/>
                <w:sz w:val="18"/>
              </w:rPr>
              <w:t>2060</w:t>
            </w:r>
          </w:p>
        </w:tc>
      </w:tr>
      <w:tr w:rsidR="00535AD5" w14:paraId="4B69B7B5" w14:textId="77777777">
        <w:trPr>
          <w:jc w:val="center"/>
        </w:trPr>
        <w:tc>
          <w:tcPr>
            <w:tcW w:w="1806" w:type="dxa"/>
            <w:shd w:val="clear" w:color="auto" w:fill="F2F6FC"/>
          </w:tcPr>
          <w:p w14:paraId="50AEE2D4" w14:textId="77777777" w:rsidR="00535AD5" w:rsidRDefault="000F4CA5">
            <w:r>
              <w:rPr>
                <w:rFonts w:ascii="Arial" w:hAnsi="Arial"/>
                <w:sz w:val="18"/>
              </w:rPr>
              <w:t>Bank Central Asia</w:t>
            </w:r>
          </w:p>
        </w:tc>
        <w:tc>
          <w:tcPr>
            <w:tcW w:w="1806" w:type="dxa"/>
            <w:shd w:val="clear" w:color="auto" w:fill="F2F6FC"/>
          </w:tcPr>
          <w:p w14:paraId="6040B302" w14:textId="77777777" w:rsidR="00535AD5" w:rsidRDefault="000F4CA5">
            <w:r>
              <w:rPr>
                <w:rFonts w:ascii="Arial" w:hAnsi="Arial"/>
                <w:sz w:val="18"/>
              </w:rPr>
              <w:t>N/A</w:t>
            </w:r>
          </w:p>
        </w:tc>
        <w:tc>
          <w:tcPr>
            <w:tcW w:w="1806" w:type="dxa"/>
            <w:shd w:val="clear" w:color="auto" w:fill="F2F6FC"/>
          </w:tcPr>
          <w:p w14:paraId="2D204552" w14:textId="77777777" w:rsidR="00535AD5" w:rsidRDefault="000F4CA5">
            <w:r>
              <w:rPr>
                <w:rFonts w:ascii="Arial" w:hAnsi="Arial"/>
                <w:sz w:val="18"/>
              </w:rPr>
              <w:t xml:space="preserve">Earth Hour, green office program, climate strategy, </w:t>
            </w:r>
            <w:r>
              <w:rPr>
                <w:rFonts w:ascii="Arial" w:hAnsi="Arial"/>
                <w:sz w:val="18"/>
              </w:rPr>
              <w:lastRenderedPageBreak/>
              <w:t>exclusion list</w:t>
            </w:r>
          </w:p>
        </w:tc>
        <w:tc>
          <w:tcPr>
            <w:tcW w:w="1806" w:type="dxa"/>
            <w:shd w:val="clear" w:color="auto" w:fill="F2F6FC"/>
          </w:tcPr>
          <w:p w14:paraId="4A101C5A" w14:textId="77777777" w:rsidR="00535AD5" w:rsidRDefault="000F4CA5">
            <w:r>
              <w:rPr>
                <w:rFonts w:ascii="Arial" w:hAnsi="Arial"/>
                <w:sz w:val="18"/>
              </w:rPr>
              <w:lastRenderedPageBreak/>
              <w:t>&lt;1%</w:t>
            </w:r>
          </w:p>
        </w:tc>
        <w:tc>
          <w:tcPr>
            <w:tcW w:w="1806" w:type="dxa"/>
            <w:shd w:val="clear" w:color="auto" w:fill="F2F6FC"/>
          </w:tcPr>
          <w:p w14:paraId="671C800F" w14:textId="77777777" w:rsidR="00535AD5" w:rsidRDefault="000F4CA5">
            <w:r>
              <w:rPr>
                <w:rFonts w:ascii="Arial" w:hAnsi="Arial"/>
                <w:sz w:val="18"/>
              </w:rPr>
              <w:t>NZE aligned</w:t>
            </w:r>
          </w:p>
        </w:tc>
      </w:tr>
      <w:tr w:rsidR="00535AD5" w14:paraId="2409DF2F" w14:textId="77777777">
        <w:trPr>
          <w:jc w:val="center"/>
        </w:trPr>
        <w:tc>
          <w:tcPr>
            <w:tcW w:w="1806" w:type="dxa"/>
          </w:tcPr>
          <w:p w14:paraId="31B9890D" w14:textId="77777777" w:rsidR="00535AD5" w:rsidRDefault="000F4CA5">
            <w:r>
              <w:rPr>
                <w:rFonts w:ascii="Arial" w:hAnsi="Arial"/>
                <w:sz w:val="18"/>
              </w:rPr>
              <w:t>Generic Financial Institution</w:t>
            </w:r>
          </w:p>
        </w:tc>
        <w:tc>
          <w:tcPr>
            <w:tcW w:w="1806" w:type="dxa"/>
          </w:tcPr>
          <w:p w14:paraId="35CB7996" w14:textId="77777777" w:rsidR="00535AD5" w:rsidRDefault="000F4CA5">
            <w:pPr>
              <w:jc w:val="right"/>
            </w:pPr>
            <w:r>
              <w:rPr>
                <w:rFonts w:ascii="Arial" w:hAnsi="Arial"/>
                <w:sz w:val="18"/>
              </w:rPr>
              <w:t>+0.19%</w:t>
            </w:r>
          </w:p>
        </w:tc>
        <w:tc>
          <w:tcPr>
            <w:tcW w:w="1806" w:type="dxa"/>
          </w:tcPr>
          <w:p w14:paraId="5A043C5E" w14:textId="77777777" w:rsidR="00535AD5" w:rsidRDefault="000F4CA5">
            <w:r>
              <w:rPr>
                <w:rFonts w:ascii="Arial" w:hAnsi="Arial"/>
                <w:sz w:val="18"/>
              </w:rPr>
              <w:t>No formalized program</w:t>
            </w:r>
          </w:p>
        </w:tc>
        <w:tc>
          <w:tcPr>
            <w:tcW w:w="1806" w:type="dxa"/>
          </w:tcPr>
          <w:p w14:paraId="6F8CC9EC" w14:textId="77777777" w:rsidR="00535AD5" w:rsidRDefault="000F4CA5">
            <w:pPr>
              <w:jc w:val="right"/>
            </w:pPr>
            <w:r>
              <w:rPr>
                <w:rFonts w:ascii="Arial" w:hAnsi="Arial"/>
                <w:sz w:val="18"/>
              </w:rPr>
              <w:t>0%</w:t>
            </w:r>
          </w:p>
        </w:tc>
        <w:tc>
          <w:tcPr>
            <w:tcW w:w="1806" w:type="dxa"/>
          </w:tcPr>
          <w:p w14:paraId="072B5288" w14:textId="77777777" w:rsidR="00535AD5" w:rsidRDefault="000F4CA5">
            <w:r>
              <w:rPr>
                <w:rFonts w:ascii="Arial" w:hAnsi="Arial"/>
                <w:sz w:val="18"/>
              </w:rPr>
              <w:t>Not established</w:t>
            </w:r>
          </w:p>
        </w:tc>
      </w:tr>
    </w:tbl>
    <w:p w14:paraId="29C3D542" w14:textId="77777777" w:rsidR="00535AD5" w:rsidRDefault="000F4CA5">
      <w:r>
        <w:rPr>
          <w:rFonts w:ascii="Arial" w:hAnsi="Arial"/>
          <w:i/>
          <w:sz w:val="16"/>
        </w:rPr>
        <w:t>Source: Source: Peer sustainability reports (BRI 2023, DBS 2023, Mandiri 2023, BCA 2024). Generic FI data from internal GHG inventory 2024.</w:t>
      </w:r>
    </w:p>
    <w:p w14:paraId="58D90DE1" w14:textId="77777777" w:rsidR="00535AD5" w:rsidRDefault="00535AD5"/>
    <w:p w14:paraId="19F666D4" w14:textId="77777777" w:rsidR="00535AD5" w:rsidRDefault="000F4CA5">
      <w:r>
        <w:rPr>
          <w:i/>
          <w:color w:val="3D6094"/>
          <w:sz w:val="18"/>
        </w:rPr>
        <w:t>Framework references: GRI 305-5: Reduction of GHG emissions; GRI 305-5-a: GHG emissions reduced as a direct result of reduction initiatives; GRI 305-5-b: Gases included in the calculation; GRI 305-5-c: Base year or baseline, including rationale; GRI 305-5-d: Scopes in which reductions took place; GRI 305-5-e: Standards, methodologies, assumptions, and calculation tools used; GHG Protocol Corporate Accounting and Reporting Standard (Revised Edition); GHG Protocol Scope 2 Guidance (2015); IPCC 2006 Guidelines</w:t>
      </w:r>
      <w:r>
        <w:rPr>
          <w:i/>
          <w:color w:val="3D6094"/>
          <w:sz w:val="18"/>
        </w:rPr>
        <w:t xml:space="preserve"> for National Greenhouse Gas Inventories</w:t>
      </w:r>
    </w:p>
    <w:p w14:paraId="1CD390AF" w14:textId="77777777" w:rsidR="00535AD5" w:rsidRDefault="00535AD5">
      <w:pPr>
        <w:pBdr>
          <w:bottom w:val="single" w:sz="6" w:space="1" w:color="999999"/>
        </w:pBdr>
        <w:spacing w:after="80"/>
      </w:pPr>
    </w:p>
    <w:p w14:paraId="7B624FDB" w14:textId="77777777" w:rsidR="00535AD5" w:rsidRDefault="000F4CA5">
      <w:pPr>
        <w:spacing w:after="160"/>
        <w:jc w:val="both"/>
      </w:pPr>
      <w:r>
        <w:rPr>
          <w:rFonts w:ascii="Arial" w:hAnsi="Arial"/>
          <w:i/>
          <w:color w:val="646464"/>
          <w:sz w:val="18"/>
        </w:rPr>
        <w:t>These figures have not been subject to external assurance for the current reporting period.</w:t>
      </w:r>
    </w:p>
    <w:p w14:paraId="059E6CF0" w14:textId="77777777" w:rsidR="00535AD5" w:rsidRDefault="000F4CA5">
      <w:pPr>
        <w:spacing w:after="160"/>
        <w:jc w:val="both"/>
      </w:pPr>
      <w:r>
        <w:rPr>
          <w:rFonts w:ascii="Arial" w:hAnsi="Arial"/>
          <w:i/>
          <w:color w:val="646464"/>
          <w:sz w:val="18"/>
        </w:rPr>
        <w:t>The institution has not yet implemented a formalized greenhouse gas reduction program. Observed emissions changes reflect organic operational variations rather than systematic reduction initiatives.</w:t>
      </w:r>
    </w:p>
    <w:p w14:paraId="29C5E7B7" w14:textId="77777777" w:rsidR="00535AD5" w:rsidRDefault="000F4CA5">
      <w:pPr>
        <w:spacing w:after="160"/>
        <w:jc w:val="both"/>
      </w:pPr>
      <w:r>
        <w:rPr>
          <w:rFonts w:ascii="Arial" w:hAnsi="Arial"/>
          <w:i/>
          <w:color w:val="646464"/>
          <w:sz w:val="18"/>
        </w:rPr>
        <w:t>Peer benchmark data is sourced from publicly available sustainability reports: Bank Rakyat Indonesia Sustainability Report 2023, DBS Group Sustainability Report 2023, Bank Mandiri Sustainability Report 2023, and Bank Central Asia Sustainability Report 2024.</w:t>
      </w:r>
    </w:p>
    <w:p w14:paraId="2857179F" w14:textId="77777777" w:rsidR="00535AD5" w:rsidRDefault="000F4CA5">
      <w:pPr>
        <w:spacing w:after="160"/>
        <w:jc w:val="both"/>
      </w:pPr>
      <w:r>
        <w:rPr>
          <w:rFonts w:ascii="Arial" w:hAnsi="Arial"/>
          <w:i/>
          <w:color w:val="646464"/>
          <w:sz w:val="18"/>
        </w:rPr>
        <w:t>The base year (2023) was selected as the first year of comprehensive GHG inventory implementation under operational control consolidation. No recalculations of the base year were required during the reporting period.</w:t>
      </w:r>
    </w:p>
    <w:p w14:paraId="3031F4D2" w14:textId="77777777" w:rsidR="00535AD5" w:rsidRDefault="000F4CA5">
      <w:pPr>
        <w:spacing w:after="160"/>
        <w:jc w:val="both"/>
      </w:pPr>
      <w:r>
        <w:rPr>
          <w:rFonts w:ascii="Arial" w:hAnsi="Arial"/>
          <w:i/>
          <w:color w:val="646464"/>
          <w:sz w:val="18"/>
        </w:rPr>
        <w:t>Scope 1 emissions include CO₂, CH₄, and N₂O from natural gas combustion (stationary sources) and diesel combustion (backup generators). Emission factors: Natural gas 56.1 kgCO₂e/GJ (IPCC 2006), Diesel 2.7 kgCO₂e/liter (IPCC 2006).</w:t>
      </w:r>
    </w:p>
    <w:p w14:paraId="0789EFC3" w14:textId="77777777" w:rsidR="00535AD5" w:rsidRDefault="000F4CA5">
      <w:pPr>
        <w:spacing w:after="160"/>
        <w:jc w:val="both"/>
      </w:pPr>
      <w:r>
        <w:rPr>
          <w:rFonts w:ascii="Arial" w:hAnsi="Arial"/>
          <w:i/>
          <w:color w:val="646464"/>
          <w:sz w:val="18"/>
        </w:rPr>
        <w:t>Scope 2 location-based emissions use the Indonesian electricity grid emission factor of 0.85 tCO₂e/MWh for the Java-Bali interconnected system (source: Ministry of Energy and Mineral Resources, 2024).</w:t>
      </w:r>
    </w:p>
    <w:p w14:paraId="51BFCCA7" w14:textId="77777777" w:rsidR="00535AD5" w:rsidRDefault="000F4CA5">
      <w:pPr>
        <w:spacing w:after="160"/>
        <w:jc w:val="both"/>
      </w:pPr>
      <w:r>
        <w:rPr>
          <w:rFonts w:ascii="Arial" w:hAnsi="Arial"/>
          <w:i/>
          <w:color w:val="646464"/>
          <w:sz w:val="18"/>
        </w:rPr>
        <w:t>Market-based Scope 2 emissions differ from location-based by 1.358 tCO₂e due to minimal contractual instrument usage (supplier-specific emission factors for two facilities with green tariff agreements).</w:t>
      </w:r>
    </w:p>
    <w:p w14:paraId="461B0114" w14:textId="77777777" w:rsidR="00535AD5" w:rsidRDefault="000F4CA5">
      <w:r>
        <w:br w:type="page"/>
      </w:r>
    </w:p>
    <w:p w14:paraId="15053103" w14:textId="77777777" w:rsidR="00535AD5" w:rsidRDefault="000F4CA5">
      <w:pPr>
        <w:pStyle w:val="Heading1"/>
        <w:spacing w:after="240"/>
      </w:pPr>
      <w:bookmarkStart w:id="19" w:name="_Toc231920354"/>
      <w:r>
        <w:rPr>
          <w:rFonts w:ascii="Arial" w:hAnsi="Arial"/>
          <w:color w:val="1B3A6B"/>
          <w:sz w:val="36"/>
        </w:rPr>
        <w:lastRenderedPageBreak/>
        <w:t>Appendix A: Methodology Notes</w:t>
      </w:r>
      <w:bookmarkEnd w:id="19"/>
    </w:p>
    <w:p w14:paraId="03360447" w14:textId="77777777" w:rsidR="00535AD5" w:rsidRDefault="000F4CA5">
      <w:pPr>
        <w:spacing w:after="160"/>
        <w:jc w:val="both"/>
      </w:pPr>
      <w:r>
        <w:rPr>
          <w:rFonts w:ascii="Arial" w:hAnsi="Arial"/>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14:paraId="4A4ED682" w14:textId="77777777" w:rsidR="00535AD5" w:rsidRDefault="000F4CA5">
      <w:pPr>
        <w:pStyle w:val="Heading1"/>
        <w:spacing w:after="240"/>
      </w:pPr>
      <w:bookmarkStart w:id="20" w:name="_Toc231920355"/>
      <w:r>
        <w:rPr>
          <w:rFonts w:ascii="Arial" w:hAnsi="Arial"/>
          <w:color w:val="1B3A6B"/>
          <w:sz w:val="36"/>
        </w:rPr>
        <w:t>Appendix B: Data Quality Summary</w:t>
      </w:r>
      <w:bookmarkEnd w:id="20"/>
    </w:p>
    <w:p w14:paraId="4D881457" w14:textId="77777777" w:rsidR="00535AD5" w:rsidRDefault="000F4CA5">
      <w:pPr>
        <w:spacing w:after="160"/>
        <w:jc w:val="both"/>
      </w:pPr>
      <w:r>
        <w:rPr>
          <w:rFonts w:ascii="Arial" w:hAnsi="Arial"/>
        </w:rPr>
        <w:t>Data quality is assessed per the PCAF data quality scoring framework (1-5) and the GHG Protocol data quality indicators. Portfolio-weighted PCAF score and data completeness percentage are reported in the main body.</w:t>
      </w:r>
    </w:p>
    <w:p w14:paraId="788139A6" w14:textId="77777777" w:rsidR="00535AD5" w:rsidRDefault="000F4CA5">
      <w:pPr>
        <w:pStyle w:val="Heading1"/>
        <w:spacing w:after="240"/>
      </w:pPr>
      <w:bookmarkStart w:id="21" w:name="_Toc231920356"/>
      <w:r>
        <w:rPr>
          <w:rFonts w:ascii="Arial" w:hAnsi="Arial"/>
          <w:color w:val="1B3A6B"/>
          <w:sz w:val="36"/>
        </w:rPr>
        <w:t>Appendix C: GRI Content Index</w:t>
      </w:r>
      <w:bookmarkEnd w:id="21"/>
    </w:p>
    <w:p w14:paraId="108D92AA" w14:textId="77777777" w:rsidR="00535AD5" w:rsidRDefault="000F4CA5">
      <w:r>
        <w:rPr>
          <w:rFonts w:ascii="Arial" w:hAnsi="Arial"/>
          <w:b/>
          <w:sz w:val="20"/>
        </w:rPr>
        <w:t>GRI Standards Content Index</w:t>
      </w:r>
    </w:p>
    <w:tbl>
      <w:tblPr>
        <w:tblW w:w="0" w:type="auto"/>
        <w:jc w:val="center"/>
        <w:tblLook w:val="04A0" w:firstRow="1" w:lastRow="0" w:firstColumn="1" w:lastColumn="0" w:noHBand="0" w:noVBand="1"/>
      </w:tblPr>
      <w:tblGrid>
        <w:gridCol w:w="2257"/>
        <w:gridCol w:w="2257"/>
        <w:gridCol w:w="2257"/>
        <w:gridCol w:w="2257"/>
      </w:tblGrid>
      <w:tr w:rsidR="00535AD5" w14:paraId="1209BF49" w14:textId="77777777">
        <w:trPr>
          <w:jc w:val="center"/>
        </w:trPr>
        <w:tc>
          <w:tcPr>
            <w:tcW w:w="2257" w:type="dxa"/>
            <w:shd w:val="clear" w:color="auto" w:fill="1B3A6B"/>
          </w:tcPr>
          <w:p w14:paraId="224032E4" w14:textId="77777777" w:rsidR="00535AD5" w:rsidRDefault="000F4CA5">
            <w:r>
              <w:rPr>
                <w:rFonts w:ascii="Arial" w:hAnsi="Arial"/>
                <w:b/>
                <w:color w:val="FFFFFF"/>
                <w:sz w:val="18"/>
              </w:rPr>
              <w:t>GRI Standard</w:t>
            </w:r>
          </w:p>
        </w:tc>
        <w:tc>
          <w:tcPr>
            <w:tcW w:w="2257" w:type="dxa"/>
            <w:shd w:val="clear" w:color="auto" w:fill="1B3A6B"/>
          </w:tcPr>
          <w:p w14:paraId="13ED11F9" w14:textId="77777777" w:rsidR="00535AD5" w:rsidRDefault="000F4CA5">
            <w:r>
              <w:rPr>
                <w:rFonts w:ascii="Arial" w:hAnsi="Arial"/>
                <w:b/>
                <w:color w:val="FFFFFF"/>
                <w:sz w:val="18"/>
              </w:rPr>
              <w:t>Disclosure</w:t>
            </w:r>
          </w:p>
        </w:tc>
        <w:tc>
          <w:tcPr>
            <w:tcW w:w="2257" w:type="dxa"/>
            <w:shd w:val="clear" w:color="auto" w:fill="1B3A6B"/>
          </w:tcPr>
          <w:p w14:paraId="08D73954" w14:textId="77777777" w:rsidR="00535AD5" w:rsidRDefault="000F4CA5">
            <w:r>
              <w:rPr>
                <w:rFonts w:ascii="Arial" w:hAnsi="Arial"/>
                <w:b/>
                <w:color w:val="FFFFFF"/>
                <w:sz w:val="18"/>
              </w:rPr>
              <w:t>Section Reference</w:t>
            </w:r>
          </w:p>
        </w:tc>
        <w:tc>
          <w:tcPr>
            <w:tcW w:w="2257" w:type="dxa"/>
            <w:shd w:val="clear" w:color="auto" w:fill="1B3A6B"/>
          </w:tcPr>
          <w:p w14:paraId="43BF0403" w14:textId="77777777" w:rsidR="00535AD5" w:rsidRDefault="000F4CA5">
            <w:r>
              <w:rPr>
                <w:rFonts w:ascii="Arial" w:hAnsi="Arial"/>
                <w:b/>
                <w:color w:val="FFFFFF"/>
                <w:sz w:val="18"/>
              </w:rPr>
              <w:t>Omission</w:t>
            </w:r>
          </w:p>
        </w:tc>
      </w:tr>
      <w:tr w:rsidR="00535AD5" w14:paraId="110C9967" w14:textId="77777777">
        <w:trPr>
          <w:jc w:val="center"/>
        </w:trPr>
        <w:tc>
          <w:tcPr>
            <w:tcW w:w="2257" w:type="dxa"/>
          </w:tcPr>
          <w:p w14:paraId="1AFBFEFB" w14:textId="77777777" w:rsidR="00535AD5" w:rsidRDefault="000F4CA5">
            <w:r>
              <w:rPr>
                <w:rFonts w:ascii="Arial" w:hAnsi="Arial"/>
                <w:sz w:val="18"/>
              </w:rPr>
              <w:t>GRI 2-7</w:t>
            </w:r>
          </w:p>
        </w:tc>
        <w:tc>
          <w:tcPr>
            <w:tcW w:w="2257" w:type="dxa"/>
          </w:tcPr>
          <w:p w14:paraId="5071A425" w14:textId="77777777" w:rsidR="00535AD5" w:rsidRDefault="000F4CA5">
            <w:r>
              <w:rPr>
                <w:rFonts w:ascii="Arial" w:hAnsi="Arial"/>
                <w:sz w:val="18"/>
              </w:rPr>
              <w:t>Employees</w:t>
            </w:r>
          </w:p>
        </w:tc>
        <w:tc>
          <w:tcPr>
            <w:tcW w:w="2257" w:type="dxa"/>
          </w:tcPr>
          <w:p w14:paraId="32B30BCA" w14:textId="77777777" w:rsidR="00535AD5" w:rsidRDefault="000F4CA5">
            <w:r>
              <w:rPr>
                <w:rFonts w:ascii="Arial" w:hAnsi="Arial"/>
                <w:sz w:val="18"/>
              </w:rPr>
              <w:t>Section: Social</w:t>
            </w:r>
          </w:p>
        </w:tc>
        <w:tc>
          <w:tcPr>
            <w:tcW w:w="2257" w:type="dxa"/>
          </w:tcPr>
          <w:p w14:paraId="19D810E3" w14:textId="77777777" w:rsidR="00535AD5" w:rsidRDefault="000F4CA5">
            <w:r>
              <w:rPr>
                <w:rFonts w:ascii="Arial" w:hAnsi="Arial"/>
                <w:sz w:val="18"/>
              </w:rPr>
              <w:t>None</w:t>
            </w:r>
          </w:p>
        </w:tc>
      </w:tr>
      <w:tr w:rsidR="00535AD5" w14:paraId="55AE9030" w14:textId="77777777">
        <w:trPr>
          <w:jc w:val="center"/>
        </w:trPr>
        <w:tc>
          <w:tcPr>
            <w:tcW w:w="2257" w:type="dxa"/>
            <w:shd w:val="clear" w:color="auto" w:fill="F2F6FC"/>
          </w:tcPr>
          <w:p w14:paraId="2B65BC17" w14:textId="77777777" w:rsidR="00535AD5" w:rsidRDefault="000F4CA5">
            <w:r>
              <w:rPr>
                <w:rFonts w:ascii="Arial" w:hAnsi="Arial"/>
                <w:sz w:val="18"/>
              </w:rPr>
              <w:t>GRI 305-1</w:t>
            </w:r>
          </w:p>
        </w:tc>
        <w:tc>
          <w:tcPr>
            <w:tcW w:w="2257" w:type="dxa"/>
            <w:shd w:val="clear" w:color="auto" w:fill="F2F6FC"/>
          </w:tcPr>
          <w:p w14:paraId="78ED969E" w14:textId="77777777" w:rsidR="00535AD5" w:rsidRDefault="000F4CA5">
            <w:r>
              <w:rPr>
                <w:rFonts w:ascii="Arial" w:hAnsi="Arial"/>
                <w:sz w:val="18"/>
              </w:rPr>
              <w:t>Direct (Scope 1) GHG emissions</w:t>
            </w:r>
          </w:p>
        </w:tc>
        <w:tc>
          <w:tcPr>
            <w:tcW w:w="2257" w:type="dxa"/>
            <w:shd w:val="clear" w:color="auto" w:fill="F2F6FC"/>
          </w:tcPr>
          <w:p w14:paraId="4DB82A8D" w14:textId="77777777" w:rsidR="00535AD5" w:rsidRDefault="000F4CA5">
            <w:r>
              <w:rPr>
                <w:rFonts w:ascii="Arial" w:hAnsi="Arial"/>
                <w:sz w:val="18"/>
              </w:rPr>
              <w:t>Section: Scope 1</w:t>
            </w:r>
          </w:p>
        </w:tc>
        <w:tc>
          <w:tcPr>
            <w:tcW w:w="2257" w:type="dxa"/>
            <w:shd w:val="clear" w:color="auto" w:fill="F2F6FC"/>
          </w:tcPr>
          <w:p w14:paraId="2D454681" w14:textId="77777777" w:rsidR="00535AD5" w:rsidRDefault="000F4CA5">
            <w:r>
              <w:rPr>
                <w:rFonts w:ascii="Arial" w:hAnsi="Arial"/>
                <w:sz w:val="18"/>
              </w:rPr>
              <w:t>None</w:t>
            </w:r>
          </w:p>
        </w:tc>
      </w:tr>
      <w:tr w:rsidR="00535AD5" w14:paraId="66B99245" w14:textId="77777777">
        <w:trPr>
          <w:jc w:val="center"/>
        </w:trPr>
        <w:tc>
          <w:tcPr>
            <w:tcW w:w="2257" w:type="dxa"/>
          </w:tcPr>
          <w:p w14:paraId="24DE6CA9" w14:textId="77777777" w:rsidR="00535AD5" w:rsidRDefault="000F4CA5">
            <w:r>
              <w:rPr>
                <w:rFonts w:ascii="Arial" w:hAnsi="Arial"/>
                <w:sz w:val="18"/>
              </w:rPr>
              <w:t>GRI 305-2</w:t>
            </w:r>
          </w:p>
        </w:tc>
        <w:tc>
          <w:tcPr>
            <w:tcW w:w="2257" w:type="dxa"/>
          </w:tcPr>
          <w:p w14:paraId="03FB6677" w14:textId="77777777" w:rsidR="00535AD5" w:rsidRDefault="000F4CA5">
            <w:r>
              <w:rPr>
                <w:rFonts w:ascii="Arial" w:hAnsi="Arial"/>
                <w:sz w:val="18"/>
              </w:rPr>
              <w:t>Energy indirect (Scope 2) GHG emissions</w:t>
            </w:r>
          </w:p>
        </w:tc>
        <w:tc>
          <w:tcPr>
            <w:tcW w:w="2257" w:type="dxa"/>
          </w:tcPr>
          <w:p w14:paraId="5E969941" w14:textId="77777777" w:rsidR="00535AD5" w:rsidRDefault="000F4CA5">
            <w:r>
              <w:rPr>
                <w:rFonts w:ascii="Arial" w:hAnsi="Arial"/>
                <w:sz w:val="18"/>
              </w:rPr>
              <w:t>Section: Scope 2</w:t>
            </w:r>
          </w:p>
        </w:tc>
        <w:tc>
          <w:tcPr>
            <w:tcW w:w="2257" w:type="dxa"/>
          </w:tcPr>
          <w:p w14:paraId="52822B07" w14:textId="77777777" w:rsidR="00535AD5" w:rsidRDefault="000F4CA5">
            <w:r>
              <w:rPr>
                <w:rFonts w:ascii="Arial" w:hAnsi="Arial"/>
                <w:sz w:val="18"/>
              </w:rPr>
              <w:t>None</w:t>
            </w:r>
          </w:p>
        </w:tc>
      </w:tr>
      <w:tr w:rsidR="00535AD5" w14:paraId="52AAA666" w14:textId="77777777">
        <w:trPr>
          <w:jc w:val="center"/>
        </w:trPr>
        <w:tc>
          <w:tcPr>
            <w:tcW w:w="2257" w:type="dxa"/>
            <w:shd w:val="clear" w:color="auto" w:fill="F2F6FC"/>
          </w:tcPr>
          <w:p w14:paraId="782D3C07" w14:textId="77777777" w:rsidR="00535AD5" w:rsidRDefault="000F4CA5">
            <w:r>
              <w:rPr>
                <w:rFonts w:ascii="Arial" w:hAnsi="Arial"/>
                <w:sz w:val="18"/>
              </w:rPr>
              <w:t>GRI 305-3</w:t>
            </w:r>
          </w:p>
        </w:tc>
        <w:tc>
          <w:tcPr>
            <w:tcW w:w="2257" w:type="dxa"/>
            <w:shd w:val="clear" w:color="auto" w:fill="F2F6FC"/>
          </w:tcPr>
          <w:p w14:paraId="7A64C603" w14:textId="77777777" w:rsidR="00535AD5" w:rsidRDefault="000F4CA5">
            <w:r>
              <w:rPr>
                <w:rFonts w:ascii="Arial" w:hAnsi="Arial"/>
                <w:sz w:val="18"/>
              </w:rPr>
              <w:t>Other indirect (Scope 3) GHG emissions</w:t>
            </w:r>
          </w:p>
        </w:tc>
        <w:tc>
          <w:tcPr>
            <w:tcW w:w="2257" w:type="dxa"/>
            <w:shd w:val="clear" w:color="auto" w:fill="F2F6FC"/>
          </w:tcPr>
          <w:p w14:paraId="070D4978" w14:textId="77777777" w:rsidR="00535AD5" w:rsidRDefault="000F4CA5">
            <w:r>
              <w:rPr>
                <w:rFonts w:ascii="Arial" w:hAnsi="Arial"/>
                <w:sz w:val="18"/>
              </w:rPr>
              <w:t>Section: PCAF</w:t>
            </w:r>
          </w:p>
        </w:tc>
        <w:tc>
          <w:tcPr>
            <w:tcW w:w="2257" w:type="dxa"/>
            <w:shd w:val="clear" w:color="auto" w:fill="F2F6FC"/>
          </w:tcPr>
          <w:p w14:paraId="23C8351F" w14:textId="77777777" w:rsidR="00535AD5" w:rsidRDefault="000F4CA5">
            <w:r>
              <w:rPr>
                <w:rFonts w:ascii="Arial" w:hAnsi="Arial"/>
                <w:sz w:val="18"/>
              </w:rPr>
              <w:t>None</w:t>
            </w:r>
          </w:p>
        </w:tc>
      </w:tr>
      <w:tr w:rsidR="00535AD5" w14:paraId="51B81419" w14:textId="77777777">
        <w:trPr>
          <w:jc w:val="center"/>
        </w:trPr>
        <w:tc>
          <w:tcPr>
            <w:tcW w:w="2257" w:type="dxa"/>
          </w:tcPr>
          <w:p w14:paraId="77BE8379" w14:textId="77777777" w:rsidR="00535AD5" w:rsidRDefault="000F4CA5">
            <w:r>
              <w:rPr>
                <w:rFonts w:ascii="Arial" w:hAnsi="Arial"/>
                <w:sz w:val="18"/>
              </w:rPr>
              <w:t>GRI 305-4</w:t>
            </w:r>
          </w:p>
        </w:tc>
        <w:tc>
          <w:tcPr>
            <w:tcW w:w="2257" w:type="dxa"/>
          </w:tcPr>
          <w:p w14:paraId="62C6B2CA" w14:textId="77777777" w:rsidR="00535AD5" w:rsidRDefault="000F4CA5">
            <w:r>
              <w:rPr>
                <w:rFonts w:ascii="Arial" w:hAnsi="Arial"/>
                <w:sz w:val="18"/>
              </w:rPr>
              <w:t>GHG emissions intensity</w:t>
            </w:r>
          </w:p>
        </w:tc>
        <w:tc>
          <w:tcPr>
            <w:tcW w:w="2257" w:type="dxa"/>
          </w:tcPr>
          <w:p w14:paraId="7BC5D6B5" w14:textId="77777777" w:rsidR="00535AD5" w:rsidRDefault="000F4CA5">
            <w:r>
              <w:rPr>
                <w:rFonts w:ascii="Arial" w:hAnsi="Arial"/>
                <w:sz w:val="18"/>
              </w:rPr>
              <w:t>Section: Intensity</w:t>
            </w:r>
          </w:p>
        </w:tc>
        <w:tc>
          <w:tcPr>
            <w:tcW w:w="2257" w:type="dxa"/>
          </w:tcPr>
          <w:p w14:paraId="6FCACA19" w14:textId="77777777" w:rsidR="00535AD5" w:rsidRDefault="000F4CA5">
            <w:r>
              <w:rPr>
                <w:rFonts w:ascii="Arial" w:hAnsi="Arial"/>
                <w:sz w:val="18"/>
              </w:rPr>
              <w:t>None</w:t>
            </w:r>
          </w:p>
        </w:tc>
      </w:tr>
      <w:tr w:rsidR="00535AD5" w14:paraId="2635396D" w14:textId="77777777">
        <w:trPr>
          <w:jc w:val="center"/>
        </w:trPr>
        <w:tc>
          <w:tcPr>
            <w:tcW w:w="2257" w:type="dxa"/>
            <w:shd w:val="clear" w:color="auto" w:fill="F2F6FC"/>
          </w:tcPr>
          <w:p w14:paraId="1DE7D608" w14:textId="77777777" w:rsidR="00535AD5" w:rsidRDefault="000F4CA5">
            <w:r>
              <w:rPr>
                <w:rFonts w:ascii="Arial" w:hAnsi="Arial"/>
                <w:sz w:val="18"/>
              </w:rPr>
              <w:t>GRI 305-5</w:t>
            </w:r>
          </w:p>
        </w:tc>
        <w:tc>
          <w:tcPr>
            <w:tcW w:w="2257" w:type="dxa"/>
            <w:shd w:val="clear" w:color="auto" w:fill="F2F6FC"/>
          </w:tcPr>
          <w:p w14:paraId="620AA74D" w14:textId="77777777" w:rsidR="00535AD5" w:rsidRDefault="000F4CA5">
            <w:r>
              <w:rPr>
                <w:rFonts w:ascii="Arial" w:hAnsi="Arial"/>
                <w:sz w:val="18"/>
              </w:rPr>
              <w:t>Reduction of GHG emissions</w:t>
            </w:r>
          </w:p>
        </w:tc>
        <w:tc>
          <w:tcPr>
            <w:tcW w:w="2257" w:type="dxa"/>
            <w:shd w:val="clear" w:color="auto" w:fill="F2F6FC"/>
          </w:tcPr>
          <w:p w14:paraId="4DC1303B" w14:textId="77777777" w:rsidR="00535AD5" w:rsidRDefault="000F4CA5">
            <w:r>
              <w:rPr>
                <w:rFonts w:ascii="Arial" w:hAnsi="Arial"/>
                <w:sz w:val="18"/>
              </w:rPr>
              <w:t>Section: Reduction</w:t>
            </w:r>
          </w:p>
        </w:tc>
        <w:tc>
          <w:tcPr>
            <w:tcW w:w="2257" w:type="dxa"/>
            <w:shd w:val="clear" w:color="auto" w:fill="F2F6FC"/>
          </w:tcPr>
          <w:p w14:paraId="0764198F" w14:textId="77777777" w:rsidR="00535AD5" w:rsidRDefault="000F4CA5">
            <w:r>
              <w:rPr>
                <w:rFonts w:ascii="Arial" w:hAnsi="Arial"/>
                <w:sz w:val="18"/>
              </w:rPr>
              <w:t>Partial — targets in development</w:t>
            </w:r>
          </w:p>
        </w:tc>
      </w:tr>
      <w:tr w:rsidR="00535AD5" w14:paraId="4BA7D82C" w14:textId="77777777">
        <w:trPr>
          <w:jc w:val="center"/>
        </w:trPr>
        <w:tc>
          <w:tcPr>
            <w:tcW w:w="2257" w:type="dxa"/>
          </w:tcPr>
          <w:p w14:paraId="62E8C018" w14:textId="77777777" w:rsidR="00535AD5" w:rsidRDefault="000F4CA5">
            <w:r>
              <w:rPr>
                <w:rFonts w:ascii="Arial" w:hAnsi="Arial"/>
                <w:sz w:val="18"/>
              </w:rPr>
              <w:t>GRI 401-1</w:t>
            </w:r>
          </w:p>
        </w:tc>
        <w:tc>
          <w:tcPr>
            <w:tcW w:w="2257" w:type="dxa"/>
          </w:tcPr>
          <w:p w14:paraId="161E4D16" w14:textId="77777777" w:rsidR="00535AD5" w:rsidRDefault="000F4CA5">
            <w:r>
              <w:rPr>
                <w:rFonts w:ascii="Arial" w:hAnsi="Arial"/>
                <w:sz w:val="18"/>
              </w:rPr>
              <w:t>New employee hires and employee turnover</w:t>
            </w:r>
          </w:p>
        </w:tc>
        <w:tc>
          <w:tcPr>
            <w:tcW w:w="2257" w:type="dxa"/>
          </w:tcPr>
          <w:p w14:paraId="237FFBD7" w14:textId="77777777" w:rsidR="00535AD5" w:rsidRDefault="000F4CA5">
            <w:r>
              <w:rPr>
                <w:rFonts w:ascii="Arial" w:hAnsi="Arial"/>
                <w:sz w:val="18"/>
              </w:rPr>
              <w:t>Section: Social</w:t>
            </w:r>
          </w:p>
        </w:tc>
        <w:tc>
          <w:tcPr>
            <w:tcW w:w="2257" w:type="dxa"/>
          </w:tcPr>
          <w:p w14:paraId="7FED3F71" w14:textId="77777777" w:rsidR="00535AD5" w:rsidRDefault="000F4CA5">
            <w:r>
              <w:rPr>
                <w:rFonts w:ascii="Arial" w:hAnsi="Arial"/>
                <w:sz w:val="18"/>
              </w:rPr>
              <w:t>None</w:t>
            </w:r>
          </w:p>
        </w:tc>
      </w:tr>
      <w:tr w:rsidR="00535AD5" w14:paraId="75D777BD" w14:textId="77777777">
        <w:trPr>
          <w:jc w:val="center"/>
        </w:trPr>
        <w:tc>
          <w:tcPr>
            <w:tcW w:w="2257" w:type="dxa"/>
            <w:shd w:val="clear" w:color="auto" w:fill="F2F6FC"/>
          </w:tcPr>
          <w:p w14:paraId="011CEF39" w14:textId="77777777" w:rsidR="00535AD5" w:rsidRDefault="000F4CA5">
            <w:r>
              <w:rPr>
                <w:rFonts w:ascii="Arial" w:hAnsi="Arial"/>
                <w:sz w:val="18"/>
              </w:rPr>
              <w:t>GRI 404-1</w:t>
            </w:r>
          </w:p>
        </w:tc>
        <w:tc>
          <w:tcPr>
            <w:tcW w:w="2257" w:type="dxa"/>
            <w:shd w:val="clear" w:color="auto" w:fill="F2F6FC"/>
          </w:tcPr>
          <w:p w14:paraId="4E120C03" w14:textId="77777777" w:rsidR="00535AD5" w:rsidRDefault="000F4CA5">
            <w:r>
              <w:rPr>
                <w:rFonts w:ascii="Arial" w:hAnsi="Arial"/>
                <w:sz w:val="18"/>
              </w:rPr>
              <w:t>Average hours of training per year per employee</w:t>
            </w:r>
          </w:p>
        </w:tc>
        <w:tc>
          <w:tcPr>
            <w:tcW w:w="2257" w:type="dxa"/>
            <w:shd w:val="clear" w:color="auto" w:fill="F2F6FC"/>
          </w:tcPr>
          <w:p w14:paraId="2563B2AC" w14:textId="77777777" w:rsidR="00535AD5" w:rsidRDefault="000F4CA5">
            <w:r>
              <w:rPr>
                <w:rFonts w:ascii="Arial" w:hAnsi="Arial"/>
                <w:sz w:val="18"/>
              </w:rPr>
              <w:t>Section: Social</w:t>
            </w:r>
          </w:p>
        </w:tc>
        <w:tc>
          <w:tcPr>
            <w:tcW w:w="2257" w:type="dxa"/>
            <w:shd w:val="clear" w:color="auto" w:fill="F2F6FC"/>
          </w:tcPr>
          <w:p w14:paraId="7CCA3EC8" w14:textId="77777777" w:rsidR="00535AD5" w:rsidRDefault="000F4CA5">
            <w:r>
              <w:rPr>
                <w:rFonts w:ascii="Arial" w:hAnsi="Arial"/>
                <w:sz w:val="18"/>
              </w:rPr>
              <w:t>None</w:t>
            </w:r>
          </w:p>
        </w:tc>
      </w:tr>
      <w:tr w:rsidR="00535AD5" w14:paraId="71ED3282" w14:textId="77777777">
        <w:trPr>
          <w:jc w:val="center"/>
        </w:trPr>
        <w:tc>
          <w:tcPr>
            <w:tcW w:w="2257" w:type="dxa"/>
          </w:tcPr>
          <w:p w14:paraId="66197BE1" w14:textId="77777777" w:rsidR="00535AD5" w:rsidRDefault="000F4CA5">
            <w:r>
              <w:rPr>
                <w:rFonts w:ascii="Arial" w:hAnsi="Arial"/>
                <w:sz w:val="18"/>
              </w:rPr>
              <w:t>GRI 405-1</w:t>
            </w:r>
          </w:p>
        </w:tc>
        <w:tc>
          <w:tcPr>
            <w:tcW w:w="2257" w:type="dxa"/>
          </w:tcPr>
          <w:p w14:paraId="7AB24811" w14:textId="77777777" w:rsidR="00535AD5" w:rsidRDefault="000F4CA5">
            <w:r>
              <w:rPr>
                <w:rFonts w:ascii="Arial" w:hAnsi="Arial"/>
                <w:sz w:val="18"/>
              </w:rPr>
              <w:t>Diversity of governance bodies and employees</w:t>
            </w:r>
          </w:p>
        </w:tc>
        <w:tc>
          <w:tcPr>
            <w:tcW w:w="2257" w:type="dxa"/>
          </w:tcPr>
          <w:p w14:paraId="2483B282" w14:textId="77777777" w:rsidR="00535AD5" w:rsidRDefault="000F4CA5">
            <w:r>
              <w:rPr>
                <w:rFonts w:ascii="Arial" w:hAnsi="Arial"/>
                <w:sz w:val="18"/>
              </w:rPr>
              <w:t>Section: Social</w:t>
            </w:r>
          </w:p>
        </w:tc>
        <w:tc>
          <w:tcPr>
            <w:tcW w:w="2257" w:type="dxa"/>
          </w:tcPr>
          <w:p w14:paraId="6B63E24A" w14:textId="77777777" w:rsidR="00535AD5" w:rsidRDefault="000F4CA5">
            <w:r>
              <w:rPr>
                <w:rFonts w:ascii="Arial" w:hAnsi="Arial"/>
                <w:sz w:val="18"/>
              </w:rPr>
              <w:t>None</w:t>
            </w:r>
          </w:p>
        </w:tc>
      </w:tr>
      <w:tr w:rsidR="00535AD5" w14:paraId="6917849C" w14:textId="77777777">
        <w:trPr>
          <w:jc w:val="center"/>
        </w:trPr>
        <w:tc>
          <w:tcPr>
            <w:tcW w:w="2257" w:type="dxa"/>
            <w:shd w:val="clear" w:color="auto" w:fill="F2F6FC"/>
          </w:tcPr>
          <w:p w14:paraId="33B7885C" w14:textId="77777777" w:rsidR="00535AD5" w:rsidRDefault="000F4CA5">
            <w:r>
              <w:rPr>
                <w:rFonts w:ascii="Arial" w:hAnsi="Arial"/>
                <w:sz w:val="18"/>
              </w:rPr>
              <w:t>GRI 406-1</w:t>
            </w:r>
          </w:p>
        </w:tc>
        <w:tc>
          <w:tcPr>
            <w:tcW w:w="2257" w:type="dxa"/>
            <w:shd w:val="clear" w:color="auto" w:fill="F2F6FC"/>
          </w:tcPr>
          <w:p w14:paraId="22F6F0E3" w14:textId="77777777" w:rsidR="00535AD5" w:rsidRDefault="000F4CA5">
            <w:r>
              <w:rPr>
                <w:rFonts w:ascii="Arial" w:hAnsi="Arial"/>
                <w:sz w:val="18"/>
              </w:rPr>
              <w:t>Incidents of discrimination and corrective actions</w:t>
            </w:r>
          </w:p>
        </w:tc>
        <w:tc>
          <w:tcPr>
            <w:tcW w:w="2257" w:type="dxa"/>
            <w:shd w:val="clear" w:color="auto" w:fill="F2F6FC"/>
          </w:tcPr>
          <w:p w14:paraId="76840888" w14:textId="77777777" w:rsidR="00535AD5" w:rsidRDefault="000F4CA5">
            <w:r>
              <w:rPr>
                <w:rFonts w:ascii="Arial" w:hAnsi="Arial"/>
                <w:sz w:val="18"/>
              </w:rPr>
              <w:t>Section: Social</w:t>
            </w:r>
          </w:p>
        </w:tc>
        <w:tc>
          <w:tcPr>
            <w:tcW w:w="2257" w:type="dxa"/>
            <w:shd w:val="clear" w:color="auto" w:fill="F2F6FC"/>
          </w:tcPr>
          <w:p w14:paraId="424841F7" w14:textId="77777777" w:rsidR="00535AD5" w:rsidRDefault="000F4CA5">
            <w:r>
              <w:rPr>
                <w:rFonts w:ascii="Arial" w:hAnsi="Arial"/>
                <w:sz w:val="18"/>
              </w:rPr>
              <w:t>None</w:t>
            </w:r>
          </w:p>
        </w:tc>
      </w:tr>
    </w:tbl>
    <w:p w14:paraId="46473362" w14:textId="77777777" w:rsidR="00535AD5" w:rsidRDefault="000F4CA5">
      <w:r>
        <w:rPr>
          <w:rFonts w:ascii="Arial" w:hAnsi="Arial"/>
          <w:i/>
          <w:sz w:val="16"/>
        </w:rPr>
        <w:t>Source: GRI Standards 2021</w:t>
      </w:r>
    </w:p>
    <w:p w14:paraId="348B00DB" w14:textId="77777777" w:rsidR="00535AD5" w:rsidRDefault="00535AD5"/>
    <w:sectPr w:rsidR="00535AD5" w:rsidSect="00034616">
      <w:headerReference w:type="default" r:id="rId8"/>
      <w:footerReference w:type="default" r:id="rId9"/>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92F16" w14:textId="77777777" w:rsidR="000F4CA5" w:rsidRDefault="000F4CA5">
      <w:pPr>
        <w:spacing w:after="0" w:line="240" w:lineRule="auto"/>
      </w:pPr>
      <w:r>
        <w:separator/>
      </w:r>
    </w:p>
  </w:endnote>
  <w:endnote w:type="continuationSeparator" w:id="0">
    <w:p w14:paraId="0915F2BE" w14:textId="77777777" w:rsidR="000F4CA5" w:rsidRDefault="000F4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59C4" w14:textId="0377B9FD" w:rsidR="00535AD5" w:rsidRDefault="000F4CA5">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A047FA">
      <w:rPr>
        <w:color w:val="808080"/>
        <w:sz w:val="18"/>
      </w:rPr>
      <w:fldChar w:fldCharType="separate"/>
    </w:r>
    <w:r w:rsidR="00A047FA">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A047FA">
      <w:rPr>
        <w:color w:val="808080"/>
        <w:sz w:val="18"/>
      </w:rPr>
      <w:fldChar w:fldCharType="separate"/>
    </w:r>
    <w:r w:rsidR="00A047FA">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1F225" w14:textId="77777777" w:rsidR="000F4CA5" w:rsidRDefault="000F4CA5">
      <w:pPr>
        <w:spacing w:after="0" w:line="240" w:lineRule="auto"/>
      </w:pPr>
      <w:r>
        <w:separator/>
      </w:r>
    </w:p>
  </w:footnote>
  <w:footnote w:type="continuationSeparator" w:id="0">
    <w:p w14:paraId="1C629638" w14:textId="77777777" w:rsidR="000F4CA5" w:rsidRDefault="000F4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5B56" w14:textId="77777777" w:rsidR="00535AD5" w:rsidRDefault="000F4CA5">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145061">
    <w:abstractNumId w:val="8"/>
  </w:num>
  <w:num w:numId="2" w16cid:durableId="1081097158">
    <w:abstractNumId w:val="6"/>
  </w:num>
  <w:num w:numId="3" w16cid:durableId="2051222188">
    <w:abstractNumId w:val="5"/>
  </w:num>
  <w:num w:numId="4" w16cid:durableId="479856112">
    <w:abstractNumId w:val="4"/>
  </w:num>
  <w:num w:numId="5" w16cid:durableId="372727254">
    <w:abstractNumId w:val="7"/>
  </w:num>
  <w:num w:numId="6" w16cid:durableId="576987594">
    <w:abstractNumId w:val="3"/>
  </w:num>
  <w:num w:numId="7" w16cid:durableId="1298605793">
    <w:abstractNumId w:val="2"/>
  </w:num>
  <w:num w:numId="8" w16cid:durableId="1924759232">
    <w:abstractNumId w:val="1"/>
  </w:num>
  <w:num w:numId="9" w16cid:durableId="1420520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CA5"/>
    <w:rsid w:val="0015074B"/>
    <w:rsid w:val="0029639D"/>
    <w:rsid w:val="00326F90"/>
    <w:rsid w:val="00535AD5"/>
    <w:rsid w:val="0078639F"/>
    <w:rsid w:val="00A047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F464BB-4FB9-4856-8D66-EEA60DAA5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047FA"/>
    <w:pPr>
      <w:spacing w:after="100"/>
    </w:pPr>
  </w:style>
  <w:style w:type="paragraph" w:styleId="TOC2">
    <w:name w:val="toc 2"/>
    <w:basedOn w:val="Normal"/>
    <w:next w:val="Normal"/>
    <w:autoRedefine/>
    <w:uiPriority w:val="39"/>
    <w:unhideWhenUsed/>
    <w:rsid w:val="00A047FA"/>
    <w:pPr>
      <w:spacing w:after="100"/>
      <w:ind w:left="220"/>
    </w:pPr>
  </w:style>
  <w:style w:type="character" w:styleId="Hyperlink">
    <w:name w:val="Hyperlink"/>
    <w:basedOn w:val="DefaultParagraphFont"/>
    <w:uiPriority w:val="99"/>
    <w:unhideWhenUsed/>
    <w:rsid w:val="00A047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22113</Words>
  <Characters>126050</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arn:aws:states:us-east-1:061039769766:execution:ESGReportGenerationStateMachine:3a620075-efc2-4774-9f16-b22ecbe6a869</dc:description>
  <cp:lastModifiedBy>Raditya Rahardyansyah Rifat</cp:lastModifiedBy>
  <cp:revision>2</cp:revision>
  <dcterms:created xsi:type="dcterms:W3CDTF">2013-12-23T23:15:00Z</dcterms:created>
  <dcterms:modified xsi:type="dcterms:W3CDTF">2026-06-09T10:58:00Z</dcterms:modified>
  <cp:category>ESG Sustainability Report</cp:category>
</cp:coreProperties>
</file>