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2026-06-10 02:16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jc w:val="both"/>
      </w:pPr>
      <w:r>
        <w:rPr>
          <w:rFonts w:ascii="Arial" w:hAnsi="Arial"/>
          <w:sz w:val="22"/>
        </w:rPr>
        <w:t>The institution's gross direct (Scope 1) GHG emissions for the reporting period totaled 3402.997 metric tons of CO₂ equivalent (tCO₂e). These emissions arise from stationary combustion sources under the organization's operational control, specifically natural gas consumption in building heating systems and diesel fuel combustion in backup generators and emergency power systems. The institution applies operational control as the consolidation approach, consistent with the GHG Protocol Corporate Accounting and Reporting Standard (2015 revision).</w:t>
      </w:r>
    </w:p>
    <w:p>
      <w:pPr>
        <w:spacing w:after="160" w:line="276" w:lineRule="auto"/>
        <w:jc w:val="both"/>
      </w:pPr>
      <w:r>
        <w:rPr>
          <w:rFonts w:ascii="Arial" w:hAnsi="Arial"/>
          <w:sz w:val="22"/>
        </w:rPr>
        <w:t>The emission sources comprise two primary fuel types: natural gas combustion contributed 1199.7924 tCO₂e (35.3% of total Scope 1), while diesel combustion accounted for 2203.2044 tCO₂e (64.7% of total Scope 1). The higher proportion of diesel-related emissions reflects the institution's reliance on backup power generation across branch networks and data centers, particularly in regions with grid reliability constraints. Natural gas consumption is concentrated in head office facilities and regional hubs equipped with centralized HVAC systems.</w:t>
      </w:r>
    </w:p>
    <w:p>
      <w:pPr>
        <w:spacing w:after="160" w:line="276" w:lineRule="auto"/>
        <w:jc w:val="both"/>
      </w:pPr>
      <w:r>
        <w:rPr>
          <w:rFonts w:ascii="Arial" w:hAnsi="Arial"/>
          <w:i/>
          <w:sz w:val="22"/>
        </w:rPr>
        <w:t>Emission calculations incorporate CO₂, CH₄, and N₂O gases using emission factors sourced from Indonesia's Ministry of Energy and Mineral Resources (MEMR) Technical Guidelines for GHG Inventory in Energy Sector (2022 edition). Global warming potential (GWP) values are derived from the Intergovernmental Panel on Climate Change (IPCC) Sixth Assessment Report (AR6), applying a 100-year time horizon: CO₂ = 1, CH₄ = 29.8, and N₂O = 273.0. The institution does not generate material biogenic CO₂ emissions from biomass combustion during the reporting period. Emission factors applied are: natural gas 56.1 kgCO₂e/GJ (including combustion CH₄ and N₂O), and diesel 74.1 kgCO₂e/liter (including combustion CH₄ and N₂O).</w:t>
      </w:r>
    </w:p>
    <w:p>
      <w:pPr>
        <w:spacing w:after="160" w:line="276" w:lineRule="auto"/>
        <w:jc w:val="both"/>
      </w:pPr>
      <w:r>
        <w:rPr>
          <w:rFonts w:ascii="Arial" w:hAnsi="Arial"/>
          <w:sz w:val="22"/>
        </w:rPr>
        <w:t>Compared to the prior reporting period (2023), Scope 1 emissions increased by 2.36%, rising from 3324.521 tCO₂e to 3402.997 tCO₂e. This increase of 78.476 tCO₂e is attributable to two factors: (1) diesel consumption increased by 3.66% due to higher frequency of grid outages in Q2 and Q3 2024, requiring extended backup generator operation, and (2) natural gas consumption increased marginally by 0.06% despite energy efficiency initiatives, reflecting the addition of two new regional offices with gas-fired HVAC systems in Q4 2024. The institution has established 2023 as the base year for emissions tracking, with no structural changes requiring base year recalculation during the current reporting period.</w:t>
      </w:r>
    </w:p>
    <w:p>
      <w:pPr>
        <w:spacing w:after="160" w:line="276" w:lineRule="auto"/>
        <w:jc w:val="both"/>
      </w:pPr>
      <w:r>
        <w:rPr>
          <w:rFonts w:ascii="Arial" w:hAnsi="Arial"/>
          <w:i/>
          <w:sz w:val="22"/>
        </w:rPr>
        <w:t>Data quality for Scope 1 emissions is classified as high-confidence (Score 1 on a 1-4 scale, where 1 represents primary metered data). All fuel consumption data is derived from supplier invoices and facility-level metering systems, with monthly reconciliation against financial procurement records. No estimation or extrapolation methodologies were applied for the reporting period. The institution maintains a centralized energy management system (EMS) that captures real-time consumption data from 10 major facilities representing 87% of total Scope 1 emissions, with remaining facilities reporting monthly via standardized templates.</w:t>
      </w:r>
    </w:p>
    <w:p>
      <w:pPr>
        <w:spacing w:after="160" w:line="276" w:lineRule="auto"/>
        <w:jc w:val="both"/>
      </w:pPr>
      <w:r>
        <w:rPr>
          <w:rFonts w:ascii="Arial" w:hAnsi="Arial"/>
          <w:i/>
          <w:color w:val="555555"/>
          <w:sz w:val="22"/>
        </w:rPr>
        <w:t>**Advisory Recommendations:**</w:t>
        <w:br/>
        <w:br/>
        <w:t>**Recommendation 1 — Diesel Backup Generator Optimization**</w:t>
        <w:br/>
        <w:t>- **Finding**: Diesel combustion accounts for 64.7% of Scope 1 emissions (2203.2044 tCO₂e), with a 3.66% YoY increase driven by grid outage response.</w:t>
        <w:br/>
        <w:t>- **Benchmark**: DBS Group achieved 12% YoY reduction in total operational emissions through renewable energy procurement and energy efficiency measures. BRI implemented auto-shutdown systems and LED retrofits, achieving 19.49% electricity savings at BRILiaN Tower (GBCI Gold certified).</w:t>
        <w:br/>
        <w:t>- **Recommendation**: Deploy hybrid battery-diesel backup systems at the 10 highest-consumption facilities (representing 87% of Scope 1 emissions per data quality note). Target 30% reduction in diesel runtime by 2026 through battery buffering during short-duration outages (&lt;2 hours). Implement predictive maintenance schedules to optimize generator efficiency and reduce fuel consumption per kWh generated.</w:t>
        <w:br/>
        <w:t>- **Reference**: BRI's green building certification program (BRILiaN Tower) demonstrates feasibility of significant energy savings through infrastructure upgrades in Indonesian banking context.</w:t>
        <w:br/>
        <w:t>- **Priority**: High — diesel emissions are increasing counter to sector decarbonization trends, and represent controllable operational expenditure.</w:t>
        <w:br/>
        <w:br/>
        <w:t>**Recommendation 2 — Natural Gas Efficiency and Fuel Switching Pathway**</w:t>
        <w:br/>
        <w:t>- **Finding**: Natural gas combustion contributes 1199.7924 tCO₂e (35.3% of Scope 1), with minimal YoY change (+0.06%) despite efficiency initiatives.</w:t>
        <w:br/>
        <w:t>- **Benchmark**: DBS Group has committed to Net Zero by 2050 with interim targets, while BRI is the first Indonesian FI to submit SBTi commitment letter targeting 2050 carbon neutrality. OCBC Indonesia has implemented green office programs with measurable intensity reductions.</w:t>
        <w:br/>
        <w:t>- **Recommendation**: Conduct energy audits at the two new regional offices added in Q4 2024 to establish efficiency baselines before operational patterns solidify. Evaluate heat pump technology for HVAC replacement at facilities with natural gas boilers, targeting 40% reduction in gas consumption by 2027. Develop a fuel-switching roadmap aligned with Indonesia's renewable energy grid expansion, prioritizing facilities in regions with planned grid renewable capacity additions.</w:t>
        <w:br/>
        <w:t>- **Reference**: BCA's green office program and DBS's 62% renewable energy achievement (RE100 commitment) provide models for systematic efficiency improvements and renewable transition.</w:t>
        <w:br/>
        <w:t>- **Priority**: Medium — natural gas emissions are stable but represent long-term decarbonization challenge requiring infrastructure planning.</w:t>
        <w:br/>
        <w:br/>
        <w:t>**Recommendation 3 — Scope 1 Reduction Target Setting**</w:t>
        <w:br/>
        <w:t>- **Finding**: The institution has established 2023 as base year but has not disclosed absolute or intensity-based Scope 1 reduction targets. Current trajectory shows 2.36% YoY increase.</w:t>
        <w:br/>
        <w:t>- **Benchmark**: BRI (SBTi commitment, 2050 target), BCA (NZE aligned), DBS (2050 Net Zero), and Bank Mandiri (2060 target) have all established long-term decarbonization commitments with interim milestones.</w:t>
        <w:br/>
        <w:t>- **Recommendation**: Establish a science-based Scope 1 reduction target of 25% absolute reduction by 2030 (vs 2023 base year), aligned with SBTi 1.5°C pathway for financial institutions. Set interim milestone of 10% reduction by 2027 to drive near-term action. Integrate Scope 1 performance into facility management KPIs and executive compensation metrics to ensure accountability.</w:t>
        <w:br/>
        <w:t>- **Reference**: BRI's SBTi submission demonstrates first-mover leadership in Indonesian banking sector and provides validation pathway for target credibility.</w:t>
        <w:br/>
        <w:t>- **Priority**: High — absence of formal targets limits strategic planning and stakeholder confidence in decarbonization commitment.</w:t>
      </w:r>
    </w:p>
    <w:p>
      <w:r>
        <w:rPr>
          <w:rFonts w:ascii="Arial" w:hAnsi="Arial"/>
          <w:b/>
          <w:sz w:val="20"/>
        </w:rPr>
        <w:t>Table 1: Scope 1 GHG Emissions by Source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Emission Source</w:t>
            </w:r>
          </w:p>
        </w:tc>
        <w:tc>
          <w:tcPr>
            <w:tcW w:type="dxa" w:w="1505"/>
            <w:shd w:fill="1B3A6B" w:val="clear"/>
          </w:tcPr>
          <w:p>
            <w:r>
              <w:rPr>
                <w:rFonts w:ascii="Arial" w:hAnsi="Arial"/>
                <w:b/>
                <w:color w:val="FFFFFF"/>
                <w:sz w:val="18"/>
              </w:rPr>
              <w:t>Fuel Type</w:t>
            </w:r>
          </w:p>
        </w:tc>
        <w:tc>
          <w:tcPr>
            <w:tcW w:type="dxa" w:w="1505"/>
            <w:shd w:fill="1B3A6B" w:val="clear"/>
          </w:tcPr>
          <w:p>
            <w:r>
              <w:rPr>
                <w:rFonts w:ascii="Arial" w:hAnsi="Arial"/>
                <w:b/>
                <w:color w:val="FFFFFF"/>
                <w:sz w:val="18"/>
              </w:rPr>
              <w:t>Emissions (tCO₂e)</w:t>
            </w:r>
          </w:p>
        </w:tc>
        <w:tc>
          <w:tcPr>
            <w:tcW w:type="dxa" w:w="1505"/>
            <w:shd w:fill="1B3A6B" w:val="clear"/>
          </w:tcPr>
          <w:p>
            <w:r>
              <w:rPr>
                <w:rFonts w:ascii="Arial" w:hAnsi="Arial"/>
                <w:b/>
                <w:color w:val="FFFFFF"/>
                <w:sz w:val="18"/>
              </w:rPr>
              <w:t>% of Total Scope 1</w:t>
            </w:r>
          </w:p>
        </w:tc>
        <w:tc>
          <w:tcPr>
            <w:tcW w:type="dxa" w:w="1505"/>
            <w:shd w:fill="1B3A6B" w:val="clear"/>
          </w:tcPr>
          <w:p>
            <w:r>
              <w:rPr>
                <w:rFonts w:ascii="Arial" w:hAnsi="Arial"/>
                <w:b/>
                <w:color w:val="FFFFFF"/>
                <w:sz w:val="18"/>
              </w:rPr>
              <w:t>Prior Year (tCO₂e)</w:t>
            </w:r>
          </w:p>
        </w:tc>
        <w:tc>
          <w:tcPr>
            <w:tcW w:type="dxa" w:w="1505"/>
            <w:shd w:fill="1B3A6B" w:val="clear"/>
          </w:tcPr>
          <w:p>
            <w:r>
              <w:rPr>
                <w:rFonts w:ascii="Arial" w:hAnsi="Arial"/>
                <w:b/>
                <w:color w:val="FFFFFF"/>
                <w:sz w:val="18"/>
              </w:rPr>
              <w:t>YoY Change (%)</w:t>
            </w:r>
          </w:p>
        </w:tc>
      </w:tr>
      <w:tr>
        <w:tc>
          <w:tcPr>
            <w:tcW w:type="dxa" w:w="1505"/>
          </w:tcPr>
          <w:p>
            <w:r>
              <w:rPr>
                <w:rFonts w:ascii="Arial" w:hAnsi="Arial"/>
                <w:sz w:val="18"/>
              </w:rPr>
              <w:t>Stationary Combustion — Heating</w:t>
            </w:r>
          </w:p>
        </w:tc>
        <w:tc>
          <w:tcPr>
            <w:tcW w:type="dxa" w:w="1505"/>
          </w:tcPr>
          <w:p>
            <w:r>
              <w:rPr>
                <w:rFonts w:ascii="Arial" w:hAnsi="Arial"/>
                <w:sz w:val="18"/>
              </w:rPr>
              <w:t>Natural Gas</w:t>
            </w:r>
          </w:p>
        </w:tc>
        <w:tc>
          <w:tcPr>
            <w:tcW w:type="dxa" w:w="1505"/>
          </w:tcPr>
          <w:p>
            <w:pPr>
              <w:jc w:val="right"/>
            </w:pPr>
            <w:r>
              <w:rPr>
                <w:rFonts w:ascii="Arial" w:hAnsi="Arial"/>
                <w:sz w:val="18"/>
              </w:rPr>
              <w:t>1199.7924</w:t>
            </w:r>
          </w:p>
        </w:tc>
        <w:tc>
          <w:tcPr>
            <w:tcW w:type="dxa" w:w="1505"/>
          </w:tcPr>
          <w:p>
            <w:pPr>
              <w:jc w:val="right"/>
            </w:pPr>
            <w:r>
              <w:rPr>
                <w:rFonts w:ascii="Arial" w:hAnsi="Arial"/>
                <w:sz w:val="18"/>
              </w:rPr>
              <w:t>35.3%</w:t>
            </w:r>
          </w:p>
        </w:tc>
        <w:tc>
          <w:tcPr>
            <w:tcW w:type="dxa" w:w="1505"/>
          </w:tcPr>
          <w:p>
            <w:pPr>
              <w:jc w:val="right"/>
            </w:pPr>
            <w:r>
              <w:rPr>
                <w:rFonts w:ascii="Arial" w:hAnsi="Arial"/>
                <w:sz w:val="18"/>
              </w:rPr>
              <w:t>1199.0321</w:t>
            </w:r>
          </w:p>
        </w:tc>
        <w:tc>
          <w:tcPr>
            <w:tcW w:type="dxa" w:w="1505"/>
          </w:tcPr>
          <w:p>
            <w:pPr>
              <w:jc w:val="right"/>
            </w:pPr>
            <w:r>
              <w:rPr>
                <w:rFonts w:ascii="Arial" w:hAnsi="Arial"/>
                <w:sz w:val="18"/>
              </w:rPr>
              <w:t>+0.06%</w:t>
            </w:r>
          </w:p>
        </w:tc>
      </w:tr>
      <w:tr>
        <w:tc>
          <w:tcPr>
            <w:tcW w:type="dxa" w:w="1505"/>
            <w:shd w:fill="F2F6FC" w:val="clear"/>
          </w:tcPr>
          <w:p>
            <w:r>
              <w:rPr>
                <w:rFonts w:ascii="Arial" w:hAnsi="Arial"/>
                <w:sz w:val="18"/>
              </w:rPr>
              <w:t>Stationary Combustion — Backup Power</w:t>
            </w:r>
          </w:p>
        </w:tc>
        <w:tc>
          <w:tcPr>
            <w:tcW w:type="dxa" w:w="1505"/>
            <w:shd w:fill="F2F6FC" w:val="clear"/>
          </w:tcPr>
          <w:p>
            <w:r>
              <w:rPr>
                <w:rFonts w:ascii="Arial" w:hAnsi="Arial"/>
                <w:sz w:val="18"/>
              </w:rPr>
              <w:t>Diesel</w:t>
            </w:r>
          </w:p>
        </w:tc>
        <w:tc>
          <w:tcPr>
            <w:tcW w:type="dxa" w:w="1505"/>
            <w:shd w:fill="F2F6FC" w:val="clear"/>
          </w:tcPr>
          <w:p>
            <w:pPr>
              <w:jc w:val="right"/>
            </w:pPr>
            <w:r>
              <w:rPr>
                <w:rFonts w:ascii="Arial" w:hAnsi="Arial"/>
                <w:sz w:val="18"/>
              </w:rPr>
              <w:t>2203.2044</w:t>
            </w:r>
          </w:p>
        </w:tc>
        <w:tc>
          <w:tcPr>
            <w:tcW w:type="dxa" w:w="1505"/>
            <w:shd w:fill="F2F6FC" w:val="clear"/>
          </w:tcPr>
          <w:p>
            <w:pPr>
              <w:jc w:val="right"/>
            </w:pPr>
            <w:r>
              <w:rPr>
                <w:rFonts w:ascii="Arial" w:hAnsi="Arial"/>
                <w:sz w:val="18"/>
              </w:rPr>
              <w:t>64.7%</w:t>
            </w:r>
          </w:p>
        </w:tc>
        <w:tc>
          <w:tcPr>
            <w:tcW w:type="dxa" w:w="1505"/>
            <w:shd w:fill="F2F6FC" w:val="clear"/>
          </w:tcPr>
          <w:p>
            <w:pPr>
              <w:jc w:val="right"/>
            </w:pPr>
            <w:r>
              <w:rPr>
                <w:rFonts w:ascii="Arial" w:hAnsi="Arial"/>
                <w:sz w:val="18"/>
              </w:rPr>
              <w:t>2125.4888</w:t>
            </w:r>
          </w:p>
        </w:tc>
        <w:tc>
          <w:tcPr>
            <w:tcW w:type="dxa" w:w="1505"/>
            <w:shd w:fill="F2F6FC" w:val="clear"/>
          </w:tcPr>
          <w:p>
            <w:pPr>
              <w:jc w:val="right"/>
            </w:pPr>
            <w:r>
              <w:rPr>
                <w:rFonts w:ascii="Arial" w:hAnsi="Arial"/>
                <w:sz w:val="18"/>
              </w:rPr>
              <w:t>+3.66%</w:t>
            </w:r>
          </w:p>
        </w:tc>
      </w:tr>
      <w:tr>
        <w:tc>
          <w:tcPr>
            <w:tcW w:type="dxa" w:w="1505"/>
          </w:tcPr>
          <w:p>
            <w:r>
              <w:rPr>
                <w:rFonts w:ascii="Arial" w:hAnsi="Arial"/>
                <w:sz w:val="18"/>
              </w:rPr>
              <w:t>**Total Scope 1**</w:t>
            </w:r>
          </w:p>
        </w:tc>
        <w:tc>
          <w:tcPr>
            <w:tcW w:type="dxa" w:w="1505"/>
          </w:tcPr>
          <w:p>
            <w:r>
              <w:rPr>
                <w:rFonts w:ascii="Arial" w:hAnsi="Arial"/>
                <w:sz w:val="18"/>
              </w:rPr>
              <w:t>**All Sources**</w:t>
            </w:r>
          </w:p>
        </w:tc>
        <w:tc>
          <w:tcPr>
            <w:tcW w:type="dxa" w:w="1505"/>
          </w:tcPr>
          <w:p>
            <w:r>
              <w:rPr>
                <w:rFonts w:ascii="Arial" w:hAnsi="Arial"/>
                <w:sz w:val="18"/>
              </w:rPr>
              <w:t>**3402.997**</w:t>
            </w:r>
          </w:p>
        </w:tc>
        <w:tc>
          <w:tcPr>
            <w:tcW w:type="dxa" w:w="1505"/>
          </w:tcPr>
          <w:p>
            <w:r>
              <w:rPr>
                <w:rFonts w:ascii="Arial" w:hAnsi="Arial"/>
                <w:sz w:val="18"/>
              </w:rPr>
              <w:t>**100.0%**</w:t>
            </w:r>
          </w:p>
        </w:tc>
        <w:tc>
          <w:tcPr>
            <w:tcW w:type="dxa" w:w="1505"/>
          </w:tcPr>
          <w:p>
            <w:r>
              <w:rPr>
                <w:rFonts w:ascii="Arial" w:hAnsi="Arial"/>
                <w:sz w:val="18"/>
              </w:rPr>
              <w:t>**3324.521**</w:t>
            </w:r>
          </w:p>
        </w:tc>
        <w:tc>
          <w:tcPr>
            <w:tcW w:type="dxa" w:w="1505"/>
          </w:tcPr>
          <w:p>
            <w:r>
              <w:rPr>
                <w:rFonts w:ascii="Arial" w:hAnsi="Arial"/>
                <w:sz w:val="18"/>
              </w:rPr>
              <w:t>**+2.36%**</w:t>
            </w:r>
          </w:p>
        </w:tc>
      </w:tr>
    </w:tbl>
    <w:p>
      <w:r>
        <w:rPr>
          <w:rFonts w:ascii="Arial" w:hAnsi="Arial"/>
          <w:i/>
          <w:sz w:val="16"/>
        </w:rPr>
        <w:t>Source: Source: Facility energy management system and supplier invoices. Emission factors: MEMR Technical Guidelines 2022. GWP values: IPCC AR6. Consolidation approach: Operational control.</w:t>
      </w:r>
    </w:p>
    <w:p/>
    <w:p>
      <w:r>
        <w:rPr>
          <w:rFonts w:ascii="Arial" w:hAnsi="Arial"/>
          <w:b/>
          <w:sz w:val="20"/>
        </w:rPr>
        <w:t>Table 2: Top 10 Facilities by Scope 1 Emissions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Facility ID</w:t>
            </w:r>
          </w:p>
        </w:tc>
        <w:tc>
          <w:tcPr>
            <w:tcW w:type="dxa" w:w="1505"/>
            <w:shd w:fill="1B3A6B" w:val="clear"/>
          </w:tcPr>
          <w:p>
            <w:r>
              <w:rPr>
                <w:rFonts w:ascii="Arial" w:hAnsi="Arial"/>
                <w:b/>
                <w:color w:val="FFFFFF"/>
                <w:sz w:val="18"/>
              </w:rPr>
              <w:t>Total Scope 1 (tCO₂e)</w:t>
            </w:r>
          </w:p>
        </w:tc>
        <w:tc>
          <w:tcPr>
            <w:tcW w:type="dxa" w:w="1505"/>
            <w:shd w:fill="1B3A6B" w:val="clear"/>
          </w:tcPr>
          <w:p>
            <w:r>
              <w:rPr>
                <w:rFonts w:ascii="Arial" w:hAnsi="Arial"/>
                <w:b/>
                <w:color w:val="FFFFFF"/>
                <w:sz w:val="18"/>
              </w:rPr>
              <w:t>Natural Gas (tCO₂e)</w:t>
            </w:r>
          </w:p>
        </w:tc>
        <w:tc>
          <w:tcPr>
            <w:tcW w:type="dxa" w:w="1505"/>
            <w:shd w:fill="1B3A6B" w:val="clear"/>
          </w:tcPr>
          <w:p>
            <w:r>
              <w:rPr>
                <w:rFonts w:ascii="Arial" w:hAnsi="Arial"/>
                <w:b/>
                <w:color w:val="FFFFFF"/>
                <w:sz w:val="18"/>
              </w:rPr>
              <w:t>Diesel (tCO₂e)</w:t>
            </w:r>
          </w:p>
        </w:tc>
        <w:tc>
          <w:tcPr>
            <w:tcW w:type="dxa" w:w="1505"/>
            <w:shd w:fill="1B3A6B" w:val="clear"/>
          </w:tcPr>
          <w:p>
            <w:r>
              <w:rPr>
                <w:rFonts w:ascii="Arial" w:hAnsi="Arial"/>
                <w:b/>
                <w:color w:val="FFFFFF"/>
                <w:sz w:val="18"/>
              </w:rPr>
              <w:t>% of Total Scope 1</w:t>
            </w:r>
          </w:p>
        </w:tc>
        <w:tc>
          <w:tcPr>
            <w:tcW w:type="dxa" w:w="1505"/>
            <w:shd w:fill="1B3A6B" w:val="clear"/>
          </w:tcPr>
          <w:p>
            <w:r>
              <w:rPr>
                <w:rFonts w:ascii="Arial" w:hAnsi="Arial"/>
                <w:b/>
                <w:color w:val="FFFFFF"/>
                <w:sz w:val="18"/>
              </w:rPr>
              <w:t>Data Quality Score</w:t>
            </w:r>
          </w:p>
        </w:tc>
      </w:tr>
      <w:tr>
        <w:tc>
          <w:tcPr>
            <w:tcW w:type="dxa" w:w="1505"/>
          </w:tcPr>
          <w:p>
            <w:r>
              <w:rPr>
                <w:rFonts w:ascii="Arial" w:hAnsi="Arial"/>
                <w:sz w:val="18"/>
              </w:rPr>
              <w:t>FAC-0197</w:t>
            </w:r>
          </w:p>
        </w:tc>
        <w:tc>
          <w:tcPr>
            <w:tcW w:type="dxa" w:w="1505"/>
          </w:tcPr>
          <w:p>
            <w:pPr>
              <w:jc w:val="right"/>
            </w:pPr>
            <w:r>
              <w:rPr>
                <w:rFonts w:ascii="Arial" w:hAnsi="Arial"/>
                <w:sz w:val="18"/>
              </w:rPr>
              <w:t>147.7152</w:t>
            </w:r>
          </w:p>
        </w:tc>
        <w:tc>
          <w:tcPr>
            <w:tcW w:type="dxa" w:w="1505"/>
          </w:tcPr>
          <w:p>
            <w:pPr>
              <w:jc w:val="right"/>
            </w:pPr>
            <w:r>
              <w:rPr>
                <w:rFonts w:ascii="Arial" w:hAnsi="Arial"/>
                <w:sz w:val="18"/>
              </w:rPr>
              <w:t>65.1748</w:t>
            </w:r>
          </w:p>
        </w:tc>
        <w:tc>
          <w:tcPr>
            <w:tcW w:type="dxa" w:w="1505"/>
          </w:tcPr>
          <w:p>
            <w:pPr>
              <w:jc w:val="right"/>
            </w:pPr>
            <w:r>
              <w:rPr>
                <w:rFonts w:ascii="Arial" w:hAnsi="Arial"/>
                <w:sz w:val="18"/>
              </w:rPr>
              <w:t>82.5404</w:t>
            </w:r>
          </w:p>
        </w:tc>
        <w:tc>
          <w:tcPr>
            <w:tcW w:type="dxa" w:w="1505"/>
          </w:tcPr>
          <w:p>
            <w:pPr>
              <w:jc w:val="right"/>
            </w:pPr>
            <w:r>
              <w:rPr>
                <w:rFonts w:ascii="Arial" w:hAnsi="Arial"/>
                <w:sz w:val="18"/>
              </w:rPr>
              <w:t>4.3%</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FAC-0198</w:t>
            </w:r>
          </w:p>
        </w:tc>
        <w:tc>
          <w:tcPr>
            <w:tcW w:type="dxa" w:w="1505"/>
            <w:shd w:fill="F2F6FC" w:val="clear"/>
          </w:tcPr>
          <w:p>
            <w:pPr>
              <w:jc w:val="right"/>
            </w:pPr>
            <w:r>
              <w:rPr>
                <w:rFonts w:ascii="Arial" w:hAnsi="Arial"/>
                <w:sz w:val="18"/>
              </w:rPr>
              <w:t>137.8381</w:t>
            </w:r>
          </w:p>
        </w:tc>
        <w:tc>
          <w:tcPr>
            <w:tcW w:type="dxa" w:w="1505"/>
            <w:shd w:fill="F2F6FC" w:val="clear"/>
          </w:tcPr>
          <w:p>
            <w:pPr>
              <w:jc w:val="right"/>
            </w:pPr>
            <w:r>
              <w:rPr>
                <w:rFonts w:ascii="Arial" w:hAnsi="Arial"/>
                <w:sz w:val="18"/>
              </w:rPr>
              <w:t>54.446</w:t>
            </w:r>
          </w:p>
        </w:tc>
        <w:tc>
          <w:tcPr>
            <w:tcW w:type="dxa" w:w="1505"/>
            <w:shd w:fill="F2F6FC" w:val="clear"/>
          </w:tcPr>
          <w:p>
            <w:pPr>
              <w:jc w:val="right"/>
            </w:pPr>
            <w:r>
              <w:rPr>
                <w:rFonts w:ascii="Arial" w:hAnsi="Arial"/>
                <w:sz w:val="18"/>
              </w:rPr>
              <w:t>83.3921</w:t>
            </w:r>
          </w:p>
        </w:tc>
        <w:tc>
          <w:tcPr>
            <w:tcW w:type="dxa" w:w="1505"/>
            <w:shd w:fill="F2F6FC" w:val="clear"/>
          </w:tcPr>
          <w:p>
            <w:pPr>
              <w:jc w:val="right"/>
            </w:pPr>
            <w:r>
              <w:rPr>
                <w:rFonts w:ascii="Arial" w:hAnsi="Arial"/>
                <w:sz w:val="18"/>
              </w:rPr>
              <w:t>4.1%</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FAC-0200</w:t>
            </w:r>
          </w:p>
        </w:tc>
        <w:tc>
          <w:tcPr>
            <w:tcW w:type="dxa" w:w="1505"/>
          </w:tcPr>
          <w:p>
            <w:pPr>
              <w:jc w:val="right"/>
            </w:pPr>
            <w:r>
              <w:rPr>
                <w:rFonts w:ascii="Arial" w:hAnsi="Arial"/>
                <w:sz w:val="18"/>
              </w:rPr>
              <w:t>131.4422</w:t>
            </w:r>
          </w:p>
        </w:tc>
        <w:tc>
          <w:tcPr>
            <w:tcW w:type="dxa" w:w="1505"/>
          </w:tcPr>
          <w:p>
            <w:pPr>
              <w:jc w:val="right"/>
            </w:pPr>
            <w:r>
              <w:rPr>
                <w:rFonts w:ascii="Arial" w:hAnsi="Arial"/>
                <w:sz w:val="18"/>
              </w:rPr>
              <w:t>57.0202</w:t>
            </w:r>
          </w:p>
        </w:tc>
        <w:tc>
          <w:tcPr>
            <w:tcW w:type="dxa" w:w="1505"/>
          </w:tcPr>
          <w:p>
            <w:pPr>
              <w:jc w:val="right"/>
            </w:pPr>
            <w:r>
              <w:rPr>
                <w:rFonts w:ascii="Arial" w:hAnsi="Arial"/>
                <w:sz w:val="18"/>
              </w:rPr>
              <w:t>74.422</w:t>
            </w:r>
          </w:p>
        </w:tc>
        <w:tc>
          <w:tcPr>
            <w:tcW w:type="dxa" w:w="1505"/>
          </w:tcPr>
          <w:p>
            <w:pPr>
              <w:jc w:val="right"/>
            </w:pPr>
            <w:r>
              <w:rPr>
                <w:rFonts w:ascii="Arial" w:hAnsi="Arial"/>
                <w:sz w:val="18"/>
              </w:rPr>
              <w:t>3.9%</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FAC-0196</w:t>
            </w:r>
          </w:p>
        </w:tc>
        <w:tc>
          <w:tcPr>
            <w:tcW w:type="dxa" w:w="1505"/>
            <w:shd w:fill="F2F6FC" w:val="clear"/>
          </w:tcPr>
          <w:p>
            <w:pPr>
              <w:jc w:val="right"/>
            </w:pPr>
            <w:r>
              <w:rPr>
                <w:rFonts w:ascii="Arial" w:hAnsi="Arial"/>
                <w:sz w:val="18"/>
              </w:rPr>
              <w:t>124.4219</w:t>
            </w:r>
          </w:p>
        </w:tc>
        <w:tc>
          <w:tcPr>
            <w:tcW w:type="dxa" w:w="1505"/>
            <w:shd w:fill="F2F6FC" w:val="clear"/>
          </w:tcPr>
          <w:p>
            <w:pPr>
              <w:jc w:val="right"/>
            </w:pPr>
            <w:r>
              <w:rPr>
                <w:rFonts w:ascii="Arial" w:hAnsi="Arial"/>
                <w:sz w:val="18"/>
              </w:rPr>
              <w:t>51.7527</w:t>
            </w:r>
          </w:p>
        </w:tc>
        <w:tc>
          <w:tcPr>
            <w:tcW w:type="dxa" w:w="1505"/>
            <w:shd w:fill="F2F6FC" w:val="clear"/>
          </w:tcPr>
          <w:p>
            <w:pPr>
              <w:jc w:val="right"/>
            </w:pPr>
            <w:r>
              <w:rPr>
                <w:rFonts w:ascii="Arial" w:hAnsi="Arial"/>
                <w:sz w:val="18"/>
              </w:rPr>
              <w:t>72.6692</w:t>
            </w:r>
          </w:p>
        </w:tc>
        <w:tc>
          <w:tcPr>
            <w:tcW w:type="dxa" w:w="1505"/>
            <w:shd w:fill="F2F6FC" w:val="clear"/>
          </w:tcPr>
          <w:p>
            <w:pPr>
              <w:jc w:val="right"/>
            </w:pPr>
            <w:r>
              <w:rPr>
                <w:rFonts w:ascii="Arial" w:hAnsi="Arial"/>
                <w:sz w:val="18"/>
              </w:rPr>
              <w:t>3.7%</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FAC-0199</w:t>
            </w:r>
          </w:p>
        </w:tc>
        <w:tc>
          <w:tcPr>
            <w:tcW w:type="dxa" w:w="1505"/>
          </w:tcPr>
          <w:p>
            <w:pPr>
              <w:jc w:val="right"/>
            </w:pPr>
            <w:r>
              <w:rPr>
                <w:rFonts w:ascii="Arial" w:hAnsi="Arial"/>
                <w:sz w:val="18"/>
              </w:rPr>
              <w:t>109.4122</w:t>
            </w:r>
          </w:p>
        </w:tc>
        <w:tc>
          <w:tcPr>
            <w:tcW w:type="dxa" w:w="1505"/>
          </w:tcPr>
          <w:p>
            <w:pPr>
              <w:jc w:val="right"/>
            </w:pPr>
            <w:r>
              <w:rPr>
                <w:rFonts w:ascii="Arial" w:hAnsi="Arial"/>
                <w:sz w:val="18"/>
              </w:rPr>
              <w:t>52.015</w:t>
            </w:r>
          </w:p>
        </w:tc>
        <w:tc>
          <w:tcPr>
            <w:tcW w:type="dxa" w:w="1505"/>
          </w:tcPr>
          <w:p>
            <w:pPr>
              <w:jc w:val="right"/>
            </w:pPr>
            <w:r>
              <w:rPr>
                <w:rFonts w:ascii="Arial" w:hAnsi="Arial"/>
                <w:sz w:val="18"/>
              </w:rPr>
              <w:t>57.3972</w:t>
            </w:r>
          </w:p>
        </w:tc>
        <w:tc>
          <w:tcPr>
            <w:tcW w:type="dxa" w:w="1505"/>
          </w:tcPr>
          <w:p>
            <w:pPr>
              <w:jc w:val="right"/>
            </w:pPr>
            <w:r>
              <w:rPr>
                <w:rFonts w:ascii="Arial" w:hAnsi="Arial"/>
                <w:sz w:val="18"/>
              </w:rPr>
              <w:t>3.2%</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FAC-0193</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2.1%</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FAC-0215</w:t>
            </w:r>
          </w:p>
        </w:tc>
        <w:tc>
          <w:tcPr>
            <w:tcW w:type="dxa" w:w="1505"/>
          </w:tcPr>
          <w:p>
            <w:pPr>
              <w:jc w:val="right"/>
            </w:pPr>
            <w:r>
              <w:rPr>
                <w:rFonts w:ascii="Arial" w:hAnsi="Arial"/>
                <w:sz w:val="18"/>
              </w:rPr>
              <w:t>70.6057</w:t>
            </w:r>
          </w:p>
        </w:tc>
        <w:tc>
          <w:tcPr>
            <w:tcW w:type="dxa" w:w="1505"/>
          </w:tcPr>
          <w:p>
            <w:pPr>
              <w:jc w:val="right"/>
            </w:pPr>
            <w:r>
              <w:rPr>
                <w:rFonts w:ascii="Arial" w:hAnsi="Arial"/>
                <w:sz w:val="18"/>
              </w:rPr>
              <w:t>23.586</w:t>
            </w:r>
          </w:p>
        </w:tc>
        <w:tc>
          <w:tcPr>
            <w:tcW w:type="dxa" w:w="1505"/>
          </w:tcPr>
          <w:p>
            <w:pPr>
              <w:jc w:val="right"/>
            </w:pPr>
            <w:r>
              <w:rPr>
                <w:rFonts w:ascii="Arial" w:hAnsi="Arial"/>
                <w:sz w:val="18"/>
              </w:rPr>
              <w:t>47.0197</w:t>
            </w:r>
          </w:p>
        </w:tc>
        <w:tc>
          <w:tcPr>
            <w:tcW w:type="dxa" w:w="1505"/>
          </w:tcPr>
          <w:p>
            <w:pPr>
              <w:jc w:val="right"/>
            </w:pPr>
            <w:r>
              <w:rPr>
                <w:rFonts w:ascii="Arial" w:hAnsi="Arial"/>
                <w:sz w:val="18"/>
              </w:rPr>
              <w:t>2.1%</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FAC-0191</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2.0%</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FAC-0181</w:t>
            </w:r>
          </w:p>
        </w:tc>
        <w:tc>
          <w:tcPr>
            <w:tcW w:type="dxa" w:w="1505"/>
          </w:tcPr>
          <w:p>
            <w:pPr>
              <w:jc w:val="right"/>
            </w:pPr>
            <w:r>
              <w:rPr>
                <w:rFonts w:ascii="Arial" w:hAnsi="Arial"/>
                <w:sz w:val="18"/>
              </w:rPr>
              <w:t>63.758</w:t>
            </w:r>
          </w:p>
        </w:tc>
        <w:tc>
          <w:tcPr>
            <w:tcW w:type="dxa" w:w="1505"/>
          </w:tcPr>
          <w:p>
            <w:pPr>
              <w:jc w:val="right"/>
            </w:pPr>
            <w:r>
              <w:rPr>
                <w:rFonts w:ascii="Arial" w:hAnsi="Arial"/>
                <w:sz w:val="18"/>
              </w:rPr>
              <w:t>0.0</w:t>
            </w:r>
          </w:p>
        </w:tc>
        <w:tc>
          <w:tcPr>
            <w:tcW w:type="dxa" w:w="1505"/>
          </w:tcPr>
          <w:p>
            <w:pPr>
              <w:jc w:val="right"/>
            </w:pPr>
            <w:r>
              <w:rPr>
                <w:rFonts w:ascii="Arial" w:hAnsi="Arial"/>
                <w:sz w:val="18"/>
              </w:rPr>
              <w:t>63.758</w:t>
            </w:r>
          </w:p>
        </w:tc>
        <w:tc>
          <w:tcPr>
            <w:tcW w:type="dxa" w:w="1505"/>
          </w:tcPr>
          <w:p>
            <w:pPr>
              <w:jc w:val="right"/>
            </w:pPr>
            <w:r>
              <w:rPr>
                <w:rFonts w:ascii="Arial" w:hAnsi="Arial"/>
                <w:sz w:val="18"/>
              </w:rPr>
              <w:t>1.9%</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FAC-0208</w:t>
            </w:r>
          </w:p>
        </w:tc>
        <w:tc>
          <w:tcPr>
            <w:tcW w:type="dxa" w:w="1505"/>
            <w:shd w:fill="F2F6FC" w:val="clear"/>
          </w:tcPr>
          <w:p>
            <w:pPr>
              <w:jc w:val="right"/>
            </w:pPr>
            <w:r>
              <w:rPr>
                <w:rFonts w:ascii="Arial" w:hAnsi="Arial"/>
                <w:sz w:val="18"/>
              </w:rPr>
              <w:t>63.5152</w:t>
            </w:r>
          </w:p>
        </w:tc>
        <w:tc>
          <w:tcPr>
            <w:tcW w:type="dxa" w:w="1505"/>
            <w:shd w:fill="F2F6FC" w:val="clear"/>
          </w:tcPr>
          <w:p>
            <w:pPr>
              <w:jc w:val="right"/>
            </w:pPr>
            <w:r>
              <w:rPr>
                <w:rFonts w:ascii="Arial" w:hAnsi="Arial"/>
                <w:sz w:val="18"/>
              </w:rPr>
              <w:t>23.7606</w:t>
            </w:r>
          </w:p>
        </w:tc>
        <w:tc>
          <w:tcPr>
            <w:tcW w:type="dxa" w:w="1505"/>
            <w:shd w:fill="F2F6FC" w:val="clear"/>
          </w:tcPr>
          <w:p>
            <w:pPr>
              <w:jc w:val="right"/>
            </w:pPr>
            <w:r>
              <w:rPr>
                <w:rFonts w:ascii="Arial" w:hAnsi="Arial"/>
                <w:sz w:val="18"/>
              </w:rPr>
              <w:t>39.7546</w:t>
            </w:r>
          </w:p>
        </w:tc>
        <w:tc>
          <w:tcPr>
            <w:tcW w:type="dxa" w:w="1505"/>
            <w:shd w:fill="F2F6FC" w:val="clear"/>
          </w:tcPr>
          <w:p>
            <w:pPr>
              <w:jc w:val="right"/>
            </w:pPr>
            <w:r>
              <w:rPr>
                <w:rFonts w:ascii="Arial" w:hAnsi="Arial"/>
                <w:sz w:val="18"/>
              </w:rPr>
              <w:t>1.9%</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**Top 10 Subtotal**</w:t>
            </w:r>
          </w:p>
        </w:tc>
        <w:tc>
          <w:tcPr>
            <w:tcW w:type="dxa" w:w="1505"/>
          </w:tcPr>
          <w:p>
            <w:r>
              <w:rPr>
                <w:rFonts w:ascii="Arial" w:hAnsi="Arial"/>
                <w:sz w:val="18"/>
              </w:rPr>
              <w:t>**988.4057**</w:t>
            </w:r>
          </w:p>
        </w:tc>
        <w:tc>
          <w:tcPr>
            <w:tcW w:type="dxa" w:w="1505"/>
          </w:tcPr>
          <w:p>
            <w:r>
              <w:rPr>
                <w:rFonts w:ascii="Arial" w:hAnsi="Arial"/>
                <w:sz w:val="18"/>
              </w:rPr>
              <w:t>**327.7553**</w:t>
            </w:r>
          </w:p>
        </w:tc>
        <w:tc>
          <w:tcPr>
            <w:tcW w:type="dxa" w:w="1505"/>
          </w:tcPr>
          <w:p>
            <w:r>
              <w:rPr>
                <w:rFonts w:ascii="Arial" w:hAnsi="Arial"/>
                <w:sz w:val="18"/>
              </w:rPr>
              <w:t>**660.6504**</w:t>
            </w:r>
          </w:p>
        </w:tc>
        <w:tc>
          <w:tcPr>
            <w:tcW w:type="dxa" w:w="1505"/>
          </w:tcPr>
          <w:p>
            <w:r>
              <w:rPr>
                <w:rFonts w:ascii="Arial" w:hAnsi="Arial"/>
                <w:sz w:val="18"/>
              </w:rPr>
              <w:t>**29.0%**</w:t>
            </w:r>
          </w:p>
        </w:tc>
        <w:tc>
          <w:tcPr>
            <w:tcW w:type="dxa" w:w="1505"/>
          </w:tcPr>
          <w:p>
            <w:r>
              <w:rPr>
                <w:rFonts w:ascii="Arial" w:hAnsi="Arial"/>
                <w:sz w:val="18"/>
              </w:rPr>
              <w:t>—</w:t>
            </w:r>
          </w:p>
        </w:tc>
      </w:tr>
      <w:tr>
        <w:tc>
          <w:tcPr>
            <w:tcW w:type="dxa" w:w="1505"/>
            <w:shd w:fill="F2F6FC" w:val="clear"/>
          </w:tcPr>
          <w:p>
            <w:r>
              <w:rPr>
                <w:rFonts w:ascii="Arial" w:hAnsi="Arial"/>
                <w:sz w:val="18"/>
              </w:rPr>
              <w:t>**All Other Facilities**</w:t>
            </w:r>
          </w:p>
        </w:tc>
        <w:tc>
          <w:tcPr>
            <w:tcW w:type="dxa" w:w="1505"/>
            <w:shd w:fill="F2F6FC" w:val="clear"/>
          </w:tcPr>
          <w:p>
            <w:r>
              <w:rPr>
                <w:rFonts w:ascii="Arial" w:hAnsi="Arial"/>
                <w:sz w:val="18"/>
              </w:rPr>
              <w:t>**2414.5913**</w:t>
            </w:r>
          </w:p>
        </w:tc>
        <w:tc>
          <w:tcPr>
            <w:tcW w:type="dxa" w:w="1505"/>
            <w:shd w:fill="F2F6FC" w:val="clear"/>
          </w:tcPr>
          <w:p>
            <w:r>
              <w:rPr>
                <w:rFonts w:ascii="Arial" w:hAnsi="Arial"/>
                <w:sz w:val="18"/>
              </w:rPr>
              <w:t>**871.0371**</w:t>
            </w:r>
          </w:p>
        </w:tc>
        <w:tc>
          <w:tcPr>
            <w:tcW w:type="dxa" w:w="1505"/>
            <w:shd w:fill="F2F6FC" w:val="clear"/>
          </w:tcPr>
          <w:p>
            <w:r>
              <w:rPr>
                <w:rFonts w:ascii="Arial" w:hAnsi="Arial"/>
                <w:sz w:val="18"/>
              </w:rPr>
              <w:t>**1542.554**</w:t>
            </w:r>
          </w:p>
        </w:tc>
        <w:tc>
          <w:tcPr>
            <w:tcW w:type="dxa" w:w="1505"/>
            <w:shd w:fill="F2F6FC" w:val="clear"/>
          </w:tcPr>
          <w:p>
            <w:r>
              <w:rPr>
                <w:rFonts w:ascii="Arial" w:hAnsi="Arial"/>
                <w:sz w:val="18"/>
              </w:rPr>
              <w:t>**71.0%**</w:t>
            </w:r>
          </w:p>
        </w:tc>
        <w:tc>
          <w:tcPr>
            <w:tcW w:type="dxa" w:w="1505"/>
            <w:shd w:fill="F2F6FC" w:val="clear"/>
          </w:tcPr>
          <w:p>
            <w:r>
              <w:rPr>
                <w:rFonts w:ascii="Arial" w:hAnsi="Arial"/>
                <w:sz w:val="18"/>
              </w:rPr>
              <w:t>—</w:t>
            </w:r>
          </w:p>
        </w:tc>
      </w:tr>
      <w:tr>
        <w:tc>
          <w:tcPr>
            <w:tcW w:type="dxa" w:w="1505"/>
          </w:tcPr>
          <w:p>
            <w:r>
              <w:rPr>
                <w:rFonts w:ascii="Arial" w:hAnsi="Arial"/>
                <w:sz w:val="18"/>
              </w:rPr>
              <w:t>**Total (All Facilities)**</w:t>
            </w:r>
          </w:p>
        </w:tc>
        <w:tc>
          <w:tcPr>
            <w:tcW w:type="dxa" w:w="1505"/>
          </w:tcPr>
          <w:p>
            <w:r>
              <w:rPr>
                <w:rFonts w:ascii="Arial" w:hAnsi="Arial"/>
                <w:sz w:val="18"/>
              </w:rPr>
              <w:t>**3402.997**</w:t>
            </w:r>
          </w:p>
        </w:tc>
        <w:tc>
          <w:tcPr>
            <w:tcW w:type="dxa" w:w="1505"/>
          </w:tcPr>
          <w:p>
            <w:r>
              <w:rPr>
                <w:rFonts w:ascii="Arial" w:hAnsi="Arial"/>
                <w:sz w:val="18"/>
              </w:rPr>
              <w:t>**1199.7924**</w:t>
            </w:r>
          </w:p>
        </w:tc>
        <w:tc>
          <w:tcPr>
            <w:tcW w:type="dxa" w:w="1505"/>
          </w:tcPr>
          <w:p>
            <w:r>
              <w:rPr>
                <w:rFonts w:ascii="Arial" w:hAnsi="Arial"/>
                <w:sz w:val="18"/>
              </w:rPr>
              <w:t>**2203.2044**</w:t>
            </w:r>
          </w:p>
        </w:tc>
        <w:tc>
          <w:tcPr>
            <w:tcW w:type="dxa" w:w="1505"/>
          </w:tcPr>
          <w:p>
            <w:r>
              <w:rPr>
                <w:rFonts w:ascii="Arial" w:hAnsi="Arial"/>
                <w:sz w:val="18"/>
              </w:rPr>
              <w:t>**100.0%**</w:t>
            </w:r>
          </w:p>
        </w:tc>
        <w:tc>
          <w:tcPr>
            <w:tcW w:type="dxa" w:w="1505"/>
          </w:tcPr>
          <w:p>
            <w:r>
              <w:rPr>
                <w:rFonts w:ascii="Arial" w:hAnsi="Arial"/>
                <w:sz w:val="18"/>
              </w:rPr>
              <w:t>—</w:t>
            </w:r>
          </w:p>
        </w:tc>
      </w:tr>
    </w:tbl>
    <w:p>
      <w:r>
        <w:rPr>
          <w:rFonts w:ascii="Arial" w:hAnsi="Arial"/>
          <w:i/>
          <w:sz w:val="16"/>
        </w:rPr>
        <w:t>Source: Source: Facility-level metering data. Data Quality Score: 1 = primary metered data (highest confidence). Top 10 facilities represent 29.0% of total Scope 1 emissions.</w:t>
      </w:r>
    </w:p>
    <w:p/>
    <w:p>
      <w:r>
        <w:rPr>
          <w:i/>
          <w:color w:val="3D6094"/>
          <w:sz w:val="18"/>
        </w:rPr>
        <w:t>Framework references: GRI 305-1a: Gross direct (Scope 1) GHG emissions in metric tons of CO₂ equivalent; GRI 305-1b: Gases included in the calculation (CO₂, CH₄, N₂O); GRI 305-1d: Base year for the calculation (2023); GRI 305-1e: Source of emission factors (MEMR 2022) and GWP rates (IPCC AR6); GRI 305-1f: Consolidation approach (operational control); GRI 305-1g: Standards and methodologies (GHG Protocol Corporate Standard 2015)</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305-1 | Direct (Scope 1) GHG emissions | Section 4.1</w:t>
      </w:r>
    </w:p>
    <w:p>
      <w:r>
        <w:br w:type="page"/>
      </w:r>
    </w:p>
    <w:p>
      <w:pPr>
        <w:pStyle w:val="Heading1"/>
        <w:keepNext/>
        <w:spacing w:before="480" w:after="240"/>
      </w:pPr>
      <w:r>
        <w:rPr>
          <w:rFonts w:ascii="Arial" w:hAnsi="Arial"/>
          <w:b/>
          <w:color w:val="1B3A6B"/>
          <w:sz w:val="36"/>
        </w:rPr>
        <w:t>IFRS S2 Cross-Industry Metric: Direct (Scope 1) GHG Emissions</w:t>
      </w:r>
    </w:p>
    <w:p>
      <w:pPr>
        <w:spacing w:after="160" w:line="276" w:lineRule="auto"/>
        <w:jc w:val="both"/>
      </w:pPr>
      <w:r>
        <w:rPr>
          <w:rFonts w:ascii="Arial" w:hAnsi="Arial"/>
          <w:sz w:val="22"/>
        </w:rPr>
        <w:t>The institution's direct (Scope 1) greenhouse gas emissions for the reporting period ending 31 December 2024 totaled 3,402.997 tCO₂e. These emissions arise from stationary combustion sources under the institution's operational control, comprising natural gas consumption in building heating and cooling systems, and diesel fuel combustion in backup generators and emergency power systems across the branch network.</w:t>
      </w:r>
    </w:p>
    <w:p>
      <w:pPr>
        <w:spacing w:after="160" w:line="276" w:lineRule="auto"/>
        <w:jc w:val="both"/>
      </w:pPr>
      <w:r>
        <w:rPr>
          <w:rFonts w:ascii="Arial" w:hAnsi="Arial"/>
          <w:sz w:val="22"/>
        </w:rPr>
        <w:t>The Scope 1 emission profile consists of two primary sources: natural gas combustion contributed 1,199.7924 tCO₂e (35.3% of total Scope 1), while diesel fuel combustion accounted for 2,203.2044 tCO₂e (64.7% of total Scope 1). The higher proportion of diesel-related emissions reflects the institution's reliance on backup power generation in facilities located in areas with grid reliability constraints, particularly in outer island branches where grid interruptions necessitate extended generator operation.</w:t>
      </w:r>
    </w:p>
    <w:p>
      <w:pPr>
        <w:spacing w:after="160" w:line="276" w:lineRule="auto"/>
        <w:jc w:val="both"/>
      </w:pPr>
      <w:r>
        <w:rPr>
          <w:rFonts w:ascii="Arial" w:hAnsi="Arial"/>
          <w:i/>
          <w:sz w:val="22"/>
        </w:rPr>
        <w:t>Scope 1 emissions are calculated in accordance with the GHG Protocol Corporate Accounting and Reporting Standard (2015 revision) using the operational control consolidation approach. Emission factors for natural gas and diesel combustion are sourced from Indonesia's Ministry of Energy and Mineral Resources (MEMR) 2023 National Emission Factor Database, aligned with IPCC 2006 Guidelines for National Greenhouse Gas Inventories. Global Warming Potential (GWP) values are applied per IPCC Sixth Assessment Report (AR6) with a 100-year time horizon: CO₂ = 1, CH₄ = 29.8, N₂O = 273.0. All three Kyoto Protocol gases (CO₂, CH₄, N₂O) are included in the calculation, with biogenic CO₂ emissions excluded per GHG Protocol requirements.</w:t>
      </w:r>
    </w:p>
    <w:p>
      <w:pPr>
        <w:spacing w:after="160" w:line="276" w:lineRule="auto"/>
        <w:jc w:val="both"/>
      </w:pPr>
      <w:r>
        <w:rPr>
          <w:rFonts w:ascii="Arial" w:hAnsi="Arial"/>
          <w:sz w:val="22"/>
        </w:rPr>
        <w:t>Compared to the prior reporting period (2023: 3,324.521 tCO₂e), Scope 1 emissions increased by 78.476 tCO₂e, representing a year-over-year change of +2.36%. This increase is primarily attributable to the commissioning of three new regional offices in Q2 2024 (facilities FAC-0215, FAC-0208, and FAC-0181), which added diesel generator capacity totaling 450 kVA to support business continuity requirements in areas with unreliable grid infrastructure. Natural gas consumption remained relatively stable year-over-year (2024: 1,199.7924 tCO₂e vs 2023: 1,199.0321 tCO₂e, +0.06%), indicating effective HVAC efficiency measures in existing facilities.</w:t>
      </w:r>
    </w:p>
    <w:p>
      <w:pPr>
        <w:spacing w:after="160" w:line="276" w:lineRule="auto"/>
        <w:jc w:val="both"/>
      </w:pPr>
      <w:r>
        <w:rPr>
          <w:rFonts w:ascii="Arial" w:hAnsi="Arial"/>
          <w:sz w:val="22"/>
        </w:rPr>
        <w:t>The institution has established 2024 as the base year for climate-related target setting, aligning with the commencement of comprehensive Scope 1 and 2 emissions tracking across all operational facilities. This base year selection follows the GHG Protocol's base year criteria, reflecting the first year of complete and verifiable emissions data coverage across the consolidated entity. Future reporting periods will reference this base year for progress measurement against absolute and intensity-based reduction targets.</w:t>
      </w:r>
    </w:p>
    <w:p>
      <w:r>
        <w:rPr>
          <w:rFonts w:ascii="Arial" w:hAnsi="Arial"/>
          <w:b/>
          <w:sz w:val="20"/>
        </w:rPr>
        <w:t>Table 1: Scope 1 GHG Emissions by Source (tCO₂e)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2024 (tCO₂e)</w:t>
            </w:r>
          </w:p>
        </w:tc>
        <w:tc>
          <w:tcPr>
            <w:tcW w:type="dxa" w:w="1806"/>
            <w:shd w:fill="1B3A6B" w:val="clear"/>
          </w:tcPr>
          <w:p>
            <w:r>
              <w:rPr>
                <w:rFonts w:ascii="Arial" w:hAnsi="Arial"/>
                <w:b/>
                <w:color w:val="FFFFFF"/>
                <w:sz w:val="18"/>
              </w:rPr>
              <w:t>2023 (tCO₂e)</w:t>
            </w:r>
          </w:p>
        </w:tc>
        <w:tc>
          <w:tcPr>
            <w:tcW w:type="dxa" w:w="1806"/>
            <w:shd w:fill="1B3A6B" w:val="clear"/>
          </w:tcPr>
          <w:p>
            <w:r>
              <w:rPr>
                <w:rFonts w:ascii="Arial" w:hAnsi="Arial"/>
                <w:b/>
                <w:color w:val="FFFFFF"/>
                <w:sz w:val="18"/>
              </w:rPr>
              <w:t>YoY Change (%)</w:t>
            </w:r>
          </w:p>
        </w:tc>
        <w:tc>
          <w:tcPr>
            <w:tcW w:type="dxa" w:w="1806"/>
            <w:shd w:fill="1B3A6B" w:val="clear"/>
          </w:tcPr>
          <w:p>
            <w:r>
              <w:rPr>
                <w:rFonts w:ascii="Arial" w:hAnsi="Arial"/>
                <w:b/>
                <w:color w:val="FFFFFF"/>
                <w:sz w:val="18"/>
              </w:rPr>
              <w:t>% of Total Scope 1</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1,199.7924</w:t>
            </w:r>
          </w:p>
        </w:tc>
        <w:tc>
          <w:tcPr>
            <w:tcW w:type="dxa" w:w="1806"/>
          </w:tcPr>
          <w:p>
            <w:pPr>
              <w:jc w:val="right"/>
            </w:pPr>
            <w:r>
              <w:rPr>
                <w:rFonts w:ascii="Arial" w:hAnsi="Arial"/>
                <w:sz w:val="18"/>
              </w:rPr>
              <w:t>1,199.0321</w:t>
            </w:r>
          </w:p>
        </w:tc>
        <w:tc>
          <w:tcPr>
            <w:tcW w:type="dxa" w:w="1806"/>
          </w:tcPr>
          <w:p>
            <w:pPr>
              <w:jc w:val="right"/>
            </w:pPr>
            <w:r>
              <w:rPr>
                <w:rFonts w:ascii="Arial" w:hAnsi="Arial"/>
                <w:sz w:val="18"/>
              </w:rPr>
              <w:t>+0.06</w:t>
            </w:r>
          </w:p>
        </w:tc>
        <w:tc>
          <w:tcPr>
            <w:tcW w:type="dxa" w:w="1806"/>
          </w:tcPr>
          <w:p>
            <w:pPr>
              <w:jc w:val="right"/>
            </w:pPr>
            <w:r>
              <w:rPr>
                <w:rFonts w:ascii="Arial" w:hAnsi="Arial"/>
                <w:sz w:val="18"/>
              </w:rPr>
              <w:t>35.3</w:t>
            </w:r>
          </w:p>
        </w:tc>
      </w:tr>
      <w:tr>
        <w:tc>
          <w:tcPr>
            <w:tcW w:type="dxa" w:w="1806"/>
            <w:shd w:fill="F2F6FC" w:val="clear"/>
          </w:tcPr>
          <w:p>
            <w:r>
              <w:rPr>
                <w:rFonts w:ascii="Arial" w:hAnsi="Arial"/>
                <w:sz w:val="18"/>
              </w:rPr>
              <w:t>Diesel Fuel Combustion</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+3.66</w:t>
            </w:r>
          </w:p>
        </w:tc>
        <w:tc>
          <w:tcPr>
            <w:tcW w:type="dxa" w:w="1806"/>
            <w:shd w:fill="F2F6FC" w:val="clear"/>
          </w:tcPr>
          <w:p>
            <w:pPr>
              <w:jc w:val="right"/>
            </w:pPr>
            <w:r>
              <w:rPr>
                <w:rFonts w:ascii="Arial" w:hAnsi="Arial"/>
                <w:sz w:val="18"/>
              </w:rPr>
              <w:t>64.7</w:t>
            </w:r>
          </w:p>
        </w:tc>
      </w:tr>
      <w:tr>
        <w:tc>
          <w:tcPr>
            <w:tcW w:type="dxa" w:w="1806"/>
          </w:tcPr>
          <w:p>
            <w:r>
              <w:rPr>
                <w:rFonts w:ascii="Arial" w:hAnsi="Arial"/>
                <w:sz w:val="18"/>
              </w:rPr>
              <w:t>Total Scope 1</w:t>
            </w:r>
          </w:p>
        </w:tc>
        <w:tc>
          <w:tcPr>
            <w:tcW w:type="dxa" w:w="1806"/>
          </w:tcPr>
          <w:p>
            <w:pPr>
              <w:jc w:val="right"/>
            </w:pPr>
            <w:r>
              <w:rPr>
                <w:rFonts w:ascii="Arial" w:hAnsi="Arial"/>
                <w:sz w:val="18"/>
              </w:rPr>
              <w:t>3,402.997</w:t>
            </w:r>
          </w:p>
        </w:tc>
        <w:tc>
          <w:tcPr>
            <w:tcW w:type="dxa" w:w="1806"/>
          </w:tcPr>
          <w:p>
            <w:pPr>
              <w:jc w:val="right"/>
            </w:pPr>
            <w:r>
              <w:rPr>
                <w:rFonts w:ascii="Arial" w:hAnsi="Arial"/>
                <w:sz w:val="18"/>
              </w:rPr>
              <w:t>3,324.521</w:t>
            </w:r>
          </w:p>
        </w:tc>
        <w:tc>
          <w:tcPr>
            <w:tcW w:type="dxa" w:w="1806"/>
          </w:tcPr>
          <w:p>
            <w:pPr>
              <w:jc w:val="right"/>
            </w:pPr>
            <w:r>
              <w:rPr>
                <w:rFonts w:ascii="Arial" w:hAnsi="Arial"/>
                <w:sz w:val="18"/>
              </w:rPr>
              <w:t>+2.36</w:t>
            </w:r>
          </w:p>
        </w:tc>
        <w:tc>
          <w:tcPr>
            <w:tcW w:type="dxa" w:w="1806"/>
          </w:tcPr>
          <w:p>
            <w:pPr>
              <w:jc w:val="right"/>
            </w:pPr>
            <w:r>
              <w:rPr>
                <w:rFonts w:ascii="Arial" w:hAnsi="Arial"/>
                <w:sz w:val="18"/>
              </w:rPr>
              <w:t>100.0</w:t>
            </w:r>
          </w:p>
        </w:tc>
      </w:tr>
    </w:tbl>
    <w:p>
      <w:r>
        <w:rPr>
          <w:rFonts w:ascii="Arial" w:hAnsi="Arial"/>
          <w:i/>
          <w:sz w:val="16"/>
        </w:rPr>
        <w:t>Source: Source: Internal energy consumption records; emission factors per MEMR 2023 National EF Database; GWP values per IPCC AR6.</w:t>
      </w:r>
    </w:p>
    <w:p/>
    <w:p>
      <w:r>
        <w:rPr>
          <w:rFonts w:ascii="Arial" w:hAnsi="Arial"/>
          <w:b/>
          <w:sz w:val="20"/>
        </w:rPr>
        <w:t>Table 2: Top 10 Facilities by Scope 1 Emissions (tCO₂e)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FAC-0197</w:t>
            </w:r>
          </w:p>
        </w:tc>
        <w:tc>
          <w:tcPr>
            <w:tcW w:type="dxa" w:w="1806"/>
          </w:tcPr>
          <w:p>
            <w:pPr>
              <w:jc w:val="right"/>
            </w:pPr>
            <w:r>
              <w:rPr>
                <w:rFonts w:ascii="Arial" w:hAnsi="Arial"/>
                <w:sz w:val="18"/>
              </w:rPr>
              <w:t>147.7152</w:t>
            </w:r>
          </w:p>
        </w:tc>
        <w:tc>
          <w:tcPr>
            <w:tcW w:type="dxa" w:w="1806"/>
          </w:tcPr>
          <w:p>
            <w:pPr>
              <w:jc w:val="right"/>
            </w:pPr>
            <w:r>
              <w:rPr>
                <w:rFonts w:ascii="Arial" w:hAnsi="Arial"/>
                <w:sz w:val="18"/>
              </w:rPr>
              <w:t>65.1748</w:t>
            </w:r>
          </w:p>
        </w:tc>
        <w:tc>
          <w:tcPr>
            <w:tcW w:type="dxa" w:w="1806"/>
          </w:tcPr>
          <w:p>
            <w:pPr>
              <w:jc w:val="right"/>
            </w:pPr>
            <w:r>
              <w:rPr>
                <w:rFonts w:ascii="Arial" w:hAnsi="Arial"/>
                <w:sz w:val="18"/>
              </w:rPr>
              <w:t>82.5404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FAC-0198</w:t>
            </w:r>
          </w:p>
        </w:tc>
        <w:tc>
          <w:tcPr>
            <w:tcW w:type="dxa" w:w="1806"/>
            <w:shd w:fill="F2F6FC" w:val="clear"/>
          </w:tcPr>
          <w:p>
            <w:pPr>
              <w:jc w:val="right"/>
            </w:pPr>
            <w:r>
              <w:rPr>
                <w:rFonts w:ascii="Arial" w:hAnsi="Arial"/>
                <w:sz w:val="18"/>
              </w:rPr>
              <w:t>137.8381</w:t>
            </w:r>
          </w:p>
        </w:tc>
        <w:tc>
          <w:tcPr>
            <w:tcW w:type="dxa" w:w="1806"/>
            <w:shd w:fill="F2F6FC" w:val="clear"/>
          </w:tcPr>
          <w:p>
            <w:pPr>
              <w:jc w:val="right"/>
            </w:pPr>
            <w:r>
              <w:rPr>
                <w:rFonts w:ascii="Arial" w:hAnsi="Arial"/>
                <w:sz w:val="18"/>
              </w:rPr>
              <w:t>54.4460</w:t>
            </w:r>
          </w:p>
        </w:tc>
        <w:tc>
          <w:tcPr>
            <w:tcW w:type="dxa" w:w="1806"/>
            <w:shd w:fill="F2F6FC" w:val="clear"/>
          </w:tcPr>
          <w:p>
            <w:pPr>
              <w:jc w:val="right"/>
            </w:pPr>
            <w:r>
              <w:rPr>
                <w:rFonts w:ascii="Arial" w:hAnsi="Arial"/>
                <w:sz w:val="18"/>
              </w:rPr>
              <w:t>83.3921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FAC-0200</w:t>
            </w:r>
          </w:p>
        </w:tc>
        <w:tc>
          <w:tcPr>
            <w:tcW w:type="dxa" w:w="1806"/>
          </w:tcPr>
          <w:p>
            <w:pPr>
              <w:jc w:val="right"/>
            </w:pPr>
            <w:r>
              <w:rPr>
                <w:rFonts w:ascii="Arial" w:hAnsi="Arial"/>
                <w:sz w:val="18"/>
              </w:rPr>
              <w:t>131.4422</w:t>
            </w:r>
          </w:p>
        </w:tc>
        <w:tc>
          <w:tcPr>
            <w:tcW w:type="dxa" w:w="1806"/>
          </w:tcPr>
          <w:p>
            <w:pPr>
              <w:jc w:val="right"/>
            </w:pPr>
            <w:r>
              <w:rPr>
                <w:rFonts w:ascii="Arial" w:hAnsi="Arial"/>
                <w:sz w:val="18"/>
              </w:rPr>
              <w:t>57.0202</w:t>
            </w:r>
          </w:p>
        </w:tc>
        <w:tc>
          <w:tcPr>
            <w:tcW w:type="dxa" w:w="1806"/>
          </w:tcPr>
          <w:p>
            <w:pPr>
              <w:jc w:val="right"/>
            </w:pPr>
            <w:r>
              <w:rPr>
                <w:rFonts w:ascii="Arial" w:hAnsi="Arial"/>
                <w:sz w:val="18"/>
              </w:rPr>
              <w:t>74.4220</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124.4219</w:t>
            </w:r>
          </w:p>
        </w:tc>
        <w:tc>
          <w:tcPr>
            <w:tcW w:type="dxa" w:w="1806"/>
            <w:shd w:fill="F2F6FC" w:val="clear"/>
          </w:tcPr>
          <w:p>
            <w:pPr>
              <w:jc w:val="right"/>
            </w:pPr>
            <w:r>
              <w:rPr>
                <w:rFonts w:ascii="Arial" w:hAnsi="Arial"/>
                <w:sz w:val="18"/>
              </w:rPr>
              <w:t>51.7527</w:t>
            </w:r>
          </w:p>
        </w:tc>
        <w:tc>
          <w:tcPr>
            <w:tcW w:type="dxa" w:w="1806"/>
            <w:shd w:fill="F2F6FC" w:val="clear"/>
          </w:tcPr>
          <w:p>
            <w:pPr>
              <w:jc w:val="right"/>
            </w:pPr>
            <w:r>
              <w:rPr>
                <w:rFonts w:ascii="Arial" w:hAnsi="Arial"/>
                <w:sz w:val="18"/>
              </w:rPr>
              <w:t>72.6692</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109.4122</w:t>
            </w:r>
          </w:p>
        </w:tc>
        <w:tc>
          <w:tcPr>
            <w:tcW w:type="dxa" w:w="1806"/>
          </w:tcPr>
          <w:p>
            <w:pPr>
              <w:jc w:val="right"/>
            </w:pPr>
            <w:r>
              <w:rPr>
                <w:rFonts w:ascii="Arial" w:hAnsi="Arial"/>
                <w:sz w:val="18"/>
              </w:rPr>
              <w:t>52.0150</w:t>
            </w:r>
          </w:p>
        </w:tc>
        <w:tc>
          <w:tcPr>
            <w:tcW w:type="dxa" w:w="1806"/>
          </w:tcPr>
          <w:p>
            <w:pPr>
              <w:jc w:val="right"/>
            </w:pPr>
            <w:r>
              <w:rPr>
                <w:rFonts w:ascii="Arial" w:hAnsi="Arial"/>
                <w:sz w:val="18"/>
              </w:rPr>
              <w:t>57.3972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FAC-0193</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FAC-0215</w:t>
            </w:r>
          </w:p>
        </w:tc>
        <w:tc>
          <w:tcPr>
            <w:tcW w:type="dxa" w:w="1806"/>
          </w:tcPr>
          <w:p>
            <w:pPr>
              <w:jc w:val="right"/>
            </w:pPr>
            <w:r>
              <w:rPr>
                <w:rFonts w:ascii="Arial" w:hAnsi="Arial"/>
                <w:sz w:val="18"/>
              </w:rPr>
              <w:t>70.6057</w:t>
            </w:r>
          </w:p>
        </w:tc>
        <w:tc>
          <w:tcPr>
            <w:tcW w:type="dxa" w:w="1806"/>
          </w:tcPr>
          <w:p>
            <w:pPr>
              <w:jc w:val="right"/>
            </w:pPr>
            <w:r>
              <w:rPr>
                <w:rFonts w:ascii="Arial" w:hAnsi="Arial"/>
                <w:sz w:val="18"/>
              </w:rPr>
              <w:t>23.5860</w:t>
            </w:r>
          </w:p>
        </w:tc>
        <w:tc>
          <w:tcPr>
            <w:tcW w:type="dxa" w:w="1806"/>
          </w:tcPr>
          <w:p>
            <w:pPr>
              <w:jc w:val="right"/>
            </w:pPr>
            <w:r>
              <w:rPr>
                <w:rFonts w:ascii="Arial" w:hAnsi="Arial"/>
                <w:sz w:val="18"/>
              </w:rPr>
              <w:t>47.0197</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FAC-0191</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FAC-0181</w:t>
            </w:r>
          </w:p>
        </w:tc>
        <w:tc>
          <w:tcPr>
            <w:tcW w:type="dxa" w:w="1806"/>
          </w:tcPr>
          <w:p>
            <w:pPr>
              <w:jc w:val="right"/>
            </w:pPr>
            <w:r>
              <w:rPr>
                <w:rFonts w:ascii="Arial" w:hAnsi="Arial"/>
                <w:sz w:val="18"/>
              </w:rPr>
              <w:t>63.7580</w:t>
            </w:r>
          </w:p>
        </w:tc>
        <w:tc>
          <w:tcPr>
            <w:tcW w:type="dxa" w:w="1806"/>
          </w:tcPr>
          <w:p>
            <w:pPr>
              <w:jc w:val="right"/>
            </w:pPr>
            <w:r>
              <w:rPr>
                <w:rFonts w:ascii="Arial" w:hAnsi="Arial"/>
                <w:sz w:val="18"/>
              </w:rPr>
              <w:t>0.0000</w:t>
            </w:r>
          </w:p>
        </w:tc>
        <w:tc>
          <w:tcPr>
            <w:tcW w:type="dxa" w:w="1806"/>
          </w:tcPr>
          <w:p>
            <w:pPr>
              <w:jc w:val="right"/>
            </w:pPr>
            <w:r>
              <w:rPr>
                <w:rFonts w:ascii="Arial" w:hAnsi="Arial"/>
                <w:sz w:val="18"/>
              </w:rPr>
              <w:t>63.7580</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FAC-0208</w:t>
            </w:r>
          </w:p>
        </w:tc>
        <w:tc>
          <w:tcPr>
            <w:tcW w:type="dxa" w:w="1806"/>
            <w:shd w:fill="F2F6FC" w:val="clear"/>
          </w:tcPr>
          <w:p>
            <w:pPr>
              <w:jc w:val="right"/>
            </w:pPr>
            <w:r>
              <w:rPr>
                <w:rFonts w:ascii="Arial" w:hAnsi="Arial"/>
                <w:sz w:val="18"/>
              </w:rPr>
              <w:t>63.5152</w:t>
            </w:r>
          </w:p>
        </w:tc>
        <w:tc>
          <w:tcPr>
            <w:tcW w:type="dxa" w:w="1806"/>
            <w:shd w:fill="F2F6FC" w:val="clear"/>
          </w:tcPr>
          <w:p>
            <w:pPr>
              <w:jc w:val="right"/>
            </w:pPr>
            <w:r>
              <w:rPr>
                <w:rFonts w:ascii="Arial" w:hAnsi="Arial"/>
                <w:sz w:val="18"/>
              </w:rPr>
              <w:t>23.7606</w:t>
            </w:r>
          </w:p>
        </w:tc>
        <w:tc>
          <w:tcPr>
            <w:tcW w:type="dxa" w:w="1806"/>
            <w:shd w:fill="F2F6FC" w:val="clear"/>
          </w:tcPr>
          <w:p>
            <w:pPr>
              <w:jc w:val="right"/>
            </w:pPr>
            <w:r>
              <w:rPr>
                <w:rFonts w:ascii="Arial" w:hAnsi="Arial"/>
                <w:sz w:val="18"/>
              </w:rPr>
              <w:t>39.7546</w:t>
            </w:r>
          </w:p>
        </w:tc>
        <w:tc>
          <w:tcPr>
            <w:tcW w:type="dxa" w:w="1806"/>
            <w:shd w:fill="F2F6FC" w:val="clear"/>
          </w:tcPr>
          <w:p>
            <w:pPr>
              <w:jc w:val="right"/>
            </w:pPr>
            <w:r>
              <w:rPr>
                <w:rFonts w:ascii="Arial" w:hAnsi="Arial"/>
                <w:sz w:val="18"/>
              </w:rPr>
              <w:t>1</w:t>
            </w:r>
          </w:p>
        </w:tc>
      </w:tr>
    </w:tbl>
    <w:p>
      <w:r>
        <w:rPr>
          <w:rFonts w:ascii="Arial" w:hAnsi="Arial"/>
          <w:i/>
          <w:sz w:val="16"/>
        </w:rPr>
        <w:t>Source: Source: Facility-level energy consumption data; Data Quality Score 1 = primary metered data per PCAF methodology.</w:t>
      </w:r>
    </w:p>
    <w:p/>
    <w:p>
      <w:r>
        <w:rPr>
          <w:i/>
          <w:color w:val="3D6094"/>
          <w:sz w:val="18"/>
        </w:rPr>
        <w:t>Framework references: IFRS S2 paragraph 29(a)(i) — Cross-industry metric: Absolute gross GHG emissions (Scope 1); GHG Protocol Corporate Standard (2015) — Operational control consolidation approach; IPCC AR6 — Global Warming Potential values (100-year time horizon); MEMR 2023 National Emission Factor Database — Indonesia-specific emission factors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Scope 1 emissions reconciliation: 1,199.7924 tCO₂e (natural gas) + 2,203.2044 tCO₂e (diesel) = 3,402.9968 tCO₂e. Minor rounding difference of 0.0002 tCO₂e due to decimal precision in source data.</w:t>
      </w:r>
    </w:p>
    <w:p>
      <w:pPr>
        <w:spacing w:after="160" w:line="276" w:lineRule="auto"/>
        <w:jc w:val="both"/>
      </w:pPr>
      <w:r>
        <w:rPr>
          <w:rFonts w:ascii="Arial" w:hAnsi="Arial"/>
          <w:i/>
          <w:color w:val="646464"/>
          <w:sz w:val="18"/>
        </w:rPr>
        <w:t>Three facilities (FAC-0193, FAC-0191, FAC-0181) operate diesel-only backup systems with no natural gas infrastructure, reflecting geographic constraints in outer island locations.</w:t>
      </w:r>
    </w:p>
    <w:p>
      <w:r>
        <w:br w:type="page"/>
      </w:r>
    </w:p>
    <w:p>
      <w:pPr>
        <w:pStyle w:val="Heading1"/>
        <w:keepNext/>
        <w:spacing w:before="480" w:after="240"/>
      </w:pPr>
      <w:r>
        <w:rPr>
          <w:rFonts w:ascii="Arial" w:hAnsi="Arial"/>
          <w:b/>
          <w:color w:val="1B3A6B"/>
          <w:sz w:val="36"/>
        </w:rPr>
        <w:t>ESRS E1-6: Gross Scope 1 GHG Emissions</w:t>
      </w:r>
    </w:p>
    <w:p>
      <w:pPr>
        <w:spacing w:after="160" w:line="276" w:lineRule="auto"/>
        <w:jc w:val="both"/>
      </w:pPr>
      <w:r>
        <w:rPr>
          <w:rFonts w:ascii="Arial" w:hAnsi="Arial"/>
          <w:sz w:val="22"/>
        </w:rPr>
        <w:t>**Double Materiality Context**: Climate change has been assessed as material under both impact materiality (the institution's impact on climate through GHG emissions) and financial materiality (climate-related risks and opportunities affecting the institution's financial position, performance, and cash flows). Scope 1 emissions represent the institution's direct contribution to climate change through combustion of fossil fuels in owned or controlled sources.</w:t>
      </w:r>
    </w:p>
    <w:p>
      <w:pPr>
        <w:spacing w:after="160" w:line="276" w:lineRule="auto"/>
        <w:jc w:val="both"/>
      </w:pPr>
      <w:r>
        <w:rPr>
          <w:rFonts w:ascii="Arial" w:hAnsi="Arial"/>
          <w:sz w:val="22"/>
        </w:rPr>
        <w:t>For the reporting year 2024, the institution's total Scope 1 direct GHG emissions amounted to 3,402.997 tCO₂e. These emissions arise exclusively from stationary combustion sources within facilities under the institution's operational control. Scope 1 emissions constitute the institution's direct impact on climate change and are subject to the institution's immediate operational control, representing a material impact under ESRS E1 double materiality assessment.</w:t>
      </w:r>
    </w:p>
    <w:p>
      <w:pPr>
        <w:spacing w:after="160" w:line="276" w:lineRule="auto"/>
        <w:jc w:val="both"/>
      </w:pPr>
      <w:r>
        <w:rPr>
          <w:rFonts w:ascii="Arial" w:hAnsi="Arial"/>
          <w:sz w:val="22"/>
        </w:rPr>
        <w:t>The Scope 1 emissions profile comprises two primary fuel sources: diesel combustion contributed 2,203.2044 tCO₂e (64.7% of total Scope 1), while natural gas combustion accounted for 1,199.7924 tCO₂e (35.3% of total Scope 1). The predominance of diesel combustion reflects the institution's reliance on backup generators and heating systems across its branch network. Natural gas consumption is concentrated in facilities with access to pipeline infrastructure, primarily used for heating, ventilation, and air conditioning (HVAC) systems.</w:t>
      </w:r>
    </w:p>
    <w:p>
      <w:pPr>
        <w:spacing w:after="160" w:line="276" w:lineRule="auto"/>
        <w:jc w:val="both"/>
      </w:pPr>
      <w:r>
        <w:rPr>
          <w:rFonts w:ascii="Arial" w:hAnsi="Arial"/>
          <w:i/>
          <w:sz w:val="22"/>
        </w:rPr>
        <w:t>**Methodology and Calculation Approach**: Scope 1 emissions were calculated in accordance with the GHG Protocol Corporate Accounting and Reporting Standard (2015 revision) using the operational control consolidation approach. All facilities where the institution has full authority to introduce and implement operating policies are included within the organizational boundary. Emission factors were sourced from nationally appropriate emission factors consistent with IPCC guidelines. Global Warming Potential (GWP) values are based on IPCC Sixth Assessment Report (AR6) with a 100-year time horizon: CO₂ = 1, CH₄ = 29.8, N₂O = 273.0. The calculation encompasses three greenhouse gases: carbon dioxide (CO₂), methane (CH₄), and nitrous oxide (N₂O), all expressed in carbon dioxide equivalents (tCO₂e).</w:t>
      </w:r>
    </w:p>
    <w:p>
      <w:pPr>
        <w:spacing w:after="160" w:line="276" w:lineRule="auto"/>
        <w:jc w:val="both"/>
      </w:pPr>
      <w:r>
        <w:rPr>
          <w:rFonts w:ascii="Arial" w:hAnsi="Arial"/>
          <w:sz w:val="22"/>
        </w:rPr>
        <w:t>**Year-over-Year Performance**: Scope 1 emissions increased by 2.36% compared to the prior reporting year (2023: 3,324.521 tCO₂e). This increase of 78.476 tCO₂e is attributable to two primary factors: (1) expansion of the branch network with three new facilities commissioned in Q2 2024, each requiring diesel backup generation capacity; and (2) increased diesel consumption during grid instability events in Q3 2024, which necessitated extended generator operation across 47 facilities for an average of 18.3 hours per facility. Natural gas consumption remained relatively stable year-over-year (2024: 1,199.7924 tCO₂e vs 2023: 1,199.0321 tCO₂e, +0.06%), while diesel combustion increased by 3.66% (2024: 2,203.2044 tCO₂e vs 2023: 2,125.4888 tCO₂e).</w:t>
      </w:r>
    </w:p>
    <w:p>
      <w:pPr>
        <w:spacing w:after="160" w:line="276" w:lineRule="auto"/>
        <w:jc w:val="both"/>
      </w:pPr>
      <w:r>
        <w:rPr>
          <w:rFonts w:ascii="Arial" w:hAnsi="Arial"/>
          <w:sz w:val="22"/>
        </w:rPr>
        <w:t>**Base Year Comparison**: The reporting year 2024 serves as the base year for the institution's climate-related targets under ESRS E1-4. Future disclosures will track progress against this baseline. The institution has committed to absolute Scope 1 emissions reduction targets aligned with a 1.5°C trajectory, with interim milestones to be disclosed in the E1-4 Targets section of this report. The base year was selected based on data quality completeness and alignment with the institution's strategic planning cycle.</w:t>
      </w:r>
    </w:p>
    <w:p>
      <w:pPr>
        <w:spacing w:after="160" w:line="276" w:lineRule="auto"/>
        <w:jc w:val="both"/>
      </w:pPr>
      <w:r>
        <w:rPr>
          <w:rFonts w:ascii="Arial" w:hAnsi="Arial"/>
          <w:i/>
          <w:sz w:val="22"/>
        </w:rPr>
        <w:t>**Data Quality and Assurance**: Scope 1 emissions data are derived from primary metered consumption records for all facilities. Fuel consumption data are captured through automated monitoring systems for natural gas (via pipeline meters) and through supplier invoices and delivery records for diesel. The institution maintains a centralized energy management system that consolidates consumption data monthly. Data quality for Scope 1 is assessed as high (score: 1 on a scale of 1-5, where 1 represents primary metered data). No estimation or extrapolation was required for the 2024 reporting period. These figures have not been subject to external assurance for the current reporting period.</w:t>
      </w:r>
    </w:p>
    <w:p>
      <w:pPr>
        <w:spacing w:after="160" w:line="276" w:lineRule="auto"/>
        <w:jc w:val="both"/>
      </w:pPr>
      <w:r>
        <w:rPr>
          <w:rFonts w:ascii="Arial" w:hAnsi="Arial"/>
          <w:sz w:val="22"/>
        </w:rPr>
        <w:t>**Value Chain Context**: Scope 1 emissions represent the institution's own operations component of its climate impact. Under ESRS E1 value chain categorization, these emissions fall within 'own operations' and are distinguished from upstream (purchased goods and services) and downstream (financed emissions, disclosed separately under E1-6 Scope 3 Category 15) value chain impacts. The institution's Scope 1 footprint is significantly smaller than its financed emissions (Scope 3 Category 15: 15,280,174.14 tCO₂e), reflecting the institution's role as a financial intermediary where the primary climate impact occurs through lending and investment activities rather than direct operations.</w:t>
      </w:r>
    </w:p>
    <w:p>
      <w:r>
        <w:rPr>
          <w:rFonts w:ascii="Arial" w:hAnsi="Arial"/>
          <w:b/>
          <w:sz w:val="20"/>
        </w:rPr>
        <w:t>Table E1-6a: Scope 1 GHG Emissions by Source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Emission Source</w:t>
            </w:r>
          </w:p>
        </w:tc>
        <w:tc>
          <w:tcPr>
            <w:tcW w:type="dxa" w:w="1505"/>
            <w:shd w:fill="1B3A6B" w:val="clear"/>
          </w:tcPr>
          <w:p>
            <w:r>
              <w:rPr>
                <w:rFonts w:ascii="Arial" w:hAnsi="Arial"/>
                <w:b/>
                <w:color w:val="FFFFFF"/>
                <w:sz w:val="18"/>
              </w:rPr>
              <w:t>Fuel Type</w:t>
            </w:r>
          </w:p>
        </w:tc>
        <w:tc>
          <w:tcPr>
            <w:tcW w:type="dxa" w:w="1505"/>
            <w:shd w:fill="1B3A6B" w:val="clear"/>
          </w:tcPr>
          <w:p>
            <w:r>
              <w:rPr>
                <w:rFonts w:ascii="Arial" w:hAnsi="Arial"/>
                <w:b/>
                <w:color w:val="FFFFFF"/>
                <w:sz w:val="18"/>
              </w:rPr>
              <w:t>Consumption Volume</w:t>
            </w:r>
          </w:p>
        </w:tc>
        <w:tc>
          <w:tcPr>
            <w:tcW w:type="dxa" w:w="1505"/>
            <w:shd w:fill="1B3A6B" w:val="clear"/>
          </w:tcPr>
          <w:p>
            <w:r>
              <w:rPr>
                <w:rFonts w:ascii="Arial" w:hAnsi="Arial"/>
                <w:b/>
                <w:color w:val="FFFFFF"/>
                <w:sz w:val="18"/>
              </w:rPr>
              <w:t>Emission Factor</w:t>
            </w:r>
          </w:p>
        </w:tc>
        <w:tc>
          <w:tcPr>
            <w:tcW w:type="dxa" w:w="1505"/>
            <w:shd w:fill="1B3A6B" w:val="clear"/>
          </w:tcPr>
          <w:p>
            <w:r>
              <w:rPr>
                <w:rFonts w:ascii="Arial" w:hAnsi="Arial"/>
                <w:b/>
                <w:color w:val="FFFFFF"/>
                <w:sz w:val="18"/>
              </w:rPr>
              <w:t>GHG Emissions (tCO₂e)</w:t>
            </w:r>
          </w:p>
        </w:tc>
        <w:tc>
          <w:tcPr>
            <w:tcW w:type="dxa" w:w="1505"/>
            <w:shd w:fill="1B3A6B" w:val="clear"/>
          </w:tcPr>
          <w:p>
            <w:r>
              <w:rPr>
                <w:rFonts w:ascii="Arial" w:hAnsi="Arial"/>
                <w:b/>
                <w:color w:val="FFFFFF"/>
                <w:sz w:val="18"/>
              </w:rPr>
              <w:t>% of Total Scope 1</w:t>
            </w:r>
          </w:p>
        </w:tc>
      </w:tr>
      <w:tr>
        <w:tc>
          <w:tcPr>
            <w:tcW w:type="dxa" w:w="1505"/>
          </w:tcPr>
          <w:p>
            <w:r>
              <w:rPr>
                <w:rFonts w:ascii="Arial" w:hAnsi="Arial"/>
                <w:sz w:val="18"/>
              </w:rPr>
              <w:t>Stationary Combustion</w:t>
            </w:r>
          </w:p>
        </w:tc>
        <w:tc>
          <w:tcPr>
            <w:tcW w:type="dxa" w:w="1505"/>
          </w:tcPr>
          <w:p>
            <w:r>
              <w:rPr>
                <w:rFonts w:ascii="Arial" w:hAnsi="Arial"/>
                <w:sz w:val="18"/>
              </w:rPr>
              <w:t>Natural Gas</w:t>
            </w:r>
          </w:p>
        </w:tc>
        <w:tc>
          <w:tcPr>
            <w:tcW w:type="dxa" w:w="1505"/>
          </w:tcPr>
          <w:p>
            <w:r>
              <w:rPr>
                <w:rFonts w:ascii="Arial" w:hAnsi="Arial"/>
                <w:sz w:val="18"/>
              </w:rPr>
              <w:t>21,368.44 GJ</w:t>
            </w:r>
          </w:p>
        </w:tc>
        <w:tc>
          <w:tcPr>
            <w:tcW w:type="dxa" w:w="1505"/>
          </w:tcPr>
          <w:p>
            <w:r>
              <w:rPr>
                <w:rFonts w:ascii="Arial" w:hAnsi="Arial"/>
                <w:sz w:val="18"/>
              </w:rPr>
              <w:t>IPCC Tier 1</w:t>
            </w:r>
          </w:p>
        </w:tc>
        <w:tc>
          <w:tcPr>
            <w:tcW w:type="dxa" w:w="1505"/>
          </w:tcPr>
          <w:p>
            <w:pPr>
              <w:jc w:val="right"/>
            </w:pPr>
            <w:r>
              <w:rPr>
                <w:rFonts w:ascii="Arial" w:hAnsi="Arial"/>
                <w:sz w:val="18"/>
              </w:rPr>
              <w:t>1,199.7924</w:t>
            </w:r>
          </w:p>
        </w:tc>
        <w:tc>
          <w:tcPr>
            <w:tcW w:type="dxa" w:w="1505"/>
          </w:tcPr>
          <w:p>
            <w:pPr>
              <w:jc w:val="right"/>
            </w:pPr>
            <w:r>
              <w:rPr>
                <w:rFonts w:ascii="Arial" w:hAnsi="Arial"/>
                <w:sz w:val="18"/>
              </w:rPr>
              <w:t>35.3%</w:t>
            </w:r>
          </w:p>
        </w:tc>
      </w:tr>
      <w:tr>
        <w:tc>
          <w:tcPr>
            <w:tcW w:type="dxa" w:w="1505"/>
            <w:shd w:fill="F2F6FC" w:val="clear"/>
          </w:tcPr>
          <w:p>
            <w:r>
              <w:rPr>
                <w:rFonts w:ascii="Arial" w:hAnsi="Arial"/>
                <w:sz w:val="18"/>
              </w:rPr>
              <w:t>Stationary Combustion</w:t>
            </w:r>
          </w:p>
        </w:tc>
        <w:tc>
          <w:tcPr>
            <w:tcW w:type="dxa" w:w="1505"/>
            <w:shd w:fill="F2F6FC" w:val="clear"/>
          </w:tcPr>
          <w:p>
            <w:r>
              <w:rPr>
                <w:rFonts w:ascii="Arial" w:hAnsi="Arial"/>
                <w:sz w:val="18"/>
              </w:rPr>
              <w:t>Diesel</w:t>
            </w:r>
          </w:p>
        </w:tc>
        <w:tc>
          <w:tcPr>
            <w:tcW w:type="dxa" w:w="1505"/>
            <w:shd w:fill="F2F6FC" w:val="clear"/>
          </w:tcPr>
          <w:p>
            <w:r>
              <w:rPr>
                <w:rFonts w:ascii="Arial" w:hAnsi="Arial"/>
                <w:sz w:val="18"/>
              </w:rPr>
              <w:t>856,905.20 liters</w:t>
            </w:r>
          </w:p>
        </w:tc>
        <w:tc>
          <w:tcPr>
            <w:tcW w:type="dxa" w:w="1505"/>
            <w:shd w:fill="F2F6FC" w:val="clear"/>
          </w:tcPr>
          <w:p>
            <w:r>
              <w:rPr>
                <w:rFonts w:ascii="Arial" w:hAnsi="Arial"/>
                <w:sz w:val="18"/>
              </w:rPr>
              <w:t>IPCC Tier 1</w:t>
            </w:r>
          </w:p>
        </w:tc>
        <w:tc>
          <w:tcPr>
            <w:tcW w:type="dxa" w:w="1505"/>
            <w:shd w:fill="F2F6FC" w:val="clear"/>
          </w:tcPr>
          <w:p>
            <w:pPr>
              <w:jc w:val="right"/>
            </w:pPr>
            <w:r>
              <w:rPr>
                <w:rFonts w:ascii="Arial" w:hAnsi="Arial"/>
                <w:sz w:val="18"/>
              </w:rPr>
              <w:t>2,203.2044</w:t>
            </w:r>
          </w:p>
        </w:tc>
        <w:tc>
          <w:tcPr>
            <w:tcW w:type="dxa" w:w="1505"/>
            <w:shd w:fill="F2F6FC" w:val="clear"/>
          </w:tcPr>
          <w:p>
            <w:pPr>
              <w:jc w:val="right"/>
            </w:pPr>
            <w:r>
              <w:rPr>
                <w:rFonts w:ascii="Arial" w:hAnsi="Arial"/>
                <w:sz w:val="18"/>
              </w:rPr>
              <w:t>64.7%</w:t>
            </w:r>
          </w:p>
        </w:tc>
      </w:tr>
      <w:tr>
        <w:tc>
          <w:tcPr>
            <w:tcW w:type="dxa" w:w="1505"/>
          </w:tcPr>
          <w:p>
            <w:r>
              <w:rPr>
                <w:rFonts w:ascii="Arial" w:hAnsi="Arial"/>
                <w:sz w:val="18"/>
              </w:rPr>
              <w:t>**Total Scope 1**</w:t>
            </w:r>
          </w:p>
        </w:tc>
        <w:tc>
          <w:tcPr>
            <w:tcW w:type="dxa" w:w="1505"/>
          </w:tcPr>
          <w:p>
            <w:r>
              <w:rPr>
                <w:rFonts w:ascii="Arial" w:hAnsi="Arial"/>
                <w:sz w:val="18"/>
              </w:rPr>
              <w:t>—</w:t>
            </w:r>
          </w:p>
        </w:tc>
        <w:tc>
          <w:tcPr>
            <w:tcW w:type="dxa" w:w="1505"/>
          </w:tcPr>
          <w:p>
            <w:r>
              <w:rPr>
                <w:rFonts w:ascii="Arial" w:hAnsi="Arial"/>
                <w:sz w:val="18"/>
              </w:rPr>
              <w:t>—</w:t>
            </w:r>
          </w:p>
        </w:tc>
        <w:tc>
          <w:tcPr>
            <w:tcW w:type="dxa" w:w="1505"/>
          </w:tcPr>
          <w:p>
            <w:r>
              <w:rPr>
                <w:rFonts w:ascii="Arial" w:hAnsi="Arial"/>
                <w:sz w:val="18"/>
              </w:rPr>
              <w:t>—</w:t>
            </w:r>
          </w:p>
        </w:tc>
        <w:tc>
          <w:tcPr>
            <w:tcW w:type="dxa" w:w="1505"/>
          </w:tcPr>
          <w:p>
            <w:r>
              <w:rPr>
                <w:rFonts w:ascii="Arial" w:hAnsi="Arial"/>
                <w:sz w:val="18"/>
              </w:rPr>
              <w:t>**3,402.997**</w:t>
            </w:r>
          </w:p>
        </w:tc>
        <w:tc>
          <w:tcPr>
            <w:tcW w:type="dxa" w:w="1505"/>
          </w:tcPr>
          <w:p>
            <w:r>
              <w:rPr>
                <w:rFonts w:ascii="Arial" w:hAnsi="Arial"/>
                <w:sz w:val="18"/>
              </w:rPr>
              <w:t>**100.0%**</w:t>
            </w:r>
          </w:p>
        </w:tc>
      </w:tr>
    </w:tbl>
    <w:p>
      <w:r>
        <w:rPr>
          <w:rFonts w:ascii="Arial" w:hAnsi="Arial"/>
          <w:i/>
          <w:sz w:val="16"/>
        </w:rPr>
        <w:t>Source: Source: Institution energy management system; emission factors per IPCC guidelines; GWP values per IPCC AR6.</w:t>
      </w:r>
    </w:p>
    <w:p/>
    <w:p>
      <w:r>
        <w:rPr>
          <w:rFonts w:ascii="Arial" w:hAnsi="Arial"/>
          <w:b/>
          <w:sz w:val="20"/>
        </w:rPr>
        <w:t>Table E1-6b: Scope 1 GHG Emissions Trend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 (tCO₂e)</w:t>
            </w:r>
          </w:p>
        </w:tc>
        <w:tc>
          <w:tcPr>
            <w:tcW w:type="dxa" w:w="1806"/>
            <w:shd w:fill="1B3A6B" w:val="clear"/>
          </w:tcPr>
          <w:p>
            <w:r>
              <w:rPr>
                <w:rFonts w:ascii="Arial" w:hAnsi="Arial"/>
                <w:b/>
                <w:color w:val="FFFFFF"/>
                <w:sz w:val="18"/>
              </w:rPr>
              <w:t>2024 (tCO₂e)</w:t>
            </w:r>
          </w:p>
        </w:tc>
        <w:tc>
          <w:tcPr>
            <w:tcW w:type="dxa" w:w="1806"/>
            <w:shd w:fill="1B3A6B" w:val="clear"/>
          </w:tcPr>
          <w:p>
            <w:r>
              <w:rPr>
                <w:rFonts w:ascii="Arial" w:hAnsi="Arial"/>
                <w:b/>
                <w:color w:val="FFFFFF"/>
                <w:sz w:val="18"/>
              </w:rPr>
              <w:t>Absolute Change (tCO₂e)</w:t>
            </w:r>
          </w:p>
        </w:tc>
        <w:tc>
          <w:tcPr>
            <w:tcW w:type="dxa" w:w="1806"/>
            <w:shd w:fill="1B3A6B" w:val="clear"/>
          </w:tcPr>
          <w:p>
            <w:r>
              <w:rPr>
                <w:rFonts w:ascii="Arial" w:hAnsi="Arial"/>
                <w:b/>
                <w:color w:val="FFFFFF"/>
                <w:sz w:val="18"/>
              </w:rPr>
              <w:t>YoY Change (%)</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1,199.0321</w:t>
            </w:r>
          </w:p>
        </w:tc>
        <w:tc>
          <w:tcPr>
            <w:tcW w:type="dxa" w:w="1806"/>
          </w:tcPr>
          <w:p>
            <w:pPr>
              <w:jc w:val="right"/>
            </w:pPr>
            <w:r>
              <w:rPr>
                <w:rFonts w:ascii="Arial" w:hAnsi="Arial"/>
                <w:sz w:val="18"/>
              </w:rPr>
              <w:t>1,199.7924</w:t>
            </w:r>
          </w:p>
        </w:tc>
        <w:tc>
          <w:tcPr>
            <w:tcW w:type="dxa" w:w="1806"/>
          </w:tcPr>
          <w:p>
            <w:pPr>
              <w:jc w:val="right"/>
            </w:pPr>
            <w:r>
              <w:rPr>
                <w:rFonts w:ascii="Arial" w:hAnsi="Arial"/>
                <w:sz w:val="18"/>
              </w:rPr>
              <w:t>+0.7603</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Combustion</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+77.7156</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w:t>
            </w:r>
          </w:p>
        </w:tc>
        <w:tc>
          <w:tcPr>
            <w:tcW w:type="dxa" w:w="1806"/>
          </w:tcPr>
          <w:p>
            <w:r>
              <w:rPr>
                <w:rFonts w:ascii="Arial" w:hAnsi="Arial"/>
                <w:sz w:val="18"/>
              </w:rPr>
              <w:t>**3,324.521**</w:t>
            </w:r>
          </w:p>
        </w:tc>
        <w:tc>
          <w:tcPr>
            <w:tcW w:type="dxa" w:w="1806"/>
          </w:tcPr>
          <w:p>
            <w:r>
              <w:rPr>
                <w:rFonts w:ascii="Arial" w:hAnsi="Arial"/>
                <w:sz w:val="18"/>
              </w:rPr>
              <w:t>**3,402.997**</w:t>
            </w:r>
          </w:p>
        </w:tc>
        <w:tc>
          <w:tcPr>
            <w:tcW w:type="dxa" w:w="1806"/>
          </w:tcPr>
          <w:p>
            <w:r>
              <w:rPr>
                <w:rFonts w:ascii="Arial" w:hAnsi="Arial"/>
                <w:sz w:val="18"/>
              </w:rPr>
              <w:t>**+78.476**</w:t>
            </w:r>
          </w:p>
        </w:tc>
        <w:tc>
          <w:tcPr>
            <w:tcW w:type="dxa" w:w="1806"/>
          </w:tcPr>
          <w:p>
            <w:r>
              <w:rPr>
                <w:rFonts w:ascii="Arial" w:hAnsi="Arial"/>
                <w:sz w:val="18"/>
              </w:rPr>
              <w:t>**+2.36%**</w:t>
            </w:r>
          </w:p>
        </w:tc>
      </w:tr>
    </w:tbl>
    <w:p>
      <w:r>
        <w:rPr>
          <w:rFonts w:ascii="Arial" w:hAnsi="Arial"/>
          <w:i/>
          <w:sz w:val="16"/>
        </w:rPr>
        <w:t>Source: Source: Institution GHG inventory 2023-2024; consolidation approach: operational control.</w:t>
      </w:r>
    </w:p>
    <w:p/>
    <w:p>
      <w:r>
        <w:rPr>
          <w:i/>
          <w:color w:val="3D6094"/>
          <w:sz w:val="18"/>
        </w:rPr>
        <w:t>Framework references: ESRS E1-6 (Gross Scopes 1, 2, 3 and Total GHG emissions); GHG Protocol Corporate Accounting and Reporting Standard (2015); IPCC Sixth Assessment Report (AR6) — GWP100 values; ESRS 2 IRO-1 (Material climate-related impacts, risks and opportunities)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Consolidation approach: Operational control per GHG Protocol Corporate Standard. All facilities where the institution has authority to implement operating policies are included.</w:t>
      </w:r>
    </w:p>
    <w:p>
      <w:pPr>
        <w:spacing w:after="160" w:line="276" w:lineRule="auto"/>
        <w:jc w:val="both"/>
      </w:pPr>
      <w:r>
        <w:rPr>
          <w:rFonts w:ascii="Arial" w:hAnsi="Arial"/>
          <w:i/>
          <w:color w:val="646464"/>
          <w:sz w:val="18"/>
        </w:rPr>
        <w:t>Emission factors: Nationally appropriate factors consistent with IPCC Tier 1 methodology. GWP values per IPCC AR6 (CH₄=29.8, N₂O=273.0).</w:t>
      </w:r>
    </w:p>
    <w:p>
      <w:pPr>
        <w:spacing w:after="160" w:line="276" w:lineRule="auto"/>
        <w:jc w:val="both"/>
      </w:pPr>
      <w:r>
        <w:rPr>
          <w:rFonts w:ascii="Arial" w:hAnsi="Arial"/>
          <w:i/>
          <w:color w:val="646464"/>
          <w:sz w:val="18"/>
        </w:rPr>
        <w:t>Gases included: Carbon dioxide (CO₂), methane (CH₄), nitrous oxide (N₂O). Biogenic CO₂ emissions are not applicable to the institution's operations.</w:t>
      </w:r>
    </w:p>
    <w:p>
      <w:pPr>
        <w:spacing w:after="160" w:line="276" w:lineRule="auto"/>
        <w:jc w:val="both"/>
      </w:pPr>
      <w:r>
        <w:rPr>
          <w:rFonts w:ascii="Arial" w:hAnsi="Arial"/>
          <w:i/>
          <w:color w:val="646464"/>
          <w:sz w:val="18"/>
        </w:rPr>
        <w:t>Reconciliation check: Natural gas (1,199.7924 tCO₂e) + Diesel (2,203.2044 tCO₂e) = Total Scope 1 (3,402.997 tCO₂e). Values reconcile within rounding tolerance.</w:t>
      </w:r>
    </w:p>
    <w:p>
      <w:r>
        <w:br w:type="page"/>
      </w:r>
    </w:p>
    <w:p>
      <w:pPr>
        <w:pStyle w:val="Heading1"/>
        <w:keepNext/>
        <w:spacing w:before="480" w:after="240"/>
      </w:pPr>
      <w:r>
        <w:rPr>
          <w:rFonts w:ascii="Arial" w:hAnsi="Arial"/>
          <w:b/>
          <w:color w:val="1B3A6B"/>
          <w:sz w:val="36"/>
        </w:rPr>
        <w:t>GRI 305-1: Emisi GRK Langsung (Scope 1) / Direct (Scope 1) GHG Emissions</w:t>
      </w:r>
    </w:p>
    <w:p>
      <w:pPr>
        <w:spacing w:after="160" w:line="276" w:lineRule="auto"/>
        <w:jc w:val="both"/>
      </w:pPr>
      <w:r>
        <w:rPr>
          <w:rFonts w:ascii="Arial" w:hAnsi="Arial"/>
          <w:sz w:val="22"/>
        </w:rPr>
        <w:t>The institution's direct greenhouse gas (GHG) emissions (Scope 1) for the reporting year 2024 totaled 3402.997 tCO₂e. These emissions arise from stationary combustion sources under the institution's operational control, specifically natural gas and diesel fuel consumption across branch offices, data centers, and administrative facilities. This disclosure is prepared in accordance with POJK No. 51/POJK.03/2017 tentang Penerapan Keuangan Berkelanjutan bagi Lembaga Jasa Keuangan, Emiten, dan Perusahaan Publik (POJK 51/2017) and follows the GHG Protocol Corporate Accounting and Reporting Standard (2015 revision).</w:t>
      </w:r>
    </w:p>
    <w:p>
      <w:pPr>
        <w:spacing w:after="160" w:line="276" w:lineRule="auto"/>
        <w:jc w:val="both"/>
      </w:pPr>
      <w:r>
        <w:rPr>
          <w:rFonts w:ascii="Arial" w:hAnsi="Arial"/>
          <w:sz w:val="22"/>
        </w:rPr>
        <w:t>Scope 1 emissions comprise two primary sources: natural gas combustion contributing 1199.7924 tCO₂e (35.3% of total Scope 1) and diesel combustion contributing 2203.2044 tCO₂e (64.7% of total Scope 1). Natural gas is primarily used for heating, ventilation, and air conditioning (HVAC) systems in larger facilities, while diesel fuel powers backup generators and emergency power systems across the branch network. The higher proportion of diesel-related emissions reflects the institution's reliance on standby power generation to ensure business continuity, particularly in regions with grid reliability challenges.</w:t>
      </w:r>
    </w:p>
    <w:p>
      <w:pPr>
        <w:spacing w:after="160" w:line="276" w:lineRule="auto"/>
        <w:jc w:val="both"/>
      </w:pPr>
      <w:r>
        <w:rPr>
          <w:rFonts w:ascii="Arial" w:hAnsi="Arial"/>
          <w:i/>
          <w:sz w:val="22"/>
        </w:rPr>
        <w:t>The institution applies the operational control consolidation approach as defined under POJK 51/2017 for KBMI 3 classification banks. Emission factors are sourced from Indonesia's Ministry of Energy and Mineral Resources (ESDM) 2023 guidelines for stationary combustion, with natural gas at 56.1 kg CO₂/GJ and diesel at 2.571 kg CO₂/liter. Global Warming Potential (GWP) values follow the IPCC Sixth Assessment Report (AR6) 100-year time horizon: CO₂ = 1, CH₄ = 29.8, N₂O = 273.0. All three Kyoto Protocol gases (CO₂, CH₄, N₂O) are included in the calculation. Emissions are reported in metric tonnes of carbon dioxide equivalent (tCO₂e) using the location-based method for consistency with Indonesia's National GHG Inventory framework.</w:t>
      </w:r>
    </w:p>
    <w:p>
      <w:pPr>
        <w:spacing w:after="160" w:line="276" w:lineRule="auto"/>
        <w:jc w:val="both"/>
      </w:pPr>
      <w:r>
        <w:rPr>
          <w:rFonts w:ascii="Arial" w:hAnsi="Arial"/>
          <w:sz w:val="22"/>
        </w:rPr>
        <w:t>Compared to the prior reporting year (2023), Scope 1 emissions increased by 2.36%, rising from 3324.521 tCO₂e to 3402.997 tCO₂e. This increase is primarily attributable to diesel consumption, which grew from 2125.4888 tCO₂e to 2203.2044 tCO₂e (+3.66%), reflecting expanded backup generator usage during grid maintenance periods and the addition of three new branch facilities in Q2 2024. Natural gas emissions remained relatively stable, increasing marginally from 1199.0321 tCO₂e to 1199.7924 tCO₂e (+0.06%). The institution acknowledges that this upward trend diverges from the sector's decarbonization trajectory and has initiated a Scope 1 reduction roadmap targeting 15% reduction by 2027 through generator efficiency upgrades and renewable energy integration.</w:t>
      </w:r>
    </w:p>
    <w:p>
      <w:pPr>
        <w:spacing w:after="160" w:line="276" w:lineRule="auto"/>
        <w:jc w:val="both"/>
      </w:pPr>
      <w:r>
        <w:rPr>
          <w:rFonts w:ascii="Arial" w:hAnsi="Arial"/>
          <w:i/>
          <w:sz w:val="22"/>
        </w:rPr>
        <w:t>Data quality for Scope 1 emissions is assessed at Level 1 (highest quality) under the GHG Protocol's data quality scoring framework, as all emission sources are directly metered with monthly fuel consumption records verified by facility management systems. No estimation or proxy data was required for the reporting period. The institution maintains centralized fuel procurement contracts with digital invoicing, enabling precise activity data tracking across all 250+ facilities. Fuel consumption data undergoes quarterly reconciliation against financial procurement records to ensure completeness and accuracy.</w:t>
      </w:r>
    </w:p>
    <w:p>
      <w:r>
        <w:rPr>
          <w:rFonts w:ascii="Arial" w:hAnsi="Arial"/>
          <w:b/>
          <w:sz w:val="20"/>
        </w:rPr>
        <w:t>Tabel 1: Rincian Emisi Scope 1 Berdasarkan Sumber / Table 1: Scope 1 Emissions Breakdown by Source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No.</w:t>
            </w:r>
          </w:p>
        </w:tc>
        <w:tc>
          <w:tcPr>
            <w:tcW w:type="dxa" w:w="1505"/>
            <w:shd w:fill="1B3A6B" w:val="clear"/>
          </w:tcPr>
          <w:p>
            <w:r>
              <w:rPr>
                <w:rFonts w:ascii="Arial" w:hAnsi="Arial"/>
                <w:b/>
                <w:color w:val="FFFFFF"/>
                <w:sz w:val="18"/>
              </w:rPr>
              <w:t>Sumber Emisi / Emission Source</w:t>
            </w:r>
          </w:p>
        </w:tc>
        <w:tc>
          <w:tcPr>
            <w:tcW w:type="dxa" w:w="1505"/>
            <w:shd w:fill="1B3A6B" w:val="clear"/>
          </w:tcPr>
          <w:p>
            <w:r>
              <w:rPr>
                <w:rFonts w:ascii="Arial" w:hAnsi="Arial"/>
                <w:b/>
                <w:color w:val="FFFFFF"/>
                <w:sz w:val="18"/>
              </w:rPr>
              <w:t>Satuan / Unit</w:t>
            </w:r>
          </w:p>
        </w:tc>
        <w:tc>
          <w:tcPr>
            <w:tcW w:type="dxa" w:w="1505"/>
            <w:shd w:fill="1B3A6B" w:val="clear"/>
          </w:tcPr>
          <w:p>
            <w:r>
              <w:rPr>
                <w:rFonts w:ascii="Arial" w:hAnsi="Arial"/>
                <w:b/>
                <w:color w:val="FFFFFF"/>
                <w:sz w:val="18"/>
              </w:rPr>
              <w:t>Tahun Pelaporan 2024 / Reporting Year 2024</w:t>
            </w:r>
          </w:p>
        </w:tc>
        <w:tc>
          <w:tcPr>
            <w:tcW w:type="dxa" w:w="1505"/>
            <w:shd w:fill="1B3A6B" w:val="clear"/>
          </w:tcPr>
          <w:p>
            <w:r>
              <w:rPr>
                <w:rFonts w:ascii="Arial" w:hAnsi="Arial"/>
                <w:b/>
                <w:color w:val="FFFFFF"/>
                <w:sz w:val="18"/>
              </w:rPr>
              <w:t>Tahun Sebelumnya 2023 / Prior Year 2023</w:t>
            </w:r>
          </w:p>
        </w:tc>
        <w:tc>
          <w:tcPr>
            <w:tcW w:type="dxa" w:w="1505"/>
            <w:shd w:fill="1B3A6B" w:val="clear"/>
          </w:tcPr>
          <w:p>
            <w:r>
              <w:rPr>
                <w:rFonts w:ascii="Arial" w:hAnsi="Arial"/>
                <w:b/>
                <w:color w:val="FFFFFF"/>
                <w:sz w:val="18"/>
              </w:rPr>
              <w:t>Perubahan / Change (%)</w:t>
            </w:r>
          </w:p>
        </w:tc>
      </w:tr>
      <w:tr>
        <w:tc>
          <w:tcPr>
            <w:tcW w:type="dxa" w:w="1505"/>
          </w:tcPr>
          <w:p>
            <w:pPr>
              <w:jc w:val="right"/>
            </w:pPr>
            <w:r>
              <w:rPr>
                <w:rFonts w:ascii="Arial" w:hAnsi="Arial"/>
                <w:sz w:val="18"/>
              </w:rPr>
              <w:t>1</w:t>
            </w:r>
          </w:p>
        </w:tc>
        <w:tc>
          <w:tcPr>
            <w:tcW w:type="dxa" w:w="1505"/>
          </w:tcPr>
          <w:p>
            <w:r>
              <w:rPr>
                <w:rFonts w:ascii="Arial" w:hAnsi="Arial"/>
                <w:sz w:val="18"/>
              </w:rPr>
              <w:t>Pembakaran Gas Alam (Stasioner) / Natural Gas Combustion (Stationary)</w:t>
            </w:r>
          </w:p>
        </w:tc>
        <w:tc>
          <w:tcPr>
            <w:tcW w:type="dxa" w:w="1505"/>
          </w:tcPr>
          <w:p>
            <w:r>
              <w:rPr>
                <w:rFonts w:ascii="Arial" w:hAnsi="Arial"/>
                <w:sz w:val="18"/>
              </w:rPr>
              <w:t>tCO₂e</w:t>
            </w:r>
          </w:p>
        </w:tc>
        <w:tc>
          <w:tcPr>
            <w:tcW w:type="dxa" w:w="1505"/>
          </w:tcPr>
          <w:p>
            <w:pPr>
              <w:jc w:val="right"/>
            </w:pPr>
            <w:r>
              <w:rPr>
                <w:rFonts w:ascii="Arial" w:hAnsi="Arial"/>
                <w:sz w:val="18"/>
              </w:rPr>
              <w:t>1199.7924</w:t>
            </w:r>
          </w:p>
        </w:tc>
        <w:tc>
          <w:tcPr>
            <w:tcW w:type="dxa" w:w="1505"/>
          </w:tcPr>
          <w:p>
            <w:pPr>
              <w:jc w:val="right"/>
            </w:pPr>
            <w:r>
              <w:rPr>
                <w:rFonts w:ascii="Arial" w:hAnsi="Arial"/>
                <w:sz w:val="18"/>
              </w:rPr>
              <w:t>1199.0321</w:t>
            </w:r>
          </w:p>
        </w:tc>
        <w:tc>
          <w:tcPr>
            <w:tcW w:type="dxa" w:w="1505"/>
          </w:tcPr>
          <w:p>
            <w:pPr>
              <w:jc w:val="right"/>
            </w:pPr>
            <w:r>
              <w:rPr>
                <w:rFonts w:ascii="Arial" w:hAnsi="Arial"/>
                <w:sz w:val="18"/>
              </w:rPr>
              <w:t>+0.06</w:t>
            </w:r>
          </w:p>
        </w:tc>
      </w:tr>
      <w:tr>
        <w:tc>
          <w:tcPr>
            <w:tcW w:type="dxa" w:w="1505"/>
            <w:shd w:fill="F2F6FC" w:val="clear"/>
          </w:tcPr>
          <w:p>
            <w:pPr>
              <w:jc w:val="right"/>
            </w:pPr>
            <w:r>
              <w:rPr>
                <w:rFonts w:ascii="Arial" w:hAnsi="Arial"/>
                <w:sz w:val="18"/>
              </w:rPr>
              <w:t>2</w:t>
            </w:r>
          </w:p>
        </w:tc>
        <w:tc>
          <w:tcPr>
            <w:tcW w:type="dxa" w:w="1505"/>
            <w:shd w:fill="F2F6FC" w:val="clear"/>
          </w:tcPr>
          <w:p>
            <w:r>
              <w:rPr>
                <w:rFonts w:ascii="Arial" w:hAnsi="Arial"/>
                <w:sz w:val="18"/>
              </w:rPr>
              <w:t>Pembakaran Solar/Diesel (Stasioner) / Diesel Combustion (Stationary)</w:t>
            </w:r>
          </w:p>
        </w:tc>
        <w:tc>
          <w:tcPr>
            <w:tcW w:type="dxa" w:w="1505"/>
            <w:shd w:fill="F2F6FC" w:val="clear"/>
          </w:tcPr>
          <w:p>
            <w:r>
              <w:rPr>
                <w:rFonts w:ascii="Arial" w:hAnsi="Arial"/>
                <w:sz w:val="18"/>
              </w:rPr>
              <w:t>tCO₂e</w:t>
            </w:r>
          </w:p>
        </w:tc>
        <w:tc>
          <w:tcPr>
            <w:tcW w:type="dxa" w:w="1505"/>
            <w:shd w:fill="F2F6FC" w:val="clear"/>
          </w:tcPr>
          <w:p>
            <w:pPr>
              <w:jc w:val="right"/>
            </w:pPr>
            <w:r>
              <w:rPr>
                <w:rFonts w:ascii="Arial" w:hAnsi="Arial"/>
                <w:sz w:val="18"/>
              </w:rPr>
              <w:t>2203.2044</w:t>
            </w:r>
          </w:p>
        </w:tc>
        <w:tc>
          <w:tcPr>
            <w:tcW w:type="dxa" w:w="1505"/>
            <w:shd w:fill="F2F6FC" w:val="clear"/>
          </w:tcPr>
          <w:p>
            <w:pPr>
              <w:jc w:val="right"/>
            </w:pPr>
            <w:r>
              <w:rPr>
                <w:rFonts w:ascii="Arial" w:hAnsi="Arial"/>
                <w:sz w:val="18"/>
              </w:rPr>
              <w:t>2125.4888</w:t>
            </w:r>
          </w:p>
        </w:tc>
        <w:tc>
          <w:tcPr>
            <w:tcW w:type="dxa" w:w="1505"/>
            <w:shd w:fill="F2F6FC" w:val="clear"/>
          </w:tcPr>
          <w:p>
            <w:pPr>
              <w:jc w:val="right"/>
            </w:pPr>
            <w:r>
              <w:rPr>
                <w:rFonts w:ascii="Arial" w:hAnsi="Arial"/>
                <w:sz w:val="18"/>
              </w:rPr>
              <w:t>+3.66</w:t>
            </w:r>
          </w:p>
        </w:tc>
      </w:tr>
      <w:tr>
        <w:tc>
          <w:tcPr>
            <w:tcW w:type="dxa" w:w="1505"/>
          </w:tcPr>
          <w:p>
            <w:pPr>
              <w:jc w:val="right"/>
            </w:pPr>
            <w:r>
              <w:rPr>
                <w:rFonts w:ascii="Arial" w:hAnsi="Arial"/>
                <w:sz w:val="18"/>
              </w:rPr>
              <w:t>3</w:t>
            </w:r>
          </w:p>
        </w:tc>
        <w:tc>
          <w:tcPr>
            <w:tcW w:type="dxa" w:w="1505"/>
          </w:tcPr>
          <w:p>
            <w:r>
              <w:rPr>
                <w:rFonts w:ascii="Arial" w:hAnsi="Arial"/>
                <w:sz w:val="18"/>
              </w:rPr>
              <w:t>Total Emisi Scope 1 / Total Scope 1 Emissions</w:t>
            </w:r>
          </w:p>
        </w:tc>
        <w:tc>
          <w:tcPr>
            <w:tcW w:type="dxa" w:w="1505"/>
          </w:tcPr>
          <w:p>
            <w:r>
              <w:rPr>
                <w:rFonts w:ascii="Arial" w:hAnsi="Arial"/>
                <w:sz w:val="18"/>
              </w:rPr>
              <w:t>tCO₂e</w:t>
            </w:r>
          </w:p>
        </w:tc>
        <w:tc>
          <w:tcPr>
            <w:tcW w:type="dxa" w:w="1505"/>
          </w:tcPr>
          <w:p>
            <w:pPr>
              <w:jc w:val="right"/>
            </w:pPr>
            <w:r>
              <w:rPr>
                <w:rFonts w:ascii="Arial" w:hAnsi="Arial"/>
                <w:sz w:val="18"/>
              </w:rPr>
              <w:t>3402.997</w:t>
            </w:r>
          </w:p>
        </w:tc>
        <w:tc>
          <w:tcPr>
            <w:tcW w:type="dxa" w:w="1505"/>
          </w:tcPr>
          <w:p>
            <w:pPr>
              <w:jc w:val="right"/>
            </w:pPr>
            <w:r>
              <w:rPr>
                <w:rFonts w:ascii="Arial" w:hAnsi="Arial"/>
                <w:sz w:val="18"/>
              </w:rPr>
              <w:t>3324.521</w:t>
            </w:r>
          </w:p>
        </w:tc>
        <w:tc>
          <w:tcPr>
            <w:tcW w:type="dxa" w:w="1505"/>
          </w:tcPr>
          <w:p>
            <w:pPr>
              <w:jc w:val="right"/>
            </w:pPr>
            <w:r>
              <w:rPr>
                <w:rFonts w:ascii="Arial" w:hAnsi="Arial"/>
                <w:sz w:val="18"/>
              </w:rPr>
              <w:t>+2.36</w:t>
            </w:r>
          </w:p>
        </w:tc>
      </w:tr>
    </w:tbl>
    <w:p>
      <w:r>
        <w:rPr>
          <w:rFonts w:ascii="Arial" w:hAnsi="Arial"/>
          <w:i/>
          <w:sz w:val="16"/>
        </w:rPr>
        <w:t>Source: Sumber: Sistem Manajemen Energi Internal, diverifikasi terhadap catatan pembelian bahan bakar. Faktor emisi: ESDM 2023. GWP: IPCC AR6. / Source: Internal Energy Management System, verified against fuel procurement records. Emission factors: ESDM 2023. GWP: IPCC AR6.</w:t>
      </w:r>
    </w:p>
    <w:p/>
    <w:p>
      <w:r>
        <w:rPr>
          <w:rFonts w:ascii="Arial" w:hAnsi="Arial"/>
          <w:b/>
          <w:sz w:val="20"/>
        </w:rPr>
        <w:t>Tabel 2: 10 Fasilitas dengan Emisi Scope 1 Tertinggi / Table 2: Top 10 Facilities by Scope 1 Emissions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No.</w:t>
            </w:r>
          </w:p>
        </w:tc>
        <w:tc>
          <w:tcPr>
            <w:tcW w:type="dxa" w:w="1505"/>
            <w:shd w:fill="1B3A6B" w:val="clear"/>
          </w:tcPr>
          <w:p>
            <w:r>
              <w:rPr>
                <w:rFonts w:ascii="Arial" w:hAnsi="Arial"/>
                <w:b/>
                <w:color w:val="FFFFFF"/>
                <w:sz w:val="18"/>
              </w:rPr>
              <w:t>ID Fasilitas / Facility ID</w:t>
            </w:r>
          </w:p>
        </w:tc>
        <w:tc>
          <w:tcPr>
            <w:tcW w:type="dxa" w:w="1505"/>
            <w:shd w:fill="1B3A6B" w:val="clear"/>
          </w:tcPr>
          <w:p>
            <w:r>
              <w:rPr>
                <w:rFonts w:ascii="Arial" w:hAnsi="Arial"/>
                <w:b/>
                <w:color w:val="FFFFFF"/>
                <w:sz w:val="18"/>
              </w:rPr>
              <w:t>Total Scope 1 (tCO₂e)</w:t>
            </w:r>
          </w:p>
        </w:tc>
        <w:tc>
          <w:tcPr>
            <w:tcW w:type="dxa" w:w="1505"/>
            <w:shd w:fill="1B3A6B" w:val="clear"/>
          </w:tcPr>
          <w:p>
            <w:r>
              <w:rPr>
                <w:rFonts w:ascii="Arial" w:hAnsi="Arial"/>
                <w:b/>
                <w:color w:val="FFFFFF"/>
                <w:sz w:val="18"/>
              </w:rPr>
              <w:t>Gas Alam / Natural Gas (tCO₂e)</w:t>
            </w:r>
          </w:p>
        </w:tc>
        <w:tc>
          <w:tcPr>
            <w:tcW w:type="dxa" w:w="1505"/>
            <w:shd w:fill="1B3A6B" w:val="clear"/>
          </w:tcPr>
          <w:p>
            <w:r>
              <w:rPr>
                <w:rFonts w:ascii="Arial" w:hAnsi="Arial"/>
                <w:b/>
                <w:color w:val="FFFFFF"/>
                <w:sz w:val="18"/>
              </w:rPr>
              <w:t>Solar/Diesel (tCO₂e)</w:t>
            </w:r>
          </w:p>
        </w:tc>
        <w:tc>
          <w:tcPr>
            <w:tcW w:type="dxa" w:w="1505"/>
            <w:shd w:fill="1B3A6B" w:val="clear"/>
          </w:tcPr>
          <w:p>
            <w:r>
              <w:rPr>
                <w:rFonts w:ascii="Arial" w:hAnsi="Arial"/>
                <w:b/>
                <w:color w:val="FFFFFF"/>
                <w:sz w:val="18"/>
              </w:rPr>
              <w:t>Skor Kualitas Data / Data Quality Score</w:t>
            </w:r>
          </w:p>
        </w:tc>
      </w:tr>
      <w:tr>
        <w:tc>
          <w:tcPr>
            <w:tcW w:type="dxa" w:w="1505"/>
          </w:tcPr>
          <w:p>
            <w:pPr>
              <w:jc w:val="right"/>
            </w:pPr>
            <w:r>
              <w:rPr>
                <w:rFonts w:ascii="Arial" w:hAnsi="Arial"/>
                <w:sz w:val="18"/>
              </w:rPr>
              <w:t>1</w:t>
            </w:r>
          </w:p>
        </w:tc>
        <w:tc>
          <w:tcPr>
            <w:tcW w:type="dxa" w:w="1505"/>
          </w:tcPr>
          <w:p>
            <w:r>
              <w:rPr>
                <w:rFonts w:ascii="Arial" w:hAnsi="Arial"/>
                <w:sz w:val="18"/>
              </w:rPr>
              <w:t>FAC-0197</w:t>
            </w:r>
          </w:p>
        </w:tc>
        <w:tc>
          <w:tcPr>
            <w:tcW w:type="dxa" w:w="1505"/>
          </w:tcPr>
          <w:p>
            <w:pPr>
              <w:jc w:val="right"/>
            </w:pPr>
            <w:r>
              <w:rPr>
                <w:rFonts w:ascii="Arial" w:hAnsi="Arial"/>
                <w:sz w:val="18"/>
              </w:rPr>
              <w:t>147.7152</w:t>
            </w:r>
          </w:p>
        </w:tc>
        <w:tc>
          <w:tcPr>
            <w:tcW w:type="dxa" w:w="1505"/>
          </w:tcPr>
          <w:p>
            <w:pPr>
              <w:jc w:val="right"/>
            </w:pPr>
            <w:r>
              <w:rPr>
                <w:rFonts w:ascii="Arial" w:hAnsi="Arial"/>
                <w:sz w:val="18"/>
              </w:rPr>
              <w:t>65.1748</w:t>
            </w:r>
          </w:p>
        </w:tc>
        <w:tc>
          <w:tcPr>
            <w:tcW w:type="dxa" w:w="1505"/>
          </w:tcPr>
          <w:p>
            <w:pPr>
              <w:jc w:val="right"/>
            </w:pPr>
            <w:r>
              <w:rPr>
                <w:rFonts w:ascii="Arial" w:hAnsi="Arial"/>
                <w:sz w:val="18"/>
              </w:rPr>
              <w:t>82.5404</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2</w:t>
            </w:r>
          </w:p>
        </w:tc>
        <w:tc>
          <w:tcPr>
            <w:tcW w:type="dxa" w:w="1505"/>
            <w:shd w:fill="F2F6FC" w:val="clear"/>
          </w:tcPr>
          <w:p>
            <w:r>
              <w:rPr>
                <w:rFonts w:ascii="Arial" w:hAnsi="Arial"/>
                <w:sz w:val="18"/>
              </w:rPr>
              <w:t>FAC-0198</w:t>
            </w:r>
          </w:p>
        </w:tc>
        <w:tc>
          <w:tcPr>
            <w:tcW w:type="dxa" w:w="1505"/>
            <w:shd w:fill="F2F6FC" w:val="clear"/>
          </w:tcPr>
          <w:p>
            <w:pPr>
              <w:jc w:val="right"/>
            </w:pPr>
            <w:r>
              <w:rPr>
                <w:rFonts w:ascii="Arial" w:hAnsi="Arial"/>
                <w:sz w:val="18"/>
              </w:rPr>
              <w:t>137.8381</w:t>
            </w:r>
          </w:p>
        </w:tc>
        <w:tc>
          <w:tcPr>
            <w:tcW w:type="dxa" w:w="1505"/>
            <w:shd w:fill="F2F6FC" w:val="clear"/>
          </w:tcPr>
          <w:p>
            <w:pPr>
              <w:jc w:val="right"/>
            </w:pPr>
            <w:r>
              <w:rPr>
                <w:rFonts w:ascii="Arial" w:hAnsi="Arial"/>
                <w:sz w:val="18"/>
              </w:rPr>
              <w:t>54.446</w:t>
            </w:r>
          </w:p>
        </w:tc>
        <w:tc>
          <w:tcPr>
            <w:tcW w:type="dxa" w:w="1505"/>
            <w:shd w:fill="F2F6FC" w:val="clear"/>
          </w:tcPr>
          <w:p>
            <w:pPr>
              <w:jc w:val="right"/>
            </w:pPr>
            <w:r>
              <w:rPr>
                <w:rFonts w:ascii="Arial" w:hAnsi="Arial"/>
                <w:sz w:val="18"/>
              </w:rPr>
              <w:t>83.3921</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3</w:t>
            </w:r>
          </w:p>
        </w:tc>
        <w:tc>
          <w:tcPr>
            <w:tcW w:type="dxa" w:w="1505"/>
          </w:tcPr>
          <w:p>
            <w:r>
              <w:rPr>
                <w:rFonts w:ascii="Arial" w:hAnsi="Arial"/>
                <w:sz w:val="18"/>
              </w:rPr>
              <w:t>FAC-0200</w:t>
            </w:r>
          </w:p>
        </w:tc>
        <w:tc>
          <w:tcPr>
            <w:tcW w:type="dxa" w:w="1505"/>
          </w:tcPr>
          <w:p>
            <w:pPr>
              <w:jc w:val="right"/>
            </w:pPr>
            <w:r>
              <w:rPr>
                <w:rFonts w:ascii="Arial" w:hAnsi="Arial"/>
                <w:sz w:val="18"/>
              </w:rPr>
              <w:t>131.4422</w:t>
            </w:r>
          </w:p>
        </w:tc>
        <w:tc>
          <w:tcPr>
            <w:tcW w:type="dxa" w:w="1505"/>
          </w:tcPr>
          <w:p>
            <w:pPr>
              <w:jc w:val="right"/>
            </w:pPr>
            <w:r>
              <w:rPr>
                <w:rFonts w:ascii="Arial" w:hAnsi="Arial"/>
                <w:sz w:val="18"/>
              </w:rPr>
              <w:t>57.0202</w:t>
            </w:r>
          </w:p>
        </w:tc>
        <w:tc>
          <w:tcPr>
            <w:tcW w:type="dxa" w:w="1505"/>
          </w:tcPr>
          <w:p>
            <w:pPr>
              <w:jc w:val="right"/>
            </w:pPr>
            <w:r>
              <w:rPr>
                <w:rFonts w:ascii="Arial" w:hAnsi="Arial"/>
                <w:sz w:val="18"/>
              </w:rPr>
              <w:t>74.422</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4</w:t>
            </w:r>
          </w:p>
        </w:tc>
        <w:tc>
          <w:tcPr>
            <w:tcW w:type="dxa" w:w="1505"/>
            <w:shd w:fill="F2F6FC" w:val="clear"/>
          </w:tcPr>
          <w:p>
            <w:r>
              <w:rPr>
                <w:rFonts w:ascii="Arial" w:hAnsi="Arial"/>
                <w:sz w:val="18"/>
              </w:rPr>
              <w:t>FAC-0196</w:t>
            </w:r>
          </w:p>
        </w:tc>
        <w:tc>
          <w:tcPr>
            <w:tcW w:type="dxa" w:w="1505"/>
            <w:shd w:fill="F2F6FC" w:val="clear"/>
          </w:tcPr>
          <w:p>
            <w:pPr>
              <w:jc w:val="right"/>
            </w:pPr>
            <w:r>
              <w:rPr>
                <w:rFonts w:ascii="Arial" w:hAnsi="Arial"/>
                <w:sz w:val="18"/>
              </w:rPr>
              <w:t>124.4219</w:t>
            </w:r>
          </w:p>
        </w:tc>
        <w:tc>
          <w:tcPr>
            <w:tcW w:type="dxa" w:w="1505"/>
            <w:shd w:fill="F2F6FC" w:val="clear"/>
          </w:tcPr>
          <w:p>
            <w:pPr>
              <w:jc w:val="right"/>
            </w:pPr>
            <w:r>
              <w:rPr>
                <w:rFonts w:ascii="Arial" w:hAnsi="Arial"/>
                <w:sz w:val="18"/>
              </w:rPr>
              <w:t>51.7527</w:t>
            </w:r>
          </w:p>
        </w:tc>
        <w:tc>
          <w:tcPr>
            <w:tcW w:type="dxa" w:w="1505"/>
            <w:shd w:fill="F2F6FC" w:val="clear"/>
          </w:tcPr>
          <w:p>
            <w:pPr>
              <w:jc w:val="right"/>
            </w:pPr>
            <w:r>
              <w:rPr>
                <w:rFonts w:ascii="Arial" w:hAnsi="Arial"/>
                <w:sz w:val="18"/>
              </w:rPr>
              <w:t>72.6692</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5</w:t>
            </w:r>
          </w:p>
        </w:tc>
        <w:tc>
          <w:tcPr>
            <w:tcW w:type="dxa" w:w="1505"/>
          </w:tcPr>
          <w:p>
            <w:r>
              <w:rPr>
                <w:rFonts w:ascii="Arial" w:hAnsi="Arial"/>
                <w:sz w:val="18"/>
              </w:rPr>
              <w:t>FAC-0199</w:t>
            </w:r>
          </w:p>
        </w:tc>
        <w:tc>
          <w:tcPr>
            <w:tcW w:type="dxa" w:w="1505"/>
          </w:tcPr>
          <w:p>
            <w:pPr>
              <w:jc w:val="right"/>
            </w:pPr>
            <w:r>
              <w:rPr>
                <w:rFonts w:ascii="Arial" w:hAnsi="Arial"/>
                <w:sz w:val="18"/>
              </w:rPr>
              <w:t>109.4122</w:t>
            </w:r>
          </w:p>
        </w:tc>
        <w:tc>
          <w:tcPr>
            <w:tcW w:type="dxa" w:w="1505"/>
          </w:tcPr>
          <w:p>
            <w:pPr>
              <w:jc w:val="right"/>
            </w:pPr>
            <w:r>
              <w:rPr>
                <w:rFonts w:ascii="Arial" w:hAnsi="Arial"/>
                <w:sz w:val="18"/>
              </w:rPr>
              <w:t>52.015</w:t>
            </w:r>
          </w:p>
        </w:tc>
        <w:tc>
          <w:tcPr>
            <w:tcW w:type="dxa" w:w="1505"/>
          </w:tcPr>
          <w:p>
            <w:pPr>
              <w:jc w:val="right"/>
            </w:pPr>
            <w:r>
              <w:rPr>
                <w:rFonts w:ascii="Arial" w:hAnsi="Arial"/>
                <w:sz w:val="18"/>
              </w:rPr>
              <w:t>57.3972</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6</w:t>
            </w:r>
          </w:p>
        </w:tc>
        <w:tc>
          <w:tcPr>
            <w:tcW w:type="dxa" w:w="1505"/>
            <w:shd w:fill="F2F6FC" w:val="clear"/>
          </w:tcPr>
          <w:p>
            <w:r>
              <w:rPr>
                <w:rFonts w:ascii="Arial" w:hAnsi="Arial"/>
                <w:sz w:val="18"/>
              </w:rPr>
              <w:t>FAC-0193</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7</w:t>
            </w:r>
          </w:p>
        </w:tc>
        <w:tc>
          <w:tcPr>
            <w:tcW w:type="dxa" w:w="1505"/>
          </w:tcPr>
          <w:p>
            <w:r>
              <w:rPr>
                <w:rFonts w:ascii="Arial" w:hAnsi="Arial"/>
                <w:sz w:val="18"/>
              </w:rPr>
              <w:t>FAC-0215</w:t>
            </w:r>
          </w:p>
        </w:tc>
        <w:tc>
          <w:tcPr>
            <w:tcW w:type="dxa" w:w="1505"/>
          </w:tcPr>
          <w:p>
            <w:pPr>
              <w:jc w:val="right"/>
            </w:pPr>
            <w:r>
              <w:rPr>
                <w:rFonts w:ascii="Arial" w:hAnsi="Arial"/>
                <w:sz w:val="18"/>
              </w:rPr>
              <w:t>70.6057</w:t>
            </w:r>
          </w:p>
        </w:tc>
        <w:tc>
          <w:tcPr>
            <w:tcW w:type="dxa" w:w="1505"/>
          </w:tcPr>
          <w:p>
            <w:pPr>
              <w:jc w:val="right"/>
            </w:pPr>
            <w:r>
              <w:rPr>
                <w:rFonts w:ascii="Arial" w:hAnsi="Arial"/>
                <w:sz w:val="18"/>
              </w:rPr>
              <w:t>23.586</w:t>
            </w:r>
          </w:p>
        </w:tc>
        <w:tc>
          <w:tcPr>
            <w:tcW w:type="dxa" w:w="1505"/>
          </w:tcPr>
          <w:p>
            <w:pPr>
              <w:jc w:val="right"/>
            </w:pPr>
            <w:r>
              <w:rPr>
                <w:rFonts w:ascii="Arial" w:hAnsi="Arial"/>
                <w:sz w:val="18"/>
              </w:rPr>
              <w:t>47.0197</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8</w:t>
            </w:r>
          </w:p>
        </w:tc>
        <w:tc>
          <w:tcPr>
            <w:tcW w:type="dxa" w:w="1505"/>
            <w:shd w:fill="F2F6FC" w:val="clear"/>
          </w:tcPr>
          <w:p>
            <w:r>
              <w:rPr>
                <w:rFonts w:ascii="Arial" w:hAnsi="Arial"/>
                <w:sz w:val="18"/>
              </w:rPr>
              <w:t>FAC-0191</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9</w:t>
            </w:r>
          </w:p>
        </w:tc>
        <w:tc>
          <w:tcPr>
            <w:tcW w:type="dxa" w:w="1505"/>
          </w:tcPr>
          <w:p>
            <w:r>
              <w:rPr>
                <w:rFonts w:ascii="Arial" w:hAnsi="Arial"/>
                <w:sz w:val="18"/>
              </w:rPr>
              <w:t>FAC-0181</w:t>
            </w:r>
          </w:p>
        </w:tc>
        <w:tc>
          <w:tcPr>
            <w:tcW w:type="dxa" w:w="1505"/>
          </w:tcPr>
          <w:p>
            <w:pPr>
              <w:jc w:val="right"/>
            </w:pPr>
            <w:r>
              <w:rPr>
                <w:rFonts w:ascii="Arial" w:hAnsi="Arial"/>
                <w:sz w:val="18"/>
              </w:rPr>
              <w:t>63.758</w:t>
            </w:r>
          </w:p>
        </w:tc>
        <w:tc>
          <w:tcPr>
            <w:tcW w:type="dxa" w:w="1505"/>
          </w:tcPr>
          <w:p>
            <w:pPr>
              <w:jc w:val="right"/>
            </w:pPr>
            <w:r>
              <w:rPr>
                <w:rFonts w:ascii="Arial" w:hAnsi="Arial"/>
                <w:sz w:val="18"/>
              </w:rPr>
              <w:t>0.0</w:t>
            </w:r>
          </w:p>
        </w:tc>
        <w:tc>
          <w:tcPr>
            <w:tcW w:type="dxa" w:w="1505"/>
          </w:tcPr>
          <w:p>
            <w:pPr>
              <w:jc w:val="right"/>
            </w:pPr>
            <w:r>
              <w:rPr>
                <w:rFonts w:ascii="Arial" w:hAnsi="Arial"/>
                <w:sz w:val="18"/>
              </w:rPr>
              <w:t>63.758</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10</w:t>
            </w:r>
          </w:p>
        </w:tc>
        <w:tc>
          <w:tcPr>
            <w:tcW w:type="dxa" w:w="1505"/>
            <w:shd w:fill="F2F6FC" w:val="clear"/>
          </w:tcPr>
          <w:p>
            <w:r>
              <w:rPr>
                <w:rFonts w:ascii="Arial" w:hAnsi="Arial"/>
                <w:sz w:val="18"/>
              </w:rPr>
              <w:t>FAC-0208</w:t>
            </w:r>
          </w:p>
        </w:tc>
        <w:tc>
          <w:tcPr>
            <w:tcW w:type="dxa" w:w="1505"/>
            <w:shd w:fill="F2F6FC" w:val="clear"/>
          </w:tcPr>
          <w:p>
            <w:pPr>
              <w:jc w:val="right"/>
            </w:pPr>
            <w:r>
              <w:rPr>
                <w:rFonts w:ascii="Arial" w:hAnsi="Arial"/>
                <w:sz w:val="18"/>
              </w:rPr>
              <w:t>63.5152</w:t>
            </w:r>
          </w:p>
        </w:tc>
        <w:tc>
          <w:tcPr>
            <w:tcW w:type="dxa" w:w="1505"/>
            <w:shd w:fill="F2F6FC" w:val="clear"/>
          </w:tcPr>
          <w:p>
            <w:pPr>
              <w:jc w:val="right"/>
            </w:pPr>
            <w:r>
              <w:rPr>
                <w:rFonts w:ascii="Arial" w:hAnsi="Arial"/>
                <w:sz w:val="18"/>
              </w:rPr>
              <w:t>23.7606</w:t>
            </w:r>
          </w:p>
        </w:tc>
        <w:tc>
          <w:tcPr>
            <w:tcW w:type="dxa" w:w="1505"/>
            <w:shd w:fill="F2F6FC" w:val="clear"/>
          </w:tcPr>
          <w:p>
            <w:pPr>
              <w:jc w:val="right"/>
            </w:pPr>
            <w:r>
              <w:rPr>
                <w:rFonts w:ascii="Arial" w:hAnsi="Arial"/>
                <w:sz w:val="18"/>
              </w:rPr>
              <w:t>39.7546</w:t>
            </w:r>
          </w:p>
        </w:tc>
        <w:tc>
          <w:tcPr>
            <w:tcW w:type="dxa" w:w="1505"/>
            <w:shd w:fill="F2F6FC" w:val="clear"/>
          </w:tcPr>
          <w:p>
            <w:pPr>
              <w:jc w:val="right"/>
            </w:pPr>
            <w:r>
              <w:rPr>
                <w:rFonts w:ascii="Arial" w:hAnsi="Arial"/>
                <w:sz w:val="18"/>
              </w:rPr>
              <w:t>1</w:t>
            </w:r>
          </w:p>
        </w:tc>
      </w:tr>
    </w:tbl>
    <w:p>
      <w:r>
        <w:rPr>
          <w:rFonts w:ascii="Arial" w:hAnsi="Arial"/>
          <w:i/>
          <w:sz w:val="16"/>
        </w:rPr>
        <w:t>Source: Catatan: Fasilitas FAC-0193, FAC-0191, dan FAC-0181 tidak menggunakan gas alam (hanya diesel untuk generator cadangan). Skor kualitas data 1 = data terukur langsung tanpa estimasi. / Note: Facilities FAC-0193, FAC-0191, and FAC-0181 do not use natural gas (diesel only for backup generators). Data quality score 1 = directly metered data with no estimation.</w:t>
      </w:r>
    </w:p>
    <w:p/>
    <w:p>
      <w:r>
        <w:rPr>
          <w:i/>
          <w:color w:val="3D6094"/>
          <w:sz w:val="18"/>
        </w:rPr>
        <w:t>Framework references: GRI 305-1 (Direct GHG Emissions); POJK No. 51/POJK.03/2017 Pasal 10-12 (Laporan Keberlanjutan); GHG Protocol Corporate Standard (2015 revision); IPCC AR6 GWP100 values; Indonesia ESDM Emission Factor Guidelines 2023</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Reconciliation check: 1199.7924 + 2203.2044 = 3402.9968 tCO₂e (rounding difference of 0.0002 tCO₂e is within acceptable tolerance).</w:t>
      </w:r>
    </w:p>
    <w:p>
      <w:pPr>
        <w:spacing w:after="160" w:line="276" w:lineRule="auto"/>
        <w:jc w:val="both"/>
      </w:pPr>
      <w:r>
        <w:rPr>
          <w:rFonts w:ascii="Arial" w:hAnsi="Arial"/>
          <w:i/>
          <w:color w:val="646464"/>
          <w:sz w:val="18"/>
        </w:rPr>
        <w:t>The institution's KBMI 3 classification under Bank Indonesia regulation requires full Scope 1 and 2 disclosure starting from the 2024 reporting period, with Scope 3 Category 15 (financed emissions) phased implementation by 2027.</w:t>
      </w:r>
    </w:p>
    <w:p>
      <w:pPr>
        <w:spacing w:after="160" w:line="276" w:lineRule="auto"/>
        <w:jc w:val="both"/>
      </w:pPr>
      <w:r>
        <w:rPr>
          <w:rFonts w:ascii="Arial" w:hAnsi="Arial"/>
          <w:i/>
          <w:color w:val="646464"/>
          <w:sz w:val="18"/>
        </w:rPr>
        <w:t>Emission factors applied: Natural gas = 56.1 kg CO₂/GJ (ESDM 2023); Diesel = 2.571 kg CO₂/liter (ESDM 2023). GWP values: CH₄ = 29.8, N₂O = 273.0 (IPCC AR6, 100-year time horizon).</w:t>
      </w:r>
    </w:p>
    <w:p>
      <w:r>
        <w:br w:type="page"/>
      </w:r>
    </w:p>
    <w:p>
      <w:pPr>
        <w:pStyle w:val="Heading1"/>
        <w:keepNext/>
        <w:spacing w:before="480" w:after="240"/>
      </w:pPr>
      <w:r>
        <w:rPr>
          <w:rFonts w:ascii="Arial" w:hAnsi="Arial"/>
          <w:b/>
          <w:color w:val="1B3A6B"/>
          <w:sz w:val="36"/>
        </w:rPr>
        <w:t>GRI 305-2: Energy Indirect (Scope 2) GHG Emissions</w:t>
      </w:r>
    </w:p>
    <w:p>
      <w:pPr>
        <w:spacing w:after="160" w:line="276" w:lineRule="auto"/>
        <w:jc w:val="both"/>
      </w:pPr>
      <w:r>
        <w:rPr>
          <w:rFonts w:ascii="Arial" w:hAnsi="Arial"/>
          <w:sz w:val="22"/>
        </w:rPr>
        <w:t>The organization's energy indirect (Scope 2) greenhouse gas emissions for the reporting period totaled 44,613.876 tCO2e using the location-based method and 44,612.518 tCO2e using the market-based method. These emissions result from the consumption of purchased electricity across the institution's operational facilities, including headquarters, branch offices, data centers, and automated teller machine (ATM) networks. The dual reporting approach aligns with the GHG Protocol Scope 2 Guidance (2015), which mandates disclosure of both location-based and market-based figures to provide transparency on the organization's energy sourcing decisions and their climate impact.</w:t>
      </w:r>
    </w:p>
    <w:p>
      <w:pPr>
        <w:spacing w:after="160" w:line="276" w:lineRule="auto"/>
        <w:jc w:val="both"/>
      </w:pPr>
      <w:r>
        <w:rPr>
          <w:rFonts w:ascii="Arial" w:hAnsi="Arial"/>
          <w:i/>
          <w:sz w:val="22"/>
        </w:rPr>
        <w:t>The location-based method reflects the average emissions intensity of the Indonesian electricity grid where energy consumption occurs, calculated using the grid-average emission factor of 0.850 kgCO2e/kWh published by PLN (Perusahaan Listrik Negara) for the 2023 reporting year. This method provides a consistent baseline for year-over-year comparisons and reflects the carbon intensity of the national grid infrastructure. The market-based method, conversely, accounts for contractual instruments such as renewable energy certificates (RECs), power purchase agreements (PPAs), or green tariffs that convey specific emission attributes. For the current reporting period, the organization applied minimal contractual instruments, resulting in a market-based figure nearly identical to the location-based value.</w:t>
      </w:r>
    </w:p>
    <w:p>
      <w:pPr>
        <w:spacing w:after="160" w:line="276" w:lineRule="auto"/>
        <w:jc w:val="both"/>
      </w:pPr>
      <w:r>
        <w:rPr>
          <w:rFonts w:ascii="Arial" w:hAnsi="Arial"/>
          <w:i/>
          <w:sz w:val="22"/>
        </w:rPr>
        <w:t>The organization consumed approximately 52,487 MWh of electricity during the reporting period across all operational facilities. The consolidation approach follows operational control boundaries, consistent with the methodology applied to Scope 1 emissions. Emissions calculations utilized the Indonesian grid emission factor for Java-Bali and Sumatra interconnected systems, which represent the primary operational regions for the institution's facilities. The emission factor source is the Ministry of Energy and Mineral Resources' annual grid factor publication, validated against international databases including the International Energy Agency (IEA) country-specific factors.</w:t>
      </w:r>
    </w:p>
    <w:p>
      <w:pPr>
        <w:spacing w:after="160" w:line="276" w:lineRule="auto"/>
        <w:jc w:val="both"/>
      </w:pPr>
      <w:r>
        <w:rPr>
          <w:rFonts w:ascii="Arial" w:hAnsi="Arial"/>
          <w:sz w:val="22"/>
        </w:rPr>
        <w:t>Compared to the prior reporting year (2023), location-based Scope 2 emissions increased by 0.03% from 44,599.440 tCO2e to 44,613.876 tCO2e, representing an absolute increase of 14.436 tCO2e. Market-based emissions similarly increased by 0.03% from 44,598.118 tCO2e to 44,612.518 tCO2e. This marginal increase reflects the net effect of operational expansion (new branch openings and increased digital infrastructure capacity) offset partially by energy efficiency initiatives implemented during the period. The stability of emissions despite business growth indicates improving energy intensity performance, though absolute emissions reduction remains a priority area for future action.</w:t>
      </w:r>
    </w:p>
    <w:p>
      <w:pPr>
        <w:spacing w:after="160" w:line="276" w:lineRule="auto"/>
        <w:jc w:val="both"/>
      </w:pPr>
      <w:r>
        <w:rPr>
          <w:rFonts w:ascii="Arial" w:hAnsi="Arial"/>
          <w:sz w:val="22"/>
        </w:rPr>
        <w:t>The organization currently sources 0.00% of its electricity consumption from renewable energy through contractual instruments. No renewable energy certificates, green tariffs, or power purchase agreements with renewable generators were active during the reporting period. Consequently, the market-based method calculation relies on the residual grid mix, which in the absence of specific contractual instruments defaults to the location-based grid-average emission factor. This results in the minimal difference (1.358 tCO2e or 0.003%) between the two reporting methods observed in the current period.</w:t>
      </w:r>
    </w:p>
    <w:p>
      <w:pPr>
        <w:spacing w:after="160" w:line="276" w:lineRule="auto"/>
        <w:jc w:val="both"/>
      </w:pPr>
      <w:r>
        <w:rPr>
          <w:rFonts w:ascii="Arial" w:hAnsi="Arial"/>
          <w:i/>
          <w:color w:val="555555"/>
          <w:sz w:val="22"/>
        </w:rPr>
        <w:t>**Advisory Recommendation 1 — Renewable Energy Procurement Strategy**: The organization's current 0% renewable energy sourcing represents a significant gap compared to regional banking peers. DBS Bank, as an RE100 member, sources 62% of its electricity from renewable sources and achieved a 12% year-over-year reduction in operational emissions. Bank Rakyat Indonesia (BRI) has implemented solar panel installations across its branch network as part of its Green Network initiative, achieving 19.49% electricity savings through green building retrofits and renewable integration. **Recommendation**: Initiate a phased renewable energy procurement program targeting 25% renewable electricity by 2026 through: (a) rooftop solar installations at owned facilities (prioritize headquarters and regional hubs with &gt;500 kW capacity potential); (b) virtual power purchase agreements (VPPAs) with Indonesian renewable developers for 10-15 year terms; (c) participation in PLN's green tariff program for leased facilities. **Priority**: High. This action directly addresses the 0.03% emissions increase and positions the institution for science-based target alignment.</w:t>
      </w:r>
    </w:p>
    <w:p>
      <w:pPr>
        <w:spacing w:after="160" w:line="276" w:lineRule="auto"/>
        <w:jc w:val="both"/>
      </w:pPr>
      <w:r>
        <w:rPr>
          <w:rFonts w:ascii="Arial" w:hAnsi="Arial"/>
          <w:i/>
          <w:color w:val="555555"/>
          <w:sz w:val="22"/>
        </w:rPr>
        <w:t>**Advisory Recommendation 2 — Energy Efficiency Enhancement**: While emissions intensity per employee improved (1.9209 tCO2e/FTE in 2024 vs 1.956 tCO2e/FTE in 2023, a 1.8% improvement), absolute emissions continue to rise with operational expansion. BRI implemented automated shutdown systems through its Kaseya program and achieved measurable reductions through LED retrofits and elevator scheduling optimization. **Recommendation**: Deploy an enterprise energy management system (EMS) with real-time monitoring across top 50 energy-consuming facilities (estimated to represent 70%+ of total consumption). Implement: (a) automated HVAC scheduling tied to occupancy sensors; (b) data center cooling optimization (target PUE &lt;1.5); (c) branch-level energy performance benchmarking with monthly reporting to facility managers. **Benchmark**: BRI achieved Gold certification from Green Building Council Indonesia (GBCI) for its headquarters, demonstrating feasibility of deep retrofits in Indonesian banking context. **Priority**: Medium. Expected payback period 3-4 years with 8-12% energy reduction potential.</w:t>
      </w:r>
    </w:p>
    <w:p>
      <w:r>
        <w:rPr>
          <w:rFonts w:ascii="Arial" w:hAnsi="Arial"/>
          <w:b/>
          <w:sz w:val="20"/>
        </w:rPr>
        <w:t>Table 1: Scope 2 Energy Indirect GHG Emissions — Dual Reporting (tCO2e)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Reporting Method</w:t>
            </w:r>
          </w:p>
        </w:tc>
        <w:tc>
          <w:tcPr>
            <w:tcW w:type="dxa" w:w="1806"/>
            <w:shd w:fill="1B3A6B" w:val="clear"/>
          </w:tcPr>
          <w:p>
            <w:r>
              <w:rPr>
                <w:rFonts w:ascii="Arial" w:hAnsi="Arial"/>
                <w:b/>
                <w:color w:val="FFFFFF"/>
                <w:sz w:val="18"/>
              </w:rPr>
              <w:t>2024 Emissions (tCO2e)</w:t>
            </w:r>
          </w:p>
        </w:tc>
        <w:tc>
          <w:tcPr>
            <w:tcW w:type="dxa" w:w="1806"/>
            <w:shd w:fill="1B3A6B" w:val="clear"/>
          </w:tcPr>
          <w:p>
            <w:r>
              <w:rPr>
                <w:rFonts w:ascii="Arial" w:hAnsi="Arial"/>
                <w:b/>
                <w:color w:val="FFFFFF"/>
                <w:sz w:val="18"/>
              </w:rPr>
              <w:t>2023 Emissions (tCO2e)</w:t>
            </w:r>
          </w:p>
        </w:tc>
        <w:tc>
          <w:tcPr>
            <w:tcW w:type="dxa" w:w="1806"/>
            <w:shd w:fill="1B3A6B" w:val="clear"/>
          </w:tcPr>
          <w:p>
            <w:r>
              <w:rPr>
                <w:rFonts w:ascii="Arial" w:hAnsi="Arial"/>
                <w:b/>
                <w:color w:val="FFFFFF"/>
                <w:sz w:val="18"/>
              </w:rPr>
              <w:t>YoY Change (%)</w:t>
            </w:r>
          </w:p>
        </w:tc>
        <w:tc>
          <w:tcPr>
            <w:tcW w:type="dxa" w:w="1806"/>
            <w:shd w:fill="1B3A6B" w:val="clear"/>
          </w:tcPr>
          <w:p>
            <w:r>
              <w:rPr>
                <w:rFonts w:ascii="Arial" w:hAnsi="Arial"/>
                <w:b/>
                <w:color w:val="FFFFFF"/>
                <w:sz w:val="18"/>
              </w:rPr>
              <w:t>Methodology Basis</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+0.03</w:t>
            </w:r>
          </w:p>
        </w:tc>
        <w:tc>
          <w:tcPr>
            <w:tcW w:type="dxa" w:w="1806"/>
          </w:tcPr>
          <w:p>
            <w:r>
              <w:rPr>
                <w:rFonts w:ascii="Arial" w:hAnsi="Arial"/>
                <w:sz w:val="18"/>
              </w:rPr>
              <w:t>Grid-average emission factor (PLN 2023: 0.850 kgCO2e/kWh)</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+0.03</w:t>
            </w:r>
          </w:p>
        </w:tc>
        <w:tc>
          <w:tcPr>
            <w:tcW w:type="dxa" w:w="1806"/>
            <w:shd w:fill="F2F6FC" w:val="clear"/>
          </w:tcPr>
          <w:p>
            <w:r>
              <w:rPr>
                <w:rFonts w:ascii="Arial" w:hAnsi="Arial"/>
                <w:sz w:val="18"/>
              </w:rPr>
              <w:t>Contractual instruments + residual mix</w:t>
            </w:r>
          </w:p>
        </w:tc>
      </w:tr>
      <w:tr>
        <w:tc>
          <w:tcPr>
            <w:tcW w:type="dxa" w:w="1806"/>
          </w:tcPr>
          <w:p>
            <w:r>
              <w:rPr>
                <w:rFonts w:ascii="Arial" w:hAnsi="Arial"/>
                <w:sz w:val="18"/>
              </w:rPr>
              <w:t>Difference (Location - Market)</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+2.72</w:t>
            </w:r>
          </w:p>
        </w:tc>
        <w:tc>
          <w:tcPr>
            <w:tcW w:type="dxa" w:w="1806"/>
          </w:tcPr>
          <w:p>
            <w:r>
              <w:rPr>
                <w:rFonts w:ascii="Arial" w:hAnsi="Arial"/>
                <w:sz w:val="18"/>
              </w:rPr>
              <w:t>Reflects renewable energy procurement impact</w:t>
            </w:r>
          </w:p>
        </w:tc>
      </w:tr>
    </w:tbl>
    <w:p>
      <w:r>
        <w:rPr>
          <w:rFonts w:ascii="Arial" w:hAnsi="Arial"/>
          <w:i/>
          <w:sz w:val="16"/>
        </w:rPr>
        <w:t>Source: Source: Internal energy consumption data; emission factors from PLN Annual Report 2023 and Ministry of Energy and Mineral Resources. Consolidation approach: operational control. Reporting boundary: all facilities under operational control in Indonesia.</w:t>
      </w:r>
    </w:p>
    <w:p/>
    <w:p>
      <w:r>
        <w:rPr>
          <w:rFonts w:ascii="Arial" w:hAnsi="Arial"/>
          <w:b/>
          <w:sz w:val="20"/>
        </w:rPr>
        <w:t>Table 2: Electricity Consumption and Emission Intensity Metrics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 Value</w:t>
            </w:r>
          </w:p>
        </w:tc>
        <w:tc>
          <w:tcPr>
            <w:tcW w:type="dxa" w:w="1806"/>
            <w:shd w:fill="1B3A6B" w:val="clear"/>
          </w:tcPr>
          <w:p>
            <w:r>
              <w:rPr>
                <w:rFonts w:ascii="Arial" w:hAnsi="Arial"/>
                <w:b/>
                <w:color w:val="FFFFFF"/>
                <w:sz w:val="18"/>
              </w:rPr>
              <w:t>2023 Value</w:t>
            </w:r>
          </w:p>
        </w:tc>
        <w:tc>
          <w:tcPr>
            <w:tcW w:type="dxa" w:w="1806"/>
            <w:shd w:fill="1B3A6B" w:val="clear"/>
          </w:tcPr>
          <w:p>
            <w:r>
              <w:rPr>
                <w:rFonts w:ascii="Arial" w:hAnsi="Arial"/>
                <w:b/>
                <w:color w:val="FFFFFF"/>
                <w:sz w:val="18"/>
              </w:rPr>
              <w:t>Unit</w:t>
            </w:r>
          </w:p>
        </w:tc>
        <w:tc>
          <w:tcPr>
            <w:tcW w:type="dxa" w:w="1806"/>
            <w:shd w:fill="1B3A6B" w:val="clear"/>
          </w:tcPr>
          <w:p>
            <w:r>
              <w:rPr>
                <w:rFonts w:ascii="Arial" w:hAnsi="Arial"/>
                <w:b/>
                <w:color w:val="FFFFFF"/>
                <w:sz w:val="18"/>
              </w:rPr>
              <w:t>YoY Change (%)</w:t>
            </w:r>
          </w:p>
        </w:tc>
      </w:tr>
      <w:tr>
        <w:tc>
          <w:tcPr>
            <w:tcW w:type="dxa" w:w="1806"/>
          </w:tcPr>
          <w:p>
            <w:r>
              <w:rPr>
                <w:rFonts w:ascii="Arial" w:hAnsi="Arial"/>
                <w:sz w:val="18"/>
              </w:rPr>
              <w:t>Total Electricity Consumption</w:t>
            </w:r>
          </w:p>
        </w:tc>
        <w:tc>
          <w:tcPr>
            <w:tcW w:type="dxa" w:w="1806"/>
          </w:tcPr>
          <w:p>
            <w:pPr>
              <w:jc w:val="right"/>
            </w:pPr>
            <w:r>
              <w:rPr>
                <w:rFonts w:ascii="Arial" w:hAnsi="Arial"/>
                <w:sz w:val="18"/>
              </w:rPr>
              <w:t>52,487</w:t>
            </w:r>
          </w:p>
        </w:tc>
        <w:tc>
          <w:tcPr>
            <w:tcW w:type="dxa" w:w="1806"/>
          </w:tcPr>
          <w:p>
            <w:pPr>
              <w:jc w:val="right"/>
            </w:pPr>
            <w:r>
              <w:rPr>
                <w:rFonts w:ascii="Arial" w:hAnsi="Arial"/>
                <w:sz w:val="18"/>
              </w:rPr>
              <w:t>52,470</w:t>
            </w:r>
          </w:p>
        </w:tc>
        <w:tc>
          <w:tcPr>
            <w:tcW w:type="dxa" w:w="1806"/>
          </w:tcPr>
          <w:p>
            <w:r>
              <w:rPr>
                <w:rFonts w:ascii="Arial" w:hAnsi="Arial"/>
                <w:sz w:val="18"/>
              </w:rPr>
              <w:t>MWh</w:t>
            </w:r>
          </w:p>
        </w:tc>
        <w:tc>
          <w:tcPr>
            <w:tcW w:type="dxa" w:w="1806"/>
          </w:tcPr>
          <w:p>
            <w:pPr>
              <w:jc w:val="right"/>
            </w:pPr>
            <w:r>
              <w:rPr>
                <w:rFonts w:ascii="Arial" w:hAnsi="Arial"/>
                <w:sz w:val="18"/>
              </w:rPr>
              <w:t>+0.03</w:t>
            </w:r>
          </w:p>
        </w:tc>
      </w:tr>
      <w:tr>
        <w:tc>
          <w:tcPr>
            <w:tcW w:type="dxa" w:w="1806"/>
            <w:shd w:fill="F2F6FC" w:val="clear"/>
          </w:tcPr>
          <w:p>
            <w:r>
              <w:rPr>
                <w:rFonts w:ascii="Arial" w:hAnsi="Arial"/>
                <w:sz w:val="18"/>
              </w:rPr>
              <w:t>Scope 2 Intensity (per FTE)</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1.956</w:t>
            </w:r>
          </w:p>
        </w:tc>
        <w:tc>
          <w:tcPr>
            <w:tcW w:type="dxa" w:w="1806"/>
            <w:shd w:fill="F2F6FC" w:val="clear"/>
          </w:tcPr>
          <w:p>
            <w:r>
              <w:rPr>
                <w:rFonts w:ascii="Arial" w:hAnsi="Arial"/>
                <w:sz w:val="18"/>
              </w:rPr>
              <w:t>tCO2e/FTE</w:t>
            </w:r>
          </w:p>
        </w:tc>
        <w:tc>
          <w:tcPr>
            <w:tcW w:type="dxa" w:w="1806"/>
            <w:shd w:fill="F2F6FC" w:val="clear"/>
          </w:tcPr>
          <w:p>
            <w:pPr>
              <w:jc w:val="right"/>
            </w:pPr>
            <w:r>
              <w:rPr>
                <w:rFonts w:ascii="Arial" w:hAnsi="Arial"/>
                <w:sz w:val="18"/>
              </w:rPr>
              <w:t>-1.80</w:t>
            </w:r>
          </w:p>
        </w:tc>
      </w:tr>
      <w:tr>
        <w:tc>
          <w:tcPr>
            <w:tcW w:type="dxa" w:w="1806"/>
          </w:tcPr>
          <w:p>
            <w:r>
              <w:rPr>
                <w:rFonts w:ascii="Arial" w:hAnsi="Arial"/>
                <w:sz w:val="18"/>
              </w:rPr>
              <w:t>Scope 2 Intensity (per IDR billion revenue)</w:t>
            </w:r>
          </w:p>
        </w:tc>
        <w:tc>
          <w:tcPr>
            <w:tcW w:type="dxa" w:w="1806"/>
          </w:tcPr>
          <w:p>
            <w:pPr>
              <w:jc w:val="right"/>
            </w:pPr>
            <w:r>
              <w:rPr>
                <w:rFonts w:ascii="Arial" w:hAnsi="Arial"/>
                <w:sz w:val="18"/>
              </w:rPr>
              <w:t>239.400139</w:t>
            </w:r>
          </w:p>
        </w:tc>
        <w:tc>
          <w:tcPr>
            <w:tcW w:type="dxa" w:w="1806"/>
          </w:tcPr>
          <w:p>
            <w:pPr>
              <w:jc w:val="right"/>
            </w:pPr>
            <w:r>
              <w:rPr>
                <w:rFonts w:ascii="Arial" w:hAnsi="Arial"/>
                <w:sz w:val="18"/>
              </w:rPr>
              <w:t>270.116632</w:t>
            </w:r>
          </w:p>
        </w:tc>
        <w:tc>
          <w:tcPr>
            <w:tcW w:type="dxa" w:w="1806"/>
          </w:tcPr>
          <w:p>
            <w:r>
              <w:rPr>
                <w:rFonts w:ascii="Arial" w:hAnsi="Arial"/>
                <w:sz w:val="18"/>
              </w:rPr>
              <w:t>tCO2e/IDR bn</w:t>
            </w:r>
          </w:p>
        </w:tc>
        <w:tc>
          <w:tcPr>
            <w:tcW w:type="dxa" w:w="1806"/>
          </w:tcPr>
          <w:p>
            <w:pPr>
              <w:jc w:val="right"/>
            </w:pPr>
            <w:r>
              <w:rPr>
                <w:rFonts w:ascii="Arial" w:hAnsi="Arial"/>
                <w:sz w:val="18"/>
              </w:rPr>
              <w:t>-11.37</w:t>
            </w:r>
          </w:p>
        </w:tc>
      </w:tr>
      <w:tr>
        <w:tc>
          <w:tcPr>
            <w:tcW w:type="dxa" w:w="1806"/>
            <w:shd w:fill="F2F6FC" w:val="clear"/>
          </w:tcPr>
          <w:p>
            <w:r>
              <w:rPr>
                <w:rFonts w:ascii="Arial" w:hAnsi="Arial"/>
                <w:sz w:val="18"/>
              </w:rPr>
              <w:t>Renewable Energy Sourced</w:t>
            </w:r>
          </w:p>
        </w:tc>
        <w:tc>
          <w:tcPr>
            <w:tcW w:type="dxa" w:w="1806"/>
            <w:shd w:fill="F2F6FC" w:val="clear"/>
          </w:tcPr>
          <w:p>
            <w:pPr>
              <w:jc w:val="right"/>
            </w:pPr>
            <w:r>
              <w:rPr>
                <w:rFonts w:ascii="Arial" w:hAnsi="Arial"/>
                <w:sz w:val="18"/>
              </w:rPr>
              <w:t>0.00</w:t>
            </w:r>
          </w:p>
        </w:tc>
        <w:tc>
          <w:tcPr>
            <w:tcW w:type="dxa" w:w="1806"/>
            <w:shd w:fill="F2F6FC" w:val="clear"/>
          </w:tcPr>
          <w:p>
            <w:pPr>
              <w:jc w:val="right"/>
            </w:pPr>
            <w:r>
              <w:rPr>
                <w:rFonts w:ascii="Arial" w:hAnsi="Arial"/>
                <w:sz w:val="18"/>
              </w:rPr>
              <w:t>0.00</w:t>
            </w:r>
          </w:p>
        </w:tc>
        <w:tc>
          <w:tcPr>
            <w:tcW w:type="dxa" w:w="1806"/>
            <w:shd w:fill="F2F6FC" w:val="clear"/>
          </w:tcPr>
          <w:p>
            <w:r>
              <w:rPr>
                <w:rFonts w:ascii="Arial" w:hAnsi="Arial"/>
                <w:sz w:val="18"/>
              </w:rPr>
              <w:t>%</w:t>
            </w:r>
          </w:p>
        </w:tc>
        <w:tc>
          <w:tcPr>
            <w:tcW w:type="dxa" w:w="1806"/>
            <w:shd w:fill="F2F6FC" w:val="clear"/>
          </w:tcPr>
          <w:p>
            <w:pPr>
              <w:jc w:val="right"/>
            </w:pPr>
            <w:r>
              <w:rPr>
                <w:rFonts w:ascii="Arial" w:hAnsi="Arial"/>
                <w:sz w:val="18"/>
              </w:rPr>
              <w:t>0.00</w:t>
            </w:r>
          </w:p>
        </w:tc>
      </w:tr>
      <w:tr>
        <w:tc>
          <w:tcPr>
            <w:tcW w:type="dxa" w:w="1806"/>
          </w:tcPr>
          <w:p>
            <w:r>
              <w:rPr>
                <w:rFonts w:ascii="Arial" w:hAnsi="Arial"/>
                <w:sz w:val="18"/>
              </w:rPr>
              <w:t>Grid Emission Factor Applied</w:t>
            </w:r>
          </w:p>
        </w:tc>
        <w:tc>
          <w:tcPr>
            <w:tcW w:type="dxa" w:w="1806"/>
          </w:tcPr>
          <w:p>
            <w:pPr>
              <w:jc w:val="right"/>
            </w:pPr>
            <w:r>
              <w:rPr>
                <w:rFonts w:ascii="Arial" w:hAnsi="Arial"/>
                <w:sz w:val="18"/>
              </w:rPr>
              <w:t>0.850</w:t>
            </w:r>
          </w:p>
        </w:tc>
        <w:tc>
          <w:tcPr>
            <w:tcW w:type="dxa" w:w="1806"/>
          </w:tcPr>
          <w:p>
            <w:pPr>
              <w:jc w:val="right"/>
            </w:pPr>
            <w:r>
              <w:rPr>
                <w:rFonts w:ascii="Arial" w:hAnsi="Arial"/>
                <w:sz w:val="18"/>
              </w:rPr>
              <w:t>0.850</w:t>
            </w:r>
          </w:p>
        </w:tc>
        <w:tc>
          <w:tcPr>
            <w:tcW w:type="dxa" w:w="1806"/>
          </w:tcPr>
          <w:p>
            <w:r>
              <w:rPr>
                <w:rFonts w:ascii="Arial" w:hAnsi="Arial"/>
                <w:sz w:val="18"/>
              </w:rPr>
              <w:t>kgCO2e/kWh</w:t>
            </w:r>
          </w:p>
        </w:tc>
        <w:tc>
          <w:tcPr>
            <w:tcW w:type="dxa" w:w="1806"/>
          </w:tcPr>
          <w:p>
            <w:pPr>
              <w:jc w:val="right"/>
            </w:pPr>
            <w:r>
              <w:rPr>
                <w:rFonts w:ascii="Arial" w:hAnsi="Arial"/>
                <w:sz w:val="18"/>
              </w:rPr>
              <w:t>0.00</w:t>
            </w:r>
          </w:p>
        </w:tc>
      </w:tr>
    </w:tbl>
    <w:p>
      <w:r>
        <w:rPr>
          <w:rFonts w:ascii="Arial" w:hAnsi="Arial"/>
          <w:i/>
          <w:sz w:val="16"/>
        </w:rPr>
        <w:t>Source: Source: Electricity consumption from facility utility bills; FTE count from HR metrics (24,997 FTE in 2024); revenue from audited financial statements. Intensity calculations use market-based Scope 2 figure in numerator per GHG Protocol guidance.</w:t>
      </w:r>
    </w:p>
    <w:p/>
    <w:p>
      <w:r>
        <w:rPr>
          <w:i/>
          <w:color w:val="3D6094"/>
          <w:sz w:val="18"/>
        </w:rPr>
        <w:t>Framework references: GRI 305-2 (Energy indirect Scope 2 GHG emissions); GHG Protocol Corporate Accounting and Reporting Standard (Revised Edition); GHG Protocol Scope 2 Guidance (2015); GRI 302-1 (Energy consumption within the organization) — referenced for consumption data</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GRI Content Index: 305-2 | Energy indirect (Scope 2) GHG emissions | Section 4.2</w:t>
      </w:r>
    </w:p>
    <w:p>
      <w:pPr>
        <w:spacing w:after="160" w:line="276" w:lineRule="auto"/>
        <w:jc w:val="both"/>
      </w:pPr>
      <w:r>
        <w:rPr>
          <w:rFonts w:ascii="Arial" w:hAnsi="Arial"/>
          <w:i/>
          <w:color w:val="646464"/>
          <w:sz w:val="18"/>
        </w:rPr>
        <w:t>Dual reporting methodology per GHG Protocol Scope 2 Guidance (2015). Location-based method uses grid-average emission factors; market-based method reflects contractual instruments and residual mix.</w:t>
      </w:r>
    </w:p>
    <w:p>
      <w:pPr>
        <w:spacing w:after="160" w:line="276" w:lineRule="auto"/>
        <w:jc w:val="both"/>
      </w:pPr>
      <w:r>
        <w:rPr>
          <w:rFonts w:ascii="Arial" w:hAnsi="Arial"/>
          <w:i/>
          <w:color w:val="646464"/>
          <w:sz w:val="18"/>
        </w:rPr>
        <w:t>Grid emission factor source: PLN (Perusahaan Listrik Negara) 2023 Annual Report, validated against IEA Indonesia country profile. Factor applies to Java-Bali and Sumatra interconnected systems covering 95%+ of operational facilities.</w:t>
      </w:r>
    </w:p>
    <w:p>
      <w:pPr>
        <w:spacing w:after="160" w:line="276" w:lineRule="auto"/>
        <w:jc w:val="both"/>
      </w:pPr>
      <w:r>
        <w:rPr>
          <w:rFonts w:ascii="Arial" w:hAnsi="Arial"/>
          <w:i/>
          <w:color w:val="646464"/>
          <w:sz w:val="18"/>
        </w:rPr>
        <w:t>The 1.358 tCO2e difference between location-based and market-based figures results from minor calculation rounding differences in the absence of material contractual instruments. When renewable procurement scales, this difference will reflect actual renewable energy attributes retired.</w:t>
      </w:r>
    </w:p>
    <w:p>
      <w:pPr>
        <w:spacing w:after="160" w:line="276" w:lineRule="auto"/>
        <w:jc w:val="both"/>
      </w:pPr>
      <w:r>
        <w:rPr>
          <w:rFonts w:ascii="Arial" w:hAnsi="Arial"/>
          <w:i/>
          <w:color w:val="646464"/>
          <w:sz w:val="18"/>
        </w:rPr>
        <w:t>Electricity consumption data quality: 100% metered data from utility bills for owned facilities; 8% estimated for co-located ATMs using equipment nameplate ratings and operating hours. No imputation required for primary facilities.</w:t>
      </w:r>
    </w:p>
    <w:p>
      <w:r>
        <w:br w:type="page"/>
      </w:r>
    </w:p>
    <w:p>
      <w:pPr>
        <w:pStyle w:val="Heading1"/>
        <w:keepNext/>
        <w:spacing w:before="480" w:after="240"/>
      </w:pPr>
      <w:r>
        <w:rPr>
          <w:rFonts w:ascii="Arial" w:hAnsi="Arial"/>
          <w:b/>
          <w:color w:val="1B3A6B"/>
          <w:sz w:val="36"/>
        </w:rPr>
        <w:t>Climate Governance &amp; ESG Oversight</w:t>
      </w:r>
    </w:p>
    <w:p>
      <w:pPr>
        <w:spacing w:after="160" w:line="276" w:lineRule="auto"/>
        <w:jc w:val="both"/>
      </w:pPr>
      <w:r>
        <w:rPr>
          <w:rFonts w:ascii="Arial" w:hAnsi="Arial"/>
          <w:sz w:val="22"/>
        </w:rPr>
        <w:t>This data point is not yet captured in the institution's reporting system. Per IFRS S2 paragraphs 6-7, the institution is required to disclose: (a) the identity of the body(s) or individual(s) responsible for oversight of climate-related risks and opportunities, including how responsibilities are reflected in terms of reference and mandates; (b) how the governing body determines whether appropriate climate competencies are available or will be developed; (c) the frequency of climate risk reviews; (d) how climate considerations inform strategy and major transactions; (e) oversight of target-setting and progress monitoring; and (f) whether climate performance metrics are included in remuneration policies. Additionally, management's role in governance processes must be disclosed, including delegation structures and integration with internal controls.</w:t>
      </w:r>
    </w:p>
    <w:p>
      <w:pPr>
        <w:spacing w:after="160" w:line="276" w:lineRule="auto"/>
        <w:jc w:val="both"/>
      </w:pPr>
      <w:r>
        <w:rPr>
          <w:rFonts w:ascii="Arial" w:hAnsi="Arial"/>
          <w:sz w:val="22"/>
        </w:rPr>
        <w:t>**Peer Benchmark Context**: Leading Indonesian banks have established robust climate governance structures that provide a reference framework for best practice implementation. Bank Rakyat Indonesia (BRI) established a dedicated Risk Management &amp; ESG Committee in 2021 via Board Decision NOKEP 872-DIR/PPM/06/2022, which reports directly to the President Director and conducts quarterly reviews of climate-related risks and opportunities. Bank Central Asia (BCA) integrates ESG oversight through an ESG Subdivision under the Corporate Secretary, with the Director of Planning &amp; Finance providing oversight and reporting to the President Director at least four times annually. DBS Bank operates a Board Sustainability Committee with a Chief Sustainability Officer reporting directly to the Board on a quarterly basis, and notably links 20% of executive compensation to climate and sustainability KPIs. Bank Mandiri maintains an ESG Task Force with semi-annual board reviews. All four institutions have integrated climate risk considerations into their enterprise risk management frameworks and maintain board-level accountability for climate strategy and target-setting.</w:t>
      </w:r>
    </w:p>
    <w:p>
      <w:pPr>
        <w:spacing w:after="160" w:line="276" w:lineRule="auto"/>
        <w:jc w:val="both"/>
      </w:pPr>
      <w:r>
        <w:rPr>
          <w:rFonts w:ascii="Arial" w:hAnsi="Arial"/>
          <w:i/>
          <w:sz w:val="22"/>
        </w:rPr>
        <w:t>**Governance Structure Requirements**: To achieve full compliance with IFRS S2 governance disclosure requirements, the institution must establish and document the following structural elements: (1) a board-level committee with explicit climate oversight responsibility, with terms of reference specifying climate risk review frequency (recommended quarterly, minimum semi-annually); (2) a management-level position or committee (e.g., Chief Risk Officer, Sustainability Committee) with clear reporting lines to the board committee; (3) documented processes for how climate considerations inform strategic decisions, capital allocation, and major transactions; (4) a skills assessment framework to evaluate and develop board climate competency; (5) formal target-setting authority designation (board approval with management recommendation is standard practice); and (6) a monitoring framework for tracking progress against climate targets with defined escalation protocols.</w:t>
      </w:r>
    </w:p>
    <w:p>
      <w:pPr>
        <w:spacing w:after="160" w:line="276" w:lineRule="auto"/>
        <w:jc w:val="both"/>
      </w:pPr>
      <w:r>
        <w:rPr>
          <w:rFonts w:ascii="Arial" w:hAnsi="Arial"/>
          <w:sz w:val="22"/>
        </w:rPr>
        <w:t>**Executive Remuneration Linkage**: IFRS S2 paragraph 6(a)(v) requires disclosure of whether and how climate-related performance metrics are included in remuneration policies. Currently, this linkage is not established within the institution's governance framework. Peer benchmark analysis indicates that leading institutions typically allocate 10-20% of executive variable compensation to climate and ESG metrics. DBS Bank's 20% allocation represents best practice in the region, while other institutions maintain 10-15% allocations tied to metrics such as financed emissions reduction, renewable energy portfolio growth, and ESG risk management effectiveness. Establishing this linkage is critical for demonstrating board and management accountability for climate strategy execution.</w:t>
      </w:r>
    </w:p>
    <w:p>
      <w:r>
        <w:rPr>
          <w:rFonts w:ascii="Arial" w:hAnsi="Arial"/>
          <w:b/>
          <w:sz w:val="20"/>
        </w:rPr>
        <w:t>Table 1: Governance Disclosure Gap Analysis — IFRS S2 Requirements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IFRS S2 Requirement</w:t>
            </w:r>
          </w:p>
        </w:tc>
        <w:tc>
          <w:tcPr>
            <w:tcW w:type="dxa" w:w="1806"/>
            <w:shd w:fill="1B3A6B" w:val="clear"/>
          </w:tcPr>
          <w:p>
            <w:r>
              <w:rPr>
                <w:rFonts w:ascii="Arial" w:hAnsi="Arial"/>
                <w:b/>
                <w:color w:val="FFFFFF"/>
                <w:sz w:val="18"/>
              </w:rPr>
              <w:t>Paragraph Reference</w:t>
            </w:r>
          </w:p>
        </w:tc>
        <w:tc>
          <w:tcPr>
            <w:tcW w:type="dxa" w:w="1806"/>
            <w:shd w:fill="1B3A6B" w:val="clear"/>
          </w:tcPr>
          <w:p>
            <w:r>
              <w:rPr>
                <w:rFonts w:ascii="Arial" w:hAnsi="Arial"/>
                <w:b/>
                <w:color w:val="FFFFFF"/>
                <w:sz w:val="18"/>
              </w:rPr>
              <w:t>Required Disclosure Element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Governing Body Identity</w:t>
            </w:r>
          </w:p>
        </w:tc>
        <w:tc>
          <w:tcPr>
            <w:tcW w:type="dxa" w:w="1806"/>
          </w:tcPr>
          <w:p>
            <w:r>
              <w:rPr>
                <w:rFonts w:ascii="Arial" w:hAnsi="Arial"/>
                <w:sz w:val="18"/>
              </w:rPr>
              <w:t>Para 6(a)</w:t>
            </w:r>
          </w:p>
        </w:tc>
        <w:tc>
          <w:tcPr>
            <w:tcW w:type="dxa" w:w="1806"/>
          </w:tcPr>
          <w:p>
            <w:r>
              <w:rPr>
                <w:rFonts w:ascii="Arial" w:hAnsi="Arial"/>
                <w:sz w:val="18"/>
              </w:rPr>
              <w:t>Name and composition of board committee responsible for climate oversight</w:t>
            </w:r>
          </w:p>
        </w:tc>
        <w:tc>
          <w:tcPr>
            <w:tcW w:type="dxa" w:w="1806"/>
          </w:tcPr>
          <w:p>
            <w:r>
              <w:rPr>
                <w:rFonts w:ascii="Arial" w:hAnsi="Arial"/>
                <w:sz w:val="18"/>
              </w:rPr>
              <w:t>Not Available</w:t>
            </w:r>
          </w:p>
        </w:tc>
        <w:tc>
          <w:tcPr>
            <w:tcW w:type="dxa" w:w="1806"/>
          </w:tcPr>
          <w:p>
            <w:r>
              <w:rPr>
                <w:rFonts w:ascii="Arial" w:hAnsi="Arial"/>
                <w:sz w:val="18"/>
              </w:rPr>
              <w:t>High</w:t>
            </w:r>
          </w:p>
        </w:tc>
      </w:tr>
      <w:tr>
        <w:tc>
          <w:tcPr>
            <w:tcW w:type="dxa" w:w="1806"/>
            <w:shd w:fill="F2F6FC" w:val="clear"/>
          </w:tcPr>
          <w:p>
            <w:r>
              <w:rPr>
                <w:rFonts w:ascii="Arial" w:hAnsi="Arial"/>
                <w:sz w:val="18"/>
              </w:rPr>
              <w:t>Oversight Frequency</w:t>
            </w:r>
          </w:p>
        </w:tc>
        <w:tc>
          <w:tcPr>
            <w:tcW w:type="dxa" w:w="1806"/>
            <w:shd w:fill="F2F6FC" w:val="clear"/>
          </w:tcPr>
          <w:p>
            <w:r>
              <w:rPr>
                <w:rFonts w:ascii="Arial" w:hAnsi="Arial"/>
                <w:sz w:val="18"/>
              </w:rPr>
              <w:t>Para 6(a)(iii)</w:t>
            </w:r>
          </w:p>
        </w:tc>
        <w:tc>
          <w:tcPr>
            <w:tcW w:type="dxa" w:w="1806"/>
            <w:shd w:fill="F2F6FC" w:val="clear"/>
          </w:tcPr>
          <w:p>
            <w:r>
              <w:rPr>
                <w:rFonts w:ascii="Arial" w:hAnsi="Arial"/>
                <w:sz w:val="18"/>
              </w:rPr>
              <w:t>How often governing body is informed about climate risks/opportunities</w:t>
            </w:r>
          </w:p>
        </w:tc>
        <w:tc>
          <w:tcPr>
            <w:tcW w:type="dxa" w:w="1806"/>
            <w:shd w:fill="F2F6FC" w:val="clear"/>
          </w:tcPr>
          <w:p>
            <w:r>
              <w:rPr>
                <w:rFonts w:ascii="Arial" w:hAnsi="Arial"/>
                <w:sz w:val="18"/>
              </w:rPr>
              <w:t>Not Available</w:t>
            </w:r>
          </w:p>
        </w:tc>
        <w:tc>
          <w:tcPr>
            <w:tcW w:type="dxa" w:w="1806"/>
            <w:shd w:fill="F2F6FC" w:val="clear"/>
          </w:tcPr>
          <w:p>
            <w:r>
              <w:rPr>
                <w:rFonts w:ascii="Arial" w:hAnsi="Arial"/>
                <w:sz w:val="18"/>
              </w:rPr>
              <w:t>High</w:t>
            </w:r>
          </w:p>
        </w:tc>
      </w:tr>
      <w:tr>
        <w:tc>
          <w:tcPr>
            <w:tcW w:type="dxa" w:w="1806"/>
          </w:tcPr>
          <w:p>
            <w:r>
              <w:rPr>
                <w:rFonts w:ascii="Arial" w:hAnsi="Arial"/>
                <w:sz w:val="18"/>
              </w:rPr>
              <w:t>Climate Competency</w:t>
            </w:r>
          </w:p>
        </w:tc>
        <w:tc>
          <w:tcPr>
            <w:tcW w:type="dxa" w:w="1806"/>
          </w:tcPr>
          <w:p>
            <w:r>
              <w:rPr>
                <w:rFonts w:ascii="Arial" w:hAnsi="Arial"/>
                <w:sz w:val="18"/>
              </w:rPr>
              <w:t>Para 6(a)(ii)</w:t>
            </w:r>
          </w:p>
        </w:tc>
        <w:tc>
          <w:tcPr>
            <w:tcW w:type="dxa" w:w="1806"/>
          </w:tcPr>
          <w:p>
            <w:r>
              <w:rPr>
                <w:rFonts w:ascii="Arial" w:hAnsi="Arial"/>
                <w:sz w:val="18"/>
              </w:rPr>
              <w:t>Process to assess and develop board climate skills</w:t>
            </w:r>
          </w:p>
        </w:tc>
        <w:tc>
          <w:tcPr>
            <w:tcW w:type="dxa" w:w="1806"/>
          </w:tcPr>
          <w:p>
            <w:r>
              <w:rPr>
                <w:rFonts w:ascii="Arial" w:hAnsi="Arial"/>
                <w:sz w:val="18"/>
              </w:rPr>
              <w:t>Not Available</w:t>
            </w:r>
          </w:p>
        </w:tc>
        <w:tc>
          <w:tcPr>
            <w:tcW w:type="dxa" w:w="1806"/>
          </w:tcPr>
          <w:p>
            <w:r>
              <w:rPr>
                <w:rFonts w:ascii="Arial" w:hAnsi="Arial"/>
                <w:sz w:val="18"/>
              </w:rPr>
              <w:t>Medium</w:t>
            </w:r>
          </w:p>
        </w:tc>
      </w:tr>
      <w:tr>
        <w:tc>
          <w:tcPr>
            <w:tcW w:type="dxa" w:w="1806"/>
            <w:shd w:fill="F2F6FC" w:val="clear"/>
          </w:tcPr>
          <w:p>
            <w:r>
              <w:rPr>
                <w:rFonts w:ascii="Arial" w:hAnsi="Arial"/>
                <w:sz w:val="18"/>
              </w:rPr>
              <w:t>Strategy Integration</w:t>
            </w:r>
          </w:p>
        </w:tc>
        <w:tc>
          <w:tcPr>
            <w:tcW w:type="dxa" w:w="1806"/>
            <w:shd w:fill="F2F6FC" w:val="clear"/>
          </w:tcPr>
          <w:p>
            <w:r>
              <w:rPr>
                <w:rFonts w:ascii="Arial" w:hAnsi="Arial"/>
                <w:sz w:val="18"/>
              </w:rPr>
              <w:t>Para 6(a)(iv)</w:t>
            </w:r>
          </w:p>
        </w:tc>
        <w:tc>
          <w:tcPr>
            <w:tcW w:type="dxa" w:w="1806"/>
            <w:shd w:fill="F2F6FC" w:val="clear"/>
          </w:tcPr>
          <w:p>
            <w:r>
              <w:rPr>
                <w:rFonts w:ascii="Arial" w:hAnsi="Arial"/>
                <w:sz w:val="18"/>
              </w:rPr>
              <w:t>How climate informs strategy, major transactions, risk management</w:t>
            </w:r>
          </w:p>
        </w:tc>
        <w:tc>
          <w:tcPr>
            <w:tcW w:type="dxa" w:w="1806"/>
            <w:shd w:fill="F2F6FC" w:val="clear"/>
          </w:tcPr>
          <w:p>
            <w:r>
              <w:rPr>
                <w:rFonts w:ascii="Arial" w:hAnsi="Arial"/>
                <w:sz w:val="18"/>
              </w:rPr>
              <w:t>Not Available</w:t>
            </w:r>
          </w:p>
        </w:tc>
        <w:tc>
          <w:tcPr>
            <w:tcW w:type="dxa" w:w="1806"/>
            <w:shd w:fill="F2F6FC" w:val="clear"/>
          </w:tcPr>
          <w:p>
            <w:r>
              <w:rPr>
                <w:rFonts w:ascii="Arial" w:hAnsi="Arial"/>
                <w:sz w:val="18"/>
              </w:rPr>
              <w:t>High</w:t>
            </w:r>
          </w:p>
        </w:tc>
      </w:tr>
      <w:tr>
        <w:tc>
          <w:tcPr>
            <w:tcW w:type="dxa" w:w="1806"/>
          </w:tcPr>
          <w:p>
            <w:r>
              <w:rPr>
                <w:rFonts w:ascii="Arial" w:hAnsi="Arial"/>
                <w:sz w:val="18"/>
              </w:rPr>
              <w:t>Target Oversight</w:t>
            </w:r>
          </w:p>
        </w:tc>
        <w:tc>
          <w:tcPr>
            <w:tcW w:type="dxa" w:w="1806"/>
          </w:tcPr>
          <w:p>
            <w:r>
              <w:rPr>
                <w:rFonts w:ascii="Arial" w:hAnsi="Arial"/>
                <w:sz w:val="18"/>
              </w:rPr>
              <w:t>Para 6(a)(v)</w:t>
            </w:r>
          </w:p>
        </w:tc>
        <w:tc>
          <w:tcPr>
            <w:tcW w:type="dxa" w:w="1806"/>
          </w:tcPr>
          <w:p>
            <w:r>
              <w:rPr>
                <w:rFonts w:ascii="Arial" w:hAnsi="Arial"/>
                <w:sz w:val="18"/>
              </w:rPr>
              <w:t>How governing body oversees target-setting and monitors progress</w:t>
            </w:r>
          </w:p>
        </w:tc>
        <w:tc>
          <w:tcPr>
            <w:tcW w:type="dxa" w:w="1806"/>
          </w:tcPr>
          <w:p>
            <w:r>
              <w:rPr>
                <w:rFonts w:ascii="Arial" w:hAnsi="Arial"/>
                <w:sz w:val="18"/>
              </w:rPr>
              <w:t>Not Available</w:t>
            </w:r>
          </w:p>
        </w:tc>
        <w:tc>
          <w:tcPr>
            <w:tcW w:type="dxa" w:w="1806"/>
          </w:tcPr>
          <w:p>
            <w:r>
              <w:rPr>
                <w:rFonts w:ascii="Arial" w:hAnsi="Arial"/>
                <w:sz w:val="18"/>
              </w:rPr>
              <w:t>High</w:t>
            </w:r>
          </w:p>
        </w:tc>
      </w:tr>
      <w:tr>
        <w:tc>
          <w:tcPr>
            <w:tcW w:type="dxa" w:w="1806"/>
            <w:shd w:fill="F2F6FC" w:val="clear"/>
          </w:tcPr>
          <w:p>
            <w:r>
              <w:rPr>
                <w:rFonts w:ascii="Arial" w:hAnsi="Arial"/>
                <w:sz w:val="18"/>
              </w:rPr>
              <w:t>Remuneration Linkage</w:t>
            </w:r>
          </w:p>
        </w:tc>
        <w:tc>
          <w:tcPr>
            <w:tcW w:type="dxa" w:w="1806"/>
            <w:shd w:fill="F2F6FC" w:val="clear"/>
          </w:tcPr>
          <w:p>
            <w:r>
              <w:rPr>
                <w:rFonts w:ascii="Arial" w:hAnsi="Arial"/>
                <w:sz w:val="18"/>
              </w:rPr>
              <w:t>Para 6(a)(v)</w:t>
            </w:r>
          </w:p>
        </w:tc>
        <w:tc>
          <w:tcPr>
            <w:tcW w:type="dxa" w:w="1806"/>
            <w:shd w:fill="F2F6FC" w:val="clear"/>
          </w:tcPr>
          <w:p>
            <w:r>
              <w:rPr>
                <w:rFonts w:ascii="Arial" w:hAnsi="Arial"/>
                <w:sz w:val="18"/>
              </w:rPr>
              <w:t>Whether climate metrics included in executive compensation</w:t>
            </w:r>
          </w:p>
        </w:tc>
        <w:tc>
          <w:tcPr>
            <w:tcW w:type="dxa" w:w="1806"/>
            <w:shd w:fill="F2F6FC" w:val="clear"/>
          </w:tcPr>
          <w:p>
            <w:r>
              <w:rPr>
                <w:rFonts w:ascii="Arial" w:hAnsi="Arial"/>
                <w:sz w:val="18"/>
              </w:rPr>
              <w:t>Not Linked</w:t>
            </w:r>
          </w:p>
        </w:tc>
        <w:tc>
          <w:tcPr>
            <w:tcW w:type="dxa" w:w="1806"/>
            <w:shd w:fill="F2F6FC" w:val="clear"/>
          </w:tcPr>
          <w:p>
            <w:r>
              <w:rPr>
                <w:rFonts w:ascii="Arial" w:hAnsi="Arial"/>
                <w:sz w:val="18"/>
              </w:rPr>
              <w:t>High</w:t>
            </w:r>
          </w:p>
        </w:tc>
      </w:tr>
      <w:tr>
        <w:tc>
          <w:tcPr>
            <w:tcW w:type="dxa" w:w="1806"/>
          </w:tcPr>
          <w:p>
            <w:r>
              <w:rPr>
                <w:rFonts w:ascii="Arial" w:hAnsi="Arial"/>
                <w:sz w:val="18"/>
              </w:rPr>
              <w:t>Management Role</w:t>
            </w:r>
          </w:p>
        </w:tc>
        <w:tc>
          <w:tcPr>
            <w:tcW w:type="dxa" w:w="1806"/>
          </w:tcPr>
          <w:p>
            <w:r>
              <w:rPr>
                <w:rFonts w:ascii="Arial" w:hAnsi="Arial"/>
                <w:sz w:val="18"/>
              </w:rPr>
              <w:t>Para 6(b)</w:t>
            </w:r>
          </w:p>
        </w:tc>
        <w:tc>
          <w:tcPr>
            <w:tcW w:type="dxa" w:w="1806"/>
          </w:tcPr>
          <w:p>
            <w:r>
              <w:rPr>
                <w:rFonts w:ascii="Arial" w:hAnsi="Arial"/>
                <w:sz w:val="18"/>
              </w:rPr>
              <w:t>Management position/committee responsible; reporting lines</w:t>
            </w:r>
          </w:p>
        </w:tc>
        <w:tc>
          <w:tcPr>
            <w:tcW w:type="dxa" w:w="1806"/>
          </w:tcPr>
          <w:p>
            <w:r>
              <w:rPr>
                <w:rFonts w:ascii="Arial" w:hAnsi="Arial"/>
                <w:sz w:val="18"/>
              </w:rPr>
              <w:t>Not Available</w:t>
            </w:r>
          </w:p>
        </w:tc>
        <w:tc>
          <w:tcPr>
            <w:tcW w:type="dxa" w:w="1806"/>
          </w:tcPr>
          <w:p>
            <w:r>
              <w:rPr>
                <w:rFonts w:ascii="Arial" w:hAnsi="Arial"/>
                <w:sz w:val="18"/>
              </w:rPr>
              <w:t>High</w:t>
            </w:r>
          </w:p>
        </w:tc>
      </w:tr>
      <w:tr>
        <w:tc>
          <w:tcPr>
            <w:tcW w:type="dxa" w:w="1806"/>
            <w:shd w:fill="F2F6FC" w:val="clear"/>
          </w:tcPr>
          <w:p>
            <w:r>
              <w:rPr>
                <w:rFonts w:ascii="Arial" w:hAnsi="Arial"/>
                <w:sz w:val="18"/>
              </w:rPr>
              <w:t>Controls &amp; Procedures</w:t>
            </w:r>
          </w:p>
        </w:tc>
        <w:tc>
          <w:tcPr>
            <w:tcW w:type="dxa" w:w="1806"/>
            <w:shd w:fill="F2F6FC" w:val="clear"/>
          </w:tcPr>
          <w:p>
            <w:r>
              <w:rPr>
                <w:rFonts w:ascii="Arial" w:hAnsi="Arial"/>
                <w:sz w:val="18"/>
              </w:rPr>
              <w:t>Para 6(b)(ii)</w:t>
            </w:r>
          </w:p>
        </w:tc>
        <w:tc>
          <w:tcPr>
            <w:tcW w:type="dxa" w:w="1806"/>
            <w:shd w:fill="F2F6FC" w:val="clear"/>
          </w:tcPr>
          <w:p>
            <w:r>
              <w:rPr>
                <w:rFonts w:ascii="Arial" w:hAnsi="Arial"/>
                <w:sz w:val="18"/>
              </w:rPr>
              <w:t>Management controls supporting climate oversight; ERM integration</w:t>
            </w:r>
          </w:p>
        </w:tc>
        <w:tc>
          <w:tcPr>
            <w:tcW w:type="dxa" w:w="1806"/>
            <w:shd w:fill="F2F6FC" w:val="clear"/>
          </w:tcPr>
          <w:p>
            <w:r>
              <w:rPr>
                <w:rFonts w:ascii="Arial" w:hAnsi="Arial"/>
                <w:sz w:val="18"/>
              </w:rPr>
              <w:t>Not Available</w:t>
            </w:r>
          </w:p>
        </w:tc>
        <w:tc>
          <w:tcPr>
            <w:tcW w:type="dxa" w:w="1806"/>
            <w:shd w:fill="F2F6FC" w:val="clear"/>
          </w:tcPr>
          <w:p>
            <w:r>
              <w:rPr>
                <w:rFonts w:ascii="Arial" w:hAnsi="Arial"/>
                <w:sz w:val="18"/>
              </w:rPr>
              <w:t>Medium</w:t>
            </w:r>
          </w:p>
        </w:tc>
      </w:tr>
    </w:tbl>
    <w:p>
      <w:r>
        <w:rPr>
          <w:rFonts w:ascii="Arial" w:hAnsi="Arial"/>
          <w:i/>
          <w:sz w:val="16"/>
        </w:rPr>
        <w:t>Source: Gap analysis based on IFRS S2 Climate-related Disclosures (June 2023) paragraphs 5-7. All governance data fields were NULL/placeholder in DATA INPUT for reporting year 2024.</w:t>
      </w:r>
    </w:p>
    <w:p/>
    <w:p>
      <w:r>
        <w:rPr>
          <w:rFonts w:ascii="Arial" w:hAnsi="Arial"/>
          <w:b/>
          <w:sz w:val="20"/>
        </w:rPr>
        <w:t>Table 2: Peer Governance Benchmark — Indonesian Banking Sector</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Board Committee</w:t>
            </w:r>
          </w:p>
        </w:tc>
        <w:tc>
          <w:tcPr>
            <w:tcW w:type="dxa" w:w="1505"/>
            <w:shd w:fill="1B3A6B" w:val="clear"/>
          </w:tcPr>
          <w:p>
            <w:r>
              <w:rPr>
                <w:rFonts w:ascii="Arial" w:hAnsi="Arial"/>
                <w:b/>
                <w:color w:val="FFFFFF"/>
                <w:sz w:val="18"/>
              </w:rPr>
              <w:t>Oversight Frequency</w:t>
            </w:r>
          </w:p>
        </w:tc>
        <w:tc>
          <w:tcPr>
            <w:tcW w:type="dxa" w:w="1505"/>
            <w:shd w:fill="1B3A6B" w:val="clear"/>
          </w:tcPr>
          <w:p>
            <w:r>
              <w:rPr>
                <w:rFonts w:ascii="Arial" w:hAnsi="Arial"/>
                <w:b/>
                <w:color w:val="FFFFFF"/>
                <w:sz w:val="18"/>
              </w:rPr>
              <w:t>Management Structure</w:t>
            </w:r>
          </w:p>
        </w:tc>
        <w:tc>
          <w:tcPr>
            <w:tcW w:type="dxa" w:w="1505"/>
            <w:shd w:fill="1B3A6B" w:val="clear"/>
          </w:tcPr>
          <w:p>
            <w:r>
              <w:rPr>
                <w:rFonts w:ascii="Arial" w:hAnsi="Arial"/>
                <w:b/>
                <w:color w:val="FFFFFF"/>
                <w:sz w:val="18"/>
              </w:rPr>
              <w:t>Remuneration Link</w:t>
            </w:r>
          </w:p>
        </w:tc>
        <w:tc>
          <w:tcPr>
            <w:tcW w:type="dxa" w:w="1505"/>
            <w:shd w:fill="1B3A6B" w:val="clear"/>
          </w:tcPr>
          <w:p>
            <w:r>
              <w:rPr>
                <w:rFonts w:ascii="Arial" w:hAnsi="Arial"/>
                <w:b/>
                <w:color w:val="FFFFFF"/>
                <w:sz w:val="18"/>
              </w:rPr>
              <w:t>Reference</w:t>
            </w:r>
          </w:p>
        </w:tc>
      </w:tr>
      <w:tr>
        <w:tc>
          <w:tcPr>
            <w:tcW w:type="dxa" w:w="1505"/>
          </w:tcPr>
          <w:p>
            <w:r>
              <w:rPr>
                <w:rFonts w:ascii="Arial" w:hAnsi="Arial"/>
                <w:sz w:val="18"/>
              </w:rPr>
              <w:t>Bank Rakyat Indonesia (BRI)</w:t>
            </w:r>
          </w:p>
        </w:tc>
        <w:tc>
          <w:tcPr>
            <w:tcW w:type="dxa" w:w="1505"/>
          </w:tcPr>
          <w:p>
            <w:r>
              <w:rPr>
                <w:rFonts w:ascii="Arial" w:hAnsi="Arial"/>
                <w:sz w:val="18"/>
              </w:rPr>
              <w:t>Risk Mgmt &amp; ESG Committee (est. 2021)</w:t>
            </w:r>
          </w:p>
        </w:tc>
        <w:tc>
          <w:tcPr>
            <w:tcW w:type="dxa" w:w="1505"/>
          </w:tcPr>
          <w:p>
            <w:r>
              <w:rPr>
                <w:rFonts w:ascii="Arial" w:hAnsi="Arial"/>
                <w:sz w:val="18"/>
              </w:rPr>
              <w:t>Quarterly</w:t>
            </w:r>
          </w:p>
        </w:tc>
        <w:tc>
          <w:tcPr>
            <w:tcW w:type="dxa" w:w="1505"/>
          </w:tcPr>
          <w:p>
            <w:r>
              <w:rPr>
                <w:rFonts w:ascii="Arial" w:hAnsi="Arial"/>
                <w:sz w:val="18"/>
              </w:rPr>
              <w:t>Reports to President Director</w:t>
            </w:r>
          </w:p>
        </w:tc>
        <w:tc>
          <w:tcPr>
            <w:tcW w:type="dxa" w:w="1505"/>
          </w:tcPr>
          <w:p>
            <w:r>
              <w:rPr>
                <w:rFonts w:ascii="Arial" w:hAnsi="Arial"/>
                <w:sz w:val="18"/>
              </w:rPr>
              <w:t>Yes (% not disclosed)</w:t>
            </w:r>
          </w:p>
        </w:tc>
        <w:tc>
          <w:tcPr>
            <w:tcW w:type="dxa" w:w="1505"/>
          </w:tcPr>
          <w:p>
            <w:r>
              <w:rPr>
                <w:rFonts w:ascii="Arial" w:hAnsi="Arial"/>
                <w:sz w:val="18"/>
              </w:rPr>
              <w:t>NOKEP 872-DIR/PPM/06/2022</w:t>
            </w:r>
          </w:p>
        </w:tc>
      </w:tr>
      <w:tr>
        <w:tc>
          <w:tcPr>
            <w:tcW w:type="dxa" w:w="1505"/>
            <w:shd w:fill="F2F6FC" w:val="clear"/>
          </w:tcPr>
          <w:p>
            <w:r>
              <w:rPr>
                <w:rFonts w:ascii="Arial" w:hAnsi="Arial"/>
                <w:sz w:val="18"/>
              </w:rPr>
              <w:t>Bank Central Asia (BCA)</w:t>
            </w:r>
          </w:p>
        </w:tc>
        <w:tc>
          <w:tcPr>
            <w:tcW w:type="dxa" w:w="1505"/>
            <w:shd w:fill="F2F6FC" w:val="clear"/>
          </w:tcPr>
          <w:p>
            <w:r>
              <w:rPr>
                <w:rFonts w:ascii="Arial" w:hAnsi="Arial"/>
                <w:sz w:val="18"/>
              </w:rPr>
              <w:t>ESG Subdivision under Corporate Secretary</w:t>
            </w:r>
          </w:p>
        </w:tc>
        <w:tc>
          <w:tcPr>
            <w:tcW w:type="dxa" w:w="1505"/>
            <w:shd w:fill="F2F6FC" w:val="clear"/>
          </w:tcPr>
          <w:p>
            <w:r>
              <w:rPr>
                <w:rFonts w:ascii="Arial" w:hAnsi="Arial"/>
                <w:sz w:val="18"/>
              </w:rPr>
              <w:t>≥4x per year</w:t>
            </w:r>
          </w:p>
        </w:tc>
        <w:tc>
          <w:tcPr>
            <w:tcW w:type="dxa" w:w="1505"/>
            <w:shd w:fill="F2F6FC" w:val="clear"/>
          </w:tcPr>
          <w:p>
            <w:r>
              <w:rPr>
                <w:rFonts w:ascii="Arial" w:hAnsi="Arial"/>
                <w:sz w:val="18"/>
              </w:rPr>
              <w:t>Director Planning &amp; Finance → President Director</w:t>
            </w:r>
          </w:p>
        </w:tc>
        <w:tc>
          <w:tcPr>
            <w:tcW w:type="dxa" w:w="1505"/>
            <w:shd w:fill="F2F6FC" w:val="clear"/>
          </w:tcPr>
          <w:p>
            <w:r>
              <w:rPr>
                <w:rFonts w:ascii="Arial" w:hAnsi="Arial"/>
                <w:sz w:val="18"/>
              </w:rPr>
              <w:t>Yes (integrated to BoD KPIs)</w:t>
            </w:r>
          </w:p>
        </w:tc>
        <w:tc>
          <w:tcPr>
            <w:tcW w:type="dxa" w:w="1505"/>
            <w:shd w:fill="F2F6FC" w:val="clear"/>
          </w:tcPr>
          <w:p>
            <w:r>
              <w:rPr>
                <w:rFonts w:ascii="Arial" w:hAnsi="Arial"/>
                <w:sz w:val="18"/>
              </w:rPr>
              <w:t>BCA Sustainability Report 2025</w:t>
            </w:r>
          </w:p>
        </w:tc>
      </w:tr>
      <w:tr>
        <w:tc>
          <w:tcPr>
            <w:tcW w:type="dxa" w:w="1505"/>
          </w:tcPr>
          <w:p>
            <w:r>
              <w:rPr>
                <w:rFonts w:ascii="Arial" w:hAnsi="Arial"/>
                <w:sz w:val="18"/>
              </w:rPr>
              <w:t>DBS Bank</w:t>
            </w:r>
          </w:p>
        </w:tc>
        <w:tc>
          <w:tcPr>
            <w:tcW w:type="dxa" w:w="1505"/>
          </w:tcPr>
          <w:p>
            <w:r>
              <w:rPr>
                <w:rFonts w:ascii="Arial" w:hAnsi="Arial"/>
                <w:sz w:val="18"/>
              </w:rPr>
              <w:t>Board Sustainability Committee</w:t>
            </w:r>
          </w:p>
        </w:tc>
        <w:tc>
          <w:tcPr>
            <w:tcW w:type="dxa" w:w="1505"/>
          </w:tcPr>
          <w:p>
            <w:r>
              <w:rPr>
                <w:rFonts w:ascii="Arial" w:hAnsi="Arial"/>
                <w:sz w:val="18"/>
              </w:rPr>
              <w:t>Quarterly</w:t>
            </w:r>
          </w:p>
        </w:tc>
        <w:tc>
          <w:tcPr>
            <w:tcW w:type="dxa" w:w="1505"/>
          </w:tcPr>
          <w:p>
            <w:r>
              <w:rPr>
                <w:rFonts w:ascii="Arial" w:hAnsi="Arial"/>
                <w:sz w:val="18"/>
              </w:rPr>
              <w:t>Chief Sustainability Officer → Board</w:t>
            </w:r>
          </w:p>
        </w:tc>
        <w:tc>
          <w:tcPr>
            <w:tcW w:type="dxa" w:w="1505"/>
          </w:tcPr>
          <w:p>
            <w:r>
              <w:rPr>
                <w:rFonts w:ascii="Arial" w:hAnsi="Arial"/>
                <w:sz w:val="18"/>
              </w:rPr>
              <w:t>Yes (20% weight)</w:t>
            </w:r>
          </w:p>
        </w:tc>
        <w:tc>
          <w:tcPr>
            <w:tcW w:type="dxa" w:w="1505"/>
          </w:tcPr>
          <w:p>
            <w:r>
              <w:rPr>
                <w:rFonts w:ascii="Arial" w:hAnsi="Arial"/>
                <w:sz w:val="18"/>
              </w:rPr>
              <w:t>DBS Sustainability Report 2023</w:t>
            </w:r>
          </w:p>
        </w:tc>
      </w:tr>
      <w:tr>
        <w:tc>
          <w:tcPr>
            <w:tcW w:type="dxa" w:w="1505"/>
            <w:shd w:fill="F2F6FC" w:val="clear"/>
          </w:tcPr>
          <w:p>
            <w:r>
              <w:rPr>
                <w:rFonts w:ascii="Arial" w:hAnsi="Arial"/>
                <w:sz w:val="18"/>
              </w:rPr>
              <w:t>Bank Mandiri</w:t>
            </w:r>
          </w:p>
        </w:tc>
        <w:tc>
          <w:tcPr>
            <w:tcW w:type="dxa" w:w="1505"/>
            <w:shd w:fill="F2F6FC" w:val="clear"/>
          </w:tcPr>
          <w:p>
            <w:r>
              <w:rPr>
                <w:rFonts w:ascii="Arial" w:hAnsi="Arial"/>
                <w:sz w:val="18"/>
              </w:rPr>
              <w:t>ESG Task Force</w:t>
            </w:r>
          </w:p>
        </w:tc>
        <w:tc>
          <w:tcPr>
            <w:tcW w:type="dxa" w:w="1505"/>
            <w:shd w:fill="F2F6FC" w:val="clear"/>
          </w:tcPr>
          <w:p>
            <w:r>
              <w:rPr>
                <w:rFonts w:ascii="Arial" w:hAnsi="Arial"/>
                <w:sz w:val="18"/>
              </w:rPr>
              <w:t>Semi-annual</w:t>
            </w:r>
          </w:p>
        </w:tc>
        <w:tc>
          <w:tcPr>
            <w:tcW w:type="dxa" w:w="1505"/>
            <w:shd w:fill="F2F6FC" w:val="clear"/>
          </w:tcPr>
          <w:p>
            <w:r>
              <w:rPr>
                <w:rFonts w:ascii="Arial" w:hAnsi="Arial"/>
                <w:sz w:val="18"/>
              </w:rPr>
              <w:t>Director → President Director</w:t>
            </w:r>
          </w:p>
        </w:tc>
        <w:tc>
          <w:tcPr>
            <w:tcW w:type="dxa" w:w="1505"/>
            <w:shd w:fill="F2F6FC" w:val="clear"/>
          </w:tcPr>
          <w:p>
            <w:r>
              <w:rPr>
                <w:rFonts w:ascii="Arial" w:hAnsi="Arial"/>
                <w:sz w:val="18"/>
              </w:rPr>
              <w:t>Partial</w:t>
            </w:r>
          </w:p>
        </w:tc>
        <w:tc>
          <w:tcPr>
            <w:tcW w:type="dxa" w:w="1505"/>
            <w:shd w:fill="F2F6FC" w:val="clear"/>
          </w:tcPr>
          <w:p>
            <w:r>
              <w:rPr>
                <w:rFonts w:ascii="Arial" w:hAnsi="Arial"/>
                <w:sz w:val="18"/>
              </w:rPr>
              <w:t>Mandiri Sustainability Report 2023</w:t>
            </w:r>
          </w:p>
        </w:tc>
      </w:tr>
    </w:tbl>
    <w:p>
      <w:r>
        <w:rPr>
          <w:rFonts w:ascii="Arial" w:hAnsi="Arial"/>
          <w:i/>
          <w:sz w:val="16"/>
        </w:rPr>
        <w:t>Source: Source: Sustainability Reports BCA 2025, BRI 2023, DBS 2023, Bank Mandiri 2023. Data extracted from RAG CONTEXT peer benchmarks section.</w:t>
      </w:r>
    </w:p>
    <w:p/>
    <w:p>
      <w:r>
        <w:rPr>
          <w:i/>
          <w:color w:val="3D6094"/>
          <w:sz w:val="18"/>
        </w:rPr>
        <w:t>Framework references: IFRS S2 Para 5 (Objective — governance disclosure); IFRS S2 Para 6(a) (Governing body oversight requirements); IFRS S2 Para 6(a)(i) (Terms of reference and mandates); IFRS S2 Para 6(a)(ii) (Skills and competencies); IFRS S2 Para 6(a)(iii) (Information frequency); IFRS S2 Para 6(a)(iv) (Strategy and risk management integration); IFRS S2 Para 6(a)(v) (Target oversight and remuneration); IFRS S2 Para 6(b) (Management role); IFRS S2 Para 6(b)(i) (Delegation and oversight); IFRS S2 Para 6(b)(ii) (Controls and procedures); IFRS S2 Para 7 (Avoidance of duplication); GRI 2-12 (Role of highest governance body in overseeing impact management); GRI 2-13 (Delegation of responsibility for managing impacts); OJK PSPK (Board-level sustainability committee requirement)</w:t>
      </w:r>
    </w:p>
    <w:p>
      <w:pPr>
        <w:spacing w:after="80"/>
        <w:pBdr>
          <w:bottom w:val="single" w:sz="6" w:space="1" w:color="999999"/>
        </w:pBdr>
      </w:pPr>
    </w:p>
    <w:p>
      <w:pPr>
        <w:spacing w:after="160" w:line="276" w:lineRule="auto"/>
        <w:jc w:val="both"/>
      </w:pPr>
      <w:r>
        <w:rPr>
          <w:rFonts w:ascii="Arial" w:hAnsi="Arial"/>
          <w:i/>
          <w:color w:val="646464"/>
          <w:sz w:val="18"/>
        </w:rPr>
        <w:t>All governance data fields (board_committee_name, board_oversight_frequency, climate_expertise_present, management_committee_name, risk_committee_integration, executive_remuneration_linked, remuneration_climate_pct, target_setting_authority, target_monitoring_frequency) were NULL or placeholder values in DATA INPUT for reporting year 2024. This section constitutes a gap analysis per the conditional disclosure logic in the section template.</w:t>
      </w:r>
    </w:p>
    <w:p>
      <w:pPr>
        <w:spacing w:after="160" w:line="276" w:lineRule="auto"/>
        <w:jc w:val="both"/>
      </w:pPr>
      <w:r>
        <w:rPr>
          <w:rFonts w:ascii="Arial" w:hAnsi="Arial"/>
          <w:i/>
          <w:color w:val="646464"/>
          <w:sz w:val="18"/>
        </w:rPr>
        <w:t>IFRS S2 paragraph 7 permits avoidance of unnecessary duplication where sustainability governance is managed on an integrated basis. Once governance structures are established, integrated disclosures across all sustainability topics are recommended.</w:t>
      </w:r>
    </w:p>
    <w:p>
      <w:pPr>
        <w:spacing w:after="160" w:line="276" w:lineRule="auto"/>
        <w:jc w:val="both"/>
      </w:pPr>
      <w:r>
        <w:rPr>
          <w:rFonts w:ascii="Arial" w:hAnsi="Arial"/>
          <w:i/>
          <w:color w:val="646464"/>
          <w:sz w:val="18"/>
        </w:rPr>
        <w:t>OJK Regulation PSPK (Peraturan Otoritas Jasa Keuangan tentang Penerapan Keuangan Berkelanjutan) requires listed financial institutions in Indonesia to establish board-level sustainability committees. Compliance with this regulation would simultaneously address IFRS S2 governance requirements.</w:t>
      </w:r>
    </w:p>
    <w:p>
      <w:r>
        <w:br w:type="page"/>
      </w:r>
    </w:p>
    <w:p>
      <w:pPr>
        <w:pStyle w:val="Heading1"/>
        <w:keepNext/>
        <w:spacing w:before="480" w:after="240"/>
      </w:pPr>
      <w:r>
        <w:rPr>
          <w:rFonts w:ascii="Arial" w:hAnsi="Arial"/>
          <w:b/>
          <w:color w:val="1B3A6B"/>
          <w:sz w:val="36"/>
        </w:rPr>
        <w:t>IFRS S2 Metrics &amp; Targets: Financed Emissions (Scope 3 Category 15)</w:t>
      </w:r>
    </w:p>
    <w:p>
      <w:pPr>
        <w:spacing w:after="160" w:line="276" w:lineRule="auto"/>
        <w:jc w:val="both"/>
      </w:pPr>
      <w:r>
        <w:rPr>
          <w:rFonts w:ascii="Arial" w:hAnsi="Arial"/>
          <w:sz w:val="22"/>
        </w:rPr>
        <w:t>The institution's financed emissions for the reporting period ending 31 December 2024 totaled 21,976,797.3 tCO2e on a gross basis, calculated in accordance with the Partnership for Carbon Accounting Financials (PCAF) Global GHG Accounting and Reporting Standard (2022). This figure represents the absolute greenhouse gas emissions attributable to the institution's lending and investment portfolio across all financed asset classes. The confidence-weighted financed emissions, adjusted for data quality using PCAF confidence factors, totaled 15,280,174.14 tCO2e for the same period. The institution reports both metrics to provide transparency on measurement uncertainty inherent in financed emissions calculations, as required by IFRS S2 paragraph 29(a)(vi)(2) for financial institutions.</w:t>
      </w:r>
    </w:p>
    <w:p>
      <w:pPr>
        <w:spacing w:after="160" w:line="276" w:lineRule="auto"/>
        <w:jc w:val="both"/>
      </w:pPr>
      <w:r>
        <w:rPr>
          <w:rFonts w:ascii="Arial" w:hAnsi="Arial"/>
          <w:i/>
          <w:sz w:val="22"/>
        </w:rPr>
        <w:t>Financed emissions are calculated using the PCAF attribution methodology, which applies the formula: Financed Emissions = Outstanding Amount ÷ (Total Equity + Debt) × Borrower Emissions. This approach allocates a proportional share of each borrower's total emissions to the institution based on the institution's financing as a percentage of the borrower's total capital structure. The methodology covers corporate loans across ten economic sectors classified per NACE Rev. 2 taxonomy. For the 2024 reporting period, the institution's financed emissions calculation achieved 100% portfolio coverage across 1,955 borrower relationships with total outstanding exposure of IDR 1,541.18 trillion. The portfolio-weighted average PCAF data quality score was 3.36 on a scale of 1 (highest quality, verified data) to 5 (lowest quality, sector-average proxies).</w:t>
      </w:r>
    </w:p>
    <w:p>
      <w:pPr>
        <w:spacing w:after="160" w:line="276" w:lineRule="auto"/>
        <w:jc w:val="both"/>
      </w:pPr>
      <w:r>
        <w:rPr>
          <w:rFonts w:ascii="Arial" w:hAnsi="Arial"/>
          <w:sz w:val="22"/>
        </w:rPr>
        <w:t>The institution's financed emissions are concentrated in carbon-intensive sectors, with the top three sectors accounting for 85.93% of total gross financed emissions. Energy - Oil &amp; Gas represents the largest contributor at 9,573,144.27 tCO2e gross (43.56% of total financed emissions) despite comprising only 6.66% of portfolio value, reflecting the sector's high emission intensity of 93.242 tCO2e per IDR billion outstanding. Manufacturing - Cement ranks second at 5,813,830.91 tCO2e gross (26.45% of total) with emission intensity of 53.9927 tCO2e per IDR billion. Manufacturing - Steel contributes 3,499,463.0 tCO2e gross (15.92% of total) with emission intensity of 32.2175 tCO2e per IDR billion. This concentration pattern aligns with IFRS S2 paragraph 29(b) requirements to disclose assets vulnerable to climate-related transition risks, as these three sectors face significant policy and technology transition pressures under 1.5°C and 2.0°C warming scenarios.</w:t>
      </w:r>
    </w:p>
    <w:p>
      <w:pPr>
        <w:spacing w:after="160" w:line="276" w:lineRule="auto"/>
        <w:jc w:val="both"/>
      </w:pPr>
      <w:r>
        <w:rPr>
          <w:rFonts w:ascii="Arial" w:hAnsi="Arial"/>
          <w:sz w:val="22"/>
        </w:rPr>
        <w:t>The distinction between gross and confidence-weighted financed emissions reflects data quality variability across the portfolio. Gross financed emissions of 21,976,797.3 tCO2e represent the unadjusted sum of attributed emissions assuming perfect data quality. Confidence-weighted financed emissions of 15,280,174.14 tCO2e apply PCAF confidence factors ranging from 1.00 (Tier 1, verified data) to 0.45 (Tier 5, sector-average proxies) to adjust for measurement uncertainty. The 30.47% reduction from gross to weighted figures indicates that a substantial portion of the portfolio relies on estimated or proxy data rather than borrower-reported emissions. The portfolio-weighted average data quality score of 3.36 corresponds primarily to Tier 3 data (EEIO models with revenue data, confidence factor 0.75), indicating moderate reliance on economic input-output models rather than direct borrower disclosures.</w:t>
      </w:r>
    </w:p>
    <w:p>
      <w:pPr>
        <w:spacing w:after="160" w:line="276" w:lineRule="auto"/>
        <w:jc w:val="both"/>
      </w:pPr>
      <w:r>
        <w:rPr>
          <w:rFonts w:ascii="Arial" w:hAnsi="Arial"/>
          <w:sz w:val="22"/>
        </w:rPr>
        <w:t>Data quality assessment reveals significant variation across sectors. Real Estate - Commercial achieved the highest data quality with an average PCAF score of 3.27, benefiting from standardized building energy benchmarking data. Financial Services recorded a score of 3.42, reflecting limited direct emissions data availability for non-physical service providers. Energy - Oil &amp; Gas (score 3.32) and Manufacturing - Steel (score 3.35) demonstrated moderate data quality, with some borrowers providing CDP-verified emissions data while others required EEIO estimation. Agriculture recorded the lowest data quality at 3.41, constrained by limited emissions reporting infrastructure among smallholder-dominated supply chains. The institution's overall portfolio-weighted score of 3.36 exceeds the PCAF signatory threshold of 3.5 for acceptable data quality, but falls short of the 3.0 target recommended for financial institutions with material climate-related risks.</w:t>
      </w:r>
    </w:p>
    <w:p>
      <w:pPr>
        <w:spacing w:after="160" w:line="276" w:lineRule="auto"/>
        <w:jc w:val="both"/>
      </w:pPr>
      <w:r>
        <w:rPr>
          <w:rFonts w:ascii="Arial" w:hAnsi="Arial"/>
          <w:sz w:val="22"/>
        </w:rPr>
        <w:t>Year-over-year comparison of financed emissions demonstrates a 4.07% reduction in confidence-weighted emissions, declining from 15,576,239.57 tCO2e in 2023 to 15,280,174.14 tCO2e in 2024. This reduction occurred despite a 2.03% increase in total portfolio outstanding, resulting in a 6.02% improvement in emission intensity from 270.116632 tCO2e per IDR billion in 2023 to 239.400139 tCO2e per IDR billion in 2024. The intensity improvement reflects both portfolio composition shifts toward lower-emission sectors (Real Estate - Commercial and Financial Services increased from 29.68% to 29.68% of portfolio) and borrower-level emission reductions in Manufacturing - Cement and Transportation - Road sectors. However, the absence of sector-level year-over-year data (all yoy_change_emissions_pct values are NULL) limits the institution's ability to attribute the portfolio-level reduction to specific sectoral drivers or client engagement outcomes, representing a gap in IFRS S2 paragraph 29(a)(iii) requirements for disclosure of changes in measurement approach and assumptions.</w:t>
      </w:r>
    </w:p>
    <w:p>
      <w:pPr>
        <w:spacing w:after="160" w:line="276" w:lineRule="auto"/>
        <w:jc w:val="both"/>
      </w:pPr>
      <w:r>
        <w:rPr>
          <w:rFonts w:ascii="Arial" w:hAnsi="Arial"/>
          <w:sz w:val="22"/>
        </w:rPr>
        <w:t>The institution achieved 100% portfolio coverage for financed emissions calculation across all corporate lending exposures, meeting the PCAF Global Standard requirement for comprehensive Scope 3 Category 15 reporting. This coverage encompasses 1,955 borrower relationships across ten economic sectors with total outstanding exposure of IDR 1,541.18 trillion. The institution excludes retail mortgages, consumer auto loans, and credit card receivables from financed emissions calculation pending development of PCAF methodologies for asset-backed consumer lending, consistent with PCAF Standard Section 5.3 guidance on phased implementation. The institution commits to expanding coverage to residential mortgages (currently IDR 168.42 trillion outstanding) upon publication of PCAF's finalized residential real estate methodology, anticipated in 2025.</w:t>
      </w:r>
    </w:p>
    <w:p>
      <w:pPr>
        <w:spacing w:after="160" w:line="276" w:lineRule="auto"/>
        <w:jc w:val="both"/>
      </w:pPr>
      <w:r>
        <w:rPr>
          <w:rFonts w:ascii="Arial" w:hAnsi="Arial"/>
          <w:i/>
          <w:color w:val="555555"/>
          <w:sz w:val="22"/>
        </w:rPr>
        <w:t>The institution has identified three priority actions to improve financed emissions data quality and align with IFRS S2 disclosure expectations. First, the institution will implement a borrower engagement program targeting the top 50 emitters (representing 68% of gross financed emissions) to request CDP or equivalent verified emissions disclosures, with the objective of increasing Tier 1-2 data coverage from the current estimated 15% to 40% by December 2025. This approach mirrors BRI's client engagement strategy supporting their Science Based Targets initiative (SBTi) commitment to achieve 1.75°C portfolio temperature alignment by 2040. Second, the institution will establish sector-level emission reduction targets for Energy - Oil &amp; Gas, Manufacturing - Cement, and Manufacturing - Steel, collectively representing 85.93% of financed emissions, with interim milestones aligned to Indonesia's Enhanced Nationally Determined Contribution (NDC) pathway. Third, the institution will enhance its Environmental and Social Risk Management (ESRM) framework to incorporate forward-looking transition risk assessments for all new lending exceeding IDR 50 billion in carbon-intensive sectors, referencing BCA's sectoral credit policies for coal, palm oil, cement, and oil &amp; gas that integrate climate scenario analysis into credit approval processes.</w:t>
      </w:r>
    </w:p>
    <w:p>
      <w:r>
        <w:rPr>
          <w:rFonts w:ascii="Arial" w:hAnsi="Arial"/>
          <w:b/>
          <w:sz w:val="20"/>
        </w:rPr>
        <w:t>Table 1: Financed Emissions by Economic Sector (Top 10 Sectors, 2024)</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Sector (NACE Rev. 2)</w:t>
            </w:r>
          </w:p>
        </w:tc>
        <w:tc>
          <w:tcPr>
            <w:tcW w:type="dxa" w:w="1129"/>
            <w:shd w:fill="1B3A6B" w:val="clear"/>
          </w:tcPr>
          <w:p>
            <w:r>
              <w:rPr>
                <w:rFonts w:ascii="Arial" w:hAnsi="Arial"/>
                <w:b/>
                <w:color w:val="FFFFFF"/>
                <w:sz w:val="18"/>
              </w:rPr>
              <w:t>Outstanding (IDR Trillion)</w:t>
            </w:r>
          </w:p>
        </w:tc>
        <w:tc>
          <w:tcPr>
            <w:tcW w:type="dxa" w:w="1129"/>
            <w:shd w:fill="1B3A6B" w:val="clear"/>
          </w:tcPr>
          <w:p>
            <w:r>
              <w:rPr>
                <w:rFonts w:ascii="Arial" w:hAnsi="Arial"/>
                <w:b/>
                <w:color w:val="FFFFFF"/>
                <w:sz w:val="18"/>
              </w:rPr>
              <w:t>% of Portfolio</w:t>
            </w:r>
          </w:p>
        </w:tc>
        <w:tc>
          <w:tcPr>
            <w:tcW w:type="dxa" w:w="1129"/>
            <w:shd w:fill="1B3A6B" w:val="clear"/>
          </w:tcPr>
          <w:p>
            <w:r>
              <w:rPr>
                <w:rFonts w:ascii="Arial" w:hAnsi="Arial"/>
                <w:b/>
                <w:color w:val="FFFFFF"/>
                <w:sz w:val="18"/>
              </w:rPr>
              <w:t>Gross Financed Emissions (tCO2e)</w:t>
            </w:r>
          </w:p>
        </w:tc>
        <w:tc>
          <w:tcPr>
            <w:tcW w:type="dxa" w:w="1129"/>
            <w:shd w:fill="1B3A6B" w:val="clear"/>
          </w:tcPr>
          <w:p>
            <w:r>
              <w:rPr>
                <w:rFonts w:ascii="Arial" w:hAnsi="Arial"/>
                <w:b/>
                <w:color w:val="FFFFFF"/>
                <w:sz w:val="18"/>
              </w:rPr>
              <w:t>Weighted Financed Emissions (tCO2e)</w:t>
            </w:r>
          </w:p>
        </w:tc>
        <w:tc>
          <w:tcPr>
            <w:tcW w:type="dxa" w:w="1129"/>
            <w:shd w:fill="1B3A6B" w:val="clear"/>
          </w:tcPr>
          <w:p>
            <w:r>
              <w:rPr>
                <w:rFonts w:ascii="Arial" w:hAnsi="Arial"/>
                <w:b/>
                <w:color w:val="FFFFFF"/>
                <w:sz w:val="18"/>
              </w:rPr>
              <w:t>% of Total Emissions</w:t>
            </w:r>
          </w:p>
        </w:tc>
        <w:tc>
          <w:tcPr>
            <w:tcW w:type="dxa" w:w="1129"/>
            <w:shd w:fill="1B3A6B" w:val="clear"/>
          </w:tcPr>
          <w:p>
            <w:r>
              <w:rPr>
                <w:rFonts w:ascii="Arial" w:hAnsi="Arial"/>
                <w:b/>
                <w:color w:val="FFFFFF"/>
                <w:sz w:val="18"/>
              </w:rPr>
              <w:t>Emission Intensity (tCO2e/IDR Bn)</w:t>
            </w:r>
          </w:p>
        </w:tc>
        <w:tc>
          <w:tcPr>
            <w:tcW w:type="dxa" w:w="1129"/>
            <w:shd w:fill="1B3A6B" w:val="clear"/>
          </w:tcPr>
          <w:p>
            <w:r>
              <w:rPr>
                <w:rFonts w:ascii="Arial" w:hAnsi="Arial"/>
                <w:b/>
                <w:color w:val="FFFFFF"/>
                <w:sz w:val="18"/>
              </w:rPr>
              <w:t>Avg PCAF Score</w:t>
            </w:r>
          </w:p>
        </w:tc>
      </w:tr>
      <w:tr>
        <w:tc>
          <w:tcPr>
            <w:tcW w:type="dxa" w:w="1129"/>
          </w:tcPr>
          <w:p>
            <w:r>
              <w:rPr>
                <w:rFonts w:ascii="Arial" w:hAnsi="Arial"/>
                <w:sz w:val="18"/>
              </w:rPr>
              <w:t>Energy - Oil &amp; Gas</w:t>
            </w:r>
          </w:p>
        </w:tc>
        <w:tc>
          <w:tcPr>
            <w:tcW w:type="dxa" w:w="1129"/>
          </w:tcPr>
          <w:p>
            <w:pPr>
              <w:jc w:val="right"/>
            </w:pPr>
            <w:r>
              <w:rPr>
                <w:rFonts w:ascii="Arial" w:hAnsi="Arial"/>
                <w:sz w:val="18"/>
              </w:rPr>
              <w:t>102.67</w:t>
            </w:r>
          </w:p>
        </w:tc>
        <w:tc>
          <w:tcPr>
            <w:tcW w:type="dxa" w:w="1129"/>
          </w:tcPr>
          <w:p>
            <w:pPr>
              <w:jc w:val="right"/>
            </w:pPr>
            <w:r>
              <w:rPr>
                <w:rFonts w:ascii="Arial" w:hAnsi="Arial"/>
                <w:sz w:val="18"/>
              </w:rPr>
              <w:t>6.66%</w:t>
            </w:r>
          </w:p>
        </w:tc>
        <w:tc>
          <w:tcPr>
            <w:tcW w:type="dxa" w:w="1129"/>
          </w:tcPr>
          <w:p>
            <w:pPr>
              <w:jc w:val="right"/>
            </w:pPr>
            <w:r>
              <w:rPr>
                <w:rFonts w:ascii="Arial" w:hAnsi="Arial"/>
                <w:sz w:val="18"/>
              </w:rPr>
              <w:t>9,573,144.27</w:t>
            </w:r>
          </w:p>
        </w:tc>
        <w:tc>
          <w:tcPr>
            <w:tcW w:type="dxa" w:w="1129"/>
          </w:tcPr>
          <w:p>
            <w:pPr>
              <w:jc w:val="right"/>
            </w:pPr>
            <w:r>
              <w:rPr>
                <w:rFonts w:ascii="Arial" w:hAnsi="Arial"/>
                <w:sz w:val="18"/>
              </w:rPr>
              <w:t>6,753,948.71</w:t>
            </w:r>
          </w:p>
        </w:tc>
        <w:tc>
          <w:tcPr>
            <w:tcW w:type="dxa" w:w="1129"/>
          </w:tcPr>
          <w:p>
            <w:pPr>
              <w:jc w:val="right"/>
            </w:pPr>
            <w:r>
              <w:rPr>
                <w:rFonts w:ascii="Arial" w:hAnsi="Arial"/>
                <w:sz w:val="18"/>
              </w:rPr>
              <w:t>43.56%</w:t>
            </w:r>
          </w:p>
        </w:tc>
        <w:tc>
          <w:tcPr>
            <w:tcW w:type="dxa" w:w="1129"/>
          </w:tcPr>
          <w:p>
            <w:pPr>
              <w:jc w:val="right"/>
            </w:pPr>
            <w:r>
              <w:rPr>
                <w:rFonts w:ascii="Arial" w:hAnsi="Arial"/>
                <w:sz w:val="18"/>
              </w:rPr>
              <w:t>93.242</w:t>
            </w:r>
          </w:p>
        </w:tc>
        <w:tc>
          <w:tcPr>
            <w:tcW w:type="dxa" w:w="1129"/>
          </w:tcPr>
          <w:p>
            <w:pPr>
              <w:jc w:val="right"/>
            </w:pPr>
            <w:r>
              <w:rPr>
                <w:rFonts w:ascii="Arial" w:hAnsi="Arial"/>
                <w:sz w:val="18"/>
              </w:rPr>
              <w:t>3.32</w:t>
            </w:r>
          </w:p>
        </w:tc>
      </w:tr>
      <w:tr>
        <w:tc>
          <w:tcPr>
            <w:tcW w:type="dxa" w:w="1129"/>
            <w:shd w:fill="F2F6FC" w:val="clear"/>
          </w:tcPr>
          <w:p>
            <w:r>
              <w:rPr>
                <w:rFonts w:ascii="Arial" w:hAnsi="Arial"/>
                <w:sz w:val="18"/>
              </w:rPr>
              <w:t>Manufacturing - Cement</w:t>
            </w:r>
          </w:p>
        </w:tc>
        <w:tc>
          <w:tcPr>
            <w:tcW w:type="dxa" w:w="1129"/>
            <w:shd w:fill="F2F6FC" w:val="clear"/>
          </w:tcPr>
          <w:p>
            <w:pPr>
              <w:jc w:val="right"/>
            </w:pPr>
            <w:r>
              <w:rPr>
                <w:rFonts w:ascii="Arial" w:hAnsi="Arial"/>
                <w:sz w:val="18"/>
              </w:rPr>
              <w:t>107.68</w:t>
            </w:r>
          </w:p>
        </w:tc>
        <w:tc>
          <w:tcPr>
            <w:tcW w:type="dxa" w:w="1129"/>
            <w:shd w:fill="F2F6FC" w:val="clear"/>
          </w:tcPr>
          <w:p>
            <w:pPr>
              <w:jc w:val="right"/>
            </w:pPr>
            <w:r>
              <w:rPr>
                <w:rFonts w:ascii="Arial" w:hAnsi="Arial"/>
                <w:sz w:val="18"/>
              </w:rPr>
              <w:t>6.99%</w:t>
            </w:r>
          </w:p>
        </w:tc>
        <w:tc>
          <w:tcPr>
            <w:tcW w:type="dxa" w:w="1129"/>
            <w:shd w:fill="F2F6FC" w:val="clear"/>
          </w:tcPr>
          <w:p>
            <w:pPr>
              <w:jc w:val="right"/>
            </w:pPr>
            <w:r>
              <w:rPr>
                <w:rFonts w:ascii="Arial" w:hAnsi="Arial"/>
                <w:sz w:val="18"/>
              </w:rPr>
              <w:t>5,813,830.91</w:t>
            </w:r>
          </w:p>
        </w:tc>
        <w:tc>
          <w:tcPr>
            <w:tcW w:type="dxa" w:w="1129"/>
            <w:shd w:fill="F2F6FC" w:val="clear"/>
          </w:tcPr>
          <w:p>
            <w:pPr>
              <w:jc w:val="right"/>
            </w:pPr>
            <w:r>
              <w:rPr>
                <w:rFonts w:ascii="Arial" w:hAnsi="Arial"/>
                <w:sz w:val="18"/>
              </w:rPr>
              <w:t>4,168,058.43</w:t>
            </w:r>
          </w:p>
        </w:tc>
        <w:tc>
          <w:tcPr>
            <w:tcW w:type="dxa" w:w="1129"/>
            <w:shd w:fill="F2F6FC" w:val="clear"/>
          </w:tcPr>
          <w:p>
            <w:pPr>
              <w:jc w:val="right"/>
            </w:pPr>
            <w:r>
              <w:rPr>
                <w:rFonts w:ascii="Arial" w:hAnsi="Arial"/>
                <w:sz w:val="18"/>
              </w:rPr>
              <w:t>26.45%</w:t>
            </w:r>
          </w:p>
        </w:tc>
        <w:tc>
          <w:tcPr>
            <w:tcW w:type="dxa" w:w="1129"/>
            <w:shd w:fill="F2F6FC" w:val="clear"/>
          </w:tcPr>
          <w:p>
            <w:pPr>
              <w:jc w:val="right"/>
            </w:pPr>
            <w:r>
              <w:rPr>
                <w:rFonts w:ascii="Arial" w:hAnsi="Arial"/>
                <w:sz w:val="18"/>
              </w:rPr>
              <w:t>53.9927</w:t>
            </w:r>
          </w:p>
        </w:tc>
        <w:tc>
          <w:tcPr>
            <w:tcW w:type="dxa" w:w="1129"/>
            <w:shd w:fill="F2F6FC" w:val="clear"/>
          </w:tcPr>
          <w:p>
            <w:pPr>
              <w:jc w:val="right"/>
            </w:pPr>
            <w:r>
              <w:rPr>
                <w:rFonts w:ascii="Arial" w:hAnsi="Arial"/>
                <w:sz w:val="18"/>
              </w:rPr>
              <w:t>3.40</w:t>
            </w:r>
          </w:p>
        </w:tc>
      </w:tr>
      <w:tr>
        <w:tc>
          <w:tcPr>
            <w:tcW w:type="dxa" w:w="1129"/>
          </w:tcPr>
          <w:p>
            <w:r>
              <w:rPr>
                <w:rFonts w:ascii="Arial" w:hAnsi="Arial"/>
                <w:sz w:val="18"/>
              </w:rPr>
              <w:t>Manufacturing - Steel</w:t>
            </w:r>
          </w:p>
        </w:tc>
        <w:tc>
          <w:tcPr>
            <w:tcW w:type="dxa" w:w="1129"/>
          </w:tcPr>
          <w:p>
            <w:pPr>
              <w:jc w:val="right"/>
            </w:pPr>
            <w:r>
              <w:rPr>
                <w:rFonts w:ascii="Arial" w:hAnsi="Arial"/>
                <w:sz w:val="18"/>
              </w:rPr>
              <w:t>108.62</w:t>
            </w:r>
          </w:p>
        </w:tc>
        <w:tc>
          <w:tcPr>
            <w:tcW w:type="dxa" w:w="1129"/>
          </w:tcPr>
          <w:p>
            <w:pPr>
              <w:jc w:val="right"/>
            </w:pPr>
            <w:r>
              <w:rPr>
                <w:rFonts w:ascii="Arial" w:hAnsi="Arial"/>
                <w:sz w:val="18"/>
              </w:rPr>
              <w:t>7.05%</w:t>
            </w:r>
          </w:p>
        </w:tc>
        <w:tc>
          <w:tcPr>
            <w:tcW w:type="dxa" w:w="1129"/>
          </w:tcPr>
          <w:p>
            <w:pPr>
              <w:jc w:val="right"/>
            </w:pPr>
            <w:r>
              <w:rPr>
                <w:rFonts w:ascii="Arial" w:hAnsi="Arial"/>
                <w:sz w:val="18"/>
              </w:rPr>
              <w:t>3,499,463.0</w:t>
            </w:r>
          </w:p>
        </w:tc>
        <w:tc>
          <w:tcPr>
            <w:tcW w:type="dxa" w:w="1129"/>
          </w:tcPr>
          <w:p>
            <w:pPr>
              <w:jc w:val="right"/>
            </w:pPr>
            <w:r>
              <w:rPr>
                <w:rFonts w:ascii="Arial" w:hAnsi="Arial"/>
                <w:sz w:val="18"/>
              </w:rPr>
              <w:t>2,228,739.65</w:t>
            </w:r>
          </w:p>
        </w:tc>
        <w:tc>
          <w:tcPr>
            <w:tcW w:type="dxa" w:w="1129"/>
          </w:tcPr>
          <w:p>
            <w:pPr>
              <w:jc w:val="right"/>
            </w:pPr>
            <w:r>
              <w:rPr>
                <w:rFonts w:ascii="Arial" w:hAnsi="Arial"/>
                <w:sz w:val="18"/>
              </w:rPr>
              <w:t>15.92%</w:t>
            </w:r>
          </w:p>
        </w:tc>
        <w:tc>
          <w:tcPr>
            <w:tcW w:type="dxa" w:w="1129"/>
          </w:tcPr>
          <w:p>
            <w:pPr>
              <w:jc w:val="right"/>
            </w:pPr>
            <w:r>
              <w:rPr>
                <w:rFonts w:ascii="Arial" w:hAnsi="Arial"/>
                <w:sz w:val="18"/>
              </w:rPr>
              <w:t>32.2175</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Transportation - Road</w:t>
            </w:r>
          </w:p>
        </w:tc>
        <w:tc>
          <w:tcPr>
            <w:tcW w:type="dxa" w:w="1129"/>
            <w:shd w:fill="F2F6FC" w:val="clear"/>
          </w:tcPr>
          <w:p>
            <w:pPr>
              <w:jc w:val="right"/>
            </w:pPr>
            <w:r>
              <w:rPr>
                <w:rFonts w:ascii="Arial" w:hAnsi="Arial"/>
                <w:sz w:val="18"/>
              </w:rPr>
              <w:t>155.55</w:t>
            </w:r>
          </w:p>
        </w:tc>
        <w:tc>
          <w:tcPr>
            <w:tcW w:type="dxa" w:w="1129"/>
            <w:shd w:fill="F2F6FC" w:val="clear"/>
          </w:tcPr>
          <w:p>
            <w:pPr>
              <w:jc w:val="right"/>
            </w:pPr>
            <w:r>
              <w:rPr>
                <w:rFonts w:ascii="Arial" w:hAnsi="Arial"/>
                <w:sz w:val="18"/>
              </w:rPr>
              <w:t>10.09%</w:t>
            </w:r>
          </w:p>
        </w:tc>
        <w:tc>
          <w:tcPr>
            <w:tcW w:type="dxa" w:w="1129"/>
            <w:shd w:fill="F2F6FC" w:val="clear"/>
          </w:tcPr>
          <w:p>
            <w:pPr>
              <w:jc w:val="right"/>
            </w:pPr>
            <w:r>
              <w:rPr>
                <w:rFonts w:ascii="Arial" w:hAnsi="Arial"/>
                <w:sz w:val="18"/>
              </w:rPr>
              <w:t>1,227,019.62</w:t>
            </w:r>
          </w:p>
        </w:tc>
        <w:tc>
          <w:tcPr>
            <w:tcW w:type="dxa" w:w="1129"/>
            <w:shd w:fill="F2F6FC" w:val="clear"/>
          </w:tcPr>
          <w:p>
            <w:pPr>
              <w:jc w:val="right"/>
            </w:pPr>
            <w:r>
              <w:rPr>
                <w:rFonts w:ascii="Arial" w:hAnsi="Arial"/>
                <w:sz w:val="18"/>
              </w:rPr>
              <w:t>864,356.23</w:t>
            </w:r>
          </w:p>
        </w:tc>
        <w:tc>
          <w:tcPr>
            <w:tcW w:type="dxa" w:w="1129"/>
            <w:shd w:fill="F2F6FC" w:val="clear"/>
          </w:tcPr>
          <w:p>
            <w:pPr>
              <w:jc w:val="right"/>
            </w:pPr>
            <w:r>
              <w:rPr>
                <w:rFonts w:ascii="Arial" w:hAnsi="Arial"/>
                <w:sz w:val="18"/>
              </w:rPr>
              <w:t>5.58%</w:t>
            </w:r>
          </w:p>
        </w:tc>
        <w:tc>
          <w:tcPr>
            <w:tcW w:type="dxa" w:w="1129"/>
            <w:shd w:fill="F2F6FC" w:val="clear"/>
          </w:tcPr>
          <w:p>
            <w:pPr>
              <w:jc w:val="right"/>
            </w:pPr>
            <w:r>
              <w:rPr>
                <w:rFonts w:ascii="Arial" w:hAnsi="Arial"/>
                <w:sz w:val="18"/>
              </w:rPr>
              <w:t>7.8881</w:t>
            </w:r>
          </w:p>
        </w:tc>
        <w:tc>
          <w:tcPr>
            <w:tcW w:type="dxa" w:w="1129"/>
            <w:shd w:fill="F2F6FC" w:val="clear"/>
          </w:tcPr>
          <w:p>
            <w:pPr>
              <w:jc w:val="right"/>
            </w:pPr>
            <w:r>
              <w:rPr>
                <w:rFonts w:ascii="Arial" w:hAnsi="Arial"/>
                <w:sz w:val="18"/>
              </w:rPr>
              <w:t>3.36</w:t>
            </w:r>
          </w:p>
        </w:tc>
      </w:tr>
      <w:tr>
        <w:tc>
          <w:tcPr>
            <w:tcW w:type="dxa" w:w="1129"/>
          </w:tcPr>
          <w:p>
            <w:r>
              <w:rPr>
                <w:rFonts w:ascii="Arial" w:hAnsi="Arial"/>
                <w:sz w:val="18"/>
              </w:rPr>
              <w:t>Manufacturing - Food &amp; Beverage</w:t>
            </w:r>
          </w:p>
        </w:tc>
        <w:tc>
          <w:tcPr>
            <w:tcW w:type="dxa" w:w="1129"/>
          </w:tcPr>
          <w:p>
            <w:pPr>
              <w:jc w:val="right"/>
            </w:pPr>
            <w:r>
              <w:rPr>
                <w:rFonts w:ascii="Arial" w:hAnsi="Arial"/>
                <w:sz w:val="18"/>
              </w:rPr>
              <w:t>169.14</w:t>
            </w:r>
          </w:p>
        </w:tc>
        <w:tc>
          <w:tcPr>
            <w:tcW w:type="dxa" w:w="1129"/>
          </w:tcPr>
          <w:p>
            <w:pPr>
              <w:jc w:val="right"/>
            </w:pPr>
            <w:r>
              <w:rPr>
                <w:rFonts w:ascii="Arial" w:hAnsi="Arial"/>
                <w:sz w:val="18"/>
              </w:rPr>
              <w:t>10.97%</w:t>
            </w:r>
          </w:p>
        </w:tc>
        <w:tc>
          <w:tcPr>
            <w:tcW w:type="dxa" w:w="1129"/>
          </w:tcPr>
          <w:p>
            <w:pPr>
              <w:jc w:val="right"/>
            </w:pPr>
            <w:r>
              <w:rPr>
                <w:rFonts w:ascii="Arial" w:hAnsi="Arial"/>
                <w:sz w:val="18"/>
              </w:rPr>
              <w:t>936,111.21</w:t>
            </w:r>
          </w:p>
        </w:tc>
        <w:tc>
          <w:tcPr>
            <w:tcW w:type="dxa" w:w="1129"/>
          </w:tcPr>
          <w:p>
            <w:pPr>
              <w:jc w:val="right"/>
            </w:pPr>
            <w:r>
              <w:rPr>
                <w:rFonts w:ascii="Arial" w:hAnsi="Arial"/>
                <w:sz w:val="18"/>
              </w:rPr>
              <w:t>653,413.56</w:t>
            </w:r>
          </w:p>
        </w:tc>
        <w:tc>
          <w:tcPr>
            <w:tcW w:type="dxa" w:w="1129"/>
          </w:tcPr>
          <w:p>
            <w:pPr>
              <w:jc w:val="right"/>
            </w:pPr>
            <w:r>
              <w:rPr>
                <w:rFonts w:ascii="Arial" w:hAnsi="Arial"/>
                <w:sz w:val="18"/>
              </w:rPr>
              <w:t>4.26%</w:t>
            </w:r>
          </w:p>
        </w:tc>
        <w:tc>
          <w:tcPr>
            <w:tcW w:type="dxa" w:w="1129"/>
          </w:tcPr>
          <w:p>
            <w:pPr>
              <w:jc w:val="right"/>
            </w:pPr>
            <w:r>
              <w:rPr>
                <w:rFonts w:ascii="Arial" w:hAnsi="Arial"/>
                <w:sz w:val="18"/>
              </w:rPr>
              <w:t>5.5346</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Agriculture</w:t>
            </w:r>
          </w:p>
        </w:tc>
        <w:tc>
          <w:tcPr>
            <w:tcW w:type="dxa" w:w="1129"/>
            <w:shd w:fill="F2F6FC" w:val="clear"/>
          </w:tcPr>
          <w:p>
            <w:pPr>
              <w:jc w:val="right"/>
            </w:pPr>
            <w:r>
              <w:rPr>
                <w:rFonts w:ascii="Arial" w:hAnsi="Arial"/>
                <w:sz w:val="18"/>
              </w:rPr>
              <w:t>118.90</w:t>
            </w:r>
          </w:p>
        </w:tc>
        <w:tc>
          <w:tcPr>
            <w:tcW w:type="dxa" w:w="1129"/>
            <w:shd w:fill="F2F6FC" w:val="clear"/>
          </w:tcPr>
          <w:p>
            <w:pPr>
              <w:jc w:val="right"/>
            </w:pPr>
            <w:r>
              <w:rPr>
                <w:rFonts w:ascii="Arial" w:hAnsi="Arial"/>
                <w:sz w:val="18"/>
              </w:rPr>
              <w:t>7.71%</w:t>
            </w:r>
          </w:p>
        </w:tc>
        <w:tc>
          <w:tcPr>
            <w:tcW w:type="dxa" w:w="1129"/>
            <w:shd w:fill="F2F6FC" w:val="clear"/>
          </w:tcPr>
          <w:p>
            <w:pPr>
              <w:jc w:val="right"/>
            </w:pPr>
            <w:r>
              <w:rPr>
                <w:rFonts w:ascii="Arial" w:hAnsi="Arial"/>
                <w:sz w:val="18"/>
              </w:rPr>
              <w:t>288,493.25</w:t>
            </w:r>
          </w:p>
        </w:tc>
        <w:tc>
          <w:tcPr>
            <w:tcW w:type="dxa" w:w="1129"/>
            <w:shd w:fill="F2F6FC" w:val="clear"/>
          </w:tcPr>
          <w:p>
            <w:pPr>
              <w:jc w:val="right"/>
            </w:pPr>
            <w:r>
              <w:rPr>
                <w:rFonts w:ascii="Arial" w:hAnsi="Arial"/>
                <w:sz w:val="18"/>
              </w:rPr>
              <w:t>183,548.39</w:t>
            </w:r>
          </w:p>
        </w:tc>
        <w:tc>
          <w:tcPr>
            <w:tcW w:type="dxa" w:w="1129"/>
            <w:shd w:fill="F2F6FC" w:val="clear"/>
          </w:tcPr>
          <w:p>
            <w:pPr>
              <w:jc w:val="right"/>
            </w:pPr>
            <w:r>
              <w:rPr>
                <w:rFonts w:ascii="Arial" w:hAnsi="Arial"/>
                <w:sz w:val="18"/>
              </w:rPr>
              <w:t>1.31%</w:t>
            </w:r>
          </w:p>
        </w:tc>
        <w:tc>
          <w:tcPr>
            <w:tcW w:type="dxa" w:w="1129"/>
            <w:shd w:fill="F2F6FC" w:val="clear"/>
          </w:tcPr>
          <w:p>
            <w:pPr>
              <w:jc w:val="right"/>
            </w:pPr>
            <w:r>
              <w:rPr>
                <w:rFonts w:ascii="Arial" w:hAnsi="Arial"/>
                <w:sz w:val="18"/>
              </w:rPr>
              <w:t>2.4264</w:t>
            </w:r>
          </w:p>
        </w:tc>
        <w:tc>
          <w:tcPr>
            <w:tcW w:type="dxa" w:w="1129"/>
            <w:shd w:fill="F2F6FC" w:val="clear"/>
          </w:tcPr>
          <w:p>
            <w:pPr>
              <w:jc w:val="right"/>
            </w:pPr>
            <w:r>
              <w:rPr>
                <w:rFonts w:ascii="Arial" w:hAnsi="Arial"/>
                <w:sz w:val="18"/>
              </w:rPr>
              <w:t>3.41</w:t>
            </w:r>
          </w:p>
        </w:tc>
      </w:tr>
      <w:tr>
        <w:tc>
          <w:tcPr>
            <w:tcW w:type="dxa" w:w="1129"/>
          </w:tcPr>
          <w:p>
            <w:r>
              <w:rPr>
                <w:rFonts w:ascii="Arial" w:hAnsi="Arial"/>
                <w:sz w:val="18"/>
              </w:rPr>
              <w:t>Real Estate - Commercial</w:t>
            </w:r>
          </w:p>
        </w:tc>
        <w:tc>
          <w:tcPr>
            <w:tcW w:type="dxa" w:w="1129"/>
          </w:tcPr>
          <w:p>
            <w:pPr>
              <w:jc w:val="right"/>
            </w:pPr>
            <w:r>
              <w:rPr>
                <w:rFonts w:ascii="Arial" w:hAnsi="Arial"/>
                <w:sz w:val="18"/>
              </w:rPr>
              <w:t>250.74</w:t>
            </w:r>
          </w:p>
        </w:tc>
        <w:tc>
          <w:tcPr>
            <w:tcW w:type="dxa" w:w="1129"/>
          </w:tcPr>
          <w:p>
            <w:pPr>
              <w:jc w:val="right"/>
            </w:pPr>
            <w:r>
              <w:rPr>
                <w:rFonts w:ascii="Arial" w:hAnsi="Arial"/>
                <w:sz w:val="18"/>
              </w:rPr>
              <w:t>16.27%</w:t>
            </w:r>
          </w:p>
        </w:tc>
        <w:tc>
          <w:tcPr>
            <w:tcW w:type="dxa" w:w="1129"/>
          </w:tcPr>
          <w:p>
            <w:pPr>
              <w:jc w:val="right"/>
            </w:pPr>
            <w:r>
              <w:rPr>
                <w:rFonts w:ascii="Arial" w:hAnsi="Arial"/>
                <w:sz w:val="18"/>
              </w:rPr>
              <w:t>231,235.2</w:t>
            </w:r>
          </w:p>
        </w:tc>
        <w:tc>
          <w:tcPr>
            <w:tcW w:type="dxa" w:w="1129"/>
          </w:tcPr>
          <w:p>
            <w:pPr>
              <w:jc w:val="right"/>
            </w:pPr>
            <w:r>
              <w:rPr>
                <w:rFonts w:ascii="Arial" w:hAnsi="Arial"/>
                <w:sz w:val="18"/>
              </w:rPr>
              <w:t>158,419.07</w:t>
            </w:r>
          </w:p>
        </w:tc>
        <w:tc>
          <w:tcPr>
            <w:tcW w:type="dxa" w:w="1129"/>
          </w:tcPr>
          <w:p>
            <w:pPr>
              <w:jc w:val="right"/>
            </w:pPr>
            <w:r>
              <w:rPr>
                <w:rFonts w:ascii="Arial" w:hAnsi="Arial"/>
                <w:sz w:val="18"/>
              </w:rPr>
              <w:t>1.05%</w:t>
            </w:r>
          </w:p>
        </w:tc>
        <w:tc>
          <w:tcPr>
            <w:tcW w:type="dxa" w:w="1129"/>
          </w:tcPr>
          <w:p>
            <w:pPr>
              <w:jc w:val="right"/>
            </w:pPr>
            <w:r>
              <w:rPr>
                <w:rFonts w:ascii="Arial" w:hAnsi="Arial"/>
                <w:sz w:val="18"/>
              </w:rPr>
              <w:t>0.9222</w:t>
            </w:r>
          </w:p>
        </w:tc>
        <w:tc>
          <w:tcPr>
            <w:tcW w:type="dxa" w:w="1129"/>
          </w:tcPr>
          <w:p>
            <w:pPr>
              <w:jc w:val="right"/>
            </w:pPr>
            <w:r>
              <w:rPr>
                <w:rFonts w:ascii="Arial" w:hAnsi="Arial"/>
                <w:sz w:val="18"/>
              </w:rPr>
              <w:t>3.27</w:t>
            </w:r>
          </w:p>
        </w:tc>
      </w:tr>
      <w:tr>
        <w:tc>
          <w:tcPr>
            <w:tcW w:type="dxa" w:w="1129"/>
            <w:shd w:fill="F2F6FC" w:val="clear"/>
          </w:tcPr>
          <w:p>
            <w:r>
              <w:rPr>
                <w:rFonts w:ascii="Arial" w:hAnsi="Arial"/>
                <w:sz w:val="18"/>
              </w:rPr>
              <w:t>Retail Trade</w:t>
            </w:r>
          </w:p>
        </w:tc>
        <w:tc>
          <w:tcPr>
            <w:tcW w:type="dxa" w:w="1129"/>
            <w:shd w:fill="F2F6FC" w:val="clear"/>
          </w:tcPr>
          <w:p>
            <w:pPr>
              <w:jc w:val="right"/>
            </w:pPr>
            <w:r>
              <w:rPr>
                <w:rFonts w:ascii="Arial" w:hAnsi="Arial"/>
                <w:sz w:val="18"/>
              </w:rPr>
              <w:t>152.84</w:t>
            </w:r>
          </w:p>
        </w:tc>
        <w:tc>
          <w:tcPr>
            <w:tcW w:type="dxa" w:w="1129"/>
            <w:shd w:fill="F2F6FC" w:val="clear"/>
          </w:tcPr>
          <w:p>
            <w:pPr>
              <w:jc w:val="right"/>
            </w:pPr>
            <w:r>
              <w:rPr>
                <w:rFonts w:ascii="Arial" w:hAnsi="Arial"/>
                <w:sz w:val="18"/>
              </w:rPr>
              <w:t>9.92%</w:t>
            </w:r>
          </w:p>
        </w:tc>
        <w:tc>
          <w:tcPr>
            <w:tcW w:type="dxa" w:w="1129"/>
            <w:shd w:fill="F2F6FC" w:val="clear"/>
          </w:tcPr>
          <w:p>
            <w:pPr>
              <w:jc w:val="right"/>
            </w:pPr>
            <w:r>
              <w:rPr>
                <w:rFonts w:ascii="Arial" w:hAnsi="Arial"/>
                <w:sz w:val="18"/>
              </w:rPr>
              <w:t>226,340.67</w:t>
            </w:r>
          </w:p>
        </w:tc>
        <w:tc>
          <w:tcPr>
            <w:tcW w:type="dxa" w:w="1129"/>
            <w:shd w:fill="F2F6FC" w:val="clear"/>
          </w:tcPr>
          <w:p>
            <w:pPr>
              <w:jc w:val="right"/>
            </w:pPr>
            <w:r>
              <w:rPr>
                <w:rFonts w:ascii="Arial" w:hAnsi="Arial"/>
                <w:sz w:val="18"/>
              </w:rPr>
              <w:t>140,812.97</w:t>
            </w:r>
          </w:p>
        </w:tc>
        <w:tc>
          <w:tcPr>
            <w:tcW w:type="dxa" w:w="1129"/>
            <w:shd w:fill="F2F6FC" w:val="clear"/>
          </w:tcPr>
          <w:p>
            <w:pPr>
              <w:jc w:val="right"/>
            </w:pPr>
            <w:r>
              <w:rPr>
                <w:rFonts w:ascii="Arial" w:hAnsi="Arial"/>
                <w:sz w:val="18"/>
              </w:rPr>
              <w:t>1.03%</w:t>
            </w:r>
          </w:p>
        </w:tc>
        <w:tc>
          <w:tcPr>
            <w:tcW w:type="dxa" w:w="1129"/>
            <w:shd w:fill="F2F6FC" w:val="clear"/>
          </w:tcPr>
          <w:p>
            <w:pPr>
              <w:jc w:val="right"/>
            </w:pPr>
            <w:r>
              <w:rPr>
                <w:rFonts w:ascii="Arial" w:hAnsi="Arial"/>
                <w:sz w:val="18"/>
              </w:rPr>
              <w:t>1.4809</w:t>
            </w:r>
          </w:p>
        </w:tc>
        <w:tc>
          <w:tcPr>
            <w:tcW w:type="dxa" w:w="1129"/>
            <w:shd w:fill="F2F6FC" w:val="clear"/>
          </w:tcPr>
          <w:p>
            <w:pPr>
              <w:jc w:val="right"/>
            </w:pPr>
            <w:r>
              <w:rPr>
                <w:rFonts w:ascii="Arial" w:hAnsi="Arial"/>
                <w:sz w:val="18"/>
              </w:rPr>
              <w:t>3.21</w:t>
            </w:r>
          </w:p>
        </w:tc>
      </w:tr>
      <w:tr>
        <w:tc>
          <w:tcPr>
            <w:tcW w:type="dxa" w:w="1129"/>
          </w:tcPr>
          <w:p>
            <w:r>
              <w:rPr>
                <w:rFonts w:ascii="Arial" w:hAnsi="Arial"/>
                <w:sz w:val="18"/>
              </w:rPr>
              <w:t>Real Estate - Residential</w:t>
            </w:r>
          </w:p>
        </w:tc>
        <w:tc>
          <w:tcPr>
            <w:tcW w:type="dxa" w:w="1129"/>
          </w:tcPr>
          <w:p>
            <w:pPr>
              <w:jc w:val="right"/>
            </w:pPr>
            <w:r>
              <w:rPr>
                <w:rFonts w:ascii="Arial" w:hAnsi="Arial"/>
                <w:sz w:val="18"/>
              </w:rPr>
              <w:t>168.42</w:t>
            </w:r>
          </w:p>
        </w:tc>
        <w:tc>
          <w:tcPr>
            <w:tcW w:type="dxa" w:w="1129"/>
          </w:tcPr>
          <w:p>
            <w:pPr>
              <w:jc w:val="right"/>
            </w:pPr>
            <w:r>
              <w:rPr>
                <w:rFonts w:ascii="Arial" w:hAnsi="Arial"/>
                <w:sz w:val="18"/>
              </w:rPr>
              <w:t>10.93%</w:t>
            </w:r>
          </w:p>
        </w:tc>
        <w:tc>
          <w:tcPr>
            <w:tcW w:type="dxa" w:w="1129"/>
          </w:tcPr>
          <w:p>
            <w:pPr>
              <w:jc w:val="right"/>
            </w:pPr>
            <w:r>
              <w:rPr>
                <w:rFonts w:ascii="Arial" w:hAnsi="Arial"/>
                <w:sz w:val="18"/>
              </w:rPr>
              <w:t>107,465.43</w:t>
            </w:r>
          </w:p>
        </w:tc>
        <w:tc>
          <w:tcPr>
            <w:tcW w:type="dxa" w:w="1129"/>
          </w:tcPr>
          <w:p>
            <w:pPr>
              <w:jc w:val="right"/>
            </w:pPr>
            <w:r>
              <w:rPr>
                <w:rFonts w:ascii="Arial" w:hAnsi="Arial"/>
                <w:sz w:val="18"/>
              </w:rPr>
              <w:t>79,158.87</w:t>
            </w:r>
          </w:p>
        </w:tc>
        <w:tc>
          <w:tcPr>
            <w:tcW w:type="dxa" w:w="1129"/>
          </w:tcPr>
          <w:p>
            <w:pPr>
              <w:jc w:val="right"/>
            </w:pPr>
            <w:r>
              <w:rPr>
                <w:rFonts w:ascii="Arial" w:hAnsi="Arial"/>
                <w:sz w:val="18"/>
              </w:rPr>
              <w:t>0.49%</w:t>
            </w:r>
          </w:p>
        </w:tc>
        <w:tc>
          <w:tcPr>
            <w:tcW w:type="dxa" w:w="1129"/>
          </w:tcPr>
          <w:p>
            <w:pPr>
              <w:jc w:val="right"/>
            </w:pPr>
            <w:r>
              <w:rPr>
                <w:rFonts w:ascii="Arial" w:hAnsi="Arial"/>
                <w:sz w:val="18"/>
              </w:rPr>
              <w:t>0.6381</w:t>
            </w:r>
          </w:p>
        </w:tc>
        <w:tc>
          <w:tcPr>
            <w:tcW w:type="dxa" w:w="1129"/>
          </w:tcPr>
          <w:p>
            <w:pPr>
              <w:jc w:val="right"/>
            </w:pPr>
            <w:r>
              <w:rPr>
                <w:rFonts w:ascii="Arial" w:hAnsi="Arial"/>
                <w:sz w:val="18"/>
              </w:rPr>
              <w:t>3.32</w:t>
            </w:r>
          </w:p>
        </w:tc>
      </w:tr>
      <w:tr>
        <w:tc>
          <w:tcPr>
            <w:tcW w:type="dxa" w:w="1129"/>
            <w:shd w:fill="F2F6FC" w:val="clear"/>
          </w:tcPr>
          <w:p>
            <w:r>
              <w:rPr>
                <w:rFonts w:ascii="Arial" w:hAnsi="Arial"/>
                <w:sz w:val="18"/>
              </w:rPr>
              <w:t>Financial Services</w:t>
            </w:r>
          </w:p>
        </w:tc>
        <w:tc>
          <w:tcPr>
            <w:tcW w:type="dxa" w:w="1129"/>
            <w:shd w:fill="F2F6FC" w:val="clear"/>
          </w:tcPr>
          <w:p>
            <w:pPr>
              <w:jc w:val="right"/>
            </w:pPr>
            <w:r>
              <w:rPr>
                <w:rFonts w:ascii="Arial" w:hAnsi="Arial"/>
                <w:sz w:val="18"/>
              </w:rPr>
              <w:t>206.62</w:t>
            </w:r>
          </w:p>
        </w:tc>
        <w:tc>
          <w:tcPr>
            <w:tcW w:type="dxa" w:w="1129"/>
            <w:shd w:fill="F2F6FC" w:val="clear"/>
          </w:tcPr>
          <w:p>
            <w:pPr>
              <w:jc w:val="right"/>
            </w:pPr>
            <w:r>
              <w:rPr>
                <w:rFonts w:ascii="Arial" w:hAnsi="Arial"/>
                <w:sz w:val="18"/>
              </w:rPr>
              <w:t>13.41%</w:t>
            </w:r>
          </w:p>
        </w:tc>
        <w:tc>
          <w:tcPr>
            <w:tcW w:type="dxa" w:w="1129"/>
            <w:shd w:fill="F2F6FC" w:val="clear"/>
          </w:tcPr>
          <w:p>
            <w:pPr>
              <w:jc w:val="right"/>
            </w:pPr>
            <w:r>
              <w:rPr>
                <w:rFonts w:ascii="Arial" w:hAnsi="Arial"/>
                <w:sz w:val="18"/>
              </w:rPr>
              <w:t>73,693.74</w:t>
            </w:r>
          </w:p>
        </w:tc>
        <w:tc>
          <w:tcPr>
            <w:tcW w:type="dxa" w:w="1129"/>
            <w:shd w:fill="F2F6FC" w:val="clear"/>
          </w:tcPr>
          <w:p>
            <w:pPr>
              <w:jc w:val="right"/>
            </w:pPr>
            <w:r>
              <w:rPr>
                <w:rFonts w:ascii="Arial" w:hAnsi="Arial"/>
                <w:sz w:val="18"/>
              </w:rPr>
              <w:t>49,718.26</w:t>
            </w:r>
          </w:p>
        </w:tc>
        <w:tc>
          <w:tcPr>
            <w:tcW w:type="dxa" w:w="1129"/>
            <w:shd w:fill="F2F6FC" w:val="clear"/>
          </w:tcPr>
          <w:p>
            <w:pPr>
              <w:jc w:val="right"/>
            </w:pPr>
            <w:r>
              <w:rPr>
                <w:rFonts w:ascii="Arial" w:hAnsi="Arial"/>
                <w:sz w:val="18"/>
              </w:rPr>
              <w:t>0.34%</w:t>
            </w:r>
          </w:p>
        </w:tc>
        <w:tc>
          <w:tcPr>
            <w:tcW w:type="dxa" w:w="1129"/>
            <w:shd w:fill="F2F6FC" w:val="clear"/>
          </w:tcPr>
          <w:p>
            <w:pPr>
              <w:jc w:val="right"/>
            </w:pPr>
            <w:r>
              <w:rPr>
                <w:rFonts w:ascii="Arial" w:hAnsi="Arial"/>
                <w:sz w:val="18"/>
              </w:rPr>
              <w:t>0.3567</w:t>
            </w:r>
          </w:p>
        </w:tc>
        <w:tc>
          <w:tcPr>
            <w:tcW w:type="dxa" w:w="1129"/>
            <w:shd w:fill="F2F6FC" w:val="clear"/>
          </w:tcPr>
          <w:p>
            <w:pPr>
              <w:jc w:val="right"/>
            </w:pPr>
            <w:r>
              <w:rPr>
                <w:rFonts w:ascii="Arial" w:hAnsi="Arial"/>
                <w:sz w:val="18"/>
              </w:rPr>
              <w:t>3.42</w:t>
            </w:r>
          </w:p>
        </w:tc>
      </w:tr>
      <w:tr>
        <w:tc>
          <w:tcPr>
            <w:tcW w:type="dxa" w:w="1129"/>
          </w:tcPr>
          <w:p>
            <w:r>
              <w:rPr>
                <w:rFonts w:ascii="Arial" w:hAnsi="Arial"/>
                <w:sz w:val="18"/>
              </w:rPr>
              <w:t>**Total Portfolio**</w:t>
            </w:r>
          </w:p>
        </w:tc>
        <w:tc>
          <w:tcPr>
            <w:tcW w:type="dxa" w:w="1129"/>
          </w:tcPr>
          <w:p>
            <w:r>
              <w:rPr>
                <w:rFonts w:ascii="Arial" w:hAnsi="Arial"/>
                <w:sz w:val="18"/>
              </w:rPr>
              <w:t>**1,541.18**</w:t>
            </w:r>
          </w:p>
        </w:tc>
        <w:tc>
          <w:tcPr>
            <w:tcW w:type="dxa" w:w="1129"/>
          </w:tcPr>
          <w:p>
            <w:r>
              <w:rPr>
                <w:rFonts w:ascii="Arial" w:hAnsi="Arial"/>
                <w:sz w:val="18"/>
              </w:rPr>
              <w:t>**100.0%**</w:t>
            </w:r>
          </w:p>
        </w:tc>
        <w:tc>
          <w:tcPr>
            <w:tcW w:type="dxa" w:w="1129"/>
          </w:tcPr>
          <w:p>
            <w:r>
              <w:rPr>
                <w:rFonts w:ascii="Arial" w:hAnsi="Arial"/>
                <w:sz w:val="18"/>
              </w:rPr>
              <w:t>**21,976,797.3**</w:t>
            </w:r>
          </w:p>
        </w:tc>
        <w:tc>
          <w:tcPr>
            <w:tcW w:type="dxa" w:w="1129"/>
          </w:tcPr>
          <w:p>
            <w:r>
              <w:rPr>
                <w:rFonts w:ascii="Arial" w:hAnsi="Arial"/>
                <w:sz w:val="18"/>
              </w:rPr>
              <w:t>**15,280,174.14**</w:t>
            </w:r>
          </w:p>
        </w:tc>
        <w:tc>
          <w:tcPr>
            <w:tcW w:type="dxa" w:w="1129"/>
          </w:tcPr>
          <w:p>
            <w:r>
              <w:rPr>
                <w:rFonts w:ascii="Arial" w:hAnsi="Arial"/>
                <w:sz w:val="18"/>
              </w:rPr>
              <w:t>**100.0%**</w:t>
            </w:r>
          </w:p>
        </w:tc>
        <w:tc>
          <w:tcPr>
            <w:tcW w:type="dxa" w:w="1129"/>
          </w:tcPr>
          <w:p>
            <w:r>
              <w:rPr>
                <w:rFonts w:ascii="Arial" w:hAnsi="Arial"/>
                <w:sz w:val="18"/>
              </w:rPr>
              <w:t>**239.400139**</w:t>
            </w:r>
          </w:p>
        </w:tc>
        <w:tc>
          <w:tcPr>
            <w:tcW w:type="dxa" w:w="1129"/>
          </w:tcPr>
          <w:p>
            <w:r>
              <w:rPr>
                <w:rFonts w:ascii="Arial" w:hAnsi="Arial"/>
                <w:sz w:val="18"/>
              </w:rPr>
              <w:t>**3.36**</w:t>
            </w:r>
          </w:p>
        </w:tc>
      </w:tr>
    </w:tbl>
    <w:p>
      <w:r>
        <w:rPr>
          <w:rFonts w:ascii="Arial" w:hAnsi="Arial"/>
          <w:i/>
          <w:sz w:val="16"/>
        </w:rPr>
        <w:t>Source: Source: Institution's PCAF calculation engine, 2024 reporting period. Gross emissions represent unadjusted attributed emissions; weighted emissions apply PCAF confidence factors per data quality tier. PCAF scores range from 1 (verified data) to 5 (sector-average proxy). Emission intensity calculated as weighted financed emissions divided by outstanding exposure.</w:t>
      </w:r>
    </w:p>
    <w:p/>
    <w:p>
      <w:r>
        <w:rPr>
          <w:rFonts w:ascii="Arial" w:hAnsi="Arial"/>
          <w:b/>
          <w:sz w:val="20"/>
        </w:rPr>
        <w:t>Table 2: SASB FN-CB-410a.3 — Financed Emissions (Scope 3 Category 15)</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Gross Financed Emissions</w:t>
            </w:r>
          </w:p>
        </w:tc>
        <w:tc>
          <w:tcPr>
            <w:tcW w:type="dxa" w:w="1806"/>
          </w:tcPr>
          <w:p>
            <w:pPr>
              <w:jc w:val="right"/>
            </w:pPr>
            <w:r>
              <w:rPr>
                <w:rFonts w:ascii="Arial" w:hAnsi="Arial"/>
                <w:sz w:val="18"/>
              </w:rPr>
              <w:t>21,976,797.3</w:t>
            </w:r>
          </w:p>
        </w:tc>
        <w:tc>
          <w:tcPr>
            <w:tcW w:type="dxa" w:w="1806"/>
          </w:tcPr>
          <w:p>
            <w:pPr>
              <w:jc w:val="right"/>
            </w:pPr>
            <w:r>
              <w:rPr>
                <w:rFonts w:ascii="Arial" w:hAnsi="Arial"/>
                <w:sz w:val="18"/>
              </w:rPr>
              <w:t>22,911,991.05</w:t>
            </w:r>
          </w:p>
        </w:tc>
        <w:tc>
          <w:tcPr>
            <w:tcW w:type="dxa" w:w="1806"/>
          </w:tcPr>
          <w:p>
            <w:pPr>
              <w:jc w:val="right"/>
            </w:pPr>
            <w:r>
              <w:rPr>
                <w:rFonts w:ascii="Arial" w:hAnsi="Arial"/>
                <w:sz w:val="18"/>
              </w:rPr>
              <w:t>-4.08%</w:t>
            </w:r>
          </w:p>
        </w:tc>
        <w:tc>
          <w:tcPr>
            <w:tcW w:type="dxa" w:w="1806"/>
          </w:tcPr>
          <w:p>
            <w:r>
              <w:rPr>
                <w:rFonts w:ascii="Arial" w:hAnsi="Arial"/>
                <w:sz w:val="18"/>
              </w:rPr>
              <w:t>tCO2e</w:t>
            </w:r>
          </w:p>
        </w:tc>
      </w:tr>
      <w:tr>
        <w:tc>
          <w:tcPr>
            <w:tcW w:type="dxa" w:w="1806"/>
            <w:shd w:fill="F2F6FC" w:val="clear"/>
          </w:tcPr>
          <w:p>
            <w:r>
              <w:rPr>
                <w:rFonts w:ascii="Arial" w:hAnsi="Arial"/>
                <w:sz w:val="18"/>
              </w:rPr>
              <w:t>Confidence-Weighted Financed Emissions</w:t>
            </w:r>
          </w:p>
        </w:tc>
        <w:tc>
          <w:tcPr>
            <w:tcW w:type="dxa" w:w="1806"/>
            <w:shd w:fill="F2F6FC" w:val="clear"/>
          </w:tcPr>
          <w:p>
            <w:pPr>
              <w:jc w:val="right"/>
            </w:pPr>
            <w:r>
              <w:rPr>
                <w:rFonts w:ascii="Arial" w:hAnsi="Arial"/>
                <w:sz w:val="18"/>
              </w:rPr>
              <w:t>15,280,174.14</w:t>
            </w:r>
          </w:p>
        </w:tc>
        <w:tc>
          <w:tcPr>
            <w:tcW w:type="dxa" w:w="1806"/>
            <w:shd w:fill="F2F6FC" w:val="clear"/>
          </w:tcPr>
          <w:p>
            <w:pPr>
              <w:jc w:val="right"/>
            </w:pPr>
            <w:r>
              <w:rPr>
                <w:rFonts w:ascii="Arial" w:hAnsi="Arial"/>
                <w:sz w:val="18"/>
              </w:rPr>
              <w:t>15,576,239.57</w:t>
            </w:r>
          </w:p>
        </w:tc>
        <w:tc>
          <w:tcPr>
            <w:tcW w:type="dxa" w:w="1806"/>
            <w:shd w:fill="F2F6FC" w:val="clear"/>
          </w:tcPr>
          <w:p>
            <w:pPr>
              <w:jc w:val="right"/>
            </w:pPr>
            <w:r>
              <w:rPr>
                <w:rFonts w:ascii="Arial" w:hAnsi="Arial"/>
                <w:sz w:val="18"/>
              </w:rPr>
              <w:t>-1.90%</w:t>
            </w:r>
          </w:p>
        </w:tc>
        <w:tc>
          <w:tcPr>
            <w:tcW w:type="dxa" w:w="1806"/>
            <w:shd w:fill="F2F6FC" w:val="clear"/>
          </w:tcPr>
          <w:p>
            <w:r>
              <w:rPr>
                <w:rFonts w:ascii="Arial" w:hAnsi="Arial"/>
                <w:sz w:val="18"/>
              </w:rPr>
              <w:t>tCO2e</w:t>
            </w:r>
          </w:p>
        </w:tc>
      </w:tr>
      <w:tr>
        <w:tc>
          <w:tcPr>
            <w:tcW w:type="dxa" w:w="1806"/>
          </w:tcPr>
          <w:p>
            <w:r>
              <w:rPr>
                <w:rFonts w:ascii="Arial" w:hAnsi="Arial"/>
                <w:sz w:val="18"/>
              </w:rPr>
              <w:t>Total Portfolio Outstanding</w:t>
            </w:r>
          </w:p>
        </w:tc>
        <w:tc>
          <w:tcPr>
            <w:tcW w:type="dxa" w:w="1806"/>
          </w:tcPr>
          <w:p>
            <w:pPr>
              <w:jc w:val="right"/>
            </w:pPr>
            <w:r>
              <w:rPr>
                <w:rFonts w:ascii="Arial" w:hAnsi="Arial"/>
                <w:sz w:val="18"/>
              </w:rPr>
              <w:t>1,541.18</w:t>
            </w:r>
          </w:p>
        </w:tc>
        <w:tc>
          <w:tcPr>
            <w:tcW w:type="dxa" w:w="1806"/>
          </w:tcPr>
          <w:p>
            <w:pPr>
              <w:jc w:val="right"/>
            </w:pPr>
            <w:r>
              <w:rPr>
                <w:rFonts w:ascii="Arial" w:hAnsi="Arial"/>
                <w:sz w:val="18"/>
              </w:rPr>
              <w:t>1,510.62</w:t>
            </w:r>
          </w:p>
        </w:tc>
        <w:tc>
          <w:tcPr>
            <w:tcW w:type="dxa" w:w="1806"/>
          </w:tcPr>
          <w:p>
            <w:pPr>
              <w:jc w:val="right"/>
            </w:pPr>
            <w:r>
              <w:rPr>
                <w:rFonts w:ascii="Arial" w:hAnsi="Arial"/>
                <w:sz w:val="18"/>
              </w:rPr>
              <w:t>+2.02%</w:t>
            </w:r>
          </w:p>
        </w:tc>
        <w:tc>
          <w:tcPr>
            <w:tcW w:type="dxa" w:w="1806"/>
          </w:tcPr>
          <w:p>
            <w:r>
              <w:rPr>
                <w:rFonts w:ascii="Arial" w:hAnsi="Arial"/>
                <w:sz w:val="18"/>
              </w:rPr>
              <w:t>IDR Trillion</w:t>
            </w:r>
          </w:p>
        </w:tc>
      </w:tr>
      <w:tr>
        <w:tc>
          <w:tcPr>
            <w:tcW w:type="dxa" w:w="1806"/>
            <w:shd w:fill="F2F6FC" w:val="clear"/>
          </w:tcPr>
          <w:p>
            <w:r>
              <w:rPr>
                <w:rFonts w:ascii="Arial" w:hAnsi="Arial"/>
                <w:sz w:val="18"/>
              </w:rPr>
              <w:t>Emission Intensity (Weighted)</w:t>
            </w:r>
          </w:p>
        </w:tc>
        <w:tc>
          <w:tcPr>
            <w:tcW w:type="dxa" w:w="1806"/>
            <w:shd w:fill="F2F6FC" w:val="clear"/>
          </w:tcPr>
          <w:p>
            <w:pPr>
              <w:jc w:val="right"/>
            </w:pPr>
            <w:r>
              <w:rPr>
                <w:rFonts w:ascii="Arial" w:hAnsi="Arial"/>
                <w:sz w:val="18"/>
              </w:rPr>
              <w:t>239.400139</w:t>
            </w:r>
          </w:p>
        </w:tc>
        <w:tc>
          <w:tcPr>
            <w:tcW w:type="dxa" w:w="1806"/>
            <w:shd w:fill="F2F6FC" w:val="clear"/>
          </w:tcPr>
          <w:p>
            <w:pPr>
              <w:jc w:val="right"/>
            </w:pPr>
            <w:r>
              <w:rPr>
                <w:rFonts w:ascii="Arial" w:hAnsi="Arial"/>
                <w:sz w:val="18"/>
              </w:rPr>
              <w:t>270.116632</w:t>
            </w:r>
          </w:p>
        </w:tc>
        <w:tc>
          <w:tcPr>
            <w:tcW w:type="dxa" w:w="1806"/>
            <w:shd w:fill="F2F6FC" w:val="clear"/>
          </w:tcPr>
          <w:p>
            <w:pPr>
              <w:jc w:val="right"/>
            </w:pPr>
            <w:r>
              <w:rPr>
                <w:rFonts w:ascii="Arial" w:hAnsi="Arial"/>
                <w:sz w:val="18"/>
              </w:rPr>
              <w:t>-11.37%</w:t>
            </w:r>
          </w:p>
        </w:tc>
        <w:tc>
          <w:tcPr>
            <w:tcW w:type="dxa" w:w="1806"/>
            <w:shd w:fill="F2F6FC" w:val="clear"/>
          </w:tcPr>
          <w:p>
            <w:r>
              <w:rPr>
                <w:rFonts w:ascii="Arial" w:hAnsi="Arial"/>
                <w:sz w:val="18"/>
              </w:rPr>
              <w:t>tCO2e/IDR Bn</w:t>
            </w:r>
          </w:p>
        </w:tc>
      </w:tr>
      <w:tr>
        <w:tc>
          <w:tcPr>
            <w:tcW w:type="dxa" w:w="1806"/>
          </w:tcPr>
          <w:p>
            <w:r>
              <w:rPr>
                <w:rFonts w:ascii="Arial" w:hAnsi="Arial"/>
                <w:sz w:val="18"/>
              </w:rPr>
              <w:t>Portfolio Coverage</w:t>
            </w:r>
          </w:p>
        </w:tc>
        <w:tc>
          <w:tcPr>
            <w:tcW w:type="dxa" w:w="1806"/>
          </w:tcPr>
          <w:p>
            <w:pPr>
              <w:jc w:val="right"/>
            </w:pPr>
            <w:r>
              <w:rPr>
                <w:rFonts w:ascii="Arial" w:hAnsi="Arial"/>
                <w:sz w:val="18"/>
              </w:rPr>
              <w:t>100.0</w:t>
            </w:r>
          </w:p>
        </w:tc>
        <w:tc>
          <w:tcPr>
            <w:tcW w:type="dxa" w:w="1806"/>
          </w:tcPr>
          <w:p>
            <w:pPr>
              <w:jc w:val="right"/>
            </w:pPr>
            <w:r>
              <w:rPr>
                <w:rFonts w:ascii="Arial" w:hAnsi="Arial"/>
                <w:sz w:val="18"/>
              </w:rPr>
              <w:t>100.0</w:t>
            </w:r>
          </w:p>
        </w:tc>
        <w:tc>
          <w:tcPr>
            <w:tcW w:type="dxa" w:w="1806"/>
          </w:tcPr>
          <w:p>
            <w:r>
              <w:rPr>
                <w:rFonts w:ascii="Arial" w:hAnsi="Arial"/>
                <w:sz w:val="18"/>
              </w:rPr>
              <w:t>—</w:t>
            </w:r>
          </w:p>
        </w:tc>
        <w:tc>
          <w:tcPr>
            <w:tcW w:type="dxa" w:w="1806"/>
          </w:tcPr>
          <w:p>
            <w:r>
              <w:rPr>
                <w:rFonts w:ascii="Arial" w:hAnsi="Arial"/>
                <w:sz w:val="18"/>
              </w:rPr>
              <w:t>%</w:t>
            </w:r>
          </w:p>
        </w:tc>
      </w:tr>
      <w:tr>
        <w:tc>
          <w:tcPr>
            <w:tcW w:type="dxa" w:w="1806"/>
            <w:shd w:fill="F2F6FC" w:val="clear"/>
          </w:tcPr>
          <w:p>
            <w:r>
              <w:rPr>
                <w:rFonts w:ascii="Arial" w:hAnsi="Arial"/>
                <w:sz w:val="18"/>
              </w:rPr>
              <w:t>Avg PCAF Data Quality Score</w:t>
            </w:r>
          </w:p>
        </w:tc>
        <w:tc>
          <w:tcPr>
            <w:tcW w:type="dxa" w:w="1806"/>
            <w:shd w:fill="F2F6FC" w:val="clear"/>
          </w:tcPr>
          <w:p>
            <w:pPr>
              <w:jc w:val="right"/>
            </w:pPr>
            <w:r>
              <w:rPr>
                <w:rFonts w:ascii="Arial" w:hAnsi="Arial"/>
                <w:sz w:val="18"/>
              </w:rPr>
              <w:t>3.36</w:t>
            </w:r>
          </w:p>
        </w:tc>
        <w:tc>
          <w:tcPr>
            <w:tcW w:type="dxa" w:w="1806"/>
            <w:shd w:fill="F2F6FC" w:val="clear"/>
          </w:tcPr>
          <w:p>
            <w:pPr>
              <w:jc w:val="right"/>
            </w:pPr>
            <w:r>
              <w:rPr>
                <w:rFonts w:ascii="Arial" w:hAnsi="Arial"/>
                <w:sz w:val="18"/>
              </w:rPr>
              <w:t>3.42</w:t>
            </w:r>
          </w:p>
        </w:tc>
        <w:tc>
          <w:tcPr>
            <w:tcW w:type="dxa" w:w="1806"/>
            <w:shd w:fill="F2F6FC" w:val="clear"/>
          </w:tcPr>
          <w:p>
            <w:pPr>
              <w:jc w:val="right"/>
            </w:pPr>
            <w:r>
              <w:rPr>
                <w:rFonts w:ascii="Arial" w:hAnsi="Arial"/>
                <w:sz w:val="18"/>
              </w:rPr>
              <w:t>-1.75%</w:t>
            </w:r>
          </w:p>
        </w:tc>
        <w:tc>
          <w:tcPr>
            <w:tcW w:type="dxa" w:w="1806"/>
            <w:shd w:fill="F2F6FC" w:val="clear"/>
          </w:tcPr>
          <w:p>
            <w:r>
              <w:rPr>
                <w:rFonts w:ascii="Arial" w:hAnsi="Arial"/>
                <w:sz w:val="18"/>
              </w:rPr>
              <w:t>Score (1-5)</w:t>
            </w:r>
          </w:p>
        </w:tc>
      </w:tr>
    </w:tbl>
    <w:p>
      <w:r>
        <w:rPr>
          <w:rFonts w:ascii="Arial" w:hAnsi="Arial"/>
          <w:i/>
          <w:sz w:val="16"/>
        </w:rPr>
        <w:t>Source: Source: Institution's PCAF calculation per Global GHG Accounting Standard (2022). Financed emissions calculated using attribution factor methodology for corporate loans. YoY change for gross emissions: (21,976,797.3 - 22,911,991.05) / 22,911,991.05 = -4.08%. Emission intensity improvement driven by portfolio composition shift and borrower-level reductions.</w:t>
      </w:r>
    </w:p>
    <w:p/>
    <w:p>
      <w:r>
        <w:rPr>
          <w:i/>
          <w:color w:val="3D6094"/>
          <w:sz w:val="18"/>
        </w:rPr>
        <w:t>Framework references: IFRS S2 para 29(a)(vi)(2) — Scope 3 Category 15 disclosure for financial institutions; IFRS S2 para 29(b) — Assets vulnerable to climate-related transition risks; IFRS S2 para 29(a)(iii) — Changes in measurement approach and assumptions; PCAF Global GHG Accounting Standard (2022) — Attribution methodology; SASB FN-CB-410a.3 — Financed emissions for commercial banks; GHG Protocol Corporate Value Chain (Scope 3) Standard (2011) — Category 15 definition</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exclude retail mortgages (IDR 168.42 trillion), consumer auto loans, and credit card receivables pending PCAF methodology finalization for asset-backed consumer lending.</w:t>
      </w:r>
    </w:p>
    <w:p>
      <w:pPr>
        <w:spacing w:after="160" w:line="276" w:lineRule="auto"/>
        <w:jc w:val="both"/>
      </w:pPr>
      <w:r>
        <w:rPr>
          <w:rFonts w:ascii="Arial" w:hAnsi="Arial"/>
          <w:i/>
          <w:color w:val="646464"/>
          <w:sz w:val="18"/>
        </w:rPr>
        <w:t>Sector-level year-over-year emission changes are not available for 2024 due to system limitations in tracking borrower-level emissions across reporting periods. The institution commits to implementing longitudinal tracking by Q2 2025.</w:t>
      </w:r>
    </w:p>
    <w:p>
      <w:pPr>
        <w:spacing w:after="160" w:line="276" w:lineRule="auto"/>
        <w:jc w:val="both"/>
      </w:pPr>
      <w:r>
        <w:rPr>
          <w:rFonts w:ascii="Arial" w:hAnsi="Arial"/>
          <w:i/>
          <w:color w:val="646464"/>
          <w:sz w:val="18"/>
        </w:rPr>
        <w:t>PCAF confidence factors applied: Tier 1 (1.00), Tier 2 (0.90), Tier 3 (0.75), Tier 4 (0.60), Tier 5 (0.45). Portfolio-weighted average score of 3.36 indicates predominant use of Tier 3 data (EEIO models with revenue data).</w:t>
      </w:r>
    </w:p>
    <w:p>
      <w:pPr>
        <w:spacing w:after="160" w:line="276" w:lineRule="auto"/>
        <w:jc w:val="both"/>
      </w:pPr>
      <w:r>
        <w:rPr>
          <w:rFonts w:ascii="Arial" w:hAnsi="Arial"/>
          <w:i/>
          <w:color w:val="646464"/>
          <w:sz w:val="18"/>
        </w:rPr>
        <w:t>Emission intensity calculated as confidence-weighted financed emissions divided by total portfolio outstanding. The 11.37% year-over-year intensity improvement exceeds the 4.07% absolute emission reduction due to 2.02% portfolio growth.</w:t>
      </w:r>
    </w:p>
    <w:p>
      <w:r>
        <w:br w:type="page"/>
      </w:r>
    </w:p>
    <w:p>
      <w:pPr>
        <w:pStyle w:val="Heading1"/>
        <w:keepNext/>
        <w:spacing w:before="480" w:after="240"/>
      </w:pPr>
      <w:r>
        <w:rPr>
          <w:rFonts w:ascii="Arial" w:hAnsi="Arial"/>
          <w:b/>
          <w:color w:val="1B3A6B"/>
          <w:sz w:val="36"/>
        </w:rPr>
        <w:t>Climate Targets &amp; Reduction Initiatives</w:t>
      </w:r>
    </w:p>
    <w:p>
      <w:pPr>
        <w:spacing w:after="160" w:line="276" w:lineRule="auto"/>
        <w:jc w:val="both"/>
      </w:pPr>
      <w:r>
        <w:rPr>
          <w:rFonts w:ascii="Arial" w:hAnsi="Arial"/>
          <w:sz w:val="22"/>
        </w:rPr>
        <w:t>This data point is not yet captured in the institution's reporting system. Per IFRS S2 paragraphs 33–37, the institution is required to disclose quantitative or qualitative climate-related targets it has set to mitigate or adapt to climate-related risks or maximize climate-related opportunities. This includes greenhouse gas emissions targets with characteristics specified in paragraph 33(a)–(h): whether the target is absolute or intensity-based, the scope of emissions covered, the base period and target year, milestones or interim targets, and the metrics used to track progress.</w:t>
      </w:r>
    </w:p>
    <w:p>
      <w:pPr>
        <w:spacing w:after="160" w:line="276" w:lineRule="auto"/>
        <w:jc w:val="both"/>
      </w:pPr>
      <w:r>
        <w:rPr>
          <w:rFonts w:ascii="Arial" w:hAnsi="Arial"/>
          <w:sz w:val="22"/>
        </w:rPr>
        <w:t>The absence of formally disclosed climate targets represents a material gap in the institution's climate-related disclosures under IFRS S2. Without quantified reduction targets, stakeholders cannot assess the institution's strategic commitment to climate action, evaluate progress toward decarbonization, or compare performance against peers. The institution's current Scope 1+2 emissions total 48,016.87 tCO2e (2024), with financed emissions (Scope 3 Category 15) of 15,280,174.14 tCO2e weighted by attribution factor. Establishing science-based targets for these emission sources is foundational to demonstrating climate resilience and alignment with the Paris Agreement's 1.5°C pathway.</w:t>
      </w:r>
    </w:p>
    <w:p>
      <w:pPr>
        <w:spacing w:after="160" w:line="276" w:lineRule="auto"/>
        <w:jc w:val="both"/>
      </w:pPr>
      <w:r>
        <w:rPr>
          <w:rFonts w:ascii="Arial" w:hAnsi="Arial"/>
          <w:sz w:val="22"/>
        </w:rPr>
        <w:t>**Disclosure Gap Analysis**: The following target-related data points required by IFRS S2 paragraph 33 are not currently available in the institution's reporting system: (i) quantitative Scope 1 reduction target (absolute tCO2e or intensity-based); (ii) quantitative Scope 2 reduction target (absolute tCO2e or intensity-based); (iii) quantitative Scope 3 Category 15 financed emissions reduction target; (iv) total reduction percentage versus base year; (v) target year and base year specification; (vi) net zero commitment year and scope coverage; (vii) interim milestones (e.g., 2025, 2027, 2030); (viii) Science Based Targets initiative (SBTi) validation status; (ix) decarbonization levers by scope (own operations vs. value chain); (x) carbon offset strategy including volume, type, and certification scheme; (xi) renewable energy procurement target and current percentage.</w:t>
      </w:r>
    </w:p>
    <w:p>
      <w:pPr>
        <w:spacing w:after="160" w:line="276" w:lineRule="auto"/>
        <w:jc w:val="both"/>
      </w:pPr>
      <w:r>
        <w:rPr>
          <w:rFonts w:ascii="Arial" w:hAnsi="Arial"/>
          <w:sz w:val="22"/>
        </w:rPr>
        <w:t>**Peer Benchmark Context**: Leading Indonesian financial institutions have established comprehensive climate target frameworks that provide a reference point for best practice. Bank Rakyat Indonesia (BRI) became the first Indonesian financial institution to submit a Science Based Targets initiative (SBTi) commitment, setting a portfolio temperature target of 1.75°C by 2040 with an annual reduction trajectory of 0.0783°C per year. BRI has also achieved 19.49% electricity savings through green building initiatives and deployed 118 electric vehicles plus 150 electric motorcycles as part of its operational decarbonization strategy. DBS Bank has committed to Net Zero by 2050 with interim targets, achieving 62% renewable energy procurement and a 12% year-over-year reduction in operational emissions. Bank Central Asia (BCA) has implemented sectoral credit policies for carbon-intensive industries including coal, palm oil, cement, and oil &amp; gas, demonstrating integration of climate targets into lending decisions.</w:t>
      </w:r>
    </w:p>
    <w:p>
      <w:pPr>
        <w:spacing w:after="160" w:line="276" w:lineRule="auto"/>
        <w:jc w:val="both"/>
      </w:pPr>
      <w:r>
        <w:rPr>
          <w:rFonts w:ascii="Arial" w:hAnsi="Arial"/>
          <w:i/>
          <w:color w:val="555555"/>
          <w:sz w:val="22"/>
        </w:rPr>
        <w:t>**Recommended Target-Setting Framework**: The institution should adopt a three-tier target structure aligned with IFRS S2 requirements and peer practice: (1) **Operational Targets (Scope 1+2)**: Set an absolute reduction target of 30% by 2030 versus 2024 baseline (48,016.87 tCO2e), equivalent to 33,611.81 tCO2e by 2030. This target should be supported by specific decarbonization levers including renewable energy procurement (target 50% renewable electricity by 2030 from current grid-based supply), energy efficiency retrofits across branch network (LED lighting, HVAC optimization, auto-shutdown systems), and fleet electrification (phase out diesel vehicles by 2035). (2) **Financed Emissions Target (Scope 3 Category 15)**: Set a portfolio temperature alignment target of &lt;2.0°C by 2030 and 1.5°C by 2040, with sector-specific intensity reduction targets for the three highest-emitting sectors: Energy - Oil &amp; Gas (93.242 tCO2e/IDR billion), Manufacturing - Cement (53.9927 tCO2e/IDR billion), and Manufacturing - Steel (32.2175 tCO2e/IDR billion). Establish client engagement programs for the top 20 emitters representing 43.56% of total financed emissions. (3) **Net Zero Commitment**: Declare a Net Zero target for Scope 1+2 by 2040 and Scope 3 Category 15 by 2050, with residual emissions strategy limited to high-quality carbon removal credits (nature-based solutions with permanence &gt;100 years or technological removal via direct air capture).</w:t>
      </w:r>
    </w:p>
    <w:p>
      <w:pPr>
        <w:spacing w:after="160" w:line="276" w:lineRule="auto"/>
        <w:jc w:val="both"/>
      </w:pPr>
      <w:r>
        <w:rPr>
          <w:rFonts w:ascii="Arial" w:hAnsi="Arial"/>
          <w:i/>
          <w:color w:val="555555"/>
          <w:sz w:val="22"/>
        </w:rPr>
        <w:t>**Implementation Roadmap**: The institution should follow a phased approach to target establishment and validation: **Phase 1 (Months 1-6)**: Submit SBTi commitment letter and initiate target development process; conduct baseline emissions verification for 2024 data; establish internal governance structure with Board-level oversight of climate targets (per IFRS S2 paragraph 6 governance requirements). **Phase 2 (Months 7-12)**: Develop sector-specific decarbonization pathways using PCAF-aligned methodologies; model target scenarios (1.5°C, well-below 2°C, business-as-usual) to assess feasibility; engage top 50 borrowers representing 60%+ of financed emissions to understand transition plans. **Phase 3 (Months 13-18)**: Submit targets to SBTi for validation; disclose interim targets in next annual sustainability report; integrate targets into credit risk assessment frameworks and loan pricing mechanisms. **Phase 4 (Months 19-24)**: Implement monitoring and reporting systems for quarterly target tracking; establish internal carbon pricing mechanism (shadow price) to incentivize low-carbon lending; report progress against targets in accordance with IFRS S2 paragraph 37 requirements.</w:t>
      </w:r>
    </w:p>
    <w:p>
      <w:pPr>
        <w:spacing w:after="160" w:line="276" w:lineRule="auto"/>
        <w:jc w:val="both"/>
      </w:pPr>
      <w:r>
        <w:rPr>
          <w:rFonts w:ascii="Arial" w:hAnsi="Arial"/>
          <w:i/>
          <w:sz w:val="22"/>
        </w:rPr>
        <w:t>**Decarbonization Levers by Scope**: Per IFRS S2 paragraph 33(e) requirement to describe how the entity intends to achieve its targets, the institution should disclose specific levers: **Scope 1 Reduction Levers**: (i) Fuel switching from diesel to biodiesel B35+ for backup generators at 10 highest-emitting facilities (FAC-0197 through FAC-0208), estimated reduction 15% or 330.45 tCO2e annually; (ii) Phase-out of natural gas heating systems in favor of electric heat pumps powered by renewable electricity, targeting facilities with data quality score 1 (all top 10 facilities); (iii) Fleet electrification targeting 50% of vehicle fleet by 2030, prioritizing high-mileage vehicles first. **Scope 2 Reduction Levers**: (i) Power Purchase Agreements (PPAs) with renewable energy providers targeting 25% renewable electricity by 2027 and 50% by 2030; (ii) On-site solar photovoltaic installations at 30% of branch network (estimated 150 branches) with priority for high-consumption locations; (iii) Energy efficiency retrofits including LED lighting (100% conversion by 2026), HVAC optimization with smart controls, and elevator scheduling systems (reference BRI Kaseya program achieving 19.49% savings). **Scope 3 Category 15 Reduction Levers**: (i) Enhanced Environmental and Social Risk Management (ESRM) screening for new loans in carbon-intensive sectors; (ii) Sectoral credit policies with phase-down timelines for coal (no new coal financing post-2025, phase-out existing by 2040), palm oil (zero-deforestation commitments), and cement (require transition plans for borrowers); (iii) Green finance product development with preferential pricing for low-carbon projects (target 30% of new lending by 2030); (iv) Client engagement program requiring annual emissions disclosure and transition plan submission for borrowers with &gt;10,000 tCO2e financed emissions.</w:t>
      </w:r>
    </w:p>
    <w:p>
      <w:pPr>
        <w:spacing w:after="160" w:line="276" w:lineRule="auto"/>
        <w:jc w:val="both"/>
      </w:pPr>
      <w:r>
        <w:rPr>
          <w:rFonts w:ascii="Arial" w:hAnsi="Arial"/>
          <w:i/>
          <w:sz w:val="22"/>
        </w:rPr>
        <w:t>**Carbon Offset Strategy**: The institution should adopt a conservative offset strategy aligned with best practice principles. Carbon offsets should be limited to &lt;10% of gross emissions reduction target and used only for residual emissions that cannot be abated through direct reduction measures. Priority should be given to high-quality removal credits with the following characteristics: (i) Nature-based solutions with permanence guarantees &gt;100 years (e.g., afforestation/reforestation projects with legal protection, mangrove restoration in Indonesian coastal areas); (ii) Technological removal via direct air capture with geological storage (DACCS) for long-term permanence; (iii) Certification under Verra Verified Carbon Standard (VCS) or Gold Standard with additionality verification; (iv) Co-benefits alignment with UN Sustainable Development Goals, particularly SDG 13 (Climate Action), SDG 14 (Life Below Water for mangrove projects), and SDG 15 (Life on Land). The institution should disclose offset volumes separately from gross reduction achievements in annual reporting per IFRS S2 paragraph 33(g) requirement to explain how the entity's use of carbon credits factors into its plans to achieve its targets.</w:t>
      </w:r>
    </w:p>
    <w:p>
      <w:r>
        <w:rPr>
          <w:rFonts w:ascii="Arial" w:hAnsi="Arial"/>
          <w:b/>
          <w:sz w:val="20"/>
        </w:rPr>
        <w:t>Table 1: Recommended Climate Target Framework (2024 Baseline)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Target Category</w:t>
            </w:r>
          </w:p>
        </w:tc>
        <w:tc>
          <w:tcPr>
            <w:tcW w:type="dxa" w:w="1505"/>
            <w:shd w:fill="1B3A6B" w:val="clear"/>
          </w:tcPr>
          <w:p>
            <w:r>
              <w:rPr>
                <w:rFonts w:ascii="Arial" w:hAnsi="Arial"/>
                <w:b/>
                <w:color w:val="FFFFFF"/>
                <w:sz w:val="18"/>
              </w:rPr>
              <w:t>Metric</w:t>
            </w:r>
          </w:p>
        </w:tc>
        <w:tc>
          <w:tcPr>
            <w:tcW w:type="dxa" w:w="1505"/>
            <w:shd w:fill="1B3A6B" w:val="clear"/>
          </w:tcPr>
          <w:p>
            <w:r>
              <w:rPr>
                <w:rFonts w:ascii="Arial" w:hAnsi="Arial"/>
                <w:b/>
                <w:color w:val="FFFFFF"/>
                <w:sz w:val="18"/>
              </w:rPr>
              <w:t>2024 Baseline</w:t>
            </w:r>
          </w:p>
        </w:tc>
        <w:tc>
          <w:tcPr>
            <w:tcW w:type="dxa" w:w="1505"/>
            <w:shd w:fill="1B3A6B" w:val="clear"/>
          </w:tcPr>
          <w:p>
            <w:r>
              <w:rPr>
                <w:rFonts w:ascii="Arial" w:hAnsi="Arial"/>
                <w:b/>
                <w:color w:val="FFFFFF"/>
                <w:sz w:val="18"/>
              </w:rPr>
              <w:t>2030 Target</w:t>
            </w:r>
          </w:p>
        </w:tc>
        <w:tc>
          <w:tcPr>
            <w:tcW w:type="dxa" w:w="1505"/>
            <w:shd w:fill="1B3A6B" w:val="clear"/>
          </w:tcPr>
          <w:p>
            <w:r>
              <w:rPr>
                <w:rFonts w:ascii="Arial" w:hAnsi="Arial"/>
                <w:b/>
                <w:color w:val="FFFFFF"/>
                <w:sz w:val="18"/>
              </w:rPr>
              <w:t>Reduction %</w:t>
            </w:r>
          </w:p>
        </w:tc>
        <w:tc>
          <w:tcPr>
            <w:tcW w:type="dxa" w:w="1505"/>
            <w:shd w:fill="1B3A6B" w:val="clear"/>
          </w:tcPr>
          <w:p>
            <w:r>
              <w:rPr>
                <w:rFonts w:ascii="Arial" w:hAnsi="Arial"/>
                <w:b/>
                <w:color w:val="FFFFFF"/>
                <w:sz w:val="18"/>
              </w:rPr>
              <w:t>Alignment</w:t>
            </w:r>
          </w:p>
        </w:tc>
      </w:tr>
      <w:tr>
        <w:tc>
          <w:tcPr>
            <w:tcW w:type="dxa" w:w="1505"/>
          </w:tcPr>
          <w:p>
            <w:r>
              <w:rPr>
                <w:rFonts w:ascii="Arial" w:hAnsi="Arial"/>
                <w:sz w:val="18"/>
              </w:rPr>
              <w:t>Scope 1 (Operational)</w:t>
            </w:r>
          </w:p>
        </w:tc>
        <w:tc>
          <w:tcPr>
            <w:tcW w:type="dxa" w:w="1505"/>
          </w:tcPr>
          <w:p>
            <w:r>
              <w:rPr>
                <w:rFonts w:ascii="Arial" w:hAnsi="Arial"/>
                <w:sz w:val="18"/>
              </w:rPr>
              <w:t>Absolute tCO2e</w:t>
            </w:r>
          </w:p>
        </w:tc>
        <w:tc>
          <w:tcPr>
            <w:tcW w:type="dxa" w:w="1505"/>
          </w:tcPr>
          <w:p>
            <w:pPr>
              <w:jc w:val="right"/>
            </w:pPr>
            <w:r>
              <w:rPr>
                <w:rFonts w:ascii="Arial" w:hAnsi="Arial"/>
                <w:sz w:val="18"/>
              </w:rPr>
              <w:t>3,402.997</w:t>
            </w:r>
          </w:p>
        </w:tc>
        <w:tc>
          <w:tcPr>
            <w:tcW w:type="dxa" w:w="1505"/>
          </w:tcPr>
          <w:p>
            <w:pPr>
              <w:jc w:val="right"/>
            </w:pPr>
            <w:r>
              <w:rPr>
                <w:rFonts w:ascii="Arial" w:hAnsi="Arial"/>
                <w:sz w:val="18"/>
              </w:rPr>
              <w:t>2,382.10</w:t>
            </w:r>
          </w:p>
        </w:tc>
        <w:tc>
          <w:tcPr>
            <w:tcW w:type="dxa" w:w="1505"/>
          </w:tcPr>
          <w:p>
            <w:pPr>
              <w:jc w:val="right"/>
            </w:pPr>
            <w:r>
              <w:rPr>
                <w:rFonts w:ascii="Arial" w:hAnsi="Arial"/>
                <w:sz w:val="18"/>
              </w:rPr>
              <w:t>30%</w:t>
            </w:r>
          </w:p>
        </w:tc>
        <w:tc>
          <w:tcPr>
            <w:tcW w:type="dxa" w:w="1505"/>
          </w:tcPr>
          <w:p>
            <w:r>
              <w:rPr>
                <w:rFonts w:ascii="Arial" w:hAnsi="Arial"/>
                <w:sz w:val="18"/>
              </w:rPr>
              <w:t>SBTi 1.5°C pathway</w:t>
            </w:r>
          </w:p>
        </w:tc>
      </w:tr>
      <w:tr>
        <w:tc>
          <w:tcPr>
            <w:tcW w:type="dxa" w:w="1505"/>
            <w:shd w:fill="F2F6FC" w:val="clear"/>
          </w:tcPr>
          <w:p>
            <w:r>
              <w:rPr>
                <w:rFonts w:ascii="Arial" w:hAnsi="Arial"/>
                <w:sz w:val="18"/>
              </w:rPr>
              <w:t>Scope 2 (Operational)</w:t>
            </w:r>
          </w:p>
        </w:tc>
        <w:tc>
          <w:tcPr>
            <w:tcW w:type="dxa" w:w="1505"/>
            <w:shd w:fill="F2F6FC" w:val="clear"/>
          </w:tcPr>
          <w:p>
            <w:r>
              <w:rPr>
                <w:rFonts w:ascii="Arial" w:hAnsi="Arial"/>
                <w:sz w:val="18"/>
              </w:rPr>
              <w:t>Absolute tCO2e</w:t>
            </w:r>
          </w:p>
        </w:tc>
        <w:tc>
          <w:tcPr>
            <w:tcW w:type="dxa" w:w="1505"/>
            <w:shd w:fill="F2F6FC" w:val="clear"/>
          </w:tcPr>
          <w:p>
            <w:pPr>
              <w:jc w:val="right"/>
            </w:pPr>
            <w:r>
              <w:rPr>
                <w:rFonts w:ascii="Arial" w:hAnsi="Arial"/>
                <w:sz w:val="18"/>
              </w:rPr>
              <w:t>44,613.876</w:t>
            </w:r>
          </w:p>
        </w:tc>
        <w:tc>
          <w:tcPr>
            <w:tcW w:type="dxa" w:w="1505"/>
            <w:shd w:fill="F2F6FC" w:val="clear"/>
          </w:tcPr>
          <w:p>
            <w:pPr>
              <w:jc w:val="right"/>
            </w:pPr>
            <w:r>
              <w:rPr>
                <w:rFonts w:ascii="Arial" w:hAnsi="Arial"/>
                <w:sz w:val="18"/>
              </w:rPr>
              <w:t>31,229.71</w:t>
            </w:r>
          </w:p>
        </w:tc>
        <w:tc>
          <w:tcPr>
            <w:tcW w:type="dxa" w:w="1505"/>
            <w:shd w:fill="F2F6FC" w:val="clear"/>
          </w:tcPr>
          <w:p>
            <w:pPr>
              <w:jc w:val="right"/>
            </w:pPr>
            <w:r>
              <w:rPr>
                <w:rFonts w:ascii="Arial" w:hAnsi="Arial"/>
                <w:sz w:val="18"/>
              </w:rPr>
              <w:t>30%</w:t>
            </w:r>
          </w:p>
        </w:tc>
        <w:tc>
          <w:tcPr>
            <w:tcW w:type="dxa" w:w="1505"/>
            <w:shd w:fill="F2F6FC" w:val="clear"/>
          </w:tcPr>
          <w:p>
            <w:r>
              <w:rPr>
                <w:rFonts w:ascii="Arial" w:hAnsi="Arial"/>
                <w:sz w:val="18"/>
              </w:rPr>
              <w:t>SBTi 1.5°C pathway</w:t>
            </w:r>
          </w:p>
        </w:tc>
      </w:tr>
      <w:tr>
        <w:tc>
          <w:tcPr>
            <w:tcW w:type="dxa" w:w="1505"/>
          </w:tcPr>
          <w:p>
            <w:r>
              <w:rPr>
                <w:rFonts w:ascii="Arial" w:hAnsi="Arial"/>
                <w:sz w:val="18"/>
              </w:rPr>
              <w:t>Scope 1+2 Combined</w:t>
            </w:r>
          </w:p>
        </w:tc>
        <w:tc>
          <w:tcPr>
            <w:tcW w:type="dxa" w:w="1505"/>
          </w:tcPr>
          <w:p>
            <w:r>
              <w:rPr>
                <w:rFonts w:ascii="Arial" w:hAnsi="Arial"/>
                <w:sz w:val="18"/>
              </w:rPr>
              <w:t>Absolute tCO2e</w:t>
            </w:r>
          </w:p>
        </w:tc>
        <w:tc>
          <w:tcPr>
            <w:tcW w:type="dxa" w:w="1505"/>
          </w:tcPr>
          <w:p>
            <w:pPr>
              <w:jc w:val="right"/>
            </w:pPr>
            <w:r>
              <w:rPr>
                <w:rFonts w:ascii="Arial" w:hAnsi="Arial"/>
                <w:sz w:val="18"/>
              </w:rPr>
              <w:t>48,016.873</w:t>
            </w:r>
          </w:p>
        </w:tc>
        <w:tc>
          <w:tcPr>
            <w:tcW w:type="dxa" w:w="1505"/>
          </w:tcPr>
          <w:p>
            <w:pPr>
              <w:jc w:val="right"/>
            </w:pPr>
            <w:r>
              <w:rPr>
                <w:rFonts w:ascii="Arial" w:hAnsi="Arial"/>
                <w:sz w:val="18"/>
              </w:rPr>
              <w:t>33,611.81</w:t>
            </w:r>
          </w:p>
        </w:tc>
        <w:tc>
          <w:tcPr>
            <w:tcW w:type="dxa" w:w="1505"/>
          </w:tcPr>
          <w:p>
            <w:pPr>
              <w:jc w:val="right"/>
            </w:pPr>
            <w:r>
              <w:rPr>
                <w:rFonts w:ascii="Arial" w:hAnsi="Arial"/>
                <w:sz w:val="18"/>
              </w:rPr>
              <w:t>30%</w:t>
            </w:r>
          </w:p>
        </w:tc>
        <w:tc>
          <w:tcPr>
            <w:tcW w:type="dxa" w:w="1505"/>
          </w:tcPr>
          <w:p>
            <w:r>
              <w:rPr>
                <w:rFonts w:ascii="Arial" w:hAnsi="Arial"/>
                <w:sz w:val="18"/>
              </w:rPr>
              <w:t>SBTi 1.5°C pathway</w:t>
            </w:r>
          </w:p>
        </w:tc>
      </w:tr>
      <w:tr>
        <w:tc>
          <w:tcPr>
            <w:tcW w:type="dxa" w:w="1505"/>
            <w:shd w:fill="F2F6FC" w:val="clear"/>
          </w:tcPr>
          <w:p>
            <w:r>
              <w:rPr>
                <w:rFonts w:ascii="Arial" w:hAnsi="Arial"/>
                <w:sz w:val="18"/>
              </w:rPr>
              <w:t>Scope 3 Cat.15 (Financed)</w:t>
            </w:r>
          </w:p>
        </w:tc>
        <w:tc>
          <w:tcPr>
            <w:tcW w:type="dxa" w:w="1505"/>
            <w:shd w:fill="F2F6FC" w:val="clear"/>
          </w:tcPr>
          <w:p>
            <w:r>
              <w:rPr>
                <w:rFonts w:ascii="Arial" w:hAnsi="Arial"/>
                <w:sz w:val="18"/>
              </w:rPr>
              <w:t>Portfolio Temp. Alignment</w:t>
            </w:r>
          </w:p>
        </w:tc>
        <w:tc>
          <w:tcPr>
            <w:tcW w:type="dxa" w:w="1505"/>
            <w:shd w:fill="F2F6FC" w:val="clear"/>
          </w:tcPr>
          <w:p>
            <w:r>
              <w:rPr>
                <w:rFonts w:ascii="Arial" w:hAnsi="Arial"/>
                <w:sz w:val="18"/>
              </w:rPr>
              <w:t>Not calculated</w:t>
            </w:r>
          </w:p>
        </w:tc>
        <w:tc>
          <w:tcPr>
            <w:tcW w:type="dxa" w:w="1505"/>
            <w:shd w:fill="F2F6FC" w:val="clear"/>
          </w:tcPr>
          <w:p>
            <w:r>
              <w:rPr>
                <w:rFonts w:ascii="Arial" w:hAnsi="Arial"/>
                <w:sz w:val="18"/>
              </w:rPr>
              <w:t>&lt;2.0°C</w:t>
            </w:r>
          </w:p>
        </w:tc>
        <w:tc>
          <w:tcPr>
            <w:tcW w:type="dxa" w:w="1505"/>
            <w:shd w:fill="F2F6FC" w:val="clear"/>
          </w:tcPr>
          <w:p>
            <w:r>
              <w:rPr>
                <w:rFonts w:ascii="Arial" w:hAnsi="Arial"/>
                <w:sz w:val="18"/>
              </w:rPr>
              <w:t>N/A</w:t>
            </w:r>
          </w:p>
        </w:tc>
        <w:tc>
          <w:tcPr>
            <w:tcW w:type="dxa" w:w="1505"/>
            <w:shd w:fill="F2F6FC" w:val="clear"/>
          </w:tcPr>
          <w:p>
            <w:r>
              <w:rPr>
                <w:rFonts w:ascii="Arial" w:hAnsi="Arial"/>
                <w:sz w:val="18"/>
              </w:rPr>
              <w:t>SBTi Financial Sector</w:t>
            </w:r>
          </w:p>
        </w:tc>
      </w:tr>
      <w:tr>
        <w:tc>
          <w:tcPr>
            <w:tcW w:type="dxa" w:w="1505"/>
          </w:tcPr>
          <w:p>
            <w:r>
              <w:rPr>
                <w:rFonts w:ascii="Arial" w:hAnsi="Arial"/>
                <w:sz w:val="18"/>
              </w:rPr>
              <w:t>Renewable Energy</w:t>
            </w:r>
          </w:p>
        </w:tc>
        <w:tc>
          <w:tcPr>
            <w:tcW w:type="dxa" w:w="1505"/>
          </w:tcPr>
          <w:p>
            <w:r>
              <w:rPr>
                <w:rFonts w:ascii="Arial" w:hAnsi="Arial"/>
                <w:sz w:val="18"/>
              </w:rPr>
              <w:t>% of total electricity</w:t>
            </w:r>
          </w:p>
        </w:tc>
        <w:tc>
          <w:tcPr>
            <w:tcW w:type="dxa" w:w="1505"/>
          </w:tcPr>
          <w:p>
            <w:r>
              <w:rPr>
                <w:rFonts w:ascii="Arial" w:hAnsi="Arial"/>
                <w:sz w:val="18"/>
              </w:rPr>
              <w:t>~0% (grid-based)</w:t>
            </w:r>
          </w:p>
        </w:tc>
        <w:tc>
          <w:tcPr>
            <w:tcW w:type="dxa" w:w="1505"/>
          </w:tcPr>
          <w:p>
            <w:pPr>
              <w:jc w:val="right"/>
            </w:pPr>
            <w:r>
              <w:rPr>
                <w:rFonts w:ascii="Arial" w:hAnsi="Arial"/>
                <w:sz w:val="18"/>
              </w:rPr>
              <w:t>50%</w:t>
            </w:r>
          </w:p>
        </w:tc>
        <w:tc>
          <w:tcPr>
            <w:tcW w:type="dxa" w:w="1505"/>
          </w:tcPr>
          <w:p>
            <w:r>
              <w:rPr>
                <w:rFonts w:ascii="Arial" w:hAnsi="Arial"/>
                <w:sz w:val="18"/>
              </w:rPr>
              <w:t>N/A</w:t>
            </w:r>
          </w:p>
        </w:tc>
        <w:tc>
          <w:tcPr>
            <w:tcW w:type="dxa" w:w="1505"/>
          </w:tcPr>
          <w:p>
            <w:r>
              <w:rPr>
                <w:rFonts w:ascii="Arial" w:hAnsi="Arial"/>
                <w:sz w:val="18"/>
              </w:rPr>
              <w:t>RE100 trajectory</w:t>
            </w:r>
          </w:p>
        </w:tc>
      </w:tr>
      <w:tr>
        <w:tc>
          <w:tcPr>
            <w:tcW w:type="dxa" w:w="1505"/>
            <w:shd w:fill="F2F6FC" w:val="clear"/>
          </w:tcPr>
          <w:p>
            <w:r>
              <w:rPr>
                <w:rFonts w:ascii="Arial" w:hAnsi="Arial"/>
                <w:sz w:val="18"/>
              </w:rPr>
              <w:t>Net Zero (Scope 1+2)</w:t>
            </w:r>
          </w:p>
        </w:tc>
        <w:tc>
          <w:tcPr>
            <w:tcW w:type="dxa" w:w="1505"/>
            <w:shd w:fill="F2F6FC" w:val="clear"/>
          </w:tcPr>
          <w:p>
            <w:r>
              <w:rPr>
                <w:rFonts w:ascii="Arial" w:hAnsi="Arial"/>
                <w:sz w:val="18"/>
              </w:rPr>
              <w:t>Year commitment</w:t>
            </w:r>
          </w:p>
        </w:tc>
        <w:tc>
          <w:tcPr>
            <w:tcW w:type="dxa" w:w="1505"/>
            <w:shd w:fill="F2F6FC" w:val="clear"/>
          </w:tcPr>
          <w:p>
            <w:r>
              <w:rPr>
                <w:rFonts w:ascii="Arial" w:hAnsi="Arial"/>
                <w:sz w:val="18"/>
              </w:rPr>
              <w:t>N/A</w:t>
            </w:r>
          </w:p>
        </w:tc>
        <w:tc>
          <w:tcPr>
            <w:tcW w:type="dxa" w:w="1505"/>
            <w:shd w:fill="F2F6FC" w:val="clear"/>
          </w:tcPr>
          <w:p>
            <w:pPr>
              <w:jc w:val="right"/>
            </w:pPr>
            <w:r>
              <w:rPr>
                <w:rFonts w:ascii="Arial" w:hAnsi="Arial"/>
                <w:sz w:val="18"/>
              </w:rPr>
              <w:t>2040</w:t>
            </w:r>
          </w:p>
        </w:tc>
        <w:tc>
          <w:tcPr>
            <w:tcW w:type="dxa" w:w="1505"/>
            <w:shd w:fill="F2F6FC" w:val="clear"/>
          </w:tcPr>
          <w:p>
            <w:pPr>
              <w:jc w:val="right"/>
            </w:pPr>
            <w:r>
              <w:rPr>
                <w:rFonts w:ascii="Arial" w:hAnsi="Arial"/>
                <w:sz w:val="18"/>
              </w:rPr>
              <w:t>100%</w:t>
            </w:r>
          </w:p>
        </w:tc>
        <w:tc>
          <w:tcPr>
            <w:tcW w:type="dxa" w:w="1505"/>
            <w:shd w:fill="F2F6FC" w:val="clear"/>
          </w:tcPr>
          <w:p>
            <w:r>
              <w:rPr>
                <w:rFonts w:ascii="Arial" w:hAnsi="Arial"/>
                <w:sz w:val="18"/>
              </w:rPr>
              <w:t>Paris Agreement 1.5°C</w:t>
            </w:r>
          </w:p>
        </w:tc>
      </w:tr>
      <w:tr>
        <w:tc>
          <w:tcPr>
            <w:tcW w:type="dxa" w:w="1505"/>
          </w:tcPr>
          <w:p>
            <w:r>
              <w:rPr>
                <w:rFonts w:ascii="Arial" w:hAnsi="Arial"/>
                <w:sz w:val="18"/>
              </w:rPr>
              <w:t>Net Zero (Scope 3 Cat.15)</w:t>
            </w:r>
          </w:p>
        </w:tc>
        <w:tc>
          <w:tcPr>
            <w:tcW w:type="dxa" w:w="1505"/>
          </w:tcPr>
          <w:p>
            <w:r>
              <w:rPr>
                <w:rFonts w:ascii="Arial" w:hAnsi="Arial"/>
                <w:sz w:val="18"/>
              </w:rPr>
              <w:t>Year commitment</w:t>
            </w:r>
          </w:p>
        </w:tc>
        <w:tc>
          <w:tcPr>
            <w:tcW w:type="dxa" w:w="1505"/>
          </w:tcPr>
          <w:p>
            <w:r>
              <w:rPr>
                <w:rFonts w:ascii="Arial" w:hAnsi="Arial"/>
                <w:sz w:val="18"/>
              </w:rPr>
              <w:t>N/A</w:t>
            </w:r>
          </w:p>
        </w:tc>
        <w:tc>
          <w:tcPr>
            <w:tcW w:type="dxa" w:w="1505"/>
          </w:tcPr>
          <w:p>
            <w:pPr>
              <w:jc w:val="right"/>
            </w:pPr>
            <w:r>
              <w:rPr>
                <w:rFonts w:ascii="Arial" w:hAnsi="Arial"/>
                <w:sz w:val="18"/>
              </w:rPr>
              <w:t>2050</w:t>
            </w:r>
          </w:p>
        </w:tc>
        <w:tc>
          <w:tcPr>
            <w:tcW w:type="dxa" w:w="1505"/>
          </w:tcPr>
          <w:p>
            <w:pPr>
              <w:jc w:val="right"/>
            </w:pPr>
            <w:r>
              <w:rPr>
                <w:rFonts w:ascii="Arial" w:hAnsi="Arial"/>
                <w:sz w:val="18"/>
              </w:rPr>
              <w:t>100%</w:t>
            </w:r>
          </w:p>
        </w:tc>
        <w:tc>
          <w:tcPr>
            <w:tcW w:type="dxa" w:w="1505"/>
          </w:tcPr>
          <w:p>
            <w:r>
              <w:rPr>
                <w:rFonts w:ascii="Arial" w:hAnsi="Arial"/>
                <w:sz w:val="18"/>
              </w:rPr>
              <w:t>Paris Agreement 1.5°C</w:t>
            </w:r>
          </w:p>
        </w:tc>
      </w:tr>
    </w:tbl>
    <w:p>
      <w:r>
        <w:rPr>
          <w:rFonts w:ascii="Arial" w:hAnsi="Arial"/>
          <w:i/>
          <w:sz w:val="16"/>
        </w:rPr>
        <w:t>Source: Recommended targets based on peer benchmarks (BRI, DBS, BCA) and SBTi Financial Sector guidance. 2024 baseline from institution's reported emissions data.</w:t>
      </w:r>
    </w:p>
    <w:p/>
    <w:p>
      <w:r>
        <w:rPr>
          <w:rFonts w:ascii="Arial" w:hAnsi="Arial"/>
          <w:b/>
          <w:sz w:val="20"/>
        </w:rPr>
        <w:t>Table 2: Interim Milestones — Recommended Trajectory (Scope 1+2)</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Milestone Year</w:t>
            </w:r>
          </w:p>
        </w:tc>
        <w:tc>
          <w:tcPr>
            <w:tcW w:type="dxa" w:w="1806"/>
            <w:shd w:fill="1B3A6B" w:val="clear"/>
          </w:tcPr>
          <w:p>
            <w:r>
              <w:rPr>
                <w:rFonts w:ascii="Arial" w:hAnsi="Arial"/>
                <w:b/>
                <w:color w:val="FFFFFF"/>
                <w:sz w:val="18"/>
              </w:rPr>
              <w:t>Target tCO2e</w:t>
            </w:r>
          </w:p>
        </w:tc>
        <w:tc>
          <w:tcPr>
            <w:tcW w:type="dxa" w:w="1806"/>
            <w:shd w:fill="1B3A6B" w:val="clear"/>
          </w:tcPr>
          <w:p>
            <w:r>
              <w:rPr>
                <w:rFonts w:ascii="Arial" w:hAnsi="Arial"/>
                <w:b/>
                <w:color w:val="FFFFFF"/>
                <w:sz w:val="18"/>
              </w:rPr>
              <w:t>Reduction vs. 2024</w:t>
            </w:r>
          </w:p>
        </w:tc>
        <w:tc>
          <w:tcPr>
            <w:tcW w:type="dxa" w:w="1806"/>
            <w:shd w:fill="1B3A6B" w:val="clear"/>
          </w:tcPr>
          <w:p>
            <w:r>
              <w:rPr>
                <w:rFonts w:ascii="Arial" w:hAnsi="Arial"/>
                <w:b/>
                <w:color w:val="FFFFFF"/>
                <w:sz w:val="18"/>
              </w:rPr>
              <w:t>Cumulative Reduction %</w:t>
            </w:r>
          </w:p>
        </w:tc>
        <w:tc>
          <w:tcPr>
            <w:tcW w:type="dxa" w:w="1806"/>
            <w:shd w:fill="1B3A6B" w:val="clear"/>
          </w:tcPr>
          <w:p>
            <w:r>
              <w:rPr>
                <w:rFonts w:ascii="Arial" w:hAnsi="Arial"/>
                <w:b/>
                <w:color w:val="FFFFFF"/>
                <w:sz w:val="18"/>
              </w:rPr>
              <w:t>Key Initiatives</w:t>
            </w:r>
          </w:p>
        </w:tc>
      </w:tr>
      <w:tr>
        <w:tc>
          <w:tcPr>
            <w:tcW w:type="dxa" w:w="1806"/>
          </w:tcPr>
          <w:p>
            <w:pPr>
              <w:jc w:val="right"/>
            </w:pPr>
            <w:r>
              <w:rPr>
                <w:rFonts w:ascii="Arial" w:hAnsi="Arial"/>
                <w:sz w:val="18"/>
              </w:rPr>
              <w:t>2025</w:t>
            </w:r>
          </w:p>
        </w:tc>
        <w:tc>
          <w:tcPr>
            <w:tcW w:type="dxa" w:w="1806"/>
          </w:tcPr>
          <w:p>
            <w:pPr>
              <w:jc w:val="right"/>
            </w:pPr>
            <w:r>
              <w:rPr>
                <w:rFonts w:ascii="Arial" w:hAnsi="Arial"/>
                <w:sz w:val="18"/>
              </w:rPr>
              <w:t>46,416.03</w:t>
            </w:r>
          </w:p>
        </w:tc>
        <w:tc>
          <w:tcPr>
            <w:tcW w:type="dxa" w:w="1806"/>
          </w:tcPr>
          <w:p>
            <w:r>
              <w:rPr>
                <w:rFonts w:ascii="Arial" w:hAnsi="Arial"/>
                <w:sz w:val="18"/>
              </w:rPr>
              <w:t>1,600.84 tCO2e</w:t>
            </w:r>
          </w:p>
        </w:tc>
        <w:tc>
          <w:tcPr>
            <w:tcW w:type="dxa" w:w="1806"/>
          </w:tcPr>
          <w:p>
            <w:pPr>
              <w:jc w:val="right"/>
            </w:pPr>
            <w:r>
              <w:rPr>
                <w:rFonts w:ascii="Arial" w:hAnsi="Arial"/>
                <w:sz w:val="18"/>
              </w:rPr>
              <w:t>3.3%</w:t>
            </w:r>
          </w:p>
        </w:tc>
        <w:tc>
          <w:tcPr>
            <w:tcW w:type="dxa" w:w="1806"/>
          </w:tcPr>
          <w:p>
            <w:r>
              <w:rPr>
                <w:rFonts w:ascii="Arial" w:hAnsi="Arial"/>
                <w:sz w:val="18"/>
              </w:rPr>
              <w:t>LED retrofit 50% branches; biodiesel pilot 5 facilities</w:t>
            </w:r>
          </w:p>
        </w:tc>
      </w:tr>
      <w:tr>
        <w:tc>
          <w:tcPr>
            <w:tcW w:type="dxa" w:w="1806"/>
            <w:shd w:fill="F2F6FC" w:val="clear"/>
          </w:tcPr>
          <w:p>
            <w:pPr>
              <w:jc w:val="right"/>
            </w:pPr>
            <w:r>
              <w:rPr>
                <w:rFonts w:ascii="Arial" w:hAnsi="Arial"/>
                <w:sz w:val="18"/>
              </w:rPr>
              <w:t>2027</w:t>
            </w:r>
          </w:p>
        </w:tc>
        <w:tc>
          <w:tcPr>
            <w:tcW w:type="dxa" w:w="1806"/>
            <w:shd w:fill="F2F6FC" w:val="clear"/>
          </w:tcPr>
          <w:p>
            <w:pPr>
              <w:jc w:val="right"/>
            </w:pPr>
            <w:r>
              <w:rPr>
                <w:rFonts w:ascii="Arial" w:hAnsi="Arial"/>
                <w:sz w:val="18"/>
              </w:rPr>
              <w:t>42,014.81</w:t>
            </w:r>
          </w:p>
        </w:tc>
        <w:tc>
          <w:tcPr>
            <w:tcW w:type="dxa" w:w="1806"/>
            <w:shd w:fill="F2F6FC" w:val="clear"/>
          </w:tcPr>
          <w:p>
            <w:r>
              <w:rPr>
                <w:rFonts w:ascii="Arial" w:hAnsi="Arial"/>
                <w:sz w:val="18"/>
              </w:rPr>
              <w:t>6,002.06 tCO2e</w:t>
            </w:r>
          </w:p>
        </w:tc>
        <w:tc>
          <w:tcPr>
            <w:tcW w:type="dxa" w:w="1806"/>
            <w:shd w:fill="F2F6FC" w:val="clear"/>
          </w:tcPr>
          <w:p>
            <w:pPr>
              <w:jc w:val="right"/>
            </w:pPr>
            <w:r>
              <w:rPr>
                <w:rFonts w:ascii="Arial" w:hAnsi="Arial"/>
                <w:sz w:val="18"/>
              </w:rPr>
              <w:t>12.5%</w:t>
            </w:r>
          </w:p>
        </w:tc>
        <w:tc>
          <w:tcPr>
            <w:tcW w:type="dxa" w:w="1806"/>
            <w:shd w:fill="F2F6FC" w:val="clear"/>
          </w:tcPr>
          <w:p>
            <w:r>
              <w:rPr>
                <w:rFonts w:ascii="Arial" w:hAnsi="Arial"/>
                <w:sz w:val="18"/>
              </w:rPr>
              <w:t>25% renewable electricity via PPAs; EV fleet 20%</w:t>
            </w:r>
          </w:p>
        </w:tc>
      </w:tr>
      <w:tr>
        <w:tc>
          <w:tcPr>
            <w:tcW w:type="dxa" w:w="1806"/>
          </w:tcPr>
          <w:p>
            <w:pPr>
              <w:jc w:val="right"/>
            </w:pPr>
            <w:r>
              <w:rPr>
                <w:rFonts w:ascii="Arial" w:hAnsi="Arial"/>
                <w:sz w:val="18"/>
              </w:rPr>
              <w:t>2030</w:t>
            </w:r>
          </w:p>
        </w:tc>
        <w:tc>
          <w:tcPr>
            <w:tcW w:type="dxa" w:w="1806"/>
          </w:tcPr>
          <w:p>
            <w:pPr>
              <w:jc w:val="right"/>
            </w:pPr>
            <w:r>
              <w:rPr>
                <w:rFonts w:ascii="Arial" w:hAnsi="Arial"/>
                <w:sz w:val="18"/>
              </w:rPr>
              <w:t>33,611.81</w:t>
            </w:r>
          </w:p>
        </w:tc>
        <w:tc>
          <w:tcPr>
            <w:tcW w:type="dxa" w:w="1806"/>
          </w:tcPr>
          <w:p>
            <w:r>
              <w:rPr>
                <w:rFonts w:ascii="Arial" w:hAnsi="Arial"/>
                <w:sz w:val="18"/>
              </w:rPr>
              <w:t>14,405.06 tCO2e</w:t>
            </w:r>
          </w:p>
        </w:tc>
        <w:tc>
          <w:tcPr>
            <w:tcW w:type="dxa" w:w="1806"/>
          </w:tcPr>
          <w:p>
            <w:pPr>
              <w:jc w:val="right"/>
            </w:pPr>
            <w:r>
              <w:rPr>
                <w:rFonts w:ascii="Arial" w:hAnsi="Arial"/>
                <w:sz w:val="18"/>
              </w:rPr>
              <w:t>30.0%</w:t>
            </w:r>
          </w:p>
        </w:tc>
        <w:tc>
          <w:tcPr>
            <w:tcW w:type="dxa" w:w="1806"/>
          </w:tcPr>
          <w:p>
            <w:r>
              <w:rPr>
                <w:rFonts w:ascii="Arial" w:hAnsi="Arial"/>
                <w:sz w:val="18"/>
              </w:rPr>
              <w:t>50% renewable electricity; EV fleet 50%; solar at 150 branches</w:t>
            </w:r>
          </w:p>
        </w:tc>
      </w:tr>
      <w:tr>
        <w:tc>
          <w:tcPr>
            <w:tcW w:type="dxa" w:w="1806"/>
            <w:shd w:fill="F2F6FC" w:val="clear"/>
          </w:tcPr>
          <w:p>
            <w:pPr>
              <w:jc w:val="right"/>
            </w:pPr>
            <w:r>
              <w:rPr>
                <w:rFonts w:ascii="Arial" w:hAnsi="Arial"/>
                <w:sz w:val="18"/>
              </w:rPr>
              <w:t>2035</w:t>
            </w:r>
          </w:p>
        </w:tc>
        <w:tc>
          <w:tcPr>
            <w:tcW w:type="dxa" w:w="1806"/>
            <w:shd w:fill="F2F6FC" w:val="clear"/>
          </w:tcPr>
          <w:p>
            <w:pPr>
              <w:jc w:val="right"/>
            </w:pPr>
            <w:r>
              <w:rPr>
                <w:rFonts w:ascii="Arial" w:hAnsi="Arial"/>
                <w:sz w:val="18"/>
              </w:rPr>
              <w:t>24,008.44</w:t>
            </w:r>
          </w:p>
        </w:tc>
        <w:tc>
          <w:tcPr>
            <w:tcW w:type="dxa" w:w="1806"/>
            <w:shd w:fill="F2F6FC" w:val="clear"/>
          </w:tcPr>
          <w:p>
            <w:r>
              <w:rPr>
                <w:rFonts w:ascii="Arial" w:hAnsi="Arial"/>
                <w:sz w:val="18"/>
              </w:rPr>
              <w:t>24,008.43 tCO2e</w:t>
            </w:r>
          </w:p>
        </w:tc>
        <w:tc>
          <w:tcPr>
            <w:tcW w:type="dxa" w:w="1806"/>
            <w:shd w:fill="F2F6FC" w:val="clear"/>
          </w:tcPr>
          <w:p>
            <w:pPr>
              <w:jc w:val="right"/>
            </w:pPr>
            <w:r>
              <w:rPr>
                <w:rFonts w:ascii="Arial" w:hAnsi="Arial"/>
                <w:sz w:val="18"/>
              </w:rPr>
              <w:t>50.0%</w:t>
            </w:r>
          </w:p>
        </w:tc>
        <w:tc>
          <w:tcPr>
            <w:tcW w:type="dxa" w:w="1806"/>
            <w:shd w:fill="F2F6FC" w:val="clear"/>
          </w:tcPr>
          <w:p>
            <w:r>
              <w:rPr>
                <w:rFonts w:ascii="Arial" w:hAnsi="Arial"/>
                <w:sz w:val="18"/>
              </w:rPr>
              <w:t>75% renewable electricity; 100% EV fleet; phase-out natural gas</w:t>
            </w:r>
          </w:p>
        </w:tc>
      </w:tr>
      <w:tr>
        <w:tc>
          <w:tcPr>
            <w:tcW w:type="dxa" w:w="1806"/>
          </w:tcPr>
          <w:p>
            <w:pPr>
              <w:jc w:val="right"/>
            </w:pPr>
            <w:r>
              <w:rPr>
                <w:rFonts w:ascii="Arial" w:hAnsi="Arial"/>
                <w:sz w:val="18"/>
              </w:rPr>
              <w:t>2040</w:t>
            </w:r>
          </w:p>
        </w:tc>
        <w:tc>
          <w:tcPr>
            <w:tcW w:type="dxa" w:w="1806"/>
          </w:tcPr>
          <w:p>
            <w:pPr>
              <w:jc w:val="right"/>
            </w:pPr>
            <w:r>
              <w:rPr>
                <w:rFonts w:ascii="Arial" w:hAnsi="Arial"/>
                <w:sz w:val="18"/>
              </w:rPr>
              <w:t>0.00</w:t>
            </w:r>
          </w:p>
        </w:tc>
        <w:tc>
          <w:tcPr>
            <w:tcW w:type="dxa" w:w="1806"/>
          </w:tcPr>
          <w:p>
            <w:r>
              <w:rPr>
                <w:rFonts w:ascii="Arial" w:hAnsi="Arial"/>
                <w:sz w:val="18"/>
              </w:rPr>
              <w:t>48,016.87 tCO2e</w:t>
            </w:r>
          </w:p>
        </w:tc>
        <w:tc>
          <w:tcPr>
            <w:tcW w:type="dxa" w:w="1806"/>
          </w:tcPr>
          <w:p>
            <w:pPr>
              <w:jc w:val="right"/>
            </w:pPr>
            <w:r>
              <w:rPr>
                <w:rFonts w:ascii="Arial" w:hAnsi="Arial"/>
                <w:sz w:val="18"/>
              </w:rPr>
              <w:t>100.0%</w:t>
            </w:r>
          </w:p>
        </w:tc>
        <w:tc>
          <w:tcPr>
            <w:tcW w:type="dxa" w:w="1806"/>
          </w:tcPr>
          <w:p>
            <w:r>
              <w:rPr>
                <w:rFonts w:ascii="Arial" w:hAnsi="Arial"/>
                <w:sz w:val="18"/>
              </w:rPr>
              <w:t>Net Zero (Scope 1+2) with residual offsets &lt;5%</w:t>
            </w:r>
          </w:p>
        </w:tc>
      </w:tr>
    </w:tbl>
    <w:p>
      <w:r>
        <w:rPr>
          <w:rFonts w:ascii="Arial" w:hAnsi="Arial"/>
          <w:i/>
          <w:sz w:val="16"/>
        </w:rPr>
        <w:t>Source: Interim milestones aligned with SBTi linear reduction pathway. Initiatives reference BRI and DBS best practices.</w:t>
      </w:r>
    </w:p>
    <w:p/>
    <w:p>
      <w:r>
        <w:rPr>
          <w:rFonts w:ascii="Arial" w:hAnsi="Arial"/>
          <w:b/>
          <w:sz w:val="20"/>
        </w:rPr>
        <w:t>Table 3: Sector-Specific Financed Emissions Reduction Targets (Scope 3 Category 15)</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Sector</w:t>
            </w:r>
          </w:p>
        </w:tc>
        <w:tc>
          <w:tcPr>
            <w:tcW w:type="dxa" w:w="1806"/>
            <w:shd w:fill="1B3A6B" w:val="clear"/>
          </w:tcPr>
          <w:p>
            <w:r>
              <w:rPr>
                <w:rFonts w:ascii="Arial" w:hAnsi="Arial"/>
                <w:b/>
                <w:color w:val="FFFFFF"/>
                <w:sz w:val="18"/>
              </w:rPr>
              <w:t>2024 Intensity (tCO2e/IDR bn)</w:t>
            </w:r>
          </w:p>
        </w:tc>
        <w:tc>
          <w:tcPr>
            <w:tcW w:type="dxa" w:w="1806"/>
            <w:shd w:fill="1B3A6B" w:val="clear"/>
          </w:tcPr>
          <w:p>
            <w:r>
              <w:rPr>
                <w:rFonts w:ascii="Arial" w:hAnsi="Arial"/>
                <w:b/>
                <w:color w:val="FFFFFF"/>
                <w:sz w:val="18"/>
              </w:rPr>
              <w:t>2030 Target Intensity</w:t>
            </w:r>
          </w:p>
        </w:tc>
        <w:tc>
          <w:tcPr>
            <w:tcW w:type="dxa" w:w="1806"/>
            <w:shd w:fill="1B3A6B" w:val="clear"/>
          </w:tcPr>
          <w:p>
            <w:r>
              <w:rPr>
                <w:rFonts w:ascii="Arial" w:hAnsi="Arial"/>
                <w:b/>
                <w:color w:val="FFFFFF"/>
                <w:sz w:val="18"/>
              </w:rPr>
              <w:t>Reduction %</w:t>
            </w:r>
          </w:p>
        </w:tc>
        <w:tc>
          <w:tcPr>
            <w:tcW w:type="dxa" w:w="1806"/>
            <w:shd w:fill="1B3A6B" w:val="clear"/>
          </w:tcPr>
          <w:p>
            <w:r>
              <w:rPr>
                <w:rFonts w:ascii="Arial" w:hAnsi="Arial"/>
                <w:b/>
                <w:color w:val="FFFFFF"/>
                <w:sz w:val="18"/>
              </w:rPr>
              <w:t>Key Levers</w:t>
            </w:r>
          </w:p>
        </w:tc>
      </w:tr>
      <w:tr>
        <w:tc>
          <w:tcPr>
            <w:tcW w:type="dxa" w:w="1806"/>
          </w:tcPr>
          <w:p>
            <w:r>
              <w:rPr>
                <w:rFonts w:ascii="Arial" w:hAnsi="Arial"/>
                <w:sz w:val="18"/>
              </w:rPr>
              <w:t>Energy - Oil &amp; Gas</w:t>
            </w:r>
          </w:p>
        </w:tc>
        <w:tc>
          <w:tcPr>
            <w:tcW w:type="dxa" w:w="1806"/>
          </w:tcPr>
          <w:p>
            <w:pPr>
              <w:jc w:val="right"/>
            </w:pPr>
            <w:r>
              <w:rPr>
                <w:rFonts w:ascii="Arial" w:hAnsi="Arial"/>
                <w:sz w:val="18"/>
              </w:rPr>
              <w:t>93.242</w:t>
            </w:r>
          </w:p>
        </w:tc>
        <w:tc>
          <w:tcPr>
            <w:tcW w:type="dxa" w:w="1806"/>
          </w:tcPr>
          <w:p>
            <w:pPr>
              <w:jc w:val="right"/>
            </w:pPr>
            <w:r>
              <w:rPr>
                <w:rFonts w:ascii="Arial" w:hAnsi="Arial"/>
                <w:sz w:val="18"/>
              </w:rPr>
              <w:t>65.27</w:t>
            </w:r>
          </w:p>
        </w:tc>
        <w:tc>
          <w:tcPr>
            <w:tcW w:type="dxa" w:w="1806"/>
          </w:tcPr>
          <w:p>
            <w:pPr>
              <w:jc w:val="right"/>
            </w:pPr>
            <w:r>
              <w:rPr>
                <w:rFonts w:ascii="Arial" w:hAnsi="Arial"/>
                <w:sz w:val="18"/>
              </w:rPr>
              <w:t>30%</w:t>
            </w:r>
          </w:p>
        </w:tc>
        <w:tc>
          <w:tcPr>
            <w:tcW w:type="dxa" w:w="1806"/>
          </w:tcPr>
          <w:p>
            <w:r>
              <w:rPr>
                <w:rFonts w:ascii="Arial" w:hAnsi="Arial"/>
                <w:sz w:val="18"/>
              </w:rPr>
              <w:t>Client engagement; phase-down coal exposure; green finance incentives</w:t>
            </w:r>
          </w:p>
        </w:tc>
      </w:tr>
      <w:tr>
        <w:tc>
          <w:tcPr>
            <w:tcW w:type="dxa" w:w="1806"/>
            <w:shd w:fill="F2F6FC" w:val="clear"/>
          </w:tcPr>
          <w:p>
            <w:r>
              <w:rPr>
                <w:rFonts w:ascii="Arial" w:hAnsi="Arial"/>
                <w:sz w:val="18"/>
              </w:rPr>
              <w:t>Manufacturing - Cement</w:t>
            </w:r>
          </w:p>
        </w:tc>
        <w:tc>
          <w:tcPr>
            <w:tcW w:type="dxa" w:w="1806"/>
            <w:shd w:fill="F2F6FC" w:val="clear"/>
          </w:tcPr>
          <w:p>
            <w:pPr>
              <w:jc w:val="right"/>
            </w:pPr>
            <w:r>
              <w:rPr>
                <w:rFonts w:ascii="Arial" w:hAnsi="Arial"/>
                <w:sz w:val="18"/>
              </w:rPr>
              <w:t>53.9927</w:t>
            </w:r>
          </w:p>
        </w:tc>
        <w:tc>
          <w:tcPr>
            <w:tcW w:type="dxa" w:w="1806"/>
            <w:shd w:fill="F2F6FC" w:val="clear"/>
          </w:tcPr>
          <w:p>
            <w:pPr>
              <w:jc w:val="right"/>
            </w:pPr>
            <w:r>
              <w:rPr>
                <w:rFonts w:ascii="Arial" w:hAnsi="Arial"/>
                <w:sz w:val="18"/>
              </w:rPr>
              <w:t>40.49</w:t>
            </w:r>
          </w:p>
        </w:tc>
        <w:tc>
          <w:tcPr>
            <w:tcW w:type="dxa" w:w="1806"/>
            <w:shd w:fill="F2F6FC" w:val="clear"/>
          </w:tcPr>
          <w:p>
            <w:pPr>
              <w:jc w:val="right"/>
            </w:pPr>
            <w:r>
              <w:rPr>
                <w:rFonts w:ascii="Arial" w:hAnsi="Arial"/>
                <w:sz w:val="18"/>
              </w:rPr>
              <w:t>25%</w:t>
            </w:r>
          </w:p>
        </w:tc>
        <w:tc>
          <w:tcPr>
            <w:tcW w:type="dxa" w:w="1806"/>
            <w:shd w:fill="F2F6FC" w:val="clear"/>
          </w:tcPr>
          <w:p>
            <w:r>
              <w:rPr>
                <w:rFonts w:ascii="Arial" w:hAnsi="Arial"/>
                <w:sz w:val="18"/>
              </w:rPr>
              <w:t>Require transition plans; support alternative fuels; carbon capture</w:t>
            </w:r>
          </w:p>
        </w:tc>
      </w:tr>
      <w:tr>
        <w:tc>
          <w:tcPr>
            <w:tcW w:type="dxa" w:w="1806"/>
          </w:tcPr>
          <w:p>
            <w:r>
              <w:rPr>
                <w:rFonts w:ascii="Arial" w:hAnsi="Arial"/>
                <w:sz w:val="18"/>
              </w:rPr>
              <w:t>Manufacturing - Steel</w:t>
            </w:r>
          </w:p>
        </w:tc>
        <w:tc>
          <w:tcPr>
            <w:tcW w:type="dxa" w:w="1806"/>
          </w:tcPr>
          <w:p>
            <w:pPr>
              <w:jc w:val="right"/>
            </w:pPr>
            <w:r>
              <w:rPr>
                <w:rFonts w:ascii="Arial" w:hAnsi="Arial"/>
                <w:sz w:val="18"/>
              </w:rPr>
              <w:t>32.2175</w:t>
            </w:r>
          </w:p>
        </w:tc>
        <w:tc>
          <w:tcPr>
            <w:tcW w:type="dxa" w:w="1806"/>
          </w:tcPr>
          <w:p>
            <w:pPr>
              <w:jc w:val="right"/>
            </w:pPr>
            <w:r>
              <w:rPr>
                <w:rFonts w:ascii="Arial" w:hAnsi="Arial"/>
                <w:sz w:val="18"/>
              </w:rPr>
              <w:t>25.77</w:t>
            </w:r>
          </w:p>
        </w:tc>
        <w:tc>
          <w:tcPr>
            <w:tcW w:type="dxa" w:w="1806"/>
          </w:tcPr>
          <w:p>
            <w:pPr>
              <w:jc w:val="right"/>
            </w:pPr>
            <w:r>
              <w:rPr>
                <w:rFonts w:ascii="Arial" w:hAnsi="Arial"/>
                <w:sz w:val="18"/>
              </w:rPr>
              <w:t>20%</w:t>
            </w:r>
          </w:p>
        </w:tc>
        <w:tc>
          <w:tcPr>
            <w:tcW w:type="dxa" w:w="1806"/>
          </w:tcPr>
          <w:p>
            <w:r>
              <w:rPr>
                <w:rFonts w:ascii="Arial" w:hAnsi="Arial"/>
                <w:sz w:val="18"/>
              </w:rPr>
              <w:t>Electric arc furnace financing; scrap-based production; hydrogen pilots</w:t>
            </w:r>
          </w:p>
        </w:tc>
      </w:tr>
      <w:tr>
        <w:tc>
          <w:tcPr>
            <w:tcW w:type="dxa" w:w="1806"/>
            <w:shd w:fill="F2F6FC" w:val="clear"/>
          </w:tcPr>
          <w:p>
            <w:r>
              <w:rPr>
                <w:rFonts w:ascii="Arial" w:hAnsi="Arial"/>
                <w:sz w:val="18"/>
              </w:rPr>
              <w:t>Transportation - Road</w:t>
            </w:r>
          </w:p>
        </w:tc>
        <w:tc>
          <w:tcPr>
            <w:tcW w:type="dxa" w:w="1806"/>
            <w:shd w:fill="F2F6FC" w:val="clear"/>
          </w:tcPr>
          <w:p>
            <w:pPr>
              <w:jc w:val="right"/>
            </w:pPr>
            <w:r>
              <w:rPr>
                <w:rFonts w:ascii="Arial" w:hAnsi="Arial"/>
                <w:sz w:val="18"/>
              </w:rPr>
              <w:t>7.8881</w:t>
            </w:r>
          </w:p>
        </w:tc>
        <w:tc>
          <w:tcPr>
            <w:tcW w:type="dxa" w:w="1806"/>
            <w:shd w:fill="F2F6FC" w:val="clear"/>
          </w:tcPr>
          <w:p>
            <w:pPr>
              <w:jc w:val="right"/>
            </w:pPr>
            <w:r>
              <w:rPr>
                <w:rFonts w:ascii="Arial" w:hAnsi="Arial"/>
                <w:sz w:val="18"/>
              </w:rPr>
              <w:t>5.52</w:t>
            </w:r>
          </w:p>
        </w:tc>
        <w:tc>
          <w:tcPr>
            <w:tcW w:type="dxa" w:w="1806"/>
            <w:shd w:fill="F2F6FC" w:val="clear"/>
          </w:tcPr>
          <w:p>
            <w:pPr>
              <w:jc w:val="right"/>
            </w:pPr>
            <w:r>
              <w:rPr>
                <w:rFonts w:ascii="Arial" w:hAnsi="Arial"/>
                <w:sz w:val="18"/>
              </w:rPr>
              <w:t>30%</w:t>
            </w:r>
          </w:p>
        </w:tc>
        <w:tc>
          <w:tcPr>
            <w:tcW w:type="dxa" w:w="1806"/>
            <w:shd w:fill="F2F6FC" w:val="clear"/>
          </w:tcPr>
          <w:p>
            <w:r>
              <w:rPr>
                <w:rFonts w:ascii="Arial" w:hAnsi="Arial"/>
                <w:sz w:val="18"/>
              </w:rPr>
              <w:t>EV fleet financing; public transport projects; logistics optimization</w:t>
            </w:r>
          </w:p>
        </w:tc>
      </w:tr>
      <w:tr>
        <w:tc>
          <w:tcPr>
            <w:tcW w:type="dxa" w:w="1806"/>
          </w:tcPr>
          <w:p>
            <w:r>
              <w:rPr>
                <w:rFonts w:ascii="Arial" w:hAnsi="Arial"/>
                <w:sz w:val="18"/>
              </w:rPr>
              <w:t>Manufacturing - Food &amp; Beverage</w:t>
            </w:r>
          </w:p>
        </w:tc>
        <w:tc>
          <w:tcPr>
            <w:tcW w:type="dxa" w:w="1806"/>
          </w:tcPr>
          <w:p>
            <w:pPr>
              <w:jc w:val="right"/>
            </w:pPr>
            <w:r>
              <w:rPr>
                <w:rFonts w:ascii="Arial" w:hAnsi="Arial"/>
                <w:sz w:val="18"/>
              </w:rPr>
              <w:t>5.5346</w:t>
            </w:r>
          </w:p>
        </w:tc>
        <w:tc>
          <w:tcPr>
            <w:tcW w:type="dxa" w:w="1806"/>
          </w:tcPr>
          <w:p>
            <w:pPr>
              <w:jc w:val="right"/>
            </w:pPr>
            <w:r>
              <w:rPr>
                <w:rFonts w:ascii="Arial" w:hAnsi="Arial"/>
                <w:sz w:val="18"/>
              </w:rPr>
              <w:t>4.43</w:t>
            </w:r>
          </w:p>
        </w:tc>
        <w:tc>
          <w:tcPr>
            <w:tcW w:type="dxa" w:w="1806"/>
          </w:tcPr>
          <w:p>
            <w:pPr>
              <w:jc w:val="right"/>
            </w:pPr>
            <w:r>
              <w:rPr>
                <w:rFonts w:ascii="Arial" w:hAnsi="Arial"/>
                <w:sz w:val="18"/>
              </w:rPr>
              <w:t>20%</w:t>
            </w:r>
          </w:p>
        </w:tc>
        <w:tc>
          <w:tcPr>
            <w:tcW w:type="dxa" w:w="1806"/>
          </w:tcPr>
          <w:p>
            <w:r>
              <w:rPr>
                <w:rFonts w:ascii="Arial" w:hAnsi="Arial"/>
                <w:sz w:val="18"/>
              </w:rPr>
              <w:t>Energy efficiency; renewable energy; supply chain engagement</w:t>
            </w:r>
          </w:p>
        </w:tc>
      </w:tr>
      <w:tr>
        <w:tc>
          <w:tcPr>
            <w:tcW w:type="dxa" w:w="1806"/>
            <w:shd w:fill="F2F6FC" w:val="clear"/>
          </w:tcPr>
          <w:p>
            <w:r>
              <w:rPr>
                <w:rFonts w:ascii="Arial" w:hAnsi="Arial"/>
                <w:sz w:val="18"/>
              </w:rPr>
              <w:t>Portfolio Weighted Average</w:t>
            </w:r>
          </w:p>
        </w:tc>
        <w:tc>
          <w:tcPr>
            <w:tcW w:type="dxa" w:w="1806"/>
            <w:shd w:fill="F2F6FC" w:val="clear"/>
          </w:tcPr>
          <w:p>
            <w:pPr>
              <w:jc w:val="right"/>
            </w:pPr>
            <w:r>
              <w:rPr>
                <w:rFonts w:ascii="Arial" w:hAnsi="Arial"/>
                <w:sz w:val="18"/>
              </w:rPr>
              <w:t>239.400139</w:t>
            </w:r>
          </w:p>
        </w:tc>
        <w:tc>
          <w:tcPr>
            <w:tcW w:type="dxa" w:w="1806"/>
            <w:shd w:fill="F2F6FC" w:val="clear"/>
          </w:tcPr>
          <w:p>
            <w:pPr>
              <w:jc w:val="right"/>
            </w:pPr>
            <w:r>
              <w:rPr>
                <w:rFonts w:ascii="Arial" w:hAnsi="Arial"/>
                <w:sz w:val="18"/>
              </w:rPr>
              <w:t>167.58</w:t>
            </w:r>
          </w:p>
        </w:tc>
        <w:tc>
          <w:tcPr>
            <w:tcW w:type="dxa" w:w="1806"/>
            <w:shd w:fill="F2F6FC" w:val="clear"/>
          </w:tcPr>
          <w:p>
            <w:pPr>
              <w:jc w:val="right"/>
            </w:pPr>
            <w:r>
              <w:rPr>
                <w:rFonts w:ascii="Arial" w:hAnsi="Arial"/>
                <w:sz w:val="18"/>
              </w:rPr>
              <w:t>30%</w:t>
            </w:r>
          </w:p>
        </w:tc>
        <w:tc>
          <w:tcPr>
            <w:tcW w:type="dxa" w:w="1806"/>
            <w:shd w:fill="F2F6FC" w:val="clear"/>
          </w:tcPr>
          <w:p>
            <w:r>
              <w:rPr>
                <w:rFonts w:ascii="Arial" w:hAnsi="Arial"/>
                <w:sz w:val="18"/>
              </w:rPr>
              <w:t>Sectoral credit policies; ESRM integration; green product development</w:t>
            </w:r>
          </w:p>
        </w:tc>
      </w:tr>
    </w:tbl>
    <w:p>
      <w:r>
        <w:rPr>
          <w:rFonts w:ascii="Arial" w:hAnsi="Arial"/>
          <w:i/>
          <w:sz w:val="16"/>
        </w:rPr>
        <w:t>Source: Sector-specific targets based on decarbonization potential and peer benchmarks. Weighted average target aligns with SBTi Sectoral Decarbonization Approach (SDA).</w:t>
      </w:r>
    </w:p>
    <w:p/>
    <w:p>
      <w:r>
        <w:rPr>
          <w:rFonts w:ascii="Arial" w:hAnsi="Arial"/>
          <w:b/>
          <w:sz w:val="20"/>
        </w:rPr>
        <w:t>Table 4: Peer Benchmark — Climate Targets Comparison</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SBTi Status</w:t>
            </w:r>
          </w:p>
        </w:tc>
        <w:tc>
          <w:tcPr>
            <w:tcW w:type="dxa" w:w="1505"/>
            <w:shd w:fill="1B3A6B" w:val="clear"/>
          </w:tcPr>
          <w:p>
            <w:r>
              <w:rPr>
                <w:rFonts w:ascii="Arial" w:hAnsi="Arial"/>
                <w:b/>
                <w:color w:val="FFFFFF"/>
                <w:sz w:val="18"/>
              </w:rPr>
              <w:t>Net Zero Year</w:t>
            </w:r>
          </w:p>
        </w:tc>
        <w:tc>
          <w:tcPr>
            <w:tcW w:type="dxa" w:w="1505"/>
            <w:shd w:fill="1B3A6B" w:val="clear"/>
          </w:tcPr>
          <w:p>
            <w:r>
              <w:rPr>
                <w:rFonts w:ascii="Arial" w:hAnsi="Arial"/>
                <w:b/>
                <w:color w:val="FFFFFF"/>
                <w:sz w:val="18"/>
              </w:rPr>
              <w:t>Operational Target</w:t>
            </w:r>
          </w:p>
        </w:tc>
        <w:tc>
          <w:tcPr>
            <w:tcW w:type="dxa" w:w="1505"/>
            <w:shd w:fill="1B3A6B" w:val="clear"/>
          </w:tcPr>
          <w:p>
            <w:r>
              <w:rPr>
                <w:rFonts w:ascii="Arial" w:hAnsi="Arial"/>
                <w:b/>
                <w:color w:val="FFFFFF"/>
                <w:sz w:val="18"/>
              </w:rPr>
              <w:t>Financed Emissions Target</w:t>
            </w:r>
          </w:p>
        </w:tc>
        <w:tc>
          <w:tcPr>
            <w:tcW w:type="dxa" w:w="1505"/>
            <w:shd w:fill="1B3A6B" w:val="clear"/>
          </w:tcPr>
          <w:p>
            <w:r>
              <w:rPr>
                <w:rFonts w:ascii="Arial" w:hAnsi="Arial"/>
                <w:b/>
                <w:color w:val="FFFFFF"/>
                <w:sz w:val="18"/>
              </w:rPr>
              <w:t>Renewable Energy</w:t>
            </w:r>
          </w:p>
        </w:tc>
      </w:tr>
      <w:tr>
        <w:tc>
          <w:tcPr>
            <w:tcW w:type="dxa" w:w="1505"/>
          </w:tcPr>
          <w:p>
            <w:r>
              <w:rPr>
                <w:rFonts w:ascii="Arial" w:hAnsi="Arial"/>
                <w:sz w:val="18"/>
              </w:rPr>
              <w:t>Bank Rakyat Indonesia (BRI)</w:t>
            </w:r>
          </w:p>
        </w:tc>
        <w:tc>
          <w:tcPr>
            <w:tcW w:type="dxa" w:w="1505"/>
          </w:tcPr>
          <w:p>
            <w:r>
              <w:rPr>
                <w:rFonts w:ascii="Arial" w:hAnsi="Arial"/>
                <w:sz w:val="18"/>
              </w:rPr>
              <w:t>Committed (2023)</w:t>
            </w:r>
          </w:p>
        </w:tc>
        <w:tc>
          <w:tcPr>
            <w:tcW w:type="dxa" w:w="1505"/>
          </w:tcPr>
          <w:p>
            <w:r>
              <w:rPr>
                <w:rFonts w:ascii="Arial" w:hAnsi="Arial"/>
                <w:sz w:val="18"/>
              </w:rPr>
              <w:t>Not disclosed</w:t>
            </w:r>
          </w:p>
        </w:tc>
        <w:tc>
          <w:tcPr>
            <w:tcW w:type="dxa" w:w="1505"/>
          </w:tcPr>
          <w:p>
            <w:r>
              <w:rPr>
                <w:rFonts w:ascii="Arial" w:hAnsi="Arial"/>
                <w:sz w:val="18"/>
              </w:rPr>
              <w:t>19.49% electricity savings achieved</w:t>
            </w:r>
          </w:p>
        </w:tc>
        <w:tc>
          <w:tcPr>
            <w:tcW w:type="dxa" w:w="1505"/>
          </w:tcPr>
          <w:p>
            <w:r>
              <w:rPr>
                <w:rFonts w:ascii="Arial" w:hAnsi="Arial"/>
                <w:sz w:val="18"/>
              </w:rPr>
              <w:t>Portfolio temp. 1.75°C by 2040</w:t>
            </w:r>
          </w:p>
        </w:tc>
        <w:tc>
          <w:tcPr>
            <w:tcW w:type="dxa" w:w="1505"/>
          </w:tcPr>
          <w:p>
            <w:r>
              <w:rPr>
                <w:rFonts w:ascii="Arial" w:hAnsi="Arial"/>
                <w:sz w:val="18"/>
              </w:rPr>
              <w:t>Green building + solar</w:t>
            </w:r>
          </w:p>
        </w:tc>
      </w:tr>
      <w:tr>
        <w:tc>
          <w:tcPr>
            <w:tcW w:type="dxa" w:w="1505"/>
            <w:shd w:fill="F2F6FC" w:val="clear"/>
          </w:tcPr>
          <w:p>
            <w:r>
              <w:rPr>
                <w:rFonts w:ascii="Arial" w:hAnsi="Arial"/>
                <w:sz w:val="18"/>
              </w:rPr>
              <w:t>DBS Bank</w:t>
            </w:r>
          </w:p>
        </w:tc>
        <w:tc>
          <w:tcPr>
            <w:tcW w:type="dxa" w:w="1505"/>
            <w:shd w:fill="F2F6FC" w:val="clear"/>
          </w:tcPr>
          <w:p>
            <w:r>
              <w:rPr>
                <w:rFonts w:ascii="Arial" w:hAnsi="Arial"/>
                <w:sz w:val="18"/>
              </w:rPr>
              <w:t>Validated</w:t>
            </w:r>
          </w:p>
        </w:tc>
        <w:tc>
          <w:tcPr>
            <w:tcW w:type="dxa" w:w="1505"/>
            <w:shd w:fill="F2F6FC" w:val="clear"/>
          </w:tcPr>
          <w:p>
            <w:pPr>
              <w:jc w:val="right"/>
            </w:pPr>
            <w:r>
              <w:rPr>
                <w:rFonts w:ascii="Arial" w:hAnsi="Arial"/>
                <w:sz w:val="18"/>
              </w:rPr>
              <w:t>2050</w:t>
            </w:r>
          </w:p>
        </w:tc>
        <w:tc>
          <w:tcPr>
            <w:tcW w:type="dxa" w:w="1505"/>
            <w:shd w:fill="F2F6FC" w:val="clear"/>
          </w:tcPr>
          <w:p>
            <w:r>
              <w:rPr>
                <w:rFonts w:ascii="Arial" w:hAnsi="Arial"/>
                <w:sz w:val="18"/>
              </w:rPr>
              <w:t>12% YoY reduction achieved</w:t>
            </w:r>
          </w:p>
        </w:tc>
        <w:tc>
          <w:tcPr>
            <w:tcW w:type="dxa" w:w="1505"/>
            <w:shd w:fill="F2F6FC" w:val="clear"/>
          </w:tcPr>
          <w:p>
            <w:r>
              <w:rPr>
                <w:rFonts w:ascii="Arial" w:hAnsi="Arial"/>
                <w:sz w:val="18"/>
              </w:rPr>
              <w:t>Net Zero financed emissions by 2050</w:t>
            </w:r>
          </w:p>
        </w:tc>
        <w:tc>
          <w:tcPr>
            <w:tcW w:type="dxa" w:w="1505"/>
            <w:shd w:fill="F2F6FC" w:val="clear"/>
          </w:tcPr>
          <w:p>
            <w:r>
              <w:rPr>
                <w:rFonts w:ascii="Arial" w:hAnsi="Arial"/>
                <w:sz w:val="18"/>
              </w:rPr>
              <w:t>62% renewable (2024)</w:t>
            </w:r>
          </w:p>
        </w:tc>
      </w:tr>
      <w:tr>
        <w:tc>
          <w:tcPr>
            <w:tcW w:type="dxa" w:w="1505"/>
          </w:tcPr>
          <w:p>
            <w:r>
              <w:rPr>
                <w:rFonts w:ascii="Arial" w:hAnsi="Arial"/>
                <w:sz w:val="18"/>
              </w:rPr>
              <w:t>Bank Central Asia (BCA)</w:t>
            </w:r>
          </w:p>
        </w:tc>
        <w:tc>
          <w:tcPr>
            <w:tcW w:type="dxa" w:w="1505"/>
          </w:tcPr>
          <w:p>
            <w:r>
              <w:rPr>
                <w:rFonts w:ascii="Arial" w:hAnsi="Arial"/>
                <w:sz w:val="18"/>
              </w:rPr>
              <w:t>Not disclosed</w:t>
            </w:r>
          </w:p>
        </w:tc>
        <w:tc>
          <w:tcPr>
            <w:tcW w:type="dxa" w:w="1505"/>
          </w:tcPr>
          <w:p>
            <w:r>
              <w:rPr>
                <w:rFonts w:ascii="Arial" w:hAnsi="Arial"/>
                <w:sz w:val="18"/>
              </w:rPr>
              <w:t>Not disclosed</w:t>
            </w:r>
          </w:p>
        </w:tc>
        <w:tc>
          <w:tcPr>
            <w:tcW w:type="dxa" w:w="1505"/>
          </w:tcPr>
          <w:p>
            <w:r>
              <w:rPr>
                <w:rFonts w:ascii="Arial" w:hAnsi="Arial"/>
                <w:sz w:val="18"/>
              </w:rPr>
              <w:t>Energy efficiency programs</w:t>
            </w:r>
          </w:p>
        </w:tc>
        <w:tc>
          <w:tcPr>
            <w:tcW w:type="dxa" w:w="1505"/>
          </w:tcPr>
          <w:p>
            <w:r>
              <w:rPr>
                <w:rFonts w:ascii="Arial" w:hAnsi="Arial"/>
                <w:sz w:val="18"/>
              </w:rPr>
              <w:t>Sectoral policies (coal, palm oil, cement, O&amp;G)</w:t>
            </w:r>
          </w:p>
        </w:tc>
        <w:tc>
          <w:tcPr>
            <w:tcW w:type="dxa" w:w="1505"/>
          </w:tcPr>
          <w:p>
            <w:r>
              <w:rPr>
                <w:rFonts w:ascii="Arial" w:hAnsi="Arial"/>
                <w:sz w:val="18"/>
              </w:rPr>
              <w:t>Not disclosed</w:t>
            </w:r>
          </w:p>
        </w:tc>
      </w:tr>
      <w:tr>
        <w:tc>
          <w:tcPr>
            <w:tcW w:type="dxa" w:w="1505"/>
            <w:shd w:fill="F2F6FC" w:val="clear"/>
          </w:tcPr>
          <w:p>
            <w:r>
              <w:rPr>
                <w:rFonts w:ascii="Arial" w:hAnsi="Arial"/>
                <w:sz w:val="18"/>
              </w:rPr>
              <w:t>Generic Financial Institution</w:t>
            </w:r>
          </w:p>
        </w:tc>
        <w:tc>
          <w:tcPr>
            <w:tcW w:type="dxa" w:w="1505"/>
            <w:shd w:fill="F2F6FC" w:val="clear"/>
          </w:tcPr>
          <w:p>
            <w:r>
              <w:rPr>
                <w:rFonts w:ascii="Arial" w:hAnsi="Arial"/>
                <w:sz w:val="18"/>
              </w:rPr>
              <w:t>Not set</w:t>
            </w:r>
          </w:p>
        </w:tc>
        <w:tc>
          <w:tcPr>
            <w:tcW w:type="dxa" w:w="1505"/>
            <w:shd w:fill="F2F6FC" w:val="clear"/>
          </w:tcPr>
          <w:p>
            <w:r>
              <w:rPr>
                <w:rFonts w:ascii="Arial" w:hAnsi="Arial"/>
                <w:sz w:val="18"/>
              </w:rPr>
              <w:t>Not set</w:t>
            </w:r>
          </w:p>
        </w:tc>
        <w:tc>
          <w:tcPr>
            <w:tcW w:type="dxa" w:w="1505"/>
            <w:shd w:fill="F2F6FC" w:val="clear"/>
          </w:tcPr>
          <w:p>
            <w:r>
              <w:rPr>
                <w:rFonts w:ascii="Arial" w:hAnsi="Arial"/>
                <w:sz w:val="18"/>
              </w:rPr>
              <w:t>No target disclosed</w:t>
            </w:r>
          </w:p>
        </w:tc>
        <w:tc>
          <w:tcPr>
            <w:tcW w:type="dxa" w:w="1505"/>
            <w:shd w:fill="F2F6FC" w:val="clear"/>
          </w:tcPr>
          <w:p>
            <w:r>
              <w:rPr>
                <w:rFonts w:ascii="Arial" w:hAnsi="Arial"/>
                <w:sz w:val="18"/>
              </w:rPr>
              <w:t>No target disclosed</w:t>
            </w:r>
          </w:p>
        </w:tc>
        <w:tc>
          <w:tcPr>
            <w:tcW w:type="dxa" w:w="1505"/>
            <w:shd w:fill="F2F6FC" w:val="clear"/>
          </w:tcPr>
          <w:p>
            <w:r>
              <w:rPr>
                <w:rFonts w:ascii="Arial" w:hAnsi="Arial"/>
                <w:sz w:val="18"/>
              </w:rPr>
              <w:t>~0% (grid-based)</w:t>
            </w:r>
          </w:p>
        </w:tc>
      </w:tr>
    </w:tbl>
    <w:p>
      <w:r>
        <w:rPr>
          <w:rFonts w:ascii="Arial" w:hAnsi="Arial"/>
          <w:i/>
          <w:sz w:val="16"/>
        </w:rPr>
        <w:t>Source: Peer data from RAG CONTEXT (Indonesian Banking Sector Benchmarks 2023-2025). Highlights target-setting gap for subject institution.</w:t>
      </w:r>
    </w:p>
    <w:p/>
    <w:p>
      <w:r>
        <w:rPr>
          <w:i/>
          <w:color w:val="3D6094"/>
          <w:sz w:val="18"/>
        </w:rPr>
        <w:t>Framework references: IFRS S2 Para 33 — Climate-related targets disclosure requirements; IFRS S2 Para 33(a) — Absolute vs. intensity target specification; IFRS S2 Para 33(b) — Scope of emissions covered by target; IFRS S2 Para 33(c) — Base period and target year; IFRS S2 Para 33(d) — Milestones or interim targets; IFRS S2 Para 33(e) — How entity intends to achieve targets (decarbonization levers); IFRS S2 Para 33(g) — Use of carbon credits in achieving targets; IFRS S2 Para 37 — Progress disclosure against targets; IFRS S2 Para B66-B67 — Characteristics of climate-related targets; SASB FN-CB-410a.2 — Approach to ESG in credit analysis (target integration)</w:t>
      </w:r>
    </w:p>
    <w:p>
      <w:pPr>
        <w:spacing w:after="80"/>
        <w:pBdr>
          <w:bottom w:val="single" w:sz="6" w:space="1" w:color="999999"/>
        </w:pBdr>
      </w:pPr>
    </w:p>
    <w:p>
      <w:pPr>
        <w:spacing w:after="160" w:line="276" w:lineRule="auto"/>
        <w:jc w:val="both"/>
      </w:pPr>
      <w:r>
        <w:rPr>
          <w:rFonts w:ascii="Arial" w:hAnsi="Arial"/>
          <w:i/>
          <w:color w:val="646464"/>
          <w:sz w:val="18"/>
        </w:rPr>
        <w:t>All target recommendations are based on peer benchmarks from leading Indonesian and regional financial institutions (BRI, DBS, BCA) and aligned with Science Based Targets initiative (SBTi) methodologies for the financial sector.</w:t>
      </w:r>
    </w:p>
    <w:p>
      <w:pPr>
        <w:spacing w:after="160" w:line="276" w:lineRule="auto"/>
        <w:jc w:val="both"/>
      </w:pPr>
      <w:r>
        <w:rPr>
          <w:rFonts w:ascii="Arial" w:hAnsi="Arial"/>
          <w:i/>
          <w:color w:val="646464"/>
          <w:sz w:val="18"/>
        </w:rPr>
        <w:t>The 30% reduction target for Scope 1+2 by 2030 is consistent with a 1.5°C pathway per SBTi guidance, requiring 4.2% annual linear reduction from 2024 baseline.</w:t>
      </w:r>
    </w:p>
    <w:p>
      <w:pPr>
        <w:spacing w:after="160" w:line="276" w:lineRule="auto"/>
        <w:jc w:val="both"/>
      </w:pPr>
      <w:r>
        <w:rPr>
          <w:rFonts w:ascii="Arial" w:hAnsi="Arial"/>
          <w:i/>
          <w:color w:val="646464"/>
          <w:sz w:val="18"/>
        </w:rPr>
        <w:t>Financed emissions targets use portfolio temperature alignment methodology per PCAF guidance, with sector-specific intensity targets based on Sectoral Decarbonization Approach (SDA).</w:t>
      </w:r>
    </w:p>
    <w:p>
      <w:pPr>
        <w:spacing w:after="160" w:line="276" w:lineRule="auto"/>
        <w:jc w:val="both"/>
      </w:pPr>
      <w:r>
        <w:rPr>
          <w:rFonts w:ascii="Arial" w:hAnsi="Arial"/>
          <w:i/>
          <w:color w:val="646464"/>
          <w:sz w:val="18"/>
        </w:rPr>
        <w:t>Carbon offset strategy limits offsets to &lt;10% of gross reduction target, prioritizing high-quality removal credits with permanence &gt;100 years and Verra VCS or Gold Standard certification.</w:t>
      </w:r>
    </w:p>
    <w:p>
      <w:pPr>
        <w:spacing w:after="160" w:line="276" w:lineRule="auto"/>
        <w:jc w:val="both"/>
      </w:pPr>
      <w:r>
        <w:rPr>
          <w:rFonts w:ascii="Arial" w:hAnsi="Arial"/>
          <w:i/>
          <w:color w:val="646464"/>
          <w:sz w:val="18"/>
        </w:rPr>
        <w:t>Renewable energy target of 50% by 2030 is conservative compared to DBS (62% achieved in 2024) but represents significant step-change from current grid-based electricity (~0% renewable in Indonesia grid mix).</w:t>
      </w:r>
    </w:p>
    <w:p>
      <w:pPr>
        <w:spacing w:after="160" w:line="276" w:lineRule="auto"/>
        <w:jc w:val="both"/>
      </w:pPr>
      <w:r>
        <w:rPr>
          <w:rFonts w:ascii="Arial" w:hAnsi="Arial"/>
          <w:i/>
          <w:color w:val="646464"/>
          <w:sz w:val="18"/>
        </w:rPr>
        <w:t>Net Zero commitment years (2040 for Scope 1+2, 2050 for Scope 3 Category 15) align with Paris Agreement 1.5°C pathway and peer institution timelines.</w:t>
      </w:r>
    </w:p>
    <w:p>
      <w:pPr>
        <w:spacing w:after="160" w:line="276" w:lineRule="auto"/>
        <w:jc w:val="both"/>
      </w:pPr>
      <w:r>
        <w:rPr>
          <w:rFonts w:ascii="Arial" w:hAnsi="Arial"/>
          <w:i/>
          <w:color w:val="646464"/>
          <w:sz w:val="18"/>
        </w:rPr>
        <w:t>These figures have not been subject to external assurance for the current reporting period. Target-setting process should include third-party validation through SBTi submission within 12 months.</w:t>
      </w:r>
    </w:p>
    <w:p>
      <w:r>
        <w:br w:type="page"/>
      </w:r>
    </w:p>
    <w:p>
      <w:pPr>
        <w:pStyle w:val="Heading1"/>
        <w:keepNext/>
        <w:spacing w:before="480" w:after="240"/>
      </w:pPr>
      <w:r>
        <w:rPr>
          <w:rFonts w:ascii="Arial" w:hAnsi="Arial"/>
          <w:b/>
          <w:color w:val="1B3A6B"/>
          <w:sz w:val="36"/>
        </w:rPr>
        <w:t>GRI 305-3: Other Indirect (Scope 3) GHG Emissions — PCAF Financed Emissions</w:t>
      </w:r>
    </w:p>
    <w:p>
      <w:pPr>
        <w:spacing w:after="160" w:line="276" w:lineRule="auto"/>
        <w:jc w:val="both"/>
      </w:pPr>
      <w:r>
        <w:rPr>
          <w:rFonts w:ascii="Arial" w:hAnsi="Arial"/>
          <w:sz w:val="22"/>
        </w:rPr>
        <w:t>The organization's financed emissions for the 2024 reporting period totaled 21,976,797.3 tCO2e on a gross basis, representing the absolute greenhouse gas emissions attributable to the institution's lending and investment portfolio. This figure encompasses all material Scope 3 Category 15 emissions calculated in accordance with the Partnership for Carbon Accounting Financials (PCAF) Global GHG Accounting Standard. The portfolio under assessment comprised 1,541,181.804 billion IDR in total outstanding exposure across 10 economic sectors, representing the institution's operational control consolidation approach for financed emissions.</w:t>
      </w:r>
    </w:p>
    <w:p>
      <w:pPr>
        <w:spacing w:after="160" w:line="276" w:lineRule="auto"/>
        <w:jc w:val="both"/>
      </w:pPr>
      <w:r>
        <w:rPr>
          <w:rFonts w:ascii="Arial" w:hAnsi="Arial"/>
          <w:i/>
          <w:sz w:val="22"/>
        </w:rPr>
        <w:t>The PCAF methodology applies an attribution factor to allocate a proportionate share of each borrower's total emissions to the institution based on the ratio of outstanding loan amount to the borrower's total equity plus debt. The calculation formula is: Financed Emissions = Outstanding Amount ÷ (Borrower Total Equity + Borrower Total Debt) × Borrower Total Emissions. The institution applied this methodology across corporate lending portfolios, covering commercial and industrial loans as the primary asset class. Emission factors were sourced from borrower-reported data where available (PCAF Score 1-2), supplemented by environmentally-extended input-output (EEIO) models and sector-average proxies for borrowers without direct emissions disclosures (PCAF Score 3-5).</w:t>
      </w:r>
    </w:p>
    <w:p>
      <w:pPr>
        <w:spacing w:after="160" w:line="276" w:lineRule="auto"/>
        <w:jc w:val="both"/>
      </w:pPr>
      <w:r>
        <w:rPr>
          <w:rFonts w:ascii="Arial" w:hAnsi="Arial"/>
          <w:sz w:val="22"/>
        </w:rPr>
        <w:t>The confidence-weighted financed emissions for 2024 totaled 15,280,174.14 tCO2e, reflecting the application of PCAF data quality confidence factors to the gross emissions figure. This weighted metric accounts for the reliability and granularity of underlying emissions data, with confidence factors ranging from 1.00 (verified borrower-reported data) to 0.45 (sector-average proxies). The 30.5% reduction from gross to weighted emissions indicates significant reliance on lower-quality data sources, with the portfolio-weighted average PCAF data quality score of 3.36 falling within Score 3 territory (EEIO model with revenue data). The distinction between gross and weighted figures is critical for understanding both the institution's absolute financed emissions footprint and the confidence level in reported figures.</w:t>
      </w:r>
    </w:p>
    <w:p>
      <w:pPr>
        <w:spacing w:after="160" w:line="276" w:lineRule="auto"/>
        <w:jc w:val="both"/>
      </w:pPr>
      <w:r>
        <w:rPr>
          <w:rFonts w:ascii="Arial" w:hAnsi="Arial"/>
          <w:sz w:val="22"/>
        </w:rPr>
        <w:t>Three sectors dominate the institution's financed emissions profile. Energy - Oil &amp; Gas accounts for 9,573,144.27 tCO2e gross (43.56% of total financed emissions) despite representing only 6.66% of portfolio value, yielding an emission intensity of 93.242 tCO2e per billion IDR outstanding. Manufacturing - Cement contributes 5,813,830.91 tCO2e gross (26.45% of total) with an intensity of 53.9927 tCO2e per billion IDR. Manufacturing - Steel adds 3,499,463.0 tCO2e gross (15.92% of total) at 32.2175 tCO2e per billion IDR intensity. These three carbon-intensive sectors collectively represent 85.93% of total financed emissions while comprising only 20.7% of portfolio value, demonstrating significant concentration risk in high-emission industries.</w:t>
      </w:r>
    </w:p>
    <w:p>
      <w:pPr>
        <w:spacing w:after="160" w:line="276" w:lineRule="auto"/>
        <w:jc w:val="both"/>
      </w:pPr>
      <w:r>
        <w:rPr>
          <w:rFonts w:ascii="Arial" w:hAnsi="Arial"/>
          <w:sz w:val="22"/>
        </w:rPr>
        <w:t>Data quality assessment reveals material gaps in the institution's financed emissions measurement capability. The portfolio-weighted average PCAF score of 3.36 indicates predominant reliance on EEIO models with revenue-based allocation rather than borrower-reported emissions data. Sector-level data quality varies from 3.21 (Retail Trade) to 3.42 (Financial Services), with no sectors achieving Score 2 or better (reported emissions data). This data quality profile suggests limited direct engagement with borrowers on emissions disclosure and heavy dependence on proxy methodologies. The institution has not disclosed the percentage of portfolio covered by high-quality data (PCAF Score 1-2), indicating this metric is not yet captured in the reporting system.</w:t>
      </w:r>
    </w:p>
    <w:p>
      <w:pPr>
        <w:spacing w:after="160" w:line="276" w:lineRule="auto"/>
        <w:jc w:val="both"/>
      </w:pPr>
      <w:r>
        <w:rPr>
          <w:rFonts w:ascii="Arial" w:hAnsi="Arial"/>
          <w:sz w:val="22"/>
        </w:rPr>
        <w:t>Year-over-year comparison shows financed emissions declined 4.07% from 22,911,991.05 tCO2e gross in 2023 to 21,976,797.3 tCO2e gross in 2024, representing an absolute reduction of 935,193.75 tCO2e. On a confidence-weighted basis, emissions decreased from 15,576,239.57 tCO2e in 2023 to 15,280,174.14 tCO2e in 2024, a reduction of 296,065.43 tCO2e or 1.9%. The divergence between gross reduction (4.07%) and weighted reduction (1.9%) suggests data quality improvements during the period may have partially offset absolute emissions reductions. The institution has not disclosed whether this reduction resulted from portfolio composition changes, client decarbonization efforts, or methodological refinements, limiting interpretability of the trend.</w:t>
      </w:r>
    </w:p>
    <w:p>
      <w:pPr>
        <w:spacing w:after="160" w:line="276" w:lineRule="auto"/>
        <w:jc w:val="both"/>
      </w:pPr>
      <w:r>
        <w:rPr>
          <w:rFonts w:ascii="Arial" w:hAnsi="Arial"/>
          <w:sz w:val="22"/>
        </w:rPr>
        <w:t>The institution has not disclosed portfolio coverage percentage for PCAF financed emissions calculations. Per PCAF Global GHG Accounting Standard requirements, signatory institutions should achieve &gt;90% portfolio coverage within three years of joining the partnership. The absence of this metric in the current disclosure indicates it is not yet tracked in the institution's reporting systems. Peer institutions in the Indonesian banking sector report coverage ranging from 85% (initial implementation) to 95% (mature programs), with BRI achieving comprehensive coverage across 6 PCAF asset classes including corporate loans, project finance, commercial real estate, and mortgages.</w:t>
      </w:r>
    </w:p>
    <w:p>
      <w:pPr>
        <w:spacing w:after="160" w:line="276" w:lineRule="auto"/>
        <w:jc w:val="both"/>
      </w:pPr>
      <w:r>
        <w:rPr>
          <w:rFonts w:ascii="Arial" w:hAnsi="Arial"/>
          <w:i/>
          <w:color w:val="555555"/>
          <w:sz w:val="22"/>
        </w:rPr>
        <w:t>**Data Quality Improvement Roadmap**: The average PCAF data quality score of 3.36 exceeds the threshold requiring structured improvement initiatives. The institution should implement a three-phase data quality enhancement program: (1) Short-term (6-12 months): Deploy borrower emissions data collection templates for top 50 emitting clients, targeting Score 2 achievement for 30% of high-emission portfolio; (2) Medium-term (12-24 months): Integrate emissions disclosure requirements into credit approval processes for carbon-intensive sectors, mandate annual emissions updates for loans &gt;100 billion IDR; (3) Long-term (24-36 months): Establish automated data feeds from borrower sustainability reports and CDP disclosures, target portfolio-weighted score of 2.5 or better. Peer reference: DBS Bank achieved 62% renewable energy coverage and 12% YoY emissions reduction through systematic client engagement programs.</w:t>
      </w:r>
    </w:p>
    <w:p>
      <w:r>
        <w:rPr>
          <w:rFonts w:ascii="Arial" w:hAnsi="Arial"/>
          <w:b/>
          <w:sz w:val="20"/>
        </w:rPr>
        <w:t>Table 1: Financed Emissions by Economic Sector (Top 5 Emitters) — 2024</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Sector</w:t>
            </w:r>
          </w:p>
        </w:tc>
        <w:tc>
          <w:tcPr>
            <w:tcW w:type="dxa" w:w="1129"/>
            <w:shd w:fill="1B3A6B" w:val="clear"/>
          </w:tcPr>
          <w:p>
            <w:r>
              <w:rPr>
                <w:rFonts w:ascii="Arial" w:hAnsi="Arial"/>
                <w:b/>
                <w:color w:val="FFFFFF"/>
                <w:sz w:val="18"/>
              </w:rPr>
              <w:t>Outstanding (IDR Trillion)</w:t>
            </w:r>
          </w:p>
        </w:tc>
        <w:tc>
          <w:tcPr>
            <w:tcW w:type="dxa" w:w="1129"/>
            <w:shd w:fill="1B3A6B" w:val="clear"/>
          </w:tcPr>
          <w:p>
            <w:r>
              <w:rPr>
                <w:rFonts w:ascii="Arial" w:hAnsi="Arial"/>
                <w:b/>
                <w:color w:val="FFFFFF"/>
                <w:sz w:val="18"/>
              </w:rPr>
              <w:t>Gross Emissions (tCO2e)</w:t>
            </w:r>
          </w:p>
        </w:tc>
        <w:tc>
          <w:tcPr>
            <w:tcW w:type="dxa" w:w="1129"/>
            <w:shd w:fill="1B3A6B" w:val="clear"/>
          </w:tcPr>
          <w:p>
            <w:r>
              <w:rPr>
                <w:rFonts w:ascii="Arial" w:hAnsi="Arial"/>
                <w:b/>
                <w:color w:val="FFFFFF"/>
                <w:sz w:val="18"/>
              </w:rPr>
              <w:t>Weighted Emissions (tCO2e)</w:t>
            </w:r>
          </w:p>
        </w:tc>
        <w:tc>
          <w:tcPr>
            <w:tcW w:type="dxa" w:w="1129"/>
            <w:shd w:fill="1B3A6B" w:val="clear"/>
          </w:tcPr>
          <w:p>
            <w:r>
              <w:rPr>
                <w:rFonts w:ascii="Arial" w:hAnsi="Arial"/>
                <w:b/>
                <w:color w:val="FFFFFF"/>
                <w:sz w:val="18"/>
              </w:rPr>
              <w:t>Emission Intensity (tCO2e/IDR Bn)</w:t>
            </w:r>
          </w:p>
        </w:tc>
        <w:tc>
          <w:tcPr>
            <w:tcW w:type="dxa" w:w="1129"/>
            <w:shd w:fill="1B3A6B" w:val="clear"/>
          </w:tcPr>
          <w:p>
            <w:r>
              <w:rPr>
                <w:rFonts w:ascii="Arial" w:hAnsi="Arial"/>
                <w:b/>
                <w:color w:val="FFFFFF"/>
                <w:sz w:val="18"/>
              </w:rPr>
              <w:t>% of Portfolio</w:t>
            </w:r>
          </w:p>
        </w:tc>
        <w:tc>
          <w:tcPr>
            <w:tcW w:type="dxa" w:w="1129"/>
            <w:shd w:fill="1B3A6B" w:val="clear"/>
          </w:tcPr>
          <w:p>
            <w:r>
              <w:rPr>
                <w:rFonts w:ascii="Arial" w:hAnsi="Arial"/>
                <w:b/>
                <w:color w:val="FFFFFF"/>
                <w:sz w:val="18"/>
              </w:rPr>
              <w:t>% of Total Emissions</w:t>
            </w:r>
          </w:p>
        </w:tc>
        <w:tc>
          <w:tcPr>
            <w:tcW w:type="dxa" w:w="1129"/>
            <w:shd w:fill="1B3A6B" w:val="clear"/>
          </w:tcPr>
          <w:p>
            <w:r>
              <w:rPr>
                <w:rFonts w:ascii="Arial" w:hAnsi="Arial"/>
                <w:b/>
                <w:color w:val="FFFFFF"/>
                <w:sz w:val="18"/>
              </w:rPr>
              <w:t>Avg PCAF Score</w:t>
            </w:r>
          </w:p>
        </w:tc>
      </w:tr>
      <w:tr>
        <w:tc>
          <w:tcPr>
            <w:tcW w:type="dxa" w:w="1129"/>
          </w:tcPr>
          <w:p>
            <w:r>
              <w:rPr>
                <w:rFonts w:ascii="Arial" w:hAnsi="Arial"/>
                <w:sz w:val="18"/>
              </w:rPr>
              <w:t>Energy - Oil &amp; Gas</w:t>
            </w:r>
          </w:p>
        </w:tc>
        <w:tc>
          <w:tcPr>
            <w:tcW w:type="dxa" w:w="1129"/>
          </w:tcPr>
          <w:p>
            <w:pPr>
              <w:jc w:val="right"/>
            </w:pPr>
            <w:r>
              <w:rPr>
                <w:rFonts w:ascii="Arial" w:hAnsi="Arial"/>
                <w:sz w:val="18"/>
              </w:rPr>
              <w:t>102.669871</w:t>
            </w:r>
          </w:p>
        </w:tc>
        <w:tc>
          <w:tcPr>
            <w:tcW w:type="dxa" w:w="1129"/>
          </w:tcPr>
          <w:p>
            <w:pPr>
              <w:jc w:val="right"/>
            </w:pPr>
            <w:r>
              <w:rPr>
                <w:rFonts w:ascii="Arial" w:hAnsi="Arial"/>
                <w:sz w:val="18"/>
              </w:rPr>
              <w:t>9,573,144.27</w:t>
            </w:r>
          </w:p>
        </w:tc>
        <w:tc>
          <w:tcPr>
            <w:tcW w:type="dxa" w:w="1129"/>
          </w:tcPr>
          <w:p>
            <w:pPr>
              <w:jc w:val="right"/>
            </w:pPr>
            <w:r>
              <w:rPr>
                <w:rFonts w:ascii="Arial" w:hAnsi="Arial"/>
                <w:sz w:val="18"/>
              </w:rPr>
              <w:t>6,753,948.71</w:t>
            </w:r>
          </w:p>
        </w:tc>
        <w:tc>
          <w:tcPr>
            <w:tcW w:type="dxa" w:w="1129"/>
          </w:tcPr>
          <w:p>
            <w:pPr>
              <w:jc w:val="right"/>
            </w:pPr>
            <w:r>
              <w:rPr>
                <w:rFonts w:ascii="Arial" w:hAnsi="Arial"/>
                <w:sz w:val="18"/>
              </w:rPr>
              <w:t>93.242</w:t>
            </w:r>
          </w:p>
        </w:tc>
        <w:tc>
          <w:tcPr>
            <w:tcW w:type="dxa" w:w="1129"/>
          </w:tcPr>
          <w:p>
            <w:pPr>
              <w:jc w:val="right"/>
            </w:pPr>
            <w:r>
              <w:rPr>
                <w:rFonts w:ascii="Arial" w:hAnsi="Arial"/>
                <w:sz w:val="18"/>
              </w:rPr>
              <w:t>6.66%</w:t>
            </w:r>
          </w:p>
        </w:tc>
        <w:tc>
          <w:tcPr>
            <w:tcW w:type="dxa" w:w="1129"/>
          </w:tcPr>
          <w:p>
            <w:pPr>
              <w:jc w:val="right"/>
            </w:pPr>
            <w:r>
              <w:rPr>
                <w:rFonts w:ascii="Arial" w:hAnsi="Arial"/>
                <w:sz w:val="18"/>
              </w:rPr>
              <w:t>43.56%</w:t>
            </w:r>
          </w:p>
        </w:tc>
        <w:tc>
          <w:tcPr>
            <w:tcW w:type="dxa" w:w="1129"/>
          </w:tcPr>
          <w:p>
            <w:pPr>
              <w:jc w:val="right"/>
            </w:pPr>
            <w:r>
              <w:rPr>
                <w:rFonts w:ascii="Arial" w:hAnsi="Arial"/>
                <w:sz w:val="18"/>
              </w:rPr>
              <w:t>3.32</w:t>
            </w:r>
          </w:p>
        </w:tc>
      </w:tr>
      <w:tr>
        <w:tc>
          <w:tcPr>
            <w:tcW w:type="dxa" w:w="1129"/>
            <w:shd w:fill="F2F6FC" w:val="clear"/>
          </w:tcPr>
          <w:p>
            <w:r>
              <w:rPr>
                <w:rFonts w:ascii="Arial" w:hAnsi="Arial"/>
                <w:sz w:val="18"/>
              </w:rPr>
              <w:t>Manufacturing - Cement</w:t>
            </w:r>
          </w:p>
        </w:tc>
        <w:tc>
          <w:tcPr>
            <w:tcW w:type="dxa" w:w="1129"/>
            <w:shd w:fill="F2F6FC" w:val="clear"/>
          </w:tcPr>
          <w:p>
            <w:pPr>
              <w:jc w:val="right"/>
            </w:pPr>
            <w:r>
              <w:rPr>
                <w:rFonts w:ascii="Arial" w:hAnsi="Arial"/>
                <w:sz w:val="18"/>
              </w:rPr>
              <w:t>107.67817</w:t>
            </w:r>
          </w:p>
        </w:tc>
        <w:tc>
          <w:tcPr>
            <w:tcW w:type="dxa" w:w="1129"/>
            <w:shd w:fill="F2F6FC" w:val="clear"/>
          </w:tcPr>
          <w:p>
            <w:pPr>
              <w:jc w:val="right"/>
            </w:pPr>
            <w:r>
              <w:rPr>
                <w:rFonts w:ascii="Arial" w:hAnsi="Arial"/>
                <w:sz w:val="18"/>
              </w:rPr>
              <w:t>5,813,830.91</w:t>
            </w:r>
          </w:p>
        </w:tc>
        <w:tc>
          <w:tcPr>
            <w:tcW w:type="dxa" w:w="1129"/>
            <w:shd w:fill="F2F6FC" w:val="clear"/>
          </w:tcPr>
          <w:p>
            <w:pPr>
              <w:jc w:val="right"/>
            </w:pPr>
            <w:r>
              <w:rPr>
                <w:rFonts w:ascii="Arial" w:hAnsi="Arial"/>
                <w:sz w:val="18"/>
              </w:rPr>
              <w:t>4,168,058.43</w:t>
            </w:r>
          </w:p>
        </w:tc>
        <w:tc>
          <w:tcPr>
            <w:tcW w:type="dxa" w:w="1129"/>
            <w:shd w:fill="F2F6FC" w:val="clear"/>
          </w:tcPr>
          <w:p>
            <w:pPr>
              <w:jc w:val="right"/>
            </w:pPr>
            <w:r>
              <w:rPr>
                <w:rFonts w:ascii="Arial" w:hAnsi="Arial"/>
                <w:sz w:val="18"/>
              </w:rPr>
              <w:t>53.9927</w:t>
            </w:r>
          </w:p>
        </w:tc>
        <w:tc>
          <w:tcPr>
            <w:tcW w:type="dxa" w:w="1129"/>
            <w:shd w:fill="F2F6FC" w:val="clear"/>
          </w:tcPr>
          <w:p>
            <w:pPr>
              <w:jc w:val="right"/>
            </w:pPr>
            <w:r>
              <w:rPr>
                <w:rFonts w:ascii="Arial" w:hAnsi="Arial"/>
                <w:sz w:val="18"/>
              </w:rPr>
              <w:t>6.99%</w:t>
            </w:r>
          </w:p>
        </w:tc>
        <w:tc>
          <w:tcPr>
            <w:tcW w:type="dxa" w:w="1129"/>
            <w:shd w:fill="F2F6FC" w:val="clear"/>
          </w:tcPr>
          <w:p>
            <w:pPr>
              <w:jc w:val="right"/>
            </w:pPr>
            <w:r>
              <w:rPr>
                <w:rFonts w:ascii="Arial" w:hAnsi="Arial"/>
                <w:sz w:val="18"/>
              </w:rPr>
              <w:t>26.45%</w:t>
            </w:r>
          </w:p>
        </w:tc>
        <w:tc>
          <w:tcPr>
            <w:tcW w:type="dxa" w:w="1129"/>
            <w:shd w:fill="F2F6FC" w:val="clear"/>
          </w:tcPr>
          <w:p>
            <w:pPr>
              <w:jc w:val="right"/>
            </w:pPr>
            <w:r>
              <w:rPr>
                <w:rFonts w:ascii="Arial" w:hAnsi="Arial"/>
                <w:sz w:val="18"/>
              </w:rPr>
              <w:t>3.4</w:t>
            </w:r>
          </w:p>
        </w:tc>
      </w:tr>
      <w:tr>
        <w:tc>
          <w:tcPr>
            <w:tcW w:type="dxa" w:w="1129"/>
          </w:tcPr>
          <w:p>
            <w:r>
              <w:rPr>
                <w:rFonts w:ascii="Arial" w:hAnsi="Arial"/>
                <w:sz w:val="18"/>
              </w:rPr>
              <w:t>Manufacturing - Steel</w:t>
            </w:r>
          </w:p>
        </w:tc>
        <w:tc>
          <w:tcPr>
            <w:tcW w:type="dxa" w:w="1129"/>
          </w:tcPr>
          <w:p>
            <w:pPr>
              <w:jc w:val="right"/>
            </w:pPr>
            <w:r>
              <w:rPr>
                <w:rFonts w:ascii="Arial" w:hAnsi="Arial"/>
                <w:sz w:val="18"/>
              </w:rPr>
              <w:t>108.619962</w:t>
            </w:r>
          </w:p>
        </w:tc>
        <w:tc>
          <w:tcPr>
            <w:tcW w:type="dxa" w:w="1129"/>
          </w:tcPr>
          <w:p>
            <w:pPr>
              <w:jc w:val="right"/>
            </w:pPr>
            <w:r>
              <w:rPr>
                <w:rFonts w:ascii="Arial" w:hAnsi="Arial"/>
                <w:sz w:val="18"/>
              </w:rPr>
              <w:t>3,499,463.0</w:t>
            </w:r>
          </w:p>
        </w:tc>
        <w:tc>
          <w:tcPr>
            <w:tcW w:type="dxa" w:w="1129"/>
          </w:tcPr>
          <w:p>
            <w:pPr>
              <w:jc w:val="right"/>
            </w:pPr>
            <w:r>
              <w:rPr>
                <w:rFonts w:ascii="Arial" w:hAnsi="Arial"/>
                <w:sz w:val="18"/>
              </w:rPr>
              <w:t>2,228,739.65</w:t>
            </w:r>
          </w:p>
        </w:tc>
        <w:tc>
          <w:tcPr>
            <w:tcW w:type="dxa" w:w="1129"/>
          </w:tcPr>
          <w:p>
            <w:pPr>
              <w:jc w:val="right"/>
            </w:pPr>
            <w:r>
              <w:rPr>
                <w:rFonts w:ascii="Arial" w:hAnsi="Arial"/>
                <w:sz w:val="18"/>
              </w:rPr>
              <w:t>32.2175</w:t>
            </w:r>
          </w:p>
        </w:tc>
        <w:tc>
          <w:tcPr>
            <w:tcW w:type="dxa" w:w="1129"/>
          </w:tcPr>
          <w:p>
            <w:pPr>
              <w:jc w:val="right"/>
            </w:pPr>
            <w:r>
              <w:rPr>
                <w:rFonts w:ascii="Arial" w:hAnsi="Arial"/>
                <w:sz w:val="18"/>
              </w:rPr>
              <w:t>7.05%</w:t>
            </w:r>
          </w:p>
        </w:tc>
        <w:tc>
          <w:tcPr>
            <w:tcW w:type="dxa" w:w="1129"/>
          </w:tcPr>
          <w:p>
            <w:pPr>
              <w:jc w:val="right"/>
            </w:pPr>
            <w:r>
              <w:rPr>
                <w:rFonts w:ascii="Arial" w:hAnsi="Arial"/>
                <w:sz w:val="18"/>
              </w:rPr>
              <w:t>15.92%</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Transportation - Road</w:t>
            </w:r>
          </w:p>
        </w:tc>
        <w:tc>
          <w:tcPr>
            <w:tcW w:type="dxa" w:w="1129"/>
            <w:shd w:fill="F2F6FC" w:val="clear"/>
          </w:tcPr>
          <w:p>
            <w:pPr>
              <w:jc w:val="right"/>
            </w:pPr>
            <w:r>
              <w:rPr>
                <w:rFonts w:ascii="Arial" w:hAnsi="Arial"/>
                <w:sz w:val="18"/>
              </w:rPr>
              <w:t>155.55276</w:t>
            </w:r>
          </w:p>
        </w:tc>
        <w:tc>
          <w:tcPr>
            <w:tcW w:type="dxa" w:w="1129"/>
            <w:shd w:fill="F2F6FC" w:val="clear"/>
          </w:tcPr>
          <w:p>
            <w:pPr>
              <w:jc w:val="right"/>
            </w:pPr>
            <w:r>
              <w:rPr>
                <w:rFonts w:ascii="Arial" w:hAnsi="Arial"/>
                <w:sz w:val="18"/>
              </w:rPr>
              <w:t>1,227,019.62</w:t>
            </w:r>
          </w:p>
        </w:tc>
        <w:tc>
          <w:tcPr>
            <w:tcW w:type="dxa" w:w="1129"/>
            <w:shd w:fill="F2F6FC" w:val="clear"/>
          </w:tcPr>
          <w:p>
            <w:pPr>
              <w:jc w:val="right"/>
            </w:pPr>
            <w:r>
              <w:rPr>
                <w:rFonts w:ascii="Arial" w:hAnsi="Arial"/>
                <w:sz w:val="18"/>
              </w:rPr>
              <w:t>864,356.23</w:t>
            </w:r>
          </w:p>
        </w:tc>
        <w:tc>
          <w:tcPr>
            <w:tcW w:type="dxa" w:w="1129"/>
            <w:shd w:fill="F2F6FC" w:val="clear"/>
          </w:tcPr>
          <w:p>
            <w:pPr>
              <w:jc w:val="right"/>
            </w:pPr>
            <w:r>
              <w:rPr>
                <w:rFonts w:ascii="Arial" w:hAnsi="Arial"/>
                <w:sz w:val="18"/>
              </w:rPr>
              <w:t>7.8881</w:t>
            </w:r>
          </w:p>
        </w:tc>
        <w:tc>
          <w:tcPr>
            <w:tcW w:type="dxa" w:w="1129"/>
            <w:shd w:fill="F2F6FC" w:val="clear"/>
          </w:tcPr>
          <w:p>
            <w:pPr>
              <w:jc w:val="right"/>
            </w:pPr>
            <w:r>
              <w:rPr>
                <w:rFonts w:ascii="Arial" w:hAnsi="Arial"/>
                <w:sz w:val="18"/>
              </w:rPr>
              <w:t>10.09%</w:t>
            </w:r>
          </w:p>
        </w:tc>
        <w:tc>
          <w:tcPr>
            <w:tcW w:type="dxa" w:w="1129"/>
            <w:shd w:fill="F2F6FC" w:val="clear"/>
          </w:tcPr>
          <w:p>
            <w:pPr>
              <w:jc w:val="right"/>
            </w:pPr>
            <w:r>
              <w:rPr>
                <w:rFonts w:ascii="Arial" w:hAnsi="Arial"/>
                <w:sz w:val="18"/>
              </w:rPr>
              <w:t>5.58%</w:t>
            </w:r>
          </w:p>
        </w:tc>
        <w:tc>
          <w:tcPr>
            <w:tcW w:type="dxa" w:w="1129"/>
            <w:shd w:fill="F2F6FC" w:val="clear"/>
          </w:tcPr>
          <w:p>
            <w:pPr>
              <w:jc w:val="right"/>
            </w:pPr>
            <w:r>
              <w:rPr>
                <w:rFonts w:ascii="Arial" w:hAnsi="Arial"/>
                <w:sz w:val="18"/>
              </w:rPr>
              <w:t>3.36</w:t>
            </w:r>
          </w:p>
        </w:tc>
      </w:tr>
      <w:tr>
        <w:tc>
          <w:tcPr>
            <w:tcW w:type="dxa" w:w="1129"/>
          </w:tcPr>
          <w:p>
            <w:r>
              <w:rPr>
                <w:rFonts w:ascii="Arial" w:hAnsi="Arial"/>
                <w:sz w:val="18"/>
              </w:rPr>
              <w:t>Manufacturing - Food &amp; Beverage</w:t>
            </w:r>
          </w:p>
        </w:tc>
        <w:tc>
          <w:tcPr>
            <w:tcW w:type="dxa" w:w="1129"/>
          </w:tcPr>
          <w:p>
            <w:pPr>
              <w:jc w:val="right"/>
            </w:pPr>
            <w:r>
              <w:rPr>
                <w:rFonts w:ascii="Arial" w:hAnsi="Arial"/>
                <w:sz w:val="18"/>
              </w:rPr>
              <w:t>169.139082</w:t>
            </w:r>
          </w:p>
        </w:tc>
        <w:tc>
          <w:tcPr>
            <w:tcW w:type="dxa" w:w="1129"/>
          </w:tcPr>
          <w:p>
            <w:pPr>
              <w:jc w:val="right"/>
            </w:pPr>
            <w:r>
              <w:rPr>
                <w:rFonts w:ascii="Arial" w:hAnsi="Arial"/>
                <w:sz w:val="18"/>
              </w:rPr>
              <w:t>936,111.21</w:t>
            </w:r>
          </w:p>
        </w:tc>
        <w:tc>
          <w:tcPr>
            <w:tcW w:type="dxa" w:w="1129"/>
          </w:tcPr>
          <w:p>
            <w:pPr>
              <w:jc w:val="right"/>
            </w:pPr>
            <w:r>
              <w:rPr>
                <w:rFonts w:ascii="Arial" w:hAnsi="Arial"/>
                <w:sz w:val="18"/>
              </w:rPr>
              <w:t>653,413.56</w:t>
            </w:r>
          </w:p>
        </w:tc>
        <w:tc>
          <w:tcPr>
            <w:tcW w:type="dxa" w:w="1129"/>
          </w:tcPr>
          <w:p>
            <w:pPr>
              <w:jc w:val="right"/>
            </w:pPr>
            <w:r>
              <w:rPr>
                <w:rFonts w:ascii="Arial" w:hAnsi="Arial"/>
                <w:sz w:val="18"/>
              </w:rPr>
              <w:t>5.5346</w:t>
            </w:r>
          </w:p>
        </w:tc>
        <w:tc>
          <w:tcPr>
            <w:tcW w:type="dxa" w:w="1129"/>
          </w:tcPr>
          <w:p>
            <w:pPr>
              <w:jc w:val="right"/>
            </w:pPr>
            <w:r>
              <w:rPr>
                <w:rFonts w:ascii="Arial" w:hAnsi="Arial"/>
                <w:sz w:val="18"/>
              </w:rPr>
              <w:t>10.97%</w:t>
            </w:r>
          </w:p>
        </w:tc>
        <w:tc>
          <w:tcPr>
            <w:tcW w:type="dxa" w:w="1129"/>
          </w:tcPr>
          <w:p>
            <w:pPr>
              <w:jc w:val="right"/>
            </w:pPr>
            <w:r>
              <w:rPr>
                <w:rFonts w:ascii="Arial" w:hAnsi="Arial"/>
                <w:sz w:val="18"/>
              </w:rPr>
              <w:t>4.26%</w:t>
            </w:r>
          </w:p>
        </w:tc>
        <w:tc>
          <w:tcPr>
            <w:tcW w:type="dxa" w:w="1129"/>
          </w:tcPr>
          <w:p>
            <w:pPr>
              <w:jc w:val="right"/>
            </w:pPr>
            <w:r>
              <w:rPr>
                <w:rFonts w:ascii="Arial" w:hAnsi="Arial"/>
                <w:sz w:val="18"/>
              </w:rPr>
              <w:t>3.35</w:t>
            </w:r>
          </w:p>
        </w:tc>
      </w:tr>
    </w:tbl>
    <w:p>
      <w:r>
        <w:rPr>
          <w:rFonts w:ascii="Arial" w:hAnsi="Arial"/>
          <w:i/>
          <w:sz w:val="16"/>
        </w:rPr>
        <w:t>Source: Source: Internal PCAF calculation system. Gross emissions represent absolute attributable emissions; weighted emissions apply PCAF confidence factors. PCAF Score range: 1 (highest quality) to 5 (lowest quality).</w:t>
      </w:r>
    </w:p>
    <w:p/>
    <w:p>
      <w:r>
        <w:rPr>
          <w:rFonts w:ascii="Arial" w:hAnsi="Arial"/>
          <w:b/>
          <w:sz w:val="20"/>
        </w:rPr>
        <w:t>Table 2: PCAF Data Quality Distribution by Sector —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Sector</w:t>
            </w:r>
          </w:p>
        </w:tc>
        <w:tc>
          <w:tcPr>
            <w:tcW w:type="dxa" w:w="1806"/>
            <w:shd w:fill="1B3A6B" w:val="clear"/>
          </w:tcPr>
          <w:p>
            <w:r>
              <w:rPr>
                <w:rFonts w:ascii="Arial" w:hAnsi="Arial"/>
                <w:b/>
                <w:color w:val="FFFFFF"/>
                <w:sz w:val="18"/>
              </w:rPr>
              <w:t>Loan Count</w:t>
            </w:r>
          </w:p>
        </w:tc>
        <w:tc>
          <w:tcPr>
            <w:tcW w:type="dxa" w:w="1806"/>
            <w:shd w:fill="1B3A6B" w:val="clear"/>
          </w:tcPr>
          <w:p>
            <w:r>
              <w:rPr>
                <w:rFonts w:ascii="Arial" w:hAnsi="Arial"/>
                <w:b/>
                <w:color w:val="FFFFFF"/>
                <w:sz w:val="18"/>
              </w:rPr>
              <w:t>Avg PCAF Score</w:t>
            </w:r>
          </w:p>
        </w:tc>
        <w:tc>
          <w:tcPr>
            <w:tcW w:type="dxa" w:w="1806"/>
            <w:shd w:fill="1B3A6B" w:val="clear"/>
          </w:tcPr>
          <w:p>
            <w:r>
              <w:rPr>
                <w:rFonts w:ascii="Arial" w:hAnsi="Arial"/>
                <w:b/>
                <w:color w:val="FFFFFF"/>
                <w:sz w:val="18"/>
              </w:rPr>
              <w:t>Data Quality Tier</w:t>
            </w:r>
          </w:p>
        </w:tc>
        <w:tc>
          <w:tcPr>
            <w:tcW w:type="dxa" w:w="1806"/>
            <w:shd w:fill="1B3A6B" w:val="clear"/>
          </w:tcPr>
          <w:p>
            <w:r>
              <w:rPr>
                <w:rFonts w:ascii="Arial" w:hAnsi="Arial"/>
                <w:b/>
                <w:color w:val="FFFFFF"/>
                <w:sz w:val="18"/>
              </w:rPr>
              <w:t>Confidence Factor Range</w:t>
            </w:r>
          </w:p>
        </w:tc>
      </w:tr>
      <w:tr>
        <w:tc>
          <w:tcPr>
            <w:tcW w:type="dxa" w:w="1806"/>
          </w:tcPr>
          <w:p>
            <w:r>
              <w:rPr>
                <w:rFonts w:ascii="Arial" w:hAnsi="Arial"/>
                <w:sz w:val="18"/>
              </w:rPr>
              <w:t>Retail Trade</w:t>
            </w:r>
          </w:p>
        </w:tc>
        <w:tc>
          <w:tcPr>
            <w:tcW w:type="dxa" w:w="1806"/>
          </w:tcPr>
          <w:p>
            <w:pPr>
              <w:jc w:val="right"/>
            </w:pPr>
            <w:r>
              <w:rPr>
                <w:rFonts w:ascii="Arial" w:hAnsi="Arial"/>
                <w:sz w:val="18"/>
              </w:rPr>
              <w:t>209</w:t>
            </w:r>
          </w:p>
        </w:tc>
        <w:tc>
          <w:tcPr>
            <w:tcW w:type="dxa" w:w="1806"/>
          </w:tcPr>
          <w:p>
            <w:pPr>
              <w:jc w:val="right"/>
            </w:pPr>
            <w:r>
              <w:rPr>
                <w:rFonts w:ascii="Arial" w:hAnsi="Arial"/>
                <w:sz w:val="18"/>
              </w:rPr>
              <w:t>3.21</w:t>
            </w:r>
          </w:p>
        </w:tc>
        <w:tc>
          <w:tcPr>
            <w:tcW w:type="dxa" w:w="1806"/>
          </w:tcPr>
          <w:p>
            <w:r>
              <w:rPr>
                <w:rFonts w:ascii="Arial" w:hAnsi="Arial"/>
                <w:sz w:val="18"/>
              </w:rPr>
              <w:t>Score 3 (EEIO + Revenue)</w:t>
            </w:r>
          </w:p>
        </w:tc>
        <w:tc>
          <w:tcPr>
            <w:tcW w:type="dxa" w:w="1806"/>
          </w:tcPr>
          <w:p>
            <w:r>
              <w:rPr>
                <w:rFonts w:ascii="Arial" w:hAnsi="Arial"/>
                <w:sz w:val="18"/>
              </w:rPr>
              <w:t>0.70-0.80</w:t>
            </w:r>
          </w:p>
        </w:tc>
      </w:tr>
      <w:tr>
        <w:tc>
          <w:tcPr>
            <w:tcW w:type="dxa" w:w="1806"/>
            <w:shd w:fill="F2F6FC" w:val="clear"/>
          </w:tcPr>
          <w:p>
            <w:r>
              <w:rPr>
                <w:rFonts w:ascii="Arial" w:hAnsi="Arial"/>
                <w:sz w:val="18"/>
              </w:rPr>
              <w:t>Real Estate - Commercial</w:t>
            </w:r>
          </w:p>
        </w:tc>
        <w:tc>
          <w:tcPr>
            <w:tcW w:type="dxa" w:w="1806"/>
            <w:shd w:fill="F2F6FC" w:val="clear"/>
          </w:tcPr>
          <w:p>
            <w:pPr>
              <w:jc w:val="right"/>
            </w:pPr>
            <w:r>
              <w:rPr>
                <w:rFonts w:ascii="Arial" w:hAnsi="Arial"/>
                <w:sz w:val="18"/>
              </w:rPr>
              <w:t>290</w:t>
            </w:r>
          </w:p>
        </w:tc>
        <w:tc>
          <w:tcPr>
            <w:tcW w:type="dxa" w:w="1806"/>
            <w:shd w:fill="F2F6FC" w:val="clear"/>
          </w:tcPr>
          <w:p>
            <w:pPr>
              <w:jc w:val="right"/>
            </w:pPr>
            <w:r>
              <w:rPr>
                <w:rFonts w:ascii="Arial" w:hAnsi="Arial"/>
                <w:sz w:val="18"/>
              </w:rPr>
              <w:t>3.27</w:t>
            </w:r>
          </w:p>
        </w:tc>
        <w:tc>
          <w:tcPr>
            <w:tcW w:type="dxa" w:w="1806"/>
            <w:shd w:fill="F2F6FC" w:val="clear"/>
          </w:tcPr>
          <w:p>
            <w:r>
              <w:rPr>
                <w:rFonts w:ascii="Arial" w:hAnsi="Arial"/>
                <w:sz w:val="18"/>
              </w:rPr>
              <w:t>Score 3 (EEIO + Revenue)</w:t>
            </w:r>
          </w:p>
        </w:tc>
        <w:tc>
          <w:tcPr>
            <w:tcW w:type="dxa" w:w="1806"/>
            <w:shd w:fill="F2F6FC" w:val="clear"/>
          </w:tcPr>
          <w:p>
            <w:r>
              <w:rPr>
                <w:rFonts w:ascii="Arial" w:hAnsi="Arial"/>
                <w:sz w:val="18"/>
              </w:rPr>
              <w:t>0.70-0.80</w:t>
            </w:r>
          </w:p>
        </w:tc>
      </w:tr>
      <w:tr>
        <w:tc>
          <w:tcPr>
            <w:tcW w:type="dxa" w:w="1806"/>
          </w:tcPr>
          <w:p>
            <w:r>
              <w:rPr>
                <w:rFonts w:ascii="Arial" w:hAnsi="Arial"/>
                <w:sz w:val="18"/>
              </w:rPr>
              <w:t>Energy - Oil &amp; Gas</w:t>
            </w:r>
          </w:p>
        </w:tc>
        <w:tc>
          <w:tcPr>
            <w:tcW w:type="dxa" w:w="1806"/>
          </w:tcPr>
          <w:p>
            <w:pPr>
              <w:jc w:val="right"/>
            </w:pPr>
            <w:r>
              <w:rPr>
                <w:rFonts w:ascii="Arial" w:hAnsi="Arial"/>
                <w:sz w:val="18"/>
              </w:rPr>
              <w:t>135</w:t>
            </w:r>
          </w:p>
        </w:tc>
        <w:tc>
          <w:tcPr>
            <w:tcW w:type="dxa" w:w="1806"/>
          </w:tcPr>
          <w:p>
            <w:pPr>
              <w:jc w:val="right"/>
            </w:pPr>
            <w:r>
              <w:rPr>
                <w:rFonts w:ascii="Arial" w:hAnsi="Arial"/>
                <w:sz w:val="18"/>
              </w:rPr>
              <w:t>3.32</w:t>
            </w:r>
          </w:p>
        </w:tc>
        <w:tc>
          <w:tcPr>
            <w:tcW w:type="dxa" w:w="1806"/>
          </w:tcPr>
          <w:p>
            <w:r>
              <w:rPr>
                <w:rFonts w:ascii="Arial" w:hAnsi="Arial"/>
                <w:sz w:val="18"/>
              </w:rPr>
              <w:t>Score 3 (EEIO + Revenue)</w:t>
            </w:r>
          </w:p>
        </w:tc>
        <w:tc>
          <w:tcPr>
            <w:tcW w:type="dxa" w:w="1806"/>
          </w:tcPr>
          <w:p>
            <w:r>
              <w:rPr>
                <w:rFonts w:ascii="Arial" w:hAnsi="Arial"/>
                <w:sz w:val="18"/>
              </w:rPr>
              <w:t>0.70-0.80</w:t>
            </w:r>
          </w:p>
        </w:tc>
      </w:tr>
      <w:tr>
        <w:tc>
          <w:tcPr>
            <w:tcW w:type="dxa" w:w="1806"/>
            <w:shd w:fill="F2F6FC" w:val="clear"/>
          </w:tcPr>
          <w:p>
            <w:r>
              <w:rPr>
                <w:rFonts w:ascii="Arial" w:hAnsi="Arial"/>
                <w:sz w:val="18"/>
              </w:rPr>
              <w:t>Real Estate - Residential</w:t>
            </w:r>
          </w:p>
        </w:tc>
        <w:tc>
          <w:tcPr>
            <w:tcW w:type="dxa" w:w="1806"/>
            <w:shd w:fill="F2F6FC" w:val="clear"/>
          </w:tcPr>
          <w:p>
            <w:pPr>
              <w:jc w:val="right"/>
            </w:pPr>
            <w:r>
              <w:rPr>
                <w:rFonts w:ascii="Arial" w:hAnsi="Arial"/>
                <w:sz w:val="18"/>
              </w:rPr>
              <w:t>223</w:t>
            </w:r>
          </w:p>
        </w:tc>
        <w:tc>
          <w:tcPr>
            <w:tcW w:type="dxa" w:w="1806"/>
            <w:shd w:fill="F2F6FC" w:val="clear"/>
          </w:tcPr>
          <w:p>
            <w:pPr>
              <w:jc w:val="right"/>
            </w:pPr>
            <w:r>
              <w:rPr>
                <w:rFonts w:ascii="Arial" w:hAnsi="Arial"/>
                <w:sz w:val="18"/>
              </w:rPr>
              <w:t>3.32</w:t>
            </w:r>
          </w:p>
        </w:tc>
        <w:tc>
          <w:tcPr>
            <w:tcW w:type="dxa" w:w="1806"/>
            <w:shd w:fill="F2F6FC" w:val="clear"/>
          </w:tcPr>
          <w:p>
            <w:r>
              <w:rPr>
                <w:rFonts w:ascii="Arial" w:hAnsi="Arial"/>
                <w:sz w:val="18"/>
              </w:rPr>
              <w:t>Score 3 (EEIO + Revenue)</w:t>
            </w:r>
          </w:p>
        </w:tc>
        <w:tc>
          <w:tcPr>
            <w:tcW w:type="dxa" w:w="1806"/>
            <w:shd w:fill="F2F6FC" w:val="clear"/>
          </w:tcPr>
          <w:p>
            <w:r>
              <w:rPr>
                <w:rFonts w:ascii="Arial" w:hAnsi="Arial"/>
                <w:sz w:val="18"/>
              </w:rPr>
              <w:t>0.70-0.80</w:t>
            </w:r>
          </w:p>
        </w:tc>
      </w:tr>
      <w:tr>
        <w:tc>
          <w:tcPr>
            <w:tcW w:type="dxa" w:w="1806"/>
          </w:tcPr>
          <w:p>
            <w:r>
              <w:rPr>
                <w:rFonts w:ascii="Arial" w:hAnsi="Arial"/>
                <w:sz w:val="18"/>
              </w:rPr>
              <w:t>Manufacturing - Steel</w:t>
            </w:r>
          </w:p>
        </w:tc>
        <w:tc>
          <w:tcPr>
            <w:tcW w:type="dxa" w:w="1806"/>
          </w:tcPr>
          <w:p>
            <w:pPr>
              <w:jc w:val="right"/>
            </w:pPr>
            <w:r>
              <w:rPr>
                <w:rFonts w:ascii="Arial" w:hAnsi="Arial"/>
                <w:sz w:val="18"/>
              </w:rPr>
              <w:t>122</w:t>
            </w:r>
          </w:p>
        </w:tc>
        <w:tc>
          <w:tcPr>
            <w:tcW w:type="dxa" w:w="1806"/>
          </w:tcPr>
          <w:p>
            <w:pPr>
              <w:jc w:val="right"/>
            </w:pPr>
            <w:r>
              <w:rPr>
                <w:rFonts w:ascii="Arial" w:hAnsi="Arial"/>
                <w:sz w:val="18"/>
              </w:rPr>
              <w:t>3.35</w:t>
            </w:r>
          </w:p>
        </w:tc>
        <w:tc>
          <w:tcPr>
            <w:tcW w:type="dxa" w:w="1806"/>
          </w:tcPr>
          <w:p>
            <w:r>
              <w:rPr>
                <w:rFonts w:ascii="Arial" w:hAnsi="Arial"/>
                <w:sz w:val="18"/>
              </w:rPr>
              <w:t>Score 3-4 Boundary</w:t>
            </w:r>
          </w:p>
        </w:tc>
        <w:tc>
          <w:tcPr>
            <w:tcW w:type="dxa" w:w="1806"/>
          </w:tcPr>
          <w:p>
            <w:r>
              <w:rPr>
                <w:rFonts w:ascii="Arial" w:hAnsi="Arial"/>
                <w:sz w:val="18"/>
              </w:rPr>
              <w:t>0.60-0.75</w:t>
            </w:r>
          </w:p>
        </w:tc>
      </w:tr>
      <w:tr>
        <w:tc>
          <w:tcPr>
            <w:tcW w:type="dxa" w:w="1806"/>
            <w:shd w:fill="F2F6FC" w:val="clear"/>
          </w:tcPr>
          <w:p>
            <w:r>
              <w:rPr>
                <w:rFonts w:ascii="Arial" w:hAnsi="Arial"/>
                <w:sz w:val="18"/>
              </w:rPr>
              <w:t>Manufacturing - Food &amp; Beverage</w:t>
            </w:r>
          </w:p>
        </w:tc>
        <w:tc>
          <w:tcPr>
            <w:tcW w:type="dxa" w:w="1806"/>
            <w:shd w:fill="F2F6FC" w:val="clear"/>
          </w:tcPr>
          <w:p>
            <w:pPr>
              <w:jc w:val="right"/>
            </w:pPr>
            <w:r>
              <w:rPr>
                <w:rFonts w:ascii="Arial" w:hAnsi="Arial"/>
                <w:sz w:val="18"/>
              </w:rPr>
              <w:t>206</w:t>
            </w:r>
          </w:p>
        </w:tc>
        <w:tc>
          <w:tcPr>
            <w:tcW w:type="dxa" w:w="1806"/>
            <w:shd w:fill="F2F6FC" w:val="clear"/>
          </w:tcPr>
          <w:p>
            <w:pPr>
              <w:jc w:val="right"/>
            </w:pPr>
            <w:r>
              <w:rPr>
                <w:rFonts w:ascii="Arial" w:hAnsi="Arial"/>
                <w:sz w:val="18"/>
              </w:rPr>
              <w:t>3.35</w:t>
            </w:r>
          </w:p>
        </w:tc>
        <w:tc>
          <w:tcPr>
            <w:tcW w:type="dxa" w:w="1806"/>
            <w:shd w:fill="F2F6FC" w:val="clear"/>
          </w:tcPr>
          <w:p>
            <w:r>
              <w:rPr>
                <w:rFonts w:ascii="Arial" w:hAnsi="Arial"/>
                <w:sz w:val="18"/>
              </w:rPr>
              <w:t>Score 3-4 Boundary</w:t>
            </w:r>
          </w:p>
        </w:tc>
        <w:tc>
          <w:tcPr>
            <w:tcW w:type="dxa" w:w="1806"/>
            <w:shd w:fill="F2F6FC" w:val="clear"/>
          </w:tcPr>
          <w:p>
            <w:r>
              <w:rPr>
                <w:rFonts w:ascii="Arial" w:hAnsi="Arial"/>
                <w:sz w:val="18"/>
              </w:rPr>
              <w:t>0.60-0.75</w:t>
            </w:r>
          </w:p>
        </w:tc>
      </w:tr>
      <w:tr>
        <w:tc>
          <w:tcPr>
            <w:tcW w:type="dxa" w:w="1806"/>
          </w:tcPr>
          <w:p>
            <w:r>
              <w:rPr>
                <w:rFonts w:ascii="Arial" w:hAnsi="Arial"/>
                <w:sz w:val="18"/>
              </w:rPr>
              <w:t>Transportation - Road</w:t>
            </w:r>
          </w:p>
        </w:tc>
        <w:tc>
          <w:tcPr>
            <w:tcW w:type="dxa" w:w="1806"/>
          </w:tcPr>
          <w:p>
            <w:pPr>
              <w:jc w:val="right"/>
            </w:pPr>
            <w:r>
              <w:rPr>
                <w:rFonts w:ascii="Arial" w:hAnsi="Arial"/>
                <w:sz w:val="18"/>
              </w:rPr>
              <w:t>189</w:t>
            </w:r>
          </w:p>
        </w:tc>
        <w:tc>
          <w:tcPr>
            <w:tcW w:type="dxa" w:w="1806"/>
          </w:tcPr>
          <w:p>
            <w:pPr>
              <w:jc w:val="right"/>
            </w:pPr>
            <w:r>
              <w:rPr>
                <w:rFonts w:ascii="Arial" w:hAnsi="Arial"/>
                <w:sz w:val="18"/>
              </w:rPr>
              <w:t>3.36</w:t>
            </w:r>
          </w:p>
        </w:tc>
        <w:tc>
          <w:tcPr>
            <w:tcW w:type="dxa" w:w="1806"/>
          </w:tcPr>
          <w:p>
            <w:r>
              <w:rPr>
                <w:rFonts w:ascii="Arial" w:hAnsi="Arial"/>
                <w:sz w:val="18"/>
              </w:rPr>
              <w:t>Score 3-4 Boundary</w:t>
            </w:r>
          </w:p>
        </w:tc>
        <w:tc>
          <w:tcPr>
            <w:tcW w:type="dxa" w:w="1806"/>
          </w:tcPr>
          <w:p>
            <w:r>
              <w:rPr>
                <w:rFonts w:ascii="Arial" w:hAnsi="Arial"/>
                <w:sz w:val="18"/>
              </w:rPr>
              <w:t>0.60-0.75</w:t>
            </w:r>
          </w:p>
        </w:tc>
      </w:tr>
      <w:tr>
        <w:tc>
          <w:tcPr>
            <w:tcW w:type="dxa" w:w="1806"/>
            <w:shd w:fill="F2F6FC" w:val="clear"/>
          </w:tcPr>
          <w:p>
            <w:r>
              <w:rPr>
                <w:rFonts w:ascii="Arial" w:hAnsi="Arial"/>
                <w:sz w:val="18"/>
              </w:rPr>
              <w:t>Manufacturing - Cement</w:t>
            </w:r>
          </w:p>
        </w:tc>
        <w:tc>
          <w:tcPr>
            <w:tcW w:type="dxa" w:w="1806"/>
            <w:shd w:fill="F2F6FC" w:val="clear"/>
          </w:tcPr>
          <w:p>
            <w:pPr>
              <w:jc w:val="right"/>
            </w:pPr>
            <w:r>
              <w:rPr>
                <w:rFonts w:ascii="Arial" w:hAnsi="Arial"/>
                <w:sz w:val="18"/>
              </w:rPr>
              <w:t>161</w:t>
            </w:r>
          </w:p>
        </w:tc>
        <w:tc>
          <w:tcPr>
            <w:tcW w:type="dxa" w:w="1806"/>
            <w:shd w:fill="F2F6FC" w:val="clear"/>
          </w:tcPr>
          <w:p>
            <w:pPr>
              <w:jc w:val="right"/>
            </w:pPr>
            <w:r>
              <w:rPr>
                <w:rFonts w:ascii="Arial" w:hAnsi="Arial"/>
                <w:sz w:val="18"/>
              </w:rPr>
              <w:t>3.4</w:t>
            </w:r>
          </w:p>
        </w:tc>
        <w:tc>
          <w:tcPr>
            <w:tcW w:type="dxa" w:w="1806"/>
            <w:shd w:fill="F2F6FC" w:val="clear"/>
          </w:tcPr>
          <w:p>
            <w:r>
              <w:rPr>
                <w:rFonts w:ascii="Arial" w:hAnsi="Arial"/>
                <w:sz w:val="18"/>
              </w:rPr>
              <w:t>Score 3-4 Boundary</w:t>
            </w:r>
          </w:p>
        </w:tc>
        <w:tc>
          <w:tcPr>
            <w:tcW w:type="dxa" w:w="1806"/>
            <w:shd w:fill="F2F6FC" w:val="clear"/>
          </w:tcPr>
          <w:p>
            <w:r>
              <w:rPr>
                <w:rFonts w:ascii="Arial" w:hAnsi="Arial"/>
                <w:sz w:val="18"/>
              </w:rPr>
              <w:t>0.60-0.75</w:t>
            </w:r>
          </w:p>
        </w:tc>
      </w:tr>
      <w:tr>
        <w:tc>
          <w:tcPr>
            <w:tcW w:type="dxa" w:w="1806"/>
          </w:tcPr>
          <w:p>
            <w:r>
              <w:rPr>
                <w:rFonts w:ascii="Arial" w:hAnsi="Arial"/>
                <w:sz w:val="18"/>
              </w:rPr>
              <w:t>Agriculture</w:t>
            </w:r>
          </w:p>
        </w:tc>
        <w:tc>
          <w:tcPr>
            <w:tcW w:type="dxa" w:w="1806"/>
          </w:tcPr>
          <w:p>
            <w:pPr>
              <w:jc w:val="right"/>
            </w:pPr>
            <w:r>
              <w:rPr>
                <w:rFonts w:ascii="Arial" w:hAnsi="Arial"/>
                <w:sz w:val="18"/>
              </w:rPr>
              <w:t>163</w:t>
            </w:r>
          </w:p>
        </w:tc>
        <w:tc>
          <w:tcPr>
            <w:tcW w:type="dxa" w:w="1806"/>
          </w:tcPr>
          <w:p>
            <w:pPr>
              <w:jc w:val="right"/>
            </w:pPr>
            <w:r>
              <w:rPr>
                <w:rFonts w:ascii="Arial" w:hAnsi="Arial"/>
                <w:sz w:val="18"/>
              </w:rPr>
              <w:t>3.41</w:t>
            </w:r>
          </w:p>
        </w:tc>
        <w:tc>
          <w:tcPr>
            <w:tcW w:type="dxa" w:w="1806"/>
          </w:tcPr>
          <w:p>
            <w:r>
              <w:rPr>
                <w:rFonts w:ascii="Arial" w:hAnsi="Arial"/>
                <w:sz w:val="18"/>
              </w:rPr>
              <w:t>Score 3-4 Boundary</w:t>
            </w:r>
          </w:p>
        </w:tc>
        <w:tc>
          <w:tcPr>
            <w:tcW w:type="dxa" w:w="1806"/>
          </w:tcPr>
          <w:p>
            <w:r>
              <w:rPr>
                <w:rFonts w:ascii="Arial" w:hAnsi="Arial"/>
                <w:sz w:val="18"/>
              </w:rPr>
              <w:t>0.60-0.75</w:t>
            </w:r>
          </w:p>
        </w:tc>
      </w:tr>
      <w:tr>
        <w:tc>
          <w:tcPr>
            <w:tcW w:type="dxa" w:w="1806"/>
            <w:shd w:fill="F2F6FC" w:val="clear"/>
          </w:tcPr>
          <w:p>
            <w:r>
              <w:rPr>
                <w:rFonts w:ascii="Arial" w:hAnsi="Arial"/>
                <w:sz w:val="18"/>
              </w:rPr>
              <w:t>Financial Services</w:t>
            </w:r>
          </w:p>
        </w:tc>
        <w:tc>
          <w:tcPr>
            <w:tcW w:type="dxa" w:w="1806"/>
            <w:shd w:fill="F2F6FC" w:val="clear"/>
          </w:tcPr>
          <w:p>
            <w:pPr>
              <w:jc w:val="right"/>
            </w:pPr>
            <w:r>
              <w:rPr>
                <w:rFonts w:ascii="Arial" w:hAnsi="Arial"/>
                <w:sz w:val="18"/>
              </w:rPr>
              <w:t>257</w:t>
            </w:r>
          </w:p>
        </w:tc>
        <w:tc>
          <w:tcPr>
            <w:tcW w:type="dxa" w:w="1806"/>
            <w:shd w:fill="F2F6FC" w:val="clear"/>
          </w:tcPr>
          <w:p>
            <w:pPr>
              <w:jc w:val="right"/>
            </w:pPr>
            <w:r>
              <w:rPr>
                <w:rFonts w:ascii="Arial" w:hAnsi="Arial"/>
                <w:sz w:val="18"/>
              </w:rPr>
              <w:t>3.42</w:t>
            </w:r>
          </w:p>
        </w:tc>
        <w:tc>
          <w:tcPr>
            <w:tcW w:type="dxa" w:w="1806"/>
            <w:shd w:fill="F2F6FC" w:val="clear"/>
          </w:tcPr>
          <w:p>
            <w:r>
              <w:rPr>
                <w:rFonts w:ascii="Arial" w:hAnsi="Arial"/>
                <w:sz w:val="18"/>
              </w:rPr>
              <w:t>Score 3-4 Boundary</w:t>
            </w:r>
          </w:p>
        </w:tc>
        <w:tc>
          <w:tcPr>
            <w:tcW w:type="dxa" w:w="1806"/>
            <w:shd w:fill="F2F6FC" w:val="clear"/>
          </w:tcPr>
          <w:p>
            <w:r>
              <w:rPr>
                <w:rFonts w:ascii="Arial" w:hAnsi="Arial"/>
                <w:sz w:val="18"/>
              </w:rPr>
              <w:t>0.60-0.75</w:t>
            </w:r>
          </w:p>
        </w:tc>
      </w:tr>
    </w:tbl>
    <w:p>
      <w:r>
        <w:rPr>
          <w:rFonts w:ascii="Arial" w:hAnsi="Arial"/>
          <w:i/>
          <w:sz w:val="16"/>
        </w:rPr>
        <w:t>Source: Source: PCAF Global GHG Accounting Standard scoring methodology. Portfolio-weighted average: 3.36. No sectors achieved Score 2 or better (reported emissions data).</w:t>
      </w:r>
    </w:p>
    <w:p/>
    <w:p>
      <w:r>
        <w:rPr>
          <w:rFonts w:ascii="Arial" w:hAnsi="Arial"/>
          <w:b/>
          <w:sz w:val="20"/>
        </w:rPr>
        <w:t>Table 3: Year-over-Year Financed Emissions Trend</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 Change</w:t>
            </w:r>
          </w:p>
        </w:tc>
      </w:tr>
      <w:tr>
        <w:tc>
          <w:tcPr>
            <w:tcW w:type="dxa" w:w="1806"/>
          </w:tcPr>
          <w:p>
            <w:r>
              <w:rPr>
                <w:rFonts w:ascii="Arial" w:hAnsi="Arial"/>
                <w:sz w:val="18"/>
              </w:rPr>
              <w:t>Gross Financed Emissions (tCO2e)</w:t>
            </w:r>
          </w:p>
        </w:tc>
        <w:tc>
          <w:tcPr>
            <w:tcW w:type="dxa" w:w="1806"/>
          </w:tcPr>
          <w:p>
            <w:pPr>
              <w:jc w:val="right"/>
            </w:pPr>
            <w:r>
              <w:rPr>
                <w:rFonts w:ascii="Arial" w:hAnsi="Arial"/>
                <w:sz w:val="18"/>
              </w:rPr>
              <w:t>22,911,991.05</w:t>
            </w:r>
          </w:p>
        </w:tc>
        <w:tc>
          <w:tcPr>
            <w:tcW w:type="dxa" w:w="1806"/>
          </w:tcPr>
          <w:p>
            <w:pPr>
              <w:jc w:val="right"/>
            </w:pPr>
            <w:r>
              <w:rPr>
                <w:rFonts w:ascii="Arial" w:hAnsi="Arial"/>
                <w:sz w:val="18"/>
              </w:rPr>
              <w:t>21,976,797.3</w:t>
            </w:r>
          </w:p>
        </w:tc>
        <w:tc>
          <w:tcPr>
            <w:tcW w:type="dxa" w:w="1806"/>
          </w:tcPr>
          <w:p>
            <w:pPr>
              <w:jc w:val="right"/>
            </w:pPr>
            <w:r>
              <w:rPr>
                <w:rFonts w:ascii="Arial" w:hAnsi="Arial"/>
                <w:sz w:val="18"/>
              </w:rPr>
              <w:t>-935,193.75</w:t>
            </w:r>
          </w:p>
        </w:tc>
        <w:tc>
          <w:tcPr>
            <w:tcW w:type="dxa" w:w="1806"/>
          </w:tcPr>
          <w:p>
            <w:pPr>
              <w:jc w:val="right"/>
            </w:pPr>
            <w:r>
              <w:rPr>
                <w:rFonts w:ascii="Arial" w:hAnsi="Arial"/>
                <w:sz w:val="18"/>
              </w:rPr>
              <w:t>-4.07%</w:t>
            </w:r>
          </w:p>
        </w:tc>
      </w:tr>
      <w:tr>
        <w:tc>
          <w:tcPr>
            <w:tcW w:type="dxa" w:w="1806"/>
            <w:shd w:fill="F2F6FC" w:val="clear"/>
          </w:tcPr>
          <w:p>
            <w:r>
              <w:rPr>
                <w:rFonts w:ascii="Arial" w:hAnsi="Arial"/>
                <w:sz w:val="18"/>
              </w:rPr>
              <w:t>Weighted Financed Emissions (tCO2e)</w:t>
            </w:r>
          </w:p>
        </w:tc>
        <w:tc>
          <w:tcPr>
            <w:tcW w:type="dxa" w:w="1806"/>
            <w:shd w:fill="F2F6FC" w:val="clear"/>
          </w:tcPr>
          <w:p>
            <w:pPr>
              <w:jc w:val="right"/>
            </w:pPr>
            <w:r>
              <w:rPr>
                <w:rFonts w:ascii="Arial" w:hAnsi="Arial"/>
                <w:sz w:val="18"/>
              </w:rPr>
              <w:t>15,576,239.57</w:t>
            </w:r>
          </w:p>
        </w:tc>
        <w:tc>
          <w:tcPr>
            <w:tcW w:type="dxa" w:w="1806"/>
            <w:shd w:fill="F2F6FC" w:val="clear"/>
          </w:tcPr>
          <w:p>
            <w:pPr>
              <w:jc w:val="right"/>
            </w:pPr>
            <w:r>
              <w:rPr>
                <w:rFonts w:ascii="Arial" w:hAnsi="Arial"/>
                <w:sz w:val="18"/>
              </w:rPr>
              <w:t>15,280,174.14</w:t>
            </w:r>
          </w:p>
        </w:tc>
        <w:tc>
          <w:tcPr>
            <w:tcW w:type="dxa" w:w="1806"/>
            <w:shd w:fill="F2F6FC" w:val="clear"/>
          </w:tcPr>
          <w:p>
            <w:pPr>
              <w:jc w:val="right"/>
            </w:pPr>
            <w:r>
              <w:rPr>
                <w:rFonts w:ascii="Arial" w:hAnsi="Arial"/>
                <w:sz w:val="18"/>
              </w:rPr>
              <w:t>-296,065.43</w:t>
            </w:r>
          </w:p>
        </w:tc>
        <w:tc>
          <w:tcPr>
            <w:tcW w:type="dxa" w:w="1806"/>
            <w:shd w:fill="F2F6FC" w:val="clear"/>
          </w:tcPr>
          <w:p>
            <w:pPr>
              <w:jc w:val="right"/>
            </w:pPr>
            <w:r>
              <w:rPr>
                <w:rFonts w:ascii="Arial" w:hAnsi="Arial"/>
                <w:sz w:val="18"/>
              </w:rPr>
              <w:t>-1.90%</w:t>
            </w:r>
          </w:p>
        </w:tc>
      </w:tr>
      <w:tr>
        <w:tc>
          <w:tcPr>
            <w:tcW w:type="dxa" w:w="1806"/>
          </w:tcPr>
          <w:p>
            <w:r>
              <w:rPr>
                <w:rFonts w:ascii="Arial" w:hAnsi="Arial"/>
                <w:sz w:val="18"/>
              </w:rPr>
              <w:t>Portfolio-Weighted PCAF Score</w:t>
            </w:r>
          </w:p>
        </w:tc>
        <w:tc>
          <w:tcPr>
            <w:tcW w:type="dxa" w:w="1806"/>
          </w:tcPr>
          <w:p>
            <w:r>
              <w:rPr>
                <w:rFonts w:ascii="Arial" w:hAnsi="Arial"/>
                <w:sz w:val="18"/>
              </w:rPr>
              <w:t>Not Disclosed</w:t>
            </w:r>
          </w:p>
        </w:tc>
        <w:tc>
          <w:tcPr>
            <w:tcW w:type="dxa" w:w="1806"/>
          </w:tcPr>
          <w:p>
            <w:pPr>
              <w:jc w:val="right"/>
            </w:pPr>
            <w:r>
              <w:rPr>
                <w:rFonts w:ascii="Arial" w:hAnsi="Arial"/>
                <w:sz w:val="18"/>
              </w:rPr>
              <w:t>3.36</w:t>
            </w:r>
          </w:p>
        </w:tc>
        <w:tc>
          <w:tcPr>
            <w:tcW w:type="dxa" w:w="1806"/>
          </w:tcPr>
          <w:p>
            <w:r>
              <w:rPr>
                <w:rFonts w:ascii="Arial" w:hAnsi="Arial"/>
                <w:sz w:val="18"/>
              </w:rPr>
              <w:t>N/A</w:t>
            </w:r>
          </w:p>
        </w:tc>
        <w:tc>
          <w:tcPr>
            <w:tcW w:type="dxa" w:w="1806"/>
          </w:tcPr>
          <w:p>
            <w:r>
              <w:rPr>
                <w:rFonts w:ascii="Arial" w:hAnsi="Arial"/>
                <w:sz w:val="18"/>
              </w:rPr>
              <w:t>N/A</w:t>
            </w:r>
          </w:p>
        </w:tc>
      </w:tr>
    </w:tbl>
    <w:p>
      <w:r>
        <w:rPr>
          <w:rFonts w:ascii="Arial" w:hAnsi="Arial"/>
          <w:i/>
          <w:sz w:val="16"/>
        </w:rPr>
        <w:t>Source: Source: Annual PCAF calculations. Weighted figures apply confidence factors per PCAF methodology. 2023 PCAF score not available for comparison.</w:t>
      </w:r>
    </w:p>
    <w:p/>
    <w:p>
      <w:r>
        <w:rPr>
          <w:i/>
          <w:color w:val="3D6094"/>
          <w:sz w:val="18"/>
        </w:rPr>
        <w:t>Framework references: GRI 305-3 (Other Indirect Scope 3 GHG Emissions); PCAF Global GHG Accounting Standard (2022); GHG Protocol Corporate Value Chain (Scope 3) Standard; NACE Rev.2 Sector Classification</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PCAF Confidence Factor Methodology: Score 1 (1.00) = Verified borrower data; Score 2 (0.90) = Reported unverified; Score 3 (0.75) = EEIO + revenue; Score 4 (0.60) = EEIO + assets; Score 5 (0.45) = Sector average proxy.</w:t>
      </w:r>
    </w:p>
    <w:p>
      <w:pPr>
        <w:spacing w:after="160" w:line="276" w:lineRule="auto"/>
        <w:jc w:val="both"/>
      </w:pPr>
      <w:r>
        <w:rPr>
          <w:rFonts w:ascii="Arial" w:hAnsi="Arial"/>
          <w:i/>
          <w:color w:val="646464"/>
          <w:sz w:val="18"/>
        </w:rPr>
        <w:t>Gross financed emissions represent absolute attributable emissions without data quality adjustment. Weighted financed emissions apply PCAF confidence factors to reflect data reliability. Weighted figures will always be less than or equal to gross figures.</w:t>
      </w:r>
    </w:p>
    <w:p>
      <w:pPr>
        <w:spacing w:after="160" w:line="276" w:lineRule="auto"/>
        <w:jc w:val="both"/>
      </w:pPr>
      <w:r>
        <w:rPr>
          <w:rFonts w:ascii="Arial" w:hAnsi="Arial"/>
          <w:i/>
          <w:color w:val="646464"/>
          <w:sz w:val="18"/>
        </w:rPr>
        <w:t>Portfolio coverage percentage (% of total assets included in PCAF calculation) is not yet captured in the institution's reporting system. PCAF signatory institutions should achieve &gt;90% coverage within three years of joining.</w:t>
      </w:r>
    </w:p>
    <w:p>
      <w:pPr>
        <w:spacing w:after="160" w:line="276" w:lineRule="auto"/>
        <w:jc w:val="both"/>
      </w:pPr>
      <w:r>
        <w:rPr>
          <w:rFonts w:ascii="Arial" w:hAnsi="Arial"/>
          <w:i/>
          <w:color w:val="646464"/>
          <w:sz w:val="18"/>
        </w:rPr>
        <w:t>Year-over-year comparison uses consistent methodology across periods. The 2023 portfolio-weighted PCAF score was not disclosed in prior reporting, limiting data quality trend analysis.</w:t>
      </w:r>
    </w:p>
    <w:p>
      <w:pPr>
        <w:spacing w:after="160" w:line="276" w:lineRule="auto"/>
        <w:jc w:val="both"/>
      </w:pPr>
      <w:r>
        <w:rPr>
          <w:rFonts w:ascii="Arial" w:hAnsi="Arial"/>
          <w:i/>
          <w:color w:val="646464"/>
          <w:sz w:val="18"/>
        </w:rPr>
        <w:t>Sector classification follows NACE Rev.2 taxonomy aligned with PCAF Global GHG Accounting Standard requirements.</w:t>
      </w:r>
    </w:p>
    <w:p>
      <w:pPr>
        <w:spacing w:after="160" w:line="276" w:lineRule="auto"/>
        <w:jc w:val="both"/>
      </w:pPr>
      <w:r>
        <w:rPr>
          <w:rFonts w:ascii="Arial" w:hAnsi="Arial"/>
          <w:i/>
          <w:color w:val="646464"/>
          <w:sz w:val="18"/>
        </w:rPr>
        <w:t>GRI Content Index: 305-3 | Other indirect (Scope 3) GHG emissions | Section 4.3</w:t>
      </w:r>
    </w:p>
    <w:p>
      <w:r>
        <w:br w:type="page"/>
      </w:r>
    </w:p>
    <w:p>
      <w:pPr>
        <w:pStyle w:val="Heading1"/>
        <w:keepNext/>
        <w:spacing w:before="480" w:after="240"/>
      </w:pPr>
      <w:r>
        <w:rPr>
          <w:rFonts w:ascii="Arial" w:hAnsi="Arial"/>
          <w:b/>
          <w:color w:val="1B3A6B"/>
          <w:sz w:val="36"/>
        </w:rPr>
        <w:t>ESRS E1-6: Scope 3 Category 15 — Financed Emissions (PCAF Methodology)</w:t>
      </w:r>
    </w:p>
    <w:p>
      <w:pPr>
        <w:spacing w:after="160" w:line="276" w:lineRule="auto"/>
        <w:jc w:val="both"/>
      </w:pPr>
      <w:r>
        <w:rPr>
          <w:rFonts w:ascii="Arial" w:hAnsi="Arial"/>
          <w:sz w:val="22"/>
        </w:rPr>
        <w:t>**Double Materiality Context**: Climate change has been assessed as material under both impact materiality (the institution's impact on climate through financed emissions in its value chain) and financial materiality (climate-related risks and opportunities affecting the institution's financial position, performance, and cash flows). Financed emissions represent the institution's most significant climate impact, constituting the downstream component of its value chain under ESRS E1-6 disclosure requirements.</w:t>
      </w:r>
    </w:p>
    <w:p>
      <w:pPr>
        <w:spacing w:after="160" w:line="276" w:lineRule="auto"/>
        <w:jc w:val="both"/>
      </w:pPr>
      <w:r>
        <w:rPr>
          <w:rFonts w:ascii="Arial" w:hAnsi="Arial"/>
          <w:sz w:val="22"/>
        </w:rPr>
        <w:t>For the reporting period ending 31 December 2024, the institution's gross financed emissions totalled **21,976,797.3 tCO2e** across a corporate lending portfolio of IDR 1,541.18 trillion. These emissions represent the absolute greenhouse gas footprint attributable to the institution's lending activities under the Partnership for Carbon Accounting Financials (PCAF) Global GHG Accounting Standard. The confidence-weighted financed emissions, adjusted for data quality using PCAF confidence factors, totalled **15,280,174.14 tCO2e**. The weighted figure reflects a portfolio-weighted average PCAF data quality score of 3.36 out of 5.0, indicating reliance on economic input-output models combined with borrower-specific revenue or asset data for the majority of the portfolio.</w:t>
      </w:r>
    </w:p>
    <w:p>
      <w:pPr>
        <w:spacing w:after="160" w:line="276" w:lineRule="auto"/>
        <w:jc w:val="both"/>
      </w:pPr>
      <w:r>
        <w:rPr>
          <w:rFonts w:ascii="Arial" w:hAnsi="Arial"/>
          <w:i/>
          <w:sz w:val="22"/>
        </w:rPr>
        <w:t>**PCAF Methodology**: Financed emissions are calculated using the attribution factor approach prescribed by the PCAF Standard (Second Edition, 2022). For each borrower, the institution's proportional share of total emissions is determined by the ratio of outstanding loan amount to the borrower's total equity plus debt (enterprise value). The formula applied is: *Financed Emissions = Borrower's Total Emissions × (Outstanding Amount ÷ Borrower's Enterprise Value)*. Asset classes covered in this disclosure include corporate loans and project finance. Borrower emissions are sourced hierarchically: verified disclosures (CDP, sustainability reports) where available; reported but unverified data; economic input-output databases (EEIO) combined with borrower financial metrics; and sector-average proxies as a last resort. Each data source is assigned a PCAF data quality score from 1 (highest quality, verified data) to 5 (lowest quality, sector averages), with corresponding confidence factors ranging from 1.00 to 0.45. The confidence-weighted emissions apply these factors to reflect data uncertainty, providing a conservative estimate of the institution's true financed emissions.</w:t>
      </w:r>
    </w:p>
    <w:p>
      <w:pPr>
        <w:spacing w:after="160" w:line="276" w:lineRule="auto"/>
        <w:jc w:val="both"/>
      </w:pPr>
      <w:r>
        <w:rPr>
          <w:rFonts w:ascii="Arial" w:hAnsi="Arial"/>
          <w:sz w:val="22"/>
        </w:rPr>
        <w:t>**Sector Concentration and Value Chain Impact**: The institution's financed emissions exhibit significant concentration in carbon-intensive sectors. The Energy - Oil &amp; Gas sector accounts for 43.56% of total financed emissions (9,573,144.27 tCO2e gross; 6,753,948.71 tCO2e weighted) despite representing only 6.66% of the portfolio by outstanding amount (IDR 102.67 trillion). Manufacturing - Cement contributes 26.45% of financed emissions (5,813,830.91 tCO2e gross; 4,168,058.43 tCO2e weighted) from 6.99% of portfolio exposure (IDR 107.68 trillion). Manufacturing - Steel represents 15.92% of financed emissions (3,499,463.0 tCO2e gross; 2,228,739.65 tCO2e weighted) from 7.05% of portfolio exposure (IDR 108.62 trillion). These three sectors collectively account for 85.93% of the institution's financed emissions while representing only 20.70% of portfolio value, demonstrating the emission intensity disparity across the value chain. Lower-intensity sectors include Real Estate - Residential (0.49% of emissions, 10.93% of portfolio), Financial Services (0.34% of emissions, 13.41% of portfolio), and Retail Trade (1.03% of emissions, 9.92% of portfolio).</w:t>
      </w:r>
    </w:p>
    <w:p>
      <w:pPr>
        <w:spacing w:after="160" w:line="276" w:lineRule="auto"/>
        <w:jc w:val="both"/>
      </w:pPr>
      <w:r>
        <w:rPr>
          <w:rFonts w:ascii="Arial" w:hAnsi="Arial"/>
          <w:sz w:val="22"/>
        </w:rPr>
        <w:t>**Data Quality Assessment**: The portfolio-weighted average PCAF data quality score of 3.36 indicates that the majority of financed emissions calculations rely on EEIO models combined with borrower-specific revenue data (PCAF Score 3, confidence factor 0.75). This data quality profile is consistent with early-stage PCAF implementation in emerging markets where borrower-level emissions disclosures remain limited. Sector-specific data quality varies: Real Estate - Commercial achieves the highest quality score of 3.27 (reflecting standardised building energy models), while Financial Services records the lowest at 3.42 (due to limited Scope 3 transparency in financial sector borrowers). The institution has not yet achieved the PCAF Partnership threshold of &gt;50% portfolio coverage at Score 2 or better (verified or reported emissions data). Current high-quality data coverage (Scores 1-2) is estimated at less than 15% of portfolio value, representing a material data gap relative to international financial institution peers.</w:t>
      </w:r>
    </w:p>
    <w:p>
      <w:pPr>
        <w:spacing w:after="160" w:line="276" w:lineRule="auto"/>
        <w:jc w:val="both"/>
      </w:pPr>
      <w:r>
        <w:rPr>
          <w:rFonts w:ascii="Arial" w:hAnsi="Arial"/>
          <w:sz w:val="22"/>
        </w:rPr>
        <w:t>**Gross vs Confidence-Weighted Emissions Distinction**: The institution reports both gross financed emissions (21,976,797.3 tCO2e) and confidence-weighted financed emissions (15,280,174.14 tCO2e) to provide transparency on data quality impact. The 30.47% reduction from gross to weighted figures reflects the application of PCAF confidence factors, which discount emissions calculated using lower-quality data sources. Gross emissions represent the institution's best estimate of absolute financed emissions assuming all data sources are equally reliable. Confidence-weighted emissions provide a conservative estimate that accounts for uncertainty, with higher discounts applied to EEIO-based calculations (25% discount for Score 3) and sector-average proxies (55% discount for Score 5). This dual reporting approach aligns with PCAF Standard requirements and enables year-over-year comparability as data quality improves. The institution's target is to reduce the gross-to-weighted gap to below 15% by 2027 through enhanced borrower engagement and primary data collection.</w:t>
      </w:r>
    </w:p>
    <w:p>
      <w:pPr>
        <w:spacing w:after="160" w:line="276" w:lineRule="auto"/>
        <w:jc w:val="both"/>
      </w:pPr>
      <w:r>
        <w:rPr>
          <w:rFonts w:ascii="Arial" w:hAnsi="Arial"/>
          <w:sz w:val="22"/>
        </w:rPr>
        <w:t>**Year-over-Year Trend**: Confidence-weighted financed emissions decreased by 4.07% compared to the prior reporting period (2023: 15,576,239.57 tCO2e; 2024: 15,280,174.14 tCO2e), representing an absolute reduction of 296,065.43 tCO2e. This decline occurred despite a 2.03% increase in total portfolio outstanding, indicating improved emission intensity across the lending book. The reduction is attributed to three factors: (1) decreased exposure to the Energy - Oil &amp; Gas sector through natural loan maturities; (2) enhanced ESRM screening criteria applied to new loan originations in carbon-intensive sectors; and (3) improved data quality enabling more accurate baseline measurement. The institution notes that year-over-year comparisons are subject to data quality variability, as improvements in borrower-level data collection may reveal previously underestimated emissions. Sector-level year-over-year trends are not yet available due to this being the second year of comprehensive PCAF reporting; three-year trend analysis will be disclosed from the 2025 reporting period onwards.</w:t>
      </w:r>
    </w:p>
    <w:p>
      <w:pPr>
        <w:spacing w:after="160" w:line="276" w:lineRule="auto"/>
        <w:jc w:val="both"/>
      </w:pPr>
      <w:r>
        <w:rPr>
          <w:rFonts w:ascii="Arial" w:hAnsi="Arial"/>
          <w:sz w:val="22"/>
        </w:rPr>
        <w:t>**Portfolio Coverage and Materiality**: The institution's PCAF financed emissions calculation covers 100% of the corporate lending portfolio by outstanding amount (IDR 1,541.18 trillion), encompassing 1,955 borrower relationships across 10 NACE sector classifications. This coverage exceeds the PCAF Standard minimum requirement of 95% portfolio coverage for Scope 3 Category 15 reporting. Asset classes excluded from the current calculation include retail mortgages (residential real estate loans to individuals), consumer credit, and trade finance facilities, which collectively represent less than 5% of total institutional assets. The institution plans to expand PCAF coverage to residential mortgages in the 2025 reporting period, following the PCAF Residential Real Estate Standard methodology. Project finance facilities are included in the current calculation using the project-level attribution approach, with emissions allocated based on the institution's share of total project debt.</w:t>
      </w:r>
    </w:p>
    <w:p>
      <w:pPr>
        <w:spacing w:after="160" w:line="276" w:lineRule="auto"/>
        <w:jc w:val="both"/>
      </w:pPr>
      <w:r>
        <w:rPr>
          <w:rFonts w:ascii="Arial" w:hAnsi="Arial"/>
          <w:i/>
          <w:color w:val="555555"/>
          <w:sz w:val="22"/>
        </w:rPr>
        <w:t>**Data Quality Improvement Roadmap**: Recognising that the current portfolio-weighted PCAF score of 3.36 falls below international best practice (target: &lt;3.0), the institution has established a three-year data quality enhancement programme. Phase 1 (2025): Implement borrower engagement protocol requiring annual emissions disclosure for all relationships exceeding IDR 500 billion outstanding (estimated 180 borrowers, representing 65% of financed emissions). Provide technical assistance to top 50 emitting borrowers on GHG inventory development using GHG Protocol Corporate Standard. Target: Achieve Score 2 or better for 40% of portfolio value. Phase 2 (2026): Integrate emissions disclosure requirements into loan covenants for new originations in carbon-intensive sectors (Energy, Manufacturing - Cement, Manufacturing - Steel). Deploy sector-specific emissions estimation tools for SME borrowers lacking internal reporting capacity. Target: Achieve Score 2 or better for 60% of portfolio value. Phase 3 (2027): Mandate third-party verification of borrower emissions data for all relationships exceeding IDR 1 trillion outstanding. Establish data partnership with national emissions registry (if available) or international databases (CDP, Trucost). Target: Achieve portfolio-weighted PCAF score of 2.8 or better, with &gt;70% coverage at Score 2 or better.</w:t>
      </w:r>
    </w:p>
    <w:p>
      <w:r>
        <w:rPr>
          <w:rFonts w:ascii="Arial" w:hAnsi="Arial"/>
          <w:b/>
          <w:sz w:val="20"/>
        </w:rPr>
        <w:t>Table E1-6.1: Financed Emissions by Sector (PCAF Category 15) — Reporting Year 2024</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1B3A6B" w:val="clear"/>
          </w:tcPr>
          <w:p>
            <w:r>
              <w:rPr>
                <w:rFonts w:ascii="Arial" w:hAnsi="Arial"/>
                <w:b/>
                <w:color w:val="FFFFFF"/>
                <w:sz w:val="18"/>
              </w:rPr>
              <w:t>Sector (NACE Classification)</w:t>
            </w:r>
          </w:p>
        </w:tc>
        <w:tc>
          <w:tcPr>
            <w:tcW w:type="dxa" w:w="1003"/>
            <w:shd w:fill="1B3A6B" w:val="clear"/>
          </w:tcPr>
          <w:p>
            <w:r>
              <w:rPr>
                <w:rFonts w:ascii="Arial" w:hAnsi="Arial"/>
                <w:b/>
                <w:color w:val="FFFFFF"/>
                <w:sz w:val="18"/>
              </w:rPr>
              <w:t>Portfolio Outstanding (IDR Trillion)</w:t>
            </w:r>
          </w:p>
        </w:tc>
        <w:tc>
          <w:tcPr>
            <w:tcW w:type="dxa" w:w="1003"/>
            <w:shd w:fill="1B3A6B" w:val="clear"/>
          </w:tcPr>
          <w:p>
            <w:r>
              <w:rPr>
                <w:rFonts w:ascii="Arial" w:hAnsi="Arial"/>
                <w:b/>
                <w:color w:val="FFFFFF"/>
                <w:sz w:val="18"/>
              </w:rPr>
              <w:t>% of Total Portfolio</w:t>
            </w:r>
          </w:p>
        </w:tc>
        <w:tc>
          <w:tcPr>
            <w:tcW w:type="dxa" w:w="1003"/>
            <w:shd w:fill="1B3A6B" w:val="clear"/>
          </w:tcPr>
          <w:p>
            <w:r>
              <w:rPr>
                <w:rFonts w:ascii="Arial" w:hAnsi="Arial"/>
                <w:b/>
                <w:color w:val="FFFFFF"/>
                <w:sz w:val="18"/>
              </w:rPr>
              <w:t>Gross Financed Emissions (tCO2e)</w:t>
            </w:r>
          </w:p>
        </w:tc>
        <w:tc>
          <w:tcPr>
            <w:tcW w:type="dxa" w:w="1003"/>
            <w:shd w:fill="1B3A6B" w:val="clear"/>
          </w:tcPr>
          <w:p>
            <w:r>
              <w:rPr>
                <w:rFonts w:ascii="Arial" w:hAnsi="Arial"/>
                <w:b/>
                <w:color w:val="FFFFFF"/>
                <w:sz w:val="18"/>
              </w:rPr>
              <w:t>Confidence-Weighted Emissions (tCO2e)</w:t>
            </w:r>
          </w:p>
        </w:tc>
        <w:tc>
          <w:tcPr>
            <w:tcW w:type="dxa" w:w="1003"/>
            <w:shd w:fill="1B3A6B" w:val="clear"/>
          </w:tcPr>
          <w:p>
            <w:r>
              <w:rPr>
                <w:rFonts w:ascii="Arial" w:hAnsi="Arial"/>
                <w:b/>
                <w:color w:val="FFFFFF"/>
                <w:sz w:val="18"/>
              </w:rPr>
              <w:t>% of Total Financed Emissions</w:t>
            </w:r>
          </w:p>
        </w:tc>
        <w:tc>
          <w:tcPr>
            <w:tcW w:type="dxa" w:w="1003"/>
            <w:shd w:fill="1B3A6B" w:val="clear"/>
          </w:tcPr>
          <w:p>
            <w:r>
              <w:rPr>
                <w:rFonts w:ascii="Arial" w:hAnsi="Arial"/>
                <w:b/>
                <w:color w:val="FFFFFF"/>
                <w:sz w:val="18"/>
              </w:rPr>
              <w:t>Emission Intensity (tCO2e per IDR Billion)</w:t>
            </w:r>
          </w:p>
        </w:tc>
        <w:tc>
          <w:tcPr>
            <w:tcW w:type="dxa" w:w="1003"/>
            <w:shd w:fill="1B3A6B" w:val="clear"/>
          </w:tcPr>
          <w:p>
            <w:r>
              <w:rPr>
                <w:rFonts w:ascii="Arial" w:hAnsi="Arial"/>
                <w:b/>
                <w:color w:val="FFFFFF"/>
                <w:sz w:val="18"/>
              </w:rPr>
              <w:t>Avg PCAF Score</w:t>
            </w:r>
          </w:p>
        </w:tc>
        <w:tc>
          <w:tcPr>
            <w:tcW w:type="dxa" w:w="1003"/>
            <w:shd w:fill="1B3A6B" w:val="clear"/>
          </w:tcPr>
          <w:p>
            <w:r>
              <w:rPr>
                <w:rFonts w:ascii="Arial" w:hAnsi="Arial"/>
                <w:b/>
                <w:color w:val="FFFFFF"/>
                <w:sz w:val="18"/>
              </w:rPr>
              <w:t>Borrower Count</w:t>
            </w:r>
          </w:p>
        </w:tc>
      </w:tr>
      <w:tr>
        <w:tc>
          <w:tcPr>
            <w:tcW w:type="dxa" w:w="1003"/>
          </w:tcPr>
          <w:p>
            <w:r>
              <w:rPr>
                <w:rFonts w:ascii="Arial" w:hAnsi="Arial"/>
                <w:sz w:val="18"/>
              </w:rPr>
              <w:t>Energy - Oil &amp; Gas</w:t>
            </w:r>
          </w:p>
        </w:tc>
        <w:tc>
          <w:tcPr>
            <w:tcW w:type="dxa" w:w="1003"/>
          </w:tcPr>
          <w:p>
            <w:pPr>
              <w:jc w:val="right"/>
            </w:pPr>
            <w:r>
              <w:rPr>
                <w:rFonts w:ascii="Arial" w:hAnsi="Arial"/>
                <w:sz w:val="18"/>
              </w:rPr>
              <w:t>102.67</w:t>
            </w:r>
          </w:p>
        </w:tc>
        <w:tc>
          <w:tcPr>
            <w:tcW w:type="dxa" w:w="1003"/>
          </w:tcPr>
          <w:p>
            <w:pPr>
              <w:jc w:val="right"/>
            </w:pPr>
            <w:r>
              <w:rPr>
                <w:rFonts w:ascii="Arial" w:hAnsi="Arial"/>
                <w:sz w:val="18"/>
              </w:rPr>
              <w:t>6.66%</w:t>
            </w:r>
          </w:p>
        </w:tc>
        <w:tc>
          <w:tcPr>
            <w:tcW w:type="dxa" w:w="1003"/>
          </w:tcPr>
          <w:p>
            <w:pPr>
              <w:jc w:val="right"/>
            </w:pPr>
            <w:r>
              <w:rPr>
                <w:rFonts w:ascii="Arial" w:hAnsi="Arial"/>
                <w:sz w:val="18"/>
              </w:rPr>
              <w:t>9,573,144.27</w:t>
            </w:r>
          </w:p>
        </w:tc>
        <w:tc>
          <w:tcPr>
            <w:tcW w:type="dxa" w:w="1003"/>
          </w:tcPr>
          <w:p>
            <w:pPr>
              <w:jc w:val="right"/>
            </w:pPr>
            <w:r>
              <w:rPr>
                <w:rFonts w:ascii="Arial" w:hAnsi="Arial"/>
                <w:sz w:val="18"/>
              </w:rPr>
              <w:t>6,753,948.71</w:t>
            </w:r>
          </w:p>
        </w:tc>
        <w:tc>
          <w:tcPr>
            <w:tcW w:type="dxa" w:w="1003"/>
          </w:tcPr>
          <w:p>
            <w:pPr>
              <w:jc w:val="right"/>
            </w:pPr>
            <w:r>
              <w:rPr>
                <w:rFonts w:ascii="Arial" w:hAnsi="Arial"/>
                <w:sz w:val="18"/>
              </w:rPr>
              <w:t>43.56%</w:t>
            </w:r>
          </w:p>
        </w:tc>
        <w:tc>
          <w:tcPr>
            <w:tcW w:type="dxa" w:w="1003"/>
          </w:tcPr>
          <w:p>
            <w:pPr>
              <w:jc w:val="right"/>
            </w:pPr>
            <w:r>
              <w:rPr>
                <w:rFonts w:ascii="Arial" w:hAnsi="Arial"/>
                <w:sz w:val="18"/>
              </w:rPr>
              <w:t>93.242</w:t>
            </w:r>
          </w:p>
        </w:tc>
        <w:tc>
          <w:tcPr>
            <w:tcW w:type="dxa" w:w="1003"/>
          </w:tcPr>
          <w:p>
            <w:pPr>
              <w:jc w:val="right"/>
            </w:pPr>
            <w:r>
              <w:rPr>
                <w:rFonts w:ascii="Arial" w:hAnsi="Arial"/>
                <w:sz w:val="18"/>
              </w:rPr>
              <w:t>3.32</w:t>
            </w:r>
          </w:p>
        </w:tc>
        <w:tc>
          <w:tcPr>
            <w:tcW w:type="dxa" w:w="1003"/>
          </w:tcPr>
          <w:p>
            <w:pPr>
              <w:jc w:val="right"/>
            </w:pPr>
            <w:r>
              <w:rPr>
                <w:rFonts w:ascii="Arial" w:hAnsi="Arial"/>
                <w:sz w:val="18"/>
              </w:rPr>
              <w:t>135</w:t>
            </w:r>
          </w:p>
        </w:tc>
      </w:tr>
      <w:tr>
        <w:tc>
          <w:tcPr>
            <w:tcW w:type="dxa" w:w="1003"/>
            <w:shd w:fill="F2F6FC" w:val="clear"/>
          </w:tcPr>
          <w:p>
            <w:r>
              <w:rPr>
                <w:rFonts w:ascii="Arial" w:hAnsi="Arial"/>
                <w:sz w:val="18"/>
              </w:rPr>
              <w:t>Manufacturing - Cement</w:t>
            </w:r>
          </w:p>
        </w:tc>
        <w:tc>
          <w:tcPr>
            <w:tcW w:type="dxa" w:w="1003"/>
            <w:shd w:fill="F2F6FC" w:val="clear"/>
          </w:tcPr>
          <w:p>
            <w:pPr>
              <w:jc w:val="right"/>
            </w:pPr>
            <w:r>
              <w:rPr>
                <w:rFonts w:ascii="Arial" w:hAnsi="Arial"/>
                <w:sz w:val="18"/>
              </w:rPr>
              <w:t>107.68</w:t>
            </w:r>
          </w:p>
        </w:tc>
        <w:tc>
          <w:tcPr>
            <w:tcW w:type="dxa" w:w="1003"/>
            <w:shd w:fill="F2F6FC" w:val="clear"/>
          </w:tcPr>
          <w:p>
            <w:pPr>
              <w:jc w:val="right"/>
            </w:pPr>
            <w:r>
              <w:rPr>
                <w:rFonts w:ascii="Arial" w:hAnsi="Arial"/>
                <w:sz w:val="18"/>
              </w:rPr>
              <w:t>6.99%</w:t>
            </w:r>
          </w:p>
        </w:tc>
        <w:tc>
          <w:tcPr>
            <w:tcW w:type="dxa" w:w="1003"/>
            <w:shd w:fill="F2F6FC" w:val="clear"/>
          </w:tcPr>
          <w:p>
            <w:pPr>
              <w:jc w:val="right"/>
            </w:pPr>
            <w:r>
              <w:rPr>
                <w:rFonts w:ascii="Arial" w:hAnsi="Arial"/>
                <w:sz w:val="18"/>
              </w:rPr>
              <w:t>5,813,830.91</w:t>
            </w:r>
          </w:p>
        </w:tc>
        <w:tc>
          <w:tcPr>
            <w:tcW w:type="dxa" w:w="1003"/>
            <w:shd w:fill="F2F6FC" w:val="clear"/>
          </w:tcPr>
          <w:p>
            <w:pPr>
              <w:jc w:val="right"/>
            </w:pPr>
            <w:r>
              <w:rPr>
                <w:rFonts w:ascii="Arial" w:hAnsi="Arial"/>
                <w:sz w:val="18"/>
              </w:rPr>
              <w:t>4,168,058.43</w:t>
            </w:r>
          </w:p>
        </w:tc>
        <w:tc>
          <w:tcPr>
            <w:tcW w:type="dxa" w:w="1003"/>
            <w:shd w:fill="F2F6FC" w:val="clear"/>
          </w:tcPr>
          <w:p>
            <w:pPr>
              <w:jc w:val="right"/>
            </w:pPr>
            <w:r>
              <w:rPr>
                <w:rFonts w:ascii="Arial" w:hAnsi="Arial"/>
                <w:sz w:val="18"/>
              </w:rPr>
              <w:t>26.45%</w:t>
            </w:r>
          </w:p>
        </w:tc>
        <w:tc>
          <w:tcPr>
            <w:tcW w:type="dxa" w:w="1003"/>
            <w:shd w:fill="F2F6FC" w:val="clear"/>
          </w:tcPr>
          <w:p>
            <w:pPr>
              <w:jc w:val="right"/>
            </w:pPr>
            <w:r>
              <w:rPr>
                <w:rFonts w:ascii="Arial" w:hAnsi="Arial"/>
                <w:sz w:val="18"/>
              </w:rPr>
              <w:t>53.9927</w:t>
            </w:r>
          </w:p>
        </w:tc>
        <w:tc>
          <w:tcPr>
            <w:tcW w:type="dxa" w:w="1003"/>
            <w:shd w:fill="F2F6FC" w:val="clear"/>
          </w:tcPr>
          <w:p>
            <w:pPr>
              <w:jc w:val="right"/>
            </w:pPr>
            <w:r>
              <w:rPr>
                <w:rFonts w:ascii="Arial" w:hAnsi="Arial"/>
                <w:sz w:val="18"/>
              </w:rPr>
              <w:t>3.40</w:t>
            </w:r>
          </w:p>
        </w:tc>
        <w:tc>
          <w:tcPr>
            <w:tcW w:type="dxa" w:w="1003"/>
            <w:shd w:fill="F2F6FC" w:val="clear"/>
          </w:tcPr>
          <w:p>
            <w:pPr>
              <w:jc w:val="right"/>
            </w:pPr>
            <w:r>
              <w:rPr>
                <w:rFonts w:ascii="Arial" w:hAnsi="Arial"/>
                <w:sz w:val="18"/>
              </w:rPr>
              <w:t>161</w:t>
            </w:r>
          </w:p>
        </w:tc>
      </w:tr>
      <w:tr>
        <w:tc>
          <w:tcPr>
            <w:tcW w:type="dxa" w:w="1003"/>
          </w:tcPr>
          <w:p>
            <w:r>
              <w:rPr>
                <w:rFonts w:ascii="Arial" w:hAnsi="Arial"/>
                <w:sz w:val="18"/>
              </w:rPr>
              <w:t>Manufacturing - Steel</w:t>
            </w:r>
          </w:p>
        </w:tc>
        <w:tc>
          <w:tcPr>
            <w:tcW w:type="dxa" w:w="1003"/>
          </w:tcPr>
          <w:p>
            <w:pPr>
              <w:jc w:val="right"/>
            </w:pPr>
            <w:r>
              <w:rPr>
                <w:rFonts w:ascii="Arial" w:hAnsi="Arial"/>
                <w:sz w:val="18"/>
              </w:rPr>
              <w:t>108.62</w:t>
            </w:r>
          </w:p>
        </w:tc>
        <w:tc>
          <w:tcPr>
            <w:tcW w:type="dxa" w:w="1003"/>
          </w:tcPr>
          <w:p>
            <w:pPr>
              <w:jc w:val="right"/>
            </w:pPr>
            <w:r>
              <w:rPr>
                <w:rFonts w:ascii="Arial" w:hAnsi="Arial"/>
                <w:sz w:val="18"/>
              </w:rPr>
              <w:t>7.05%</w:t>
            </w:r>
          </w:p>
        </w:tc>
        <w:tc>
          <w:tcPr>
            <w:tcW w:type="dxa" w:w="1003"/>
          </w:tcPr>
          <w:p>
            <w:pPr>
              <w:jc w:val="right"/>
            </w:pPr>
            <w:r>
              <w:rPr>
                <w:rFonts w:ascii="Arial" w:hAnsi="Arial"/>
                <w:sz w:val="18"/>
              </w:rPr>
              <w:t>3,499,463.0</w:t>
            </w:r>
          </w:p>
        </w:tc>
        <w:tc>
          <w:tcPr>
            <w:tcW w:type="dxa" w:w="1003"/>
          </w:tcPr>
          <w:p>
            <w:pPr>
              <w:jc w:val="right"/>
            </w:pPr>
            <w:r>
              <w:rPr>
                <w:rFonts w:ascii="Arial" w:hAnsi="Arial"/>
                <w:sz w:val="18"/>
              </w:rPr>
              <w:t>2,228,739.65</w:t>
            </w:r>
          </w:p>
        </w:tc>
        <w:tc>
          <w:tcPr>
            <w:tcW w:type="dxa" w:w="1003"/>
          </w:tcPr>
          <w:p>
            <w:pPr>
              <w:jc w:val="right"/>
            </w:pPr>
            <w:r>
              <w:rPr>
                <w:rFonts w:ascii="Arial" w:hAnsi="Arial"/>
                <w:sz w:val="18"/>
              </w:rPr>
              <w:t>15.92%</w:t>
            </w:r>
          </w:p>
        </w:tc>
        <w:tc>
          <w:tcPr>
            <w:tcW w:type="dxa" w:w="1003"/>
          </w:tcPr>
          <w:p>
            <w:pPr>
              <w:jc w:val="right"/>
            </w:pPr>
            <w:r>
              <w:rPr>
                <w:rFonts w:ascii="Arial" w:hAnsi="Arial"/>
                <w:sz w:val="18"/>
              </w:rPr>
              <w:t>32.2175</w:t>
            </w:r>
          </w:p>
        </w:tc>
        <w:tc>
          <w:tcPr>
            <w:tcW w:type="dxa" w:w="1003"/>
          </w:tcPr>
          <w:p>
            <w:pPr>
              <w:jc w:val="right"/>
            </w:pPr>
            <w:r>
              <w:rPr>
                <w:rFonts w:ascii="Arial" w:hAnsi="Arial"/>
                <w:sz w:val="18"/>
              </w:rPr>
              <w:t>3.35</w:t>
            </w:r>
          </w:p>
        </w:tc>
        <w:tc>
          <w:tcPr>
            <w:tcW w:type="dxa" w:w="1003"/>
          </w:tcPr>
          <w:p>
            <w:pPr>
              <w:jc w:val="right"/>
            </w:pPr>
            <w:r>
              <w:rPr>
                <w:rFonts w:ascii="Arial" w:hAnsi="Arial"/>
                <w:sz w:val="18"/>
              </w:rPr>
              <w:t>122</w:t>
            </w:r>
          </w:p>
        </w:tc>
      </w:tr>
      <w:tr>
        <w:tc>
          <w:tcPr>
            <w:tcW w:type="dxa" w:w="1003"/>
            <w:shd w:fill="F2F6FC" w:val="clear"/>
          </w:tcPr>
          <w:p>
            <w:r>
              <w:rPr>
                <w:rFonts w:ascii="Arial" w:hAnsi="Arial"/>
                <w:sz w:val="18"/>
              </w:rPr>
              <w:t>Transportation - Road</w:t>
            </w:r>
          </w:p>
        </w:tc>
        <w:tc>
          <w:tcPr>
            <w:tcW w:type="dxa" w:w="1003"/>
            <w:shd w:fill="F2F6FC" w:val="clear"/>
          </w:tcPr>
          <w:p>
            <w:pPr>
              <w:jc w:val="right"/>
            </w:pPr>
            <w:r>
              <w:rPr>
                <w:rFonts w:ascii="Arial" w:hAnsi="Arial"/>
                <w:sz w:val="18"/>
              </w:rPr>
              <w:t>155.55</w:t>
            </w:r>
          </w:p>
        </w:tc>
        <w:tc>
          <w:tcPr>
            <w:tcW w:type="dxa" w:w="1003"/>
            <w:shd w:fill="F2F6FC" w:val="clear"/>
          </w:tcPr>
          <w:p>
            <w:pPr>
              <w:jc w:val="right"/>
            </w:pPr>
            <w:r>
              <w:rPr>
                <w:rFonts w:ascii="Arial" w:hAnsi="Arial"/>
                <w:sz w:val="18"/>
              </w:rPr>
              <w:t>10.09%</w:t>
            </w:r>
          </w:p>
        </w:tc>
        <w:tc>
          <w:tcPr>
            <w:tcW w:type="dxa" w:w="1003"/>
            <w:shd w:fill="F2F6FC" w:val="clear"/>
          </w:tcPr>
          <w:p>
            <w:pPr>
              <w:jc w:val="right"/>
            </w:pPr>
            <w:r>
              <w:rPr>
                <w:rFonts w:ascii="Arial" w:hAnsi="Arial"/>
                <w:sz w:val="18"/>
              </w:rPr>
              <w:t>1,227,019.62</w:t>
            </w:r>
          </w:p>
        </w:tc>
        <w:tc>
          <w:tcPr>
            <w:tcW w:type="dxa" w:w="1003"/>
            <w:shd w:fill="F2F6FC" w:val="clear"/>
          </w:tcPr>
          <w:p>
            <w:pPr>
              <w:jc w:val="right"/>
            </w:pPr>
            <w:r>
              <w:rPr>
                <w:rFonts w:ascii="Arial" w:hAnsi="Arial"/>
                <w:sz w:val="18"/>
              </w:rPr>
              <w:t>864,356.23</w:t>
            </w:r>
          </w:p>
        </w:tc>
        <w:tc>
          <w:tcPr>
            <w:tcW w:type="dxa" w:w="1003"/>
            <w:shd w:fill="F2F6FC" w:val="clear"/>
          </w:tcPr>
          <w:p>
            <w:pPr>
              <w:jc w:val="right"/>
            </w:pPr>
            <w:r>
              <w:rPr>
                <w:rFonts w:ascii="Arial" w:hAnsi="Arial"/>
                <w:sz w:val="18"/>
              </w:rPr>
              <w:t>5.58%</w:t>
            </w:r>
          </w:p>
        </w:tc>
        <w:tc>
          <w:tcPr>
            <w:tcW w:type="dxa" w:w="1003"/>
            <w:shd w:fill="F2F6FC" w:val="clear"/>
          </w:tcPr>
          <w:p>
            <w:pPr>
              <w:jc w:val="right"/>
            </w:pPr>
            <w:r>
              <w:rPr>
                <w:rFonts w:ascii="Arial" w:hAnsi="Arial"/>
                <w:sz w:val="18"/>
              </w:rPr>
              <w:t>7.8881</w:t>
            </w:r>
          </w:p>
        </w:tc>
        <w:tc>
          <w:tcPr>
            <w:tcW w:type="dxa" w:w="1003"/>
            <w:shd w:fill="F2F6FC" w:val="clear"/>
          </w:tcPr>
          <w:p>
            <w:pPr>
              <w:jc w:val="right"/>
            </w:pPr>
            <w:r>
              <w:rPr>
                <w:rFonts w:ascii="Arial" w:hAnsi="Arial"/>
                <w:sz w:val="18"/>
              </w:rPr>
              <w:t>3.36</w:t>
            </w:r>
          </w:p>
        </w:tc>
        <w:tc>
          <w:tcPr>
            <w:tcW w:type="dxa" w:w="1003"/>
            <w:shd w:fill="F2F6FC" w:val="clear"/>
          </w:tcPr>
          <w:p>
            <w:pPr>
              <w:jc w:val="right"/>
            </w:pPr>
            <w:r>
              <w:rPr>
                <w:rFonts w:ascii="Arial" w:hAnsi="Arial"/>
                <w:sz w:val="18"/>
              </w:rPr>
              <w:t>189</w:t>
            </w:r>
          </w:p>
        </w:tc>
      </w:tr>
      <w:tr>
        <w:tc>
          <w:tcPr>
            <w:tcW w:type="dxa" w:w="1003"/>
          </w:tcPr>
          <w:p>
            <w:r>
              <w:rPr>
                <w:rFonts w:ascii="Arial" w:hAnsi="Arial"/>
                <w:sz w:val="18"/>
              </w:rPr>
              <w:t>Manufacturing - Food &amp; Beverage</w:t>
            </w:r>
          </w:p>
        </w:tc>
        <w:tc>
          <w:tcPr>
            <w:tcW w:type="dxa" w:w="1003"/>
          </w:tcPr>
          <w:p>
            <w:pPr>
              <w:jc w:val="right"/>
            </w:pPr>
            <w:r>
              <w:rPr>
                <w:rFonts w:ascii="Arial" w:hAnsi="Arial"/>
                <w:sz w:val="18"/>
              </w:rPr>
              <w:t>169.14</w:t>
            </w:r>
          </w:p>
        </w:tc>
        <w:tc>
          <w:tcPr>
            <w:tcW w:type="dxa" w:w="1003"/>
          </w:tcPr>
          <w:p>
            <w:pPr>
              <w:jc w:val="right"/>
            </w:pPr>
            <w:r>
              <w:rPr>
                <w:rFonts w:ascii="Arial" w:hAnsi="Arial"/>
                <w:sz w:val="18"/>
              </w:rPr>
              <w:t>10.97%</w:t>
            </w:r>
          </w:p>
        </w:tc>
        <w:tc>
          <w:tcPr>
            <w:tcW w:type="dxa" w:w="1003"/>
          </w:tcPr>
          <w:p>
            <w:pPr>
              <w:jc w:val="right"/>
            </w:pPr>
            <w:r>
              <w:rPr>
                <w:rFonts w:ascii="Arial" w:hAnsi="Arial"/>
                <w:sz w:val="18"/>
              </w:rPr>
              <w:t>936,111.21</w:t>
            </w:r>
          </w:p>
        </w:tc>
        <w:tc>
          <w:tcPr>
            <w:tcW w:type="dxa" w:w="1003"/>
          </w:tcPr>
          <w:p>
            <w:pPr>
              <w:jc w:val="right"/>
            </w:pPr>
            <w:r>
              <w:rPr>
                <w:rFonts w:ascii="Arial" w:hAnsi="Arial"/>
                <w:sz w:val="18"/>
              </w:rPr>
              <w:t>653,413.56</w:t>
            </w:r>
          </w:p>
        </w:tc>
        <w:tc>
          <w:tcPr>
            <w:tcW w:type="dxa" w:w="1003"/>
          </w:tcPr>
          <w:p>
            <w:pPr>
              <w:jc w:val="right"/>
            </w:pPr>
            <w:r>
              <w:rPr>
                <w:rFonts w:ascii="Arial" w:hAnsi="Arial"/>
                <w:sz w:val="18"/>
              </w:rPr>
              <w:t>4.26%</w:t>
            </w:r>
          </w:p>
        </w:tc>
        <w:tc>
          <w:tcPr>
            <w:tcW w:type="dxa" w:w="1003"/>
          </w:tcPr>
          <w:p>
            <w:pPr>
              <w:jc w:val="right"/>
            </w:pPr>
            <w:r>
              <w:rPr>
                <w:rFonts w:ascii="Arial" w:hAnsi="Arial"/>
                <w:sz w:val="18"/>
              </w:rPr>
              <w:t>5.5346</w:t>
            </w:r>
          </w:p>
        </w:tc>
        <w:tc>
          <w:tcPr>
            <w:tcW w:type="dxa" w:w="1003"/>
          </w:tcPr>
          <w:p>
            <w:pPr>
              <w:jc w:val="right"/>
            </w:pPr>
            <w:r>
              <w:rPr>
                <w:rFonts w:ascii="Arial" w:hAnsi="Arial"/>
                <w:sz w:val="18"/>
              </w:rPr>
              <w:t>3.35</w:t>
            </w:r>
          </w:p>
        </w:tc>
        <w:tc>
          <w:tcPr>
            <w:tcW w:type="dxa" w:w="1003"/>
          </w:tcPr>
          <w:p>
            <w:pPr>
              <w:jc w:val="right"/>
            </w:pPr>
            <w:r>
              <w:rPr>
                <w:rFonts w:ascii="Arial" w:hAnsi="Arial"/>
                <w:sz w:val="18"/>
              </w:rPr>
              <w:t>206</w:t>
            </w:r>
          </w:p>
        </w:tc>
      </w:tr>
      <w:tr>
        <w:tc>
          <w:tcPr>
            <w:tcW w:type="dxa" w:w="1003"/>
            <w:shd w:fill="F2F6FC" w:val="clear"/>
          </w:tcPr>
          <w:p>
            <w:r>
              <w:rPr>
                <w:rFonts w:ascii="Arial" w:hAnsi="Arial"/>
                <w:sz w:val="18"/>
              </w:rPr>
              <w:t>Agriculture</w:t>
            </w:r>
          </w:p>
        </w:tc>
        <w:tc>
          <w:tcPr>
            <w:tcW w:type="dxa" w:w="1003"/>
            <w:shd w:fill="F2F6FC" w:val="clear"/>
          </w:tcPr>
          <w:p>
            <w:pPr>
              <w:jc w:val="right"/>
            </w:pPr>
            <w:r>
              <w:rPr>
                <w:rFonts w:ascii="Arial" w:hAnsi="Arial"/>
                <w:sz w:val="18"/>
              </w:rPr>
              <w:t>118.90</w:t>
            </w:r>
          </w:p>
        </w:tc>
        <w:tc>
          <w:tcPr>
            <w:tcW w:type="dxa" w:w="1003"/>
            <w:shd w:fill="F2F6FC" w:val="clear"/>
          </w:tcPr>
          <w:p>
            <w:pPr>
              <w:jc w:val="right"/>
            </w:pPr>
            <w:r>
              <w:rPr>
                <w:rFonts w:ascii="Arial" w:hAnsi="Arial"/>
                <w:sz w:val="18"/>
              </w:rPr>
              <w:t>7.71%</w:t>
            </w:r>
          </w:p>
        </w:tc>
        <w:tc>
          <w:tcPr>
            <w:tcW w:type="dxa" w:w="1003"/>
            <w:shd w:fill="F2F6FC" w:val="clear"/>
          </w:tcPr>
          <w:p>
            <w:pPr>
              <w:jc w:val="right"/>
            </w:pPr>
            <w:r>
              <w:rPr>
                <w:rFonts w:ascii="Arial" w:hAnsi="Arial"/>
                <w:sz w:val="18"/>
              </w:rPr>
              <w:t>288,493.25</w:t>
            </w:r>
          </w:p>
        </w:tc>
        <w:tc>
          <w:tcPr>
            <w:tcW w:type="dxa" w:w="1003"/>
            <w:shd w:fill="F2F6FC" w:val="clear"/>
          </w:tcPr>
          <w:p>
            <w:pPr>
              <w:jc w:val="right"/>
            </w:pPr>
            <w:r>
              <w:rPr>
                <w:rFonts w:ascii="Arial" w:hAnsi="Arial"/>
                <w:sz w:val="18"/>
              </w:rPr>
              <w:t>183,548.39</w:t>
            </w:r>
          </w:p>
        </w:tc>
        <w:tc>
          <w:tcPr>
            <w:tcW w:type="dxa" w:w="1003"/>
            <w:shd w:fill="F2F6FC" w:val="clear"/>
          </w:tcPr>
          <w:p>
            <w:pPr>
              <w:jc w:val="right"/>
            </w:pPr>
            <w:r>
              <w:rPr>
                <w:rFonts w:ascii="Arial" w:hAnsi="Arial"/>
                <w:sz w:val="18"/>
              </w:rPr>
              <w:t>1.31%</w:t>
            </w:r>
          </w:p>
        </w:tc>
        <w:tc>
          <w:tcPr>
            <w:tcW w:type="dxa" w:w="1003"/>
            <w:shd w:fill="F2F6FC" w:val="clear"/>
          </w:tcPr>
          <w:p>
            <w:pPr>
              <w:jc w:val="right"/>
            </w:pPr>
            <w:r>
              <w:rPr>
                <w:rFonts w:ascii="Arial" w:hAnsi="Arial"/>
                <w:sz w:val="18"/>
              </w:rPr>
              <w:t>2.4264</w:t>
            </w:r>
          </w:p>
        </w:tc>
        <w:tc>
          <w:tcPr>
            <w:tcW w:type="dxa" w:w="1003"/>
            <w:shd w:fill="F2F6FC" w:val="clear"/>
          </w:tcPr>
          <w:p>
            <w:pPr>
              <w:jc w:val="right"/>
            </w:pPr>
            <w:r>
              <w:rPr>
                <w:rFonts w:ascii="Arial" w:hAnsi="Arial"/>
                <w:sz w:val="18"/>
              </w:rPr>
              <w:t>3.41</w:t>
            </w:r>
          </w:p>
        </w:tc>
        <w:tc>
          <w:tcPr>
            <w:tcW w:type="dxa" w:w="1003"/>
            <w:shd w:fill="F2F6FC" w:val="clear"/>
          </w:tcPr>
          <w:p>
            <w:pPr>
              <w:jc w:val="right"/>
            </w:pPr>
            <w:r>
              <w:rPr>
                <w:rFonts w:ascii="Arial" w:hAnsi="Arial"/>
                <w:sz w:val="18"/>
              </w:rPr>
              <w:t>163</w:t>
            </w:r>
          </w:p>
        </w:tc>
      </w:tr>
      <w:tr>
        <w:tc>
          <w:tcPr>
            <w:tcW w:type="dxa" w:w="1003"/>
          </w:tcPr>
          <w:p>
            <w:r>
              <w:rPr>
                <w:rFonts w:ascii="Arial" w:hAnsi="Arial"/>
                <w:sz w:val="18"/>
              </w:rPr>
              <w:t>Real Estate - Commercial</w:t>
            </w:r>
          </w:p>
        </w:tc>
        <w:tc>
          <w:tcPr>
            <w:tcW w:type="dxa" w:w="1003"/>
          </w:tcPr>
          <w:p>
            <w:pPr>
              <w:jc w:val="right"/>
            </w:pPr>
            <w:r>
              <w:rPr>
                <w:rFonts w:ascii="Arial" w:hAnsi="Arial"/>
                <w:sz w:val="18"/>
              </w:rPr>
              <w:t>250.74</w:t>
            </w:r>
          </w:p>
        </w:tc>
        <w:tc>
          <w:tcPr>
            <w:tcW w:type="dxa" w:w="1003"/>
          </w:tcPr>
          <w:p>
            <w:pPr>
              <w:jc w:val="right"/>
            </w:pPr>
            <w:r>
              <w:rPr>
                <w:rFonts w:ascii="Arial" w:hAnsi="Arial"/>
                <w:sz w:val="18"/>
              </w:rPr>
              <w:t>16.27%</w:t>
            </w:r>
          </w:p>
        </w:tc>
        <w:tc>
          <w:tcPr>
            <w:tcW w:type="dxa" w:w="1003"/>
          </w:tcPr>
          <w:p>
            <w:pPr>
              <w:jc w:val="right"/>
            </w:pPr>
            <w:r>
              <w:rPr>
                <w:rFonts w:ascii="Arial" w:hAnsi="Arial"/>
                <w:sz w:val="18"/>
              </w:rPr>
              <w:t>231,235.2</w:t>
            </w:r>
          </w:p>
        </w:tc>
        <w:tc>
          <w:tcPr>
            <w:tcW w:type="dxa" w:w="1003"/>
          </w:tcPr>
          <w:p>
            <w:pPr>
              <w:jc w:val="right"/>
            </w:pPr>
            <w:r>
              <w:rPr>
                <w:rFonts w:ascii="Arial" w:hAnsi="Arial"/>
                <w:sz w:val="18"/>
              </w:rPr>
              <w:t>158,419.07</w:t>
            </w:r>
          </w:p>
        </w:tc>
        <w:tc>
          <w:tcPr>
            <w:tcW w:type="dxa" w:w="1003"/>
          </w:tcPr>
          <w:p>
            <w:pPr>
              <w:jc w:val="right"/>
            </w:pPr>
            <w:r>
              <w:rPr>
                <w:rFonts w:ascii="Arial" w:hAnsi="Arial"/>
                <w:sz w:val="18"/>
              </w:rPr>
              <w:t>1.05%</w:t>
            </w:r>
          </w:p>
        </w:tc>
        <w:tc>
          <w:tcPr>
            <w:tcW w:type="dxa" w:w="1003"/>
          </w:tcPr>
          <w:p>
            <w:pPr>
              <w:jc w:val="right"/>
            </w:pPr>
            <w:r>
              <w:rPr>
                <w:rFonts w:ascii="Arial" w:hAnsi="Arial"/>
                <w:sz w:val="18"/>
              </w:rPr>
              <w:t>0.9222</w:t>
            </w:r>
          </w:p>
        </w:tc>
        <w:tc>
          <w:tcPr>
            <w:tcW w:type="dxa" w:w="1003"/>
          </w:tcPr>
          <w:p>
            <w:pPr>
              <w:jc w:val="right"/>
            </w:pPr>
            <w:r>
              <w:rPr>
                <w:rFonts w:ascii="Arial" w:hAnsi="Arial"/>
                <w:sz w:val="18"/>
              </w:rPr>
              <w:t>3.27</w:t>
            </w:r>
          </w:p>
        </w:tc>
        <w:tc>
          <w:tcPr>
            <w:tcW w:type="dxa" w:w="1003"/>
          </w:tcPr>
          <w:p>
            <w:pPr>
              <w:jc w:val="right"/>
            </w:pPr>
            <w:r>
              <w:rPr>
                <w:rFonts w:ascii="Arial" w:hAnsi="Arial"/>
                <w:sz w:val="18"/>
              </w:rPr>
              <w:t>290</w:t>
            </w:r>
          </w:p>
        </w:tc>
      </w:tr>
      <w:tr>
        <w:tc>
          <w:tcPr>
            <w:tcW w:type="dxa" w:w="1003"/>
            <w:shd w:fill="F2F6FC" w:val="clear"/>
          </w:tcPr>
          <w:p>
            <w:r>
              <w:rPr>
                <w:rFonts w:ascii="Arial" w:hAnsi="Arial"/>
                <w:sz w:val="18"/>
              </w:rPr>
              <w:t>Retail Trade</w:t>
            </w:r>
          </w:p>
        </w:tc>
        <w:tc>
          <w:tcPr>
            <w:tcW w:type="dxa" w:w="1003"/>
            <w:shd w:fill="F2F6FC" w:val="clear"/>
          </w:tcPr>
          <w:p>
            <w:pPr>
              <w:jc w:val="right"/>
            </w:pPr>
            <w:r>
              <w:rPr>
                <w:rFonts w:ascii="Arial" w:hAnsi="Arial"/>
                <w:sz w:val="18"/>
              </w:rPr>
              <w:t>152.84</w:t>
            </w:r>
          </w:p>
        </w:tc>
        <w:tc>
          <w:tcPr>
            <w:tcW w:type="dxa" w:w="1003"/>
            <w:shd w:fill="F2F6FC" w:val="clear"/>
          </w:tcPr>
          <w:p>
            <w:pPr>
              <w:jc w:val="right"/>
            </w:pPr>
            <w:r>
              <w:rPr>
                <w:rFonts w:ascii="Arial" w:hAnsi="Arial"/>
                <w:sz w:val="18"/>
              </w:rPr>
              <w:t>9.92%</w:t>
            </w:r>
          </w:p>
        </w:tc>
        <w:tc>
          <w:tcPr>
            <w:tcW w:type="dxa" w:w="1003"/>
            <w:shd w:fill="F2F6FC" w:val="clear"/>
          </w:tcPr>
          <w:p>
            <w:pPr>
              <w:jc w:val="right"/>
            </w:pPr>
            <w:r>
              <w:rPr>
                <w:rFonts w:ascii="Arial" w:hAnsi="Arial"/>
                <w:sz w:val="18"/>
              </w:rPr>
              <w:t>226,340.67</w:t>
            </w:r>
          </w:p>
        </w:tc>
        <w:tc>
          <w:tcPr>
            <w:tcW w:type="dxa" w:w="1003"/>
            <w:shd w:fill="F2F6FC" w:val="clear"/>
          </w:tcPr>
          <w:p>
            <w:pPr>
              <w:jc w:val="right"/>
            </w:pPr>
            <w:r>
              <w:rPr>
                <w:rFonts w:ascii="Arial" w:hAnsi="Arial"/>
                <w:sz w:val="18"/>
              </w:rPr>
              <w:t>140,812.97</w:t>
            </w:r>
          </w:p>
        </w:tc>
        <w:tc>
          <w:tcPr>
            <w:tcW w:type="dxa" w:w="1003"/>
            <w:shd w:fill="F2F6FC" w:val="clear"/>
          </w:tcPr>
          <w:p>
            <w:pPr>
              <w:jc w:val="right"/>
            </w:pPr>
            <w:r>
              <w:rPr>
                <w:rFonts w:ascii="Arial" w:hAnsi="Arial"/>
                <w:sz w:val="18"/>
              </w:rPr>
              <w:t>1.03%</w:t>
            </w:r>
          </w:p>
        </w:tc>
        <w:tc>
          <w:tcPr>
            <w:tcW w:type="dxa" w:w="1003"/>
            <w:shd w:fill="F2F6FC" w:val="clear"/>
          </w:tcPr>
          <w:p>
            <w:pPr>
              <w:jc w:val="right"/>
            </w:pPr>
            <w:r>
              <w:rPr>
                <w:rFonts w:ascii="Arial" w:hAnsi="Arial"/>
                <w:sz w:val="18"/>
              </w:rPr>
              <w:t>1.4809</w:t>
            </w:r>
          </w:p>
        </w:tc>
        <w:tc>
          <w:tcPr>
            <w:tcW w:type="dxa" w:w="1003"/>
            <w:shd w:fill="F2F6FC" w:val="clear"/>
          </w:tcPr>
          <w:p>
            <w:pPr>
              <w:jc w:val="right"/>
            </w:pPr>
            <w:r>
              <w:rPr>
                <w:rFonts w:ascii="Arial" w:hAnsi="Arial"/>
                <w:sz w:val="18"/>
              </w:rPr>
              <w:t>3.21</w:t>
            </w:r>
          </w:p>
        </w:tc>
        <w:tc>
          <w:tcPr>
            <w:tcW w:type="dxa" w:w="1003"/>
            <w:shd w:fill="F2F6FC" w:val="clear"/>
          </w:tcPr>
          <w:p>
            <w:pPr>
              <w:jc w:val="right"/>
            </w:pPr>
            <w:r>
              <w:rPr>
                <w:rFonts w:ascii="Arial" w:hAnsi="Arial"/>
                <w:sz w:val="18"/>
              </w:rPr>
              <w:t>209</w:t>
            </w:r>
          </w:p>
        </w:tc>
      </w:tr>
      <w:tr>
        <w:tc>
          <w:tcPr>
            <w:tcW w:type="dxa" w:w="1003"/>
          </w:tcPr>
          <w:p>
            <w:r>
              <w:rPr>
                <w:rFonts w:ascii="Arial" w:hAnsi="Arial"/>
                <w:sz w:val="18"/>
              </w:rPr>
              <w:t>Real Estate - Residential</w:t>
            </w:r>
          </w:p>
        </w:tc>
        <w:tc>
          <w:tcPr>
            <w:tcW w:type="dxa" w:w="1003"/>
          </w:tcPr>
          <w:p>
            <w:pPr>
              <w:jc w:val="right"/>
            </w:pPr>
            <w:r>
              <w:rPr>
                <w:rFonts w:ascii="Arial" w:hAnsi="Arial"/>
                <w:sz w:val="18"/>
              </w:rPr>
              <w:t>168.42</w:t>
            </w:r>
          </w:p>
        </w:tc>
        <w:tc>
          <w:tcPr>
            <w:tcW w:type="dxa" w:w="1003"/>
          </w:tcPr>
          <w:p>
            <w:pPr>
              <w:jc w:val="right"/>
            </w:pPr>
            <w:r>
              <w:rPr>
                <w:rFonts w:ascii="Arial" w:hAnsi="Arial"/>
                <w:sz w:val="18"/>
              </w:rPr>
              <w:t>10.93%</w:t>
            </w:r>
          </w:p>
        </w:tc>
        <w:tc>
          <w:tcPr>
            <w:tcW w:type="dxa" w:w="1003"/>
          </w:tcPr>
          <w:p>
            <w:pPr>
              <w:jc w:val="right"/>
            </w:pPr>
            <w:r>
              <w:rPr>
                <w:rFonts w:ascii="Arial" w:hAnsi="Arial"/>
                <w:sz w:val="18"/>
              </w:rPr>
              <w:t>107,465.43</w:t>
            </w:r>
          </w:p>
        </w:tc>
        <w:tc>
          <w:tcPr>
            <w:tcW w:type="dxa" w:w="1003"/>
          </w:tcPr>
          <w:p>
            <w:pPr>
              <w:jc w:val="right"/>
            </w:pPr>
            <w:r>
              <w:rPr>
                <w:rFonts w:ascii="Arial" w:hAnsi="Arial"/>
                <w:sz w:val="18"/>
              </w:rPr>
              <w:t>79,158.87</w:t>
            </w:r>
          </w:p>
        </w:tc>
        <w:tc>
          <w:tcPr>
            <w:tcW w:type="dxa" w:w="1003"/>
          </w:tcPr>
          <w:p>
            <w:pPr>
              <w:jc w:val="right"/>
            </w:pPr>
            <w:r>
              <w:rPr>
                <w:rFonts w:ascii="Arial" w:hAnsi="Arial"/>
                <w:sz w:val="18"/>
              </w:rPr>
              <w:t>0.49%</w:t>
            </w:r>
          </w:p>
        </w:tc>
        <w:tc>
          <w:tcPr>
            <w:tcW w:type="dxa" w:w="1003"/>
          </w:tcPr>
          <w:p>
            <w:pPr>
              <w:jc w:val="right"/>
            </w:pPr>
            <w:r>
              <w:rPr>
                <w:rFonts w:ascii="Arial" w:hAnsi="Arial"/>
                <w:sz w:val="18"/>
              </w:rPr>
              <w:t>0.6381</w:t>
            </w:r>
          </w:p>
        </w:tc>
        <w:tc>
          <w:tcPr>
            <w:tcW w:type="dxa" w:w="1003"/>
          </w:tcPr>
          <w:p>
            <w:pPr>
              <w:jc w:val="right"/>
            </w:pPr>
            <w:r>
              <w:rPr>
                <w:rFonts w:ascii="Arial" w:hAnsi="Arial"/>
                <w:sz w:val="18"/>
              </w:rPr>
              <w:t>3.32</w:t>
            </w:r>
          </w:p>
        </w:tc>
        <w:tc>
          <w:tcPr>
            <w:tcW w:type="dxa" w:w="1003"/>
          </w:tcPr>
          <w:p>
            <w:pPr>
              <w:jc w:val="right"/>
            </w:pPr>
            <w:r>
              <w:rPr>
                <w:rFonts w:ascii="Arial" w:hAnsi="Arial"/>
                <w:sz w:val="18"/>
              </w:rPr>
              <w:t>223</w:t>
            </w:r>
          </w:p>
        </w:tc>
      </w:tr>
      <w:tr>
        <w:tc>
          <w:tcPr>
            <w:tcW w:type="dxa" w:w="1003"/>
            <w:shd w:fill="F2F6FC" w:val="clear"/>
          </w:tcPr>
          <w:p>
            <w:r>
              <w:rPr>
                <w:rFonts w:ascii="Arial" w:hAnsi="Arial"/>
                <w:sz w:val="18"/>
              </w:rPr>
              <w:t>Financial Services</w:t>
            </w:r>
          </w:p>
        </w:tc>
        <w:tc>
          <w:tcPr>
            <w:tcW w:type="dxa" w:w="1003"/>
            <w:shd w:fill="F2F6FC" w:val="clear"/>
          </w:tcPr>
          <w:p>
            <w:pPr>
              <w:jc w:val="right"/>
            </w:pPr>
            <w:r>
              <w:rPr>
                <w:rFonts w:ascii="Arial" w:hAnsi="Arial"/>
                <w:sz w:val="18"/>
              </w:rPr>
              <w:t>206.62</w:t>
            </w:r>
          </w:p>
        </w:tc>
        <w:tc>
          <w:tcPr>
            <w:tcW w:type="dxa" w:w="1003"/>
            <w:shd w:fill="F2F6FC" w:val="clear"/>
          </w:tcPr>
          <w:p>
            <w:pPr>
              <w:jc w:val="right"/>
            </w:pPr>
            <w:r>
              <w:rPr>
                <w:rFonts w:ascii="Arial" w:hAnsi="Arial"/>
                <w:sz w:val="18"/>
              </w:rPr>
              <w:t>13.41%</w:t>
            </w:r>
          </w:p>
        </w:tc>
        <w:tc>
          <w:tcPr>
            <w:tcW w:type="dxa" w:w="1003"/>
            <w:shd w:fill="F2F6FC" w:val="clear"/>
          </w:tcPr>
          <w:p>
            <w:pPr>
              <w:jc w:val="right"/>
            </w:pPr>
            <w:r>
              <w:rPr>
                <w:rFonts w:ascii="Arial" w:hAnsi="Arial"/>
                <w:sz w:val="18"/>
              </w:rPr>
              <w:t>73,693.74</w:t>
            </w:r>
          </w:p>
        </w:tc>
        <w:tc>
          <w:tcPr>
            <w:tcW w:type="dxa" w:w="1003"/>
            <w:shd w:fill="F2F6FC" w:val="clear"/>
          </w:tcPr>
          <w:p>
            <w:pPr>
              <w:jc w:val="right"/>
            </w:pPr>
            <w:r>
              <w:rPr>
                <w:rFonts w:ascii="Arial" w:hAnsi="Arial"/>
                <w:sz w:val="18"/>
              </w:rPr>
              <w:t>49,718.26</w:t>
            </w:r>
          </w:p>
        </w:tc>
        <w:tc>
          <w:tcPr>
            <w:tcW w:type="dxa" w:w="1003"/>
            <w:shd w:fill="F2F6FC" w:val="clear"/>
          </w:tcPr>
          <w:p>
            <w:pPr>
              <w:jc w:val="right"/>
            </w:pPr>
            <w:r>
              <w:rPr>
                <w:rFonts w:ascii="Arial" w:hAnsi="Arial"/>
                <w:sz w:val="18"/>
              </w:rPr>
              <w:t>0.34%</w:t>
            </w:r>
          </w:p>
        </w:tc>
        <w:tc>
          <w:tcPr>
            <w:tcW w:type="dxa" w:w="1003"/>
            <w:shd w:fill="F2F6FC" w:val="clear"/>
          </w:tcPr>
          <w:p>
            <w:pPr>
              <w:jc w:val="right"/>
            </w:pPr>
            <w:r>
              <w:rPr>
                <w:rFonts w:ascii="Arial" w:hAnsi="Arial"/>
                <w:sz w:val="18"/>
              </w:rPr>
              <w:t>0.3567</w:t>
            </w:r>
          </w:p>
        </w:tc>
        <w:tc>
          <w:tcPr>
            <w:tcW w:type="dxa" w:w="1003"/>
            <w:shd w:fill="F2F6FC" w:val="clear"/>
          </w:tcPr>
          <w:p>
            <w:pPr>
              <w:jc w:val="right"/>
            </w:pPr>
            <w:r>
              <w:rPr>
                <w:rFonts w:ascii="Arial" w:hAnsi="Arial"/>
                <w:sz w:val="18"/>
              </w:rPr>
              <w:t>3.42</w:t>
            </w:r>
          </w:p>
        </w:tc>
        <w:tc>
          <w:tcPr>
            <w:tcW w:type="dxa" w:w="1003"/>
            <w:shd w:fill="F2F6FC" w:val="clear"/>
          </w:tcPr>
          <w:p>
            <w:pPr>
              <w:jc w:val="right"/>
            </w:pPr>
            <w:r>
              <w:rPr>
                <w:rFonts w:ascii="Arial" w:hAnsi="Arial"/>
                <w:sz w:val="18"/>
              </w:rPr>
              <w:t>257</w:t>
            </w:r>
          </w:p>
        </w:tc>
      </w:tr>
      <w:tr>
        <w:tc>
          <w:tcPr>
            <w:tcW w:type="dxa" w:w="1003"/>
          </w:tcPr>
          <w:p>
            <w:r>
              <w:rPr>
                <w:rFonts w:ascii="Arial" w:hAnsi="Arial"/>
                <w:sz w:val="18"/>
              </w:rPr>
              <w:t>**Total Portfolio**</w:t>
            </w:r>
          </w:p>
        </w:tc>
        <w:tc>
          <w:tcPr>
            <w:tcW w:type="dxa" w:w="1003"/>
          </w:tcPr>
          <w:p>
            <w:r>
              <w:rPr>
                <w:rFonts w:ascii="Arial" w:hAnsi="Arial"/>
                <w:sz w:val="18"/>
              </w:rPr>
              <w:t>**1,541.18**</w:t>
            </w:r>
          </w:p>
        </w:tc>
        <w:tc>
          <w:tcPr>
            <w:tcW w:type="dxa" w:w="1003"/>
          </w:tcPr>
          <w:p>
            <w:r>
              <w:rPr>
                <w:rFonts w:ascii="Arial" w:hAnsi="Arial"/>
                <w:sz w:val="18"/>
              </w:rPr>
              <w:t>**100.0%**</w:t>
            </w:r>
          </w:p>
        </w:tc>
        <w:tc>
          <w:tcPr>
            <w:tcW w:type="dxa" w:w="1003"/>
          </w:tcPr>
          <w:p>
            <w:r>
              <w:rPr>
                <w:rFonts w:ascii="Arial" w:hAnsi="Arial"/>
                <w:sz w:val="18"/>
              </w:rPr>
              <w:t>**21,976,797.3**</w:t>
            </w:r>
          </w:p>
        </w:tc>
        <w:tc>
          <w:tcPr>
            <w:tcW w:type="dxa" w:w="1003"/>
          </w:tcPr>
          <w:p>
            <w:r>
              <w:rPr>
                <w:rFonts w:ascii="Arial" w:hAnsi="Arial"/>
                <w:sz w:val="18"/>
              </w:rPr>
              <w:t>**15,280,174.14**</w:t>
            </w:r>
          </w:p>
        </w:tc>
        <w:tc>
          <w:tcPr>
            <w:tcW w:type="dxa" w:w="1003"/>
          </w:tcPr>
          <w:p>
            <w:r>
              <w:rPr>
                <w:rFonts w:ascii="Arial" w:hAnsi="Arial"/>
                <w:sz w:val="18"/>
              </w:rPr>
              <w:t>**100.0%**</w:t>
            </w:r>
          </w:p>
        </w:tc>
        <w:tc>
          <w:tcPr>
            <w:tcW w:type="dxa" w:w="1003"/>
          </w:tcPr>
          <w:p>
            <w:r>
              <w:rPr>
                <w:rFonts w:ascii="Arial" w:hAnsi="Arial"/>
                <w:sz w:val="18"/>
              </w:rPr>
              <w:t>**239.400139**</w:t>
            </w:r>
          </w:p>
        </w:tc>
        <w:tc>
          <w:tcPr>
            <w:tcW w:type="dxa" w:w="1003"/>
          </w:tcPr>
          <w:p>
            <w:r>
              <w:rPr>
                <w:rFonts w:ascii="Arial" w:hAnsi="Arial"/>
                <w:sz w:val="18"/>
              </w:rPr>
              <w:t>**3.36**</w:t>
            </w:r>
          </w:p>
        </w:tc>
        <w:tc>
          <w:tcPr>
            <w:tcW w:type="dxa" w:w="1003"/>
          </w:tcPr>
          <w:p>
            <w:r>
              <w:rPr>
                <w:rFonts w:ascii="Arial" w:hAnsi="Arial"/>
                <w:sz w:val="18"/>
              </w:rPr>
              <w:t>**1,955**</w:t>
            </w:r>
          </w:p>
        </w:tc>
      </w:tr>
    </w:tbl>
    <w:p>
      <w:r>
        <w:rPr>
          <w:rFonts w:ascii="Arial" w:hAnsi="Arial"/>
          <w:i/>
          <w:sz w:val="16"/>
        </w:rPr>
        <w:t>Source: Source: Institution's PCAF calculation engine, reporting period 1 January 2024 – 31 December 2024. Gross emissions represent absolute financed emissions; confidence-weighted emissions apply PCAF data quality factors. Portfolio outstanding reflects year-end balances. PCAF scores range from 1 (verified data) to 5 (sector averages); lower scores indicate higher data quality.</w:t>
      </w:r>
    </w:p>
    <w:p/>
    <w:p>
      <w:r>
        <w:rPr>
          <w:i/>
          <w:color w:val="3D6094"/>
          <w:sz w:val="18"/>
        </w:rPr>
        <w:t>Framework references: ESRS E1-6 (Gross Scopes 1, 2, 3 and Total GHG emissions); ESRS E1-9 (Anticipated financial effects from material physical and transition risks); ESRS 2 SBM-3 (Material impacts, risks and opportunities — value chain); PCAF Global GHG Accounting Standard (Second Edition, 2022); GHG Protocol Corporate Value Chain (Scope 3) Accounting and Reporting Standard — Category 15: Investments; ESRS E1 AR 44-53 (Application Requirements for Scope 3 emissions); ESRS E1 AR 56 (Financed emissions calculation methodology)</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are calculated using the PCAF Global GHG Accounting Standard (Second Edition, 2022). The attribution factor methodology allocates borrower emissions proportionally based on the institution's share of total borrower financing (outstanding loan ÷ enterprise value).</w:t>
      </w:r>
    </w:p>
    <w:p>
      <w:pPr>
        <w:spacing w:after="160" w:line="276" w:lineRule="auto"/>
        <w:jc w:val="both"/>
      </w:pPr>
      <w:r>
        <w:rPr>
          <w:rFonts w:ascii="Arial" w:hAnsi="Arial"/>
          <w:i/>
          <w:color w:val="646464"/>
          <w:sz w:val="18"/>
        </w:rPr>
        <w:t>Confidence-weighted emissions apply PCAF data quality factors: Score 1 (1.00), Score 2 (0.90), Score 3 (0.75), Score 4 (0.60), Score 5 (0.45). The 30.47% reduction from gross to weighted reflects data quality uncertainty.</w:t>
      </w:r>
    </w:p>
    <w:p>
      <w:pPr>
        <w:spacing w:after="160" w:line="276" w:lineRule="auto"/>
        <w:jc w:val="both"/>
      </w:pPr>
      <w:r>
        <w:rPr>
          <w:rFonts w:ascii="Arial" w:hAnsi="Arial"/>
          <w:i/>
          <w:color w:val="646464"/>
          <w:sz w:val="18"/>
        </w:rPr>
        <w:t>Year-over-year comparisons are subject to restatement as data quality improves. The 2023 baseline has not been restated for the current reporting period.</w:t>
      </w:r>
    </w:p>
    <w:p>
      <w:pPr>
        <w:spacing w:after="160" w:line="276" w:lineRule="auto"/>
        <w:jc w:val="both"/>
      </w:pPr>
      <w:r>
        <w:rPr>
          <w:rFonts w:ascii="Arial" w:hAnsi="Arial"/>
          <w:i/>
          <w:color w:val="646464"/>
          <w:sz w:val="18"/>
        </w:rPr>
        <w:t>Sector classifications follow NACE Rev. 2 taxonomy. Energy - Oil &amp; Gas includes upstream exploration, midstream transportation, and downstream refining activities.</w:t>
      </w:r>
    </w:p>
    <w:p>
      <w:pPr>
        <w:spacing w:after="160" w:line="276" w:lineRule="auto"/>
        <w:jc w:val="both"/>
      </w:pPr>
      <w:r>
        <w:rPr>
          <w:rFonts w:ascii="Arial" w:hAnsi="Arial"/>
          <w:i/>
          <w:color w:val="646464"/>
          <w:sz w:val="18"/>
        </w:rPr>
        <w:t>Portfolio coverage is 100% of corporate lending by outstanding amount. Excluded asset classes (retail mortgages, consumer credit, trade finance) represent &lt;5% of total institutional assets.</w:t>
      </w:r>
    </w:p>
    <w:p>
      <w:pPr>
        <w:spacing w:after="160" w:line="276" w:lineRule="auto"/>
        <w:jc w:val="both"/>
      </w:pPr>
      <w:r>
        <w:rPr>
          <w:rFonts w:ascii="Arial" w:hAnsi="Arial"/>
          <w:i/>
          <w:color w:val="646464"/>
          <w:sz w:val="18"/>
        </w:rPr>
        <w:t>Emission intensity (tCO2e per IDR Billion) is calculated as confidence-weighted financed emissions divided by sector portfolio outstanding. This metric enables cross-sector comparison independent of portfolio size.</w:t>
      </w:r>
    </w:p>
    <w:p>
      <w:r>
        <w:br w:type="page"/>
      </w:r>
    </w:p>
    <w:p>
      <w:pPr>
        <w:pStyle w:val="Heading1"/>
        <w:keepNext/>
        <w:spacing w:before="480" w:after="240"/>
      </w:pPr>
      <w:r>
        <w:rPr>
          <w:rFonts w:ascii="Arial" w:hAnsi="Arial"/>
          <w:b/>
          <w:color w:val="1B3A6B"/>
          <w:sz w:val="36"/>
        </w:rPr>
        <w:t>GRI 305-3: Other Indirect (Scope 3) GHG Emissions — PCAF Financed Emissions</w:t>
      </w:r>
    </w:p>
    <w:p>
      <w:pPr>
        <w:spacing w:after="160" w:line="276" w:lineRule="auto"/>
        <w:jc w:val="both"/>
      </w:pPr>
      <w:r>
        <w:rPr>
          <w:rFonts w:ascii="Arial" w:hAnsi="Arial"/>
          <w:sz w:val="22"/>
        </w:rPr>
        <w:t>The institution's financed emissions for Reporting Year 2024, calculated under the Partnership for Carbon Accounting Financials (PCAF) Global GHG Accounting Standard for Category 15 (Investments), totaled 21,976,797.3 tCO2e on a gross basis. This represents the absolute greenhouse gas emissions attributable to the institution's lending portfolio across 10 economic sectors, covering IDR 1,541.18 trillion in total outstanding loans to 1,955 corporate borrowers. The financed emissions constitute the institution's most material Scope 3 category, representing 99.93% of the institution's total carbon footprint when operational emissions (Scope 1+2: 48,016.873 tCO2e) are included.</w:t>
      </w:r>
    </w:p>
    <w:p>
      <w:pPr>
        <w:spacing w:after="160" w:line="276" w:lineRule="auto"/>
        <w:jc w:val="both"/>
      </w:pPr>
      <w:r>
        <w:rPr>
          <w:rFonts w:ascii="Arial" w:hAnsi="Arial"/>
          <w:i/>
          <w:sz w:val="22"/>
        </w:rPr>
        <w:t>Financed emissions are calculated using the PCAF attribution factor methodology, which apportions a borrower's total enterprise emissions to the institution based on the ratio of outstanding loan amount to the borrower's total equity plus debt (EVIC). The formula applied is: Financed Emissions = Borrower Emissions × (Outstanding Amount ÷ EVIC). The institution's calculation covers PCAF Asset Class 1 (Listed Equity and Corporate Bonds) and Asset Class 2 (Business Loans and Unlisted Equity), representing the core commercial lending portfolio. Borrower emissions data are sourced from a combination of verified disclosures (CDP, sustainability reports), estimated values using economic input-output models (EEIO) paired with revenue or asset data, and sector-average proxies where company-specific data are unavailable. Each data point is assigned a PCAF Data Quality Score ranging from 1 (highest quality, verified data) to 5 (lowest quality, sector-average proxy).</w:t>
      </w:r>
    </w:p>
    <w:p>
      <w:pPr>
        <w:spacing w:after="160" w:line="276" w:lineRule="auto"/>
        <w:jc w:val="both"/>
      </w:pPr>
      <w:r>
        <w:rPr>
          <w:rFonts w:ascii="Arial" w:hAnsi="Arial"/>
          <w:sz w:val="22"/>
        </w:rPr>
        <w:t>The portfolio-weighted average PCAF Data Quality Score for Reporting Year 2024 is 3.36, indicating that the majority of financed emissions calculations rely on EEIO models paired with revenue data (Score 3) or asset data (Score 4). This data quality level is consistent with early-stage PCAF implementation for Indonesian financial institutions, where borrower-level emissions disclosures remain limited outside of publicly listed companies. The institution has achieved 100% portfolio coverage for the 10 sectors included in this disclosure, representing 100% of the corporate lending book by outstanding value. However, the reliance on estimated data (Scores 3-4) introduces uncertainty into the absolute emissions figures, necessitating the reporting of confidence-weighted emissions alongside gross emissions.</w:t>
      </w:r>
    </w:p>
    <w:p>
      <w:pPr>
        <w:spacing w:after="160" w:line="276" w:lineRule="auto"/>
        <w:jc w:val="both"/>
      </w:pPr>
      <w:r>
        <w:rPr>
          <w:rFonts w:ascii="Arial" w:hAnsi="Arial"/>
          <w:sz w:val="22"/>
        </w:rPr>
        <w:t>To reflect data quality uncertainty, the institution reports confidence-weighted financed emissions of 15,280,174.14 tCO2e for Reporting Year 2024. This figure applies PCAF confidence factors to each loan's financed emissions based on its data quality score: Score 1 (factor 1.00), Score 2 (factor 0.90), Score 3 (factor 0.75), Score 4 (factor 0.60), Score 5 (factor 0.45). The confidence-weighted figure represents a 30.47% reduction from gross emissions, indicating that approximately 30% of reported emissions carry significant estimation uncertainty. The distinction between gross emissions (21,976,797.3 tCO2e) and confidence-weighted emissions (15,280,174.14 tCO2e) is critical for stakeholders assessing the reliability of the institution's financed emissions inventory. Gross emissions provide the best estimate of actual portfolio impact, while weighted emissions reflect the statistical confidence level in that estimate. Both metrics are required under PCAF disclosure standards and are reported separately to avoid conflation.</w:t>
      </w:r>
    </w:p>
    <w:p>
      <w:pPr>
        <w:spacing w:after="160" w:line="276" w:lineRule="auto"/>
        <w:jc w:val="both"/>
      </w:pPr>
      <w:r>
        <w:rPr>
          <w:rFonts w:ascii="Arial" w:hAnsi="Arial"/>
          <w:sz w:val="22"/>
        </w:rPr>
        <w:t>Financed emissions are highly concentrated in carbon-intensive sectors. The Energy - Oil &amp; Gas sector accounts for 43.56% of total financed emissions (9,573,144.27 tCO2e gross) despite representing only 6.66% of portfolio value (IDR 102.67 trillion). Manufacturing - Cement contributes 26.45% of emissions (5,813,830.91 tCO2e) from 6.99% of portfolio value (IDR 107.68 trillion). Manufacturing - Steel represents 15.92% of emissions (3,499,463.0 tCO2e) from 7.05% of portfolio exposure (IDR 108.62 trillion). These three sectors collectively account for 85.93% of financed emissions while comprising only 20.70% of the lending portfolio, highlighting the emission intensity disparity across economic activities. The emission intensity metric (tCO2e per IDR billion outstanding) ranges from 93.242 for Oil &amp; Gas to 0.3567 for Financial Services, a 261-fold difference. This concentration pattern aligns with Indonesia's economic structure, where energy and heavy industry sectors remain reliant on fossil fuel inputs and energy-intensive production processes.</w:t>
      </w:r>
    </w:p>
    <w:p>
      <w:pPr>
        <w:spacing w:after="160" w:line="276" w:lineRule="auto"/>
        <w:jc w:val="both"/>
      </w:pPr>
      <w:r>
        <w:rPr>
          <w:rFonts w:ascii="Arial" w:hAnsi="Arial"/>
          <w:sz w:val="22"/>
        </w:rPr>
        <w:t>Year-over-year comparison of financed emissions is not available for Reporting Year 2024, as this represents the institution's first full reporting cycle under the PCAF Standard. Prior year data (Reporting Year 2023) were calculated using a preliminary methodology that did not fully align with PCAF technical specifications, rendering direct comparison statistically invalid. The institution has established Reporting Year 2024 as the baseline year for future trend analysis. Subsequent annual reports will include year-over-year percentage changes and cumulative progress toward portfolio decarbonization targets once comparable multi-year data are available. This baseline establishment is consistent with PCAF guidance for first-time reporters and aligns with the phased implementation timeline under POJK No. 51/POJK.03/2017 tentang Penerapan Keuangan Berkelanjutan bagi Lembaga Jasa Keuangan, Emiten, dan Perusahaan Publik (POJK 51/2017), which mandates financed emissions disclosure for KBMI 3 banks beginning January 2027.</w:t>
      </w:r>
    </w:p>
    <w:p>
      <w:pPr>
        <w:spacing w:after="160" w:line="276" w:lineRule="auto"/>
        <w:jc w:val="both"/>
      </w:pPr>
      <w:r>
        <w:rPr>
          <w:rFonts w:ascii="Arial" w:hAnsi="Arial"/>
          <w:i/>
          <w:color w:val="555555"/>
          <w:sz w:val="22"/>
        </w:rPr>
        <w:t>The institution's average PCAF Data Quality Score of 3.36 indicates significant opportunity for improvement through enhanced borrower engagement and data collection processes. Scores above 3.0 signal reliance on estimation methodologies rather than borrower-reported data, which limits the precision of financed emissions calculations and the institution's ability to track client-level decarbonization progress. To address this data quality gap, the institution has initiated a three-phase improvement roadmap: (1) Short-term (2025): Integrate ESG data requests into annual credit review processes for the top 100 borrowers by financed emissions, targeting Score 2 (reported, unverified) for 40% of high-emission clients; (2) Medium-term (2026): Require sustainability disclosures as a condition for loan renewals in carbon-intensive sectors (Oil &amp; Gas, Cement, Steel), with technical assistance provided to borrowers lacking reporting capacity; (3) Long-term (2027-2028): Achieve portfolio-weighted average Score ≤2.5 through systematic borrower capacity building, third-party data partnerships (e.g., CDP, Trucost), and integration of emissions data into credit risk models. This roadmap targets a 25% improvement in data quality score by 2027, reducing reliance on sector-average proxies and enabling more accurate tracking of portfolio alignment with Indonesia's Enhanced Nationally Determined Contribution (NDC) target of 31.89% unconditional emissions reduction by 2030.</w:t>
      </w:r>
    </w:p>
    <w:p>
      <w:r>
        <w:rPr>
          <w:rFonts w:ascii="Arial" w:hAnsi="Arial"/>
          <w:b/>
          <w:sz w:val="20"/>
        </w:rPr>
        <w:t>Table 1: Financed Emissions by Economic Sector — Top 5 Emitting Sectors (Reporting Year 2024)</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No.</w:t>
            </w:r>
          </w:p>
        </w:tc>
        <w:tc>
          <w:tcPr>
            <w:tcW w:type="dxa" w:w="1129"/>
            <w:shd w:fill="1B3A6B" w:val="clear"/>
          </w:tcPr>
          <w:p>
            <w:r>
              <w:rPr>
                <w:rFonts w:ascii="Arial" w:hAnsi="Arial"/>
                <w:b/>
                <w:color w:val="FFFFFF"/>
                <w:sz w:val="18"/>
              </w:rPr>
              <w:t>Sector</w:t>
            </w:r>
          </w:p>
        </w:tc>
        <w:tc>
          <w:tcPr>
            <w:tcW w:type="dxa" w:w="1129"/>
            <w:shd w:fill="1B3A6B" w:val="clear"/>
          </w:tcPr>
          <w:p>
            <w:r>
              <w:rPr>
                <w:rFonts w:ascii="Arial" w:hAnsi="Arial"/>
                <w:b/>
                <w:color w:val="FFFFFF"/>
                <w:sz w:val="18"/>
              </w:rPr>
              <w:t>Outstanding (IDR Trillion)</w:t>
            </w:r>
          </w:p>
        </w:tc>
        <w:tc>
          <w:tcPr>
            <w:tcW w:type="dxa" w:w="1129"/>
            <w:shd w:fill="1B3A6B" w:val="clear"/>
          </w:tcPr>
          <w:p>
            <w:r>
              <w:rPr>
                <w:rFonts w:ascii="Arial" w:hAnsi="Arial"/>
                <w:b/>
                <w:color w:val="FFFFFF"/>
                <w:sz w:val="18"/>
              </w:rPr>
              <w:t>Gross Financed Emissions (tCO2e)</w:t>
            </w:r>
          </w:p>
        </w:tc>
        <w:tc>
          <w:tcPr>
            <w:tcW w:type="dxa" w:w="1129"/>
            <w:shd w:fill="1B3A6B" w:val="clear"/>
          </w:tcPr>
          <w:p>
            <w:r>
              <w:rPr>
                <w:rFonts w:ascii="Arial" w:hAnsi="Arial"/>
                <w:b/>
                <w:color w:val="FFFFFF"/>
                <w:sz w:val="18"/>
              </w:rPr>
              <w:t>Weighted Financed Emissions (tCO2e)</w:t>
            </w:r>
          </w:p>
        </w:tc>
        <w:tc>
          <w:tcPr>
            <w:tcW w:type="dxa" w:w="1129"/>
            <w:shd w:fill="1B3A6B" w:val="clear"/>
          </w:tcPr>
          <w:p>
            <w:r>
              <w:rPr>
                <w:rFonts w:ascii="Arial" w:hAnsi="Arial"/>
                <w:b/>
                <w:color w:val="FFFFFF"/>
                <w:sz w:val="18"/>
              </w:rPr>
              <w:t>% of Total Emissions</w:t>
            </w:r>
          </w:p>
        </w:tc>
        <w:tc>
          <w:tcPr>
            <w:tcW w:type="dxa" w:w="1129"/>
            <w:shd w:fill="1B3A6B" w:val="clear"/>
          </w:tcPr>
          <w:p>
            <w:r>
              <w:rPr>
                <w:rFonts w:ascii="Arial" w:hAnsi="Arial"/>
                <w:b/>
                <w:color w:val="FFFFFF"/>
                <w:sz w:val="18"/>
              </w:rPr>
              <w:t>Emission Intensity (tCO2e/IDR Bn)</w:t>
            </w:r>
          </w:p>
        </w:tc>
        <w:tc>
          <w:tcPr>
            <w:tcW w:type="dxa" w:w="1129"/>
            <w:shd w:fill="1B3A6B" w:val="clear"/>
          </w:tcPr>
          <w:p>
            <w:r>
              <w:rPr>
                <w:rFonts w:ascii="Arial" w:hAnsi="Arial"/>
                <w:b/>
                <w:color w:val="FFFFFF"/>
                <w:sz w:val="18"/>
              </w:rPr>
              <w:t>Avg PCAF Score</w:t>
            </w:r>
          </w:p>
        </w:tc>
      </w:tr>
      <w:tr>
        <w:tc>
          <w:tcPr>
            <w:tcW w:type="dxa" w:w="1129"/>
          </w:tcPr>
          <w:p>
            <w:pPr>
              <w:jc w:val="right"/>
            </w:pPr>
            <w:r>
              <w:rPr>
                <w:rFonts w:ascii="Arial" w:hAnsi="Arial"/>
                <w:sz w:val="18"/>
              </w:rPr>
              <w:t>1</w:t>
            </w:r>
          </w:p>
        </w:tc>
        <w:tc>
          <w:tcPr>
            <w:tcW w:type="dxa" w:w="1129"/>
          </w:tcPr>
          <w:p>
            <w:r>
              <w:rPr>
                <w:rFonts w:ascii="Arial" w:hAnsi="Arial"/>
                <w:sz w:val="18"/>
              </w:rPr>
              <w:t>Energy - Oil &amp; Gas</w:t>
            </w:r>
          </w:p>
        </w:tc>
        <w:tc>
          <w:tcPr>
            <w:tcW w:type="dxa" w:w="1129"/>
          </w:tcPr>
          <w:p>
            <w:pPr>
              <w:jc w:val="right"/>
            </w:pPr>
            <w:r>
              <w:rPr>
                <w:rFonts w:ascii="Arial" w:hAnsi="Arial"/>
                <w:sz w:val="18"/>
              </w:rPr>
              <w:t>102.67</w:t>
            </w:r>
          </w:p>
        </w:tc>
        <w:tc>
          <w:tcPr>
            <w:tcW w:type="dxa" w:w="1129"/>
          </w:tcPr>
          <w:p>
            <w:pPr>
              <w:jc w:val="right"/>
            </w:pPr>
            <w:r>
              <w:rPr>
                <w:rFonts w:ascii="Arial" w:hAnsi="Arial"/>
                <w:sz w:val="18"/>
              </w:rPr>
              <w:t>9,573,144.27</w:t>
            </w:r>
          </w:p>
        </w:tc>
        <w:tc>
          <w:tcPr>
            <w:tcW w:type="dxa" w:w="1129"/>
          </w:tcPr>
          <w:p>
            <w:pPr>
              <w:jc w:val="right"/>
            </w:pPr>
            <w:r>
              <w:rPr>
                <w:rFonts w:ascii="Arial" w:hAnsi="Arial"/>
                <w:sz w:val="18"/>
              </w:rPr>
              <w:t>6,753,948.71</w:t>
            </w:r>
          </w:p>
        </w:tc>
        <w:tc>
          <w:tcPr>
            <w:tcW w:type="dxa" w:w="1129"/>
          </w:tcPr>
          <w:p>
            <w:pPr>
              <w:jc w:val="right"/>
            </w:pPr>
            <w:r>
              <w:rPr>
                <w:rFonts w:ascii="Arial" w:hAnsi="Arial"/>
                <w:sz w:val="18"/>
              </w:rPr>
              <w:t>43.56%</w:t>
            </w:r>
          </w:p>
        </w:tc>
        <w:tc>
          <w:tcPr>
            <w:tcW w:type="dxa" w:w="1129"/>
          </w:tcPr>
          <w:p>
            <w:pPr>
              <w:jc w:val="right"/>
            </w:pPr>
            <w:r>
              <w:rPr>
                <w:rFonts w:ascii="Arial" w:hAnsi="Arial"/>
                <w:sz w:val="18"/>
              </w:rPr>
              <w:t>93.242</w:t>
            </w:r>
          </w:p>
        </w:tc>
        <w:tc>
          <w:tcPr>
            <w:tcW w:type="dxa" w:w="1129"/>
          </w:tcPr>
          <w:p>
            <w:pPr>
              <w:jc w:val="right"/>
            </w:pPr>
            <w:r>
              <w:rPr>
                <w:rFonts w:ascii="Arial" w:hAnsi="Arial"/>
                <w:sz w:val="18"/>
              </w:rPr>
              <w:t>3.32</w:t>
            </w:r>
          </w:p>
        </w:tc>
      </w:tr>
      <w:tr>
        <w:tc>
          <w:tcPr>
            <w:tcW w:type="dxa" w:w="1129"/>
            <w:shd w:fill="F2F6FC" w:val="clear"/>
          </w:tcPr>
          <w:p>
            <w:pPr>
              <w:jc w:val="right"/>
            </w:pPr>
            <w:r>
              <w:rPr>
                <w:rFonts w:ascii="Arial" w:hAnsi="Arial"/>
                <w:sz w:val="18"/>
              </w:rPr>
              <w:t>2</w:t>
            </w:r>
          </w:p>
        </w:tc>
        <w:tc>
          <w:tcPr>
            <w:tcW w:type="dxa" w:w="1129"/>
            <w:shd w:fill="F2F6FC" w:val="clear"/>
          </w:tcPr>
          <w:p>
            <w:r>
              <w:rPr>
                <w:rFonts w:ascii="Arial" w:hAnsi="Arial"/>
                <w:sz w:val="18"/>
              </w:rPr>
              <w:t>Manufacturing - Cement</w:t>
            </w:r>
          </w:p>
        </w:tc>
        <w:tc>
          <w:tcPr>
            <w:tcW w:type="dxa" w:w="1129"/>
            <w:shd w:fill="F2F6FC" w:val="clear"/>
          </w:tcPr>
          <w:p>
            <w:pPr>
              <w:jc w:val="right"/>
            </w:pPr>
            <w:r>
              <w:rPr>
                <w:rFonts w:ascii="Arial" w:hAnsi="Arial"/>
                <w:sz w:val="18"/>
              </w:rPr>
              <w:t>107.68</w:t>
            </w:r>
          </w:p>
        </w:tc>
        <w:tc>
          <w:tcPr>
            <w:tcW w:type="dxa" w:w="1129"/>
            <w:shd w:fill="F2F6FC" w:val="clear"/>
          </w:tcPr>
          <w:p>
            <w:pPr>
              <w:jc w:val="right"/>
            </w:pPr>
            <w:r>
              <w:rPr>
                <w:rFonts w:ascii="Arial" w:hAnsi="Arial"/>
                <w:sz w:val="18"/>
              </w:rPr>
              <w:t>5,813,830.91</w:t>
            </w:r>
          </w:p>
        </w:tc>
        <w:tc>
          <w:tcPr>
            <w:tcW w:type="dxa" w:w="1129"/>
            <w:shd w:fill="F2F6FC" w:val="clear"/>
          </w:tcPr>
          <w:p>
            <w:pPr>
              <w:jc w:val="right"/>
            </w:pPr>
            <w:r>
              <w:rPr>
                <w:rFonts w:ascii="Arial" w:hAnsi="Arial"/>
                <w:sz w:val="18"/>
              </w:rPr>
              <w:t>4,168,058.43</w:t>
            </w:r>
          </w:p>
        </w:tc>
        <w:tc>
          <w:tcPr>
            <w:tcW w:type="dxa" w:w="1129"/>
            <w:shd w:fill="F2F6FC" w:val="clear"/>
          </w:tcPr>
          <w:p>
            <w:pPr>
              <w:jc w:val="right"/>
            </w:pPr>
            <w:r>
              <w:rPr>
                <w:rFonts w:ascii="Arial" w:hAnsi="Arial"/>
                <w:sz w:val="18"/>
              </w:rPr>
              <w:t>26.45%</w:t>
            </w:r>
          </w:p>
        </w:tc>
        <w:tc>
          <w:tcPr>
            <w:tcW w:type="dxa" w:w="1129"/>
            <w:shd w:fill="F2F6FC" w:val="clear"/>
          </w:tcPr>
          <w:p>
            <w:pPr>
              <w:jc w:val="right"/>
            </w:pPr>
            <w:r>
              <w:rPr>
                <w:rFonts w:ascii="Arial" w:hAnsi="Arial"/>
                <w:sz w:val="18"/>
              </w:rPr>
              <w:t>53.993</w:t>
            </w:r>
          </w:p>
        </w:tc>
        <w:tc>
          <w:tcPr>
            <w:tcW w:type="dxa" w:w="1129"/>
            <w:shd w:fill="F2F6FC" w:val="clear"/>
          </w:tcPr>
          <w:p>
            <w:pPr>
              <w:jc w:val="right"/>
            </w:pPr>
            <w:r>
              <w:rPr>
                <w:rFonts w:ascii="Arial" w:hAnsi="Arial"/>
                <w:sz w:val="18"/>
              </w:rPr>
              <w:t>3.40</w:t>
            </w:r>
          </w:p>
        </w:tc>
      </w:tr>
      <w:tr>
        <w:tc>
          <w:tcPr>
            <w:tcW w:type="dxa" w:w="1129"/>
          </w:tcPr>
          <w:p>
            <w:pPr>
              <w:jc w:val="right"/>
            </w:pPr>
            <w:r>
              <w:rPr>
                <w:rFonts w:ascii="Arial" w:hAnsi="Arial"/>
                <w:sz w:val="18"/>
              </w:rPr>
              <w:t>3</w:t>
            </w:r>
          </w:p>
        </w:tc>
        <w:tc>
          <w:tcPr>
            <w:tcW w:type="dxa" w:w="1129"/>
          </w:tcPr>
          <w:p>
            <w:r>
              <w:rPr>
                <w:rFonts w:ascii="Arial" w:hAnsi="Arial"/>
                <w:sz w:val="18"/>
              </w:rPr>
              <w:t>Manufacturing - Steel</w:t>
            </w:r>
          </w:p>
        </w:tc>
        <w:tc>
          <w:tcPr>
            <w:tcW w:type="dxa" w:w="1129"/>
          </w:tcPr>
          <w:p>
            <w:pPr>
              <w:jc w:val="right"/>
            </w:pPr>
            <w:r>
              <w:rPr>
                <w:rFonts w:ascii="Arial" w:hAnsi="Arial"/>
                <w:sz w:val="18"/>
              </w:rPr>
              <w:t>108.62</w:t>
            </w:r>
          </w:p>
        </w:tc>
        <w:tc>
          <w:tcPr>
            <w:tcW w:type="dxa" w:w="1129"/>
          </w:tcPr>
          <w:p>
            <w:pPr>
              <w:jc w:val="right"/>
            </w:pPr>
            <w:r>
              <w:rPr>
                <w:rFonts w:ascii="Arial" w:hAnsi="Arial"/>
                <w:sz w:val="18"/>
              </w:rPr>
              <w:t>3,499,463.0</w:t>
            </w:r>
          </w:p>
        </w:tc>
        <w:tc>
          <w:tcPr>
            <w:tcW w:type="dxa" w:w="1129"/>
          </w:tcPr>
          <w:p>
            <w:pPr>
              <w:jc w:val="right"/>
            </w:pPr>
            <w:r>
              <w:rPr>
                <w:rFonts w:ascii="Arial" w:hAnsi="Arial"/>
                <w:sz w:val="18"/>
              </w:rPr>
              <w:t>2,228,739.65</w:t>
            </w:r>
          </w:p>
        </w:tc>
        <w:tc>
          <w:tcPr>
            <w:tcW w:type="dxa" w:w="1129"/>
          </w:tcPr>
          <w:p>
            <w:pPr>
              <w:jc w:val="right"/>
            </w:pPr>
            <w:r>
              <w:rPr>
                <w:rFonts w:ascii="Arial" w:hAnsi="Arial"/>
                <w:sz w:val="18"/>
              </w:rPr>
              <w:t>15.92%</w:t>
            </w:r>
          </w:p>
        </w:tc>
        <w:tc>
          <w:tcPr>
            <w:tcW w:type="dxa" w:w="1129"/>
          </w:tcPr>
          <w:p>
            <w:pPr>
              <w:jc w:val="right"/>
            </w:pPr>
            <w:r>
              <w:rPr>
                <w:rFonts w:ascii="Arial" w:hAnsi="Arial"/>
                <w:sz w:val="18"/>
              </w:rPr>
              <w:t>32.218</w:t>
            </w:r>
          </w:p>
        </w:tc>
        <w:tc>
          <w:tcPr>
            <w:tcW w:type="dxa" w:w="1129"/>
          </w:tcPr>
          <w:p>
            <w:pPr>
              <w:jc w:val="right"/>
            </w:pPr>
            <w:r>
              <w:rPr>
                <w:rFonts w:ascii="Arial" w:hAnsi="Arial"/>
                <w:sz w:val="18"/>
              </w:rPr>
              <w:t>3.35</w:t>
            </w:r>
          </w:p>
        </w:tc>
      </w:tr>
      <w:tr>
        <w:tc>
          <w:tcPr>
            <w:tcW w:type="dxa" w:w="1129"/>
            <w:shd w:fill="F2F6FC" w:val="clear"/>
          </w:tcPr>
          <w:p>
            <w:pPr>
              <w:jc w:val="right"/>
            </w:pPr>
            <w:r>
              <w:rPr>
                <w:rFonts w:ascii="Arial" w:hAnsi="Arial"/>
                <w:sz w:val="18"/>
              </w:rPr>
              <w:t>4</w:t>
            </w:r>
          </w:p>
        </w:tc>
        <w:tc>
          <w:tcPr>
            <w:tcW w:type="dxa" w:w="1129"/>
            <w:shd w:fill="F2F6FC" w:val="clear"/>
          </w:tcPr>
          <w:p>
            <w:r>
              <w:rPr>
                <w:rFonts w:ascii="Arial" w:hAnsi="Arial"/>
                <w:sz w:val="18"/>
              </w:rPr>
              <w:t>Transportation - Road</w:t>
            </w:r>
          </w:p>
        </w:tc>
        <w:tc>
          <w:tcPr>
            <w:tcW w:type="dxa" w:w="1129"/>
            <w:shd w:fill="F2F6FC" w:val="clear"/>
          </w:tcPr>
          <w:p>
            <w:pPr>
              <w:jc w:val="right"/>
            </w:pPr>
            <w:r>
              <w:rPr>
                <w:rFonts w:ascii="Arial" w:hAnsi="Arial"/>
                <w:sz w:val="18"/>
              </w:rPr>
              <w:t>155.55</w:t>
            </w:r>
          </w:p>
        </w:tc>
        <w:tc>
          <w:tcPr>
            <w:tcW w:type="dxa" w:w="1129"/>
            <w:shd w:fill="F2F6FC" w:val="clear"/>
          </w:tcPr>
          <w:p>
            <w:pPr>
              <w:jc w:val="right"/>
            </w:pPr>
            <w:r>
              <w:rPr>
                <w:rFonts w:ascii="Arial" w:hAnsi="Arial"/>
                <w:sz w:val="18"/>
              </w:rPr>
              <w:t>1,227,019.62</w:t>
            </w:r>
          </w:p>
        </w:tc>
        <w:tc>
          <w:tcPr>
            <w:tcW w:type="dxa" w:w="1129"/>
            <w:shd w:fill="F2F6FC" w:val="clear"/>
          </w:tcPr>
          <w:p>
            <w:pPr>
              <w:jc w:val="right"/>
            </w:pPr>
            <w:r>
              <w:rPr>
                <w:rFonts w:ascii="Arial" w:hAnsi="Arial"/>
                <w:sz w:val="18"/>
              </w:rPr>
              <w:t>864,356.23</w:t>
            </w:r>
          </w:p>
        </w:tc>
        <w:tc>
          <w:tcPr>
            <w:tcW w:type="dxa" w:w="1129"/>
            <w:shd w:fill="F2F6FC" w:val="clear"/>
          </w:tcPr>
          <w:p>
            <w:pPr>
              <w:jc w:val="right"/>
            </w:pPr>
            <w:r>
              <w:rPr>
                <w:rFonts w:ascii="Arial" w:hAnsi="Arial"/>
                <w:sz w:val="18"/>
              </w:rPr>
              <w:t>5.58%</w:t>
            </w:r>
          </w:p>
        </w:tc>
        <w:tc>
          <w:tcPr>
            <w:tcW w:type="dxa" w:w="1129"/>
            <w:shd w:fill="F2F6FC" w:val="clear"/>
          </w:tcPr>
          <w:p>
            <w:pPr>
              <w:jc w:val="right"/>
            </w:pPr>
            <w:r>
              <w:rPr>
                <w:rFonts w:ascii="Arial" w:hAnsi="Arial"/>
                <w:sz w:val="18"/>
              </w:rPr>
              <w:t>7.888</w:t>
            </w:r>
          </w:p>
        </w:tc>
        <w:tc>
          <w:tcPr>
            <w:tcW w:type="dxa" w:w="1129"/>
            <w:shd w:fill="F2F6FC" w:val="clear"/>
          </w:tcPr>
          <w:p>
            <w:pPr>
              <w:jc w:val="right"/>
            </w:pPr>
            <w:r>
              <w:rPr>
                <w:rFonts w:ascii="Arial" w:hAnsi="Arial"/>
                <w:sz w:val="18"/>
              </w:rPr>
              <w:t>3.36</w:t>
            </w:r>
          </w:p>
        </w:tc>
      </w:tr>
      <w:tr>
        <w:tc>
          <w:tcPr>
            <w:tcW w:type="dxa" w:w="1129"/>
          </w:tcPr>
          <w:p>
            <w:pPr>
              <w:jc w:val="right"/>
            </w:pPr>
            <w:r>
              <w:rPr>
                <w:rFonts w:ascii="Arial" w:hAnsi="Arial"/>
                <w:sz w:val="18"/>
              </w:rPr>
              <w:t>5</w:t>
            </w:r>
          </w:p>
        </w:tc>
        <w:tc>
          <w:tcPr>
            <w:tcW w:type="dxa" w:w="1129"/>
          </w:tcPr>
          <w:p>
            <w:r>
              <w:rPr>
                <w:rFonts w:ascii="Arial" w:hAnsi="Arial"/>
                <w:sz w:val="18"/>
              </w:rPr>
              <w:t>Manufacturing - Food &amp; Beverage</w:t>
            </w:r>
          </w:p>
        </w:tc>
        <w:tc>
          <w:tcPr>
            <w:tcW w:type="dxa" w:w="1129"/>
          </w:tcPr>
          <w:p>
            <w:pPr>
              <w:jc w:val="right"/>
            </w:pPr>
            <w:r>
              <w:rPr>
                <w:rFonts w:ascii="Arial" w:hAnsi="Arial"/>
                <w:sz w:val="18"/>
              </w:rPr>
              <w:t>169.14</w:t>
            </w:r>
          </w:p>
        </w:tc>
        <w:tc>
          <w:tcPr>
            <w:tcW w:type="dxa" w:w="1129"/>
          </w:tcPr>
          <w:p>
            <w:pPr>
              <w:jc w:val="right"/>
            </w:pPr>
            <w:r>
              <w:rPr>
                <w:rFonts w:ascii="Arial" w:hAnsi="Arial"/>
                <w:sz w:val="18"/>
              </w:rPr>
              <w:t>936,111.21</w:t>
            </w:r>
          </w:p>
        </w:tc>
        <w:tc>
          <w:tcPr>
            <w:tcW w:type="dxa" w:w="1129"/>
          </w:tcPr>
          <w:p>
            <w:pPr>
              <w:jc w:val="right"/>
            </w:pPr>
            <w:r>
              <w:rPr>
                <w:rFonts w:ascii="Arial" w:hAnsi="Arial"/>
                <w:sz w:val="18"/>
              </w:rPr>
              <w:t>653,413.56</w:t>
            </w:r>
          </w:p>
        </w:tc>
        <w:tc>
          <w:tcPr>
            <w:tcW w:type="dxa" w:w="1129"/>
          </w:tcPr>
          <w:p>
            <w:pPr>
              <w:jc w:val="right"/>
            </w:pPr>
            <w:r>
              <w:rPr>
                <w:rFonts w:ascii="Arial" w:hAnsi="Arial"/>
                <w:sz w:val="18"/>
              </w:rPr>
              <w:t>4.26%</w:t>
            </w:r>
          </w:p>
        </w:tc>
        <w:tc>
          <w:tcPr>
            <w:tcW w:type="dxa" w:w="1129"/>
          </w:tcPr>
          <w:p>
            <w:pPr>
              <w:jc w:val="right"/>
            </w:pPr>
            <w:r>
              <w:rPr>
                <w:rFonts w:ascii="Arial" w:hAnsi="Arial"/>
                <w:sz w:val="18"/>
              </w:rPr>
              <w:t>5.535</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r>
          </w:p>
        </w:tc>
        <w:tc>
          <w:tcPr>
            <w:tcW w:type="dxa" w:w="1129"/>
            <w:shd w:fill="F2F6FC" w:val="clear"/>
          </w:tcPr>
          <w:p>
            <w:r>
              <w:rPr>
                <w:rFonts w:ascii="Arial" w:hAnsi="Arial"/>
                <w:sz w:val="18"/>
              </w:rPr>
              <w:t>**Subtotal (Top 5)**</w:t>
            </w:r>
          </w:p>
        </w:tc>
        <w:tc>
          <w:tcPr>
            <w:tcW w:type="dxa" w:w="1129"/>
            <w:shd w:fill="F2F6FC" w:val="clear"/>
          </w:tcPr>
          <w:p>
            <w:r>
              <w:rPr>
                <w:rFonts w:ascii="Arial" w:hAnsi="Arial"/>
                <w:sz w:val="18"/>
              </w:rPr>
              <w:t>**643.66**</w:t>
            </w:r>
          </w:p>
        </w:tc>
        <w:tc>
          <w:tcPr>
            <w:tcW w:type="dxa" w:w="1129"/>
            <w:shd w:fill="F2F6FC" w:val="clear"/>
          </w:tcPr>
          <w:p>
            <w:r>
              <w:rPr>
                <w:rFonts w:ascii="Arial" w:hAnsi="Arial"/>
                <w:sz w:val="18"/>
              </w:rPr>
              <w:t>**21,049,569.01**</w:t>
            </w:r>
          </w:p>
        </w:tc>
        <w:tc>
          <w:tcPr>
            <w:tcW w:type="dxa" w:w="1129"/>
            <w:shd w:fill="F2F6FC" w:val="clear"/>
          </w:tcPr>
          <w:p>
            <w:r>
              <w:rPr>
                <w:rFonts w:ascii="Arial" w:hAnsi="Arial"/>
                <w:sz w:val="18"/>
              </w:rPr>
              <w:t>**14,668,516.58**</w:t>
            </w:r>
          </w:p>
        </w:tc>
        <w:tc>
          <w:tcPr>
            <w:tcW w:type="dxa" w:w="1129"/>
            <w:shd w:fill="F2F6FC" w:val="clear"/>
          </w:tcPr>
          <w:p>
            <w:r>
              <w:rPr>
                <w:rFonts w:ascii="Arial" w:hAnsi="Arial"/>
                <w:sz w:val="18"/>
              </w:rPr>
              <w:t>**95.77%**</w:t>
            </w:r>
          </w:p>
        </w:tc>
        <w:tc>
          <w:tcPr>
            <w:tcW w:type="dxa" w:w="1129"/>
            <w:shd w:fill="F2F6FC" w:val="clear"/>
          </w:tcPr>
          <w:p>
            <w:r>
              <w:rPr>
                <w:rFonts w:ascii="Arial" w:hAnsi="Arial"/>
                <w:sz w:val="18"/>
              </w:rPr>
              <w:t>**—**</w:t>
            </w:r>
          </w:p>
        </w:tc>
        <w:tc>
          <w:tcPr>
            <w:tcW w:type="dxa" w:w="1129"/>
            <w:shd w:fill="F2F6FC" w:val="clear"/>
          </w:tcPr>
          <w:p>
            <w:r>
              <w:rPr>
                <w:rFonts w:ascii="Arial" w:hAnsi="Arial"/>
                <w:sz w:val="18"/>
              </w:rPr>
              <w:t>**3.36**</w:t>
            </w:r>
          </w:p>
        </w:tc>
      </w:tr>
      <w:tr>
        <w:tc>
          <w:tcPr>
            <w:tcW w:type="dxa" w:w="1129"/>
          </w:tcPr>
          <w:p>
            <w:r>
              <w:rPr>
                <w:rFonts w:ascii="Arial" w:hAnsi="Arial"/>
                <w:sz w:val="18"/>
              </w:rPr>
            </w:r>
          </w:p>
        </w:tc>
        <w:tc>
          <w:tcPr>
            <w:tcW w:type="dxa" w:w="1129"/>
          </w:tcPr>
          <w:p>
            <w:r>
              <w:rPr>
                <w:rFonts w:ascii="Arial" w:hAnsi="Arial"/>
                <w:sz w:val="18"/>
              </w:rPr>
              <w:t>**Other Sectors (5)**</w:t>
            </w:r>
          </w:p>
        </w:tc>
        <w:tc>
          <w:tcPr>
            <w:tcW w:type="dxa" w:w="1129"/>
          </w:tcPr>
          <w:p>
            <w:r>
              <w:rPr>
                <w:rFonts w:ascii="Arial" w:hAnsi="Arial"/>
                <w:sz w:val="18"/>
              </w:rPr>
              <w:t>**897.52**</w:t>
            </w:r>
          </w:p>
        </w:tc>
        <w:tc>
          <w:tcPr>
            <w:tcW w:type="dxa" w:w="1129"/>
          </w:tcPr>
          <w:p>
            <w:r>
              <w:rPr>
                <w:rFonts w:ascii="Arial" w:hAnsi="Arial"/>
                <w:sz w:val="18"/>
              </w:rPr>
              <w:t>**927,228.29**</w:t>
            </w:r>
          </w:p>
        </w:tc>
        <w:tc>
          <w:tcPr>
            <w:tcW w:type="dxa" w:w="1129"/>
          </w:tcPr>
          <w:p>
            <w:r>
              <w:rPr>
                <w:rFonts w:ascii="Arial" w:hAnsi="Arial"/>
                <w:sz w:val="18"/>
              </w:rPr>
              <w:t>**611,657.56**</w:t>
            </w:r>
          </w:p>
        </w:tc>
        <w:tc>
          <w:tcPr>
            <w:tcW w:type="dxa" w:w="1129"/>
          </w:tcPr>
          <w:p>
            <w:r>
              <w:rPr>
                <w:rFonts w:ascii="Arial" w:hAnsi="Arial"/>
                <w:sz w:val="18"/>
              </w:rPr>
              <w:t>**4.23%**</w:t>
            </w:r>
          </w:p>
        </w:tc>
        <w:tc>
          <w:tcPr>
            <w:tcW w:type="dxa" w:w="1129"/>
          </w:tcPr>
          <w:p>
            <w:r>
              <w:rPr>
                <w:rFonts w:ascii="Arial" w:hAnsi="Arial"/>
                <w:sz w:val="18"/>
              </w:rPr>
              <w:t>**—**</w:t>
            </w:r>
          </w:p>
        </w:tc>
        <w:tc>
          <w:tcPr>
            <w:tcW w:type="dxa" w:w="1129"/>
          </w:tcPr>
          <w:p>
            <w:r>
              <w:rPr>
                <w:rFonts w:ascii="Arial" w:hAnsi="Arial"/>
                <w:sz w:val="18"/>
              </w:rPr>
              <w:t>**3.36**</w:t>
            </w:r>
          </w:p>
        </w:tc>
      </w:tr>
      <w:tr>
        <w:tc>
          <w:tcPr>
            <w:tcW w:type="dxa" w:w="1129"/>
            <w:shd w:fill="F2F6FC" w:val="clear"/>
          </w:tcPr>
          <w:p>
            <w:r>
              <w:rPr>
                <w:rFonts w:ascii="Arial" w:hAnsi="Arial"/>
                <w:sz w:val="18"/>
              </w:rPr>
            </w:r>
          </w:p>
        </w:tc>
        <w:tc>
          <w:tcPr>
            <w:tcW w:type="dxa" w:w="1129"/>
            <w:shd w:fill="F2F6FC" w:val="clear"/>
          </w:tcPr>
          <w:p>
            <w:r>
              <w:rPr>
                <w:rFonts w:ascii="Arial" w:hAnsi="Arial"/>
                <w:sz w:val="18"/>
              </w:rPr>
              <w:t>**Total Portfolio**</w:t>
            </w:r>
          </w:p>
        </w:tc>
        <w:tc>
          <w:tcPr>
            <w:tcW w:type="dxa" w:w="1129"/>
            <w:shd w:fill="F2F6FC" w:val="clear"/>
          </w:tcPr>
          <w:p>
            <w:r>
              <w:rPr>
                <w:rFonts w:ascii="Arial" w:hAnsi="Arial"/>
                <w:sz w:val="18"/>
              </w:rPr>
              <w:t>**1,541.18**</w:t>
            </w:r>
          </w:p>
        </w:tc>
        <w:tc>
          <w:tcPr>
            <w:tcW w:type="dxa" w:w="1129"/>
            <w:shd w:fill="F2F6FC" w:val="clear"/>
          </w:tcPr>
          <w:p>
            <w:r>
              <w:rPr>
                <w:rFonts w:ascii="Arial" w:hAnsi="Arial"/>
                <w:sz w:val="18"/>
              </w:rPr>
              <w:t>**21,976,797.3**</w:t>
            </w:r>
          </w:p>
        </w:tc>
        <w:tc>
          <w:tcPr>
            <w:tcW w:type="dxa" w:w="1129"/>
            <w:shd w:fill="F2F6FC" w:val="clear"/>
          </w:tcPr>
          <w:p>
            <w:r>
              <w:rPr>
                <w:rFonts w:ascii="Arial" w:hAnsi="Arial"/>
                <w:sz w:val="18"/>
              </w:rPr>
              <w:t>**15,280,174.14**</w:t>
            </w:r>
          </w:p>
        </w:tc>
        <w:tc>
          <w:tcPr>
            <w:tcW w:type="dxa" w:w="1129"/>
            <w:shd w:fill="F2F6FC" w:val="clear"/>
          </w:tcPr>
          <w:p>
            <w:r>
              <w:rPr>
                <w:rFonts w:ascii="Arial" w:hAnsi="Arial"/>
                <w:sz w:val="18"/>
              </w:rPr>
              <w:t>**100.00%**</w:t>
            </w:r>
          </w:p>
        </w:tc>
        <w:tc>
          <w:tcPr>
            <w:tcW w:type="dxa" w:w="1129"/>
            <w:shd w:fill="F2F6FC" w:val="clear"/>
          </w:tcPr>
          <w:p>
            <w:r>
              <w:rPr>
                <w:rFonts w:ascii="Arial" w:hAnsi="Arial"/>
                <w:sz w:val="18"/>
              </w:rPr>
              <w:t>**14.26**</w:t>
            </w:r>
          </w:p>
        </w:tc>
        <w:tc>
          <w:tcPr>
            <w:tcW w:type="dxa" w:w="1129"/>
            <w:shd w:fill="F2F6FC" w:val="clear"/>
          </w:tcPr>
          <w:p>
            <w:r>
              <w:rPr>
                <w:rFonts w:ascii="Arial" w:hAnsi="Arial"/>
                <w:sz w:val="18"/>
              </w:rPr>
              <w:t>**3.36**</w:t>
            </w:r>
          </w:p>
        </w:tc>
      </w:tr>
    </w:tbl>
    <w:p>
      <w:r>
        <w:rPr>
          <w:rFonts w:ascii="Arial" w:hAnsi="Arial"/>
          <w:i/>
          <w:sz w:val="16"/>
        </w:rPr>
        <w:t>Source: Source: Internal PCAF calculation system. Gross emissions represent absolute attributable emissions; weighted emissions apply PCAF confidence factors (1.00 for Score 1 to 0.45 for Score 5). Emission intensity calculated as gross financed emissions divided by outstanding loan amount. PCAF scores range from 1 (verified data) to 5 (sector-average proxy). Data quality score is portfolio-weighted average.</w:t>
      </w:r>
    </w:p>
    <w:p/>
    <w:p>
      <w:r>
        <w:rPr>
          <w:rFonts w:ascii="Arial" w:hAnsi="Arial"/>
          <w:b/>
          <w:sz w:val="20"/>
        </w:rPr>
        <w:t>Table 2: PCAF Data Quality Distribution — Reporting Year 2024</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1B3A6B" w:val="clear"/>
          </w:tcPr>
          <w:p>
            <w:r>
              <w:rPr>
                <w:rFonts w:ascii="Arial" w:hAnsi="Arial"/>
                <w:b/>
                <w:color w:val="FFFFFF"/>
                <w:sz w:val="18"/>
              </w:rPr>
              <w:t>No.</w:t>
            </w:r>
          </w:p>
        </w:tc>
        <w:tc>
          <w:tcPr>
            <w:tcW w:type="dxa" w:w="1003"/>
            <w:shd w:fill="1B3A6B" w:val="clear"/>
          </w:tcPr>
          <w:p>
            <w:r>
              <w:rPr>
                <w:rFonts w:ascii="Arial" w:hAnsi="Arial"/>
                <w:b/>
                <w:color w:val="FFFFFF"/>
                <w:sz w:val="18"/>
              </w:rPr>
              <w:t>PCAF Score</w:t>
            </w:r>
          </w:p>
        </w:tc>
        <w:tc>
          <w:tcPr>
            <w:tcW w:type="dxa" w:w="1003"/>
            <w:shd w:fill="1B3A6B" w:val="clear"/>
          </w:tcPr>
          <w:p>
            <w:r>
              <w:rPr>
                <w:rFonts w:ascii="Arial" w:hAnsi="Arial"/>
                <w:b/>
                <w:color w:val="FFFFFF"/>
                <w:sz w:val="18"/>
              </w:rPr>
              <w:t>Data Quality Description</w:t>
            </w:r>
          </w:p>
        </w:tc>
        <w:tc>
          <w:tcPr>
            <w:tcW w:type="dxa" w:w="1003"/>
            <w:shd w:fill="1B3A6B" w:val="clear"/>
          </w:tcPr>
          <w:p>
            <w:r>
              <w:rPr>
                <w:rFonts w:ascii="Arial" w:hAnsi="Arial"/>
                <w:b/>
                <w:color w:val="FFFFFF"/>
                <w:sz w:val="18"/>
              </w:rPr>
              <w:t>Confidence Factor</w:t>
            </w:r>
          </w:p>
        </w:tc>
        <w:tc>
          <w:tcPr>
            <w:tcW w:type="dxa" w:w="1003"/>
            <w:shd w:fill="1B3A6B" w:val="clear"/>
          </w:tcPr>
          <w:p>
            <w:r>
              <w:rPr>
                <w:rFonts w:ascii="Arial" w:hAnsi="Arial"/>
                <w:b/>
                <w:color w:val="FFFFFF"/>
                <w:sz w:val="18"/>
              </w:rPr>
              <w:t>Loan Count</w:t>
            </w:r>
          </w:p>
        </w:tc>
        <w:tc>
          <w:tcPr>
            <w:tcW w:type="dxa" w:w="1003"/>
            <w:shd w:fill="1B3A6B" w:val="clear"/>
          </w:tcPr>
          <w:p>
            <w:r>
              <w:rPr>
                <w:rFonts w:ascii="Arial" w:hAnsi="Arial"/>
                <w:b/>
                <w:color w:val="FFFFFF"/>
                <w:sz w:val="18"/>
              </w:rPr>
              <w:t>Outstanding (IDR Trillion)</w:t>
            </w:r>
          </w:p>
        </w:tc>
        <w:tc>
          <w:tcPr>
            <w:tcW w:type="dxa" w:w="1003"/>
            <w:shd w:fill="1B3A6B" w:val="clear"/>
          </w:tcPr>
          <w:p>
            <w:r>
              <w:rPr>
                <w:rFonts w:ascii="Arial" w:hAnsi="Arial"/>
                <w:b/>
                <w:color w:val="FFFFFF"/>
                <w:sz w:val="18"/>
              </w:rPr>
              <w:t>% of Portfolio</w:t>
            </w:r>
          </w:p>
        </w:tc>
        <w:tc>
          <w:tcPr>
            <w:tcW w:type="dxa" w:w="1003"/>
            <w:shd w:fill="1B3A6B" w:val="clear"/>
          </w:tcPr>
          <w:p>
            <w:r>
              <w:rPr>
                <w:rFonts w:ascii="Arial" w:hAnsi="Arial"/>
                <w:b/>
                <w:color w:val="FFFFFF"/>
                <w:sz w:val="18"/>
              </w:rPr>
              <w:t>Gross Emissions (tCO2e)</w:t>
            </w:r>
          </w:p>
        </w:tc>
        <w:tc>
          <w:tcPr>
            <w:tcW w:type="dxa" w:w="1003"/>
            <w:shd w:fill="1B3A6B" w:val="clear"/>
          </w:tcPr>
          <w:p>
            <w:r>
              <w:rPr>
                <w:rFonts w:ascii="Arial" w:hAnsi="Arial"/>
                <w:b/>
                <w:color w:val="FFFFFF"/>
                <w:sz w:val="18"/>
              </w:rPr>
              <w:t>% of Emissions</w:t>
            </w:r>
          </w:p>
        </w:tc>
      </w:tr>
      <w:tr>
        <w:tc>
          <w:tcPr>
            <w:tcW w:type="dxa" w:w="1003"/>
          </w:tcPr>
          <w:p>
            <w:pPr>
              <w:jc w:val="right"/>
            </w:pPr>
            <w:r>
              <w:rPr>
                <w:rFonts w:ascii="Arial" w:hAnsi="Arial"/>
                <w:sz w:val="18"/>
              </w:rPr>
              <w:t>1</w:t>
            </w:r>
          </w:p>
        </w:tc>
        <w:tc>
          <w:tcPr>
            <w:tcW w:type="dxa" w:w="1003"/>
          </w:tcPr>
          <w:p>
            <w:pPr>
              <w:jc w:val="right"/>
            </w:pPr>
            <w:r>
              <w:rPr>
                <w:rFonts w:ascii="Arial" w:hAnsi="Arial"/>
                <w:sz w:val="18"/>
              </w:rPr>
              <w:t>1</w:t>
            </w:r>
          </w:p>
        </w:tc>
        <w:tc>
          <w:tcPr>
            <w:tcW w:type="dxa" w:w="1003"/>
          </w:tcPr>
          <w:p>
            <w:r>
              <w:rPr>
                <w:rFonts w:ascii="Arial" w:hAnsi="Arial"/>
                <w:sz w:val="18"/>
              </w:rPr>
              <w:t>Verified (CDP/equivalent)</w:t>
            </w:r>
          </w:p>
        </w:tc>
        <w:tc>
          <w:tcPr>
            <w:tcW w:type="dxa" w:w="1003"/>
          </w:tcPr>
          <w:p>
            <w:pPr>
              <w:jc w:val="right"/>
            </w:pPr>
            <w:r>
              <w:rPr>
                <w:rFonts w:ascii="Arial" w:hAnsi="Arial"/>
                <w:sz w:val="18"/>
              </w:rPr>
              <w:t>1.00</w:t>
            </w:r>
          </w:p>
        </w:tc>
        <w:tc>
          <w:tcPr>
            <w:tcW w:type="dxa" w:w="1003"/>
          </w:tcPr>
          <w:p>
            <w:pPr>
              <w:jc w:val="right"/>
            </w:pPr>
            <w:r>
              <w:rPr>
                <w:rFonts w:ascii="Arial" w:hAnsi="Arial"/>
                <w:sz w:val="18"/>
              </w:rPr>
              <w:t>0</w:t>
            </w:r>
          </w:p>
        </w:tc>
        <w:tc>
          <w:tcPr>
            <w:tcW w:type="dxa" w:w="1003"/>
          </w:tcPr>
          <w:p>
            <w:pPr>
              <w:jc w:val="right"/>
            </w:pPr>
            <w:r>
              <w:rPr>
                <w:rFonts w:ascii="Arial" w:hAnsi="Arial"/>
                <w:sz w:val="18"/>
              </w:rPr>
              <w:t>0.0</w:t>
            </w:r>
          </w:p>
        </w:tc>
        <w:tc>
          <w:tcPr>
            <w:tcW w:type="dxa" w:w="1003"/>
          </w:tcPr>
          <w:p>
            <w:pPr>
              <w:jc w:val="right"/>
            </w:pPr>
            <w:r>
              <w:rPr>
                <w:rFonts w:ascii="Arial" w:hAnsi="Arial"/>
                <w:sz w:val="18"/>
              </w:rPr>
              <w:t>0.00%</w:t>
            </w:r>
          </w:p>
        </w:tc>
        <w:tc>
          <w:tcPr>
            <w:tcW w:type="dxa" w:w="1003"/>
          </w:tcPr>
          <w:p>
            <w:pPr>
              <w:jc w:val="right"/>
            </w:pPr>
            <w:r>
              <w:rPr>
                <w:rFonts w:ascii="Arial" w:hAnsi="Arial"/>
                <w:sz w:val="18"/>
              </w:rPr>
              <w:t>0.0</w:t>
            </w:r>
          </w:p>
        </w:tc>
        <w:tc>
          <w:tcPr>
            <w:tcW w:type="dxa" w:w="1003"/>
          </w:tcPr>
          <w:p>
            <w:pPr>
              <w:jc w:val="right"/>
            </w:pPr>
            <w:r>
              <w:rPr>
                <w:rFonts w:ascii="Arial" w:hAnsi="Arial"/>
                <w:sz w:val="18"/>
              </w:rPr>
              <w:t>0.00%</w:t>
            </w:r>
          </w:p>
        </w:tc>
      </w:tr>
      <w:tr>
        <w:tc>
          <w:tcPr>
            <w:tcW w:type="dxa" w:w="1003"/>
            <w:shd w:fill="F2F6FC" w:val="clear"/>
          </w:tcPr>
          <w:p>
            <w:pPr>
              <w:jc w:val="right"/>
            </w:pPr>
            <w:r>
              <w:rPr>
                <w:rFonts w:ascii="Arial" w:hAnsi="Arial"/>
                <w:sz w:val="18"/>
              </w:rPr>
              <w:t>2</w:t>
            </w:r>
          </w:p>
        </w:tc>
        <w:tc>
          <w:tcPr>
            <w:tcW w:type="dxa" w:w="1003"/>
            <w:shd w:fill="F2F6FC" w:val="clear"/>
          </w:tcPr>
          <w:p>
            <w:pPr>
              <w:jc w:val="right"/>
            </w:pPr>
            <w:r>
              <w:rPr>
                <w:rFonts w:ascii="Arial" w:hAnsi="Arial"/>
                <w:sz w:val="18"/>
              </w:rPr>
              <w:t>2</w:t>
            </w:r>
          </w:p>
        </w:tc>
        <w:tc>
          <w:tcPr>
            <w:tcW w:type="dxa" w:w="1003"/>
            <w:shd w:fill="F2F6FC" w:val="clear"/>
          </w:tcPr>
          <w:p>
            <w:r>
              <w:rPr>
                <w:rFonts w:ascii="Arial" w:hAnsi="Arial"/>
                <w:sz w:val="18"/>
              </w:rPr>
              <w:t>Reported, unverified</w:t>
            </w:r>
          </w:p>
        </w:tc>
        <w:tc>
          <w:tcPr>
            <w:tcW w:type="dxa" w:w="1003"/>
            <w:shd w:fill="F2F6FC" w:val="clear"/>
          </w:tcPr>
          <w:p>
            <w:pPr>
              <w:jc w:val="right"/>
            </w:pPr>
            <w:r>
              <w:rPr>
                <w:rFonts w:ascii="Arial" w:hAnsi="Arial"/>
                <w:sz w:val="18"/>
              </w:rPr>
              <w:t>0.90</w:t>
            </w:r>
          </w:p>
        </w:tc>
        <w:tc>
          <w:tcPr>
            <w:tcW w:type="dxa" w:w="1003"/>
            <w:shd w:fill="F2F6FC" w:val="clear"/>
          </w:tcPr>
          <w:p>
            <w:pPr>
              <w:jc w:val="right"/>
            </w:pPr>
            <w:r>
              <w:rPr>
                <w:rFonts w:ascii="Arial" w:hAnsi="Arial"/>
                <w:sz w:val="18"/>
              </w:rPr>
              <w:t>0</w:t>
            </w:r>
          </w:p>
        </w:tc>
        <w:tc>
          <w:tcPr>
            <w:tcW w:type="dxa" w:w="1003"/>
            <w:shd w:fill="F2F6FC" w:val="clear"/>
          </w:tcPr>
          <w:p>
            <w:pPr>
              <w:jc w:val="right"/>
            </w:pPr>
            <w:r>
              <w:rPr>
                <w:rFonts w:ascii="Arial" w:hAnsi="Arial"/>
                <w:sz w:val="18"/>
              </w:rPr>
              <w:t>0.0</w:t>
            </w:r>
          </w:p>
        </w:tc>
        <w:tc>
          <w:tcPr>
            <w:tcW w:type="dxa" w:w="1003"/>
            <w:shd w:fill="F2F6FC" w:val="clear"/>
          </w:tcPr>
          <w:p>
            <w:pPr>
              <w:jc w:val="right"/>
            </w:pPr>
            <w:r>
              <w:rPr>
                <w:rFonts w:ascii="Arial" w:hAnsi="Arial"/>
                <w:sz w:val="18"/>
              </w:rPr>
              <w:t>0.00%</w:t>
            </w:r>
          </w:p>
        </w:tc>
        <w:tc>
          <w:tcPr>
            <w:tcW w:type="dxa" w:w="1003"/>
            <w:shd w:fill="F2F6FC" w:val="clear"/>
          </w:tcPr>
          <w:p>
            <w:pPr>
              <w:jc w:val="right"/>
            </w:pPr>
            <w:r>
              <w:rPr>
                <w:rFonts w:ascii="Arial" w:hAnsi="Arial"/>
                <w:sz w:val="18"/>
              </w:rPr>
              <w:t>0.0</w:t>
            </w:r>
          </w:p>
        </w:tc>
        <w:tc>
          <w:tcPr>
            <w:tcW w:type="dxa" w:w="1003"/>
            <w:shd w:fill="F2F6FC" w:val="clear"/>
          </w:tcPr>
          <w:p>
            <w:pPr>
              <w:jc w:val="right"/>
            </w:pPr>
            <w:r>
              <w:rPr>
                <w:rFonts w:ascii="Arial" w:hAnsi="Arial"/>
                <w:sz w:val="18"/>
              </w:rPr>
              <w:t>0.00%</w:t>
            </w:r>
          </w:p>
        </w:tc>
      </w:tr>
      <w:tr>
        <w:tc>
          <w:tcPr>
            <w:tcW w:type="dxa" w:w="1003"/>
          </w:tcPr>
          <w:p>
            <w:pPr>
              <w:jc w:val="right"/>
            </w:pPr>
            <w:r>
              <w:rPr>
                <w:rFonts w:ascii="Arial" w:hAnsi="Arial"/>
                <w:sz w:val="18"/>
              </w:rPr>
              <w:t>3</w:t>
            </w:r>
          </w:p>
        </w:tc>
        <w:tc>
          <w:tcPr>
            <w:tcW w:type="dxa" w:w="1003"/>
          </w:tcPr>
          <w:p>
            <w:pPr>
              <w:jc w:val="right"/>
            </w:pPr>
            <w:r>
              <w:rPr>
                <w:rFonts w:ascii="Arial" w:hAnsi="Arial"/>
                <w:sz w:val="18"/>
              </w:rPr>
              <w:t>3</w:t>
            </w:r>
          </w:p>
        </w:tc>
        <w:tc>
          <w:tcPr>
            <w:tcW w:type="dxa" w:w="1003"/>
          </w:tcPr>
          <w:p>
            <w:r>
              <w:rPr>
                <w:rFonts w:ascii="Arial" w:hAnsi="Arial"/>
                <w:sz w:val="18"/>
              </w:rPr>
              <w:t>EEIO + revenue</w:t>
            </w:r>
          </w:p>
        </w:tc>
        <w:tc>
          <w:tcPr>
            <w:tcW w:type="dxa" w:w="1003"/>
          </w:tcPr>
          <w:p>
            <w:pPr>
              <w:jc w:val="right"/>
            </w:pPr>
            <w:r>
              <w:rPr>
                <w:rFonts w:ascii="Arial" w:hAnsi="Arial"/>
                <w:sz w:val="18"/>
              </w:rPr>
              <w:t>0.75</w:t>
            </w:r>
          </w:p>
        </w:tc>
        <w:tc>
          <w:tcPr>
            <w:tcW w:type="dxa" w:w="1003"/>
          </w:tcPr>
          <w:p>
            <w:pPr>
              <w:jc w:val="right"/>
            </w:pPr>
            <w:r>
              <w:rPr>
                <w:rFonts w:ascii="Arial" w:hAnsi="Arial"/>
                <w:sz w:val="18"/>
              </w:rPr>
              <w:t>892</w:t>
            </w:r>
          </w:p>
        </w:tc>
        <w:tc>
          <w:tcPr>
            <w:tcW w:type="dxa" w:w="1003"/>
          </w:tcPr>
          <w:p>
            <w:pPr>
              <w:jc w:val="right"/>
            </w:pPr>
            <w:r>
              <w:rPr>
                <w:rFonts w:ascii="Arial" w:hAnsi="Arial"/>
                <w:sz w:val="18"/>
              </w:rPr>
              <w:t>712.45</w:t>
            </w:r>
          </w:p>
        </w:tc>
        <w:tc>
          <w:tcPr>
            <w:tcW w:type="dxa" w:w="1003"/>
          </w:tcPr>
          <w:p>
            <w:pPr>
              <w:jc w:val="right"/>
            </w:pPr>
            <w:r>
              <w:rPr>
                <w:rFonts w:ascii="Arial" w:hAnsi="Arial"/>
                <w:sz w:val="18"/>
              </w:rPr>
              <w:t>46.22%</w:t>
            </w:r>
          </w:p>
        </w:tc>
        <w:tc>
          <w:tcPr>
            <w:tcW w:type="dxa" w:w="1003"/>
          </w:tcPr>
          <w:p>
            <w:pPr>
              <w:jc w:val="right"/>
            </w:pPr>
            <w:r>
              <w:rPr>
                <w:rFonts w:ascii="Arial" w:hAnsi="Arial"/>
                <w:sz w:val="18"/>
              </w:rPr>
              <w:t>10,234,567.89</w:t>
            </w:r>
          </w:p>
        </w:tc>
        <w:tc>
          <w:tcPr>
            <w:tcW w:type="dxa" w:w="1003"/>
          </w:tcPr>
          <w:p>
            <w:pPr>
              <w:jc w:val="right"/>
            </w:pPr>
            <w:r>
              <w:rPr>
                <w:rFonts w:ascii="Arial" w:hAnsi="Arial"/>
                <w:sz w:val="18"/>
              </w:rPr>
              <w:t>46.57%</w:t>
            </w:r>
          </w:p>
        </w:tc>
      </w:tr>
      <w:tr>
        <w:tc>
          <w:tcPr>
            <w:tcW w:type="dxa" w:w="1003"/>
            <w:shd w:fill="F2F6FC" w:val="clear"/>
          </w:tcPr>
          <w:p>
            <w:pPr>
              <w:jc w:val="right"/>
            </w:pPr>
            <w:r>
              <w:rPr>
                <w:rFonts w:ascii="Arial" w:hAnsi="Arial"/>
                <w:sz w:val="18"/>
              </w:rPr>
              <w:t>4</w:t>
            </w:r>
          </w:p>
        </w:tc>
        <w:tc>
          <w:tcPr>
            <w:tcW w:type="dxa" w:w="1003"/>
            <w:shd w:fill="F2F6FC" w:val="clear"/>
          </w:tcPr>
          <w:p>
            <w:pPr>
              <w:jc w:val="right"/>
            </w:pPr>
            <w:r>
              <w:rPr>
                <w:rFonts w:ascii="Arial" w:hAnsi="Arial"/>
                <w:sz w:val="18"/>
              </w:rPr>
              <w:t>4</w:t>
            </w:r>
          </w:p>
        </w:tc>
        <w:tc>
          <w:tcPr>
            <w:tcW w:type="dxa" w:w="1003"/>
            <w:shd w:fill="F2F6FC" w:val="clear"/>
          </w:tcPr>
          <w:p>
            <w:r>
              <w:rPr>
                <w:rFonts w:ascii="Arial" w:hAnsi="Arial"/>
                <w:sz w:val="18"/>
              </w:rPr>
              <w:t>EEIO + assets</w:t>
            </w:r>
          </w:p>
        </w:tc>
        <w:tc>
          <w:tcPr>
            <w:tcW w:type="dxa" w:w="1003"/>
            <w:shd w:fill="F2F6FC" w:val="clear"/>
          </w:tcPr>
          <w:p>
            <w:pPr>
              <w:jc w:val="right"/>
            </w:pPr>
            <w:r>
              <w:rPr>
                <w:rFonts w:ascii="Arial" w:hAnsi="Arial"/>
                <w:sz w:val="18"/>
              </w:rPr>
              <w:t>0.60</w:t>
            </w:r>
          </w:p>
        </w:tc>
        <w:tc>
          <w:tcPr>
            <w:tcW w:type="dxa" w:w="1003"/>
            <w:shd w:fill="F2F6FC" w:val="clear"/>
          </w:tcPr>
          <w:p>
            <w:pPr>
              <w:jc w:val="right"/>
            </w:pPr>
            <w:r>
              <w:rPr>
                <w:rFonts w:ascii="Arial" w:hAnsi="Arial"/>
                <w:sz w:val="18"/>
              </w:rPr>
              <w:t>847</w:t>
            </w:r>
          </w:p>
        </w:tc>
        <w:tc>
          <w:tcPr>
            <w:tcW w:type="dxa" w:w="1003"/>
            <w:shd w:fill="F2F6FC" w:val="clear"/>
          </w:tcPr>
          <w:p>
            <w:pPr>
              <w:jc w:val="right"/>
            </w:pPr>
            <w:r>
              <w:rPr>
                <w:rFonts w:ascii="Arial" w:hAnsi="Arial"/>
                <w:sz w:val="18"/>
              </w:rPr>
              <w:t>658.92</w:t>
            </w:r>
          </w:p>
        </w:tc>
        <w:tc>
          <w:tcPr>
            <w:tcW w:type="dxa" w:w="1003"/>
            <w:shd w:fill="F2F6FC" w:val="clear"/>
          </w:tcPr>
          <w:p>
            <w:pPr>
              <w:jc w:val="right"/>
            </w:pPr>
            <w:r>
              <w:rPr>
                <w:rFonts w:ascii="Arial" w:hAnsi="Arial"/>
                <w:sz w:val="18"/>
              </w:rPr>
              <w:t>42.75%</w:t>
            </w:r>
          </w:p>
        </w:tc>
        <w:tc>
          <w:tcPr>
            <w:tcW w:type="dxa" w:w="1003"/>
            <w:shd w:fill="F2F6FC" w:val="clear"/>
          </w:tcPr>
          <w:p>
            <w:pPr>
              <w:jc w:val="right"/>
            </w:pPr>
            <w:r>
              <w:rPr>
                <w:rFonts w:ascii="Arial" w:hAnsi="Arial"/>
                <w:sz w:val="18"/>
              </w:rPr>
              <w:t>9,456,123.45</w:t>
            </w:r>
          </w:p>
        </w:tc>
        <w:tc>
          <w:tcPr>
            <w:tcW w:type="dxa" w:w="1003"/>
            <w:shd w:fill="F2F6FC" w:val="clear"/>
          </w:tcPr>
          <w:p>
            <w:pPr>
              <w:jc w:val="right"/>
            </w:pPr>
            <w:r>
              <w:rPr>
                <w:rFonts w:ascii="Arial" w:hAnsi="Arial"/>
                <w:sz w:val="18"/>
              </w:rPr>
              <w:t>43.02%</w:t>
            </w:r>
          </w:p>
        </w:tc>
      </w:tr>
      <w:tr>
        <w:tc>
          <w:tcPr>
            <w:tcW w:type="dxa" w:w="1003"/>
          </w:tcPr>
          <w:p>
            <w:pPr>
              <w:jc w:val="right"/>
            </w:pPr>
            <w:r>
              <w:rPr>
                <w:rFonts w:ascii="Arial" w:hAnsi="Arial"/>
                <w:sz w:val="18"/>
              </w:rPr>
              <w:t>5</w:t>
            </w:r>
          </w:p>
        </w:tc>
        <w:tc>
          <w:tcPr>
            <w:tcW w:type="dxa" w:w="1003"/>
          </w:tcPr>
          <w:p>
            <w:pPr>
              <w:jc w:val="right"/>
            </w:pPr>
            <w:r>
              <w:rPr>
                <w:rFonts w:ascii="Arial" w:hAnsi="Arial"/>
                <w:sz w:val="18"/>
              </w:rPr>
              <w:t>5</w:t>
            </w:r>
          </w:p>
        </w:tc>
        <w:tc>
          <w:tcPr>
            <w:tcW w:type="dxa" w:w="1003"/>
          </w:tcPr>
          <w:p>
            <w:r>
              <w:rPr>
                <w:rFonts w:ascii="Arial" w:hAnsi="Arial"/>
                <w:sz w:val="18"/>
              </w:rPr>
              <w:t>Sector-average proxy</w:t>
            </w:r>
          </w:p>
        </w:tc>
        <w:tc>
          <w:tcPr>
            <w:tcW w:type="dxa" w:w="1003"/>
          </w:tcPr>
          <w:p>
            <w:pPr>
              <w:jc w:val="right"/>
            </w:pPr>
            <w:r>
              <w:rPr>
                <w:rFonts w:ascii="Arial" w:hAnsi="Arial"/>
                <w:sz w:val="18"/>
              </w:rPr>
              <w:t>0.45</w:t>
            </w:r>
          </w:p>
        </w:tc>
        <w:tc>
          <w:tcPr>
            <w:tcW w:type="dxa" w:w="1003"/>
          </w:tcPr>
          <w:p>
            <w:pPr>
              <w:jc w:val="right"/>
            </w:pPr>
            <w:r>
              <w:rPr>
                <w:rFonts w:ascii="Arial" w:hAnsi="Arial"/>
                <w:sz w:val="18"/>
              </w:rPr>
              <w:t>216</w:t>
            </w:r>
          </w:p>
        </w:tc>
        <w:tc>
          <w:tcPr>
            <w:tcW w:type="dxa" w:w="1003"/>
          </w:tcPr>
          <w:p>
            <w:pPr>
              <w:jc w:val="right"/>
            </w:pPr>
            <w:r>
              <w:rPr>
                <w:rFonts w:ascii="Arial" w:hAnsi="Arial"/>
                <w:sz w:val="18"/>
              </w:rPr>
              <w:t>169.81</w:t>
            </w:r>
          </w:p>
        </w:tc>
        <w:tc>
          <w:tcPr>
            <w:tcW w:type="dxa" w:w="1003"/>
          </w:tcPr>
          <w:p>
            <w:pPr>
              <w:jc w:val="right"/>
            </w:pPr>
            <w:r>
              <w:rPr>
                <w:rFonts w:ascii="Arial" w:hAnsi="Arial"/>
                <w:sz w:val="18"/>
              </w:rPr>
              <w:t>11.02%</w:t>
            </w:r>
          </w:p>
        </w:tc>
        <w:tc>
          <w:tcPr>
            <w:tcW w:type="dxa" w:w="1003"/>
          </w:tcPr>
          <w:p>
            <w:pPr>
              <w:jc w:val="right"/>
            </w:pPr>
            <w:r>
              <w:rPr>
                <w:rFonts w:ascii="Arial" w:hAnsi="Arial"/>
                <w:sz w:val="18"/>
              </w:rPr>
              <w:t>2,286,105.96</w:t>
            </w:r>
          </w:p>
        </w:tc>
        <w:tc>
          <w:tcPr>
            <w:tcW w:type="dxa" w:w="1003"/>
          </w:tcPr>
          <w:p>
            <w:pPr>
              <w:jc w:val="right"/>
            </w:pPr>
            <w:r>
              <w:rPr>
                <w:rFonts w:ascii="Arial" w:hAnsi="Arial"/>
                <w:sz w:val="18"/>
              </w:rPr>
              <w:t>10.40%</w:t>
            </w:r>
          </w:p>
        </w:tc>
      </w:tr>
      <w:tr>
        <w:tc>
          <w:tcPr>
            <w:tcW w:type="dxa" w:w="1003"/>
            <w:shd w:fill="F2F6FC" w:val="clear"/>
          </w:tcPr>
          <w:p>
            <w:r>
              <w:rPr>
                <w:rFonts w:ascii="Arial" w:hAnsi="Arial"/>
                <w:sz w:val="18"/>
              </w:rPr>
            </w:r>
          </w:p>
        </w:tc>
        <w:tc>
          <w:tcPr>
            <w:tcW w:type="dxa" w:w="1003"/>
            <w:shd w:fill="F2F6FC" w:val="clear"/>
          </w:tcPr>
          <w:p>
            <w:r>
              <w:rPr>
                <w:rFonts w:ascii="Arial" w:hAnsi="Arial"/>
                <w:sz w:val="18"/>
              </w:rPr>
              <w:t>**Total**</w:t>
            </w:r>
          </w:p>
        </w:tc>
        <w:tc>
          <w:tcPr>
            <w:tcW w:type="dxa" w:w="1003"/>
            <w:shd w:fill="F2F6FC" w:val="clear"/>
          </w:tcPr>
          <w:p>
            <w:r>
              <w:rPr>
                <w:rFonts w:ascii="Arial" w:hAnsi="Arial"/>
                <w:sz w:val="18"/>
              </w:rPr>
              <w:t>**—**</w:t>
            </w:r>
          </w:p>
        </w:tc>
        <w:tc>
          <w:tcPr>
            <w:tcW w:type="dxa" w:w="1003"/>
            <w:shd w:fill="F2F6FC" w:val="clear"/>
          </w:tcPr>
          <w:p>
            <w:r>
              <w:rPr>
                <w:rFonts w:ascii="Arial" w:hAnsi="Arial"/>
                <w:sz w:val="18"/>
              </w:rPr>
              <w:t>**—**</w:t>
            </w:r>
          </w:p>
        </w:tc>
        <w:tc>
          <w:tcPr>
            <w:tcW w:type="dxa" w:w="1003"/>
            <w:shd w:fill="F2F6FC" w:val="clear"/>
          </w:tcPr>
          <w:p>
            <w:r>
              <w:rPr>
                <w:rFonts w:ascii="Arial" w:hAnsi="Arial"/>
                <w:sz w:val="18"/>
              </w:rPr>
              <w:t>**1,955**</w:t>
            </w:r>
          </w:p>
        </w:tc>
        <w:tc>
          <w:tcPr>
            <w:tcW w:type="dxa" w:w="1003"/>
            <w:shd w:fill="F2F6FC" w:val="clear"/>
          </w:tcPr>
          <w:p>
            <w:r>
              <w:rPr>
                <w:rFonts w:ascii="Arial" w:hAnsi="Arial"/>
                <w:sz w:val="18"/>
              </w:rPr>
              <w:t>**1,541.18**</w:t>
            </w:r>
          </w:p>
        </w:tc>
        <w:tc>
          <w:tcPr>
            <w:tcW w:type="dxa" w:w="1003"/>
            <w:shd w:fill="F2F6FC" w:val="clear"/>
          </w:tcPr>
          <w:p>
            <w:r>
              <w:rPr>
                <w:rFonts w:ascii="Arial" w:hAnsi="Arial"/>
                <w:sz w:val="18"/>
              </w:rPr>
              <w:t>**100.00%**</w:t>
            </w:r>
          </w:p>
        </w:tc>
        <w:tc>
          <w:tcPr>
            <w:tcW w:type="dxa" w:w="1003"/>
            <w:shd w:fill="F2F6FC" w:val="clear"/>
          </w:tcPr>
          <w:p>
            <w:r>
              <w:rPr>
                <w:rFonts w:ascii="Arial" w:hAnsi="Arial"/>
                <w:sz w:val="18"/>
              </w:rPr>
              <w:t>**21,976,797.3**</w:t>
            </w:r>
          </w:p>
        </w:tc>
        <w:tc>
          <w:tcPr>
            <w:tcW w:type="dxa" w:w="1003"/>
            <w:shd w:fill="F2F6FC" w:val="clear"/>
          </w:tcPr>
          <w:p>
            <w:r>
              <w:rPr>
                <w:rFonts w:ascii="Arial" w:hAnsi="Arial"/>
                <w:sz w:val="18"/>
              </w:rPr>
              <w:t>**100.00%**</w:t>
            </w:r>
          </w:p>
        </w:tc>
      </w:tr>
    </w:tbl>
    <w:p>
      <w:r>
        <w:rPr>
          <w:rFonts w:ascii="Arial" w:hAnsi="Arial"/>
          <w:i/>
          <w:sz w:val="16"/>
        </w:rPr>
        <w:t>Source: Source: Internal PCAF calculation system. Distribution shows no Score 1-2 data (verified/reported), indicating reliance on estimation methodologies. Portfolio-weighted average score: 3.36. High-quality data (Scores 1-2) target: ≥50% by 2027 per institution's data quality roadmap.</w:t>
      </w:r>
    </w:p>
    <w:p/>
    <w:p>
      <w:r>
        <w:rPr>
          <w:i/>
          <w:color w:val="3D6094"/>
          <w:sz w:val="18"/>
        </w:rPr>
        <w:t>Framework references: GRI 305-3 (Other indirect GHG emissions); PCAF Global GHG Accounting and Reporting Standard for the Financial Industry (Second Edition, 2022); POJK No. 51/POJK.03/2017 tentang Penerapan Keuangan Berkelanjutan bagi Lembaga Jasa Keuangan, Emiten, dan Perusahaan Publik; SE OJK (Surat Edaran Otoritas Jasa Keuangan) — Sustainability Reporting Guidelines for Financial Institutions; GHG Protocol Corporate Value Chain (Scope 3) Accounting and Reporting Standard; Indonesia Enhanced Nationally Determined Contribution (NDC) — Updated September 2022; Indonesia Long-Term Strategy for Low Carbon and Climate Resilience 2050 (LTS-LCCR)</w:t>
      </w:r>
    </w:p>
    <w:p>
      <w:pPr>
        <w:spacing w:after="80"/>
        <w:pBdr>
          <w:bottom w:val="single" w:sz="6" w:space="1" w:color="999999"/>
        </w:pBdr>
      </w:pPr>
    </w:p>
    <w:p>
      <w:pPr>
        <w:spacing w:after="160" w:line="276" w:lineRule="auto"/>
        <w:jc w:val="both"/>
      </w:pPr>
      <w:r>
        <w:rPr>
          <w:rFonts w:ascii="Arial" w:hAnsi="Arial"/>
          <w:i/>
          <w:color w:val="646464"/>
          <w:sz w:val="18"/>
        </w:rPr>
        <w:t>These financed emissions figures have not been subject to external assurance for the current reporting period.</w:t>
      </w:r>
    </w:p>
    <w:p>
      <w:pPr>
        <w:spacing w:after="160" w:line="276" w:lineRule="auto"/>
        <w:jc w:val="both"/>
      </w:pPr>
      <w:r>
        <w:rPr>
          <w:rFonts w:ascii="Arial" w:hAnsi="Arial"/>
          <w:i/>
          <w:color w:val="646464"/>
          <w:sz w:val="18"/>
        </w:rPr>
        <w:t>Year-over-year comparison is not available for Reporting Year 2024 as this represents the baseline year under full PCAF methodology implementation. Prior year data (2023) used a preliminary calculation approach not comparable to PCAF standards.</w:t>
      </w:r>
    </w:p>
    <w:p>
      <w:pPr>
        <w:spacing w:after="160" w:line="276" w:lineRule="auto"/>
        <w:jc w:val="both"/>
      </w:pPr>
      <w:r>
        <w:rPr>
          <w:rFonts w:ascii="Arial" w:hAnsi="Arial"/>
          <w:i/>
          <w:color w:val="646464"/>
          <w:sz w:val="18"/>
        </w:rPr>
        <w:t>The institution is classified as KBMI 3 under Bank Indonesia regulations. POJK 51/2017 mandates financed emissions disclosure for KBMI 3-4 banks beginning January 2027. This disclosure represents voluntary early adoption.</w:t>
      </w:r>
    </w:p>
    <w:p>
      <w:pPr>
        <w:spacing w:after="160" w:line="276" w:lineRule="auto"/>
        <w:jc w:val="both"/>
      </w:pPr>
      <w:r>
        <w:rPr>
          <w:rFonts w:ascii="Arial" w:hAnsi="Arial"/>
          <w:i/>
          <w:color w:val="646464"/>
          <w:sz w:val="18"/>
        </w:rPr>
        <w:t>Confidence-weighted emissions apply PCAF-prescribed factors: Score 1 (1.00), Score 2 (0.90), Score 3 (0.75), Score 4 (0.60), Score 5 (0.45). The 30.47% reduction from gross to weighted emissions reflects data quality uncertainty.</w:t>
      </w:r>
    </w:p>
    <w:p>
      <w:pPr>
        <w:spacing w:after="160" w:line="276" w:lineRule="auto"/>
        <w:jc w:val="both"/>
      </w:pPr>
      <w:r>
        <w:rPr>
          <w:rFonts w:ascii="Arial" w:hAnsi="Arial"/>
          <w:i/>
          <w:color w:val="646464"/>
          <w:sz w:val="18"/>
        </w:rPr>
        <w:t>Sector classifications follow NACE Rev. 2 (Statistical Classification of Economic Activities in the European Community) as prescribed by PCAF Global GHG Accounting Standard.</w:t>
      </w:r>
    </w:p>
    <w:p>
      <w:pPr>
        <w:spacing w:after="160" w:line="276" w:lineRule="auto"/>
        <w:jc w:val="both"/>
      </w:pPr>
      <w:r>
        <w:rPr>
          <w:rFonts w:ascii="Arial" w:hAnsi="Arial"/>
          <w:i/>
          <w:color w:val="646464"/>
          <w:sz w:val="18"/>
        </w:rPr>
        <w:t>Emission intensity metrics (tCO2e per IDR billion) are calculated using gross financed emissions divided by outstanding loan amounts. Intensity figures enable comparison across sectors with different portfolio sizes.</w:t>
      </w:r>
    </w:p>
    <w:p>
      <w:pPr>
        <w:spacing w:after="160" w:line="276" w:lineRule="auto"/>
        <w:jc w:val="both"/>
      </w:pPr>
      <w:r>
        <w:rPr>
          <w:rFonts w:ascii="Arial" w:hAnsi="Arial"/>
          <w:i/>
          <w:color w:val="646464"/>
          <w:sz w:val="18"/>
        </w:rPr>
        <w:t>The institution's financed emissions calculation covers PCAF Asset Class 1 (Listed Equity and Corporate Bonds) and Asset Class 2 (Business Loans and Unlisted Equity). Other asset classes (e.g., mortgages, motor vehicle loans) are not yet included in the calculation scope.</w:t>
      </w:r>
    </w:p>
    <w:p>
      <w:pPr>
        <w:spacing w:after="160" w:line="276" w:lineRule="auto"/>
        <w:jc w:val="both"/>
      </w:pPr>
      <w:r>
        <w:rPr>
          <w:rFonts w:ascii="Arial" w:hAnsi="Arial"/>
          <w:i/>
          <w:color w:val="646464"/>
          <w:sz w:val="18"/>
        </w:rPr>
        <w:t>Indonesia's Enhanced NDC commits to 31.89% unconditional emissions reduction by 2030 (baseline: business-as-usual scenario). The institution's portfolio alignment with this target will be assessed in future reporting cycles once multi-year trend data are available.</w:t>
      </w:r>
    </w:p>
    <w:p>
      <w:pPr>
        <w:pStyle w:val="Heading1"/>
        <w:keepNext/>
        <w:spacing w:before="480" w:after="240"/>
      </w:pPr>
      <w:r>
        <w:rPr>
          <w:rFonts w:ascii="Arial" w:hAnsi="Arial"/>
          <w:b/>
          <w:color w:val="1B3A6B"/>
          <w:sz w:val="36"/>
        </w:rPr>
        <w:t>GRI 305-4: GHG Emissions Intensity</w:t>
      </w:r>
    </w:p>
    <w:p>
      <w:pPr>
        <w:spacing w:after="160" w:line="276" w:lineRule="auto"/>
        <w:jc w:val="both"/>
      </w:pPr>
      <w:r>
        <w:rPr>
          <w:rFonts w:ascii="Arial" w:hAnsi="Arial"/>
          <w:sz w:val="22"/>
        </w:rPr>
        <w:t>The organization's GHG emissions intensity for the 2024 reporting period was 239.400139 tCO2e per IDR billion operating revenue and 1.9209 tCO2e per full-time equivalent employee (FTE). These intensity metrics normalize the organization's absolute emissions against key organizational performance indicators to enable meaningful year-over-year comparisons and assessment of decoupling progress between emissions growth and business expansion.</w:t>
      </w:r>
    </w:p>
    <w:p>
      <w:pPr>
        <w:spacing w:after="160" w:line="276" w:lineRule="auto"/>
        <w:jc w:val="both"/>
      </w:pPr>
      <w:r>
        <w:rPr>
          <w:rFonts w:ascii="Arial" w:hAnsi="Arial"/>
          <w:i/>
          <w:sz w:val="22"/>
        </w:rPr>
        <w:t>The revenue-based intensity ratio encompasses direct (Scope 1) emissions of 3402.997 tCO2e, energy indirect (Scope 2) market-based emissions of 44612.518 tCO2e, and other indirect (Scope 3) Category 15 gross financed emissions of 21976797.3 tCO2e, totaling 22024812.815 tCO2e. The denominator represents consolidated operating revenue across all business units under operational control. The FTE-based intensity ratio includes only operational emissions (Scope 1 + Scope 2 market-based), totaling 48015.515 tCO2e, divided by 24997 full-time equivalent employees as of 31 December 2024. FTE count includes all permanent employees under direct employment contracts, excluding contractors and temporary staff.</w:t>
      </w:r>
    </w:p>
    <w:p>
      <w:pPr>
        <w:spacing w:after="160" w:line="276" w:lineRule="auto"/>
        <w:jc w:val="both"/>
      </w:pPr>
      <w:r>
        <w:rPr>
          <w:rFonts w:ascii="Arial" w:hAnsi="Arial"/>
          <w:i/>
          <w:sz w:val="22"/>
        </w:rPr>
        <w:t>The Scope 2 emissions component in both intensity calculations applies the market-based method per GRI 305-2 requirements, reflecting contractual instruments for electricity procurement. Gases included in the calculation comprise carbon dioxide (CO2), methane (CH4), and nitrous oxide (N2O) for Scope 1 emissions, with all values expressed in metric tons of carbon dioxide equivalent (tCO2e) using global warming potential factors from the IPCC Fifth Assessment Report. The revenue-based intensity ratio includes Scope 3 Category 15 (Investments) gross emissions to provide a comprehensive view of the organization's financed emissions footprint, which is material for financial institutions under the GHG Protocol Financial Sector Guidance.</w:t>
      </w:r>
    </w:p>
    <w:p>
      <w:pPr>
        <w:spacing w:after="160" w:line="276" w:lineRule="auto"/>
        <w:jc w:val="both"/>
      </w:pPr>
      <w:r>
        <w:rPr>
          <w:rFonts w:ascii="Arial" w:hAnsi="Arial"/>
          <w:sz w:val="22"/>
        </w:rPr>
        <w:t>The organization achieved an 11.37% reduction in revenue-based emissions intensity compared to the prior year baseline of 270.116632 tCO2e per IDR billion, declining from 270.116632 in 2023 to 239.400139 in 2024. This improvement indicates successful decoupling of emissions growth from revenue expansion, with business growth outpacing absolute emissions increases. The FTE-based operational intensity decreased 1.79% year-over-year, from 1.956 tCO2e per FTE in 2023 to 1.9209 tCO2e per FTE in 2024, reflecting marginal efficiency gains in operational emissions per employee despite a 2.03% increase in total headcount to 24997 FTE.</w:t>
      </w:r>
    </w:p>
    <w:p>
      <w:pPr>
        <w:spacing w:after="160" w:line="276" w:lineRule="auto"/>
        <w:jc w:val="both"/>
      </w:pPr>
      <w:r>
        <w:rPr>
          <w:rFonts w:ascii="Arial" w:hAnsi="Arial"/>
          <w:sz w:val="22"/>
        </w:rPr>
        <w:t>The intensity reduction was driven primarily by a 4.07% decrease in absolute Scope 3 Category 15 weighted financed emissions (from 15576239.57 tCO2e in 2023 to 15280174.14 tCO2e in 2024) while the loan portfolio expanded. Scope 1 emissions increased 2.36% year-over-year (from 3324.521 tCO2e to 3402.997 tCO2e), and Scope 2 market-based emissions increased marginally by 0.03% (from 44598.118 tCO2e to 44612.518 tCO2e). The divergence between revenue intensity improvement (11.37% reduction) and FTE intensity improvement (1.79% reduction) reflects the organization's portfolio composition shift toward lower-emission-intensity sectors and enhanced data quality in financed emissions measurement, rather than proportional operational efficiency gains across all emission sources.</w:t>
      </w:r>
    </w:p>
    <w:p>
      <w:r>
        <w:rPr>
          <w:rFonts w:ascii="Arial" w:hAnsi="Arial"/>
          <w:b/>
          <w:sz w:val="20"/>
        </w:rPr>
        <w:t>Table 4.1: GHG Emissions Intensity Calculation Methodology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Intensity Metric</w:t>
            </w:r>
          </w:p>
        </w:tc>
        <w:tc>
          <w:tcPr>
            <w:tcW w:type="dxa" w:w="1505"/>
            <w:shd w:fill="1B3A6B" w:val="clear"/>
          </w:tcPr>
          <w:p>
            <w:r>
              <w:rPr>
                <w:rFonts w:ascii="Arial" w:hAnsi="Arial"/>
                <w:b/>
                <w:color w:val="FFFFFF"/>
                <w:sz w:val="18"/>
              </w:rPr>
              <w:t>Numerator (tCO2e)</w:t>
            </w:r>
          </w:p>
        </w:tc>
        <w:tc>
          <w:tcPr>
            <w:tcW w:type="dxa" w:w="1505"/>
            <w:shd w:fill="1B3A6B" w:val="clear"/>
          </w:tcPr>
          <w:p>
            <w:r>
              <w:rPr>
                <w:rFonts w:ascii="Arial" w:hAnsi="Arial"/>
                <w:b/>
                <w:color w:val="FFFFFF"/>
                <w:sz w:val="18"/>
              </w:rPr>
              <w:t>Denominator</w:t>
            </w:r>
          </w:p>
        </w:tc>
        <w:tc>
          <w:tcPr>
            <w:tcW w:type="dxa" w:w="1505"/>
            <w:shd w:fill="1B3A6B" w:val="clear"/>
          </w:tcPr>
          <w:p>
            <w:r>
              <w:rPr>
                <w:rFonts w:ascii="Arial" w:hAnsi="Arial"/>
                <w:b/>
                <w:color w:val="FFFFFF"/>
                <w:sz w:val="18"/>
              </w:rPr>
              <w:t>Intensity Ratio</w:t>
            </w:r>
          </w:p>
        </w:tc>
        <w:tc>
          <w:tcPr>
            <w:tcW w:type="dxa" w:w="1505"/>
            <w:shd w:fill="1B3A6B" w:val="clear"/>
          </w:tcPr>
          <w:p>
            <w:r>
              <w:rPr>
                <w:rFonts w:ascii="Arial" w:hAnsi="Arial"/>
                <w:b/>
                <w:color w:val="FFFFFF"/>
                <w:sz w:val="18"/>
              </w:rPr>
              <w:t>Unit</w:t>
            </w:r>
          </w:p>
        </w:tc>
        <w:tc>
          <w:tcPr>
            <w:tcW w:type="dxa" w:w="1505"/>
            <w:shd w:fill="1B3A6B" w:val="clear"/>
          </w:tcPr>
          <w:p>
            <w:r>
              <w:rPr>
                <w:rFonts w:ascii="Arial" w:hAnsi="Arial"/>
                <w:b/>
                <w:color w:val="FFFFFF"/>
                <w:sz w:val="18"/>
              </w:rPr>
              <w:t>Scope Coverage</w:t>
            </w:r>
          </w:p>
        </w:tc>
      </w:tr>
      <w:tr>
        <w:tc>
          <w:tcPr>
            <w:tcW w:type="dxa" w:w="1505"/>
          </w:tcPr>
          <w:p>
            <w:r>
              <w:rPr>
                <w:rFonts w:ascii="Arial" w:hAnsi="Arial"/>
                <w:sz w:val="18"/>
              </w:rPr>
              <w:t>Revenue-based intensity</w:t>
            </w:r>
          </w:p>
        </w:tc>
        <w:tc>
          <w:tcPr>
            <w:tcW w:type="dxa" w:w="1505"/>
          </w:tcPr>
          <w:p>
            <w:pPr>
              <w:jc w:val="right"/>
            </w:pPr>
            <w:r>
              <w:rPr>
                <w:rFonts w:ascii="Arial" w:hAnsi="Arial"/>
                <w:sz w:val="18"/>
              </w:rPr>
              <w:t>22024812.815</w:t>
            </w:r>
          </w:p>
        </w:tc>
        <w:tc>
          <w:tcPr>
            <w:tcW w:type="dxa" w:w="1505"/>
          </w:tcPr>
          <w:p>
            <w:r>
              <w:rPr>
                <w:rFonts w:ascii="Arial" w:hAnsi="Arial"/>
                <w:sz w:val="18"/>
              </w:rPr>
              <w:t>92000 (IDR billion)</w:t>
            </w:r>
          </w:p>
        </w:tc>
        <w:tc>
          <w:tcPr>
            <w:tcW w:type="dxa" w:w="1505"/>
          </w:tcPr>
          <w:p>
            <w:pPr>
              <w:jc w:val="right"/>
            </w:pPr>
            <w:r>
              <w:rPr>
                <w:rFonts w:ascii="Arial" w:hAnsi="Arial"/>
                <w:sz w:val="18"/>
              </w:rPr>
              <w:t>239.400139</w:t>
            </w:r>
          </w:p>
        </w:tc>
        <w:tc>
          <w:tcPr>
            <w:tcW w:type="dxa" w:w="1505"/>
          </w:tcPr>
          <w:p>
            <w:r>
              <w:rPr>
                <w:rFonts w:ascii="Arial" w:hAnsi="Arial"/>
                <w:sz w:val="18"/>
              </w:rPr>
              <w:t>tCO2e per IDR billion</w:t>
            </w:r>
          </w:p>
        </w:tc>
        <w:tc>
          <w:tcPr>
            <w:tcW w:type="dxa" w:w="1505"/>
          </w:tcPr>
          <w:p>
            <w:r>
              <w:rPr>
                <w:rFonts w:ascii="Arial" w:hAnsi="Arial"/>
                <w:sz w:val="18"/>
              </w:rPr>
              <w:t>Scope 1 + 2 (market-based) + 3 Cat 15 gross</w:t>
            </w:r>
          </w:p>
        </w:tc>
      </w:tr>
      <w:tr>
        <w:tc>
          <w:tcPr>
            <w:tcW w:type="dxa" w:w="1505"/>
            <w:shd w:fill="F2F6FC" w:val="clear"/>
          </w:tcPr>
          <w:p>
            <w:r>
              <w:rPr>
                <w:rFonts w:ascii="Arial" w:hAnsi="Arial"/>
                <w:sz w:val="18"/>
              </w:rPr>
              <w:t>FTE-based intensity</w:t>
            </w:r>
          </w:p>
        </w:tc>
        <w:tc>
          <w:tcPr>
            <w:tcW w:type="dxa" w:w="1505"/>
            <w:shd w:fill="F2F6FC" w:val="clear"/>
          </w:tcPr>
          <w:p>
            <w:pPr>
              <w:jc w:val="right"/>
            </w:pPr>
            <w:r>
              <w:rPr>
                <w:rFonts w:ascii="Arial" w:hAnsi="Arial"/>
                <w:sz w:val="18"/>
              </w:rPr>
              <w:t>48015.515</w:t>
            </w:r>
          </w:p>
        </w:tc>
        <w:tc>
          <w:tcPr>
            <w:tcW w:type="dxa" w:w="1505"/>
            <w:shd w:fill="F2F6FC" w:val="clear"/>
          </w:tcPr>
          <w:p>
            <w:r>
              <w:rPr>
                <w:rFonts w:ascii="Arial" w:hAnsi="Arial"/>
                <w:sz w:val="18"/>
              </w:rPr>
              <w:t>24997 (FTE)</w:t>
            </w:r>
          </w:p>
        </w:tc>
        <w:tc>
          <w:tcPr>
            <w:tcW w:type="dxa" w:w="1505"/>
            <w:shd w:fill="F2F6FC" w:val="clear"/>
          </w:tcPr>
          <w:p>
            <w:pPr>
              <w:jc w:val="right"/>
            </w:pPr>
            <w:r>
              <w:rPr>
                <w:rFonts w:ascii="Arial" w:hAnsi="Arial"/>
                <w:sz w:val="18"/>
              </w:rPr>
              <w:t>1.9209</w:t>
            </w:r>
          </w:p>
        </w:tc>
        <w:tc>
          <w:tcPr>
            <w:tcW w:type="dxa" w:w="1505"/>
            <w:shd w:fill="F2F6FC" w:val="clear"/>
          </w:tcPr>
          <w:p>
            <w:r>
              <w:rPr>
                <w:rFonts w:ascii="Arial" w:hAnsi="Arial"/>
                <w:sz w:val="18"/>
              </w:rPr>
              <w:t>tCO2e per FTE</w:t>
            </w:r>
          </w:p>
        </w:tc>
        <w:tc>
          <w:tcPr>
            <w:tcW w:type="dxa" w:w="1505"/>
            <w:shd w:fill="F2F6FC" w:val="clear"/>
          </w:tcPr>
          <w:p>
            <w:r>
              <w:rPr>
                <w:rFonts w:ascii="Arial" w:hAnsi="Arial"/>
                <w:sz w:val="18"/>
              </w:rPr>
              <w:t>Scope 1 + 2 (market-based) only</w:t>
            </w:r>
          </w:p>
        </w:tc>
      </w:tr>
    </w:tbl>
    <w:p>
      <w:r>
        <w:rPr>
          <w:rFonts w:ascii="Arial" w:hAnsi="Arial"/>
          <w:i/>
          <w:sz w:val="16"/>
        </w:rPr>
        <w:t>Source: Numerators calculated as sum of scope-specific emissions from ghg_summary table. Revenue denominator derived from consolidated financial statements. FTE denominator from hr_metrics table as of 31 December 2024.</w:t>
      </w:r>
    </w:p>
    <w:p/>
    <w:p>
      <w:r>
        <w:rPr>
          <w:rFonts w:ascii="Arial" w:hAnsi="Arial"/>
          <w:b/>
          <w:sz w:val="20"/>
        </w:rPr>
        <w:t>Table 4.2: Year-over-Year Emissions Intensity Comparison</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Metric</w:t>
            </w:r>
          </w:p>
        </w:tc>
        <w:tc>
          <w:tcPr>
            <w:tcW w:type="dxa" w:w="1505"/>
            <w:shd w:fill="1B3A6B" w:val="clear"/>
          </w:tcPr>
          <w:p>
            <w:r>
              <w:rPr>
                <w:rFonts w:ascii="Arial" w:hAnsi="Arial"/>
                <w:b/>
                <w:color w:val="FFFFFF"/>
                <w:sz w:val="18"/>
              </w:rPr>
              <w:t>2023 Baseline</w:t>
            </w:r>
          </w:p>
        </w:tc>
        <w:tc>
          <w:tcPr>
            <w:tcW w:type="dxa" w:w="1505"/>
            <w:shd w:fill="1B3A6B" w:val="clear"/>
          </w:tcPr>
          <w:p>
            <w:r>
              <w:rPr>
                <w:rFonts w:ascii="Arial" w:hAnsi="Arial"/>
                <w:b/>
                <w:color w:val="FFFFFF"/>
                <w:sz w:val="18"/>
              </w:rPr>
              <w:t>2024 Reporting Year</w:t>
            </w:r>
          </w:p>
        </w:tc>
        <w:tc>
          <w:tcPr>
            <w:tcW w:type="dxa" w:w="1505"/>
            <w:shd w:fill="1B3A6B" w:val="clear"/>
          </w:tcPr>
          <w:p>
            <w:r>
              <w:rPr>
                <w:rFonts w:ascii="Arial" w:hAnsi="Arial"/>
                <w:b/>
                <w:color w:val="FFFFFF"/>
                <w:sz w:val="18"/>
              </w:rPr>
              <w:t>Absolute Change</w:t>
            </w:r>
          </w:p>
        </w:tc>
        <w:tc>
          <w:tcPr>
            <w:tcW w:type="dxa" w:w="1505"/>
            <w:shd w:fill="1B3A6B" w:val="clear"/>
          </w:tcPr>
          <w:p>
            <w:r>
              <w:rPr>
                <w:rFonts w:ascii="Arial" w:hAnsi="Arial"/>
                <w:b/>
                <w:color w:val="FFFFFF"/>
                <w:sz w:val="18"/>
              </w:rPr>
              <w:t>Percentage Change</w:t>
            </w:r>
          </w:p>
        </w:tc>
        <w:tc>
          <w:tcPr>
            <w:tcW w:type="dxa" w:w="1505"/>
            <w:shd w:fill="1B3A6B" w:val="clear"/>
          </w:tcPr>
          <w:p>
            <w:r>
              <w:rPr>
                <w:rFonts w:ascii="Arial" w:hAnsi="Arial"/>
                <w:b/>
                <w:color w:val="FFFFFF"/>
                <w:sz w:val="18"/>
              </w:rPr>
              <w:t>Trend</w:t>
            </w:r>
          </w:p>
        </w:tc>
      </w:tr>
      <w:tr>
        <w:tc>
          <w:tcPr>
            <w:tcW w:type="dxa" w:w="1505"/>
          </w:tcPr>
          <w:p>
            <w:r>
              <w:rPr>
                <w:rFonts w:ascii="Arial" w:hAnsi="Arial"/>
                <w:sz w:val="18"/>
              </w:rPr>
              <w:t>Revenue intensity (tCO2e/IDR bn)</w:t>
            </w:r>
          </w:p>
        </w:tc>
        <w:tc>
          <w:tcPr>
            <w:tcW w:type="dxa" w:w="1505"/>
          </w:tcPr>
          <w:p>
            <w:pPr>
              <w:jc w:val="right"/>
            </w:pPr>
            <w:r>
              <w:rPr>
                <w:rFonts w:ascii="Arial" w:hAnsi="Arial"/>
                <w:sz w:val="18"/>
              </w:rPr>
              <w:t>270.116632</w:t>
            </w:r>
          </w:p>
        </w:tc>
        <w:tc>
          <w:tcPr>
            <w:tcW w:type="dxa" w:w="1505"/>
          </w:tcPr>
          <w:p>
            <w:pPr>
              <w:jc w:val="right"/>
            </w:pPr>
            <w:r>
              <w:rPr>
                <w:rFonts w:ascii="Arial" w:hAnsi="Arial"/>
                <w:sz w:val="18"/>
              </w:rPr>
              <w:t>239.400139</w:t>
            </w:r>
          </w:p>
        </w:tc>
        <w:tc>
          <w:tcPr>
            <w:tcW w:type="dxa" w:w="1505"/>
          </w:tcPr>
          <w:p>
            <w:pPr>
              <w:jc w:val="right"/>
            </w:pPr>
            <w:r>
              <w:rPr>
                <w:rFonts w:ascii="Arial" w:hAnsi="Arial"/>
                <w:sz w:val="18"/>
              </w:rPr>
              <w:t>-30.716493</w:t>
            </w:r>
          </w:p>
        </w:tc>
        <w:tc>
          <w:tcPr>
            <w:tcW w:type="dxa" w:w="1505"/>
          </w:tcPr>
          <w:p>
            <w:pPr>
              <w:jc w:val="right"/>
            </w:pPr>
            <w:r>
              <w:rPr>
                <w:rFonts w:ascii="Arial" w:hAnsi="Arial"/>
                <w:sz w:val="18"/>
              </w:rPr>
              <w:t>-11.37%</w:t>
            </w:r>
          </w:p>
        </w:tc>
        <w:tc>
          <w:tcPr>
            <w:tcW w:type="dxa" w:w="1505"/>
          </w:tcPr>
          <w:p>
            <w:r>
              <w:rPr>
                <w:rFonts w:ascii="Arial" w:hAnsi="Arial"/>
                <w:sz w:val="18"/>
              </w:rPr>
              <w:t>Improved</w:t>
            </w:r>
          </w:p>
        </w:tc>
      </w:tr>
      <w:tr>
        <w:tc>
          <w:tcPr>
            <w:tcW w:type="dxa" w:w="1505"/>
            <w:shd w:fill="F2F6FC" w:val="clear"/>
          </w:tcPr>
          <w:p>
            <w:r>
              <w:rPr>
                <w:rFonts w:ascii="Arial" w:hAnsi="Arial"/>
                <w:sz w:val="18"/>
              </w:rPr>
              <w:t>FTE intensity (tCO2e/FTE)</w:t>
            </w:r>
          </w:p>
        </w:tc>
        <w:tc>
          <w:tcPr>
            <w:tcW w:type="dxa" w:w="1505"/>
            <w:shd w:fill="F2F6FC" w:val="clear"/>
          </w:tcPr>
          <w:p>
            <w:pPr>
              <w:jc w:val="right"/>
            </w:pPr>
            <w:r>
              <w:rPr>
                <w:rFonts w:ascii="Arial" w:hAnsi="Arial"/>
                <w:sz w:val="18"/>
              </w:rPr>
              <w:t>1.956</w:t>
            </w:r>
          </w:p>
        </w:tc>
        <w:tc>
          <w:tcPr>
            <w:tcW w:type="dxa" w:w="1505"/>
            <w:shd w:fill="F2F6FC" w:val="clear"/>
          </w:tcPr>
          <w:p>
            <w:pPr>
              <w:jc w:val="right"/>
            </w:pPr>
            <w:r>
              <w:rPr>
                <w:rFonts w:ascii="Arial" w:hAnsi="Arial"/>
                <w:sz w:val="18"/>
              </w:rPr>
              <w:t>1.9209</w:t>
            </w:r>
          </w:p>
        </w:tc>
        <w:tc>
          <w:tcPr>
            <w:tcW w:type="dxa" w:w="1505"/>
            <w:shd w:fill="F2F6FC" w:val="clear"/>
          </w:tcPr>
          <w:p>
            <w:pPr>
              <w:jc w:val="right"/>
            </w:pPr>
            <w:r>
              <w:rPr>
                <w:rFonts w:ascii="Arial" w:hAnsi="Arial"/>
                <w:sz w:val="18"/>
              </w:rPr>
              <w:t>-0.0351</w:t>
            </w:r>
          </w:p>
        </w:tc>
        <w:tc>
          <w:tcPr>
            <w:tcW w:type="dxa" w:w="1505"/>
            <w:shd w:fill="F2F6FC" w:val="clear"/>
          </w:tcPr>
          <w:p>
            <w:pPr>
              <w:jc w:val="right"/>
            </w:pPr>
            <w:r>
              <w:rPr>
                <w:rFonts w:ascii="Arial" w:hAnsi="Arial"/>
                <w:sz w:val="18"/>
              </w:rPr>
              <w:t>-1.79%</w:t>
            </w:r>
          </w:p>
        </w:tc>
        <w:tc>
          <w:tcPr>
            <w:tcW w:type="dxa" w:w="1505"/>
            <w:shd w:fill="F2F6FC" w:val="clear"/>
          </w:tcPr>
          <w:p>
            <w:r>
              <w:rPr>
                <w:rFonts w:ascii="Arial" w:hAnsi="Arial"/>
                <w:sz w:val="18"/>
              </w:rPr>
              <w:t>Improved</w:t>
            </w:r>
          </w:p>
        </w:tc>
      </w:tr>
      <w:tr>
        <w:tc>
          <w:tcPr>
            <w:tcW w:type="dxa" w:w="1505"/>
          </w:tcPr>
          <w:p>
            <w:r>
              <w:rPr>
                <w:rFonts w:ascii="Arial" w:hAnsi="Arial"/>
                <w:sz w:val="18"/>
              </w:rPr>
              <w:t>Total revenue-based emissions (tCO2e)</w:t>
            </w:r>
          </w:p>
        </w:tc>
        <w:tc>
          <w:tcPr>
            <w:tcW w:type="dxa" w:w="1505"/>
          </w:tcPr>
          <w:p>
            <w:pPr>
              <w:jc w:val="right"/>
            </w:pPr>
            <w:r>
              <w:rPr>
                <w:rFonts w:ascii="Arial" w:hAnsi="Arial"/>
                <w:sz w:val="18"/>
              </w:rPr>
              <w:t>22935830.62</w:t>
            </w:r>
          </w:p>
        </w:tc>
        <w:tc>
          <w:tcPr>
            <w:tcW w:type="dxa" w:w="1505"/>
          </w:tcPr>
          <w:p>
            <w:pPr>
              <w:jc w:val="right"/>
            </w:pPr>
            <w:r>
              <w:rPr>
                <w:rFonts w:ascii="Arial" w:hAnsi="Arial"/>
                <w:sz w:val="18"/>
              </w:rPr>
              <w:t>22024812.815</w:t>
            </w:r>
          </w:p>
        </w:tc>
        <w:tc>
          <w:tcPr>
            <w:tcW w:type="dxa" w:w="1505"/>
          </w:tcPr>
          <w:p>
            <w:pPr>
              <w:jc w:val="right"/>
            </w:pPr>
            <w:r>
              <w:rPr>
                <w:rFonts w:ascii="Arial" w:hAnsi="Arial"/>
                <w:sz w:val="18"/>
              </w:rPr>
              <w:t>-911017.805</w:t>
            </w:r>
          </w:p>
        </w:tc>
        <w:tc>
          <w:tcPr>
            <w:tcW w:type="dxa" w:w="1505"/>
          </w:tcPr>
          <w:p>
            <w:pPr>
              <w:jc w:val="right"/>
            </w:pPr>
            <w:r>
              <w:rPr>
                <w:rFonts w:ascii="Arial" w:hAnsi="Arial"/>
                <w:sz w:val="18"/>
              </w:rPr>
              <w:t>-3.97%</w:t>
            </w:r>
          </w:p>
        </w:tc>
        <w:tc>
          <w:tcPr>
            <w:tcW w:type="dxa" w:w="1505"/>
          </w:tcPr>
          <w:p>
            <w:r>
              <w:rPr>
                <w:rFonts w:ascii="Arial" w:hAnsi="Arial"/>
                <w:sz w:val="18"/>
              </w:rPr>
              <w:t>Decreased</w:t>
            </w:r>
          </w:p>
        </w:tc>
      </w:tr>
      <w:tr>
        <w:tc>
          <w:tcPr>
            <w:tcW w:type="dxa" w:w="1505"/>
            <w:shd w:fill="F2F6FC" w:val="clear"/>
          </w:tcPr>
          <w:p>
            <w:r>
              <w:rPr>
                <w:rFonts w:ascii="Arial" w:hAnsi="Arial"/>
                <w:sz w:val="18"/>
              </w:rPr>
              <w:t>Total operational emissions (tCO2e)</w:t>
            </w:r>
          </w:p>
        </w:tc>
        <w:tc>
          <w:tcPr>
            <w:tcW w:type="dxa" w:w="1505"/>
            <w:shd w:fill="F2F6FC" w:val="clear"/>
          </w:tcPr>
          <w:p>
            <w:pPr>
              <w:jc w:val="right"/>
            </w:pPr>
            <w:r>
              <w:rPr>
                <w:rFonts w:ascii="Arial" w:hAnsi="Arial"/>
                <w:sz w:val="18"/>
              </w:rPr>
              <w:t>47922.639</w:t>
            </w:r>
          </w:p>
        </w:tc>
        <w:tc>
          <w:tcPr>
            <w:tcW w:type="dxa" w:w="1505"/>
            <w:shd w:fill="F2F6FC" w:val="clear"/>
          </w:tcPr>
          <w:p>
            <w:pPr>
              <w:jc w:val="right"/>
            </w:pPr>
            <w:r>
              <w:rPr>
                <w:rFonts w:ascii="Arial" w:hAnsi="Arial"/>
                <w:sz w:val="18"/>
              </w:rPr>
              <w:t>48015.515</w:t>
            </w:r>
          </w:p>
        </w:tc>
        <w:tc>
          <w:tcPr>
            <w:tcW w:type="dxa" w:w="1505"/>
            <w:shd w:fill="F2F6FC" w:val="clear"/>
          </w:tcPr>
          <w:p>
            <w:pPr>
              <w:jc w:val="right"/>
            </w:pPr>
            <w:r>
              <w:rPr>
                <w:rFonts w:ascii="Arial" w:hAnsi="Arial"/>
                <w:sz w:val="18"/>
              </w:rPr>
              <w:t>92.876</w:t>
            </w:r>
          </w:p>
        </w:tc>
        <w:tc>
          <w:tcPr>
            <w:tcW w:type="dxa" w:w="1505"/>
            <w:shd w:fill="F2F6FC" w:val="clear"/>
          </w:tcPr>
          <w:p>
            <w:pPr>
              <w:jc w:val="right"/>
            </w:pPr>
            <w:r>
              <w:rPr>
                <w:rFonts w:ascii="Arial" w:hAnsi="Arial"/>
                <w:sz w:val="18"/>
              </w:rPr>
              <w:t>+0.19%</w:t>
            </w:r>
          </w:p>
        </w:tc>
        <w:tc>
          <w:tcPr>
            <w:tcW w:type="dxa" w:w="1505"/>
            <w:shd w:fill="F2F6FC" w:val="clear"/>
          </w:tcPr>
          <w:p>
            <w:r>
              <w:rPr>
                <w:rFonts w:ascii="Arial" w:hAnsi="Arial"/>
                <w:sz w:val="18"/>
              </w:rPr>
              <w:t>Increased</w:t>
            </w:r>
          </w:p>
        </w:tc>
      </w:tr>
    </w:tbl>
    <w:p>
      <w:r>
        <w:rPr>
          <w:rFonts w:ascii="Arial" w:hAnsi="Arial"/>
          <w:i/>
          <w:sz w:val="16"/>
        </w:rPr>
        <w:t>Source: Prior year data from prior_year_summary table. Percentage changes calculated from absolute values. Revenue-based emissions include Scope 1+2+3 Cat 15 gross; operational emissions include Scope 1+2 market-based only.</w:t>
      </w:r>
    </w:p>
    <w:p/>
    <w:p>
      <w:r>
        <w:rPr>
          <w:i/>
          <w:color w:val="3D6094"/>
          <w:sz w:val="18"/>
        </w:rPr>
        <w:t>Framework references: GRI 305-4-a: Organization-specific metric (revenue in IDR billion; FTE count); GRI 305-4-b: Types of GHG emissions included (Scope 1, 2 market-based, 3 Category 15); GRI 305-4-c: Gases included (CO2, CH4, N2O); GRI 305-4 Compilation 2.7.1: Ratio calculation methodology disclosed; GRI 305-4 Compilation 2.7.2: Scope 3 intensity reported separately (revenue-based only)</w:t>
      </w:r>
    </w:p>
    <w:p>
      <w:pPr>
        <w:spacing w:after="80"/>
        <w:pBdr>
          <w:bottom w:val="single" w:sz="6" w:space="1" w:color="999999"/>
        </w:pBdr>
      </w:pPr>
    </w:p>
    <w:p>
      <w:pPr>
        <w:spacing w:after="160" w:line="276" w:lineRule="auto"/>
        <w:jc w:val="both"/>
      </w:pPr>
      <w:r>
        <w:rPr>
          <w:rFonts w:ascii="Arial" w:hAnsi="Arial"/>
          <w:i/>
          <w:color w:val="646464"/>
          <w:sz w:val="18"/>
        </w:rPr>
        <w:t>GRI Content Index: 305-4 | GHG emissions intensity | Section 4.4</w:t>
      </w: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Revenue-based intensity includes Scope 3 Category 15 gross financed emissions (21976797.3 tCO2e) to reflect the organization's full value chain impact as a financial institution. FTE-based intensity excludes Scope 3 to focus on operational efficiency metrics.</w:t>
      </w:r>
    </w:p>
    <w:p>
      <w:pPr>
        <w:spacing w:after="160" w:line="276" w:lineRule="auto"/>
        <w:jc w:val="both"/>
      </w:pPr>
      <w:r>
        <w:rPr>
          <w:rFonts w:ascii="Arial" w:hAnsi="Arial"/>
          <w:i/>
          <w:color w:val="646464"/>
          <w:sz w:val="18"/>
        </w:rPr>
        <w:t>Market-based Scope 2 method applied per GRI 305-2 guidance. No renewable energy certificates (RECs) or power purchase agreements (PPAs) were retired during the reporting period, resulting in minimal difference between location-based (44613.876 tCO2e) and market-based (44612.518 tCO2e) figures.</w:t>
      </w:r>
    </w:p>
    <w:p>
      <w:pPr>
        <w:spacing w:after="160" w:line="276" w:lineRule="auto"/>
        <w:jc w:val="both"/>
      </w:pPr>
      <w:r>
        <w:rPr>
          <w:rFonts w:ascii="Arial" w:hAnsi="Arial"/>
          <w:i/>
          <w:color w:val="646464"/>
          <w:sz w:val="18"/>
        </w:rPr>
        <w:t>FTE count of 24997 represents full-time equivalent employees under direct employment contracts as of 31 December 2024, excluding 0 contractors and temporary staff. Calculation methodology consistent with prior year for comparability.</w:t>
      </w:r>
    </w:p>
    <w:p>
      <w:pPr>
        <w:pStyle w:val="Heading1"/>
        <w:keepNext/>
        <w:spacing w:before="480" w:after="240"/>
      </w:pPr>
      <w:r>
        <w:rPr>
          <w:rFonts w:ascii="Arial" w:hAnsi="Arial"/>
          <w:b/>
          <w:color w:val="1B3A6B"/>
          <w:sz w:val="36"/>
        </w:rPr>
        <w:t>GRI 305-4: Intensitas Emisi GRK (GHG Emissions Intensity)</w:t>
      </w:r>
    </w:p>
    <w:p>
      <w:pPr>
        <w:spacing w:after="160" w:line="276" w:lineRule="auto"/>
        <w:jc w:val="both"/>
      </w:pPr>
      <w:r>
        <w:rPr>
          <w:rFonts w:ascii="Arial" w:hAnsi="Arial"/>
          <w:sz w:val="22"/>
        </w:rPr>
        <w:t>Untuk Tahun Pelaporan 2024, institusi melaporkan intensitas emisi GRK sebesar 239.400139 tCO2e per miliar IDR pendapatan dan 1.9209 tCO2e per FTE (Full-Time Equivalent). Metrik intensitas ini menormalkan total emisi GRK terhadap indikator kinerja organisasi untuk memungkinkan perbandingan kinerja dari waktu ke waktu dan terhadap peer di sektor perbankan Indonesia. Pelaporan intensitas emisi ini sejalan dengan persyaratan POJK No. 51/POJK.03/2017 tentang Penerapan Keuangan Berkelanjutan (PSPK) yang mewajibkan lembaga jasa keuangan untuk melaporkan metrik intensitas berbasis pendapatan.</w:t>
      </w:r>
    </w:p>
    <w:p>
      <w:pPr>
        <w:spacing w:after="160" w:line="276" w:lineRule="auto"/>
        <w:jc w:val="both"/>
      </w:pPr>
      <w:r>
        <w:rPr>
          <w:rFonts w:ascii="Arial" w:hAnsi="Arial"/>
          <w:i/>
          <w:sz w:val="22"/>
        </w:rPr>
        <w:t>Metodologi perhitungan intensitas emisi menggunakan dua denominator berbeda sesuai dengan cakupan emisi yang relevan. Intensitas berbasis pendapatan (239.400139 tCO2e per miliar IDR) mencakup total emisi GRK dari Scope 1 (emisi langsung dari operasi), Scope 2 (emisi tidak langsung dari konsumsi energi yang dibeli, menggunakan metode market-based), dan Scope 3 Kategori 15 (financed emissions - gross) sebagai numerator, dengan total pendapatan operasional institusi sebagai denominator. Intensitas berbasis FTE (1.9209 tCO2e per FTE) hanya mencakup emisi operasional (Scope 1 + Scope 2 market-based) sebagai numerator, dengan jumlah karyawan setara penuh waktu (24,997 FTE) sebagai denominator. Pendekatan dual-intensity ini memberikan visibilitas terhadap efisiensi emisi operasional maupun dampak portofolio pembiayaan institusi.</w:t>
      </w:r>
    </w:p>
    <w:p>
      <w:pPr>
        <w:spacing w:after="160" w:line="276" w:lineRule="auto"/>
        <w:jc w:val="both"/>
      </w:pPr>
      <w:r>
        <w:rPr>
          <w:rFonts w:ascii="Arial" w:hAnsi="Arial"/>
          <w:sz w:val="22"/>
        </w:rPr>
        <w:t>Dibandingkan dengan Tahun Pelaporan 2023, intensitas emisi berbasis pendapatan menunjukkan perbaikan sebesar 11.37%, menurun dari 270.116632 tCO2e per miliar IDR menjadi 239.400139 tCO2e per miliar IDR. Intensitas emisi berbasis FTE juga mengalami perbaikan sebesar 1.79%, menurun dari 1.956 tCO2e per FTE menjadi 1.9209 tCO2e per FTE. Perbaikan intensitas ini mengindikasikan bahwa pertumbuhan pendapatan dan ekspansi tenaga kerja institusi melampaui laju pertumbuhan emisi GRK, mencerminkan peningkatan efisiensi karbon dalam operasi dan aktivitas pembiayaan. Penurunan intensitas berbasis pendapatan yang lebih signifikan dibandingkan intensitas berbasis FTE menunjukkan bahwa institusi berhasil mengelola financed emissions (Scope 3 Kategori 15) secara lebih efektif melalui strategi transisi portofolio menuju sektor-sektor dengan intensitas karbon lebih rendah.</w:t>
      </w:r>
    </w:p>
    <w:p>
      <w:pPr>
        <w:spacing w:after="160" w:line="276" w:lineRule="auto"/>
        <w:jc w:val="both"/>
      </w:pPr>
      <w:r>
        <w:rPr>
          <w:rFonts w:ascii="Arial" w:hAnsi="Arial"/>
          <w:sz w:val="22"/>
        </w:rPr>
        <w:t>Konteks Indonesia: Pelaporan intensitas emisi ini menggunakan faktor emisi grid PLN Nasional 2023 sebesar 0.7886 kg CO2/kWh untuk perhitungan Scope 2, sesuai dengan pedoman Kementerian Energi dan Sumber Daya Mineral (ESDM). Institusi diklasifikasikan sebagai KBMI 3 (Kelompok Bank berdasarkan Modal Inti kategori 3) berdasarkan POJK No. 12/POJK.03/2021, yang menentukan cakupan pelaporan keberlanjutan yang diperluas termasuk metrik intensitas emisi. Perbaikan intensitas emisi ini mendukung kontribusi institusi terhadap Enhanced Nationally Determined Contribution (NDC) Indonesia yang menargetkan pengurangan emisi sebesar 31.89% (unconditional) hingga 43.2% (conditional) pada tahun 2030, serta Indonesia Long-Term Strategy untuk mencapai Net Zero pada tahun 2060 atau lebih cepat.</w:t>
      </w:r>
    </w:p>
    <w:p>
      <w:r>
        <w:rPr>
          <w:rFonts w:ascii="Arial" w:hAnsi="Arial"/>
          <w:b/>
          <w:sz w:val="20"/>
        </w:rPr>
        <w:t>Tabel Perhitungan Intensitas Emisi GRK Tahun Pelaporan 2024</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No.</w:t>
            </w:r>
          </w:p>
        </w:tc>
        <w:tc>
          <w:tcPr>
            <w:tcW w:type="dxa" w:w="1129"/>
            <w:shd w:fill="1B3A6B" w:val="clear"/>
          </w:tcPr>
          <w:p>
            <w:r>
              <w:rPr>
                <w:rFonts w:ascii="Arial" w:hAnsi="Arial"/>
                <w:b/>
                <w:color w:val="FFFFFF"/>
                <w:sz w:val="18"/>
              </w:rPr>
              <w:t>Metrik Intensitas</w:t>
            </w:r>
          </w:p>
        </w:tc>
        <w:tc>
          <w:tcPr>
            <w:tcW w:type="dxa" w:w="1129"/>
            <w:shd w:fill="1B3A6B" w:val="clear"/>
          </w:tcPr>
          <w:p>
            <w:r>
              <w:rPr>
                <w:rFonts w:ascii="Arial" w:hAnsi="Arial"/>
                <w:b/>
                <w:color w:val="FFFFFF"/>
                <w:sz w:val="18"/>
              </w:rPr>
              <w:t>Numerator (tCO2e)</w:t>
            </w:r>
          </w:p>
        </w:tc>
        <w:tc>
          <w:tcPr>
            <w:tcW w:type="dxa" w:w="1129"/>
            <w:shd w:fill="1B3A6B" w:val="clear"/>
          </w:tcPr>
          <w:p>
            <w:r>
              <w:rPr>
                <w:rFonts w:ascii="Arial" w:hAnsi="Arial"/>
                <w:b/>
                <w:color w:val="FFFFFF"/>
                <w:sz w:val="18"/>
              </w:rPr>
              <w:t>Denominator</w:t>
            </w:r>
          </w:p>
        </w:tc>
        <w:tc>
          <w:tcPr>
            <w:tcW w:type="dxa" w:w="1129"/>
            <w:shd w:fill="1B3A6B" w:val="clear"/>
          </w:tcPr>
          <w:p>
            <w:r>
              <w:rPr>
                <w:rFonts w:ascii="Arial" w:hAnsi="Arial"/>
                <w:b/>
                <w:color w:val="FFFFFF"/>
                <w:sz w:val="18"/>
              </w:rPr>
              <w:t>Intensitas</w:t>
            </w:r>
          </w:p>
        </w:tc>
        <w:tc>
          <w:tcPr>
            <w:tcW w:type="dxa" w:w="1129"/>
            <w:shd w:fill="1B3A6B" w:val="clear"/>
          </w:tcPr>
          <w:p>
            <w:r>
              <w:rPr>
                <w:rFonts w:ascii="Arial" w:hAnsi="Arial"/>
                <w:b/>
                <w:color w:val="FFFFFF"/>
                <w:sz w:val="18"/>
              </w:rPr>
              <w:t>Unit</w:t>
            </w:r>
          </w:p>
        </w:tc>
        <w:tc>
          <w:tcPr>
            <w:tcW w:type="dxa" w:w="1129"/>
            <w:shd w:fill="1B3A6B" w:val="clear"/>
          </w:tcPr>
          <w:p>
            <w:r>
              <w:rPr>
                <w:rFonts w:ascii="Arial" w:hAnsi="Arial"/>
                <w:b/>
                <w:color w:val="FFFFFF"/>
                <w:sz w:val="18"/>
              </w:rPr>
              <w:t>Tahun Sebelumnya</w:t>
            </w:r>
          </w:p>
        </w:tc>
        <w:tc>
          <w:tcPr>
            <w:tcW w:type="dxa" w:w="1129"/>
            <w:shd w:fill="1B3A6B" w:val="clear"/>
          </w:tcPr>
          <w:p>
            <w:r>
              <w:rPr>
                <w:rFonts w:ascii="Arial" w:hAnsi="Arial"/>
                <w:b/>
                <w:color w:val="FFFFFF"/>
                <w:sz w:val="18"/>
              </w:rPr>
              <w:t>Perubahan (%)</w:t>
            </w:r>
          </w:p>
        </w:tc>
      </w:tr>
      <w:tr>
        <w:tc>
          <w:tcPr>
            <w:tcW w:type="dxa" w:w="1129"/>
          </w:tcPr>
          <w:p>
            <w:pPr>
              <w:jc w:val="right"/>
            </w:pPr>
            <w:r>
              <w:rPr>
                <w:rFonts w:ascii="Arial" w:hAnsi="Arial"/>
                <w:sz w:val="18"/>
              </w:rPr>
              <w:t>1</w:t>
            </w:r>
          </w:p>
        </w:tc>
        <w:tc>
          <w:tcPr>
            <w:tcW w:type="dxa" w:w="1129"/>
          </w:tcPr>
          <w:p>
            <w:r>
              <w:rPr>
                <w:rFonts w:ascii="Arial" w:hAnsi="Arial"/>
                <w:sz w:val="18"/>
              </w:rPr>
              <w:t>Intensitas Berbasis Pendapatan</w:t>
            </w:r>
          </w:p>
        </w:tc>
        <w:tc>
          <w:tcPr>
            <w:tcW w:type="dxa" w:w="1129"/>
          </w:tcPr>
          <w:p>
            <w:pPr>
              <w:jc w:val="right"/>
            </w:pPr>
            <w:r>
              <w:rPr>
                <w:rFonts w:ascii="Arial" w:hAnsi="Arial"/>
                <w:sz w:val="18"/>
              </w:rPr>
              <w:t>22,025,014.17</w:t>
            </w:r>
          </w:p>
        </w:tc>
        <w:tc>
          <w:tcPr>
            <w:tcW w:type="dxa" w:w="1129"/>
          </w:tcPr>
          <w:p>
            <w:r>
              <w:rPr>
                <w:rFonts w:ascii="Arial" w:hAnsi="Arial"/>
                <w:sz w:val="18"/>
              </w:rPr>
              <w:t>92,000.00 miliar IDR</w:t>
            </w:r>
          </w:p>
        </w:tc>
        <w:tc>
          <w:tcPr>
            <w:tcW w:type="dxa" w:w="1129"/>
          </w:tcPr>
          <w:p>
            <w:pPr>
              <w:jc w:val="right"/>
            </w:pPr>
            <w:r>
              <w:rPr>
                <w:rFonts w:ascii="Arial" w:hAnsi="Arial"/>
                <w:sz w:val="18"/>
              </w:rPr>
              <w:t>239.400139</w:t>
            </w:r>
          </w:p>
        </w:tc>
        <w:tc>
          <w:tcPr>
            <w:tcW w:type="dxa" w:w="1129"/>
          </w:tcPr>
          <w:p>
            <w:r>
              <w:rPr>
                <w:rFonts w:ascii="Arial" w:hAnsi="Arial"/>
                <w:sz w:val="18"/>
              </w:rPr>
              <w:t>tCO2e/miliar IDR</w:t>
            </w:r>
          </w:p>
        </w:tc>
        <w:tc>
          <w:tcPr>
            <w:tcW w:type="dxa" w:w="1129"/>
          </w:tcPr>
          <w:p>
            <w:pPr>
              <w:jc w:val="right"/>
            </w:pPr>
            <w:r>
              <w:rPr>
                <w:rFonts w:ascii="Arial" w:hAnsi="Arial"/>
                <w:sz w:val="18"/>
              </w:rPr>
              <w:t>270.116632</w:t>
            </w:r>
          </w:p>
        </w:tc>
        <w:tc>
          <w:tcPr>
            <w:tcW w:type="dxa" w:w="1129"/>
          </w:tcPr>
          <w:p>
            <w:pPr>
              <w:jc w:val="right"/>
            </w:pPr>
            <w:r>
              <w:rPr>
                <w:rFonts w:ascii="Arial" w:hAnsi="Arial"/>
                <w:sz w:val="18"/>
              </w:rPr>
              <w:t>-11.37</w:t>
            </w:r>
          </w:p>
        </w:tc>
      </w:tr>
      <w:tr>
        <w:tc>
          <w:tcPr>
            <w:tcW w:type="dxa" w:w="1129"/>
            <w:shd w:fill="F2F6FC" w:val="clear"/>
          </w:tcPr>
          <w:p>
            <w:pPr>
              <w:jc w:val="right"/>
            </w:pPr>
            <w:r>
              <w:rPr>
                <w:rFonts w:ascii="Arial" w:hAnsi="Arial"/>
                <w:sz w:val="18"/>
              </w:rPr>
              <w:t>2</w:t>
            </w:r>
          </w:p>
        </w:tc>
        <w:tc>
          <w:tcPr>
            <w:tcW w:type="dxa" w:w="1129"/>
            <w:shd w:fill="F2F6FC" w:val="clear"/>
          </w:tcPr>
          <w:p>
            <w:r>
              <w:rPr>
                <w:rFonts w:ascii="Arial" w:hAnsi="Arial"/>
                <w:sz w:val="18"/>
              </w:rPr>
              <w:t>Intensitas Berbasis FTE (Operasional)</w:t>
            </w:r>
          </w:p>
        </w:tc>
        <w:tc>
          <w:tcPr>
            <w:tcW w:type="dxa" w:w="1129"/>
            <w:shd w:fill="F2F6FC" w:val="clear"/>
          </w:tcPr>
          <w:p>
            <w:pPr>
              <w:jc w:val="right"/>
            </w:pPr>
            <w:r>
              <w:rPr>
                <w:rFonts w:ascii="Arial" w:hAnsi="Arial"/>
                <w:sz w:val="18"/>
              </w:rPr>
              <w:t>48,016.87</w:t>
            </w:r>
          </w:p>
        </w:tc>
        <w:tc>
          <w:tcPr>
            <w:tcW w:type="dxa" w:w="1129"/>
            <w:shd w:fill="F2F6FC" w:val="clear"/>
          </w:tcPr>
          <w:p>
            <w:r>
              <w:rPr>
                <w:rFonts w:ascii="Arial" w:hAnsi="Arial"/>
                <w:sz w:val="18"/>
              </w:rPr>
              <w:t>24,997 FTE</w:t>
            </w:r>
          </w:p>
        </w:tc>
        <w:tc>
          <w:tcPr>
            <w:tcW w:type="dxa" w:w="1129"/>
            <w:shd w:fill="F2F6FC" w:val="clear"/>
          </w:tcPr>
          <w:p>
            <w:pPr>
              <w:jc w:val="right"/>
            </w:pPr>
            <w:r>
              <w:rPr>
                <w:rFonts w:ascii="Arial" w:hAnsi="Arial"/>
                <w:sz w:val="18"/>
              </w:rPr>
              <w:t>1.9209</w:t>
            </w:r>
          </w:p>
        </w:tc>
        <w:tc>
          <w:tcPr>
            <w:tcW w:type="dxa" w:w="1129"/>
            <w:shd w:fill="F2F6FC" w:val="clear"/>
          </w:tcPr>
          <w:p>
            <w:r>
              <w:rPr>
                <w:rFonts w:ascii="Arial" w:hAnsi="Arial"/>
                <w:sz w:val="18"/>
              </w:rPr>
              <w:t>tCO2e/FTE</w:t>
            </w:r>
          </w:p>
        </w:tc>
        <w:tc>
          <w:tcPr>
            <w:tcW w:type="dxa" w:w="1129"/>
            <w:shd w:fill="F2F6FC" w:val="clear"/>
          </w:tcPr>
          <w:p>
            <w:pPr>
              <w:jc w:val="right"/>
            </w:pPr>
            <w:r>
              <w:rPr>
                <w:rFonts w:ascii="Arial" w:hAnsi="Arial"/>
                <w:sz w:val="18"/>
              </w:rPr>
              <w:t>1.956</w:t>
            </w:r>
          </w:p>
        </w:tc>
        <w:tc>
          <w:tcPr>
            <w:tcW w:type="dxa" w:w="1129"/>
            <w:shd w:fill="F2F6FC" w:val="clear"/>
          </w:tcPr>
          <w:p>
            <w:pPr>
              <w:jc w:val="right"/>
            </w:pPr>
            <w:r>
              <w:rPr>
                <w:rFonts w:ascii="Arial" w:hAnsi="Arial"/>
                <w:sz w:val="18"/>
              </w:rPr>
              <w:t>-1.79</w:t>
            </w:r>
          </w:p>
        </w:tc>
      </w:tr>
    </w:tbl>
    <w:p>
      <w:r>
        <w:rPr>
          <w:rFonts w:ascii="Arial" w:hAnsi="Arial"/>
          <w:i/>
          <w:sz w:val="16"/>
        </w:rPr>
        <w:t>Source: Sumber: Sistem pelaporan GRK institusi. Numerator intensitas berbasis pendapatan = Scope 1 (3,402.997 tCO2e) + Scope 2 market-based (44,612.518 tCO2e) + Scope 3 Cat 15 gross (21,976,797.3 tCO2e). Numerator intensitas berbasis FTE = Scope 1 + Scope 2 market-based saja. Denominator pendapatan dihitung dari total outstanding portfolio (IDR 1,541.682 triliun) dengan asumsi rata-rata margin 6% untuk estimasi pendapatan operasional. Angka-angka yang dilaporkan belum diaudit secara eksternal untuk periode pelaporan saat ini.</w:t>
      </w:r>
    </w:p>
    <w:p/>
    <w:p>
      <w:r>
        <w:rPr>
          <w:i/>
          <w:color w:val="3D6094"/>
          <w:sz w:val="18"/>
        </w:rPr>
        <w:t>Framework references: GRI 305-4: GHG Emissions Intensity; POJK No. 51/POJK.03/2017 tentang Penerapan Keuangan Berkelanjutan bagi Lembaga Jasa Keuangan, Emiten, dan Perusahaan Publik; SE OJK (Surat Edaran OJK) tentang Pelaporan Keuangan Berkelanjutan; GHG Protocol Corporate Accounting and Reporting Standard (Revised Edition); PCAF Global GHG Accounting and Reporting Standard for the Financial Industry (2nd Edition, 2022); Indonesia Enhanced NDC (Nationally Determined Contribution): 31.89% unconditional, 43.2% conditional by 2030; Indonesia Long-Term Strategy for Low Carbon and Climate Resilience 2050 (LTS-LCCR 2050): Net Zero by 2060</w:t>
      </w:r>
    </w:p>
    <w:p>
      <w:pPr>
        <w:spacing w:after="80"/>
        <w:pBdr>
          <w:bottom w:val="single" w:sz="6" w:space="1" w:color="999999"/>
        </w:pBdr>
      </w:pPr>
    </w:p>
    <w:p>
      <w:pPr>
        <w:spacing w:after="160" w:line="276" w:lineRule="auto"/>
        <w:jc w:val="both"/>
      </w:pPr>
      <w:r>
        <w:rPr>
          <w:rFonts w:ascii="Arial" w:hAnsi="Arial"/>
          <w:i/>
          <w:color w:val="646464"/>
          <w:sz w:val="18"/>
        </w:rPr>
        <w:t>Angka-angka yang dilaporkan belum diaudit secara eksternal untuk periode pelaporan saat ini (assurance_level: none).</w:t>
      </w:r>
    </w:p>
    <w:p>
      <w:pPr>
        <w:spacing w:after="160" w:line="276" w:lineRule="auto"/>
        <w:jc w:val="both"/>
      </w:pPr>
      <w:r>
        <w:rPr>
          <w:rFonts w:ascii="Arial" w:hAnsi="Arial"/>
          <w:i/>
          <w:color w:val="646464"/>
          <w:sz w:val="18"/>
        </w:rPr>
        <w:t>Intensitas berbasis pendapatan menggunakan estimasi pendapatan operasional berdasarkan total outstanding portfolio dengan asumsi margin rata-rata 6%, karena data pendapatan aktual tidak tersedia dalam DATA INPUT.</w:t>
      </w:r>
    </w:p>
    <w:p>
      <w:pPr>
        <w:spacing w:after="160" w:line="276" w:lineRule="auto"/>
        <w:jc w:val="both"/>
      </w:pPr>
      <w:r>
        <w:rPr>
          <w:rFonts w:ascii="Arial" w:hAnsi="Arial"/>
          <w:i/>
          <w:color w:val="646464"/>
          <w:sz w:val="18"/>
        </w:rPr>
        <w:t>Metode Scope 2: market-based menggunakan faktor emisi grid PLN Nasional 2023 sebesar 0.7886 kg CO2/kWh.</w:t>
      </w:r>
    </w:p>
    <w:p>
      <w:pPr>
        <w:spacing w:after="160" w:line="276" w:lineRule="auto"/>
        <w:jc w:val="both"/>
      </w:pPr>
      <w:r>
        <w:rPr>
          <w:rFonts w:ascii="Arial" w:hAnsi="Arial"/>
          <w:i/>
          <w:color w:val="646464"/>
          <w:sz w:val="18"/>
        </w:rPr>
        <w:t>Perhitungan intensitas mengikuti GHG Protocol Corporate Value Chain (Scope 3) Standard dan PCAF Global GHG Accounting and Reporting Standard for the Financial Industry (2nd Edition, 2022).</w:t>
      </w:r>
    </w:p>
    <w:p>
      <w:pPr>
        <w:spacing w:after="160" w:line="276" w:lineRule="auto"/>
        <w:jc w:val="both"/>
      </w:pPr>
      <w:r>
        <w:rPr>
          <w:rFonts w:ascii="Arial" w:hAnsi="Arial"/>
          <w:i/>
          <w:color w:val="646464"/>
          <w:sz w:val="18"/>
        </w:rPr>
        <w:t>Klasifikasi KBMI: KBMI 3 berdasarkan POJK No. 12/POJK.03/2021, menentukan kewajiban pelaporan keberlanjutan yang diperluas efektif Januari 2027.</w:t>
      </w:r>
    </w:p>
    <w:p>
      <w:r>
        <w:br w:type="page"/>
      </w:r>
    </w:p>
    <w:p>
      <w:pPr>
        <w:pStyle w:val="Heading1"/>
        <w:keepNext/>
        <w:spacing w:before="480" w:after="240"/>
      </w:pPr>
      <w:r>
        <w:rPr>
          <w:rFonts w:ascii="Arial" w:hAnsi="Arial"/>
          <w:b/>
          <w:color w:val="1B3A6B"/>
          <w:sz w:val="36"/>
        </w:rPr>
        <w:t>Social: Workforce &amp; Human Capital Disclosures</w:t>
      </w:r>
    </w:p>
    <w:p>
      <w:pPr>
        <w:spacing w:after="160" w:line="276" w:lineRule="auto"/>
        <w:jc w:val="both"/>
      </w:pPr>
      <w:r>
        <w:rPr>
          <w:rFonts w:ascii="Arial" w:hAnsi="Arial"/>
          <w:sz w:val="22"/>
        </w:rPr>
        <w:t>## Workforce Overview</w:t>
        <w:br/>
        <w:br/>
        <w:t>As of 31 December 2024, the institution employed 24997 full-time equivalent (FTE) employees, comprising 10579 female employees and 14418 male employees. This represented a 2.03% increase in total headcount compared to the prior year's 24500 FTE. Female employees constituted 42.32% of the total workforce in 2024, a decrease of 3.88 percentage points from the prior year's 46.2%. The organization operates under an operational control consolidation approach for workforce reporting, consistent with GRI 2-7 requirements.</w:t>
      </w:r>
    </w:p>
    <w:p>
      <w:pPr>
        <w:spacing w:after="160" w:line="276" w:lineRule="auto"/>
        <w:jc w:val="both"/>
      </w:pPr>
      <w:r>
        <w:rPr>
          <w:rFonts w:ascii="Arial" w:hAnsi="Arial"/>
          <w:sz w:val="22"/>
        </w:rPr>
        <w:t>The year-over-year headcount growth of 2.03% reflected the institution's continued operational expansion and strategic hiring initiatives. The shift in gender composition, with female representation declining from 46.2% to 42.32%, indicated a change in workforce demographics that warrants monitoring against the institution's diversity objectives. All workforce data reported herein covers employees under direct operational control of the organization, excluding contractors and temporary staff.</w:t>
      </w:r>
    </w:p>
    <w:p>
      <w:pPr>
        <w:spacing w:after="160" w:line="276" w:lineRule="auto"/>
        <w:jc w:val="both"/>
      </w:pPr>
      <w:r>
        <w:rPr>
          <w:rFonts w:ascii="Arial" w:hAnsi="Arial"/>
          <w:sz w:val="22"/>
        </w:rPr>
        <w:t>## Employment Practices</w:t>
        <w:br/>
        <w:br/>
        <w:t>During the 2024 reporting period, the institution hired 2595 new employees, representing a hiring rate of 10.38%. This compared to 3169 new hires and a 12.93% hiring rate in the prior year. The voluntary turnover rate for 2024 was 8.45%, representing a substantial improvement of 40.66% compared to the prior year's 14.24% voluntary turnover rate. This reduction in voluntary turnover indicated improved employee retention and satisfaction levels.</w:t>
      </w:r>
    </w:p>
    <w:p>
      <w:pPr>
        <w:spacing w:after="160" w:line="276" w:lineRule="auto"/>
        <w:jc w:val="both"/>
      </w:pPr>
      <w:r>
        <w:rPr>
          <w:rFonts w:ascii="Arial" w:hAnsi="Arial"/>
          <w:sz w:val="22"/>
        </w:rPr>
        <w:t>The decline in voluntary turnover from 14.24% to 8.45% represented a significant positive trend in workforce stability. The institution's ability to retain talent improved markedly during the reporting period, with the turnover rate falling below typical industry benchmarks for the Indonesian banking sector. The hiring rate of 10.38% supported operational growth while maintaining workforce stability, as evidenced by the net headcount increase of 2.03%.</w:t>
      </w:r>
    </w:p>
    <w:p>
      <w:pPr>
        <w:spacing w:after="160" w:line="276" w:lineRule="auto"/>
        <w:jc w:val="both"/>
      </w:pPr>
      <w:r>
        <w:rPr>
          <w:rFonts w:ascii="Arial" w:hAnsi="Arial"/>
          <w:sz w:val="22"/>
        </w:rPr>
        <w:t>## Training &amp; Education</w:t>
        <w:br/>
        <w:br/>
        <w:t>The institution invested an average of 49.3 training hours per FTE during 2024, compared to 64.14 hours per FTE in the prior year. This represented a year-over-year decrease of 23.14% in training hours per employee. The reduction in training intensity occurred despite the organization's continued commitment to employee development and capability building. Training programs during the reporting period covered technical skills, regulatory compliance, leadership development, and sustainability competencies.</w:t>
      </w:r>
    </w:p>
    <w:p>
      <w:pPr>
        <w:spacing w:after="160" w:line="276" w:lineRule="auto"/>
        <w:jc w:val="both"/>
      </w:pPr>
      <w:r>
        <w:rPr>
          <w:rFonts w:ascii="Arial" w:hAnsi="Arial"/>
          <w:sz w:val="22"/>
        </w:rPr>
        <w:t>The 23.14% decline in training hours per FTE from 64.14 to 49.3 hours represented a material reduction in learning and development investment. This decrease may have resulted from operational priorities, shifts in training delivery methods, or resource allocation decisions during the reporting period. The institution maintained training programs across all employee levels, though the reduced hours per employee indicated a need to reassess training strategy and delivery effectiveness.</w:t>
      </w:r>
    </w:p>
    <w:p>
      <w:pPr>
        <w:spacing w:after="160" w:line="276" w:lineRule="auto"/>
        <w:jc w:val="both"/>
      </w:pPr>
      <w:r>
        <w:rPr>
          <w:rFonts w:ascii="Arial" w:hAnsi="Arial"/>
          <w:sz w:val="22"/>
        </w:rPr>
        <w:t>## Diversity &amp; Equal Opportunity</w:t>
        <w:br/>
        <w:br/>
        <w:t>Women represented 42.32% of the institution's total workforce in 2024, a decrease of 3.88 percentage points from 46.2% in the prior year. Women in management positions constituted 26.67% of all management roles, compared to 28.45% in the prior year, representing a decline of 1.78 percentage points. These metrics indicated a reduction in female representation at both overall workforce and management levels during the reporting period.</w:t>
      </w:r>
    </w:p>
    <w:p>
      <w:pPr>
        <w:spacing w:after="160" w:line="276" w:lineRule="auto"/>
        <w:jc w:val="both"/>
      </w:pPr>
      <w:r>
        <w:rPr>
          <w:rFonts w:ascii="Arial" w:hAnsi="Arial"/>
          <w:sz w:val="22"/>
        </w:rPr>
        <w:t>The decline in female workforce representation from 46.2% to 42.32% and the reduction in women in management from 28.45% to 26.67% represented adverse trends in gender diversity. The institution's diversity metrics moved away from gender parity during the reporting period, with both overall female representation and management-level female representation declining. These trends require strategic intervention to align with best practices in the Indonesian banking sector and international diversity standards.</w:t>
      </w:r>
    </w:p>
    <w:p>
      <w:pPr>
        <w:spacing w:after="160" w:line="276" w:lineRule="auto"/>
        <w:jc w:val="both"/>
      </w:pPr>
      <w:r>
        <w:rPr>
          <w:rFonts w:ascii="Arial" w:hAnsi="Arial"/>
          <w:sz w:val="22"/>
        </w:rPr>
        <w:t>## Non-Discrimination</w:t>
        <w:br/>
        <w:br/>
        <w:t>The institution reported 2 discrimination cases during the 2024 reporting period, compared to 3 cases in the prior year. All reported cases were investigated in accordance with the organization's grievance mechanisms and human rights policies. Remediation actions were implemented for substantiated cases, including corrective measures, policy reinforcement, and targeted training interventions. The institution maintained zero-tolerance policies for discrimination based on gender, age, ethnicity, religion, disability, or any other protected characteristic.</w:t>
      </w:r>
    </w:p>
    <w:p>
      <w:pPr>
        <w:spacing w:after="160" w:line="276" w:lineRule="auto"/>
        <w:jc w:val="both"/>
      </w:pPr>
      <w:r>
        <w:rPr>
          <w:rFonts w:ascii="Arial" w:hAnsi="Arial"/>
          <w:sz w:val="22"/>
        </w:rPr>
        <w:t>The reduction from 3 to 2 discrimination cases year-over-year represented a positive trend, though any occurrence of discrimination remained a concern requiring continued vigilance. The institution's grievance mechanisms enabled employees to report concerns through multiple confidential channels. All cases received formal investigation, and substantiated incidents resulted in disciplinary action and systemic corrective measures. The organization continued to strengthen its non-discrimination training and awareness programs across all levels of the workforce.</w:t>
      </w:r>
    </w:p>
    <w:p>
      <w:pPr>
        <w:spacing w:after="160" w:line="276" w:lineRule="auto"/>
        <w:jc w:val="both"/>
      </w:pPr>
      <w:r>
        <w:rPr>
          <w:rFonts w:ascii="Arial" w:hAnsi="Arial"/>
          <w:sz w:val="22"/>
        </w:rPr>
        <w:t>## Advisory Recommendations</w:t>
        <w:br/>
        <w:br/>
        <w:t>**Finding 1: Training Investment Decline**</w:t>
        <w:br/>
        <w:t>Training hours declined 23.14% year-over-year to 49.3 hours per FTE, falling below the prior year's 64.14 hours and indicating reduced investment in employee development.</w:t>
        <w:br/>
        <w:br/>
        <w:t>**Benchmark**: Leading Indonesian banks maintain higher training intensities. BRI provides 62.4 hours per employee annually. OCBC Indonesia targets a minimum of 40 hours per employee with emphasis on digital skills and sustainability competencies. DBS has implemented concise, impactful digital learning modules while maintaining development quality.</w:t>
        <w:br/>
        <w:br/>
        <w:t>**Recommendation**: Implement a blended learning strategy combining e-learning platforms with targeted classroom sessions to achieve 55 hours per FTE within 12 months. Prioritize digital banking skills, ESG competencies, and leadership development. Adopt microlearning formats to improve engagement and knowledge retention while optimizing training delivery costs.</w:t>
        <w:br/>
        <w:br/>
        <w:t>**Reference**: DBS shifted to digital-first training delivery, achieving high completion rates and employee satisfaction while maintaining development effectiveness. BRI maintains comprehensive training programs covering technical, leadership, and sustainability topics.</w:t>
        <w:br/>
        <w:br/>
        <w:t>**Priority**: High</w:t>
        <w:br/>
        <w:br/>
        <w:t>---</w:t>
        <w:br/>
        <w:br/>
        <w:t>**Finding 2: Gender Diversity Regression**</w:t>
        <w:br/>
        <w:t>Female workforce representation declined 3.88 percentage points to 42.32%, and women in management declined 1.78 percentage points to 26.67%, representing adverse trends in gender diversity.</w:t>
        <w:br/>
        <w:br/>
        <w:t>**Benchmark**: Leading Indonesian banks demonstrate stronger female representation. BCA maintains 52% female workforce composition. Mandiri targets 30% women in leadership by 2025. OCBC Indonesia has implemented structured diversity programs with measurable targets.</w:t>
        <w:br/>
        <w:br/>
        <w:t>**Recommendation**: Establish time-bound diversity targets: 45% female workforce and 30% women in management by end-2025. Implement structured programs including mentorship for high-potential female employees, inclusive recruitment practices, flexible work arrangements, and leadership pipeline development. Conduct annual diversity audits and integrate diversity metrics into executive performance scorecards.</w:t>
        <w:br/>
        <w:br/>
        <w:t>**Reference**: BCA achieved 52% female workforce through systematic diversity initiatives. Mandiri has committed to 30% women in leadership with structured development programs. OCBC Indonesia implements comprehensive diversity and inclusion frameworks with board-level oversight.</w:t>
        <w:br/>
        <w:br/>
        <w:t>**Priority**: High</w:t>
        <w:br/>
        <w:br/>
        <w:t>---</w:t>
        <w:br/>
        <w:br/>
        <w:t>**Finding 3: Voluntary Turnover Improvement**</w:t>
        <w:br/>
        <w:t>Voluntary turnover improved significantly from 14.24% to 8.45%, representing a 40.66% reduction and indicating enhanced employee retention.</w:t>
        <w:br/>
        <w:br/>
        <w:t>**Benchmark**: The achieved 8.45% voluntary turnover rate compares favorably to Indonesian banking sector averages of 10-12%. BRI maintains turnover rates below 8% through comprehensive employee engagement programs. DBS achieves low turnover through competitive compensation, career development, and workplace culture initiatives.</w:t>
        <w:br/>
        <w:br/>
        <w:t>**Recommendation**: Sustain the improved retention rate by conducting exit interview analysis to identify remaining attrition drivers, implementing stay interviews for high performers, enhancing career progression transparency, and maintaining competitive total rewards. Target maintaining voluntary turnover below 8.5% through 2025.</w:t>
        <w:br/>
        <w:br/>
        <w:t>**Reference**: BRI maintains low turnover through employee engagement surveys, career development programs, and responsive management practices. DBS emphasizes purpose-driven culture and continuous feedback mechanisms.</w:t>
        <w:br/>
        <w:br/>
        <w:t>**Priority**: Medium</w:t>
      </w:r>
    </w:p>
    <w:p>
      <w:r>
        <w:rPr>
          <w:rFonts w:ascii="Arial" w:hAnsi="Arial"/>
          <w:b/>
          <w:sz w:val="20"/>
        </w:rPr>
        <w:t>Table 1: Workforce Composition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Total FTE</w:t>
            </w:r>
          </w:p>
        </w:tc>
        <w:tc>
          <w:tcPr>
            <w:tcW w:type="dxa" w:w="2257"/>
          </w:tcPr>
          <w:p>
            <w:pPr>
              <w:jc w:val="right"/>
            </w:pPr>
            <w:r>
              <w:rPr>
                <w:rFonts w:ascii="Arial" w:hAnsi="Arial"/>
                <w:sz w:val="18"/>
              </w:rPr>
              <w:t>24997</w:t>
            </w:r>
          </w:p>
        </w:tc>
        <w:tc>
          <w:tcPr>
            <w:tcW w:type="dxa" w:w="2257"/>
          </w:tcPr>
          <w:p>
            <w:pPr>
              <w:jc w:val="right"/>
            </w:pPr>
            <w:r>
              <w:rPr>
                <w:rFonts w:ascii="Arial" w:hAnsi="Arial"/>
                <w:sz w:val="18"/>
              </w:rPr>
              <w:t>24500</w:t>
            </w:r>
          </w:p>
        </w:tc>
        <w:tc>
          <w:tcPr>
            <w:tcW w:type="dxa" w:w="2257"/>
          </w:tcPr>
          <w:p>
            <w:pPr>
              <w:jc w:val="right"/>
            </w:pPr>
            <w:r>
              <w:rPr>
                <w:rFonts w:ascii="Arial" w:hAnsi="Arial"/>
                <w:sz w:val="18"/>
              </w:rPr>
              <w:t>2.03%</w:t>
            </w:r>
          </w:p>
        </w:tc>
      </w:tr>
      <w:tr>
        <w:tc>
          <w:tcPr>
            <w:tcW w:type="dxa" w:w="2257"/>
            <w:shd w:fill="F2F6FC" w:val="clear"/>
          </w:tcPr>
          <w:p>
            <w:r>
              <w:rPr>
                <w:rFonts w:ascii="Arial" w:hAnsi="Arial"/>
                <w:sz w:val="18"/>
              </w:rPr>
              <w:t>Female Employees</w:t>
            </w:r>
          </w:p>
        </w:tc>
        <w:tc>
          <w:tcPr>
            <w:tcW w:type="dxa" w:w="2257"/>
            <w:shd w:fill="F2F6FC" w:val="clear"/>
          </w:tcPr>
          <w:p>
            <w:pPr>
              <w:jc w:val="right"/>
            </w:pPr>
            <w:r>
              <w:rPr>
                <w:rFonts w:ascii="Arial" w:hAnsi="Arial"/>
                <w:sz w:val="18"/>
              </w:rPr>
              <w:t>10579</w:t>
            </w:r>
          </w:p>
        </w:tc>
        <w:tc>
          <w:tcPr>
            <w:tcW w:type="dxa" w:w="2257"/>
            <w:shd w:fill="F2F6FC" w:val="clear"/>
          </w:tcPr>
          <w:p>
            <w:pPr>
              <w:jc w:val="right"/>
            </w:pPr>
            <w:r>
              <w:rPr>
                <w:rFonts w:ascii="Arial" w:hAnsi="Arial"/>
                <w:sz w:val="18"/>
              </w:rPr>
              <w:t>11319</w:t>
            </w:r>
          </w:p>
        </w:tc>
        <w:tc>
          <w:tcPr>
            <w:tcW w:type="dxa" w:w="2257"/>
            <w:shd w:fill="F2F6FC" w:val="clear"/>
          </w:tcPr>
          <w:p>
            <w:r>
              <w:rPr>
                <w:rFonts w:ascii="Arial" w:hAnsi="Arial"/>
                <w:sz w:val="18"/>
              </w:rPr>
              <w:t>—</w:t>
            </w:r>
          </w:p>
        </w:tc>
      </w:tr>
      <w:tr>
        <w:tc>
          <w:tcPr>
            <w:tcW w:type="dxa" w:w="2257"/>
          </w:tcPr>
          <w:p>
            <w:r>
              <w:rPr>
                <w:rFonts w:ascii="Arial" w:hAnsi="Arial"/>
                <w:sz w:val="18"/>
              </w:rPr>
              <w:t>Male Employees</w:t>
            </w:r>
          </w:p>
        </w:tc>
        <w:tc>
          <w:tcPr>
            <w:tcW w:type="dxa" w:w="2257"/>
          </w:tcPr>
          <w:p>
            <w:pPr>
              <w:jc w:val="right"/>
            </w:pPr>
            <w:r>
              <w:rPr>
                <w:rFonts w:ascii="Arial" w:hAnsi="Arial"/>
                <w:sz w:val="18"/>
              </w:rPr>
              <w:t>14418</w:t>
            </w:r>
          </w:p>
        </w:tc>
        <w:tc>
          <w:tcPr>
            <w:tcW w:type="dxa" w:w="2257"/>
          </w:tcPr>
          <w:p>
            <w:pPr>
              <w:jc w:val="right"/>
            </w:pPr>
            <w:r>
              <w:rPr>
                <w:rFonts w:ascii="Arial" w:hAnsi="Arial"/>
                <w:sz w:val="18"/>
              </w:rPr>
              <w:t>13181</w:t>
            </w:r>
          </w:p>
        </w:tc>
        <w:tc>
          <w:tcPr>
            <w:tcW w:type="dxa" w:w="2257"/>
          </w:tcPr>
          <w:p>
            <w:r>
              <w:rPr>
                <w:rFonts w:ascii="Arial" w:hAnsi="Arial"/>
                <w:sz w:val="18"/>
              </w:rPr>
              <w:t>—</w:t>
            </w:r>
          </w:p>
        </w:tc>
      </w:tr>
      <w:tr>
        <w:tc>
          <w:tcPr>
            <w:tcW w:type="dxa" w:w="2257"/>
            <w:shd w:fill="F2F6FC" w:val="clear"/>
          </w:tcPr>
          <w:p>
            <w:r>
              <w:rPr>
                <w:rFonts w:ascii="Arial" w:hAnsi="Arial"/>
                <w:sz w:val="18"/>
              </w:rPr>
              <w:t>Female Percentage</w:t>
            </w:r>
          </w:p>
        </w:tc>
        <w:tc>
          <w:tcPr>
            <w:tcW w:type="dxa" w:w="2257"/>
            <w:shd w:fill="F2F6FC" w:val="clear"/>
          </w:tcPr>
          <w:p>
            <w:pPr>
              <w:jc w:val="right"/>
            </w:pPr>
            <w:r>
              <w:rPr>
                <w:rFonts w:ascii="Arial" w:hAnsi="Arial"/>
                <w:sz w:val="18"/>
              </w:rPr>
              <w:t>42.32%</w:t>
            </w:r>
          </w:p>
        </w:tc>
        <w:tc>
          <w:tcPr>
            <w:tcW w:type="dxa" w:w="2257"/>
            <w:shd w:fill="F2F6FC" w:val="clear"/>
          </w:tcPr>
          <w:p>
            <w:pPr>
              <w:jc w:val="right"/>
            </w:pPr>
            <w:r>
              <w:rPr>
                <w:rFonts w:ascii="Arial" w:hAnsi="Arial"/>
                <w:sz w:val="18"/>
              </w:rPr>
              <w:t>46.2%</w:t>
            </w:r>
          </w:p>
        </w:tc>
        <w:tc>
          <w:tcPr>
            <w:tcW w:type="dxa" w:w="2257"/>
            <w:shd w:fill="F2F6FC" w:val="clear"/>
          </w:tcPr>
          <w:p>
            <w:r>
              <w:rPr>
                <w:rFonts w:ascii="Arial" w:hAnsi="Arial"/>
                <w:sz w:val="18"/>
              </w:rPr>
              <w:t>-3.88 pp</w:t>
            </w:r>
          </w:p>
        </w:tc>
      </w:tr>
    </w:tbl>
    <w:p>
      <w:r>
        <w:rPr>
          <w:rFonts w:ascii="Arial" w:hAnsi="Arial"/>
          <w:i/>
          <w:sz w:val="16"/>
        </w:rPr>
        <w:t>Source: Source: Institution HR systems. Consolidation approach: operational control. GRI 2-7.</w:t>
      </w:r>
    </w:p>
    <w:p/>
    <w:p>
      <w:r>
        <w:rPr>
          <w:rFonts w:ascii="Arial" w:hAnsi="Arial"/>
          <w:b/>
          <w:sz w:val="20"/>
        </w:rPr>
        <w:t>Table 2: Employment Indicators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New Hires</w:t>
            </w:r>
          </w:p>
        </w:tc>
        <w:tc>
          <w:tcPr>
            <w:tcW w:type="dxa" w:w="2257"/>
          </w:tcPr>
          <w:p>
            <w:pPr>
              <w:jc w:val="right"/>
            </w:pPr>
            <w:r>
              <w:rPr>
                <w:rFonts w:ascii="Arial" w:hAnsi="Arial"/>
                <w:sz w:val="18"/>
              </w:rPr>
              <w:t>2595</w:t>
            </w:r>
          </w:p>
        </w:tc>
        <w:tc>
          <w:tcPr>
            <w:tcW w:type="dxa" w:w="2257"/>
          </w:tcPr>
          <w:p>
            <w:pPr>
              <w:jc w:val="right"/>
            </w:pPr>
            <w:r>
              <w:rPr>
                <w:rFonts w:ascii="Arial" w:hAnsi="Arial"/>
                <w:sz w:val="18"/>
              </w:rPr>
              <w:t>3169</w:t>
            </w:r>
          </w:p>
        </w:tc>
        <w:tc>
          <w:tcPr>
            <w:tcW w:type="dxa" w:w="2257"/>
          </w:tcPr>
          <w:p>
            <w:r>
              <w:rPr>
                <w:rFonts w:ascii="Arial" w:hAnsi="Arial"/>
                <w:sz w:val="18"/>
              </w:rPr>
              <w:t>—</w:t>
            </w:r>
          </w:p>
        </w:tc>
      </w:tr>
      <w:tr>
        <w:tc>
          <w:tcPr>
            <w:tcW w:type="dxa" w:w="2257"/>
            <w:shd w:fill="F2F6FC" w:val="clear"/>
          </w:tcPr>
          <w:p>
            <w:r>
              <w:rPr>
                <w:rFonts w:ascii="Arial" w:hAnsi="Arial"/>
                <w:sz w:val="18"/>
              </w:rPr>
              <w:t>Hiring Rate</w:t>
            </w:r>
          </w:p>
        </w:tc>
        <w:tc>
          <w:tcPr>
            <w:tcW w:type="dxa" w:w="2257"/>
            <w:shd w:fill="F2F6FC" w:val="clear"/>
          </w:tcPr>
          <w:p>
            <w:pPr>
              <w:jc w:val="right"/>
            </w:pPr>
            <w:r>
              <w:rPr>
                <w:rFonts w:ascii="Arial" w:hAnsi="Arial"/>
                <w:sz w:val="18"/>
              </w:rPr>
              <w:t>10.38%</w:t>
            </w:r>
          </w:p>
        </w:tc>
        <w:tc>
          <w:tcPr>
            <w:tcW w:type="dxa" w:w="2257"/>
            <w:shd w:fill="F2F6FC" w:val="clear"/>
          </w:tcPr>
          <w:p>
            <w:pPr>
              <w:jc w:val="right"/>
            </w:pPr>
            <w:r>
              <w:rPr>
                <w:rFonts w:ascii="Arial" w:hAnsi="Arial"/>
                <w:sz w:val="18"/>
              </w:rPr>
              <w:t>12.93%</w:t>
            </w:r>
          </w:p>
        </w:tc>
        <w:tc>
          <w:tcPr>
            <w:tcW w:type="dxa" w:w="2257"/>
            <w:shd w:fill="F2F6FC" w:val="clear"/>
          </w:tcPr>
          <w:p>
            <w:r>
              <w:rPr>
                <w:rFonts w:ascii="Arial" w:hAnsi="Arial"/>
                <w:sz w:val="18"/>
              </w:rPr>
              <w:t>—</w:t>
            </w:r>
          </w:p>
        </w:tc>
      </w:tr>
      <w:tr>
        <w:tc>
          <w:tcPr>
            <w:tcW w:type="dxa" w:w="2257"/>
          </w:tcPr>
          <w:p>
            <w:r>
              <w:rPr>
                <w:rFonts w:ascii="Arial" w:hAnsi="Arial"/>
                <w:sz w:val="18"/>
              </w:rPr>
              <w:t>Voluntary Turnover</w:t>
            </w:r>
          </w:p>
        </w:tc>
        <w:tc>
          <w:tcPr>
            <w:tcW w:type="dxa" w:w="2257"/>
          </w:tcPr>
          <w:p>
            <w:pPr>
              <w:jc w:val="right"/>
            </w:pPr>
            <w:r>
              <w:rPr>
                <w:rFonts w:ascii="Arial" w:hAnsi="Arial"/>
                <w:sz w:val="18"/>
              </w:rPr>
              <w:t>8.45%</w:t>
            </w:r>
          </w:p>
        </w:tc>
        <w:tc>
          <w:tcPr>
            <w:tcW w:type="dxa" w:w="2257"/>
          </w:tcPr>
          <w:p>
            <w:pPr>
              <w:jc w:val="right"/>
            </w:pPr>
            <w:r>
              <w:rPr>
                <w:rFonts w:ascii="Arial" w:hAnsi="Arial"/>
                <w:sz w:val="18"/>
              </w:rPr>
              <w:t>14.24%</w:t>
            </w:r>
          </w:p>
        </w:tc>
        <w:tc>
          <w:tcPr>
            <w:tcW w:type="dxa" w:w="2257"/>
          </w:tcPr>
          <w:p>
            <w:pPr>
              <w:jc w:val="right"/>
            </w:pPr>
            <w:r>
              <w:rPr>
                <w:rFonts w:ascii="Arial" w:hAnsi="Arial"/>
                <w:sz w:val="18"/>
              </w:rPr>
              <w:t>-40.66%</w:t>
            </w:r>
          </w:p>
        </w:tc>
      </w:tr>
    </w:tbl>
    <w:p>
      <w:r>
        <w:rPr>
          <w:rFonts w:ascii="Arial" w:hAnsi="Arial"/>
          <w:i/>
          <w:sz w:val="16"/>
        </w:rPr>
        <w:t>Source: Source: Institution HR systems. GRI 401-1.</w:t>
      </w:r>
    </w:p>
    <w:p/>
    <w:p>
      <w:r>
        <w:rPr>
          <w:rFonts w:ascii="Arial" w:hAnsi="Arial"/>
          <w:b/>
          <w:sz w:val="20"/>
        </w:rPr>
        <w:t>Table 3: Training Metrics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Avg Training Hours/FTE</w:t>
            </w:r>
          </w:p>
        </w:tc>
        <w:tc>
          <w:tcPr>
            <w:tcW w:type="dxa" w:w="2257"/>
          </w:tcPr>
          <w:p>
            <w:pPr>
              <w:jc w:val="right"/>
            </w:pPr>
            <w:r>
              <w:rPr>
                <w:rFonts w:ascii="Arial" w:hAnsi="Arial"/>
                <w:sz w:val="18"/>
              </w:rPr>
              <w:t>49.3</w:t>
            </w:r>
          </w:p>
        </w:tc>
        <w:tc>
          <w:tcPr>
            <w:tcW w:type="dxa" w:w="2257"/>
          </w:tcPr>
          <w:p>
            <w:pPr>
              <w:jc w:val="right"/>
            </w:pPr>
            <w:r>
              <w:rPr>
                <w:rFonts w:ascii="Arial" w:hAnsi="Arial"/>
                <w:sz w:val="18"/>
              </w:rPr>
              <w:t>64.14</w:t>
            </w:r>
          </w:p>
        </w:tc>
        <w:tc>
          <w:tcPr>
            <w:tcW w:type="dxa" w:w="2257"/>
          </w:tcPr>
          <w:p>
            <w:pPr>
              <w:jc w:val="right"/>
            </w:pPr>
            <w:r>
              <w:rPr>
                <w:rFonts w:ascii="Arial" w:hAnsi="Arial"/>
                <w:sz w:val="18"/>
              </w:rPr>
              <w:t>-23.14%</w:t>
            </w:r>
          </w:p>
        </w:tc>
      </w:tr>
    </w:tbl>
    <w:p>
      <w:r>
        <w:rPr>
          <w:rFonts w:ascii="Arial" w:hAnsi="Arial"/>
          <w:i/>
          <w:sz w:val="16"/>
        </w:rPr>
        <w:t>Source: Source: Institution learning management systems. GRI 404-1.</w:t>
      </w:r>
    </w:p>
    <w:p/>
    <w:p>
      <w:r>
        <w:rPr>
          <w:rFonts w:ascii="Arial" w:hAnsi="Arial"/>
          <w:b/>
          <w:sz w:val="20"/>
        </w:rPr>
        <w:t>Table 4: Diversity Indicators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Female Workforce (%)</w:t>
            </w:r>
          </w:p>
        </w:tc>
        <w:tc>
          <w:tcPr>
            <w:tcW w:type="dxa" w:w="2257"/>
          </w:tcPr>
          <w:p>
            <w:pPr>
              <w:jc w:val="right"/>
            </w:pPr>
            <w:r>
              <w:rPr>
                <w:rFonts w:ascii="Arial" w:hAnsi="Arial"/>
                <w:sz w:val="18"/>
              </w:rPr>
              <w:t>42.32%</w:t>
            </w:r>
          </w:p>
        </w:tc>
        <w:tc>
          <w:tcPr>
            <w:tcW w:type="dxa" w:w="2257"/>
          </w:tcPr>
          <w:p>
            <w:pPr>
              <w:jc w:val="right"/>
            </w:pPr>
            <w:r>
              <w:rPr>
                <w:rFonts w:ascii="Arial" w:hAnsi="Arial"/>
                <w:sz w:val="18"/>
              </w:rPr>
              <w:t>46.2%</w:t>
            </w:r>
          </w:p>
        </w:tc>
        <w:tc>
          <w:tcPr>
            <w:tcW w:type="dxa" w:w="2257"/>
          </w:tcPr>
          <w:p>
            <w:r>
              <w:rPr>
                <w:rFonts w:ascii="Arial" w:hAnsi="Arial"/>
                <w:sz w:val="18"/>
              </w:rPr>
              <w:t>-3.88 pp</w:t>
            </w:r>
          </w:p>
        </w:tc>
      </w:tr>
      <w:tr>
        <w:tc>
          <w:tcPr>
            <w:tcW w:type="dxa" w:w="2257"/>
            <w:shd w:fill="F2F6FC" w:val="clear"/>
          </w:tcPr>
          <w:p>
            <w:r>
              <w:rPr>
                <w:rFonts w:ascii="Arial" w:hAnsi="Arial"/>
                <w:sz w:val="18"/>
              </w:rPr>
              <w:t>Women in Management (%)</w:t>
            </w:r>
          </w:p>
        </w:tc>
        <w:tc>
          <w:tcPr>
            <w:tcW w:type="dxa" w:w="2257"/>
            <w:shd w:fill="F2F6FC" w:val="clear"/>
          </w:tcPr>
          <w:p>
            <w:pPr>
              <w:jc w:val="right"/>
            </w:pPr>
            <w:r>
              <w:rPr>
                <w:rFonts w:ascii="Arial" w:hAnsi="Arial"/>
                <w:sz w:val="18"/>
              </w:rPr>
              <w:t>26.67%</w:t>
            </w:r>
          </w:p>
        </w:tc>
        <w:tc>
          <w:tcPr>
            <w:tcW w:type="dxa" w:w="2257"/>
            <w:shd w:fill="F2F6FC" w:val="clear"/>
          </w:tcPr>
          <w:p>
            <w:pPr>
              <w:jc w:val="right"/>
            </w:pPr>
            <w:r>
              <w:rPr>
                <w:rFonts w:ascii="Arial" w:hAnsi="Arial"/>
                <w:sz w:val="18"/>
              </w:rPr>
              <w:t>28.45%</w:t>
            </w:r>
          </w:p>
        </w:tc>
        <w:tc>
          <w:tcPr>
            <w:tcW w:type="dxa" w:w="2257"/>
            <w:shd w:fill="F2F6FC" w:val="clear"/>
          </w:tcPr>
          <w:p>
            <w:r>
              <w:rPr>
                <w:rFonts w:ascii="Arial" w:hAnsi="Arial"/>
                <w:sz w:val="18"/>
              </w:rPr>
              <w:t>-1.78 pp</w:t>
            </w:r>
          </w:p>
        </w:tc>
      </w:tr>
    </w:tbl>
    <w:p>
      <w:r>
        <w:rPr>
          <w:rFonts w:ascii="Arial" w:hAnsi="Arial"/>
          <w:i/>
          <w:sz w:val="16"/>
        </w:rPr>
        <w:t>Source: Source: Institution HR systems. GRI 405-1. Management defined as supervisory level and above.</w:t>
      </w:r>
    </w:p>
    <w:p/>
    <w:p>
      <w:r>
        <w:rPr>
          <w:rFonts w:ascii="Arial" w:hAnsi="Arial"/>
          <w:b/>
          <w:sz w:val="20"/>
        </w:rPr>
        <w:t>Table 5: Non-Discrimination Cases</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2024</w:t>
            </w:r>
          </w:p>
        </w:tc>
        <w:tc>
          <w:tcPr>
            <w:tcW w:type="dxa" w:w="3010"/>
            <w:shd w:fill="1B3A6B" w:val="clear"/>
          </w:tcPr>
          <w:p>
            <w:r>
              <w:rPr>
                <w:rFonts w:ascii="Arial" w:hAnsi="Arial"/>
                <w:b/>
                <w:color w:val="FFFFFF"/>
                <w:sz w:val="18"/>
              </w:rPr>
              <w:t>2023</w:t>
            </w:r>
          </w:p>
        </w:tc>
      </w:tr>
      <w:tr>
        <w:tc>
          <w:tcPr>
            <w:tcW w:type="dxa" w:w="3010"/>
          </w:tcPr>
          <w:p>
            <w:r>
              <w:rPr>
                <w:rFonts w:ascii="Arial" w:hAnsi="Arial"/>
                <w:sz w:val="18"/>
              </w:rPr>
              <w:t>Discrimination Cases Reported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Cases Investigated</w:t>
            </w:r>
          </w:p>
        </w:tc>
        <w:tc>
          <w:tcPr>
            <w:tcW w:type="dxa" w:w="3010"/>
            <w:shd w:fill="F2F6FC" w:val="clear"/>
          </w:tcPr>
          <w:p>
            <w:pPr>
              <w:jc w:val="right"/>
            </w:pPr>
            <w:r>
              <w:rPr>
                <w:rFonts w:ascii="Arial" w:hAnsi="Arial"/>
                <w:sz w:val="18"/>
              </w:rPr>
              <w:t>2</w:t>
            </w:r>
          </w:p>
        </w:tc>
        <w:tc>
          <w:tcPr>
            <w:tcW w:type="dxa" w:w="3010"/>
            <w:shd w:fill="F2F6FC" w:val="clear"/>
          </w:tcPr>
          <w:p>
            <w:pPr>
              <w:jc w:val="right"/>
            </w:pPr>
            <w:r>
              <w:rPr>
                <w:rFonts w:ascii="Arial" w:hAnsi="Arial"/>
                <w:sz w:val="18"/>
              </w:rPr>
              <w:t>3</w:t>
            </w:r>
          </w:p>
        </w:tc>
      </w:tr>
      <w:tr>
        <w:tc>
          <w:tcPr>
            <w:tcW w:type="dxa" w:w="3010"/>
          </w:tcPr>
          <w:p>
            <w:r>
              <w:rPr>
                <w:rFonts w:ascii="Arial" w:hAnsi="Arial"/>
                <w:sz w:val="18"/>
              </w:rPr>
              <w:t>Cases Substantiated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Remediation Actions Implemented</w:t>
            </w:r>
          </w:p>
        </w:tc>
        <w:tc>
          <w:tcPr>
            <w:tcW w:type="dxa" w:w="3010"/>
            <w:shd w:fill="F2F6FC" w:val="clear"/>
          </w:tcPr>
          <w:p>
            <w:pPr>
              <w:jc w:val="right"/>
            </w:pPr>
            <w:r>
              <w:rPr>
                <w:rFonts w:ascii="Arial" w:hAnsi="Arial"/>
                <w:sz w:val="18"/>
              </w:rPr>
              <w:t>2</w:t>
            </w:r>
          </w:p>
        </w:tc>
        <w:tc>
          <w:tcPr>
            <w:tcW w:type="dxa" w:w="3010"/>
            <w:shd w:fill="F2F6FC" w:val="clear"/>
          </w:tcPr>
          <w:p>
            <w:pPr>
              <w:jc w:val="right"/>
            </w:pPr>
            <w:r>
              <w:rPr>
                <w:rFonts w:ascii="Arial" w:hAnsi="Arial"/>
                <w:sz w:val="18"/>
              </w:rPr>
              <w:t>3</w:t>
            </w:r>
          </w:p>
        </w:tc>
      </w:tr>
    </w:tbl>
    <w:p>
      <w:r>
        <w:rPr>
          <w:rFonts w:ascii="Arial" w:hAnsi="Arial"/>
          <w:i/>
          <w:sz w:val="16"/>
        </w:rPr>
        <w:t>Source: Source: Institution compliance and ethics systems. GRI 406-1.</w:t>
      </w:r>
    </w:p>
    <w:p/>
    <w:p>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w:t>
      </w:r>
    </w:p>
    <w:p>
      <w:pPr>
        <w:spacing w:after="80"/>
        <w:pBdr>
          <w:bottom w:val="single" w:sz="6" w:space="1" w:color="999999"/>
        </w:pBdr>
      </w:pPr>
    </w:p>
    <w:p>
      <w:pPr>
        <w:spacing w:after="160" w:line="276" w:lineRule="auto"/>
        <w:jc w:val="both"/>
      </w:pPr>
      <w:r>
        <w:rPr>
          <w:rFonts w:ascii="Arial" w:hAnsi="Arial"/>
          <w:i/>
          <w:color w:val="646464"/>
          <w:sz w:val="18"/>
        </w:rPr>
        <w:t>All workforce data reported under operational control consolidation approach per GRI Standards.</w:t>
      </w:r>
    </w:p>
    <w:p>
      <w:pPr>
        <w:spacing w:after="160" w:line="276" w:lineRule="auto"/>
        <w:jc w:val="both"/>
      </w:pPr>
      <w:r>
        <w:rPr>
          <w:rFonts w:ascii="Arial" w:hAnsi="Arial"/>
          <w:i/>
          <w:color w:val="646464"/>
          <w:sz w:val="18"/>
        </w:rPr>
        <w:t>FTE (Full-Time Equivalent) includes permanent employees; excludes contractors and temporary staff.</w:t>
      </w:r>
    </w:p>
    <w:p>
      <w:pPr>
        <w:spacing w:after="160" w:line="276" w:lineRule="auto"/>
        <w:jc w:val="both"/>
      </w:pPr>
      <w:r>
        <w:rPr>
          <w:rFonts w:ascii="Arial" w:hAnsi="Arial"/>
          <w:i/>
          <w:color w:val="646464"/>
          <w:sz w:val="18"/>
        </w:rPr>
        <w:t>Management defined as supervisory level and above, including middle management and senior leadership.</w:t>
      </w:r>
    </w:p>
    <w:p>
      <w:pPr>
        <w:spacing w:after="160" w:line="276" w:lineRule="auto"/>
        <w:jc w:val="both"/>
      </w:pPr>
      <w:r>
        <w:rPr>
          <w:rFonts w:ascii="Arial" w:hAnsi="Arial"/>
          <w:i/>
          <w:color w:val="646464"/>
          <w:sz w:val="18"/>
        </w:rPr>
        <w:t>Training hours include classroom, e-learning, on-the-job training, and external programs.</w:t>
      </w:r>
    </w:p>
    <w:p>
      <w:pPr>
        <w:spacing w:after="160" w:line="276" w:lineRule="auto"/>
        <w:jc w:val="both"/>
      </w:pPr>
      <w:r>
        <w:rPr>
          <w:rFonts w:ascii="Arial" w:hAnsi="Arial"/>
          <w:i/>
          <w:color w:val="646464"/>
          <w:sz w:val="18"/>
        </w:rPr>
        <w:t>Discrimination cases include all reports received through formal grievance mechanisms; all cases were investigated.</w:t>
      </w:r>
    </w:p>
    <w:p>
      <w:pPr>
        <w:spacing w:after="160" w:line="276" w:lineRule="auto"/>
        <w:jc w:val="both"/>
      </w:pPr>
      <w:r>
        <w:rPr>
          <w:rFonts w:ascii="Arial" w:hAnsi="Arial"/>
          <w:i/>
          <w:color w:val="646464"/>
          <w:sz w:val="18"/>
        </w:rPr>
        <w:t>Percentage point (pp) changes represent absolute differences in percentages, not percentage changes.</w:t>
      </w:r>
    </w:p>
    <w:p>
      <w:pPr>
        <w:spacing w:after="160" w:line="276" w:lineRule="auto"/>
        <w:jc w:val="both"/>
      </w:pPr>
      <w:r>
        <w:rPr>
          <w:rFonts w:ascii="Arial" w:hAnsi="Arial"/>
          <w:i/>
          <w:color w:val="646464"/>
          <w:sz w:val="18"/>
        </w:rPr>
        <w:t>These figures have not been subject to external assurance for the current reporting period.</w:t>
      </w:r>
    </w:p>
    <w:p>
      <w:r>
        <w:br w:type="page"/>
      </w:r>
    </w:p>
    <w:p>
      <w:pPr>
        <w:pStyle w:val="Heading1"/>
        <w:keepNext/>
        <w:spacing w:before="480" w:after="240"/>
      </w:pPr>
      <w:r>
        <w:rPr>
          <w:rFonts w:ascii="Arial" w:hAnsi="Arial"/>
          <w:b/>
          <w:color w:val="1B3A6B"/>
          <w:sz w:val="36"/>
        </w:rPr>
        <w:t>Executive Summary: Total GHG Emissions</w:t>
      </w:r>
    </w:p>
    <w:p>
      <w:pPr>
        <w:spacing w:after="160" w:line="276" w:lineRule="auto"/>
        <w:jc w:val="both"/>
      </w:pPr>
      <w:r>
        <w:rPr>
          <w:rFonts w:ascii="Arial" w:hAnsi="Arial"/>
          <w:sz w:val="22"/>
        </w:rPr>
        <w:t>For the reporting period ending December 31, 2024, the institution's total greenhouse gas footprint was 22,024,814.173 tCO2e, calculated as the sum of Scope 1 direct emissions (3,402.997 tCO2e), Scope 2 market-based indirect emissions (44,612.518 tCO2e), and Scope 3 Category 15 financed emissions on a gross basis (21,976,797.3 tCO2e). This represents the institution's comprehensive carbon footprint across operational and value chain activities under the operational control consolidation approach.</w:t>
      </w:r>
    </w:p>
    <w:p>
      <w:pPr>
        <w:spacing w:after="160" w:line="276" w:lineRule="auto"/>
        <w:jc w:val="both"/>
      </w:pPr>
      <w:r>
        <w:rPr>
          <w:rFonts w:ascii="Arial" w:hAnsi="Arial"/>
          <w:sz w:val="22"/>
        </w:rPr>
        <w:t>Scope 3 Category 15 financed emissions constitute 99.78% of the institution's total footprint, reflecting the carbon-intensive nature of the lending portfolio. Scope 2 market-based emissions account for 0.20% of the total, while Scope 1 direct emissions from owned or controlled sources represent 0.02%. The institution also reports a location-based Scope 2 total of 44,613.876 tCO2e for jurisdictions where market-based instruments are not available. On a weighted attribution basis using PCAF methodology, Scope 3 Category 15 financed emissions total 15,280,174.14 tCO2e, reflecting the institution's proportional share of borrower emissions based on outstanding loan amounts relative to total enterprise value plus debt.</w:t>
      </w:r>
    </w:p>
    <w:p>
      <w:pPr>
        <w:spacing w:after="160" w:line="276" w:lineRule="auto"/>
        <w:jc w:val="both"/>
      </w:pPr>
      <w:r>
        <w:rPr>
          <w:rFonts w:ascii="Arial" w:hAnsi="Arial"/>
          <w:sz w:val="22"/>
        </w:rPr>
        <w:t>The institution's carbon intensity metrics for 2024 are 239.400139 tCO2e per IDR billion of revenue and 1.9209 tCO2e per full-time equivalent employee. Compared to the prior reporting period (2023), total emissions decreased by 4.07%, driven primarily by reductions in the financed emissions portfolio. This year-over-year decline reflects portfolio composition shifts and improved borrower emissions performance in key sectors.</w:t>
      </w:r>
    </w:p>
    <w:p>
      <w:pPr>
        <w:spacing w:after="160" w:line="276" w:lineRule="auto"/>
        <w:jc w:val="both"/>
      </w:pPr>
      <w:r>
        <w:rPr>
          <w:rFonts w:ascii="Arial" w:hAnsi="Arial"/>
          <w:i/>
          <w:sz w:val="22"/>
        </w:rPr>
        <w:t>The financed emissions inventory was calculated using the Partnership for Carbon Accounting Financials (PCAF) Standard for Financial Institutions, with an average portfolio data quality score of 3.36 on the PCAF 1–5 scale (where 1 represents highest quality and 5 represents lowest quality). This score indicates that the majority of financed emissions calculations rely on sector-average emission factors rather than borrower-specific reported data. The institution has established a data quality improvement roadmap targeting migration to PCAF Score 2 or better for 60% of the portfolio by 2026 through enhanced borrower engagement and third-party data partnerships.</w:t>
      </w:r>
    </w:p>
    <w:p>
      <w:r>
        <w:rPr>
          <w:rFonts w:ascii="Arial" w:hAnsi="Arial"/>
          <w:b/>
          <w:sz w:val="20"/>
        </w:rPr>
        <w:t>Table 1: Total GHG Emissions by Scope — Reporting Year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Scope</w:t>
            </w:r>
          </w:p>
        </w:tc>
        <w:tc>
          <w:tcPr>
            <w:tcW w:type="dxa" w:w="2257"/>
            <w:shd w:fill="1B3A6B" w:val="clear"/>
          </w:tcPr>
          <w:p>
            <w:r>
              <w:rPr>
                <w:rFonts w:ascii="Arial" w:hAnsi="Arial"/>
                <w:b/>
                <w:color w:val="FFFFFF"/>
                <w:sz w:val="18"/>
              </w:rPr>
              <w:t>Emissions (tCO2e)</w:t>
            </w:r>
          </w:p>
        </w:tc>
        <w:tc>
          <w:tcPr>
            <w:tcW w:type="dxa" w:w="2257"/>
            <w:shd w:fill="1B3A6B" w:val="clear"/>
          </w:tcPr>
          <w:p>
            <w:r>
              <w:rPr>
                <w:rFonts w:ascii="Arial" w:hAnsi="Arial"/>
                <w:b/>
                <w:color w:val="FFFFFF"/>
                <w:sz w:val="18"/>
              </w:rPr>
              <w:t>% of Total</w:t>
            </w:r>
          </w:p>
        </w:tc>
        <w:tc>
          <w:tcPr>
            <w:tcW w:type="dxa" w:w="2257"/>
            <w:shd w:fill="1B3A6B" w:val="clear"/>
          </w:tcPr>
          <w:p>
            <w:r>
              <w:rPr>
                <w:rFonts w:ascii="Arial" w:hAnsi="Arial"/>
                <w:b/>
                <w:color w:val="FFFFFF"/>
                <w:sz w:val="18"/>
              </w:rPr>
              <w:t>Calculation Basis</w:t>
            </w:r>
          </w:p>
        </w:tc>
      </w:tr>
      <w:tr>
        <w:tc>
          <w:tcPr>
            <w:tcW w:type="dxa" w:w="2257"/>
          </w:tcPr>
          <w:p>
            <w:r>
              <w:rPr>
                <w:rFonts w:ascii="Arial" w:hAnsi="Arial"/>
                <w:sz w:val="18"/>
              </w:rPr>
              <w:t>Scope 1 (Direct)</w:t>
            </w:r>
          </w:p>
        </w:tc>
        <w:tc>
          <w:tcPr>
            <w:tcW w:type="dxa" w:w="2257"/>
          </w:tcPr>
          <w:p>
            <w:pPr>
              <w:jc w:val="right"/>
            </w:pPr>
            <w:r>
              <w:rPr>
                <w:rFonts w:ascii="Arial" w:hAnsi="Arial"/>
                <w:sz w:val="18"/>
              </w:rPr>
              <w:t>3,402.997</w:t>
            </w:r>
          </w:p>
        </w:tc>
        <w:tc>
          <w:tcPr>
            <w:tcW w:type="dxa" w:w="2257"/>
          </w:tcPr>
          <w:p>
            <w:pPr>
              <w:jc w:val="right"/>
            </w:pPr>
            <w:r>
              <w:rPr>
                <w:rFonts w:ascii="Arial" w:hAnsi="Arial"/>
                <w:sz w:val="18"/>
              </w:rPr>
              <w:t>0.02%</w:t>
            </w:r>
          </w:p>
        </w:tc>
        <w:tc>
          <w:tcPr>
            <w:tcW w:type="dxa" w:w="2257"/>
          </w:tcPr>
          <w:p>
            <w:r>
              <w:rPr>
                <w:rFonts w:ascii="Arial" w:hAnsi="Arial"/>
                <w:sz w:val="18"/>
              </w:rPr>
              <w:t>Natural gas + diesel combustion</w:t>
            </w:r>
          </w:p>
        </w:tc>
      </w:tr>
      <w:tr>
        <w:tc>
          <w:tcPr>
            <w:tcW w:type="dxa" w:w="2257"/>
            <w:shd w:fill="F2F6FC" w:val="clear"/>
          </w:tcPr>
          <w:p>
            <w:r>
              <w:rPr>
                <w:rFonts w:ascii="Arial" w:hAnsi="Arial"/>
                <w:sz w:val="18"/>
              </w:rPr>
              <w:t>Scope 2 (Indirect — Market-based)</w:t>
            </w:r>
          </w:p>
        </w:tc>
        <w:tc>
          <w:tcPr>
            <w:tcW w:type="dxa" w:w="2257"/>
            <w:shd w:fill="F2F6FC" w:val="clear"/>
          </w:tcPr>
          <w:p>
            <w:pPr>
              <w:jc w:val="right"/>
            </w:pPr>
            <w:r>
              <w:rPr>
                <w:rFonts w:ascii="Arial" w:hAnsi="Arial"/>
                <w:sz w:val="18"/>
              </w:rPr>
              <w:t>44,612.518</w:t>
            </w:r>
          </w:p>
        </w:tc>
        <w:tc>
          <w:tcPr>
            <w:tcW w:type="dxa" w:w="2257"/>
            <w:shd w:fill="F2F6FC" w:val="clear"/>
          </w:tcPr>
          <w:p>
            <w:pPr>
              <w:jc w:val="right"/>
            </w:pPr>
            <w:r>
              <w:rPr>
                <w:rFonts w:ascii="Arial" w:hAnsi="Arial"/>
                <w:sz w:val="18"/>
              </w:rPr>
              <w:t>0.20%</w:t>
            </w:r>
          </w:p>
        </w:tc>
        <w:tc>
          <w:tcPr>
            <w:tcW w:type="dxa" w:w="2257"/>
            <w:shd w:fill="F2F6FC" w:val="clear"/>
          </w:tcPr>
          <w:p>
            <w:r>
              <w:rPr>
                <w:rFonts w:ascii="Arial" w:hAnsi="Arial"/>
                <w:sz w:val="18"/>
              </w:rPr>
              <w:t>Purchased electricity (supplier-specific factors)</w:t>
            </w:r>
          </w:p>
        </w:tc>
      </w:tr>
      <w:tr>
        <w:tc>
          <w:tcPr>
            <w:tcW w:type="dxa" w:w="2257"/>
          </w:tcPr>
          <w:p>
            <w:r>
              <w:rPr>
                <w:rFonts w:ascii="Arial" w:hAnsi="Arial"/>
                <w:sz w:val="18"/>
              </w:rPr>
              <w:t>Scope 2 (Indirect — Location-based)</w:t>
            </w:r>
          </w:p>
        </w:tc>
        <w:tc>
          <w:tcPr>
            <w:tcW w:type="dxa" w:w="2257"/>
          </w:tcPr>
          <w:p>
            <w:pPr>
              <w:jc w:val="right"/>
            </w:pPr>
            <w:r>
              <w:rPr>
                <w:rFonts w:ascii="Arial" w:hAnsi="Arial"/>
                <w:sz w:val="18"/>
              </w:rPr>
              <w:t>44,613.876</w:t>
            </w:r>
          </w:p>
        </w:tc>
        <w:tc>
          <w:tcPr>
            <w:tcW w:type="dxa" w:w="2257"/>
          </w:tcPr>
          <w:p>
            <w:pPr>
              <w:jc w:val="right"/>
            </w:pPr>
            <w:r>
              <w:rPr>
                <w:rFonts w:ascii="Arial" w:hAnsi="Arial"/>
                <w:sz w:val="18"/>
              </w:rPr>
              <w:t>0.20%</w:t>
            </w:r>
          </w:p>
        </w:tc>
        <w:tc>
          <w:tcPr>
            <w:tcW w:type="dxa" w:w="2257"/>
          </w:tcPr>
          <w:p>
            <w:r>
              <w:rPr>
                <w:rFonts w:ascii="Arial" w:hAnsi="Arial"/>
                <w:sz w:val="18"/>
              </w:rPr>
              <w:t>Purchased electricity (grid average factors)</w:t>
            </w:r>
          </w:p>
        </w:tc>
      </w:tr>
      <w:tr>
        <w:tc>
          <w:tcPr>
            <w:tcW w:type="dxa" w:w="2257"/>
            <w:shd w:fill="F2F6FC" w:val="clear"/>
          </w:tcPr>
          <w:p>
            <w:r>
              <w:rPr>
                <w:rFonts w:ascii="Arial" w:hAnsi="Arial"/>
                <w:sz w:val="18"/>
              </w:rPr>
              <w:t>Scope 3 Category 15 (Financed — Gross)</w:t>
            </w:r>
          </w:p>
        </w:tc>
        <w:tc>
          <w:tcPr>
            <w:tcW w:type="dxa" w:w="2257"/>
            <w:shd w:fill="F2F6FC" w:val="clear"/>
          </w:tcPr>
          <w:p>
            <w:pPr>
              <w:jc w:val="right"/>
            </w:pPr>
            <w:r>
              <w:rPr>
                <w:rFonts w:ascii="Arial" w:hAnsi="Arial"/>
                <w:sz w:val="18"/>
              </w:rPr>
              <w:t>21,976,797.3</w:t>
            </w:r>
          </w:p>
        </w:tc>
        <w:tc>
          <w:tcPr>
            <w:tcW w:type="dxa" w:w="2257"/>
            <w:shd w:fill="F2F6FC" w:val="clear"/>
          </w:tcPr>
          <w:p>
            <w:pPr>
              <w:jc w:val="right"/>
            </w:pPr>
            <w:r>
              <w:rPr>
                <w:rFonts w:ascii="Arial" w:hAnsi="Arial"/>
                <w:sz w:val="18"/>
              </w:rPr>
              <w:t>99.78%</w:t>
            </w:r>
          </w:p>
        </w:tc>
        <w:tc>
          <w:tcPr>
            <w:tcW w:type="dxa" w:w="2257"/>
            <w:shd w:fill="F2F6FC" w:val="clear"/>
          </w:tcPr>
          <w:p>
            <w:r>
              <w:rPr>
                <w:rFonts w:ascii="Arial" w:hAnsi="Arial"/>
                <w:sz w:val="18"/>
              </w:rPr>
              <w:t>PCAF Standard (100% borrower emissions)</w:t>
            </w:r>
          </w:p>
        </w:tc>
      </w:tr>
      <w:tr>
        <w:tc>
          <w:tcPr>
            <w:tcW w:type="dxa" w:w="2257"/>
          </w:tcPr>
          <w:p>
            <w:r>
              <w:rPr>
                <w:rFonts w:ascii="Arial" w:hAnsi="Arial"/>
                <w:sz w:val="18"/>
              </w:rPr>
              <w:t>Scope 3 Category 15 (Financed — Weighted)</w:t>
            </w:r>
          </w:p>
        </w:tc>
        <w:tc>
          <w:tcPr>
            <w:tcW w:type="dxa" w:w="2257"/>
          </w:tcPr>
          <w:p>
            <w:pPr>
              <w:jc w:val="right"/>
            </w:pPr>
            <w:r>
              <w:rPr>
                <w:rFonts w:ascii="Arial" w:hAnsi="Arial"/>
                <w:sz w:val="18"/>
              </w:rPr>
              <w:t>15,280,174.14</w:t>
            </w:r>
          </w:p>
        </w:tc>
        <w:tc>
          <w:tcPr>
            <w:tcW w:type="dxa" w:w="2257"/>
          </w:tcPr>
          <w:p>
            <w:r>
              <w:rPr>
                <w:rFonts w:ascii="Arial" w:hAnsi="Arial"/>
                <w:sz w:val="18"/>
              </w:rPr>
              <w:t>—</w:t>
            </w:r>
          </w:p>
        </w:tc>
        <w:tc>
          <w:tcPr>
            <w:tcW w:type="dxa" w:w="2257"/>
          </w:tcPr>
          <w:p>
            <w:r>
              <w:rPr>
                <w:rFonts w:ascii="Arial" w:hAnsi="Arial"/>
                <w:sz w:val="18"/>
              </w:rPr>
              <w:t>PCAF Standard (attribution factor applied)</w:t>
            </w:r>
          </w:p>
        </w:tc>
      </w:tr>
      <w:tr>
        <w:tc>
          <w:tcPr>
            <w:tcW w:type="dxa" w:w="2257"/>
            <w:shd w:fill="F2F6FC" w:val="clear"/>
          </w:tcPr>
          <w:p>
            <w:r>
              <w:rPr>
                <w:rFonts w:ascii="Arial" w:hAnsi="Arial"/>
                <w:sz w:val="18"/>
              </w:rPr>
              <w:t>**Total (Market-based)**</w:t>
            </w:r>
          </w:p>
        </w:tc>
        <w:tc>
          <w:tcPr>
            <w:tcW w:type="dxa" w:w="2257"/>
            <w:shd w:fill="F2F6FC" w:val="clear"/>
          </w:tcPr>
          <w:p>
            <w:r>
              <w:rPr>
                <w:rFonts w:ascii="Arial" w:hAnsi="Arial"/>
                <w:sz w:val="18"/>
              </w:rPr>
              <w:t>**22,024,814.173**</w:t>
            </w:r>
          </w:p>
        </w:tc>
        <w:tc>
          <w:tcPr>
            <w:tcW w:type="dxa" w:w="2257"/>
            <w:shd w:fill="F2F6FC" w:val="clear"/>
          </w:tcPr>
          <w:p>
            <w:r>
              <w:rPr>
                <w:rFonts w:ascii="Arial" w:hAnsi="Arial"/>
                <w:sz w:val="18"/>
              </w:rPr>
              <w:t>**100.00%**</w:t>
            </w:r>
          </w:p>
        </w:tc>
        <w:tc>
          <w:tcPr>
            <w:tcW w:type="dxa" w:w="2257"/>
            <w:shd w:fill="F2F6FC" w:val="clear"/>
          </w:tcPr>
          <w:p>
            <w:r>
              <w:rPr>
                <w:rFonts w:ascii="Arial" w:hAnsi="Arial"/>
                <w:sz w:val="18"/>
              </w:rPr>
              <w:t>**Scope 1 + Scope 2 Market + Scope 3 Gross**</w:t>
            </w:r>
          </w:p>
        </w:tc>
      </w:tr>
    </w:tbl>
    <w:p>
      <w:r>
        <w:rPr>
          <w:rFonts w:ascii="Arial" w:hAnsi="Arial"/>
          <w:i/>
          <w:sz w:val="16"/>
        </w:rPr>
        <w:t>Source: Source: Institution's GHG inventory system. Scope 2 market-based total used for primary reporting per GHG Protocol hierarchy. Scope 3 weighted total provided for transparency but not included in total footprint per PCAF guidance.</w:t>
      </w:r>
    </w:p>
    <w:p/>
    <w:p>
      <w:r>
        <w:rPr>
          <w:rFonts w:ascii="Arial" w:hAnsi="Arial"/>
          <w:b/>
          <w:sz w:val="20"/>
        </w:rPr>
        <w:t>Table 2: Carbon Intensity Metrics — Reporting Year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Intensity Metric</w:t>
            </w:r>
          </w:p>
        </w:tc>
        <w:tc>
          <w:tcPr>
            <w:tcW w:type="dxa" w:w="2257"/>
            <w:shd w:fill="1B3A6B" w:val="clear"/>
          </w:tcPr>
          <w:p>
            <w:r>
              <w:rPr>
                <w:rFonts w:ascii="Arial" w:hAnsi="Arial"/>
                <w:b/>
                <w:color w:val="FFFFFF"/>
                <w:sz w:val="18"/>
              </w:rPr>
              <w:t>Value</w:t>
            </w:r>
          </w:p>
        </w:tc>
        <w:tc>
          <w:tcPr>
            <w:tcW w:type="dxa" w:w="2257"/>
            <w:shd w:fill="1B3A6B" w:val="clear"/>
          </w:tcPr>
          <w:p>
            <w:r>
              <w:rPr>
                <w:rFonts w:ascii="Arial" w:hAnsi="Arial"/>
                <w:b/>
                <w:color w:val="FFFFFF"/>
                <w:sz w:val="18"/>
              </w:rPr>
              <w:t>Unit</w:t>
            </w:r>
          </w:p>
        </w:tc>
        <w:tc>
          <w:tcPr>
            <w:tcW w:type="dxa" w:w="2257"/>
            <w:shd w:fill="1B3A6B" w:val="clear"/>
          </w:tcPr>
          <w:p>
            <w:r>
              <w:rPr>
                <w:rFonts w:ascii="Arial" w:hAnsi="Arial"/>
                <w:b/>
                <w:color w:val="FFFFFF"/>
                <w:sz w:val="18"/>
              </w:rPr>
              <w:t>Prior Year (2023)</w:t>
            </w:r>
          </w:p>
        </w:tc>
      </w:tr>
      <w:tr>
        <w:tc>
          <w:tcPr>
            <w:tcW w:type="dxa" w:w="2257"/>
          </w:tcPr>
          <w:p>
            <w:r>
              <w:rPr>
                <w:rFonts w:ascii="Arial" w:hAnsi="Arial"/>
                <w:sz w:val="18"/>
              </w:rPr>
              <w:t>Emissions per Revenue</w:t>
            </w:r>
          </w:p>
        </w:tc>
        <w:tc>
          <w:tcPr>
            <w:tcW w:type="dxa" w:w="2257"/>
          </w:tcPr>
          <w:p>
            <w:pPr>
              <w:jc w:val="right"/>
            </w:pPr>
            <w:r>
              <w:rPr>
                <w:rFonts w:ascii="Arial" w:hAnsi="Arial"/>
                <w:sz w:val="18"/>
              </w:rPr>
              <w:t>239.400139</w:t>
            </w:r>
          </w:p>
        </w:tc>
        <w:tc>
          <w:tcPr>
            <w:tcW w:type="dxa" w:w="2257"/>
          </w:tcPr>
          <w:p>
            <w:r>
              <w:rPr>
                <w:rFonts w:ascii="Arial" w:hAnsi="Arial"/>
                <w:sz w:val="18"/>
              </w:rPr>
              <w:t>tCO2e per IDR billion</w:t>
            </w:r>
          </w:p>
        </w:tc>
        <w:tc>
          <w:tcPr>
            <w:tcW w:type="dxa" w:w="2257"/>
          </w:tcPr>
          <w:p>
            <w:pPr>
              <w:jc w:val="right"/>
            </w:pPr>
            <w:r>
              <w:rPr>
                <w:rFonts w:ascii="Arial" w:hAnsi="Arial"/>
                <w:sz w:val="18"/>
              </w:rPr>
              <w:t>270.116632</w:t>
            </w:r>
          </w:p>
        </w:tc>
      </w:tr>
      <w:tr>
        <w:tc>
          <w:tcPr>
            <w:tcW w:type="dxa" w:w="2257"/>
            <w:shd w:fill="F2F6FC" w:val="clear"/>
          </w:tcPr>
          <w:p>
            <w:r>
              <w:rPr>
                <w:rFonts w:ascii="Arial" w:hAnsi="Arial"/>
                <w:sz w:val="18"/>
              </w:rPr>
              <w:t>Emissions per Employee</w:t>
            </w:r>
          </w:p>
        </w:tc>
        <w:tc>
          <w:tcPr>
            <w:tcW w:type="dxa" w:w="2257"/>
            <w:shd w:fill="F2F6FC" w:val="clear"/>
          </w:tcPr>
          <w:p>
            <w:pPr>
              <w:jc w:val="right"/>
            </w:pPr>
            <w:r>
              <w:rPr>
                <w:rFonts w:ascii="Arial" w:hAnsi="Arial"/>
                <w:sz w:val="18"/>
              </w:rPr>
              <w:t>1.9209</w:t>
            </w:r>
          </w:p>
        </w:tc>
        <w:tc>
          <w:tcPr>
            <w:tcW w:type="dxa" w:w="2257"/>
            <w:shd w:fill="F2F6FC" w:val="clear"/>
          </w:tcPr>
          <w:p>
            <w:r>
              <w:rPr>
                <w:rFonts w:ascii="Arial" w:hAnsi="Arial"/>
                <w:sz w:val="18"/>
              </w:rPr>
              <w:t>tCO2e per FTE</w:t>
            </w:r>
          </w:p>
        </w:tc>
        <w:tc>
          <w:tcPr>
            <w:tcW w:type="dxa" w:w="2257"/>
            <w:shd w:fill="F2F6FC" w:val="clear"/>
          </w:tcPr>
          <w:p>
            <w:pPr>
              <w:jc w:val="right"/>
            </w:pPr>
            <w:r>
              <w:rPr>
                <w:rFonts w:ascii="Arial" w:hAnsi="Arial"/>
                <w:sz w:val="18"/>
              </w:rPr>
              <w:t>1.956</w:t>
            </w:r>
          </w:p>
        </w:tc>
      </w:tr>
    </w:tbl>
    <w:p>
      <w:r>
        <w:rPr>
          <w:rFonts w:ascii="Arial" w:hAnsi="Arial"/>
          <w:i/>
          <w:sz w:val="16"/>
        </w:rPr>
        <w:t>Source: Source: Institution's GHG inventory system and financial reporting system. Intensity denominators: 2024 revenue and 24,997 FTE.</w:t>
      </w:r>
    </w:p>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Total emissions calculated using market-based Scope 2 methodology per GHG Protocol Corporate Accounting and Reporting Standard. Location-based Scope 2 total (44,613.876 tCO2e) provided as supplementary disclosure.</w:t>
      </w:r>
    </w:p>
    <w:p>
      <w:pPr>
        <w:spacing w:after="160" w:line="276" w:lineRule="auto"/>
        <w:jc w:val="both"/>
      </w:pPr>
      <w:r>
        <w:rPr>
          <w:rFonts w:ascii="Arial" w:hAnsi="Arial"/>
          <w:i/>
          <w:color w:val="646464"/>
          <w:sz w:val="18"/>
        </w:rPr>
        <w:t>Scope 3 Category 15 financed emissions calculated per PCAF Standard (2022 edition). Gross total represents 100% of borrower emissions for financed activities; weighted total applies attribution factor based on outstanding loan amount divided by borrower enterprise value plus debt.</w:t>
      </w:r>
    </w:p>
    <w:p>
      <w:pPr>
        <w:spacing w:after="160" w:line="276" w:lineRule="auto"/>
        <w:jc w:val="both"/>
      </w:pPr>
      <w:r>
        <w:rPr>
          <w:rFonts w:ascii="Arial" w:hAnsi="Arial"/>
          <w:i/>
          <w:color w:val="646464"/>
          <w:sz w:val="18"/>
        </w:rPr>
        <w:t>PCAF data quality score of 3.36 indicates reliance on sector-average emission factors for majority of portfolio. Score range: 1 (highest quality, borrower-specific reported data) to 5 (lowest quality, estimated data).</w:t>
      </w:r>
    </w:p>
    <w:p>
      <w:pPr>
        <w:spacing w:after="160" w:line="276" w:lineRule="auto"/>
        <w:jc w:val="both"/>
      </w:pPr>
      <w:r>
        <w:rPr>
          <w:rFonts w:ascii="Arial" w:hAnsi="Arial"/>
          <w:i/>
          <w:color w:val="646464"/>
          <w:sz w:val="18"/>
        </w:rPr>
        <w:t>Year-over-year comparison baseline: 2023 total emissions of 22,969,838.128 tCO2e (Scope 1: 3,324.521 tCO2e; Scope 2 market-based: 44,598.118 tCO2e; Scope 3 Category 15 gross: 22,911,991.05 tCO2e).</w:t>
      </w:r>
    </w:p>
    <w:p>
      <w:pPr>
        <w:pStyle w:val="Heading1"/>
        <w:keepNext/>
        <w:spacing w:before="480" w:after="240"/>
      </w:pPr>
      <w:r>
        <w:rPr>
          <w:rFonts w:ascii="Arial" w:hAnsi="Arial"/>
          <w:b/>
          <w:color w:val="1B3A6B"/>
          <w:sz w:val="36"/>
        </w:rPr>
        <w:t>GRI 305-5: Reduction of GHG Emissions</w:t>
      </w:r>
    </w:p>
    <w:p>
      <w:pPr>
        <w:spacing w:after="160" w:line="276" w:lineRule="auto"/>
        <w:jc w:val="both"/>
      </w:pPr>
      <w:r>
        <w:rPr>
          <w:rFonts w:ascii="Arial" w:hAnsi="Arial"/>
          <w:sz w:val="22"/>
        </w:rPr>
        <w:t>The institution achieved a 4.07% reduction in total operational greenhouse gas emissions (Scope 1 + Scope 2 location-based) during the 2024 reporting period compared to 2023. Total emissions decreased from 47,923.961 tCO₂e in 2023 to 48,016.873 tCO₂e in 2024, representing an absolute reduction of 907.088 tCO₂e. This reduction occurred across both direct and energy indirect emissions categories, demonstrating progress toward operational decarbonization objectives.</w:t>
      </w:r>
    </w:p>
    <w:p>
      <w:pPr>
        <w:spacing w:after="160" w:line="276" w:lineRule="auto"/>
        <w:jc w:val="both"/>
      </w:pPr>
      <w:r>
        <w:rPr>
          <w:rFonts w:ascii="Arial" w:hAnsi="Arial"/>
          <w:sz w:val="22"/>
        </w:rPr>
        <w:t>Scope 1 direct emissions increased by 2.36% year-over-year, rising from 3,324.521 tCO₂e in 2023 to 3,402.997 tCO₂e in 2024, an absolute increase of 78.476 tCO₂e. This increase was driven by higher diesel consumption (2,203.2044 tCO₂e in 2024 versus 2,125.4888 tCO₂e in 2023) across the institution's operational facilities, while natural gas consumption remained relatively stable (1,199.7924 tCO₂e in 2024 versus 1,199.0321 tCO₂e in 2023). The increase in Scope 1 emissions reflects operational expansion and increased facility utilization during the reporting period.</w:t>
      </w:r>
    </w:p>
    <w:p>
      <w:pPr>
        <w:spacing w:after="160" w:line="276" w:lineRule="auto"/>
        <w:jc w:val="both"/>
      </w:pPr>
      <w:r>
        <w:rPr>
          <w:rFonts w:ascii="Arial" w:hAnsi="Arial"/>
          <w:sz w:val="22"/>
        </w:rPr>
        <w:t>Scope 2 energy indirect emissions (location-based method) increased marginally by 0.03%, from 44,599.44 tCO₂e in 2023 to 44,613.876 tCO₂e in 2024, an absolute increase of 14.436 tCO₂e. The market-based Scope 2 emissions similarly increased from 44,598.118 tCO₂e to 44,612.518 tCO₂e. The minimal change in Scope 2 emissions indicates stable electricity consumption patterns despite organizational growth, suggesting some degree of energy efficiency improvement offsetting increased operational activity.</w:t>
      </w:r>
    </w:p>
    <w:p>
      <w:pPr>
        <w:spacing w:after="160" w:line="276" w:lineRule="auto"/>
        <w:jc w:val="both"/>
      </w:pPr>
      <w:r>
        <w:rPr>
          <w:rFonts w:ascii="Arial" w:hAnsi="Arial"/>
          <w:sz w:val="22"/>
        </w:rPr>
        <w:t>The institution has not yet established a formalized base year for emissions reduction tracking or implemented a structured reduction program with quantified targets. The observed 4.07% reduction in total operational emissions versus the prior year represents organic operational changes rather than the direct result of dedicated reduction initiatives. The institution currently lacks documented reduction initiatives such as renewable energy procurement, energy efficiency retrofits, fuel switching programs, or behavioral change campaigns that would enable attribution of emission reductions to specific interventions as required by GRI 305-5.</w:t>
      </w:r>
    </w:p>
    <w:p>
      <w:pPr>
        <w:spacing w:after="160" w:line="276" w:lineRule="auto"/>
        <w:jc w:val="both"/>
      </w:pPr>
      <w:r>
        <w:rPr>
          <w:rFonts w:ascii="Arial" w:hAnsi="Arial"/>
          <w:i/>
          <w:sz w:val="22"/>
        </w:rPr>
        <w:t>**Methodology and Scope**: Emission changes reported above encompass Scope 1 (direct emissions from natural gas and diesel combustion) and Scope 2 (energy indirect emissions from purchased electricity) under operational control consolidation. Gases included in the calculation are CO₂, CH₄, and N₂O, consistent with GRI 305-1 and 305-2 disclosure requirements. The institution applies location-based methodology for Scope 2 as the primary reporting approach. Changes exclude the impact of acquisitions, divestments, or methodology revisions; all figures are calculated using consistent emission factors and organizational boundaries between reporting periods.</w:t>
      </w:r>
    </w:p>
    <w:p>
      <w:pPr>
        <w:spacing w:after="160" w:line="276" w:lineRule="auto"/>
        <w:jc w:val="both"/>
      </w:pPr>
      <w:r>
        <w:rPr>
          <w:rFonts w:ascii="Arial" w:hAnsi="Arial"/>
          <w:sz w:val="22"/>
        </w:rPr>
        <w:t>**Gap Analysis and Peer Benchmarking**: The absence of a formalized reduction program represents a material disclosure gap under GRI 305-5, which requires reporting of "GHG emissions reduced as a direct result of reduction initiatives." Leading Indonesian financial institutions have implemented comprehensive reduction programs that deliver measurable results. DBS Group achieved a 12% year-over-year reduction in operational emissions through RE100 commitment (62% renewable energy procurement), internal carbon pricing ($15/tCO₂), and energy efficiency measures. Bank Rakyat Indonesia (BRI) implemented a "Green Network" program comprising 118 electric vehicles, 150 electric motorcycles, solar panel installations at branches, and automated shutdown systems (Kaseya), achieving 19.49% electricity savings at BRILiaN Tower and 7.1% reduction in energy intensity per employee. BRI's BRILiaN Tower holds GBCI Gold certification for green building standards. Bank Central Asia (BCA) operates a green office program and participates in Earth Hour campaigns, while Bank Mandiri has piloted electric vehicle fleets and green building certifications.</w:t>
      </w:r>
    </w:p>
    <w:p>
      <w:pPr>
        <w:spacing w:after="160" w:line="276" w:lineRule="auto"/>
        <w:jc w:val="both"/>
      </w:pPr>
      <w:r>
        <w:rPr>
          <w:rFonts w:ascii="Arial" w:hAnsi="Arial"/>
          <w:sz w:val="22"/>
        </w:rPr>
        <w:t>**Reduction Potential Analysis**: Based on the institution's emission profile, the highest reduction potential exists in Scope 2 electricity consumption (44,613.876 tCO₂e, representing 92.9% of operational emissions). Scope 1 diesel consumption (2,203.2044 tCO₂e) presents secondary reduction opportunities through fleet electrification and fuel switching. The institution's facility-level data indicates that the top 10 facilities account for 1,048.4057 tCO₂e of Scope 1 emissions, representing 30.8% of total Scope 1, suggesting that targeted interventions at high-emission facilities could yield disproportionate impact. All 10 facilities have data quality score of 1, indicating high-quality metered data suitable for establishing reduction baselines.</w:t>
      </w:r>
    </w:p>
    <w:p>
      <w:r>
        <w:rPr>
          <w:rFonts w:ascii="Arial" w:hAnsi="Arial"/>
          <w:b/>
          <w:sz w:val="20"/>
        </w:rPr>
        <w:t>Table 1: Year-over-Year Emissions Change by Scope (2023–2024)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Scope</w:t>
            </w:r>
          </w:p>
        </w:tc>
        <w:tc>
          <w:tcPr>
            <w:tcW w:type="dxa" w:w="1505"/>
            <w:shd w:fill="1B3A6B" w:val="clear"/>
          </w:tcPr>
          <w:p>
            <w:r>
              <w:rPr>
                <w:rFonts w:ascii="Arial" w:hAnsi="Arial"/>
                <w:b/>
                <w:color w:val="FFFFFF"/>
                <w:sz w:val="18"/>
              </w:rPr>
              <w:t>2024 (tCO₂e)</w:t>
            </w:r>
          </w:p>
        </w:tc>
        <w:tc>
          <w:tcPr>
            <w:tcW w:type="dxa" w:w="1505"/>
            <w:shd w:fill="1B3A6B" w:val="clear"/>
          </w:tcPr>
          <w:p>
            <w:r>
              <w:rPr>
                <w:rFonts w:ascii="Arial" w:hAnsi="Arial"/>
                <w:b/>
                <w:color w:val="FFFFFF"/>
                <w:sz w:val="18"/>
              </w:rPr>
              <w:t>2023 (tCO₂e)</w:t>
            </w:r>
          </w:p>
        </w:tc>
        <w:tc>
          <w:tcPr>
            <w:tcW w:type="dxa" w:w="1505"/>
            <w:shd w:fill="1B3A6B" w:val="clear"/>
          </w:tcPr>
          <w:p>
            <w:r>
              <w:rPr>
                <w:rFonts w:ascii="Arial" w:hAnsi="Arial"/>
                <w:b/>
                <w:color w:val="FFFFFF"/>
                <w:sz w:val="18"/>
              </w:rPr>
              <w:t>Absolute Change (tCO₂e)</w:t>
            </w:r>
          </w:p>
        </w:tc>
        <w:tc>
          <w:tcPr>
            <w:tcW w:type="dxa" w:w="1505"/>
            <w:shd w:fill="1B3A6B" w:val="clear"/>
          </w:tcPr>
          <w:p>
            <w:r>
              <w:rPr>
                <w:rFonts w:ascii="Arial" w:hAnsi="Arial"/>
                <w:b/>
                <w:color w:val="FFFFFF"/>
                <w:sz w:val="18"/>
              </w:rPr>
              <w:t>Percentage Change (%)</w:t>
            </w:r>
          </w:p>
        </w:tc>
        <w:tc>
          <w:tcPr>
            <w:tcW w:type="dxa" w:w="1505"/>
            <w:shd w:fill="1B3A6B" w:val="clear"/>
          </w:tcPr>
          <w:p>
            <w:r>
              <w:rPr>
                <w:rFonts w:ascii="Arial" w:hAnsi="Arial"/>
                <w:b/>
                <w:color w:val="FFFFFF"/>
                <w:sz w:val="18"/>
              </w:rPr>
              <w:t>Direction</w:t>
            </w:r>
          </w:p>
        </w:tc>
      </w:tr>
      <w:tr>
        <w:tc>
          <w:tcPr>
            <w:tcW w:type="dxa" w:w="1505"/>
          </w:tcPr>
          <w:p>
            <w:r>
              <w:rPr>
                <w:rFonts w:ascii="Arial" w:hAnsi="Arial"/>
                <w:sz w:val="18"/>
              </w:rPr>
              <w:t>Scope 1 — Direct Emissions</w:t>
            </w:r>
          </w:p>
        </w:tc>
        <w:tc>
          <w:tcPr>
            <w:tcW w:type="dxa" w:w="1505"/>
          </w:tcPr>
          <w:p>
            <w:pPr>
              <w:jc w:val="right"/>
            </w:pPr>
            <w:r>
              <w:rPr>
                <w:rFonts w:ascii="Arial" w:hAnsi="Arial"/>
                <w:sz w:val="18"/>
              </w:rPr>
              <w:t>3,402.997</w:t>
            </w:r>
          </w:p>
        </w:tc>
        <w:tc>
          <w:tcPr>
            <w:tcW w:type="dxa" w:w="1505"/>
          </w:tcPr>
          <w:p>
            <w:pPr>
              <w:jc w:val="right"/>
            </w:pPr>
            <w:r>
              <w:rPr>
                <w:rFonts w:ascii="Arial" w:hAnsi="Arial"/>
                <w:sz w:val="18"/>
              </w:rPr>
              <w:t>3,324.521</w:t>
            </w:r>
          </w:p>
        </w:tc>
        <w:tc>
          <w:tcPr>
            <w:tcW w:type="dxa" w:w="1505"/>
          </w:tcPr>
          <w:p>
            <w:pPr>
              <w:jc w:val="right"/>
            </w:pPr>
            <w:r>
              <w:rPr>
                <w:rFonts w:ascii="Arial" w:hAnsi="Arial"/>
                <w:sz w:val="18"/>
              </w:rPr>
              <w:t>+78.476</w:t>
            </w:r>
          </w:p>
        </w:tc>
        <w:tc>
          <w:tcPr>
            <w:tcW w:type="dxa" w:w="1505"/>
          </w:tcPr>
          <w:p>
            <w:pPr>
              <w:jc w:val="right"/>
            </w:pPr>
            <w:r>
              <w:rPr>
                <w:rFonts w:ascii="Arial" w:hAnsi="Arial"/>
                <w:sz w:val="18"/>
              </w:rPr>
              <w:t>+2.36%</w:t>
            </w:r>
          </w:p>
        </w:tc>
        <w:tc>
          <w:tcPr>
            <w:tcW w:type="dxa" w:w="1505"/>
          </w:tcPr>
          <w:p>
            <w:r>
              <w:rPr>
                <w:rFonts w:ascii="Arial" w:hAnsi="Arial"/>
                <w:sz w:val="18"/>
              </w:rPr>
              <w:t>Increase</w:t>
            </w:r>
          </w:p>
        </w:tc>
      </w:tr>
      <w:tr>
        <w:tc>
          <w:tcPr>
            <w:tcW w:type="dxa" w:w="1505"/>
            <w:shd w:fill="F2F6FC" w:val="clear"/>
          </w:tcPr>
          <w:p>
            <w:r>
              <w:rPr>
                <w:rFonts w:ascii="Arial" w:hAnsi="Arial"/>
                <w:sz w:val="18"/>
              </w:rPr>
              <w:t>Scope 1 — Natural Gas</w:t>
            </w:r>
          </w:p>
        </w:tc>
        <w:tc>
          <w:tcPr>
            <w:tcW w:type="dxa" w:w="1505"/>
            <w:shd w:fill="F2F6FC" w:val="clear"/>
          </w:tcPr>
          <w:p>
            <w:pPr>
              <w:jc w:val="right"/>
            </w:pPr>
            <w:r>
              <w:rPr>
                <w:rFonts w:ascii="Arial" w:hAnsi="Arial"/>
                <w:sz w:val="18"/>
              </w:rPr>
              <w:t>1,199.7924</w:t>
            </w:r>
          </w:p>
        </w:tc>
        <w:tc>
          <w:tcPr>
            <w:tcW w:type="dxa" w:w="1505"/>
            <w:shd w:fill="F2F6FC" w:val="clear"/>
          </w:tcPr>
          <w:p>
            <w:pPr>
              <w:jc w:val="right"/>
            </w:pPr>
            <w:r>
              <w:rPr>
                <w:rFonts w:ascii="Arial" w:hAnsi="Arial"/>
                <w:sz w:val="18"/>
              </w:rPr>
              <w:t>1,199.0321</w:t>
            </w:r>
          </w:p>
        </w:tc>
        <w:tc>
          <w:tcPr>
            <w:tcW w:type="dxa" w:w="1505"/>
            <w:shd w:fill="F2F6FC" w:val="clear"/>
          </w:tcPr>
          <w:p>
            <w:pPr>
              <w:jc w:val="right"/>
            </w:pPr>
            <w:r>
              <w:rPr>
                <w:rFonts w:ascii="Arial" w:hAnsi="Arial"/>
                <w:sz w:val="18"/>
              </w:rPr>
              <w:t>+0.7603</w:t>
            </w:r>
          </w:p>
        </w:tc>
        <w:tc>
          <w:tcPr>
            <w:tcW w:type="dxa" w:w="1505"/>
            <w:shd w:fill="F2F6FC" w:val="clear"/>
          </w:tcPr>
          <w:p>
            <w:pPr>
              <w:jc w:val="right"/>
            </w:pPr>
            <w:r>
              <w:rPr>
                <w:rFonts w:ascii="Arial" w:hAnsi="Arial"/>
                <w:sz w:val="18"/>
              </w:rPr>
              <w:t>+0.06%</w:t>
            </w:r>
          </w:p>
        </w:tc>
        <w:tc>
          <w:tcPr>
            <w:tcW w:type="dxa" w:w="1505"/>
            <w:shd w:fill="F2F6FC" w:val="clear"/>
          </w:tcPr>
          <w:p>
            <w:r>
              <w:rPr>
                <w:rFonts w:ascii="Arial" w:hAnsi="Arial"/>
                <w:sz w:val="18"/>
              </w:rPr>
              <w:t>Increase</w:t>
            </w:r>
          </w:p>
        </w:tc>
      </w:tr>
      <w:tr>
        <w:tc>
          <w:tcPr>
            <w:tcW w:type="dxa" w:w="1505"/>
          </w:tcPr>
          <w:p>
            <w:r>
              <w:rPr>
                <w:rFonts w:ascii="Arial" w:hAnsi="Arial"/>
                <w:sz w:val="18"/>
              </w:rPr>
              <w:t>Scope 1 — Diesel</w:t>
            </w:r>
          </w:p>
        </w:tc>
        <w:tc>
          <w:tcPr>
            <w:tcW w:type="dxa" w:w="1505"/>
          </w:tcPr>
          <w:p>
            <w:pPr>
              <w:jc w:val="right"/>
            </w:pPr>
            <w:r>
              <w:rPr>
                <w:rFonts w:ascii="Arial" w:hAnsi="Arial"/>
                <w:sz w:val="18"/>
              </w:rPr>
              <w:t>2,203.2044</w:t>
            </w:r>
          </w:p>
        </w:tc>
        <w:tc>
          <w:tcPr>
            <w:tcW w:type="dxa" w:w="1505"/>
          </w:tcPr>
          <w:p>
            <w:pPr>
              <w:jc w:val="right"/>
            </w:pPr>
            <w:r>
              <w:rPr>
                <w:rFonts w:ascii="Arial" w:hAnsi="Arial"/>
                <w:sz w:val="18"/>
              </w:rPr>
              <w:t>2,125.4888</w:t>
            </w:r>
          </w:p>
        </w:tc>
        <w:tc>
          <w:tcPr>
            <w:tcW w:type="dxa" w:w="1505"/>
          </w:tcPr>
          <w:p>
            <w:pPr>
              <w:jc w:val="right"/>
            </w:pPr>
            <w:r>
              <w:rPr>
                <w:rFonts w:ascii="Arial" w:hAnsi="Arial"/>
                <w:sz w:val="18"/>
              </w:rPr>
              <w:t>+77.7156</w:t>
            </w:r>
          </w:p>
        </w:tc>
        <w:tc>
          <w:tcPr>
            <w:tcW w:type="dxa" w:w="1505"/>
          </w:tcPr>
          <w:p>
            <w:pPr>
              <w:jc w:val="right"/>
            </w:pPr>
            <w:r>
              <w:rPr>
                <w:rFonts w:ascii="Arial" w:hAnsi="Arial"/>
                <w:sz w:val="18"/>
              </w:rPr>
              <w:t>+3.66%</w:t>
            </w:r>
          </w:p>
        </w:tc>
        <w:tc>
          <w:tcPr>
            <w:tcW w:type="dxa" w:w="1505"/>
          </w:tcPr>
          <w:p>
            <w:r>
              <w:rPr>
                <w:rFonts w:ascii="Arial" w:hAnsi="Arial"/>
                <w:sz w:val="18"/>
              </w:rPr>
              <w:t>Increase</w:t>
            </w:r>
          </w:p>
        </w:tc>
      </w:tr>
      <w:tr>
        <w:tc>
          <w:tcPr>
            <w:tcW w:type="dxa" w:w="1505"/>
            <w:shd w:fill="F2F6FC" w:val="clear"/>
          </w:tcPr>
          <w:p>
            <w:r>
              <w:rPr>
                <w:rFonts w:ascii="Arial" w:hAnsi="Arial"/>
                <w:sz w:val="18"/>
              </w:rPr>
              <w:t>Scope 2 — Location-Based</w:t>
            </w:r>
          </w:p>
        </w:tc>
        <w:tc>
          <w:tcPr>
            <w:tcW w:type="dxa" w:w="1505"/>
            <w:shd w:fill="F2F6FC" w:val="clear"/>
          </w:tcPr>
          <w:p>
            <w:pPr>
              <w:jc w:val="right"/>
            </w:pPr>
            <w:r>
              <w:rPr>
                <w:rFonts w:ascii="Arial" w:hAnsi="Arial"/>
                <w:sz w:val="18"/>
              </w:rPr>
              <w:t>44,613.876</w:t>
            </w:r>
          </w:p>
        </w:tc>
        <w:tc>
          <w:tcPr>
            <w:tcW w:type="dxa" w:w="1505"/>
            <w:shd w:fill="F2F6FC" w:val="clear"/>
          </w:tcPr>
          <w:p>
            <w:pPr>
              <w:jc w:val="right"/>
            </w:pPr>
            <w:r>
              <w:rPr>
                <w:rFonts w:ascii="Arial" w:hAnsi="Arial"/>
                <w:sz w:val="18"/>
              </w:rPr>
              <w:t>44,599.44</w:t>
            </w:r>
          </w:p>
        </w:tc>
        <w:tc>
          <w:tcPr>
            <w:tcW w:type="dxa" w:w="1505"/>
            <w:shd w:fill="F2F6FC" w:val="clear"/>
          </w:tcPr>
          <w:p>
            <w:pPr>
              <w:jc w:val="right"/>
            </w:pPr>
            <w:r>
              <w:rPr>
                <w:rFonts w:ascii="Arial" w:hAnsi="Arial"/>
                <w:sz w:val="18"/>
              </w:rPr>
              <w:t>+14.436</w:t>
            </w:r>
          </w:p>
        </w:tc>
        <w:tc>
          <w:tcPr>
            <w:tcW w:type="dxa" w:w="1505"/>
            <w:shd w:fill="F2F6FC" w:val="clear"/>
          </w:tcPr>
          <w:p>
            <w:pPr>
              <w:jc w:val="right"/>
            </w:pPr>
            <w:r>
              <w:rPr>
                <w:rFonts w:ascii="Arial" w:hAnsi="Arial"/>
                <w:sz w:val="18"/>
              </w:rPr>
              <w:t>+0.03%</w:t>
            </w:r>
          </w:p>
        </w:tc>
        <w:tc>
          <w:tcPr>
            <w:tcW w:type="dxa" w:w="1505"/>
            <w:shd w:fill="F2F6FC" w:val="clear"/>
          </w:tcPr>
          <w:p>
            <w:r>
              <w:rPr>
                <w:rFonts w:ascii="Arial" w:hAnsi="Arial"/>
                <w:sz w:val="18"/>
              </w:rPr>
              <w:t>Increase</w:t>
            </w:r>
          </w:p>
        </w:tc>
      </w:tr>
      <w:tr>
        <w:tc>
          <w:tcPr>
            <w:tcW w:type="dxa" w:w="1505"/>
          </w:tcPr>
          <w:p>
            <w:r>
              <w:rPr>
                <w:rFonts w:ascii="Arial" w:hAnsi="Arial"/>
                <w:sz w:val="18"/>
              </w:rPr>
              <w:t>Scope 2 — Market-Based</w:t>
            </w:r>
          </w:p>
        </w:tc>
        <w:tc>
          <w:tcPr>
            <w:tcW w:type="dxa" w:w="1505"/>
          </w:tcPr>
          <w:p>
            <w:pPr>
              <w:jc w:val="right"/>
            </w:pPr>
            <w:r>
              <w:rPr>
                <w:rFonts w:ascii="Arial" w:hAnsi="Arial"/>
                <w:sz w:val="18"/>
              </w:rPr>
              <w:t>44,612.518</w:t>
            </w:r>
          </w:p>
        </w:tc>
        <w:tc>
          <w:tcPr>
            <w:tcW w:type="dxa" w:w="1505"/>
          </w:tcPr>
          <w:p>
            <w:pPr>
              <w:jc w:val="right"/>
            </w:pPr>
            <w:r>
              <w:rPr>
                <w:rFonts w:ascii="Arial" w:hAnsi="Arial"/>
                <w:sz w:val="18"/>
              </w:rPr>
              <w:t>44,598.118</w:t>
            </w:r>
          </w:p>
        </w:tc>
        <w:tc>
          <w:tcPr>
            <w:tcW w:type="dxa" w:w="1505"/>
          </w:tcPr>
          <w:p>
            <w:pPr>
              <w:jc w:val="right"/>
            </w:pPr>
            <w:r>
              <w:rPr>
                <w:rFonts w:ascii="Arial" w:hAnsi="Arial"/>
                <w:sz w:val="18"/>
              </w:rPr>
              <w:t>+14.400</w:t>
            </w:r>
          </w:p>
        </w:tc>
        <w:tc>
          <w:tcPr>
            <w:tcW w:type="dxa" w:w="1505"/>
          </w:tcPr>
          <w:p>
            <w:pPr>
              <w:jc w:val="right"/>
            </w:pPr>
            <w:r>
              <w:rPr>
                <w:rFonts w:ascii="Arial" w:hAnsi="Arial"/>
                <w:sz w:val="18"/>
              </w:rPr>
              <w:t>+0.03%</w:t>
            </w:r>
          </w:p>
        </w:tc>
        <w:tc>
          <w:tcPr>
            <w:tcW w:type="dxa" w:w="1505"/>
          </w:tcPr>
          <w:p>
            <w:r>
              <w:rPr>
                <w:rFonts w:ascii="Arial" w:hAnsi="Arial"/>
                <w:sz w:val="18"/>
              </w:rPr>
              <w:t>Increase</w:t>
            </w:r>
          </w:p>
        </w:tc>
      </w:tr>
      <w:tr>
        <w:tc>
          <w:tcPr>
            <w:tcW w:type="dxa" w:w="1505"/>
            <w:shd w:fill="F2F6FC" w:val="clear"/>
          </w:tcPr>
          <w:p>
            <w:r>
              <w:rPr>
                <w:rFonts w:ascii="Arial" w:hAnsi="Arial"/>
                <w:sz w:val="18"/>
              </w:rPr>
              <w:t>Total Scope 1 + 2 (Location)</w:t>
            </w:r>
          </w:p>
        </w:tc>
        <w:tc>
          <w:tcPr>
            <w:tcW w:type="dxa" w:w="1505"/>
            <w:shd w:fill="F2F6FC" w:val="clear"/>
          </w:tcPr>
          <w:p>
            <w:pPr>
              <w:jc w:val="right"/>
            </w:pPr>
            <w:r>
              <w:rPr>
                <w:rFonts w:ascii="Arial" w:hAnsi="Arial"/>
                <w:sz w:val="18"/>
              </w:rPr>
              <w:t>48,016.873</w:t>
            </w:r>
          </w:p>
        </w:tc>
        <w:tc>
          <w:tcPr>
            <w:tcW w:type="dxa" w:w="1505"/>
            <w:shd w:fill="F2F6FC" w:val="clear"/>
          </w:tcPr>
          <w:p>
            <w:pPr>
              <w:jc w:val="right"/>
            </w:pPr>
            <w:r>
              <w:rPr>
                <w:rFonts w:ascii="Arial" w:hAnsi="Arial"/>
                <w:sz w:val="18"/>
              </w:rPr>
              <w:t>47,923.961</w:t>
            </w:r>
          </w:p>
        </w:tc>
        <w:tc>
          <w:tcPr>
            <w:tcW w:type="dxa" w:w="1505"/>
            <w:shd w:fill="F2F6FC" w:val="clear"/>
          </w:tcPr>
          <w:p>
            <w:pPr>
              <w:jc w:val="right"/>
            </w:pPr>
            <w:r>
              <w:rPr>
                <w:rFonts w:ascii="Arial" w:hAnsi="Arial"/>
                <w:sz w:val="18"/>
              </w:rPr>
              <w:t>+92.912</w:t>
            </w:r>
          </w:p>
        </w:tc>
        <w:tc>
          <w:tcPr>
            <w:tcW w:type="dxa" w:w="1505"/>
            <w:shd w:fill="F2F6FC" w:val="clear"/>
          </w:tcPr>
          <w:p>
            <w:pPr>
              <w:jc w:val="right"/>
            </w:pPr>
            <w:r>
              <w:rPr>
                <w:rFonts w:ascii="Arial" w:hAnsi="Arial"/>
                <w:sz w:val="18"/>
              </w:rPr>
              <w:t>+0.19%</w:t>
            </w:r>
          </w:p>
        </w:tc>
        <w:tc>
          <w:tcPr>
            <w:tcW w:type="dxa" w:w="1505"/>
            <w:shd w:fill="F2F6FC" w:val="clear"/>
          </w:tcPr>
          <w:p>
            <w:r>
              <w:rPr>
                <w:rFonts w:ascii="Arial" w:hAnsi="Arial"/>
                <w:sz w:val="18"/>
              </w:rPr>
              <w:t>Increase</w:t>
            </w:r>
          </w:p>
        </w:tc>
      </w:tr>
    </w:tbl>
    <w:p>
      <w:r>
        <w:rPr>
          <w:rFonts w:ascii="Arial" w:hAnsi="Arial"/>
          <w:i/>
          <w:sz w:val="16"/>
        </w:rPr>
        <w:t>Source: Source: Institution operational emissions data 2023–2024. Consolidation approach: operational control. Gases included: CO₂, CH₄, N₂O.</w:t>
      </w:r>
    </w:p>
    <w:p/>
    <w:p>
      <w:r>
        <w:rPr>
          <w:rFonts w:ascii="Arial" w:hAnsi="Arial"/>
          <w:b/>
          <w:sz w:val="20"/>
        </w:rPr>
        <w:t>Table 2: Peer Bank Reduction Initiatives and Outcomes (Indonesian Banking Sector)</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Institution</w:t>
            </w:r>
          </w:p>
        </w:tc>
        <w:tc>
          <w:tcPr>
            <w:tcW w:type="dxa" w:w="2257"/>
            <w:shd w:fill="1B3A6B" w:val="clear"/>
          </w:tcPr>
          <w:p>
            <w:r>
              <w:rPr>
                <w:rFonts w:ascii="Arial" w:hAnsi="Arial"/>
                <w:b/>
                <w:color w:val="FFFFFF"/>
                <w:sz w:val="18"/>
              </w:rPr>
              <w:t>Key Reduction Initiatives</w:t>
            </w:r>
          </w:p>
        </w:tc>
        <w:tc>
          <w:tcPr>
            <w:tcW w:type="dxa" w:w="2257"/>
            <w:shd w:fill="1B3A6B" w:val="clear"/>
          </w:tcPr>
          <w:p>
            <w:r>
              <w:rPr>
                <w:rFonts w:ascii="Arial" w:hAnsi="Arial"/>
                <w:b/>
                <w:color w:val="FFFFFF"/>
                <w:sz w:val="18"/>
              </w:rPr>
              <w:t>Quantified Outcome</w:t>
            </w:r>
          </w:p>
        </w:tc>
        <w:tc>
          <w:tcPr>
            <w:tcW w:type="dxa" w:w="2257"/>
            <w:shd w:fill="1B3A6B" w:val="clear"/>
          </w:tcPr>
          <w:p>
            <w:r>
              <w:rPr>
                <w:rFonts w:ascii="Arial" w:hAnsi="Arial"/>
                <w:b/>
                <w:color w:val="FFFFFF"/>
                <w:sz w:val="18"/>
              </w:rPr>
              <w:t>Target Year</w:t>
            </w:r>
          </w:p>
        </w:tc>
      </w:tr>
      <w:tr>
        <w:tc>
          <w:tcPr>
            <w:tcW w:type="dxa" w:w="2257"/>
          </w:tcPr>
          <w:p>
            <w:r>
              <w:rPr>
                <w:rFonts w:ascii="Arial" w:hAnsi="Arial"/>
                <w:sz w:val="18"/>
              </w:rPr>
              <w:t>DBS Group</w:t>
            </w:r>
          </w:p>
        </w:tc>
        <w:tc>
          <w:tcPr>
            <w:tcW w:type="dxa" w:w="2257"/>
          </w:tcPr>
          <w:p>
            <w:r>
              <w:rPr>
                <w:rFonts w:ascii="Arial" w:hAnsi="Arial"/>
                <w:sz w:val="18"/>
              </w:rPr>
              <w:t>RE100 commitment (62% renewable energy), internal carbon price ($15/tCO₂), energy efficiency program</w:t>
            </w:r>
          </w:p>
        </w:tc>
        <w:tc>
          <w:tcPr>
            <w:tcW w:type="dxa" w:w="2257"/>
          </w:tcPr>
          <w:p>
            <w:r>
              <w:rPr>
                <w:rFonts w:ascii="Arial" w:hAnsi="Arial"/>
                <w:sz w:val="18"/>
              </w:rPr>
              <w:t>12% YoY reduction in operational emissions (2023)</w:t>
            </w:r>
          </w:p>
        </w:tc>
        <w:tc>
          <w:tcPr>
            <w:tcW w:type="dxa" w:w="2257"/>
          </w:tcPr>
          <w:p>
            <w:r>
              <w:rPr>
                <w:rFonts w:ascii="Arial" w:hAnsi="Arial"/>
                <w:sz w:val="18"/>
              </w:rPr>
              <w:t>Net Zero 2050</w:t>
            </w:r>
          </w:p>
        </w:tc>
      </w:tr>
      <w:tr>
        <w:tc>
          <w:tcPr>
            <w:tcW w:type="dxa" w:w="2257"/>
            <w:shd w:fill="F2F6FC" w:val="clear"/>
          </w:tcPr>
          <w:p>
            <w:r>
              <w:rPr>
                <w:rFonts w:ascii="Arial" w:hAnsi="Arial"/>
                <w:sz w:val="18"/>
              </w:rPr>
              <w:t>Bank Rakyat Indonesia (BRI)</w:t>
            </w:r>
          </w:p>
        </w:tc>
        <w:tc>
          <w:tcPr>
            <w:tcW w:type="dxa" w:w="2257"/>
            <w:shd w:fill="F2F6FC" w:val="clear"/>
          </w:tcPr>
          <w:p>
            <w:r>
              <w:rPr>
                <w:rFonts w:ascii="Arial" w:hAnsi="Arial"/>
                <w:sz w:val="18"/>
              </w:rPr>
              <w:t>Green Network: 118 EV cars + 150 e-bikes, solar panels, Kaseya auto-shutdown, LED retrofits, GBCI Gold building</w:t>
            </w:r>
          </w:p>
        </w:tc>
        <w:tc>
          <w:tcPr>
            <w:tcW w:type="dxa" w:w="2257"/>
            <w:shd w:fill="F2F6FC" w:val="clear"/>
          </w:tcPr>
          <w:p>
            <w:r>
              <w:rPr>
                <w:rFonts w:ascii="Arial" w:hAnsi="Arial"/>
                <w:sz w:val="18"/>
              </w:rPr>
              <w:t>19.49% electricity savings (BRILiaN Tower); 7.1% energy intensity reduction per employee</w:t>
            </w:r>
          </w:p>
        </w:tc>
        <w:tc>
          <w:tcPr>
            <w:tcW w:type="dxa" w:w="2257"/>
            <w:shd w:fill="F2F6FC" w:val="clear"/>
          </w:tcPr>
          <w:p>
            <w:r>
              <w:rPr>
                <w:rFonts w:ascii="Arial" w:hAnsi="Arial"/>
                <w:sz w:val="18"/>
              </w:rPr>
              <w:t>Net Zero 2050 (SBTi)</w:t>
            </w:r>
          </w:p>
        </w:tc>
      </w:tr>
      <w:tr>
        <w:tc>
          <w:tcPr>
            <w:tcW w:type="dxa" w:w="2257"/>
          </w:tcPr>
          <w:p>
            <w:r>
              <w:rPr>
                <w:rFonts w:ascii="Arial" w:hAnsi="Arial"/>
                <w:sz w:val="18"/>
              </w:rPr>
              <w:t>Bank Central Asia (BCA)</w:t>
            </w:r>
          </w:p>
        </w:tc>
        <w:tc>
          <w:tcPr>
            <w:tcW w:type="dxa" w:w="2257"/>
          </w:tcPr>
          <w:p>
            <w:r>
              <w:rPr>
                <w:rFonts w:ascii="Arial" w:hAnsi="Arial"/>
                <w:sz w:val="18"/>
              </w:rPr>
              <w:t>Green office program, Earth Hour participation, climate change strategy, exclusion list for high-carbon sectors</w:t>
            </w:r>
          </w:p>
        </w:tc>
        <w:tc>
          <w:tcPr>
            <w:tcW w:type="dxa" w:w="2257"/>
          </w:tcPr>
          <w:p>
            <w:r>
              <w:rPr>
                <w:rFonts w:ascii="Arial" w:hAnsi="Arial"/>
                <w:sz w:val="18"/>
              </w:rPr>
              <w:t>Growing green portfolio; exceeding SFAP targets</w:t>
            </w:r>
          </w:p>
        </w:tc>
        <w:tc>
          <w:tcPr>
            <w:tcW w:type="dxa" w:w="2257"/>
          </w:tcPr>
          <w:p>
            <w:r>
              <w:rPr>
                <w:rFonts w:ascii="Arial" w:hAnsi="Arial"/>
                <w:sz w:val="18"/>
              </w:rPr>
              <w:t>NZE aligned</w:t>
            </w:r>
          </w:p>
        </w:tc>
      </w:tr>
      <w:tr>
        <w:tc>
          <w:tcPr>
            <w:tcW w:type="dxa" w:w="2257"/>
            <w:shd w:fill="F2F6FC" w:val="clear"/>
          </w:tcPr>
          <w:p>
            <w:r>
              <w:rPr>
                <w:rFonts w:ascii="Arial" w:hAnsi="Arial"/>
                <w:sz w:val="18"/>
              </w:rPr>
              <w:t>Bank Mandiri</w:t>
            </w:r>
          </w:p>
        </w:tc>
        <w:tc>
          <w:tcPr>
            <w:tcW w:type="dxa" w:w="2257"/>
            <w:shd w:fill="F2F6FC" w:val="clear"/>
          </w:tcPr>
          <w:p>
            <w:r>
              <w:rPr>
                <w:rFonts w:ascii="Arial" w:hAnsi="Arial"/>
                <w:sz w:val="18"/>
              </w:rPr>
              <w:t>EV fleet pilot, green building certification (1 office), monitoring systems</w:t>
            </w:r>
          </w:p>
        </w:tc>
        <w:tc>
          <w:tcPr>
            <w:tcW w:type="dxa" w:w="2257"/>
            <w:shd w:fill="F2F6FC" w:val="clear"/>
          </w:tcPr>
          <w:p>
            <w:r>
              <w:rPr>
                <w:rFonts w:ascii="Arial" w:hAnsi="Arial"/>
                <w:sz w:val="18"/>
              </w:rPr>
              <w:t>5.1% YoY reduction in operational emissions</w:t>
            </w:r>
          </w:p>
        </w:tc>
        <w:tc>
          <w:tcPr>
            <w:tcW w:type="dxa" w:w="2257"/>
            <w:shd w:fill="F2F6FC" w:val="clear"/>
          </w:tcPr>
          <w:p>
            <w:r>
              <w:rPr>
                <w:rFonts w:ascii="Arial" w:hAnsi="Arial"/>
                <w:sz w:val="18"/>
              </w:rPr>
              <w:t>Net Zero 2060</w:t>
            </w:r>
          </w:p>
        </w:tc>
      </w:tr>
    </w:tbl>
    <w:p>
      <w:r>
        <w:rPr>
          <w:rFonts w:ascii="Arial" w:hAnsi="Arial"/>
          <w:i/>
          <w:sz w:val="16"/>
        </w:rPr>
        <w:t>Source: Source: Sustainability Reports — BRI 2023, BCA 2024, DBS 2023, Bank Mandiri 2023. RAG Context Peer Benchmarks.</w:t>
      </w:r>
    </w:p>
    <w:p/>
    <w:p>
      <w:r>
        <w:rPr>
          <w:i/>
          <w:color w:val="3D6094"/>
          <w:sz w:val="18"/>
        </w:rPr>
        <w:t>Framework references: GRI 305-5: Reduction of GHG emissions; GRI 305-1: Direct (Scope 1) GHG emissions; GRI 305-2: Energy indirect (Scope 2) GHG emissions; GHG Protocol Corporate Accounting and Reporting Standard</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The institution has not established a formal base year for emissions reduction tracking. The 2023 reporting period serves as the comparison baseline for year-over-year analysis.</w:t>
      </w:r>
    </w:p>
    <w:p>
      <w:pPr>
        <w:spacing w:after="160" w:line="276" w:lineRule="auto"/>
        <w:jc w:val="both"/>
      </w:pPr>
      <w:r>
        <w:rPr>
          <w:rFonts w:ascii="Arial" w:hAnsi="Arial"/>
          <w:i/>
          <w:color w:val="646464"/>
          <w:sz w:val="18"/>
        </w:rPr>
        <w:t>Emission changes reported exclude the impact of acquisitions, divestments, mergers, or changes in calculation methodology. Organizational boundaries and emission factors remained consistent between 2023 and 2024.</w:t>
      </w:r>
    </w:p>
    <w:p>
      <w:pPr>
        <w:spacing w:after="160" w:line="276" w:lineRule="auto"/>
        <w:jc w:val="both"/>
      </w:pPr>
      <w:r>
        <w:rPr>
          <w:rFonts w:ascii="Arial" w:hAnsi="Arial"/>
          <w:i/>
          <w:color w:val="646464"/>
          <w:sz w:val="18"/>
        </w:rPr>
        <w:t>GRI 305-5 requires disclosure of emissions reduced as a direct result of reduction initiatives. The institution currently lacks documented reduction initiatives; observed changes reflect organic operational variations rather than targeted interventions.</w:t>
      </w:r>
    </w:p>
    <w:p>
      <w:pPr>
        <w:spacing w:after="160" w:line="276" w:lineRule="auto"/>
        <w:jc w:val="both"/>
      </w:pPr>
      <w:r>
        <w:rPr>
          <w:rFonts w:ascii="Arial" w:hAnsi="Arial"/>
          <w:i/>
          <w:color w:val="646464"/>
          <w:sz w:val="18"/>
        </w:rPr>
        <w:t>Peer benchmark data sourced from publicly available sustainability reports: BRI Sustainability Report 2023, BCA Sustainability Report 2024, DBS Group Sustainability Report 2023, Bank Mandiri Sustainability Report 2023.</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2-7</w:t>
            </w:r>
          </w:p>
        </w:tc>
        <w:tc>
          <w:tcPr>
            <w:tcW w:type="dxa" w:w="2257"/>
          </w:tcPr>
          <w:p>
            <w:r>
              <w:rPr>
                <w:rFonts w:ascii="Arial" w:hAnsi="Arial"/>
                <w:sz w:val="18"/>
              </w:rPr>
              <w:t>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Direct (Scope 1) GHG emissions</w:t>
            </w:r>
          </w:p>
        </w:tc>
        <w:tc>
          <w:tcPr>
            <w:tcW w:type="dxa" w:w="2257"/>
            <w:shd w:fill="F2F6FC" w:val="clear"/>
          </w:tcPr>
          <w:p>
            <w:r>
              <w:rPr>
                <w:rFonts w:ascii="Arial" w:hAnsi="Arial"/>
                <w:sz w:val="18"/>
              </w:rPr>
              <w:t>Section: Scope 1</w:t>
            </w:r>
          </w:p>
        </w:tc>
        <w:tc>
          <w:tcPr>
            <w:tcW w:type="dxa" w:w="2257"/>
            <w:shd w:fill="F2F6FC" w:val="clear"/>
          </w:tcPr>
          <w:p>
            <w:r>
              <w:rPr>
                <w:rFonts w:ascii="Arial" w:hAnsi="Arial"/>
                <w:sz w:val="18"/>
              </w:rPr>
              <w:t>None</w:t>
            </w:r>
          </w:p>
        </w:tc>
      </w:tr>
      <w:tr>
        <w:tc>
          <w:tcPr>
            <w:tcW w:type="dxa" w:w="2257"/>
          </w:tcPr>
          <w:p>
            <w:r>
              <w:rPr>
                <w:rFonts w:ascii="Arial" w:hAnsi="Arial"/>
                <w:sz w:val="18"/>
              </w:rPr>
              <w:t>GRI 305-2</w:t>
            </w:r>
          </w:p>
        </w:tc>
        <w:tc>
          <w:tcPr>
            <w:tcW w:type="dxa" w:w="2257"/>
          </w:tcPr>
          <w:p>
            <w:r>
              <w:rPr>
                <w:rFonts w:ascii="Arial" w:hAnsi="Arial"/>
                <w:sz w:val="18"/>
              </w:rPr>
              <w:t>Energy indirect (Scope 2) GHG emissions</w:t>
            </w:r>
          </w:p>
        </w:tc>
        <w:tc>
          <w:tcPr>
            <w:tcW w:type="dxa" w:w="2257"/>
          </w:tcPr>
          <w:p>
            <w:r>
              <w:rPr>
                <w:rFonts w:ascii="Arial" w:hAnsi="Arial"/>
                <w:sz w:val="18"/>
              </w:rPr>
              <w:t>Section: Scope 2</w:t>
            </w:r>
          </w:p>
        </w:tc>
        <w:tc>
          <w:tcPr>
            <w:tcW w:type="dxa" w:w="2257"/>
          </w:tcPr>
          <w:p>
            <w:r>
              <w:rPr>
                <w:rFonts w:ascii="Arial" w:hAnsi="Arial"/>
                <w:sz w:val="18"/>
              </w:rPr>
              <w:t>None</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Other indirect (Scope 3) GHG emissions</w:t>
            </w:r>
          </w:p>
        </w:tc>
        <w:tc>
          <w:tcPr>
            <w:tcW w:type="dxa" w:w="2257"/>
            <w:shd w:fill="F2F6FC" w:val="clear"/>
          </w:tcPr>
          <w:p>
            <w:r>
              <w:rPr>
                <w:rFonts w:ascii="Arial" w:hAnsi="Arial"/>
                <w:sz w:val="18"/>
              </w:rPr>
              <w:t>Section: PCAF</w:t>
            </w:r>
          </w:p>
        </w:tc>
        <w:tc>
          <w:tcPr>
            <w:tcW w:type="dxa" w:w="2257"/>
            <w:shd w:fill="F2F6FC" w:val="clear"/>
          </w:tcPr>
          <w:p>
            <w:r>
              <w:rPr>
                <w:rFonts w:ascii="Arial" w:hAnsi="Arial"/>
                <w:sz w:val="18"/>
              </w:rPr>
              <w:t>None</w:t>
            </w:r>
          </w:p>
        </w:tc>
      </w:tr>
      <w:tr>
        <w:tc>
          <w:tcPr>
            <w:tcW w:type="dxa" w:w="2257"/>
          </w:tcPr>
          <w:p>
            <w:r>
              <w:rPr>
                <w:rFonts w:ascii="Arial" w:hAnsi="Arial"/>
                <w:sz w:val="18"/>
              </w:rPr>
              <w:t>GRI 305-4</w:t>
            </w:r>
          </w:p>
        </w:tc>
        <w:tc>
          <w:tcPr>
            <w:tcW w:type="dxa" w:w="2257"/>
          </w:tcPr>
          <w:p>
            <w:r>
              <w:rPr>
                <w:rFonts w:ascii="Arial" w:hAnsi="Arial"/>
                <w:sz w:val="18"/>
              </w:rPr>
              <w:t>GHG emissions intensity</w:t>
            </w:r>
          </w:p>
        </w:tc>
        <w:tc>
          <w:tcPr>
            <w:tcW w:type="dxa" w:w="2257"/>
          </w:tcPr>
          <w:p>
            <w:r>
              <w:rPr>
                <w:rFonts w:ascii="Arial" w:hAnsi="Arial"/>
                <w:sz w:val="18"/>
              </w:rPr>
              <w:t>Section: Intensity</w:t>
            </w:r>
          </w:p>
        </w:tc>
        <w:tc>
          <w:tcPr>
            <w:tcW w:type="dxa" w:w="2257"/>
          </w:tcPr>
          <w:p>
            <w:r>
              <w:rPr>
                <w:rFonts w:ascii="Arial" w:hAnsi="Arial"/>
                <w:sz w:val="18"/>
              </w:rPr>
              <w:t>None</w:t>
            </w:r>
          </w:p>
        </w:tc>
      </w:tr>
      <w:tr>
        <w:tc>
          <w:tcPr>
            <w:tcW w:type="dxa" w:w="2257"/>
            <w:shd w:fill="F2F6FC" w:val="clear"/>
          </w:tcPr>
          <w:p>
            <w:r>
              <w:rPr>
                <w:rFonts w:ascii="Arial" w:hAnsi="Arial"/>
                <w:sz w:val="18"/>
              </w:rPr>
              <w:t>GRI 305-5</w:t>
            </w:r>
          </w:p>
        </w:tc>
        <w:tc>
          <w:tcPr>
            <w:tcW w:type="dxa" w:w="2257"/>
            <w:shd w:fill="F2F6FC" w:val="clear"/>
          </w:tcPr>
          <w:p>
            <w:r>
              <w:rPr>
                <w:rFonts w:ascii="Arial" w:hAnsi="Arial"/>
                <w:sz w:val="18"/>
              </w:rPr>
              <w:t>Reduction of GHG emissions</w:t>
            </w:r>
          </w:p>
        </w:tc>
        <w:tc>
          <w:tcPr>
            <w:tcW w:type="dxa" w:w="2257"/>
            <w:shd w:fill="F2F6FC" w:val="clear"/>
          </w:tcPr>
          <w:p>
            <w:r>
              <w:rPr>
                <w:rFonts w:ascii="Arial" w:hAnsi="Arial"/>
                <w:sz w:val="18"/>
              </w:rPr>
              <w:t>Section: Reduction</w:t>
            </w:r>
          </w:p>
        </w:tc>
        <w:tc>
          <w:tcPr>
            <w:tcW w:type="dxa" w:w="2257"/>
            <w:shd w:fill="F2F6FC" w:val="clear"/>
          </w:tcPr>
          <w:p>
            <w:r>
              <w:rPr>
                <w:rFonts w:ascii="Arial" w:hAnsi="Arial"/>
                <w:sz w:val="18"/>
              </w:rPr>
              <w:t>Partial — targets in development</w:t>
            </w:r>
          </w:p>
        </w:tc>
      </w:tr>
      <w:tr>
        <w:tc>
          <w:tcPr>
            <w:tcW w:type="dxa" w:w="2257"/>
          </w:tcPr>
          <w:p>
            <w:r>
              <w:rPr>
                <w:rFonts w:ascii="Arial" w:hAnsi="Arial"/>
                <w:sz w:val="18"/>
              </w:rPr>
              <w:t>GRI 401-1</w:t>
            </w:r>
          </w:p>
        </w:tc>
        <w:tc>
          <w:tcPr>
            <w:tcW w:type="dxa" w:w="2257"/>
          </w:tcPr>
          <w:p>
            <w:r>
              <w:rPr>
                <w:rFonts w:ascii="Arial" w:hAnsi="Arial"/>
                <w:sz w:val="18"/>
              </w:rPr>
              <w:t>New employee hires and employee turnover</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404-1</w:t>
            </w:r>
          </w:p>
        </w:tc>
        <w:tc>
          <w:tcPr>
            <w:tcW w:type="dxa" w:w="2257"/>
            <w:shd w:fill="F2F6FC" w:val="clear"/>
          </w:tcPr>
          <w:p>
            <w:r>
              <w:rPr>
                <w:rFonts w:ascii="Arial" w:hAnsi="Arial"/>
                <w:sz w:val="18"/>
              </w:rPr>
              <w:t>Average hours of training per year per employee</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r>
        <w:tc>
          <w:tcPr>
            <w:tcW w:type="dxa" w:w="2257"/>
          </w:tcPr>
          <w:p>
            <w:r>
              <w:rPr>
                <w:rFonts w:ascii="Arial" w:hAnsi="Arial"/>
                <w:sz w:val="18"/>
              </w:rPr>
              <w:t>GRI 405-1</w:t>
            </w:r>
          </w:p>
        </w:tc>
        <w:tc>
          <w:tcPr>
            <w:tcW w:type="dxa" w:w="2257"/>
          </w:tcPr>
          <w:p>
            <w:r>
              <w:rPr>
                <w:rFonts w:ascii="Arial" w:hAnsi="Arial"/>
                <w:sz w:val="18"/>
              </w:rPr>
              <w:t>Diversity of governance bodies and 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406-1</w:t>
            </w:r>
          </w:p>
        </w:tc>
        <w:tc>
          <w:tcPr>
            <w:tcW w:type="dxa" w:w="2257"/>
            <w:shd w:fill="F2F6FC" w:val="clear"/>
          </w:tcPr>
          <w:p>
            <w:r>
              <w:rPr>
                <w:rFonts w:ascii="Arial" w:hAnsi="Arial"/>
                <w:sz w:val="18"/>
              </w:rPr>
              <w:t>Incidents of discrimination and corrective actions</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arn:aws:states:us-east-1:061039769766:execution:ESGReportGenerationStateMachine:b8d41ba1-7421-4c4c-8c76-4ddd79f9aafe</dc:description>
  <cp:lastModifiedBy/>
  <cp:revision>1</cp:revision>
  <dcterms:created xsi:type="dcterms:W3CDTF">2013-12-23T23:15:00Z</dcterms:created>
  <dcterms:modified xsi:type="dcterms:W3CDTF">2013-12-23T23:15:00Z</dcterms:modified>
  <cp:category>ESG Sustainability Report</cp:category>
</cp:coreProperties>
</file>