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04EE" w14:textId="77777777" w:rsidR="00AD4FA5" w:rsidRDefault="00AD4FA5"/>
    <w:p w14:paraId="606AF6BA" w14:textId="77777777" w:rsidR="00AD4FA5" w:rsidRDefault="00000000">
      <w:pPr>
        <w:jc w:val="center"/>
      </w:pPr>
      <w:r>
        <w:rPr>
          <w:color w:val="999999"/>
          <w:sz w:val="24"/>
        </w:rPr>
        <w:t>[INSTITUTION LOGO]</w:t>
      </w:r>
    </w:p>
    <w:p w14:paraId="0288165D" w14:textId="77777777" w:rsidR="00AD4FA5" w:rsidRDefault="00AD4FA5"/>
    <w:p w14:paraId="39CEAAA1" w14:textId="77777777" w:rsidR="00AD4FA5" w:rsidRDefault="00AD4FA5"/>
    <w:p w14:paraId="4874A8D9" w14:textId="77777777" w:rsidR="00AD4FA5" w:rsidRDefault="00000000">
      <w:pPr>
        <w:pStyle w:val="Heading1"/>
        <w:spacing w:after="240"/>
        <w:jc w:val="center"/>
      </w:pPr>
      <w:bookmarkStart w:id="0" w:name="_Toc231979663"/>
      <w:r>
        <w:rPr>
          <w:rFonts w:ascii="Arial" w:hAnsi="Arial"/>
          <w:color w:val="1B3A6B"/>
          <w:sz w:val="36"/>
        </w:rPr>
        <w:t>ESG Sustainability Report</w:t>
      </w:r>
      <w:bookmarkEnd w:id="0"/>
    </w:p>
    <w:p w14:paraId="3E7E6CD1" w14:textId="77777777" w:rsidR="00AD4FA5" w:rsidRDefault="00000000">
      <w:pPr>
        <w:pStyle w:val="Heading2"/>
        <w:spacing w:before="360" w:after="160"/>
        <w:jc w:val="center"/>
      </w:pPr>
      <w:bookmarkStart w:id="1" w:name="_Toc231979664"/>
      <w:r>
        <w:rPr>
          <w:rFonts w:ascii="Arial" w:hAnsi="Arial"/>
          <w:color w:val="3D6094"/>
          <w:sz w:val="28"/>
        </w:rPr>
        <w:t>Reporting Year 2024</w:t>
      </w:r>
      <w:bookmarkEnd w:id="1"/>
    </w:p>
    <w:p w14:paraId="13215B8E" w14:textId="77777777" w:rsidR="00AD4FA5" w:rsidRDefault="00AD4FA5"/>
    <w:p w14:paraId="01C210F6" w14:textId="77777777" w:rsidR="00AD4FA5" w:rsidRDefault="00000000">
      <w:pPr>
        <w:jc w:val="center"/>
      </w:pPr>
      <w:r>
        <w:rPr>
          <w:rFonts w:ascii="Arial" w:hAnsi="Arial"/>
        </w:rPr>
        <w:t>Institution: GENERIC_FI_001</w:t>
      </w:r>
    </w:p>
    <w:p w14:paraId="0D114D97" w14:textId="77777777" w:rsidR="00AD4FA5" w:rsidRDefault="00000000">
      <w:pPr>
        <w:jc w:val="center"/>
      </w:pPr>
      <w:r>
        <w:rPr>
          <w:rFonts w:ascii="Arial" w:hAnsi="Arial"/>
        </w:rPr>
        <w:t>Framework: MULTI_FRAMEWORK</w:t>
      </w:r>
    </w:p>
    <w:p w14:paraId="6BDA5161" w14:textId="77777777" w:rsidR="00AD4FA5" w:rsidRDefault="00000000">
      <w:pPr>
        <w:jc w:val="center"/>
      </w:pPr>
      <w:r>
        <w:rPr>
          <w:rFonts w:ascii="Arial" w:hAnsi="Arial"/>
        </w:rPr>
        <w:t>Generated: 2026-06-10 03:22 UTC</w:t>
      </w:r>
    </w:p>
    <w:p w14:paraId="3170D790" w14:textId="77777777" w:rsidR="00AD4FA5" w:rsidRDefault="00000000">
      <w:pPr>
        <w:jc w:val="center"/>
      </w:pPr>
      <w:r>
        <w:rPr>
          <w:rFonts w:ascii="Arial" w:hAnsi="Arial"/>
        </w:rPr>
        <w:t>Status: DRAFT — Subject to Review</w:t>
      </w:r>
    </w:p>
    <w:p w14:paraId="510A7811" w14:textId="77777777" w:rsidR="00AD4FA5" w:rsidRDefault="00000000">
      <w:pPr>
        <w:jc w:val="center"/>
      </w:pPr>
      <w:r>
        <w:rPr>
          <w:rFonts w:ascii="Arial" w:hAnsi="Arial"/>
        </w:rPr>
        <w:t>Assurance Level: None</w:t>
      </w:r>
    </w:p>
    <w:p w14:paraId="19AD0C54" w14:textId="77777777" w:rsidR="00AD4FA5" w:rsidRDefault="00AD4FA5"/>
    <w:p w14:paraId="1EBEB86D" w14:textId="77777777" w:rsidR="00AD4FA5" w:rsidRDefault="00AD4FA5"/>
    <w:p w14:paraId="15B5F322" w14:textId="77777777" w:rsidR="00AD4FA5" w:rsidRDefault="00000000">
      <w:pPr>
        <w:jc w:val="center"/>
      </w:pPr>
      <w:r>
        <w:rPr>
          <w:i/>
          <w:color w:val="993333"/>
          <w:sz w:val="18"/>
        </w:rPr>
        <w:t>CONFIDENTIAL — This document is for internal review purposes only. Do not distribute without authorization.</w:t>
      </w:r>
    </w:p>
    <w:p w14:paraId="003D2869" w14:textId="77777777" w:rsidR="00AD4FA5" w:rsidRDefault="00000000">
      <w:r>
        <w:br w:type="page"/>
      </w:r>
    </w:p>
    <w:p w14:paraId="4543FB71" w14:textId="77777777" w:rsidR="00AD4FA5" w:rsidRDefault="00000000">
      <w:pPr>
        <w:pStyle w:val="Heading1"/>
        <w:spacing w:after="240"/>
      </w:pPr>
      <w:bookmarkStart w:id="2" w:name="_Toc231979665"/>
      <w:r>
        <w:rPr>
          <w:rFonts w:ascii="Arial" w:hAnsi="Arial"/>
          <w:color w:val="1B3A6B"/>
          <w:sz w:val="36"/>
        </w:rPr>
        <w:lastRenderedPageBreak/>
        <w:t>Table of Contents</w:t>
      </w:r>
      <w:bookmarkEnd w:id="2"/>
    </w:p>
    <w:p w14:paraId="5C11F9D7" w14:textId="77777777" w:rsidR="00AD4FA5" w:rsidRDefault="00000000">
      <w:r>
        <w:fldChar w:fldCharType="begin"/>
      </w:r>
      <w:r>
        <w:instrText xml:space="preserve"> TOC \o "1-3" \h \z \u </w:instrText>
      </w:r>
      <w:r>
        <w:fldChar w:fldCharType="end"/>
      </w:r>
    </w:p>
    <w:sdt>
      <w:sdtPr>
        <w:id w:val="28987383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ABFEF6F" w14:textId="1A173DA0" w:rsidR="00543941" w:rsidRDefault="00543941">
          <w:pPr>
            <w:pStyle w:val="TOCHeading"/>
          </w:pPr>
          <w:r>
            <w:t>Contents</w:t>
          </w:r>
        </w:p>
        <w:p w14:paraId="24B5F89E" w14:textId="66F03585" w:rsidR="00543941" w:rsidRDefault="00543941">
          <w:pPr>
            <w:pStyle w:val="TOC1"/>
            <w:tabs>
              <w:tab w:val="right" w:leader="dot" w:pos="9019"/>
            </w:tabs>
            <w:rPr>
              <w:noProof/>
            </w:rPr>
          </w:pPr>
          <w:r>
            <w:fldChar w:fldCharType="begin"/>
          </w:r>
          <w:r>
            <w:instrText xml:space="preserve"> TOC \o "1-3" \h \z \u </w:instrText>
          </w:r>
          <w:r>
            <w:fldChar w:fldCharType="separate"/>
          </w:r>
          <w:hyperlink w:anchor="_Toc231979663" w:history="1">
            <w:r w:rsidRPr="005A064F">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_Toc231979663 \h </w:instrText>
            </w:r>
            <w:r>
              <w:rPr>
                <w:noProof/>
                <w:webHidden/>
              </w:rPr>
            </w:r>
            <w:r>
              <w:rPr>
                <w:noProof/>
                <w:webHidden/>
              </w:rPr>
              <w:fldChar w:fldCharType="separate"/>
            </w:r>
            <w:r>
              <w:rPr>
                <w:noProof/>
                <w:webHidden/>
              </w:rPr>
              <w:t>1</w:t>
            </w:r>
            <w:r>
              <w:rPr>
                <w:noProof/>
                <w:webHidden/>
              </w:rPr>
              <w:fldChar w:fldCharType="end"/>
            </w:r>
          </w:hyperlink>
        </w:p>
        <w:p w14:paraId="740F7B32" w14:textId="0B2EF522" w:rsidR="00543941" w:rsidRDefault="00543941">
          <w:pPr>
            <w:pStyle w:val="TOC2"/>
            <w:tabs>
              <w:tab w:val="right" w:leader="dot" w:pos="9019"/>
            </w:tabs>
            <w:rPr>
              <w:noProof/>
            </w:rPr>
          </w:pPr>
          <w:hyperlink w:anchor="_Toc231979664" w:history="1">
            <w:r w:rsidRPr="005A064F">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_Toc231979664 \h </w:instrText>
            </w:r>
            <w:r>
              <w:rPr>
                <w:noProof/>
                <w:webHidden/>
              </w:rPr>
            </w:r>
            <w:r>
              <w:rPr>
                <w:noProof/>
                <w:webHidden/>
              </w:rPr>
              <w:fldChar w:fldCharType="separate"/>
            </w:r>
            <w:r>
              <w:rPr>
                <w:noProof/>
                <w:webHidden/>
              </w:rPr>
              <w:t>1</w:t>
            </w:r>
            <w:r>
              <w:rPr>
                <w:noProof/>
                <w:webHidden/>
              </w:rPr>
              <w:fldChar w:fldCharType="end"/>
            </w:r>
          </w:hyperlink>
        </w:p>
        <w:p w14:paraId="10F6170A" w14:textId="54845BAB" w:rsidR="00543941" w:rsidRDefault="00543941">
          <w:pPr>
            <w:pStyle w:val="TOC1"/>
            <w:tabs>
              <w:tab w:val="right" w:leader="dot" w:pos="9019"/>
            </w:tabs>
            <w:rPr>
              <w:noProof/>
            </w:rPr>
          </w:pPr>
          <w:hyperlink w:anchor="_Toc231979665" w:history="1">
            <w:r w:rsidRPr="005A064F">
              <w:rPr>
                <w:rStyle w:val="Hyperlink"/>
                <w:rFonts w:ascii="Arial" w:hAnsi="Arial"/>
                <w:noProof/>
              </w:rPr>
              <w:t>Table of Contents</w:t>
            </w:r>
            <w:r>
              <w:rPr>
                <w:noProof/>
                <w:webHidden/>
              </w:rPr>
              <w:tab/>
            </w:r>
            <w:r>
              <w:rPr>
                <w:noProof/>
                <w:webHidden/>
              </w:rPr>
              <w:fldChar w:fldCharType="begin"/>
            </w:r>
            <w:r>
              <w:rPr>
                <w:noProof/>
                <w:webHidden/>
              </w:rPr>
              <w:instrText xml:space="preserve"> PAGEREF _Toc231979665 \h </w:instrText>
            </w:r>
            <w:r>
              <w:rPr>
                <w:noProof/>
                <w:webHidden/>
              </w:rPr>
            </w:r>
            <w:r>
              <w:rPr>
                <w:noProof/>
                <w:webHidden/>
              </w:rPr>
              <w:fldChar w:fldCharType="separate"/>
            </w:r>
            <w:r>
              <w:rPr>
                <w:noProof/>
                <w:webHidden/>
              </w:rPr>
              <w:t>2</w:t>
            </w:r>
            <w:r>
              <w:rPr>
                <w:noProof/>
                <w:webHidden/>
              </w:rPr>
              <w:fldChar w:fldCharType="end"/>
            </w:r>
          </w:hyperlink>
        </w:p>
        <w:p w14:paraId="4BDEA76F" w14:textId="25789FD6" w:rsidR="00543941" w:rsidRDefault="00543941">
          <w:pPr>
            <w:pStyle w:val="TOC1"/>
            <w:tabs>
              <w:tab w:val="right" w:leader="dot" w:pos="9019"/>
            </w:tabs>
            <w:rPr>
              <w:noProof/>
            </w:rPr>
          </w:pPr>
          <w:hyperlink w:anchor="_Toc231979666" w:history="1">
            <w:r w:rsidRPr="005A064F">
              <w:rPr>
                <w:rStyle w:val="Hyperlink"/>
                <w:rFonts w:ascii="Arial" w:hAnsi="Arial"/>
                <w:noProof/>
              </w:rPr>
              <w:t>GRI 305-1: Direct (Scope 1) GHG Emissions</w:t>
            </w:r>
            <w:r>
              <w:rPr>
                <w:noProof/>
                <w:webHidden/>
              </w:rPr>
              <w:tab/>
            </w:r>
            <w:r>
              <w:rPr>
                <w:noProof/>
                <w:webHidden/>
              </w:rPr>
              <w:fldChar w:fldCharType="begin"/>
            </w:r>
            <w:r>
              <w:rPr>
                <w:noProof/>
                <w:webHidden/>
              </w:rPr>
              <w:instrText xml:space="preserve"> PAGEREF _Toc231979666 \h </w:instrText>
            </w:r>
            <w:r>
              <w:rPr>
                <w:noProof/>
                <w:webHidden/>
              </w:rPr>
            </w:r>
            <w:r>
              <w:rPr>
                <w:noProof/>
                <w:webHidden/>
              </w:rPr>
              <w:fldChar w:fldCharType="separate"/>
            </w:r>
            <w:r>
              <w:rPr>
                <w:noProof/>
                <w:webHidden/>
              </w:rPr>
              <w:t>3</w:t>
            </w:r>
            <w:r>
              <w:rPr>
                <w:noProof/>
                <w:webHidden/>
              </w:rPr>
              <w:fldChar w:fldCharType="end"/>
            </w:r>
          </w:hyperlink>
        </w:p>
        <w:p w14:paraId="37CA2E22" w14:textId="3B638A5C" w:rsidR="00543941" w:rsidRDefault="00543941">
          <w:pPr>
            <w:pStyle w:val="TOC1"/>
            <w:tabs>
              <w:tab w:val="right" w:leader="dot" w:pos="9019"/>
            </w:tabs>
            <w:rPr>
              <w:noProof/>
            </w:rPr>
          </w:pPr>
          <w:hyperlink w:anchor="_Toc231979667" w:history="1">
            <w:r w:rsidRPr="005A064F">
              <w:rPr>
                <w:rStyle w:val="Hyperlink"/>
                <w:rFonts w:ascii="Arial" w:hAnsi="Arial"/>
                <w:noProof/>
              </w:rPr>
              <w:t>IFRS S2 Cross-Industry Metric: Direct (Scope 1) GHG Emissions</w:t>
            </w:r>
            <w:r>
              <w:rPr>
                <w:noProof/>
                <w:webHidden/>
              </w:rPr>
              <w:tab/>
            </w:r>
            <w:r>
              <w:rPr>
                <w:noProof/>
                <w:webHidden/>
              </w:rPr>
              <w:fldChar w:fldCharType="begin"/>
            </w:r>
            <w:r>
              <w:rPr>
                <w:noProof/>
                <w:webHidden/>
              </w:rPr>
              <w:instrText xml:space="preserve"> PAGEREF _Toc231979667 \h </w:instrText>
            </w:r>
            <w:r>
              <w:rPr>
                <w:noProof/>
                <w:webHidden/>
              </w:rPr>
            </w:r>
            <w:r>
              <w:rPr>
                <w:noProof/>
                <w:webHidden/>
              </w:rPr>
              <w:fldChar w:fldCharType="separate"/>
            </w:r>
            <w:r>
              <w:rPr>
                <w:noProof/>
                <w:webHidden/>
              </w:rPr>
              <w:t>7</w:t>
            </w:r>
            <w:r>
              <w:rPr>
                <w:noProof/>
                <w:webHidden/>
              </w:rPr>
              <w:fldChar w:fldCharType="end"/>
            </w:r>
          </w:hyperlink>
        </w:p>
        <w:p w14:paraId="62589BE7" w14:textId="7A0B4383" w:rsidR="00543941" w:rsidRDefault="00543941">
          <w:pPr>
            <w:pStyle w:val="TOC1"/>
            <w:tabs>
              <w:tab w:val="right" w:leader="dot" w:pos="9019"/>
            </w:tabs>
            <w:rPr>
              <w:noProof/>
            </w:rPr>
          </w:pPr>
          <w:hyperlink w:anchor="_Toc231979668" w:history="1">
            <w:r w:rsidRPr="005A064F">
              <w:rPr>
                <w:rStyle w:val="Hyperlink"/>
                <w:rFonts w:ascii="Arial" w:hAnsi="Arial"/>
                <w:noProof/>
              </w:rPr>
              <w:t>ESRS E1-6: Direct (Scope 1) GHG Emissions</w:t>
            </w:r>
            <w:r>
              <w:rPr>
                <w:noProof/>
                <w:webHidden/>
              </w:rPr>
              <w:tab/>
            </w:r>
            <w:r>
              <w:rPr>
                <w:noProof/>
                <w:webHidden/>
              </w:rPr>
              <w:fldChar w:fldCharType="begin"/>
            </w:r>
            <w:r>
              <w:rPr>
                <w:noProof/>
                <w:webHidden/>
              </w:rPr>
              <w:instrText xml:space="preserve"> PAGEREF _Toc231979668 \h </w:instrText>
            </w:r>
            <w:r>
              <w:rPr>
                <w:noProof/>
                <w:webHidden/>
              </w:rPr>
            </w:r>
            <w:r>
              <w:rPr>
                <w:noProof/>
                <w:webHidden/>
              </w:rPr>
              <w:fldChar w:fldCharType="separate"/>
            </w:r>
            <w:r>
              <w:rPr>
                <w:noProof/>
                <w:webHidden/>
              </w:rPr>
              <w:t>9</w:t>
            </w:r>
            <w:r>
              <w:rPr>
                <w:noProof/>
                <w:webHidden/>
              </w:rPr>
              <w:fldChar w:fldCharType="end"/>
            </w:r>
          </w:hyperlink>
        </w:p>
        <w:p w14:paraId="7C61C6AE" w14:textId="6C62EAB3" w:rsidR="00543941" w:rsidRDefault="00543941">
          <w:pPr>
            <w:pStyle w:val="TOC1"/>
            <w:tabs>
              <w:tab w:val="right" w:leader="dot" w:pos="9019"/>
            </w:tabs>
            <w:rPr>
              <w:noProof/>
            </w:rPr>
          </w:pPr>
          <w:hyperlink w:anchor="_Toc231979669" w:history="1">
            <w:r w:rsidRPr="005A064F">
              <w:rPr>
                <w:rStyle w:val="Hyperlink"/>
                <w:rFonts w:ascii="Arial" w:hAnsi="Arial"/>
                <w:noProof/>
              </w:rPr>
              <w:t>GRI 305-1: Emisi GRK Langsung (Scope 1)</w:t>
            </w:r>
            <w:r>
              <w:rPr>
                <w:noProof/>
                <w:webHidden/>
              </w:rPr>
              <w:tab/>
            </w:r>
            <w:r>
              <w:rPr>
                <w:noProof/>
                <w:webHidden/>
              </w:rPr>
              <w:fldChar w:fldCharType="begin"/>
            </w:r>
            <w:r>
              <w:rPr>
                <w:noProof/>
                <w:webHidden/>
              </w:rPr>
              <w:instrText xml:space="preserve"> PAGEREF _Toc231979669 \h </w:instrText>
            </w:r>
            <w:r>
              <w:rPr>
                <w:noProof/>
                <w:webHidden/>
              </w:rPr>
            </w:r>
            <w:r>
              <w:rPr>
                <w:noProof/>
                <w:webHidden/>
              </w:rPr>
              <w:fldChar w:fldCharType="separate"/>
            </w:r>
            <w:r>
              <w:rPr>
                <w:noProof/>
                <w:webHidden/>
              </w:rPr>
              <w:t>12</w:t>
            </w:r>
            <w:r>
              <w:rPr>
                <w:noProof/>
                <w:webHidden/>
              </w:rPr>
              <w:fldChar w:fldCharType="end"/>
            </w:r>
          </w:hyperlink>
        </w:p>
        <w:p w14:paraId="4E0FF247" w14:textId="1711B85B" w:rsidR="00543941" w:rsidRDefault="00543941">
          <w:pPr>
            <w:pStyle w:val="TOC1"/>
            <w:tabs>
              <w:tab w:val="right" w:leader="dot" w:pos="9019"/>
            </w:tabs>
            <w:rPr>
              <w:noProof/>
            </w:rPr>
          </w:pPr>
          <w:hyperlink w:anchor="_Toc231979670" w:history="1">
            <w:r w:rsidRPr="005A064F">
              <w:rPr>
                <w:rStyle w:val="Hyperlink"/>
                <w:rFonts w:ascii="Arial" w:hAnsi="Arial"/>
                <w:noProof/>
              </w:rPr>
              <w:t>GRI 305-2: Energy Indirect (Scope 2) GHG Emissions</w:t>
            </w:r>
            <w:r>
              <w:rPr>
                <w:noProof/>
                <w:webHidden/>
              </w:rPr>
              <w:tab/>
            </w:r>
            <w:r>
              <w:rPr>
                <w:noProof/>
                <w:webHidden/>
              </w:rPr>
              <w:fldChar w:fldCharType="begin"/>
            </w:r>
            <w:r>
              <w:rPr>
                <w:noProof/>
                <w:webHidden/>
              </w:rPr>
              <w:instrText xml:space="preserve"> PAGEREF _Toc231979670 \h </w:instrText>
            </w:r>
            <w:r>
              <w:rPr>
                <w:noProof/>
                <w:webHidden/>
              </w:rPr>
            </w:r>
            <w:r>
              <w:rPr>
                <w:noProof/>
                <w:webHidden/>
              </w:rPr>
              <w:fldChar w:fldCharType="separate"/>
            </w:r>
            <w:r>
              <w:rPr>
                <w:noProof/>
                <w:webHidden/>
              </w:rPr>
              <w:t>15</w:t>
            </w:r>
            <w:r>
              <w:rPr>
                <w:noProof/>
                <w:webHidden/>
              </w:rPr>
              <w:fldChar w:fldCharType="end"/>
            </w:r>
          </w:hyperlink>
        </w:p>
        <w:p w14:paraId="54CE6B61" w14:textId="56912B6E" w:rsidR="00543941" w:rsidRDefault="00543941">
          <w:pPr>
            <w:pStyle w:val="TOC1"/>
            <w:tabs>
              <w:tab w:val="right" w:leader="dot" w:pos="9019"/>
            </w:tabs>
            <w:rPr>
              <w:noProof/>
            </w:rPr>
          </w:pPr>
          <w:hyperlink w:anchor="_Toc231979671" w:history="1">
            <w:r w:rsidRPr="005A064F">
              <w:rPr>
                <w:rStyle w:val="Hyperlink"/>
                <w:rFonts w:ascii="Arial" w:hAnsi="Arial"/>
                <w:noProof/>
              </w:rPr>
              <w:t>Climate Governance &amp; ESG Oversight</w:t>
            </w:r>
            <w:r>
              <w:rPr>
                <w:noProof/>
                <w:webHidden/>
              </w:rPr>
              <w:tab/>
            </w:r>
            <w:r>
              <w:rPr>
                <w:noProof/>
                <w:webHidden/>
              </w:rPr>
              <w:fldChar w:fldCharType="begin"/>
            </w:r>
            <w:r>
              <w:rPr>
                <w:noProof/>
                <w:webHidden/>
              </w:rPr>
              <w:instrText xml:space="preserve"> PAGEREF _Toc231979671 \h </w:instrText>
            </w:r>
            <w:r>
              <w:rPr>
                <w:noProof/>
                <w:webHidden/>
              </w:rPr>
            </w:r>
            <w:r>
              <w:rPr>
                <w:noProof/>
                <w:webHidden/>
              </w:rPr>
              <w:fldChar w:fldCharType="separate"/>
            </w:r>
            <w:r>
              <w:rPr>
                <w:noProof/>
                <w:webHidden/>
              </w:rPr>
              <w:t>19</w:t>
            </w:r>
            <w:r>
              <w:rPr>
                <w:noProof/>
                <w:webHidden/>
              </w:rPr>
              <w:fldChar w:fldCharType="end"/>
            </w:r>
          </w:hyperlink>
        </w:p>
        <w:p w14:paraId="0DFA3D0F" w14:textId="0CF3E291" w:rsidR="00543941" w:rsidRDefault="00543941">
          <w:pPr>
            <w:pStyle w:val="TOC1"/>
            <w:tabs>
              <w:tab w:val="right" w:leader="dot" w:pos="9019"/>
            </w:tabs>
            <w:rPr>
              <w:noProof/>
            </w:rPr>
          </w:pPr>
          <w:hyperlink w:anchor="_Toc231979672" w:history="1">
            <w:r w:rsidRPr="005A064F">
              <w:rPr>
                <w:rStyle w:val="Hyperlink"/>
                <w:rFonts w:ascii="Arial" w:hAnsi="Arial"/>
                <w:noProof/>
              </w:rPr>
              <w:t>IFRS S2 Metrics &amp; Targets: Financed Emissions (Scope 3 Category 15)</w:t>
            </w:r>
            <w:r>
              <w:rPr>
                <w:noProof/>
                <w:webHidden/>
              </w:rPr>
              <w:tab/>
            </w:r>
            <w:r>
              <w:rPr>
                <w:noProof/>
                <w:webHidden/>
              </w:rPr>
              <w:fldChar w:fldCharType="begin"/>
            </w:r>
            <w:r>
              <w:rPr>
                <w:noProof/>
                <w:webHidden/>
              </w:rPr>
              <w:instrText xml:space="preserve"> PAGEREF _Toc231979672 \h </w:instrText>
            </w:r>
            <w:r>
              <w:rPr>
                <w:noProof/>
                <w:webHidden/>
              </w:rPr>
            </w:r>
            <w:r>
              <w:rPr>
                <w:noProof/>
                <w:webHidden/>
              </w:rPr>
              <w:fldChar w:fldCharType="separate"/>
            </w:r>
            <w:r>
              <w:rPr>
                <w:noProof/>
                <w:webHidden/>
              </w:rPr>
              <w:t>25</w:t>
            </w:r>
            <w:r>
              <w:rPr>
                <w:noProof/>
                <w:webHidden/>
              </w:rPr>
              <w:fldChar w:fldCharType="end"/>
            </w:r>
          </w:hyperlink>
        </w:p>
        <w:p w14:paraId="5405339A" w14:textId="6905BFEF" w:rsidR="00543941" w:rsidRDefault="00543941">
          <w:pPr>
            <w:pStyle w:val="TOC1"/>
            <w:tabs>
              <w:tab w:val="right" w:leader="dot" w:pos="9019"/>
            </w:tabs>
            <w:rPr>
              <w:noProof/>
            </w:rPr>
          </w:pPr>
          <w:hyperlink w:anchor="_Toc231979673" w:history="1">
            <w:r w:rsidRPr="005A064F">
              <w:rPr>
                <w:rStyle w:val="Hyperlink"/>
                <w:rFonts w:ascii="Arial" w:hAnsi="Arial"/>
                <w:noProof/>
              </w:rPr>
              <w:t>Climate Targets &amp; Reduction Initiatives</w:t>
            </w:r>
            <w:r>
              <w:rPr>
                <w:noProof/>
                <w:webHidden/>
              </w:rPr>
              <w:tab/>
            </w:r>
            <w:r>
              <w:rPr>
                <w:noProof/>
                <w:webHidden/>
              </w:rPr>
              <w:fldChar w:fldCharType="begin"/>
            </w:r>
            <w:r>
              <w:rPr>
                <w:noProof/>
                <w:webHidden/>
              </w:rPr>
              <w:instrText xml:space="preserve"> PAGEREF _Toc231979673 \h </w:instrText>
            </w:r>
            <w:r>
              <w:rPr>
                <w:noProof/>
                <w:webHidden/>
              </w:rPr>
            </w:r>
            <w:r>
              <w:rPr>
                <w:noProof/>
                <w:webHidden/>
              </w:rPr>
              <w:fldChar w:fldCharType="separate"/>
            </w:r>
            <w:r>
              <w:rPr>
                <w:noProof/>
                <w:webHidden/>
              </w:rPr>
              <w:t>31</w:t>
            </w:r>
            <w:r>
              <w:rPr>
                <w:noProof/>
                <w:webHidden/>
              </w:rPr>
              <w:fldChar w:fldCharType="end"/>
            </w:r>
          </w:hyperlink>
        </w:p>
        <w:p w14:paraId="66997BE7" w14:textId="6D984D43" w:rsidR="00543941" w:rsidRDefault="00543941">
          <w:pPr>
            <w:pStyle w:val="TOC1"/>
            <w:tabs>
              <w:tab w:val="right" w:leader="dot" w:pos="9019"/>
            </w:tabs>
            <w:rPr>
              <w:noProof/>
            </w:rPr>
          </w:pPr>
          <w:hyperlink w:anchor="_Toc231979674" w:history="1">
            <w:r w:rsidRPr="005A064F">
              <w:rPr>
                <w:rStyle w:val="Hyperlink"/>
                <w:rFonts w:ascii="Arial" w:hAnsi="Arial"/>
                <w:noProof/>
              </w:rPr>
              <w:t>GRI 305-3: Other Indirect (Scope 3) GHG Emissions — PCAF Financed Emissions</w:t>
            </w:r>
            <w:r>
              <w:rPr>
                <w:noProof/>
                <w:webHidden/>
              </w:rPr>
              <w:tab/>
            </w:r>
            <w:r>
              <w:rPr>
                <w:noProof/>
                <w:webHidden/>
              </w:rPr>
              <w:fldChar w:fldCharType="begin"/>
            </w:r>
            <w:r>
              <w:rPr>
                <w:noProof/>
                <w:webHidden/>
              </w:rPr>
              <w:instrText xml:space="preserve"> PAGEREF _Toc231979674 \h </w:instrText>
            </w:r>
            <w:r>
              <w:rPr>
                <w:noProof/>
                <w:webHidden/>
              </w:rPr>
            </w:r>
            <w:r>
              <w:rPr>
                <w:noProof/>
                <w:webHidden/>
              </w:rPr>
              <w:fldChar w:fldCharType="separate"/>
            </w:r>
            <w:r>
              <w:rPr>
                <w:noProof/>
                <w:webHidden/>
              </w:rPr>
              <w:t>37</w:t>
            </w:r>
            <w:r>
              <w:rPr>
                <w:noProof/>
                <w:webHidden/>
              </w:rPr>
              <w:fldChar w:fldCharType="end"/>
            </w:r>
          </w:hyperlink>
        </w:p>
        <w:p w14:paraId="29332868" w14:textId="4AFA24D1" w:rsidR="00543941" w:rsidRDefault="00543941">
          <w:pPr>
            <w:pStyle w:val="TOC1"/>
            <w:tabs>
              <w:tab w:val="right" w:leader="dot" w:pos="9019"/>
            </w:tabs>
            <w:rPr>
              <w:noProof/>
            </w:rPr>
          </w:pPr>
          <w:hyperlink w:anchor="_Toc231979675" w:history="1">
            <w:r w:rsidRPr="005A064F">
              <w:rPr>
                <w:rStyle w:val="Hyperlink"/>
                <w:rFonts w:ascii="Arial" w:hAnsi="Arial"/>
                <w:noProof/>
              </w:rPr>
              <w:t>ESRS E1-6: Scope 3 Category 15 — Financed Emissions (PCAF Methodology)</w:t>
            </w:r>
            <w:r>
              <w:rPr>
                <w:noProof/>
                <w:webHidden/>
              </w:rPr>
              <w:tab/>
            </w:r>
            <w:r>
              <w:rPr>
                <w:noProof/>
                <w:webHidden/>
              </w:rPr>
              <w:fldChar w:fldCharType="begin"/>
            </w:r>
            <w:r>
              <w:rPr>
                <w:noProof/>
                <w:webHidden/>
              </w:rPr>
              <w:instrText xml:space="preserve"> PAGEREF _Toc231979675 \h </w:instrText>
            </w:r>
            <w:r>
              <w:rPr>
                <w:noProof/>
                <w:webHidden/>
              </w:rPr>
            </w:r>
            <w:r>
              <w:rPr>
                <w:noProof/>
                <w:webHidden/>
              </w:rPr>
              <w:fldChar w:fldCharType="separate"/>
            </w:r>
            <w:r>
              <w:rPr>
                <w:noProof/>
                <w:webHidden/>
              </w:rPr>
              <w:t>41</w:t>
            </w:r>
            <w:r>
              <w:rPr>
                <w:noProof/>
                <w:webHidden/>
              </w:rPr>
              <w:fldChar w:fldCharType="end"/>
            </w:r>
          </w:hyperlink>
        </w:p>
        <w:p w14:paraId="2AA1EF4E" w14:textId="6FCE7128" w:rsidR="00543941" w:rsidRDefault="00543941">
          <w:pPr>
            <w:pStyle w:val="TOC1"/>
            <w:tabs>
              <w:tab w:val="right" w:leader="dot" w:pos="9019"/>
            </w:tabs>
            <w:rPr>
              <w:noProof/>
            </w:rPr>
          </w:pPr>
          <w:hyperlink w:anchor="_Toc231979676" w:history="1">
            <w:r w:rsidRPr="005A064F">
              <w:rPr>
                <w:rStyle w:val="Hyperlink"/>
                <w:rFonts w:ascii="Arial" w:hAnsi="Arial"/>
                <w:noProof/>
              </w:rPr>
              <w:t>GRI 305-3: Other Indirect (Scope 3) GHG Emissions — PCAF Financed Emissions</w:t>
            </w:r>
            <w:r>
              <w:rPr>
                <w:noProof/>
                <w:webHidden/>
              </w:rPr>
              <w:tab/>
            </w:r>
            <w:r>
              <w:rPr>
                <w:noProof/>
                <w:webHidden/>
              </w:rPr>
              <w:fldChar w:fldCharType="begin"/>
            </w:r>
            <w:r>
              <w:rPr>
                <w:noProof/>
                <w:webHidden/>
              </w:rPr>
              <w:instrText xml:space="preserve"> PAGEREF _Toc231979676 \h </w:instrText>
            </w:r>
            <w:r>
              <w:rPr>
                <w:noProof/>
                <w:webHidden/>
              </w:rPr>
            </w:r>
            <w:r>
              <w:rPr>
                <w:noProof/>
                <w:webHidden/>
              </w:rPr>
              <w:fldChar w:fldCharType="separate"/>
            </w:r>
            <w:r>
              <w:rPr>
                <w:noProof/>
                <w:webHidden/>
              </w:rPr>
              <w:t>46</w:t>
            </w:r>
            <w:r>
              <w:rPr>
                <w:noProof/>
                <w:webHidden/>
              </w:rPr>
              <w:fldChar w:fldCharType="end"/>
            </w:r>
          </w:hyperlink>
        </w:p>
        <w:p w14:paraId="21664ECA" w14:textId="42C00EA2" w:rsidR="00543941" w:rsidRDefault="00543941">
          <w:pPr>
            <w:pStyle w:val="TOC1"/>
            <w:tabs>
              <w:tab w:val="right" w:leader="dot" w:pos="9019"/>
            </w:tabs>
            <w:rPr>
              <w:noProof/>
            </w:rPr>
          </w:pPr>
          <w:hyperlink w:anchor="_Toc231979677" w:history="1">
            <w:r w:rsidRPr="005A064F">
              <w:rPr>
                <w:rStyle w:val="Hyperlink"/>
                <w:rFonts w:ascii="Arial" w:hAnsi="Arial"/>
                <w:noProof/>
              </w:rPr>
              <w:t>GRI 305-4: GHG Emissions Intensity</w:t>
            </w:r>
            <w:r>
              <w:rPr>
                <w:noProof/>
                <w:webHidden/>
              </w:rPr>
              <w:tab/>
            </w:r>
            <w:r>
              <w:rPr>
                <w:noProof/>
                <w:webHidden/>
              </w:rPr>
              <w:fldChar w:fldCharType="begin"/>
            </w:r>
            <w:r>
              <w:rPr>
                <w:noProof/>
                <w:webHidden/>
              </w:rPr>
              <w:instrText xml:space="preserve"> PAGEREF _Toc231979677 \h </w:instrText>
            </w:r>
            <w:r>
              <w:rPr>
                <w:noProof/>
                <w:webHidden/>
              </w:rPr>
            </w:r>
            <w:r>
              <w:rPr>
                <w:noProof/>
                <w:webHidden/>
              </w:rPr>
              <w:fldChar w:fldCharType="separate"/>
            </w:r>
            <w:r>
              <w:rPr>
                <w:noProof/>
                <w:webHidden/>
              </w:rPr>
              <w:t>49</w:t>
            </w:r>
            <w:r>
              <w:rPr>
                <w:noProof/>
                <w:webHidden/>
              </w:rPr>
              <w:fldChar w:fldCharType="end"/>
            </w:r>
          </w:hyperlink>
        </w:p>
        <w:p w14:paraId="6CE971D9" w14:textId="1E402497" w:rsidR="00543941" w:rsidRDefault="00543941">
          <w:pPr>
            <w:pStyle w:val="TOC1"/>
            <w:tabs>
              <w:tab w:val="right" w:leader="dot" w:pos="9019"/>
            </w:tabs>
            <w:rPr>
              <w:noProof/>
            </w:rPr>
          </w:pPr>
          <w:hyperlink w:anchor="_Toc231979678" w:history="1">
            <w:r w:rsidRPr="005A064F">
              <w:rPr>
                <w:rStyle w:val="Hyperlink"/>
                <w:rFonts w:ascii="Arial" w:hAnsi="Arial"/>
                <w:noProof/>
              </w:rPr>
              <w:t>GRI 305-4: Intensitas Emisi GRK (GHG Emissions Intensity)</w:t>
            </w:r>
            <w:r>
              <w:rPr>
                <w:noProof/>
                <w:webHidden/>
              </w:rPr>
              <w:tab/>
            </w:r>
            <w:r>
              <w:rPr>
                <w:noProof/>
                <w:webHidden/>
              </w:rPr>
              <w:fldChar w:fldCharType="begin"/>
            </w:r>
            <w:r>
              <w:rPr>
                <w:noProof/>
                <w:webHidden/>
              </w:rPr>
              <w:instrText xml:space="preserve"> PAGEREF _Toc231979678 \h </w:instrText>
            </w:r>
            <w:r>
              <w:rPr>
                <w:noProof/>
                <w:webHidden/>
              </w:rPr>
            </w:r>
            <w:r>
              <w:rPr>
                <w:noProof/>
                <w:webHidden/>
              </w:rPr>
              <w:fldChar w:fldCharType="separate"/>
            </w:r>
            <w:r>
              <w:rPr>
                <w:noProof/>
                <w:webHidden/>
              </w:rPr>
              <w:t>51</w:t>
            </w:r>
            <w:r>
              <w:rPr>
                <w:noProof/>
                <w:webHidden/>
              </w:rPr>
              <w:fldChar w:fldCharType="end"/>
            </w:r>
          </w:hyperlink>
        </w:p>
        <w:p w14:paraId="52C18333" w14:textId="2D122E25" w:rsidR="00543941" w:rsidRDefault="00543941">
          <w:pPr>
            <w:pStyle w:val="TOC1"/>
            <w:tabs>
              <w:tab w:val="right" w:leader="dot" w:pos="9019"/>
            </w:tabs>
            <w:rPr>
              <w:noProof/>
            </w:rPr>
          </w:pPr>
          <w:hyperlink w:anchor="_Toc231979679" w:history="1">
            <w:r w:rsidRPr="005A064F">
              <w:rPr>
                <w:rStyle w:val="Hyperlink"/>
                <w:rFonts w:ascii="Arial" w:hAnsi="Arial"/>
                <w:noProof/>
              </w:rPr>
              <w:t>Social: Workforce &amp; Human Capital Disclosures</w:t>
            </w:r>
            <w:r>
              <w:rPr>
                <w:noProof/>
                <w:webHidden/>
              </w:rPr>
              <w:tab/>
            </w:r>
            <w:r>
              <w:rPr>
                <w:noProof/>
                <w:webHidden/>
              </w:rPr>
              <w:fldChar w:fldCharType="begin"/>
            </w:r>
            <w:r>
              <w:rPr>
                <w:noProof/>
                <w:webHidden/>
              </w:rPr>
              <w:instrText xml:space="preserve"> PAGEREF _Toc231979679 \h </w:instrText>
            </w:r>
            <w:r>
              <w:rPr>
                <w:noProof/>
                <w:webHidden/>
              </w:rPr>
            </w:r>
            <w:r>
              <w:rPr>
                <w:noProof/>
                <w:webHidden/>
              </w:rPr>
              <w:fldChar w:fldCharType="separate"/>
            </w:r>
            <w:r>
              <w:rPr>
                <w:noProof/>
                <w:webHidden/>
              </w:rPr>
              <w:t>55</w:t>
            </w:r>
            <w:r>
              <w:rPr>
                <w:noProof/>
                <w:webHidden/>
              </w:rPr>
              <w:fldChar w:fldCharType="end"/>
            </w:r>
          </w:hyperlink>
        </w:p>
        <w:p w14:paraId="64D30E9F" w14:textId="4D090A71" w:rsidR="00543941" w:rsidRDefault="00543941">
          <w:pPr>
            <w:pStyle w:val="TOC1"/>
            <w:tabs>
              <w:tab w:val="right" w:leader="dot" w:pos="9019"/>
            </w:tabs>
            <w:rPr>
              <w:noProof/>
            </w:rPr>
          </w:pPr>
          <w:hyperlink w:anchor="_Toc231979680" w:history="1">
            <w:r w:rsidRPr="005A064F">
              <w:rPr>
                <w:rStyle w:val="Hyperlink"/>
                <w:rFonts w:ascii="Arial" w:hAnsi="Arial"/>
                <w:noProof/>
              </w:rPr>
              <w:t>Executive Summary: Total Greenhouse Gas Emissions</w:t>
            </w:r>
            <w:r>
              <w:rPr>
                <w:noProof/>
                <w:webHidden/>
              </w:rPr>
              <w:tab/>
            </w:r>
            <w:r>
              <w:rPr>
                <w:noProof/>
                <w:webHidden/>
              </w:rPr>
              <w:fldChar w:fldCharType="begin"/>
            </w:r>
            <w:r>
              <w:rPr>
                <w:noProof/>
                <w:webHidden/>
              </w:rPr>
              <w:instrText xml:space="preserve"> PAGEREF _Toc231979680 \h </w:instrText>
            </w:r>
            <w:r>
              <w:rPr>
                <w:noProof/>
                <w:webHidden/>
              </w:rPr>
            </w:r>
            <w:r>
              <w:rPr>
                <w:noProof/>
                <w:webHidden/>
              </w:rPr>
              <w:fldChar w:fldCharType="separate"/>
            </w:r>
            <w:r>
              <w:rPr>
                <w:noProof/>
                <w:webHidden/>
              </w:rPr>
              <w:t>58</w:t>
            </w:r>
            <w:r>
              <w:rPr>
                <w:noProof/>
                <w:webHidden/>
              </w:rPr>
              <w:fldChar w:fldCharType="end"/>
            </w:r>
          </w:hyperlink>
        </w:p>
        <w:p w14:paraId="0FE4D476" w14:textId="7D3FF49C" w:rsidR="00543941" w:rsidRDefault="00543941">
          <w:pPr>
            <w:pStyle w:val="TOC1"/>
            <w:tabs>
              <w:tab w:val="right" w:leader="dot" w:pos="9019"/>
            </w:tabs>
            <w:rPr>
              <w:noProof/>
            </w:rPr>
          </w:pPr>
          <w:hyperlink w:anchor="_Toc231979681" w:history="1">
            <w:r w:rsidRPr="005A064F">
              <w:rPr>
                <w:rStyle w:val="Hyperlink"/>
                <w:rFonts w:ascii="Arial" w:hAnsi="Arial"/>
                <w:noProof/>
              </w:rPr>
              <w:t>GRI 305-5: Reduction of GHG Emissions</w:t>
            </w:r>
            <w:r>
              <w:rPr>
                <w:noProof/>
                <w:webHidden/>
              </w:rPr>
              <w:tab/>
            </w:r>
            <w:r>
              <w:rPr>
                <w:noProof/>
                <w:webHidden/>
              </w:rPr>
              <w:fldChar w:fldCharType="begin"/>
            </w:r>
            <w:r>
              <w:rPr>
                <w:noProof/>
                <w:webHidden/>
              </w:rPr>
              <w:instrText xml:space="preserve"> PAGEREF _Toc231979681 \h </w:instrText>
            </w:r>
            <w:r>
              <w:rPr>
                <w:noProof/>
                <w:webHidden/>
              </w:rPr>
            </w:r>
            <w:r>
              <w:rPr>
                <w:noProof/>
                <w:webHidden/>
              </w:rPr>
              <w:fldChar w:fldCharType="separate"/>
            </w:r>
            <w:r>
              <w:rPr>
                <w:noProof/>
                <w:webHidden/>
              </w:rPr>
              <w:t>60</w:t>
            </w:r>
            <w:r>
              <w:rPr>
                <w:noProof/>
                <w:webHidden/>
              </w:rPr>
              <w:fldChar w:fldCharType="end"/>
            </w:r>
          </w:hyperlink>
        </w:p>
        <w:p w14:paraId="58B77F85" w14:textId="7A10BF53" w:rsidR="00543941" w:rsidRDefault="00543941">
          <w:pPr>
            <w:pStyle w:val="TOC1"/>
            <w:tabs>
              <w:tab w:val="right" w:leader="dot" w:pos="9019"/>
            </w:tabs>
            <w:rPr>
              <w:noProof/>
            </w:rPr>
          </w:pPr>
          <w:hyperlink w:anchor="_Toc231979682" w:history="1">
            <w:r w:rsidRPr="005A064F">
              <w:rPr>
                <w:rStyle w:val="Hyperlink"/>
                <w:rFonts w:ascii="Arial" w:hAnsi="Arial"/>
                <w:noProof/>
              </w:rPr>
              <w:t>Appendix A: Methodology Notes</w:t>
            </w:r>
            <w:r>
              <w:rPr>
                <w:noProof/>
                <w:webHidden/>
              </w:rPr>
              <w:tab/>
            </w:r>
            <w:r>
              <w:rPr>
                <w:noProof/>
                <w:webHidden/>
              </w:rPr>
              <w:fldChar w:fldCharType="begin"/>
            </w:r>
            <w:r>
              <w:rPr>
                <w:noProof/>
                <w:webHidden/>
              </w:rPr>
              <w:instrText xml:space="preserve"> PAGEREF _Toc231979682 \h </w:instrText>
            </w:r>
            <w:r>
              <w:rPr>
                <w:noProof/>
                <w:webHidden/>
              </w:rPr>
            </w:r>
            <w:r>
              <w:rPr>
                <w:noProof/>
                <w:webHidden/>
              </w:rPr>
              <w:fldChar w:fldCharType="separate"/>
            </w:r>
            <w:r>
              <w:rPr>
                <w:noProof/>
                <w:webHidden/>
              </w:rPr>
              <w:t>63</w:t>
            </w:r>
            <w:r>
              <w:rPr>
                <w:noProof/>
                <w:webHidden/>
              </w:rPr>
              <w:fldChar w:fldCharType="end"/>
            </w:r>
          </w:hyperlink>
        </w:p>
        <w:p w14:paraId="12A3E431" w14:textId="6BB46353" w:rsidR="00543941" w:rsidRDefault="00543941">
          <w:pPr>
            <w:pStyle w:val="TOC1"/>
            <w:tabs>
              <w:tab w:val="right" w:leader="dot" w:pos="9019"/>
            </w:tabs>
            <w:rPr>
              <w:noProof/>
            </w:rPr>
          </w:pPr>
          <w:hyperlink w:anchor="_Toc231979683" w:history="1">
            <w:r w:rsidRPr="005A064F">
              <w:rPr>
                <w:rStyle w:val="Hyperlink"/>
                <w:rFonts w:ascii="Arial" w:hAnsi="Arial"/>
                <w:noProof/>
              </w:rPr>
              <w:t>Appendix B: Data Quality Summary</w:t>
            </w:r>
            <w:r>
              <w:rPr>
                <w:noProof/>
                <w:webHidden/>
              </w:rPr>
              <w:tab/>
            </w:r>
            <w:r>
              <w:rPr>
                <w:noProof/>
                <w:webHidden/>
              </w:rPr>
              <w:fldChar w:fldCharType="begin"/>
            </w:r>
            <w:r>
              <w:rPr>
                <w:noProof/>
                <w:webHidden/>
              </w:rPr>
              <w:instrText xml:space="preserve"> PAGEREF _Toc231979683 \h </w:instrText>
            </w:r>
            <w:r>
              <w:rPr>
                <w:noProof/>
                <w:webHidden/>
              </w:rPr>
            </w:r>
            <w:r>
              <w:rPr>
                <w:noProof/>
                <w:webHidden/>
              </w:rPr>
              <w:fldChar w:fldCharType="separate"/>
            </w:r>
            <w:r>
              <w:rPr>
                <w:noProof/>
                <w:webHidden/>
              </w:rPr>
              <w:t>63</w:t>
            </w:r>
            <w:r>
              <w:rPr>
                <w:noProof/>
                <w:webHidden/>
              </w:rPr>
              <w:fldChar w:fldCharType="end"/>
            </w:r>
          </w:hyperlink>
        </w:p>
        <w:p w14:paraId="3475DB3B" w14:textId="4F9D9A43" w:rsidR="00543941" w:rsidRDefault="00543941">
          <w:pPr>
            <w:pStyle w:val="TOC1"/>
            <w:tabs>
              <w:tab w:val="right" w:leader="dot" w:pos="9019"/>
            </w:tabs>
            <w:rPr>
              <w:noProof/>
            </w:rPr>
          </w:pPr>
          <w:hyperlink w:anchor="_Toc231979684" w:history="1">
            <w:r w:rsidRPr="005A064F">
              <w:rPr>
                <w:rStyle w:val="Hyperlink"/>
                <w:rFonts w:ascii="Arial" w:hAnsi="Arial"/>
                <w:noProof/>
              </w:rPr>
              <w:t>Appendix C: GRI Content Index</w:t>
            </w:r>
            <w:r>
              <w:rPr>
                <w:noProof/>
                <w:webHidden/>
              </w:rPr>
              <w:tab/>
            </w:r>
            <w:r>
              <w:rPr>
                <w:noProof/>
                <w:webHidden/>
              </w:rPr>
              <w:fldChar w:fldCharType="begin"/>
            </w:r>
            <w:r>
              <w:rPr>
                <w:noProof/>
                <w:webHidden/>
              </w:rPr>
              <w:instrText xml:space="preserve"> PAGEREF _Toc231979684 \h </w:instrText>
            </w:r>
            <w:r>
              <w:rPr>
                <w:noProof/>
                <w:webHidden/>
              </w:rPr>
            </w:r>
            <w:r>
              <w:rPr>
                <w:noProof/>
                <w:webHidden/>
              </w:rPr>
              <w:fldChar w:fldCharType="separate"/>
            </w:r>
            <w:r>
              <w:rPr>
                <w:noProof/>
                <w:webHidden/>
              </w:rPr>
              <w:t>63</w:t>
            </w:r>
            <w:r>
              <w:rPr>
                <w:noProof/>
                <w:webHidden/>
              </w:rPr>
              <w:fldChar w:fldCharType="end"/>
            </w:r>
          </w:hyperlink>
        </w:p>
        <w:p w14:paraId="30516C9D" w14:textId="6C33CB9D" w:rsidR="00543941" w:rsidRDefault="00543941">
          <w:r>
            <w:rPr>
              <w:b/>
              <w:bCs/>
              <w:noProof/>
            </w:rPr>
            <w:fldChar w:fldCharType="end"/>
          </w:r>
        </w:p>
      </w:sdtContent>
    </w:sdt>
    <w:p w14:paraId="005E2B38" w14:textId="77777777" w:rsidR="00AD4FA5" w:rsidRDefault="00000000">
      <w:r>
        <w:br w:type="page"/>
      </w:r>
    </w:p>
    <w:p w14:paraId="37ACC355" w14:textId="77777777" w:rsidR="00AD4FA5" w:rsidRDefault="00000000">
      <w:pPr>
        <w:pStyle w:val="Heading1"/>
        <w:spacing w:after="240"/>
      </w:pPr>
      <w:bookmarkStart w:id="3" w:name="_Toc231979666"/>
      <w:r>
        <w:rPr>
          <w:rFonts w:ascii="Arial" w:hAnsi="Arial"/>
          <w:color w:val="1B3A6B"/>
          <w:sz w:val="36"/>
        </w:rPr>
        <w:lastRenderedPageBreak/>
        <w:t>GRI 305-1: Direct (Scope 1) GHG Emissions</w:t>
      </w:r>
      <w:bookmarkEnd w:id="3"/>
    </w:p>
    <w:p w14:paraId="79CE725D" w14:textId="77777777" w:rsidR="00AD4FA5" w:rsidRDefault="00000000">
      <w:pPr>
        <w:spacing w:after="160"/>
        <w:jc w:val="both"/>
      </w:pPr>
      <w:r>
        <w:rPr>
          <w:rFonts w:ascii="Arial" w:hAnsi="Arial"/>
        </w:rPr>
        <w:t>The organization's gross direct (Scope 1) GHG emissions for the reporting period totaled 3402.997 metric tons of CO₂ equivalent (tCO₂e). These emissions arise from stationary combustion sources under the organization's operational control, specifically natural gas and diesel fuel consumption across the institution's facilities. Scope 1 emissions represent direct releases of greenhouse gases from sources owned or controlled by the organization, as defined by the GHG Protocol Corporate Accounting and Reporting Standard.</w:t>
      </w:r>
    </w:p>
    <w:p w14:paraId="000643E3" w14:textId="77777777" w:rsidR="00AD4FA5" w:rsidRDefault="00000000">
      <w:pPr>
        <w:spacing w:after="160"/>
        <w:jc w:val="both"/>
      </w:pPr>
      <w:r>
        <w:rPr>
          <w:rFonts w:ascii="Arial" w:hAnsi="Arial"/>
        </w:rPr>
        <w:t>The emission sources comprised natural gas combustion contributing 1199.7924 tCO₂e (35.3% of total Scope 1) and diesel combustion contributing 2203.2044 tCO₂e (64.7% of total Scope 1). Diesel combustion remains the dominant source of direct emissions, primarily from backup generators and emergency power systems at branch locations and data centers. Natural gas consumption occurs at facilities with centralized heating, ventilation, and air conditioning (HVAC) systems utilizing gas-fired boilers.</w:t>
      </w:r>
    </w:p>
    <w:p w14:paraId="0B6716BD" w14:textId="77777777" w:rsidR="00AD4FA5" w:rsidRDefault="00000000">
      <w:pPr>
        <w:spacing w:after="160"/>
        <w:jc w:val="both"/>
      </w:pPr>
      <w:r>
        <w:rPr>
          <w:rFonts w:ascii="Arial" w:hAnsi="Arial"/>
          <w:i/>
        </w:rPr>
        <w:t>The organization calculated Scope 1 emissions using the GHG Protocol Corporate Accounting and Reporting Standard (2015 revision) with emission factors sourced from Indonesia's Ministry of Environment and Forestry (KLHK) Technical Guidelines for GHG Inventory (2022). Global warming potential (GWP) values applied were sourced from the Intergovernmental Panel on Climate Change (IPCC) Sixth Assessment Report (AR6) using 100-year time horizon values: CO₂ = 1, CH₄ = 29.8, N₂O = 273.0. The consolidation approach applied was operational control, whereby the organization accounts for 100% of emissions from operations over which it has operational control, regardless of equity share. Gases included in the calculation were carbon dioxide (CO₂), methane (CH₄), and nitrous oxide (N₂O). The organization did not report biogenic CO₂ emissions as biomass fuel consumption was immaterial during the reporting period.</w:t>
      </w:r>
    </w:p>
    <w:p w14:paraId="0CDFF7C7" w14:textId="77777777" w:rsidR="00AD4FA5" w:rsidRDefault="00000000">
      <w:pPr>
        <w:spacing w:after="160"/>
        <w:jc w:val="both"/>
      </w:pPr>
      <w:r>
        <w:rPr>
          <w:rFonts w:ascii="Arial" w:hAnsi="Arial"/>
        </w:rPr>
        <w:t>Compared to the prior reporting year (2023), Scope 1 emissions increased by 2.36%, rising from 3324.521 tCO₂e to 3402.997 tCO₂e. The increase of 78.476 tCO₂e was attributable to diesel consumption, which increased by 77.7156 tCO₂e (3.66% increase), while natural gas emissions remained relatively stable with an increase of 0.7603 tCO₂e (0.06% increase). The diesel consumption increase resulted from extended backup generator runtime during grid instability events in Q2 and Q3 2024, particularly affecting facilities in Jakarta and Surabaya regions. Natural gas consumption stability reflects consistent HVAC operational patterns across the facility portfolio.</w:t>
      </w:r>
    </w:p>
    <w:p w14:paraId="07314763" w14:textId="77777777" w:rsidR="00AD4FA5" w:rsidRDefault="00000000">
      <w:pPr>
        <w:spacing w:after="160"/>
        <w:jc w:val="both"/>
      </w:pPr>
      <w:r>
        <w:rPr>
          <w:rFonts w:ascii="Arial" w:hAnsi="Arial"/>
        </w:rPr>
        <w:t>The base year for Scope 1 emissions is 2023, selected as the first year of comprehensive facility-level emissions tracking following the implementation of the organization's enterprise sustainability data management system. Base year emissions totaled 3324.521 tCO₂e. The organization has not performed base year recalculations during the current reporting period. Future recalculations will be triggered by structural changes including mergers, acquisitions, divestments, or changes in calculation methodology, consistent with GHG Protocol guidance requiring recalculation when cumulative emissions changes exceed 5% of base year emissions.</w:t>
      </w:r>
    </w:p>
    <w:p w14:paraId="088C43D4" w14:textId="77777777" w:rsidR="00AD4FA5" w:rsidRDefault="00000000">
      <w:pPr>
        <w:spacing w:after="160"/>
        <w:jc w:val="both"/>
      </w:pPr>
      <w:r>
        <w:rPr>
          <w:rFonts w:ascii="Arial" w:hAnsi="Arial"/>
          <w:i/>
          <w:color w:val="555555"/>
        </w:rPr>
        <w:t>**Advisory Recommendations:**</w:t>
      </w:r>
      <w:r>
        <w:rPr>
          <w:rFonts w:ascii="Arial" w:hAnsi="Arial"/>
          <w:i/>
          <w:color w:val="555555"/>
        </w:rPr>
        <w:br/>
      </w:r>
      <w:r>
        <w:rPr>
          <w:rFonts w:ascii="Arial" w:hAnsi="Arial"/>
          <w:i/>
          <w:color w:val="555555"/>
        </w:rPr>
        <w:br/>
        <w:t xml:space="preserve">**Finding 1**: Scope 1 emissions increased 2.36% year-over-year, driven primarily by diesel </w:t>
      </w:r>
      <w:r>
        <w:rPr>
          <w:rFonts w:ascii="Arial" w:hAnsi="Arial"/>
          <w:i/>
          <w:color w:val="555555"/>
        </w:rPr>
        <w:lastRenderedPageBreak/>
        <w:t>generator runtime during grid instability events.</w:t>
      </w:r>
      <w:r>
        <w:rPr>
          <w:rFonts w:ascii="Arial" w:hAnsi="Arial"/>
          <w:i/>
          <w:color w:val="555555"/>
        </w:rPr>
        <w:br/>
      </w:r>
      <w:r>
        <w:rPr>
          <w:rFonts w:ascii="Arial" w:hAnsi="Arial"/>
          <w:i/>
          <w:color w:val="555555"/>
        </w:rPr>
        <w:br/>
        <w:t>**Benchmark**: DBS Group achieved a 12% reduction in total operational emissions (Scope 1+2) through renewable energy procurement (62% RE100 achievement) and green building certifications. BRI implemented energy-efficient infrastructure at BRILiaN Tower, achieving 19.49% electricity savings through GBCI Gold certification.</w:t>
      </w:r>
      <w:r>
        <w:rPr>
          <w:rFonts w:ascii="Arial" w:hAnsi="Arial"/>
          <w:i/>
          <w:color w:val="555555"/>
        </w:rPr>
        <w:br/>
      </w:r>
      <w:r>
        <w:rPr>
          <w:rFonts w:ascii="Arial" w:hAnsi="Arial"/>
          <w:i/>
          <w:color w:val="555555"/>
        </w:rPr>
        <w:br/>
        <w:t>**Recommendation**: Implement uninterruptible power supply (UPS) systems with lithium-ion battery storage at high-criticality facilities to reduce diesel generator dependency during short-duration grid interruptions. Prioritize facilities with &gt;100 hours annual generator runtime. Target 30% reduction in diesel-related Scope 1 emissions by 2026.</w:t>
      </w:r>
      <w:r>
        <w:rPr>
          <w:rFonts w:ascii="Arial" w:hAnsi="Arial"/>
          <w:i/>
          <w:color w:val="555555"/>
        </w:rPr>
        <w:br/>
      </w:r>
      <w:r>
        <w:rPr>
          <w:rFonts w:ascii="Arial" w:hAnsi="Arial"/>
          <w:i/>
          <w:color w:val="555555"/>
        </w:rPr>
        <w:br/>
        <w:t>**Reference**: DBS Group's operational emissions reduction strategy included infrastructure upgrades and renewable energy integration. BRI's green building certification at BRILiaN Tower demonstrates feasibility of significant energy savings through facility-level interventions.</w:t>
      </w:r>
      <w:r>
        <w:rPr>
          <w:rFonts w:ascii="Arial" w:hAnsi="Arial"/>
          <w:i/>
          <w:color w:val="555555"/>
        </w:rPr>
        <w:br/>
      </w:r>
      <w:r>
        <w:rPr>
          <w:rFonts w:ascii="Arial" w:hAnsi="Arial"/>
          <w:i/>
          <w:color w:val="555555"/>
        </w:rPr>
        <w:br/>
        <w:t>**Priority**: High</w:t>
      </w:r>
      <w:r>
        <w:rPr>
          <w:rFonts w:ascii="Arial" w:hAnsi="Arial"/>
          <w:i/>
          <w:color w:val="555555"/>
        </w:rPr>
        <w:br/>
      </w:r>
      <w:r>
        <w:rPr>
          <w:rFonts w:ascii="Arial" w:hAnsi="Arial"/>
          <w:i/>
          <w:color w:val="555555"/>
        </w:rPr>
        <w:br/>
        <w:t>---</w:t>
      </w:r>
      <w:r>
        <w:rPr>
          <w:rFonts w:ascii="Arial" w:hAnsi="Arial"/>
          <w:i/>
          <w:color w:val="555555"/>
        </w:rPr>
        <w:br/>
      </w:r>
      <w:r>
        <w:rPr>
          <w:rFonts w:ascii="Arial" w:hAnsi="Arial"/>
          <w:i/>
          <w:color w:val="555555"/>
        </w:rPr>
        <w:br/>
        <w:t>**Finding 2**: Natural gas combustion accounts for 35.3% of Scope 1 emissions with minimal year-over-year change, indicating stable but unoptimized HVAC operations.</w:t>
      </w:r>
      <w:r>
        <w:rPr>
          <w:rFonts w:ascii="Arial" w:hAnsi="Arial"/>
          <w:i/>
          <w:color w:val="555555"/>
        </w:rPr>
        <w:br/>
      </w:r>
      <w:r>
        <w:rPr>
          <w:rFonts w:ascii="Arial" w:hAnsi="Arial"/>
          <w:i/>
          <w:color w:val="555555"/>
        </w:rPr>
        <w:br/>
        <w:t>**Benchmark**: DBS Group facilities utilize building management systems (BMS) with automated HVAC optimization, contributing to overall operational efficiency gains. OCBC Indonesia implemented green office programs focusing on energy management systems.</w:t>
      </w:r>
      <w:r>
        <w:rPr>
          <w:rFonts w:ascii="Arial" w:hAnsi="Arial"/>
          <w:i/>
          <w:color w:val="555555"/>
        </w:rPr>
        <w:br/>
      </w:r>
      <w:r>
        <w:rPr>
          <w:rFonts w:ascii="Arial" w:hAnsi="Arial"/>
          <w:i/>
          <w:color w:val="555555"/>
        </w:rPr>
        <w:br/>
        <w:t>**Recommendation**: Deploy building management systems (BMS) with AI-driven HVAC optimization at the 10 highest natural gas-consuming facilities (representing approximately 45% of total natural gas emissions based on facility-level data patterns). Implement occupancy-based zone control and predictive maintenance protocols. Target 15% reduction in natural gas intensity (tCO₂e per square meter) by 2026.</w:t>
      </w:r>
      <w:r>
        <w:rPr>
          <w:rFonts w:ascii="Arial" w:hAnsi="Arial"/>
          <w:i/>
          <w:color w:val="555555"/>
        </w:rPr>
        <w:br/>
      </w:r>
      <w:r>
        <w:rPr>
          <w:rFonts w:ascii="Arial" w:hAnsi="Arial"/>
          <w:i/>
          <w:color w:val="555555"/>
        </w:rPr>
        <w:br/>
        <w:t>**Reference**: DBS Group's operational control systems and OCBC Indonesia's green office initiatives demonstrate proven pathways for HVAC efficiency improvements in banking facilities.</w:t>
      </w:r>
      <w:r>
        <w:rPr>
          <w:rFonts w:ascii="Arial" w:hAnsi="Arial"/>
          <w:i/>
          <w:color w:val="555555"/>
        </w:rPr>
        <w:br/>
      </w:r>
      <w:r>
        <w:rPr>
          <w:rFonts w:ascii="Arial" w:hAnsi="Arial"/>
          <w:i/>
          <w:color w:val="555555"/>
        </w:rPr>
        <w:br/>
        <w:t>**Priority**: Medium</w:t>
      </w:r>
      <w:r>
        <w:rPr>
          <w:rFonts w:ascii="Arial" w:hAnsi="Arial"/>
          <w:i/>
          <w:color w:val="555555"/>
        </w:rPr>
        <w:br/>
      </w:r>
      <w:r>
        <w:rPr>
          <w:rFonts w:ascii="Arial" w:hAnsi="Arial"/>
          <w:i/>
          <w:color w:val="555555"/>
        </w:rPr>
        <w:br/>
        <w:t>---</w:t>
      </w:r>
      <w:r>
        <w:rPr>
          <w:rFonts w:ascii="Arial" w:hAnsi="Arial"/>
          <w:i/>
          <w:color w:val="555555"/>
        </w:rPr>
        <w:br/>
      </w:r>
      <w:r>
        <w:rPr>
          <w:rFonts w:ascii="Arial" w:hAnsi="Arial"/>
          <w:i/>
          <w:color w:val="555555"/>
        </w:rPr>
        <w:br/>
        <w:t>**Finding 3**: The organization's total Scope 1 emissions (3402.997 tCO₂e) are comparable to DBS Group's 2023 Scope 1 emissions (3,421 tCO₂e) despite likely differences in operational scale, suggesting potential for further optimization.</w:t>
      </w:r>
      <w:r>
        <w:rPr>
          <w:rFonts w:ascii="Arial" w:hAnsi="Arial"/>
          <w:i/>
          <w:color w:val="555555"/>
        </w:rPr>
        <w:br/>
      </w:r>
      <w:r>
        <w:rPr>
          <w:rFonts w:ascii="Arial" w:hAnsi="Arial"/>
          <w:i/>
          <w:color w:val="555555"/>
        </w:rPr>
        <w:br/>
        <w:t xml:space="preserve">**Benchmark**: BRI achieved Scope 1 emissions of approximately 12,500 tCO₂e across a significantly larger branch network, indicating economies of scale in emissions management. </w:t>
      </w:r>
      <w:r>
        <w:rPr>
          <w:rFonts w:ascii="Arial" w:hAnsi="Arial"/>
          <w:i/>
          <w:color w:val="555555"/>
        </w:rPr>
        <w:lastRenderedPageBreak/>
        <w:t>BRI became Indonesia's first financial institution to submit an SBTi commitment letter, establishing a 2050 carbon neutrality target.</w:t>
      </w:r>
      <w:r>
        <w:rPr>
          <w:rFonts w:ascii="Arial" w:hAnsi="Arial"/>
          <w:i/>
          <w:color w:val="555555"/>
        </w:rPr>
        <w:br/>
      </w:r>
      <w:r>
        <w:rPr>
          <w:rFonts w:ascii="Arial" w:hAnsi="Arial"/>
          <w:i/>
          <w:color w:val="555555"/>
        </w:rPr>
        <w:br/>
        <w:t>**Recommendation**: Establish science-based emissions reduction targets aligned with the Science Based Targets initiative (SBTi) Financial Sector Guidance. Set interim 2030 target of 42% absolute Scope 1 reduction from 2023 base year (consistent with 1.5°C pathway). Develop facility-level emissions budgets and integrate into operational KPIs.</w:t>
      </w:r>
      <w:r>
        <w:rPr>
          <w:rFonts w:ascii="Arial" w:hAnsi="Arial"/>
          <w:i/>
          <w:color w:val="555555"/>
        </w:rPr>
        <w:br/>
      </w:r>
      <w:r>
        <w:rPr>
          <w:rFonts w:ascii="Arial" w:hAnsi="Arial"/>
          <w:i/>
          <w:color w:val="555555"/>
        </w:rPr>
        <w:br/>
        <w:t>**Reference**: BRI's SBTi commitment represents best practice for Indonesian financial institutions in establishing credible, science-aligned decarbonization pathways.</w:t>
      </w:r>
      <w:r>
        <w:rPr>
          <w:rFonts w:ascii="Arial" w:hAnsi="Arial"/>
          <w:i/>
          <w:color w:val="555555"/>
        </w:rPr>
        <w:br/>
      </w:r>
      <w:r>
        <w:rPr>
          <w:rFonts w:ascii="Arial" w:hAnsi="Arial"/>
          <w:i/>
          <w:color w:val="555555"/>
        </w:rPr>
        <w:br/>
        <w:t>**Priority**: High</w:t>
      </w:r>
    </w:p>
    <w:p w14:paraId="0812D968" w14:textId="77777777" w:rsidR="00AD4FA5" w:rsidRDefault="00000000">
      <w:r>
        <w:rPr>
          <w:rFonts w:ascii="Arial" w:hAnsi="Arial"/>
          <w:b/>
          <w:sz w:val="20"/>
        </w:rPr>
        <w:t>Table 1: Scope 1 GHG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AD4FA5" w14:paraId="675ADC00" w14:textId="77777777">
        <w:trPr>
          <w:jc w:val="center"/>
        </w:trPr>
        <w:tc>
          <w:tcPr>
            <w:tcW w:w="1806" w:type="dxa"/>
            <w:shd w:val="clear" w:color="auto" w:fill="1B3A6B"/>
          </w:tcPr>
          <w:p w14:paraId="562B0D57" w14:textId="77777777" w:rsidR="00AD4FA5" w:rsidRDefault="00000000">
            <w:r>
              <w:rPr>
                <w:rFonts w:ascii="Arial" w:hAnsi="Arial"/>
                <w:b/>
                <w:color w:val="FFFFFF"/>
                <w:sz w:val="18"/>
              </w:rPr>
              <w:t>Emission Source</w:t>
            </w:r>
          </w:p>
        </w:tc>
        <w:tc>
          <w:tcPr>
            <w:tcW w:w="1806" w:type="dxa"/>
            <w:shd w:val="clear" w:color="auto" w:fill="1B3A6B"/>
          </w:tcPr>
          <w:p w14:paraId="4CABB0D8" w14:textId="77777777" w:rsidR="00AD4FA5" w:rsidRDefault="00000000">
            <w:r>
              <w:rPr>
                <w:rFonts w:ascii="Arial" w:hAnsi="Arial"/>
                <w:b/>
                <w:color w:val="FFFFFF"/>
                <w:sz w:val="18"/>
              </w:rPr>
              <w:t>Emissions (tCO₂e)</w:t>
            </w:r>
          </w:p>
        </w:tc>
        <w:tc>
          <w:tcPr>
            <w:tcW w:w="1806" w:type="dxa"/>
            <w:shd w:val="clear" w:color="auto" w:fill="1B3A6B"/>
          </w:tcPr>
          <w:p w14:paraId="71AC27DB" w14:textId="77777777" w:rsidR="00AD4FA5" w:rsidRDefault="00000000">
            <w:r>
              <w:rPr>
                <w:rFonts w:ascii="Arial" w:hAnsi="Arial"/>
                <w:b/>
                <w:color w:val="FFFFFF"/>
                <w:sz w:val="18"/>
              </w:rPr>
              <w:t>Percentage of Total Scope 1</w:t>
            </w:r>
          </w:p>
        </w:tc>
        <w:tc>
          <w:tcPr>
            <w:tcW w:w="1806" w:type="dxa"/>
            <w:shd w:val="clear" w:color="auto" w:fill="1B3A6B"/>
          </w:tcPr>
          <w:p w14:paraId="7481F125" w14:textId="77777777" w:rsidR="00AD4FA5" w:rsidRDefault="00000000">
            <w:r>
              <w:rPr>
                <w:rFonts w:ascii="Arial" w:hAnsi="Arial"/>
                <w:b/>
                <w:color w:val="FFFFFF"/>
                <w:sz w:val="18"/>
              </w:rPr>
              <w:t>Primary Fuel Type</w:t>
            </w:r>
          </w:p>
        </w:tc>
        <w:tc>
          <w:tcPr>
            <w:tcW w:w="1806" w:type="dxa"/>
            <w:shd w:val="clear" w:color="auto" w:fill="1B3A6B"/>
          </w:tcPr>
          <w:p w14:paraId="380D0A8F" w14:textId="77777777" w:rsidR="00AD4FA5" w:rsidRDefault="00000000">
            <w:r>
              <w:rPr>
                <w:rFonts w:ascii="Arial" w:hAnsi="Arial"/>
                <w:b/>
                <w:color w:val="FFFFFF"/>
                <w:sz w:val="18"/>
              </w:rPr>
              <w:t>Activity Data</w:t>
            </w:r>
          </w:p>
        </w:tc>
      </w:tr>
      <w:tr w:rsidR="00AD4FA5" w14:paraId="18AFE08E" w14:textId="77777777">
        <w:trPr>
          <w:jc w:val="center"/>
        </w:trPr>
        <w:tc>
          <w:tcPr>
            <w:tcW w:w="1806" w:type="dxa"/>
          </w:tcPr>
          <w:p w14:paraId="23B6D3DA" w14:textId="77777777" w:rsidR="00AD4FA5" w:rsidRDefault="00000000">
            <w:r>
              <w:rPr>
                <w:rFonts w:ascii="Arial" w:hAnsi="Arial"/>
                <w:sz w:val="18"/>
              </w:rPr>
              <w:t>Natural Gas Combustion</w:t>
            </w:r>
          </w:p>
        </w:tc>
        <w:tc>
          <w:tcPr>
            <w:tcW w:w="1806" w:type="dxa"/>
          </w:tcPr>
          <w:p w14:paraId="37EA2298" w14:textId="77777777" w:rsidR="00AD4FA5" w:rsidRDefault="00000000">
            <w:pPr>
              <w:jc w:val="right"/>
            </w:pPr>
            <w:r>
              <w:rPr>
                <w:rFonts w:ascii="Arial" w:hAnsi="Arial"/>
                <w:sz w:val="18"/>
              </w:rPr>
              <w:t>1199.7924</w:t>
            </w:r>
          </w:p>
        </w:tc>
        <w:tc>
          <w:tcPr>
            <w:tcW w:w="1806" w:type="dxa"/>
          </w:tcPr>
          <w:p w14:paraId="2C3DF73D" w14:textId="77777777" w:rsidR="00AD4FA5" w:rsidRDefault="00000000">
            <w:pPr>
              <w:jc w:val="right"/>
            </w:pPr>
            <w:r>
              <w:rPr>
                <w:rFonts w:ascii="Arial" w:hAnsi="Arial"/>
                <w:sz w:val="18"/>
              </w:rPr>
              <w:t>35.3%</w:t>
            </w:r>
          </w:p>
        </w:tc>
        <w:tc>
          <w:tcPr>
            <w:tcW w:w="1806" w:type="dxa"/>
          </w:tcPr>
          <w:p w14:paraId="6042A6B7" w14:textId="77777777" w:rsidR="00AD4FA5" w:rsidRDefault="00000000">
            <w:r>
              <w:rPr>
                <w:rFonts w:ascii="Arial" w:hAnsi="Arial"/>
                <w:sz w:val="18"/>
              </w:rPr>
              <w:t>Natural Gas</w:t>
            </w:r>
          </w:p>
        </w:tc>
        <w:tc>
          <w:tcPr>
            <w:tcW w:w="1806" w:type="dxa"/>
          </w:tcPr>
          <w:p w14:paraId="7802A639" w14:textId="77777777" w:rsidR="00AD4FA5" w:rsidRDefault="00000000">
            <w:r>
              <w:rPr>
                <w:rFonts w:ascii="Arial" w:hAnsi="Arial"/>
                <w:sz w:val="18"/>
              </w:rPr>
              <w:t>21,362.4 GJ consumed</w:t>
            </w:r>
          </w:p>
        </w:tc>
      </w:tr>
      <w:tr w:rsidR="00AD4FA5" w14:paraId="24F459AA" w14:textId="77777777">
        <w:trPr>
          <w:jc w:val="center"/>
        </w:trPr>
        <w:tc>
          <w:tcPr>
            <w:tcW w:w="1806" w:type="dxa"/>
            <w:shd w:val="clear" w:color="auto" w:fill="F2F6FC"/>
          </w:tcPr>
          <w:p w14:paraId="2E466734" w14:textId="77777777" w:rsidR="00AD4FA5" w:rsidRDefault="00000000">
            <w:r>
              <w:rPr>
                <w:rFonts w:ascii="Arial" w:hAnsi="Arial"/>
                <w:sz w:val="18"/>
              </w:rPr>
              <w:t>Diesel Combustion</w:t>
            </w:r>
          </w:p>
        </w:tc>
        <w:tc>
          <w:tcPr>
            <w:tcW w:w="1806" w:type="dxa"/>
            <w:shd w:val="clear" w:color="auto" w:fill="F2F6FC"/>
          </w:tcPr>
          <w:p w14:paraId="5DF1F188" w14:textId="77777777" w:rsidR="00AD4FA5" w:rsidRDefault="00000000">
            <w:pPr>
              <w:jc w:val="right"/>
            </w:pPr>
            <w:r>
              <w:rPr>
                <w:rFonts w:ascii="Arial" w:hAnsi="Arial"/>
                <w:sz w:val="18"/>
              </w:rPr>
              <w:t>2203.2044</w:t>
            </w:r>
          </w:p>
        </w:tc>
        <w:tc>
          <w:tcPr>
            <w:tcW w:w="1806" w:type="dxa"/>
            <w:shd w:val="clear" w:color="auto" w:fill="F2F6FC"/>
          </w:tcPr>
          <w:p w14:paraId="25CBDEBA" w14:textId="77777777" w:rsidR="00AD4FA5" w:rsidRDefault="00000000">
            <w:pPr>
              <w:jc w:val="right"/>
            </w:pPr>
            <w:r>
              <w:rPr>
                <w:rFonts w:ascii="Arial" w:hAnsi="Arial"/>
                <w:sz w:val="18"/>
              </w:rPr>
              <w:t>64.7%</w:t>
            </w:r>
          </w:p>
        </w:tc>
        <w:tc>
          <w:tcPr>
            <w:tcW w:w="1806" w:type="dxa"/>
            <w:shd w:val="clear" w:color="auto" w:fill="F2F6FC"/>
          </w:tcPr>
          <w:p w14:paraId="192C43C3" w14:textId="77777777" w:rsidR="00AD4FA5" w:rsidRDefault="00000000">
            <w:r>
              <w:rPr>
                <w:rFonts w:ascii="Arial" w:hAnsi="Arial"/>
                <w:sz w:val="18"/>
              </w:rPr>
              <w:t>Diesel Fuel</w:t>
            </w:r>
          </w:p>
        </w:tc>
        <w:tc>
          <w:tcPr>
            <w:tcW w:w="1806" w:type="dxa"/>
            <w:shd w:val="clear" w:color="auto" w:fill="F2F6FC"/>
          </w:tcPr>
          <w:p w14:paraId="52306089" w14:textId="77777777" w:rsidR="00AD4FA5" w:rsidRDefault="00000000">
            <w:r>
              <w:rPr>
                <w:rFonts w:ascii="Arial" w:hAnsi="Arial"/>
                <w:sz w:val="18"/>
              </w:rPr>
              <w:t>856,967 liters consumed</w:t>
            </w:r>
          </w:p>
        </w:tc>
      </w:tr>
      <w:tr w:rsidR="00AD4FA5" w14:paraId="66538BF4" w14:textId="77777777">
        <w:trPr>
          <w:jc w:val="center"/>
        </w:trPr>
        <w:tc>
          <w:tcPr>
            <w:tcW w:w="1806" w:type="dxa"/>
          </w:tcPr>
          <w:p w14:paraId="4D2085D4" w14:textId="77777777" w:rsidR="00AD4FA5" w:rsidRDefault="00000000">
            <w:r>
              <w:rPr>
                <w:rFonts w:ascii="Arial" w:hAnsi="Arial"/>
                <w:sz w:val="18"/>
              </w:rPr>
              <w:t>**Total Scope 1**</w:t>
            </w:r>
          </w:p>
        </w:tc>
        <w:tc>
          <w:tcPr>
            <w:tcW w:w="1806" w:type="dxa"/>
          </w:tcPr>
          <w:p w14:paraId="73BB0342" w14:textId="77777777" w:rsidR="00AD4FA5" w:rsidRDefault="00000000">
            <w:r>
              <w:rPr>
                <w:rFonts w:ascii="Arial" w:hAnsi="Arial"/>
                <w:sz w:val="18"/>
              </w:rPr>
              <w:t>**3402.997**</w:t>
            </w:r>
          </w:p>
        </w:tc>
        <w:tc>
          <w:tcPr>
            <w:tcW w:w="1806" w:type="dxa"/>
          </w:tcPr>
          <w:p w14:paraId="6878F4BC" w14:textId="77777777" w:rsidR="00AD4FA5" w:rsidRDefault="00000000">
            <w:r>
              <w:rPr>
                <w:rFonts w:ascii="Arial" w:hAnsi="Arial"/>
                <w:sz w:val="18"/>
              </w:rPr>
              <w:t>**100.0%**</w:t>
            </w:r>
          </w:p>
        </w:tc>
        <w:tc>
          <w:tcPr>
            <w:tcW w:w="1806" w:type="dxa"/>
          </w:tcPr>
          <w:p w14:paraId="0351B095" w14:textId="77777777" w:rsidR="00AD4FA5" w:rsidRDefault="00000000">
            <w:r>
              <w:rPr>
                <w:rFonts w:ascii="Arial" w:hAnsi="Arial"/>
                <w:sz w:val="18"/>
              </w:rPr>
              <w:t>—</w:t>
            </w:r>
          </w:p>
        </w:tc>
        <w:tc>
          <w:tcPr>
            <w:tcW w:w="1806" w:type="dxa"/>
          </w:tcPr>
          <w:p w14:paraId="6FF00743" w14:textId="77777777" w:rsidR="00AD4FA5" w:rsidRDefault="00000000">
            <w:r>
              <w:rPr>
                <w:rFonts w:ascii="Arial" w:hAnsi="Arial"/>
                <w:sz w:val="18"/>
              </w:rPr>
              <w:t>—</w:t>
            </w:r>
          </w:p>
        </w:tc>
      </w:tr>
    </w:tbl>
    <w:p w14:paraId="2E2CEEBA" w14:textId="77777777" w:rsidR="00AD4FA5" w:rsidRDefault="00000000">
      <w:r>
        <w:rPr>
          <w:rFonts w:ascii="Arial" w:hAnsi="Arial"/>
          <w:i/>
          <w:sz w:val="16"/>
        </w:rPr>
        <w:t>Source: Source: Organization's facility-level energy consumption records and emissions calculations per GHG Protocol Corporate Standard. Emission factors from Indonesia Ministry of Environment and Forestry (KLHK) 2022 Technical Guidelines. GWP values from IPCC AR6.</w:t>
      </w:r>
    </w:p>
    <w:p w14:paraId="0CCF1C4E" w14:textId="77777777" w:rsidR="00AD4FA5" w:rsidRDefault="00AD4FA5"/>
    <w:p w14:paraId="007DA1CC" w14:textId="77777777" w:rsidR="00AD4FA5" w:rsidRDefault="00000000">
      <w:r>
        <w:rPr>
          <w:rFonts w:ascii="Arial" w:hAnsi="Arial"/>
          <w:b/>
          <w:sz w:val="20"/>
        </w:rPr>
        <w:t>Table 2: Scope 1 Emissions Year-over-Year Comparison</w:t>
      </w:r>
    </w:p>
    <w:tbl>
      <w:tblPr>
        <w:tblW w:w="0" w:type="auto"/>
        <w:jc w:val="center"/>
        <w:tblLook w:val="04A0" w:firstRow="1" w:lastRow="0" w:firstColumn="1" w:lastColumn="0" w:noHBand="0" w:noVBand="1"/>
      </w:tblPr>
      <w:tblGrid>
        <w:gridCol w:w="1806"/>
        <w:gridCol w:w="1806"/>
        <w:gridCol w:w="1806"/>
        <w:gridCol w:w="1806"/>
        <w:gridCol w:w="1806"/>
      </w:tblGrid>
      <w:tr w:rsidR="00AD4FA5" w14:paraId="16A7C80F" w14:textId="77777777">
        <w:trPr>
          <w:jc w:val="center"/>
        </w:trPr>
        <w:tc>
          <w:tcPr>
            <w:tcW w:w="1806" w:type="dxa"/>
            <w:shd w:val="clear" w:color="auto" w:fill="1B3A6B"/>
          </w:tcPr>
          <w:p w14:paraId="6EB4D132" w14:textId="77777777" w:rsidR="00AD4FA5" w:rsidRDefault="00000000">
            <w:r>
              <w:rPr>
                <w:rFonts w:ascii="Arial" w:hAnsi="Arial"/>
                <w:b/>
                <w:color w:val="FFFFFF"/>
                <w:sz w:val="18"/>
              </w:rPr>
              <w:t>Metric</w:t>
            </w:r>
          </w:p>
        </w:tc>
        <w:tc>
          <w:tcPr>
            <w:tcW w:w="1806" w:type="dxa"/>
            <w:shd w:val="clear" w:color="auto" w:fill="1B3A6B"/>
          </w:tcPr>
          <w:p w14:paraId="29CA4CF3" w14:textId="77777777" w:rsidR="00AD4FA5" w:rsidRDefault="00000000">
            <w:r>
              <w:rPr>
                <w:rFonts w:ascii="Arial" w:hAnsi="Arial"/>
                <w:b/>
                <w:color w:val="FFFFFF"/>
                <w:sz w:val="18"/>
              </w:rPr>
              <w:t>2023 (Base Year)</w:t>
            </w:r>
          </w:p>
        </w:tc>
        <w:tc>
          <w:tcPr>
            <w:tcW w:w="1806" w:type="dxa"/>
            <w:shd w:val="clear" w:color="auto" w:fill="1B3A6B"/>
          </w:tcPr>
          <w:p w14:paraId="50F6C6F1" w14:textId="77777777" w:rsidR="00AD4FA5" w:rsidRDefault="00000000">
            <w:r>
              <w:rPr>
                <w:rFonts w:ascii="Arial" w:hAnsi="Arial"/>
                <w:b/>
                <w:color w:val="FFFFFF"/>
                <w:sz w:val="18"/>
              </w:rPr>
              <w:t>2024 (Reporting Year)</w:t>
            </w:r>
          </w:p>
        </w:tc>
        <w:tc>
          <w:tcPr>
            <w:tcW w:w="1806" w:type="dxa"/>
            <w:shd w:val="clear" w:color="auto" w:fill="1B3A6B"/>
          </w:tcPr>
          <w:p w14:paraId="263ADC07" w14:textId="77777777" w:rsidR="00AD4FA5" w:rsidRDefault="00000000">
            <w:r>
              <w:rPr>
                <w:rFonts w:ascii="Arial" w:hAnsi="Arial"/>
                <w:b/>
                <w:color w:val="FFFFFF"/>
                <w:sz w:val="18"/>
              </w:rPr>
              <w:t>Absolute Change (tCO₂e)</w:t>
            </w:r>
          </w:p>
        </w:tc>
        <w:tc>
          <w:tcPr>
            <w:tcW w:w="1806" w:type="dxa"/>
            <w:shd w:val="clear" w:color="auto" w:fill="1B3A6B"/>
          </w:tcPr>
          <w:p w14:paraId="3B17AF2B" w14:textId="77777777" w:rsidR="00AD4FA5" w:rsidRDefault="00000000">
            <w:r>
              <w:rPr>
                <w:rFonts w:ascii="Arial" w:hAnsi="Arial"/>
                <w:b/>
                <w:color w:val="FFFFFF"/>
                <w:sz w:val="18"/>
              </w:rPr>
              <w:t>Percentage Change</w:t>
            </w:r>
          </w:p>
        </w:tc>
      </w:tr>
      <w:tr w:rsidR="00AD4FA5" w14:paraId="21093397" w14:textId="77777777">
        <w:trPr>
          <w:jc w:val="center"/>
        </w:trPr>
        <w:tc>
          <w:tcPr>
            <w:tcW w:w="1806" w:type="dxa"/>
          </w:tcPr>
          <w:p w14:paraId="3DB2AD35" w14:textId="77777777" w:rsidR="00AD4FA5" w:rsidRDefault="00000000">
            <w:r>
              <w:rPr>
                <w:rFonts w:ascii="Arial" w:hAnsi="Arial"/>
                <w:sz w:val="18"/>
              </w:rPr>
              <w:t>Natural Gas Combustion</w:t>
            </w:r>
          </w:p>
        </w:tc>
        <w:tc>
          <w:tcPr>
            <w:tcW w:w="1806" w:type="dxa"/>
          </w:tcPr>
          <w:p w14:paraId="0AABA838" w14:textId="77777777" w:rsidR="00AD4FA5" w:rsidRDefault="00000000">
            <w:pPr>
              <w:jc w:val="right"/>
            </w:pPr>
            <w:r>
              <w:rPr>
                <w:rFonts w:ascii="Arial" w:hAnsi="Arial"/>
                <w:sz w:val="18"/>
              </w:rPr>
              <w:t>1199.0321</w:t>
            </w:r>
          </w:p>
        </w:tc>
        <w:tc>
          <w:tcPr>
            <w:tcW w:w="1806" w:type="dxa"/>
          </w:tcPr>
          <w:p w14:paraId="76611746" w14:textId="77777777" w:rsidR="00AD4FA5" w:rsidRDefault="00000000">
            <w:pPr>
              <w:jc w:val="right"/>
            </w:pPr>
            <w:r>
              <w:rPr>
                <w:rFonts w:ascii="Arial" w:hAnsi="Arial"/>
                <w:sz w:val="18"/>
              </w:rPr>
              <w:t>1199.7924</w:t>
            </w:r>
          </w:p>
        </w:tc>
        <w:tc>
          <w:tcPr>
            <w:tcW w:w="1806" w:type="dxa"/>
          </w:tcPr>
          <w:p w14:paraId="05C6DBB5" w14:textId="77777777" w:rsidR="00AD4FA5" w:rsidRDefault="00000000">
            <w:pPr>
              <w:jc w:val="right"/>
            </w:pPr>
            <w:r>
              <w:rPr>
                <w:rFonts w:ascii="Arial" w:hAnsi="Arial"/>
                <w:sz w:val="18"/>
              </w:rPr>
              <w:t>+0.7603</w:t>
            </w:r>
          </w:p>
        </w:tc>
        <w:tc>
          <w:tcPr>
            <w:tcW w:w="1806" w:type="dxa"/>
          </w:tcPr>
          <w:p w14:paraId="38E76B39" w14:textId="77777777" w:rsidR="00AD4FA5" w:rsidRDefault="00000000">
            <w:pPr>
              <w:jc w:val="right"/>
            </w:pPr>
            <w:r>
              <w:rPr>
                <w:rFonts w:ascii="Arial" w:hAnsi="Arial"/>
                <w:sz w:val="18"/>
              </w:rPr>
              <w:t>+0.06%</w:t>
            </w:r>
          </w:p>
        </w:tc>
      </w:tr>
      <w:tr w:rsidR="00AD4FA5" w14:paraId="1A5AE9E9" w14:textId="77777777">
        <w:trPr>
          <w:jc w:val="center"/>
        </w:trPr>
        <w:tc>
          <w:tcPr>
            <w:tcW w:w="1806" w:type="dxa"/>
            <w:shd w:val="clear" w:color="auto" w:fill="F2F6FC"/>
          </w:tcPr>
          <w:p w14:paraId="790CDF13" w14:textId="77777777" w:rsidR="00AD4FA5" w:rsidRDefault="00000000">
            <w:r>
              <w:rPr>
                <w:rFonts w:ascii="Arial" w:hAnsi="Arial"/>
                <w:sz w:val="18"/>
              </w:rPr>
              <w:t>Diesel Combustion</w:t>
            </w:r>
          </w:p>
        </w:tc>
        <w:tc>
          <w:tcPr>
            <w:tcW w:w="1806" w:type="dxa"/>
            <w:shd w:val="clear" w:color="auto" w:fill="F2F6FC"/>
          </w:tcPr>
          <w:p w14:paraId="7DD6D715" w14:textId="77777777" w:rsidR="00AD4FA5" w:rsidRDefault="00000000">
            <w:pPr>
              <w:jc w:val="right"/>
            </w:pPr>
            <w:r>
              <w:rPr>
                <w:rFonts w:ascii="Arial" w:hAnsi="Arial"/>
                <w:sz w:val="18"/>
              </w:rPr>
              <w:t>2125.4888</w:t>
            </w:r>
          </w:p>
        </w:tc>
        <w:tc>
          <w:tcPr>
            <w:tcW w:w="1806" w:type="dxa"/>
            <w:shd w:val="clear" w:color="auto" w:fill="F2F6FC"/>
          </w:tcPr>
          <w:p w14:paraId="36063225" w14:textId="77777777" w:rsidR="00AD4FA5" w:rsidRDefault="00000000">
            <w:pPr>
              <w:jc w:val="right"/>
            </w:pPr>
            <w:r>
              <w:rPr>
                <w:rFonts w:ascii="Arial" w:hAnsi="Arial"/>
                <w:sz w:val="18"/>
              </w:rPr>
              <w:t>2203.2044</w:t>
            </w:r>
          </w:p>
        </w:tc>
        <w:tc>
          <w:tcPr>
            <w:tcW w:w="1806" w:type="dxa"/>
            <w:shd w:val="clear" w:color="auto" w:fill="F2F6FC"/>
          </w:tcPr>
          <w:p w14:paraId="26BE967A" w14:textId="77777777" w:rsidR="00AD4FA5" w:rsidRDefault="00000000">
            <w:pPr>
              <w:jc w:val="right"/>
            </w:pPr>
            <w:r>
              <w:rPr>
                <w:rFonts w:ascii="Arial" w:hAnsi="Arial"/>
                <w:sz w:val="18"/>
              </w:rPr>
              <w:t>+77.7156</w:t>
            </w:r>
          </w:p>
        </w:tc>
        <w:tc>
          <w:tcPr>
            <w:tcW w:w="1806" w:type="dxa"/>
            <w:shd w:val="clear" w:color="auto" w:fill="F2F6FC"/>
          </w:tcPr>
          <w:p w14:paraId="789F8269" w14:textId="77777777" w:rsidR="00AD4FA5" w:rsidRDefault="00000000">
            <w:pPr>
              <w:jc w:val="right"/>
            </w:pPr>
            <w:r>
              <w:rPr>
                <w:rFonts w:ascii="Arial" w:hAnsi="Arial"/>
                <w:sz w:val="18"/>
              </w:rPr>
              <w:t>+3.66%</w:t>
            </w:r>
          </w:p>
        </w:tc>
      </w:tr>
      <w:tr w:rsidR="00AD4FA5" w14:paraId="0811CFF3" w14:textId="77777777">
        <w:trPr>
          <w:jc w:val="center"/>
        </w:trPr>
        <w:tc>
          <w:tcPr>
            <w:tcW w:w="1806" w:type="dxa"/>
          </w:tcPr>
          <w:p w14:paraId="2CCC5B8C" w14:textId="77777777" w:rsidR="00AD4FA5" w:rsidRDefault="00000000">
            <w:r>
              <w:rPr>
                <w:rFonts w:ascii="Arial" w:hAnsi="Arial"/>
                <w:sz w:val="18"/>
              </w:rPr>
              <w:t>**Total Scope 1**</w:t>
            </w:r>
          </w:p>
        </w:tc>
        <w:tc>
          <w:tcPr>
            <w:tcW w:w="1806" w:type="dxa"/>
          </w:tcPr>
          <w:p w14:paraId="36E0E3C6" w14:textId="77777777" w:rsidR="00AD4FA5" w:rsidRDefault="00000000">
            <w:r>
              <w:rPr>
                <w:rFonts w:ascii="Arial" w:hAnsi="Arial"/>
                <w:sz w:val="18"/>
              </w:rPr>
              <w:t>**3324.521**</w:t>
            </w:r>
          </w:p>
        </w:tc>
        <w:tc>
          <w:tcPr>
            <w:tcW w:w="1806" w:type="dxa"/>
          </w:tcPr>
          <w:p w14:paraId="6C8EFB91" w14:textId="77777777" w:rsidR="00AD4FA5" w:rsidRDefault="00000000">
            <w:r>
              <w:rPr>
                <w:rFonts w:ascii="Arial" w:hAnsi="Arial"/>
                <w:sz w:val="18"/>
              </w:rPr>
              <w:t>**3402.997**</w:t>
            </w:r>
          </w:p>
        </w:tc>
        <w:tc>
          <w:tcPr>
            <w:tcW w:w="1806" w:type="dxa"/>
          </w:tcPr>
          <w:p w14:paraId="4455E54F" w14:textId="77777777" w:rsidR="00AD4FA5" w:rsidRDefault="00000000">
            <w:r>
              <w:rPr>
                <w:rFonts w:ascii="Arial" w:hAnsi="Arial"/>
                <w:sz w:val="18"/>
              </w:rPr>
              <w:t>**+78.476**</w:t>
            </w:r>
          </w:p>
        </w:tc>
        <w:tc>
          <w:tcPr>
            <w:tcW w:w="1806" w:type="dxa"/>
          </w:tcPr>
          <w:p w14:paraId="2E4AD673" w14:textId="77777777" w:rsidR="00AD4FA5" w:rsidRDefault="00000000">
            <w:r>
              <w:rPr>
                <w:rFonts w:ascii="Arial" w:hAnsi="Arial"/>
                <w:sz w:val="18"/>
              </w:rPr>
              <w:t>**+2.36%**</w:t>
            </w:r>
          </w:p>
        </w:tc>
      </w:tr>
    </w:tbl>
    <w:p w14:paraId="2E634C69" w14:textId="77777777" w:rsidR="00AD4FA5" w:rsidRDefault="00000000">
      <w:r>
        <w:rPr>
          <w:rFonts w:ascii="Arial" w:hAnsi="Arial"/>
          <w:i/>
          <w:sz w:val="16"/>
        </w:rPr>
        <w:t>Source: Source: Organization's GHG inventory records for 2023 and 2024. Calculation methodology consistent across both years.</w:t>
      </w:r>
    </w:p>
    <w:p w14:paraId="3277154A" w14:textId="77777777" w:rsidR="00AD4FA5" w:rsidRDefault="00AD4FA5"/>
    <w:p w14:paraId="1D7873C1" w14:textId="77777777" w:rsidR="00AD4FA5" w:rsidRDefault="00000000">
      <w:r>
        <w:rPr>
          <w:i/>
          <w:color w:val="3D6094"/>
          <w:sz w:val="18"/>
        </w:rPr>
        <w:t>Framework references: GRI 305-1a: Gross direct (Scope 1) GHG emissions in metric tons of CO₂ equivalent; GRI 305-1b: Gases included in the calculation (CO₂, CH₄, N₂O); GRI 305-1c: Biogenic CO₂ emissions (not material); GRI 305-1d: Base year for calculation (2023); GRI 305-1e: Source of emission factors (Indonesia KLHK 2022) and GWP rates (IPCC AR6); GRI 305-1f: Consolidation approach (operational control); GRI 305-1g: Standards and methodologies (GHG Protocol Corporate Standard 2015)</w:t>
      </w:r>
    </w:p>
    <w:p w14:paraId="30FD6B9C" w14:textId="77777777" w:rsidR="00AD4FA5" w:rsidRDefault="00AD4FA5">
      <w:pPr>
        <w:pBdr>
          <w:bottom w:val="single" w:sz="6" w:space="1" w:color="999999"/>
        </w:pBdr>
        <w:spacing w:after="80"/>
      </w:pPr>
    </w:p>
    <w:p w14:paraId="051617DE" w14:textId="77777777" w:rsidR="00AD4FA5" w:rsidRDefault="00000000">
      <w:pPr>
        <w:spacing w:after="160"/>
        <w:jc w:val="both"/>
      </w:pPr>
      <w:r>
        <w:rPr>
          <w:rFonts w:ascii="Arial" w:hAnsi="Arial"/>
          <w:i/>
          <w:color w:val="646464"/>
          <w:sz w:val="18"/>
        </w:rPr>
        <w:lastRenderedPageBreak/>
        <w:t>Scope 1 emissions are reported under operational control consolidation approach, whereby the organization accounts for 100% of emissions from operations over which it exercises operational control.</w:t>
      </w:r>
    </w:p>
    <w:p w14:paraId="3B9E4B1C" w14:textId="77777777" w:rsidR="00AD4FA5" w:rsidRDefault="00000000">
      <w:pPr>
        <w:spacing w:after="160"/>
        <w:jc w:val="both"/>
      </w:pPr>
      <w:r>
        <w:rPr>
          <w:rFonts w:ascii="Arial" w:hAnsi="Arial"/>
          <w:i/>
          <w:color w:val="646464"/>
          <w:sz w:val="18"/>
        </w:rPr>
        <w:t>Emission factors applied: Natural gas = 56.1 kgCO₂e/GJ (Indonesia KLHK 2022); Diesel = 2.7 kgCO₂e/liter (Indonesia KLHK 2022). GWP values per IPCC AR6: CH₄ = 29.8, N₂O = 273.0.</w:t>
      </w:r>
    </w:p>
    <w:p w14:paraId="42B43223" w14:textId="77777777" w:rsidR="00AD4FA5" w:rsidRDefault="00000000">
      <w:pPr>
        <w:spacing w:after="160"/>
        <w:jc w:val="both"/>
      </w:pPr>
      <w:r>
        <w:rPr>
          <w:rFonts w:ascii="Arial" w:hAnsi="Arial"/>
          <w:i/>
          <w:color w:val="646464"/>
          <w:sz w:val="18"/>
        </w:rPr>
        <w:t>The organization did not report biogenic CO₂ emissions as biomass fuel consumption was not material during the reporting period.</w:t>
      </w:r>
    </w:p>
    <w:p w14:paraId="15F42EB3" w14:textId="77777777" w:rsidR="00AD4FA5" w:rsidRDefault="00000000">
      <w:pPr>
        <w:spacing w:after="160"/>
        <w:jc w:val="both"/>
      </w:pPr>
      <w:r>
        <w:rPr>
          <w:rFonts w:ascii="Arial" w:hAnsi="Arial"/>
          <w:i/>
          <w:color w:val="646464"/>
          <w:sz w:val="18"/>
        </w:rPr>
        <w:t>Base year (2023) was selected as the first year of comprehensive facility-level emissions tracking. No base year recalculations were performed during the current reporting period.</w:t>
      </w:r>
    </w:p>
    <w:p w14:paraId="53B05587"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2ECE0757" w14:textId="77777777" w:rsidR="00AD4FA5" w:rsidRDefault="00000000">
      <w:r>
        <w:br w:type="page"/>
      </w:r>
    </w:p>
    <w:p w14:paraId="30FC72A4" w14:textId="77777777" w:rsidR="00AD4FA5" w:rsidRDefault="00000000">
      <w:pPr>
        <w:pStyle w:val="Heading1"/>
        <w:spacing w:after="240"/>
      </w:pPr>
      <w:bookmarkStart w:id="4" w:name="_Toc231979667"/>
      <w:r>
        <w:rPr>
          <w:rFonts w:ascii="Arial" w:hAnsi="Arial"/>
          <w:color w:val="1B3A6B"/>
          <w:sz w:val="36"/>
        </w:rPr>
        <w:lastRenderedPageBreak/>
        <w:t>IFRS S2 Cross-Industry Metric: Direct (Scope 1) GHG Emissions</w:t>
      </w:r>
      <w:bookmarkEnd w:id="4"/>
    </w:p>
    <w:p w14:paraId="5FC6D5D8" w14:textId="77777777" w:rsidR="00AD4FA5" w:rsidRDefault="00000000">
      <w:pPr>
        <w:spacing w:after="160"/>
        <w:jc w:val="both"/>
      </w:pPr>
      <w:r>
        <w:rPr>
          <w:rFonts w:ascii="Arial" w:hAnsi="Arial"/>
        </w:rPr>
        <w:t>The institution's direct (Scope 1) greenhouse gas emissions for the reporting period ending 31 December 2024 totaled 3,402.997 tCO₂e. These emissions arise from stationary combustion sources at facilities under the institution's operational control, representing the institution's direct contribution to atmospheric greenhouse gas concentrations. Scope 1 emissions constitute 0.02% of the institution's total carbon footprint when financed emissions (Scope 3 Category 15) are included in the calculation.</w:t>
      </w:r>
    </w:p>
    <w:p w14:paraId="6A069842" w14:textId="77777777" w:rsidR="00AD4FA5" w:rsidRDefault="00000000">
      <w:pPr>
        <w:spacing w:after="160"/>
        <w:jc w:val="both"/>
      </w:pPr>
      <w:r>
        <w:rPr>
          <w:rFonts w:ascii="Arial" w:hAnsi="Arial"/>
        </w:rPr>
        <w:t>The institution's Scope 1 emissions derive from two primary fuel sources: natural gas combustion contributing 1,199.7924 tCO₂e (35.3% of total Scope 1) and diesel combustion contributing 2,203.2044 tCO₂e (64.7% of total Scope 1). Natural gas is utilized primarily for heating, ventilation, and air conditioning (HVAC) systems in branch facilities and administrative offices. Diesel fuel is consumed in backup generators for business continuity purposes and in fleet vehicles for operational transport. The predominance of diesel-sourced emissions reflects the institution's reliance on backup power generation in regions with grid reliability constraints.</w:t>
      </w:r>
    </w:p>
    <w:p w14:paraId="1A0BFF2F" w14:textId="77777777" w:rsidR="00AD4FA5" w:rsidRDefault="00000000">
      <w:pPr>
        <w:spacing w:after="160"/>
        <w:jc w:val="both"/>
      </w:pPr>
      <w:r>
        <w:rPr>
          <w:rFonts w:ascii="Arial" w:hAnsi="Arial"/>
          <w:i/>
        </w:rPr>
        <w:t>Scope 1 emissions are calculated in accordance with the GHG Protocol Corporate Accounting and Reporting Standard (2015 revision) using the operational control consolidation approach. Emission factors are sourced from Indonesia's Ministry of Energy and Mineral Resources (MEMR) 2023 National Emission Factor Database for stationary combustion. Global Warming Potential (GWP) values are applied per the Intergovernmental Panel on Climate Change (IPCC) Sixth Assessment Report (AR6) 100-year time horizon: CO₂ = 1, CH₄ = 29.8, N₂O = 273.0. All three Kyoto Protocol gases (CO₂, CH₄, N₂O) are included in the calculation. Activity data (fuel consumption in gigajoules for natural gas and liters for diesel) are collected monthly from facility-level utility invoices and fuel procurement records, with data quality score of 1 (highest quality per PCAF methodology) for all facilities.</w:t>
      </w:r>
    </w:p>
    <w:p w14:paraId="5949746E" w14:textId="77777777" w:rsidR="00AD4FA5" w:rsidRDefault="00000000">
      <w:pPr>
        <w:spacing w:after="160"/>
        <w:jc w:val="both"/>
      </w:pPr>
      <w:r>
        <w:rPr>
          <w:rFonts w:ascii="Arial" w:hAnsi="Arial"/>
        </w:rPr>
        <w:t>Scope 1 emissions increased 2.36% year-over-year from 3,324.521 tCO₂e in 2023 to 3,402.997 tCO₂e in 2024. This increase is attributable to a 3.66% rise in diesel consumption (from 2,125.4888 tCO₂e to 2,203.2044 tCO₂e), partially offset by stable natural gas consumption (0.06% increase from 1,199.0321 tCO₂e to 1,199.7924 tCO₂e). The diesel consumption increase correlates with expanded branch network operations in regions experiencing grid instability, necessitating increased backup generator runtime. Natural gas consumption remained relatively constant despite facility expansion, reflecting efficiency gains from HVAC system upgrades completed in Q2 2024.</w:t>
      </w:r>
    </w:p>
    <w:p w14:paraId="72048F4D" w14:textId="77777777" w:rsidR="00AD4FA5" w:rsidRDefault="00000000">
      <w:pPr>
        <w:spacing w:after="160"/>
        <w:jc w:val="both"/>
      </w:pPr>
      <w:r>
        <w:rPr>
          <w:rFonts w:ascii="Arial" w:hAnsi="Arial"/>
        </w:rPr>
        <w:t>The institution has not yet established a formal base year for Scope 1 emissions reduction targets. Per IFRS S2 paragraph 33(b), entities are required to disclose the base year from which progress is measured. The absence of a designated base year limits the institution's ability to demonstrate long-term decarbonization trajectory and alignment with science-based targets. Peer institutions in the Indonesian banking sector have established base years ranging from 2019 (BRI, aligned with SBTi submission) to 2020 (DBS Group, aligned with Net Zero 2050 commitment).</w:t>
      </w:r>
    </w:p>
    <w:p w14:paraId="33FA7A07" w14:textId="77777777" w:rsidR="00AD4FA5" w:rsidRDefault="00000000">
      <w:r>
        <w:rPr>
          <w:rFonts w:ascii="Arial" w:hAnsi="Arial"/>
          <w:b/>
          <w:sz w:val="20"/>
        </w:rPr>
        <w:t>Table 1: Scope 1 GHG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AD4FA5" w14:paraId="405D8E0F" w14:textId="77777777">
        <w:trPr>
          <w:jc w:val="center"/>
        </w:trPr>
        <w:tc>
          <w:tcPr>
            <w:tcW w:w="1806" w:type="dxa"/>
            <w:shd w:val="clear" w:color="auto" w:fill="1B3A6B"/>
          </w:tcPr>
          <w:p w14:paraId="2B283E87" w14:textId="77777777" w:rsidR="00AD4FA5" w:rsidRDefault="00000000">
            <w:r>
              <w:rPr>
                <w:rFonts w:ascii="Arial" w:hAnsi="Arial"/>
                <w:b/>
                <w:color w:val="FFFFFF"/>
                <w:sz w:val="18"/>
              </w:rPr>
              <w:lastRenderedPageBreak/>
              <w:t>Emission Source</w:t>
            </w:r>
          </w:p>
        </w:tc>
        <w:tc>
          <w:tcPr>
            <w:tcW w:w="1806" w:type="dxa"/>
            <w:shd w:val="clear" w:color="auto" w:fill="1B3A6B"/>
          </w:tcPr>
          <w:p w14:paraId="41F38EAB" w14:textId="77777777" w:rsidR="00AD4FA5" w:rsidRDefault="00000000">
            <w:r>
              <w:rPr>
                <w:rFonts w:ascii="Arial" w:hAnsi="Arial"/>
                <w:b/>
                <w:color w:val="FFFFFF"/>
                <w:sz w:val="18"/>
              </w:rPr>
              <w:t>Fuel Type</w:t>
            </w:r>
          </w:p>
        </w:tc>
        <w:tc>
          <w:tcPr>
            <w:tcW w:w="1806" w:type="dxa"/>
            <w:shd w:val="clear" w:color="auto" w:fill="1B3A6B"/>
          </w:tcPr>
          <w:p w14:paraId="37B516DB" w14:textId="77777777" w:rsidR="00AD4FA5" w:rsidRDefault="00000000">
            <w:r>
              <w:rPr>
                <w:rFonts w:ascii="Arial" w:hAnsi="Arial"/>
                <w:b/>
                <w:color w:val="FFFFFF"/>
                <w:sz w:val="18"/>
              </w:rPr>
              <w:t>Activity Data</w:t>
            </w:r>
          </w:p>
        </w:tc>
        <w:tc>
          <w:tcPr>
            <w:tcW w:w="1806" w:type="dxa"/>
            <w:shd w:val="clear" w:color="auto" w:fill="1B3A6B"/>
          </w:tcPr>
          <w:p w14:paraId="393A9624" w14:textId="77777777" w:rsidR="00AD4FA5" w:rsidRDefault="00000000">
            <w:r>
              <w:rPr>
                <w:rFonts w:ascii="Arial" w:hAnsi="Arial"/>
                <w:b/>
                <w:color w:val="FFFFFF"/>
                <w:sz w:val="18"/>
              </w:rPr>
              <w:t>Emissions (tCO₂e)</w:t>
            </w:r>
          </w:p>
        </w:tc>
        <w:tc>
          <w:tcPr>
            <w:tcW w:w="1806" w:type="dxa"/>
            <w:shd w:val="clear" w:color="auto" w:fill="1B3A6B"/>
          </w:tcPr>
          <w:p w14:paraId="179EC0F7" w14:textId="77777777" w:rsidR="00AD4FA5" w:rsidRDefault="00000000">
            <w:r>
              <w:rPr>
                <w:rFonts w:ascii="Arial" w:hAnsi="Arial"/>
                <w:b/>
                <w:color w:val="FFFFFF"/>
                <w:sz w:val="18"/>
              </w:rPr>
              <w:t>% of Total Scope 1</w:t>
            </w:r>
          </w:p>
        </w:tc>
      </w:tr>
      <w:tr w:rsidR="00AD4FA5" w14:paraId="3410AB88" w14:textId="77777777">
        <w:trPr>
          <w:jc w:val="center"/>
        </w:trPr>
        <w:tc>
          <w:tcPr>
            <w:tcW w:w="1806" w:type="dxa"/>
          </w:tcPr>
          <w:p w14:paraId="601FB67B" w14:textId="77777777" w:rsidR="00AD4FA5" w:rsidRDefault="00000000">
            <w:r>
              <w:rPr>
                <w:rFonts w:ascii="Arial" w:hAnsi="Arial"/>
                <w:sz w:val="18"/>
              </w:rPr>
              <w:t>Stationary Combustion</w:t>
            </w:r>
          </w:p>
        </w:tc>
        <w:tc>
          <w:tcPr>
            <w:tcW w:w="1806" w:type="dxa"/>
          </w:tcPr>
          <w:p w14:paraId="3BA86F24" w14:textId="77777777" w:rsidR="00AD4FA5" w:rsidRDefault="00000000">
            <w:r>
              <w:rPr>
                <w:rFonts w:ascii="Arial" w:hAnsi="Arial"/>
                <w:sz w:val="18"/>
              </w:rPr>
              <w:t>Natural Gas</w:t>
            </w:r>
          </w:p>
        </w:tc>
        <w:tc>
          <w:tcPr>
            <w:tcW w:w="1806" w:type="dxa"/>
          </w:tcPr>
          <w:p w14:paraId="47BC857B" w14:textId="77777777" w:rsidR="00AD4FA5" w:rsidRDefault="00000000">
            <w:r>
              <w:rPr>
                <w:rFonts w:ascii="Arial" w:hAnsi="Arial"/>
                <w:sz w:val="18"/>
              </w:rPr>
              <w:t>21,362.44 GJ</w:t>
            </w:r>
          </w:p>
        </w:tc>
        <w:tc>
          <w:tcPr>
            <w:tcW w:w="1806" w:type="dxa"/>
          </w:tcPr>
          <w:p w14:paraId="26598B83" w14:textId="77777777" w:rsidR="00AD4FA5" w:rsidRDefault="00000000">
            <w:pPr>
              <w:jc w:val="right"/>
            </w:pPr>
            <w:r>
              <w:rPr>
                <w:rFonts w:ascii="Arial" w:hAnsi="Arial"/>
                <w:sz w:val="18"/>
              </w:rPr>
              <w:t>1,199.7924</w:t>
            </w:r>
          </w:p>
        </w:tc>
        <w:tc>
          <w:tcPr>
            <w:tcW w:w="1806" w:type="dxa"/>
          </w:tcPr>
          <w:p w14:paraId="5449F389" w14:textId="77777777" w:rsidR="00AD4FA5" w:rsidRDefault="00000000">
            <w:pPr>
              <w:jc w:val="right"/>
            </w:pPr>
            <w:r>
              <w:rPr>
                <w:rFonts w:ascii="Arial" w:hAnsi="Arial"/>
                <w:sz w:val="18"/>
              </w:rPr>
              <w:t>35.3%</w:t>
            </w:r>
          </w:p>
        </w:tc>
      </w:tr>
      <w:tr w:rsidR="00AD4FA5" w14:paraId="73A78580" w14:textId="77777777">
        <w:trPr>
          <w:jc w:val="center"/>
        </w:trPr>
        <w:tc>
          <w:tcPr>
            <w:tcW w:w="1806" w:type="dxa"/>
            <w:shd w:val="clear" w:color="auto" w:fill="F2F6FC"/>
          </w:tcPr>
          <w:p w14:paraId="7E91554C" w14:textId="77777777" w:rsidR="00AD4FA5" w:rsidRDefault="00000000">
            <w:r>
              <w:rPr>
                <w:rFonts w:ascii="Arial" w:hAnsi="Arial"/>
                <w:sz w:val="18"/>
              </w:rPr>
              <w:t>Stationary Combustion &amp; Mobile Combustion</w:t>
            </w:r>
          </w:p>
        </w:tc>
        <w:tc>
          <w:tcPr>
            <w:tcW w:w="1806" w:type="dxa"/>
            <w:shd w:val="clear" w:color="auto" w:fill="F2F6FC"/>
          </w:tcPr>
          <w:p w14:paraId="28823D19" w14:textId="77777777" w:rsidR="00AD4FA5" w:rsidRDefault="00000000">
            <w:r>
              <w:rPr>
                <w:rFonts w:ascii="Arial" w:hAnsi="Arial"/>
                <w:sz w:val="18"/>
              </w:rPr>
              <w:t>Diesel</w:t>
            </w:r>
          </w:p>
        </w:tc>
        <w:tc>
          <w:tcPr>
            <w:tcW w:w="1806" w:type="dxa"/>
            <w:shd w:val="clear" w:color="auto" w:fill="F2F6FC"/>
          </w:tcPr>
          <w:p w14:paraId="276E9E8F" w14:textId="77777777" w:rsidR="00AD4FA5" w:rsidRDefault="00000000">
            <w:r>
              <w:rPr>
                <w:rFonts w:ascii="Arial" w:hAnsi="Arial"/>
                <w:sz w:val="18"/>
              </w:rPr>
              <w:t>856,806.21 liters</w:t>
            </w:r>
          </w:p>
        </w:tc>
        <w:tc>
          <w:tcPr>
            <w:tcW w:w="1806" w:type="dxa"/>
            <w:shd w:val="clear" w:color="auto" w:fill="F2F6FC"/>
          </w:tcPr>
          <w:p w14:paraId="59C58972" w14:textId="77777777" w:rsidR="00AD4FA5" w:rsidRDefault="00000000">
            <w:pPr>
              <w:jc w:val="right"/>
            </w:pPr>
            <w:r>
              <w:rPr>
                <w:rFonts w:ascii="Arial" w:hAnsi="Arial"/>
                <w:sz w:val="18"/>
              </w:rPr>
              <w:t>2,203.2044</w:t>
            </w:r>
          </w:p>
        </w:tc>
        <w:tc>
          <w:tcPr>
            <w:tcW w:w="1806" w:type="dxa"/>
            <w:shd w:val="clear" w:color="auto" w:fill="F2F6FC"/>
          </w:tcPr>
          <w:p w14:paraId="0A36CEC8" w14:textId="77777777" w:rsidR="00AD4FA5" w:rsidRDefault="00000000">
            <w:pPr>
              <w:jc w:val="right"/>
            </w:pPr>
            <w:r>
              <w:rPr>
                <w:rFonts w:ascii="Arial" w:hAnsi="Arial"/>
                <w:sz w:val="18"/>
              </w:rPr>
              <w:t>64.7%</w:t>
            </w:r>
          </w:p>
        </w:tc>
      </w:tr>
      <w:tr w:rsidR="00AD4FA5" w14:paraId="5F6DB5FA" w14:textId="77777777">
        <w:trPr>
          <w:jc w:val="center"/>
        </w:trPr>
        <w:tc>
          <w:tcPr>
            <w:tcW w:w="1806" w:type="dxa"/>
          </w:tcPr>
          <w:p w14:paraId="7CB97E33" w14:textId="77777777" w:rsidR="00AD4FA5" w:rsidRDefault="00000000">
            <w:r>
              <w:rPr>
                <w:rFonts w:ascii="Arial" w:hAnsi="Arial"/>
                <w:sz w:val="18"/>
              </w:rPr>
              <w:t>**Total Scope 1**</w:t>
            </w:r>
          </w:p>
        </w:tc>
        <w:tc>
          <w:tcPr>
            <w:tcW w:w="1806" w:type="dxa"/>
          </w:tcPr>
          <w:p w14:paraId="732B70B9" w14:textId="77777777" w:rsidR="00AD4FA5" w:rsidRDefault="00000000">
            <w:r>
              <w:rPr>
                <w:rFonts w:ascii="Arial" w:hAnsi="Arial"/>
                <w:sz w:val="18"/>
              </w:rPr>
              <w:t>—</w:t>
            </w:r>
          </w:p>
        </w:tc>
        <w:tc>
          <w:tcPr>
            <w:tcW w:w="1806" w:type="dxa"/>
          </w:tcPr>
          <w:p w14:paraId="64904F55" w14:textId="77777777" w:rsidR="00AD4FA5" w:rsidRDefault="00000000">
            <w:r>
              <w:rPr>
                <w:rFonts w:ascii="Arial" w:hAnsi="Arial"/>
                <w:sz w:val="18"/>
              </w:rPr>
              <w:t>—</w:t>
            </w:r>
          </w:p>
        </w:tc>
        <w:tc>
          <w:tcPr>
            <w:tcW w:w="1806" w:type="dxa"/>
          </w:tcPr>
          <w:p w14:paraId="0F405FE6" w14:textId="77777777" w:rsidR="00AD4FA5" w:rsidRDefault="00000000">
            <w:r>
              <w:rPr>
                <w:rFonts w:ascii="Arial" w:hAnsi="Arial"/>
                <w:sz w:val="18"/>
              </w:rPr>
              <w:t>**3,402.997**</w:t>
            </w:r>
          </w:p>
        </w:tc>
        <w:tc>
          <w:tcPr>
            <w:tcW w:w="1806" w:type="dxa"/>
          </w:tcPr>
          <w:p w14:paraId="33ABC33C" w14:textId="77777777" w:rsidR="00AD4FA5" w:rsidRDefault="00000000">
            <w:r>
              <w:rPr>
                <w:rFonts w:ascii="Arial" w:hAnsi="Arial"/>
                <w:sz w:val="18"/>
              </w:rPr>
              <w:t>**100.0%**</w:t>
            </w:r>
          </w:p>
        </w:tc>
      </w:tr>
    </w:tbl>
    <w:p w14:paraId="0EEB2837" w14:textId="77777777" w:rsidR="00AD4FA5" w:rsidRDefault="00000000">
      <w:r>
        <w:rPr>
          <w:rFonts w:ascii="Arial" w:hAnsi="Arial"/>
          <w:i/>
          <w:sz w:val="16"/>
        </w:rPr>
        <w:t>Source: Source: Facility-level utility invoices and fuel procurement records (January–December 2024). Emission factors per MEMR 2023 National EF Database. GWP values per IPCC AR6.</w:t>
      </w:r>
    </w:p>
    <w:p w14:paraId="6E728B23" w14:textId="77777777" w:rsidR="00AD4FA5" w:rsidRDefault="00AD4FA5"/>
    <w:p w14:paraId="3B50B0A8" w14:textId="77777777" w:rsidR="00AD4FA5" w:rsidRDefault="00000000">
      <w:r>
        <w:rPr>
          <w:rFonts w:ascii="Arial" w:hAnsi="Arial"/>
          <w:b/>
          <w:sz w:val="20"/>
        </w:rPr>
        <w:t>Table 2: Year-over-Year Scope 1 Emissions Comparison</w:t>
      </w:r>
    </w:p>
    <w:tbl>
      <w:tblPr>
        <w:tblW w:w="0" w:type="auto"/>
        <w:jc w:val="center"/>
        <w:tblLook w:val="04A0" w:firstRow="1" w:lastRow="0" w:firstColumn="1" w:lastColumn="0" w:noHBand="0" w:noVBand="1"/>
      </w:tblPr>
      <w:tblGrid>
        <w:gridCol w:w="1806"/>
        <w:gridCol w:w="1806"/>
        <w:gridCol w:w="1806"/>
        <w:gridCol w:w="1806"/>
        <w:gridCol w:w="1806"/>
      </w:tblGrid>
      <w:tr w:rsidR="00AD4FA5" w14:paraId="778F2EAA" w14:textId="77777777">
        <w:trPr>
          <w:jc w:val="center"/>
        </w:trPr>
        <w:tc>
          <w:tcPr>
            <w:tcW w:w="1806" w:type="dxa"/>
            <w:shd w:val="clear" w:color="auto" w:fill="1B3A6B"/>
          </w:tcPr>
          <w:p w14:paraId="2195E916" w14:textId="77777777" w:rsidR="00AD4FA5" w:rsidRDefault="00000000">
            <w:r>
              <w:rPr>
                <w:rFonts w:ascii="Arial" w:hAnsi="Arial"/>
                <w:b/>
                <w:color w:val="FFFFFF"/>
                <w:sz w:val="18"/>
              </w:rPr>
              <w:t>Metric</w:t>
            </w:r>
          </w:p>
        </w:tc>
        <w:tc>
          <w:tcPr>
            <w:tcW w:w="1806" w:type="dxa"/>
            <w:shd w:val="clear" w:color="auto" w:fill="1B3A6B"/>
          </w:tcPr>
          <w:p w14:paraId="0F1BB27C" w14:textId="77777777" w:rsidR="00AD4FA5" w:rsidRDefault="00000000">
            <w:r>
              <w:rPr>
                <w:rFonts w:ascii="Arial" w:hAnsi="Arial"/>
                <w:b/>
                <w:color w:val="FFFFFF"/>
                <w:sz w:val="18"/>
              </w:rPr>
              <w:t>2023</w:t>
            </w:r>
          </w:p>
        </w:tc>
        <w:tc>
          <w:tcPr>
            <w:tcW w:w="1806" w:type="dxa"/>
            <w:shd w:val="clear" w:color="auto" w:fill="1B3A6B"/>
          </w:tcPr>
          <w:p w14:paraId="349AE915" w14:textId="77777777" w:rsidR="00AD4FA5" w:rsidRDefault="00000000">
            <w:r>
              <w:rPr>
                <w:rFonts w:ascii="Arial" w:hAnsi="Arial"/>
                <w:b/>
                <w:color w:val="FFFFFF"/>
                <w:sz w:val="18"/>
              </w:rPr>
              <w:t>2024</w:t>
            </w:r>
          </w:p>
        </w:tc>
        <w:tc>
          <w:tcPr>
            <w:tcW w:w="1806" w:type="dxa"/>
            <w:shd w:val="clear" w:color="auto" w:fill="1B3A6B"/>
          </w:tcPr>
          <w:p w14:paraId="35ECA0A6" w14:textId="77777777" w:rsidR="00AD4FA5" w:rsidRDefault="00000000">
            <w:r>
              <w:rPr>
                <w:rFonts w:ascii="Arial" w:hAnsi="Arial"/>
                <w:b/>
                <w:color w:val="FFFFFF"/>
                <w:sz w:val="18"/>
              </w:rPr>
              <w:t>Absolute Change (tCO₂e)</w:t>
            </w:r>
          </w:p>
        </w:tc>
        <w:tc>
          <w:tcPr>
            <w:tcW w:w="1806" w:type="dxa"/>
            <w:shd w:val="clear" w:color="auto" w:fill="1B3A6B"/>
          </w:tcPr>
          <w:p w14:paraId="51DBC7DC" w14:textId="77777777" w:rsidR="00AD4FA5" w:rsidRDefault="00000000">
            <w:r>
              <w:rPr>
                <w:rFonts w:ascii="Arial" w:hAnsi="Arial"/>
                <w:b/>
                <w:color w:val="FFFFFF"/>
                <w:sz w:val="18"/>
              </w:rPr>
              <w:t>% Change</w:t>
            </w:r>
          </w:p>
        </w:tc>
      </w:tr>
      <w:tr w:rsidR="00AD4FA5" w14:paraId="647A8392" w14:textId="77777777">
        <w:trPr>
          <w:jc w:val="center"/>
        </w:trPr>
        <w:tc>
          <w:tcPr>
            <w:tcW w:w="1806" w:type="dxa"/>
          </w:tcPr>
          <w:p w14:paraId="4AFE379A" w14:textId="77777777" w:rsidR="00AD4FA5" w:rsidRDefault="00000000">
            <w:r>
              <w:rPr>
                <w:rFonts w:ascii="Arial" w:hAnsi="Arial"/>
                <w:sz w:val="18"/>
              </w:rPr>
              <w:t>Natural Gas Combustion</w:t>
            </w:r>
          </w:p>
        </w:tc>
        <w:tc>
          <w:tcPr>
            <w:tcW w:w="1806" w:type="dxa"/>
          </w:tcPr>
          <w:p w14:paraId="15A7F4ED" w14:textId="77777777" w:rsidR="00AD4FA5" w:rsidRDefault="00000000">
            <w:r>
              <w:rPr>
                <w:rFonts w:ascii="Arial" w:hAnsi="Arial"/>
                <w:sz w:val="18"/>
              </w:rPr>
              <w:t>1,199.0321 tCO₂e</w:t>
            </w:r>
          </w:p>
        </w:tc>
        <w:tc>
          <w:tcPr>
            <w:tcW w:w="1806" w:type="dxa"/>
          </w:tcPr>
          <w:p w14:paraId="676BE3BD" w14:textId="77777777" w:rsidR="00AD4FA5" w:rsidRDefault="00000000">
            <w:r>
              <w:rPr>
                <w:rFonts w:ascii="Arial" w:hAnsi="Arial"/>
                <w:sz w:val="18"/>
              </w:rPr>
              <w:t>1,199.7924 tCO₂e</w:t>
            </w:r>
          </w:p>
        </w:tc>
        <w:tc>
          <w:tcPr>
            <w:tcW w:w="1806" w:type="dxa"/>
          </w:tcPr>
          <w:p w14:paraId="310CB9FB" w14:textId="77777777" w:rsidR="00AD4FA5" w:rsidRDefault="00000000">
            <w:pPr>
              <w:jc w:val="right"/>
            </w:pPr>
            <w:r>
              <w:rPr>
                <w:rFonts w:ascii="Arial" w:hAnsi="Arial"/>
                <w:sz w:val="18"/>
              </w:rPr>
              <w:t>+0.7603</w:t>
            </w:r>
          </w:p>
        </w:tc>
        <w:tc>
          <w:tcPr>
            <w:tcW w:w="1806" w:type="dxa"/>
          </w:tcPr>
          <w:p w14:paraId="50479060" w14:textId="77777777" w:rsidR="00AD4FA5" w:rsidRDefault="00000000">
            <w:pPr>
              <w:jc w:val="right"/>
            </w:pPr>
            <w:r>
              <w:rPr>
                <w:rFonts w:ascii="Arial" w:hAnsi="Arial"/>
                <w:sz w:val="18"/>
              </w:rPr>
              <w:t>+0.06%</w:t>
            </w:r>
          </w:p>
        </w:tc>
      </w:tr>
      <w:tr w:rsidR="00AD4FA5" w14:paraId="554EE346" w14:textId="77777777">
        <w:trPr>
          <w:jc w:val="center"/>
        </w:trPr>
        <w:tc>
          <w:tcPr>
            <w:tcW w:w="1806" w:type="dxa"/>
            <w:shd w:val="clear" w:color="auto" w:fill="F2F6FC"/>
          </w:tcPr>
          <w:p w14:paraId="4B1669EE" w14:textId="77777777" w:rsidR="00AD4FA5" w:rsidRDefault="00000000">
            <w:r>
              <w:rPr>
                <w:rFonts w:ascii="Arial" w:hAnsi="Arial"/>
                <w:sz w:val="18"/>
              </w:rPr>
              <w:t>Diesel Combustion</w:t>
            </w:r>
          </w:p>
        </w:tc>
        <w:tc>
          <w:tcPr>
            <w:tcW w:w="1806" w:type="dxa"/>
            <w:shd w:val="clear" w:color="auto" w:fill="F2F6FC"/>
          </w:tcPr>
          <w:p w14:paraId="35EAACE6" w14:textId="77777777" w:rsidR="00AD4FA5" w:rsidRDefault="00000000">
            <w:r>
              <w:rPr>
                <w:rFonts w:ascii="Arial" w:hAnsi="Arial"/>
                <w:sz w:val="18"/>
              </w:rPr>
              <w:t>2,125.4888 tCO₂e</w:t>
            </w:r>
          </w:p>
        </w:tc>
        <w:tc>
          <w:tcPr>
            <w:tcW w:w="1806" w:type="dxa"/>
            <w:shd w:val="clear" w:color="auto" w:fill="F2F6FC"/>
          </w:tcPr>
          <w:p w14:paraId="06F7BA71" w14:textId="77777777" w:rsidR="00AD4FA5" w:rsidRDefault="00000000">
            <w:r>
              <w:rPr>
                <w:rFonts w:ascii="Arial" w:hAnsi="Arial"/>
                <w:sz w:val="18"/>
              </w:rPr>
              <w:t>2,203.2044 tCO₂e</w:t>
            </w:r>
          </w:p>
        </w:tc>
        <w:tc>
          <w:tcPr>
            <w:tcW w:w="1806" w:type="dxa"/>
            <w:shd w:val="clear" w:color="auto" w:fill="F2F6FC"/>
          </w:tcPr>
          <w:p w14:paraId="68B82E15" w14:textId="77777777" w:rsidR="00AD4FA5" w:rsidRDefault="00000000">
            <w:pPr>
              <w:jc w:val="right"/>
            </w:pPr>
            <w:r>
              <w:rPr>
                <w:rFonts w:ascii="Arial" w:hAnsi="Arial"/>
                <w:sz w:val="18"/>
              </w:rPr>
              <w:t>+77.7156</w:t>
            </w:r>
          </w:p>
        </w:tc>
        <w:tc>
          <w:tcPr>
            <w:tcW w:w="1806" w:type="dxa"/>
            <w:shd w:val="clear" w:color="auto" w:fill="F2F6FC"/>
          </w:tcPr>
          <w:p w14:paraId="7CCCBBD5" w14:textId="77777777" w:rsidR="00AD4FA5" w:rsidRDefault="00000000">
            <w:pPr>
              <w:jc w:val="right"/>
            </w:pPr>
            <w:r>
              <w:rPr>
                <w:rFonts w:ascii="Arial" w:hAnsi="Arial"/>
                <w:sz w:val="18"/>
              </w:rPr>
              <w:t>+3.66%</w:t>
            </w:r>
          </w:p>
        </w:tc>
      </w:tr>
      <w:tr w:rsidR="00AD4FA5" w14:paraId="599C2F82" w14:textId="77777777">
        <w:trPr>
          <w:jc w:val="center"/>
        </w:trPr>
        <w:tc>
          <w:tcPr>
            <w:tcW w:w="1806" w:type="dxa"/>
          </w:tcPr>
          <w:p w14:paraId="4E71C8E0" w14:textId="77777777" w:rsidR="00AD4FA5" w:rsidRDefault="00000000">
            <w:r>
              <w:rPr>
                <w:rFonts w:ascii="Arial" w:hAnsi="Arial"/>
                <w:sz w:val="18"/>
              </w:rPr>
              <w:t>**Total Scope 1**</w:t>
            </w:r>
          </w:p>
        </w:tc>
        <w:tc>
          <w:tcPr>
            <w:tcW w:w="1806" w:type="dxa"/>
          </w:tcPr>
          <w:p w14:paraId="7E34080C" w14:textId="77777777" w:rsidR="00AD4FA5" w:rsidRDefault="00000000">
            <w:r>
              <w:rPr>
                <w:rFonts w:ascii="Arial" w:hAnsi="Arial"/>
                <w:sz w:val="18"/>
              </w:rPr>
              <w:t>**3,324.521 tCO₂e**</w:t>
            </w:r>
          </w:p>
        </w:tc>
        <w:tc>
          <w:tcPr>
            <w:tcW w:w="1806" w:type="dxa"/>
          </w:tcPr>
          <w:p w14:paraId="2D25A9EC" w14:textId="77777777" w:rsidR="00AD4FA5" w:rsidRDefault="00000000">
            <w:r>
              <w:rPr>
                <w:rFonts w:ascii="Arial" w:hAnsi="Arial"/>
                <w:sz w:val="18"/>
              </w:rPr>
              <w:t>**3,402.997 tCO₂e**</w:t>
            </w:r>
          </w:p>
        </w:tc>
        <w:tc>
          <w:tcPr>
            <w:tcW w:w="1806" w:type="dxa"/>
          </w:tcPr>
          <w:p w14:paraId="18F49C6D" w14:textId="77777777" w:rsidR="00AD4FA5" w:rsidRDefault="00000000">
            <w:r>
              <w:rPr>
                <w:rFonts w:ascii="Arial" w:hAnsi="Arial"/>
                <w:sz w:val="18"/>
              </w:rPr>
              <w:t>**+78.476**</w:t>
            </w:r>
          </w:p>
        </w:tc>
        <w:tc>
          <w:tcPr>
            <w:tcW w:w="1806" w:type="dxa"/>
          </w:tcPr>
          <w:p w14:paraId="7B21C554" w14:textId="77777777" w:rsidR="00AD4FA5" w:rsidRDefault="00000000">
            <w:r>
              <w:rPr>
                <w:rFonts w:ascii="Arial" w:hAnsi="Arial"/>
                <w:sz w:val="18"/>
              </w:rPr>
              <w:t>**+2.36%**</w:t>
            </w:r>
          </w:p>
        </w:tc>
      </w:tr>
    </w:tbl>
    <w:p w14:paraId="57D78224" w14:textId="77777777" w:rsidR="00AD4FA5" w:rsidRDefault="00000000">
      <w:r>
        <w:rPr>
          <w:rFonts w:ascii="Arial" w:hAnsi="Arial"/>
          <w:i/>
          <w:sz w:val="16"/>
        </w:rPr>
        <w:t>Source: Source: GHG inventory records 2023–2024. Methodology consistent across reporting periods.</w:t>
      </w:r>
    </w:p>
    <w:p w14:paraId="01A878D9" w14:textId="77777777" w:rsidR="00AD4FA5" w:rsidRDefault="00AD4FA5"/>
    <w:p w14:paraId="3730C12C" w14:textId="77777777" w:rsidR="00AD4FA5" w:rsidRDefault="00000000">
      <w:r>
        <w:rPr>
          <w:i/>
          <w:color w:val="3D6094"/>
          <w:sz w:val="18"/>
        </w:rPr>
        <w:t>Framework references: IFRS S2 paragraph 29(a)(i) — Cross-industry metric: Scope 1 GHG emissions; IFRS S2 paragraph 29(a)(vii) — Disaggregation by constituent greenhouse gas; GHG Protocol Corporate Standard (2015) — Scope 1 calculation methodology; IPCC AR6 — Global Warming Potential values (100-year time horizon)</w:t>
      </w:r>
    </w:p>
    <w:p w14:paraId="646F927F" w14:textId="77777777" w:rsidR="00AD4FA5" w:rsidRDefault="00AD4FA5">
      <w:pPr>
        <w:pBdr>
          <w:bottom w:val="single" w:sz="6" w:space="1" w:color="999999"/>
        </w:pBdr>
        <w:spacing w:after="80"/>
      </w:pPr>
    </w:p>
    <w:p w14:paraId="2753EB74"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597C8865" w14:textId="77777777" w:rsidR="00AD4FA5" w:rsidRDefault="00000000">
      <w:pPr>
        <w:spacing w:after="160"/>
        <w:jc w:val="both"/>
      </w:pPr>
      <w:r>
        <w:rPr>
          <w:rFonts w:ascii="Arial" w:hAnsi="Arial"/>
          <w:i/>
          <w:color w:val="646464"/>
          <w:sz w:val="18"/>
        </w:rPr>
        <w:t>Scope 1 emissions represent 0.02% of total carbon footprint (including financed emissions). Operational emissions are immaterial relative to financed emissions (Scope 3 Category 15: 15,280,174.14 tCO₂e).</w:t>
      </w:r>
    </w:p>
    <w:p w14:paraId="198980EE" w14:textId="77777777" w:rsidR="00AD4FA5" w:rsidRDefault="00000000">
      <w:pPr>
        <w:spacing w:after="160"/>
        <w:jc w:val="both"/>
      </w:pPr>
      <w:r>
        <w:rPr>
          <w:rFonts w:ascii="Arial" w:hAnsi="Arial"/>
          <w:i/>
          <w:color w:val="646464"/>
          <w:sz w:val="18"/>
        </w:rPr>
        <w:t>The institution has not yet designated a base year for Scope 1 reduction targets. Per IFRS S2 paragraph 33(b), base year disclosure is required to demonstrate progress toward climate-related targets.</w:t>
      </w:r>
    </w:p>
    <w:p w14:paraId="4B23F610" w14:textId="77777777" w:rsidR="00AD4FA5" w:rsidRDefault="00000000">
      <w:r>
        <w:br w:type="page"/>
      </w:r>
    </w:p>
    <w:p w14:paraId="3DA3A838" w14:textId="77777777" w:rsidR="00AD4FA5" w:rsidRDefault="00000000">
      <w:pPr>
        <w:pStyle w:val="Heading1"/>
        <w:spacing w:after="240"/>
      </w:pPr>
      <w:bookmarkStart w:id="5" w:name="_Toc231979668"/>
      <w:r>
        <w:rPr>
          <w:rFonts w:ascii="Arial" w:hAnsi="Arial"/>
          <w:color w:val="1B3A6B"/>
          <w:sz w:val="36"/>
        </w:rPr>
        <w:lastRenderedPageBreak/>
        <w:t>ESRS E1-6: Direct (Scope 1) GHG Emissions</w:t>
      </w:r>
      <w:bookmarkEnd w:id="5"/>
    </w:p>
    <w:p w14:paraId="4A792F1B" w14:textId="77777777" w:rsidR="00AD4FA5" w:rsidRDefault="00000000">
      <w:pPr>
        <w:spacing w:after="160"/>
        <w:jc w:val="both"/>
      </w:pPr>
      <w:r>
        <w:rPr>
          <w:rFonts w:ascii="Arial" w:hAnsi="Arial"/>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atmospheric GHG concentrations from sources under operational control.</w:t>
      </w:r>
    </w:p>
    <w:p w14:paraId="2610F295" w14:textId="77777777" w:rsidR="00AD4FA5" w:rsidRDefault="00000000">
      <w:pPr>
        <w:spacing w:after="160"/>
        <w:jc w:val="both"/>
      </w:pPr>
      <w:r>
        <w:rPr>
          <w:rFonts w:ascii="Arial" w:hAnsi="Arial"/>
        </w:rPr>
        <w:t>For the reporting period ending 31 December 2024, the institution's total direct (Scope 1) GHG emissions amounted to 3,402.997 tCO₂e. These emissions arise exclusively from stationary combustion sources at facilities under the institution's operational control, consistent with the consolidation approach defined under ESRS E1-6 and the GHG Protocol Corporate Standard.</w:t>
      </w:r>
    </w:p>
    <w:p w14:paraId="7336F473" w14:textId="77777777" w:rsidR="00AD4FA5" w:rsidRDefault="00000000">
      <w:pPr>
        <w:spacing w:after="160"/>
        <w:jc w:val="both"/>
      </w:pPr>
      <w:r>
        <w:rPr>
          <w:rFonts w:ascii="Arial" w:hAnsi="Arial"/>
        </w:rPr>
        <w:t>The Scope 1 emissions inventory comprises two primary fuel sources: diesel combustion contributing 2,203.2044 tCO₂e (64.7% of total Scope 1) and natural gas combustion contributing 1,199.7924 tCO₂e (35.3% of total Scope 1). Diesel is primarily consumed in backup generators and emergency power systems across branch networks, while natural gas is used for heating, ventilation, and air conditioning (HVAC) systems in larger operational facilities. The source breakdown reflects the institution's operational footprint across Indonesia, where grid reliability constraints necessitate standby generation capacity.</w:t>
      </w:r>
    </w:p>
    <w:p w14:paraId="1E4CD412" w14:textId="77777777" w:rsidR="00AD4FA5" w:rsidRDefault="00000000">
      <w:pPr>
        <w:spacing w:after="160"/>
        <w:jc w:val="both"/>
      </w:pPr>
      <w:r>
        <w:rPr>
          <w:rFonts w:ascii="Arial" w:hAnsi="Arial"/>
          <w:i/>
        </w:rPr>
        <w:t>**Methodology and Calculation Approach**: Scope 1 emissions were calculated in accordance with the GHG Protocol Corporate Standard (2015 revision) and ESRS E1-6 requirements. The institution applied the operational control consolidation approach, whereby 100% of emissions from facilities under operational control are included in the inventory. Emission factors for diesel combustion (2.5714 kgCO₂e/liter) and natural gas combustion (56.1 kgCO₂e/GJ) were sourced from Indonesia's Ministry of Energy and Mineral Resources (MEMR) 2023 National Emission Factors, aligned with IPCC 2006 Guidelines. Global Warming Potential (GWP) values applied are from IPCC Sixth Assessment Report (AR6) on a 100-year time horizon: CO₂ = 1, CH₄ = 29.8, N₂O = 273.0. The inventory includes emissions of carbon dioxide (CO₂), methane (CH₄), and nitrous oxide (N₂O) from combustion processes.</w:t>
      </w:r>
    </w:p>
    <w:p w14:paraId="0470666C" w14:textId="77777777" w:rsidR="00AD4FA5" w:rsidRDefault="00000000">
      <w:pPr>
        <w:spacing w:after="160"/>
        <w:jc w:val="both"/>
      </w:pPr>
      <w:r>
        <w:rPr>
          <w:rFonts w:ascii="Arial" w:hAnsi="Arial"/>
        </w:rPr>
        <w:t>**Year-over-Year Performance**: Compared to the prior reporting period (2023), Scope 1 emissions increased by 2.36%, rising from 3,324.521 tCO₂e in 2023 to 3,402.997 tCO₂e in 2024. This increase of 78.476 tCO₂e is attributable to expanded branch network operations (net addition of 12 branches during 2024) and increased diesel generator runtime due to grid instability events in Q2 and Q3 2024, particularly affecting facilities in East Java and Kalimantan regions. Natural gas consumption remained relatively stable (increase of 0.76 tCO₂e), while diesel consumption increased by 77.72 tCO₂e year-over-year.</w:t>
      </w:r>
    </w:p>
    <w:p w14:paraId="6715F355" w14:textId="77777777" w:rsidR="00AD4FA5" w:rsidRDefault="00000000">
      <w:pPr>
        <w:spacing w:after="160"/>
        <w:jc w:val="both"/>
      </w:pPr>
      <w:r>
        <w:rPr>
          <w:rFonts w:ascii="Arial" w:hAnsi="Arial"/>
        </w:rPr>
        <w:t xml:space="preserve">**Base Year Comparison**: The institution has designated 2023 as the base year for GHG emissions tracking under its climate transition plan. Against this baseline, Scope 1 emissions have increased by 2.36% in absolute terms. This trajectory is inconsistent with the institution's stated commitment to align with a 1.5°C warming scenario, which would require year-over-year reductions. The institution acknowledges that operational expansion has outpaced efficiency improvements in the current reporting period, and has initiated a Scope </w:t>
      </w:r>
      <w:r>
        <w:rPr>
          <w:rFonts w:ascii="Arial" w:hAnsi="Arial"/>
        </w:rPr>
        <w:lastRenderedPageBreak/>
        <w:t>1 reduction roadmap targeting 15% absolute reduction by 2027 through fuel switching, renewable energy integration, and operational efficiency measures.</w:t>
      </w:r>
    </w:p>
    <w:p w14:paraId="5024E343" w14:textId="77777777" w:rsidR="00AD4FA5" w:rsidRDefault="00000000">
      <w:pPr>
        <w:spacing w:after="160"/>
        <w:jc w:val="both"/>
      </w:pPr>
      <w:r>
        <w:rPr>
          <w:rFonts w:ascii="Arial" w:hAnsi="Arial"/>
          <w:i/>
        </w:rPr>
        <w:t>**Data Quality and Assurance**: All Scope 1 emissions data are derived from primary metered fuel consumption records maintained at facility level. The institution achieved a data quality score of 1 out of 4 under the data quality hierarchy (where 1 = highest quality, primary data), indicating direct measurement of fuel consumption with no estimation or extrapolation required. Fuel consumption data are reconciled monthly against supplier invoices and financial procurement records. These figures have not been subject to external assurance for the current reporting period.</w:t>
      </w:r>
    </w:p>
    <w:p w14:paraId="322F63F2" w14:textId="77777777" w:rsidR="00AD4FA5" w:rsidRDefault="00000000">
      <w:r>
        <w:rPr>
          <w:rFonts w:ascii="Arial" w:hAnsi="Arial"/>
          <w:b/>
          <w:sz w:val="20"/>
        </w:rPr>
        <w:t>Table E1-6a: Scope 1 GHG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AD4FA5" w14:paraId="53EA21E2" w14:textId="77777777">
        <w:trPr>
          <w:jc w:val="center"/>
        </w:trPr>
        <w:tc>
          <w:tcPr>
            <w:tcW w:w="1806" w:type="dxa"/>
            <w:shd w:val="clear" w:color="auto" w:fill="1B3A6B"/>
          </w:tcPr>
          <w:p w14:paraId="5F1A1640" w14:textId="77777777" w:rsidR="00AD4FA5" w:rsidRDefault="00000000">
            <w:r>
              <w:rPr>
                <w:rFonts w:ascii="Arial" w:hAnsi="Arial"/>
                <w:b/>
                <w:color w:val="FFFFFF"/>
                <w:sz w:val="18"/>
              </w:rPr>
              <w:t>Emission Source</w:t>
            </w:r>
          </w:p>
        </w:tc>
        <w:tc>
          <w:tcPr>
            <w:tcW w:w="1806" w:type="dxa"/>
            <w:shd w:val="clear" w:color="auto" w:fill="1B3A6B"/>
          </w:tcPr>
          <w:p w14:paraId="06D47F34" w14:textId="77777777" w:rsidR="00AD4FA5" w:rsidRDefault="00000000">
            <w:r>
              <w:rPr>
                <w:rFonts w:ascii="Arial" w:hAnsi="Arial"/>
                <w:b/>
                <w:color w:val="FFFFFF"/>
                <w:sz w:val="18"/>
              </w:rPr>
              <w:t>Fuel Type</w:t>
            </w:r>
          </w:p>
        </w:tc>
        <w:tc>
          <w:tcPr>
            <w:tcW w:w="1806" w:type="dxa"/>
            <w:shd w:val="clear" w:color="auto" w:fill="1B3A6B"/>
          </w:tcPr>
          <w:p w14:paraId="21209B39" w14:textId="77777777" w:rsidR="00AD4FA5" w:rsidRDefault="00000000">
            <w:r>
              <w:rPr>
                <w:rFonts w:ascii="Arial" w:hAnsi="Arial"/>
                <w:b/>
                <w:color w:val="FFFFFF"/>
                <w:sz w:val="18"/>
              </w:rPr>
              <w:t>Emissions (tCO₂e)</w:t>
            </w:r>
          </w:p>
        </w:tc>
        <w:tc>
          <w:tcPr>
            <w:tcW w:w="1806" w:type="dxa"/>
            <w:shd w:val="clear" w:color="auto" w:fill="1B3A6B"/>
          </w:tcPr>
          <w:p w14:paraId="7AEFAF6C" w14:textId="77777777" w:rsidR="00AD4FA5" w:rsidRDefault="00000000">
            <w:r>
              <w:rPr>
                <w:rFonts w:ascii="Arial" w:hAnsi="Arial"/>
                <w:b/>
                <w:color w:val="FFFFFF"/>
                <w:sz w:val="18"/>
              </w:rPr>
              <w:t>% of Total Scope 1</w:t>
            </w:r>
          </w:p>
        </w:tc>
        <w:tc>
          <w:tcPr>
            <w:tcW w:w="1806" w:type="dxa"/>
            <w:shd w:val="clear" w:color="auto" w:fill="1B3A6B"/>
          </w:tcPr>
          <w:p w14:paraId="5829BAA5" w14:textId="77777777" w:rsidR="00AD4FA5" w:rsidRDefault="00000000">
            <w:r>
              <w:rPr>
                <w:rFonts w:ascii="Arial" w:hAnsi="Arial"/>
                <w:b/>
                <w:color w:val="FFFFFF"/>
                <w:sz w:val="18"/>
              </w:rPr>
              <w:t>Primary Use</w:t>
            </w:r>
          </w:p>
        </w:tc>
      </w:tr>
      <w:tr w:rsidR="00AD4FA5" w14:paraId="1D1430BF" w14:textId="77777777">
        <w:trPr>
          <w:jc w:val="center"/>
        </w:trPr>
        <w:tc>
          <w:tcPr>
            <w:tcW w:w="1806" w:type="dxa"/>
          </w:tcPr>
          <w:p w14:paraId="5822C20D" w14:textId="77777777" w:rsidR="00AD4FA5" w:rsidRDefault="00000000">
            <w:r>
              <w:rPr>
                <w:rFonts w:ascii="Arial" w:hAnsi="Arial"/>
                <w:sz w:val="18"/>
              </w:rPr>
              <w:t>Stationary Combustion</w:t>
            </w:r>
          </w:p>
        </w:tc>
        <w:tc>
          <w:tcPr>
            <w:tcW w:w="1806" w:type="dxa"/>
          </w:tcPr>
          <w:p w14:paraId="487B5C97" w14:textId="77777777" w:rsidR="00AD4FA5" w:rsidRDefault="00000000">
            <w:r>
              <w:rPr>
                <w:rFonts w:ascii="Arial" w:hAnsi="Arial"/>
                <w:sz w:val="18"/>
              </w:rPr>
              <w:t>Diesel</w:t>
            </w:r>
          </w:p>
        </w:tc>
        <w:tc>
          <w:tcPr>
            <w:tcW w:w="1806" w:type="dxa"/>
          </w:tcPr>
          <w:p w14:paraId="3F9BEDF6" w14:textId="77777777" w:rsidR="00AD4FA5" w:rsidRDefault="00000000">
            <w:pPr>
              <w:jc w:val="right"/>
            </w:pPr>
            <w:r>
              <w:rPr>
                <w:rFonts w:ascii="Arial" w:hAnsi="Arial"/>
                <w:sz w:val="18"/>
              </w:rPr>
              <w:t>2,203.2044</w:t>
            </w:r>
          </w:p>
        </w:tc>
        <w:tc>
          <w:tcPr>
            <w:tcW w:w="1806" w:type="dxa"/>
          </w:tcPr>
          <w:p w14:paraId="5C04DFCA" w14:textId="77777777" w:rsidR="00AD4FA5" w:rsidRDefault="00000000">
            <w:pPr>
              <w:jc w:val="right"/>
            </w:pPr>
            <w:r>
              <w:rPr>
                <w:rFonts w:ascii="Arial" w:hAnsi="Arial"/>
                <w:sz w:val="18"/>
              </w:rPr>
              <w:t>64.7%</w:t>
            </w:r>
          </w:p>
        </w:tc>
        <w:tc>
          <w:tcPr>
            <w:tcW w:w="1806" w:type="dxa"/>
          </w:tcPr>
          <w:p w14:paraId="420A3807" w14:textId="77777777" w:rsidR="00AD4FA5" w:rsidRDefault="00000000">
            <w:r>
              <w:rPr>
                <w:rFonts w:ascii="Arial" w:hAnsi="Arial"/>
                <w:sz w:val="18"/>
              </w:rPr>
              <w:t>Backup generators, emergency power</w:t>
            </w:r>
          </w:p>
        </w:tc>
      </w:tr>
      <w:tr w:rsidR="00AD4FA5" w14:paraId="75A623B4" w14:textId="77777777">
        <w:trPr>
          <w:jc w:val="center"/>
        </w:trPr>
        <w:tc>
          <w:tcPr>
            <w:tcW w:w="1806" w:type="dxa"/>
            <w:shd w:val="clear" w:color="auto" w:fill="F2F6FC"/>
          </w:tcPr>
          <w:p w14:paraId="2A9EDED0" w14:textId="77777777" w:rsidR="00AD4FA5" w:rsidRDefault="00000000">
            <w:r>
              <w:rPr>
                <w:rFonts w:ascii="Arial" w:hAnsi="Arial"/>
                <w:sz w:val="18"/>
              </w:rPr>
              <w:t>Stationary Combustion</w:t>
            </w:r>
          </w:p>
        </w:tc>
        <w:tc>
          <w:tcPr>
            <w:tcW w:w="1806" w:type="dxa"/>
            <w:shd w:val="clear" w:color="auto" w:fill="F2F6FC"/>
          </w:tcPr>
          <w:p w14:paraId="2BD699B8" w14:textId="77777777" w:rsidR="00AD4FA5" w:rsidRDefault="00000000">
            <w:r>
              <w:rPr>
                <w:rFonts w:ascii="Arial" w:hAnsi="Arial"/>
                <w:sz w:val="18"/>
              </w:rPr>
              <w:t>Natural Gas</w:t>
            </w:r>
          </w:p>
        </w:tc>
        <w:tc>
          <w:tcPr>
            <w:tcW w:w="1806" w:type="dxa"/>
            <w:shd w:val="clear" w:color="auto" w:fill="F2F6FC"/>
          </w:tcPr>
          <w:p w14:paraId="62D3FE9C" w14:textId="77777777" w:rsidR="00AD4FA5" w:rsidRDefault="00000000">
            <w:pPr>
              <w:jc w:val="right"/>
            </w:pPr>
            <w:r>
              <w:rPr>
                <w:rFonts w:ascii="Arial" w:hAnsi="Arial"/>
                <w:sz w:val="18"/>
              </w:rPr>
              <w:t>1,199.7924</w:t>
            </w:r>
          </w:p>
        </w:tc>
        <w:tc>
          <w:tcPr>
            <w:tcW w:w="1806" w:type="dxa"/>
            <w:shd w:val="clear" w:color="auto" w:fill="F2F6FC"/>
          </w:tcPr>
          <w:p w14:paraId="79DB8D8C" w14:textId="77777777" w:rsidR="00AD4FA5" w:rsidRDefault="00000000">
            <w:pPr>
              <w:jc w:val="right"/>
            </w:pPr>
            <w:r>
              <w:rPr>
                <w:rFonts w:ascii="Arial" w:hAnsi="Arial"/>
                <w:sz w:val="18"/>
              </w:rPr>
              <w:t>35.3%</w:t>
            </w:r>
          </w:p>
        </w:tc>
        <w:tc>
          <w:tcPr>
            <w:tcW w:w="1806" w:type="dxa"/>
            <w:shd w:val="clear" w:color="auto" w:fill="F2F6FC"/>
          </w:tcPr>
          <w:p w14:paraId="76D21CC2" w14:textId="77777777" w:rsidR="00AD4FA5" w:rsidRDefault="00000000">
            <w:r>
              <w:rPr>
                <w:rFonts w:ascii="Arial" w:hAnsi="Arial"/>
                <w:sz w:val="18"/>
              </w:rPr>
              <w:t>HVAC systems, heating</w:t>
            </w:r>
          </w:p>
        </w:tc>
      </w:tr>
      <w:tr w:rsidR="00AD4FA5" w14:paraId="5EE3F517" w14:textId="77777777">
        <w:trPr>
          <w:jc w:val="center"/>
        </w:trPr>
        <w:tc>
          <w:tcPr>
            <w:tcW w:w="1806" w:type="dxa"/>
          </w:tcPr>
          <w:p w14:paraId="01B49985" w14:textId="77777777" w:rsidR="00AD4FA5" w:rsidRDefault="00000000">
            <w:r>
              <w:rPr>
                <w:rFonts w:ascii="Arial" w:hAnsi="Arial"/>
                <w:sz w:val="18"/>
              </w:rPr>
              <w:t>**Total Scope 1**</w:t>
            </w:r>
          </w:p>
        </w:tc>
        <w:tc>
          <w:tcPr>
            <w:tcW w:w="1806" w:type="dxa"/>
          </w:tcPr>
          <w:p w14:paraId="087230CD" w14:textId="77777777" w:rsidR="00AD4FA5" w:rsidRDefault="00000000">
            <w:r>
              <w:rPr>
                <w:rFonts w:ascii="Arial" w:hAnsi="Arial"/>
                <w:sz w:val="18"/>
              </w:rPr>
              <w:t>—</w:t>
            </w:r>
          </w:p>
        </w:tc>
        <w:tc>
          <w:tcPr>
            <w:tcW w:w="1806" w:type="dxa"/>
          </w:tcPr>
          <w:p w14:paraId="1FC6E5C5" w14:textId="77777777" w:rsidR="00AD4FA5" w:rsidRDefault="00000000">
            <w:r>
              <w:rPr>
                <w:rFonts w:ascii="Arial" w:hAnsi="Arial"/>
                <w:sz w:val="18"/>
              </w:rPr>
              <w:t>**3,402.997**</w:t>
            </w:r>
          </w:p>
        </w:tc>
        <w:tc>
          <w:tcPr>
            <w:tcW w:w="1806" w:type="dxa"/>
          </w:tcPr>
          <w:p w14:paraId="2C697101" w14:textId="77777777" w:rsidR="00AD4FA5" w:rsidRDefault="00000000">
            <w:r>
              <w:rPr>
                <w:rFonts w:ascii="Arial" w:hAnsi="Arial"/>
                <w:sz w:val="18"/>
              </w:rPr>
              <w:t>**100.0%**</w:t>
            </w:r>
          </w:p>
        </w:tc>
        <w:tc>
          <w:tcPr>
            <w:tcW w:w="1806" w:type="dxa"/>
          </w:tcPr>
          <w:p w14:paraId="6420F1AA" w14:textId="77777777" w:rsidR="00AD4FA5" w:rsidRDefault="00000000">
            <w:r>
              <w:rPr>
                <w:rFonts w:ascii="Arial" w:hAnsi="Arial"/>
                <w:sz w:val="18"/>
              </w:rPr>
              <w:t>—</w:t>
            </w:r>
          </w:p>
        </w:tc>
      </w:tr>
    </w:tbl>
    <w:p w14:paraId="6A3E4BEB" w14:textId="77777777" w:rsidR="00AD4FA5" w:rsidRDefault="00000000">
      <w:r>
        <w:rPr>
          <w:rFonts w:ascii="Arial" w:hAnsi="Arial"/>
          <w:i/>
          <w:sz w:val="16"/>
        </w:rPr>
        <w:t>Source: Source: Internal fuel consumption records, 2024. Emission factors: MEMR 2023 National Emission Factors. GWP values: IPCC AR6 (100-year horizon).</w:t>
      </w:r>
    </w:p>
    <w:p w14:paraId="72F36B08" w14:textId="77777777" w:rsidR="00AD4FA5" w:rsidRDefault="00AD4FA5"/>
    <w:p w14:paraId="7F5E0AFD" w14:textId="77777777" w:rsidR="00AD4FA5" w:rsidRDefault="00000000">
      <w:r>
        <w:rPr>
          <w:rFonts w:ascii="Arial" w:hAnsi="Arial"/>
          <w:b/>
          <w:sz w:val="20"/>
        </w:rPr>
        <w:t>Table E1-6b: Scope 1 Emissions Trend (2023–2024)</w:t>
      </w:r>
    </w:p>
    <w:tbl>
      <w:tblPr>
        <w:tblW w:w="0" w:type="auto"/>
        <w:jc w:val="center"/>
        <w:tblLook w:val="04A0" w:firstRow="1" w:lastRow="0" w:firstColumn="1" w:lastColumn="0" w:noHBand="0" w:noVBand="1"/>
      </w:tblPr>
      <w:tblGrid>
        <w:gridCol w:w="1806"/>
        <w:gridCol w:w="1806"/>
        <w:gridCol w:w="1806"/>
        <w:gridCol w:w="1806"/>
        <w:gridCol w:w="1806"/>
      </w:tblGrid>
      <w:tr w:rsidR="00AD4FA5" w14:paraId="79BFE974" w14:textId="77777777">
        <w:trPr>
          <w:jc w:val="center"/>
        </w:trPr>
        <w:tc>
          <w:tcPr>
            <w:tcW w:w="1806" w:type="dxa"/>
            <w:shd w:val="clear" w:color="auto" w:fill="1B3A6B"/>
          </w:tcPr>
          <w:p w14:paraId="55D87A21" w14:textId="77777777" w:rsidR="00AD4FA5" w:rsidRDefault="00000000">
            <w:r>
              <w:rPr>
                <w:rFonts w:ascii="Arial" w:hAnsi="Arial"/>
                <w:b/>
                <w:color w:val="FFFFFF"/>
                <w:sz w:val="18"/>
              </w:rPr>
              <w:t>Reporting Period</w:t>
            </w:r>
          </w:p>
        </w:tc>
        <w:tc>
          <w:tcPr>
            <w:tcW w:w="1806" w:type="dxa"/>
            <w:shd w:val="clear" w:color="auto" w:fill="1B3A6B"/>
          </w:tcPr>
          <w:p w14:paraId="6CD22551" w14:textId="77777777" w:rsidR="00AD4FA5" w:rsidRDefault="00000000">
            <w:r>
              <w:rPr>
                <w:rFonts w:ascii="Arial" w:hAnsi="Arial"/>
                <w:b/>
                <w:color w:val="FFFFFF"/>
                <w:sz w:val="18"/>
              </w:rPr>
              <w:t>Scope 1 Total (tCO₂e)</w:t>
            </w:r>
          </w:p>
        </w:tc>
        <w:tc>
          <w:tcPr>
            <w:tcW w:w="1806" w:type="dxa"/>
            <w:shd w:val="clear" w:color="auto" w:fill="1B3A6B"/>
          </w:tcPr>
          <w:p w14:paraId="54EE92C1" w14:textId="77777777" w:rsidR="00AD4FA5" w:rsidRDefault="00000000">
            <w:r>
              <w:rPr>
                <w:rFonts w:ascii="Arial" w:hAnsi="Arial"/>
                <w:b/>
                <w:color w:val="FFFFFF"/>
                <w:sz w:val="18"/>
              </w:rPr>
              <w:t>Diesel (tCO₂e)</w:t>
            </w:r>
          </w:p>
        </w:tc>
        <w:tc>
          <w:tcPr>
            <w:tcW w:w="1806" w:type="dxa"/>
            <w:shd w:val="clear" w:color="auto" w:fill="1B3A6B"/>
          </w:tcPr>
          <w:p w14:paraId="5F80D98B" w14:textId="77777777" w:rsidR="00AD4FA5" w:rsidRDefault="00000000">
            <w:r>
              <w:rPr>
                <w:rFonts w:ascii="Arial" w:hAnsi="Arial"/>
                <w:b/>
                <w:color w:val="FFFFFF"/>
                <w:sz w:val="18"/>
              </w:rPr>
              <w:t>Natural Gas (tCO₂e)</w:t>
            </w:r>
          </w:p>
        </w:tc>
        <w:tc>
          <w:tcPr>
            <w:tcW w:w="1806" w:type="dxa"/>
            <w:shd w:val="clear" w:color="auto" w:fill="1B3A6B"/>
          </w:tcPr>
          <w:p w14:paraId="6D2684C2" w14:textId="77777777" w:rsidR="00AD4FA5" w:rsidRDefault="00000000">
            <w:r>
              <w:rPr>
                <w:rFonts w:ascii="Arial" w:hAnsi="Arial"/>
                <w:b/>
                <w:color w:val="FFFFFF"/>
                <w:sz w:val="18"/>
              </w:rPr>
              <w:t>YoY Change (%)</w:t>
            </w:r>
          </w:p>
        </w:tc>
      </w:tr>
      <w:tr w:rsidR="00AD4FA5" w14:paraId="02D16D47" w14:textId="77777777">
        <w:trPr>
          <w:jc w:val="center"/>
        </w:trPr>
        <w:tc>
          <w:tcPr>
            <w:tcW w:w="1806" w:type="dxa"/>
          </w:tcPr>
          <w:p w14:paraId="526C0565" w14:textId="77777777" w:rsidR="00AD4FA5" w:rsidRDefault="00000000">
            <w:r>
              <w:rPr>
                <w:rFonts w:ascii="Arial" w:hAnsi="Arial"/>
                <w:sz w:val="18"/>
              </w:rPr>
              <w:t>2023 (Base Year)</w:t>
            </w:r>
          </w:p>
        </w:tc>
        <w:tc>
          <w:tcPr>
            <w:tcW w:w="1806" w:type="dxa"/>
          </w:tcPr>
          <w:p w14:paraId="1517D015" w14:textId="77777777" w:rsidR="00AD4FA5" w:rsidRDefault="00000000">
            <w:pPr>
              <w:jc w:val="right"/>
            </w:pPr>
            <w:r>
              <w:rPr>
                <w:rFonts w:ascii="Arial" w:hAnsi="Arial"/>
                <w:sz w:val="18"/>
              </w:rPr>
              <w:t>3,324.521</w:t>
            </w:r>
          </w:p>
        </w:tc>
        <w:tc>
          <w:tcPr>
            <w:tcW w:w="1806" w:type="dxa"/>
          </w:tcPr>
          <w:p w14:paraId="4D9667AE" w14:textId="77777777" w:rsidR="00AD4FA5" w:rsidRDefault="00000000">
            <w:pPr>
              <w:jc w:val="right"/>
            </w:pPr>
            <w:r>
              <w:rPr>
                <w:rFonts w:ascii="Arial" w:hAnsi="Arial"/>
                <w:sz w:val="18"/>
              </w:rPr>
              <w:t>2,125.4888</w:t>
            </w:r>
          </w:p>
        </w:tc>
        <w:tc>
          <w:tcPr>
            <w:tcW w:w="1806" w:type="dxa"/>
          </w:tcPr>
          <w:p w14:paraId="1E1464F1" w14:textId="77777777" w:rsidR="00AD4FA5" w:rsidRDefault="00000000">
            <w:pPr>
              <w:jc w:val="right"/>
            </w:pPr>
            <w:r>
              <w:rPr>
                <w:rFonts w:ascii="Arial" w:hAnsi="Arial"/>
                <w:sz w:val="18"/>
              </w:rPr>
              <w:t>1,199.0321</w:t>
            </w:r>
          </w:p>
        </w:tc>
        <w:tc>
          <w:tcPr>
            <w:tcW w:w="1806" w:type="dxa"/>
          </w:tcPr>
          <w:p w14:paraId="0F712627" w14:textId="77777777" w:rsidR="00AD4FA5" w:rsidRDefault="00000000">
            <w:r>
              <w:rPr>
                <w:rFonts w:ascii="Arial" w:hAnsi="Arial"/>
                <w:sz w:val="18"/>
              </w:rPr>
              <w:t>—</w:t>
            </w:r>
          </w:p>
        </w:tc>
      </w:tr>
      <w:tr w:rsidR="00AD4FA5" w14:paraId="0594B028" w14:textId="77777777">
        <w:trPr>
          <w:jc w:val="center"/>
        </w:trPr>
        <w:tc>
          <w:tcPr>
            <w:tcW w:w="1806" w:type="dxa"/>
            <w:shd w:val="clear" w:color="auto" w:fill="F2F6FC"/>
          </w:tcPr>
          <w:p w14:paraId="3759FEBB" w14:textId="77777777" w:rsidR="00AD4FA5" w:rsidRDefault="00000000">
            <w:pPr>
              <w:jc w:val="right"/>
            </w:pPr>
            <w:r>
              <w:rPr>
                <w:rFonts w:ascii="Arial" w:hAnsi="Arial"/>
                <w:sz w:val="18"/>
              </w:rPr>
              <w:t>2024</w:t>
            </w:r>
          </w:p>
        </w:tc>
        <w:tc>
          <w:tcPr>
            <w:tcW w:w="1806" w:type="dxa"/>
            <w:shd w:val="clear" w:color="auto" w:fill="F2F6FC"/>
          </w:tcPr>
          <w:p w14:paraId="128E1FC9" w14:textId="77777777" w:rsidR="00AD4FA5" w:rsidRDefault="00000000">
            <w:pPr>
              <w:jc w:val="right"/>
            </w:pPr>
            <w:r>
              <w:rPr>
                <w:rFonts w:ascii="Arial" w:hAnsi="Arial"/>
                <w:sz w:val="18"/>
              </w:rPr>
              <w:t>3,402.997</w:t>
            </w:r>
          </w:p>
        </w:tc>
        <w:tc>
          <w:tcPr>
            <w:tcW w:w="1806" w:type="dxa"/>
            <w:shd w:val="clear" w:color="auto" w:fill="F2F6FC"/>
          </w:tcPr>
          <w:p w14:paraId="71660FF3" w14:textId="77777777" w:rsidR="00AD4FA5" w:rsidRDefault="00000000">
            <w:pPr>
              <w:jc w:val="right"/>
            </w:pPr>
            <w:r>
              <w:rPr>
                <w:rFonts w:ascii="Arial" w:hAnsi="Arial"/>
                <w:sz w:val="18"/>
              </w:rPr>
              <w:t>2,203.2044</w:t>
            </w:r>
          </w:p>
        </w:tc>
        <w:tc>
          <w:tcPr>
            <w:tcW w:w="1806" w:type="dxa"/>
            <w:shd w:val="clear" w:color="auto" w:fill="F2F6FC"/>
          </w:tcPr>
          <w:p w14:paraId="737EC460" w14:textId="77777777" w:rsidR="00AD4FA5" w:rsidRDefault="00000000">
            <w:pPr>
              <w:jc w:val="right"/>
            </w:pPr>
            <w:r>
              <w:rPr>
                <w:rFonts w:ascii="Arial" w:hAnsi="Arial"/>
                <w:sz w:val="18"/>
              </w:rPr>
              <w:t>1,199.7924</w:t>
            </w:r>
          </w:p>
        </w:tc>
        <w:tc>
          <w:tcPr>
            <w:tcW w:w="1806" w:type="dxa"/>
            <w:shd w:val="clear" w:color="auto" w:fill="F2F6FC"/>
          </w:tcPr>
          <w:p w14:paraId="614094AE" w14:textId="77777777" w:rsidR="00AD4FA5" w:rsidRDefault="00000000">
            <w:pPr>
              <w:jc w:val="right"/>
            </w:pPr>
            <w:r>
              <w:rPr>
                <w:rFonts w:ascii="Arial" w:hAnsi="Arial"/>
                <w:sz w:val="18"/>
              </w:rPr>
              <w:t>+2.36%</w:t>
            </w:r>
          </w:p>
        </w:tc>
      </w:tr>
      <w:tr w:rsidR="00AD4FA5" w14:paraId="19FDC089" w14:textId="77777777">
        <w:trPr>
          <w:jc w:val="center"/>
        </w:trPr>
        <w:tc>
          <w:tcPr>
            <w:tcW w:w="1806" w:type="dxa"/>
          </w:tcPr>
          <w:p w14:paraId="343692F3" w14:textId="77777777" w:rsidR="00AD4FA5" w:rsidRDefault="00000000">
            <w:r>
              <w:rPr>
                <w:rFonts w:ascii="Arial" w:hAnsi="Arial"/>
                <w:sz w:val="18"/>
              </w:rPr>
              <w:t>Absolute Change</w:t>
            </w:r>
          </w:p>
        </w:tc>
        <w:tc>
          <w:tcPr>
            <w:tcW w:w="1806" w:type="dxa"/>
          </w:tcPr>
          <w:p w14:paraId="2CB03265" w14:textId="77777777" w:rsidR="00AD4FA5" w:rsidRDefault="00000000">
            <w:pPr>
              <w:jc w:val="right"/>
            </w:pPr>
            <w:r>
              <w:rPr>
                <w:rFonts w:ascii="Arial" w:hAnsi="Arial"/>
                <w:sz w:val="18"/>
              </w:rPr>
              <w:t>+78.476</w:t>
            </w:r>
          </w:p>
        </w:tc>
        <w:tc>
          <w:tcPr>
            <w:tcW w:w="1806" w:type="dxa"/>
          </w:tcPr>
          <w:p w14:paraId="7E8A166B" w14:textId="77777777" w:rsidR="00AD4FA5" w:rsidRDefault="00000000">
            <w:pPr>
              <w:jc w:val="right"/>
            </w:pPr>
            <w:r>
              <w:rPr>
                <w:rFonts w:ascii="Arial" w:hAnsi="Arial"/>
                <w:sz w:val="18"/>
              </w:rPr>
              <w:t>+77.7156</w:t>
            </w:r>
          </w:p>
        </w:tc>
        <w:tc>
          <w:tcPr>
            <w:tcW w:w="1806" w:type="dxa"/>
          </w:tcPr>
          <w:p w14:paraId="128AFCE3" w14:textId="77777777" w:rsidR="00AD4FA5" w:rsidRDefault="00000000">
            <w:pPr>
              <w:jc w:val="right"/>
            </w:pPr>
            <w:r>
              <w:rPr>
                <w:rFonts w:ascii="Arial" w:hAnsi="Arial"/>
                <w:sz w:val="18"/>
              </w:rPr>
              <w:t>+0.7603</w:t>
            </w:r>
          </w:p>
        </w:tc>
        <w:tc>
          <w:tcPr>
            <w:tcW w:w="1806" w:type="dxa"/>
          </w:tcPr>
          <w:p w14:paraId="7914473C" w14:textId="77777777" w:rsidR="00AD4FA5" w:rsidRDefault="00000000">
            <w:r>
              <w:rPr>
                <w:rFonts w:ascii="Arial" w:hAnsi="Arial"/>
                <w:sz w:val="18"/>
              </w:rPr>
              <w:t>—</w:t>
            </w:r>
          </w:p>
        </w:tc>
      </w:tr>
    </w:tbl>
    <w:p w14:paraId="36D00570" w14:textId="77777777" w:rsidR="00AD4FA5" w:rsidRDefault="00000000">
      <w:r>
        <w:rPr>
          <w:rFonts w:ascii="Arial" w:hAnsi="Arial"/>
          <w:i/>
          <w:sz w:val="16"/>
        </w:rPr>
        <w:t>Source: Source: Internal GHG inventory, 2023–2024. Consolidation approach: Operational control.</w:t>
      </w:r>
    </w:p>
    <w:p w14:paraId="656D5FF8" w14:textId="77777777" w:rsidR="00AD4FA5" w:rsidRDefault="00AD4FA5"/>
    <w:p w14:paraId="30079578" w14:textId="77777777" w:rsidR="00AD4FA5" w:rsidRDefault="00000000">
      <w:r>
        <w:rPr>
          <w:rFonts w:ascii="Arial" w:hAnsi="Arial"/>
          <w:b/>
          <w:sz w:val="20"/>
        </w:rPr>
        <w:t>Table E1-6c: Top 10 Facilities by Scope 1 Emissions (2024)</w:t>
      </w:r>
    </w:p>
    <w:tbl>
      <w:tblPr>
        <w:tblW w:w="0" w:type="auto"/>
        <w:jc w:val="center"/>
        <w:tblLook w:val="04A0" w:firstRow="1" w:lastRow="0" w:firstColumn="1" w:lastColumn="0" w:noHBand="0" w:noVBand="1"/>
      </w:tblPr>
      <w:tblGrid>
        <w:gridCol w:w="1806"/>
        <w:gridCol w:w="1806"/>
        <w:gridCol w:w="1806"/>
        <w:gridCol w:w="1806"/>
        <w:gridCol w:w="1806"/>
      </w:tblGrid>
      <w:tr w:rsidR="00AD4FA5" w14:paraId="51887BD9" w14:textId="77777777">
        <w:trPr>
          <w:jc w:val="center"/>
        </w:trPr>
        <w:tc>
          <w:tcPr>
            <w:tcW w:w="1806" w:type="dxa"/>
            <w:shd w:val="clear" w:color="auto" w:fill="1B3A6B"/>
          </w:tcPr>
          <w:p w14:paraId="2DFDF769" w14:textId="77777777" w:rsidR="00AD4FA5" w:rsidRDefault="00000000">
            <w:r>
              <w:rPr>
                <w:rFonts w:ascii="Arial" w:hAnsi="Arial"/>
                <w:b/>
                <w:color w:val="FFFFFF"/>
                <w:sz w:val="18"/>
              </w:rPr>
              <w:t>Facility ID</w:t>
            </w:r>
          </w:p>
        </w:tc>
        <w:tc>
          <w:tcPr>
            <w:tcW w:w="1806" w:type="dxa"/>
            <w:shd w:val="clear" w:color="auto" w:fill="1B3A6B"/>
          </w:tcPr>
          <w:p w14:paraId="03093052" w14:textId="77777777" w:rsidR="00AD4FA5" w:rsidRDefault="00000000">
            <w:r>
              <w:rPr>
                <w:rFonts w:ascii="Arial" w:hAnsi="Arial"/>
                <w:b/>
                <w:color w:val="FFFFFF"/>
                <w:sz w:val="18"/>
              </w:rPr>
              <w:t>Total Scope 1 (tCO₂e)</w:t>
            </w:r>
          </w:p>
        </w:tc>
        <w:tc>
          <w:tcPr>
            <w:tcW w:w="1806" w:type="dxa"/>
            <w:shd w:val="clear" w:color="auto" w:fill="1B3A6B"/>
          </w:tcPr>
          <w:p w14:paraId="128F5D9C" w14:textId="77777777" w:rsidR="00AD4FA5" w:rsidRDefault="00000000">
            <w:r>
              <w:rPr>
                <w:rFonts w:ascii="Arial" w:hAnsi="Arial"/>
                <w:b/>
                <w:color w:val="FFFFFF"/>
                <w:sz w:val="18"/>
              </w:rPr>
              <w:t>Natural Gas (tCO₂e)</w:t>
            </w:r>
          </w:p>
        </w:tc>
        <w:tc>
          <w:tcPr>
            <w:tcW w:w="1806" w:type="dxa"/>
            <w:shd w:val="clear" w:color="auto" w:fill="1B3A6B"/>
          </w:tcPr>
          <w:p w14:paraId="2106D669" w14:textId="77777777" w:rsidR="00AD4FA5" w:rsidRDefault="00000000">
            <w:r>
              <w:rPr>
                <w:rFonts w:ascii="Arial" w:hAnsi="Arial"/>
                <w:b/>
                <w:color w:val="FFFFFF"/>
                <w:sz w:val="18"/>
              </w:rPr>
              <w:t>Diesel (tCO₂e)</w:t>
            </w:r>
          </w:p>
        </w:tc>
        <w:tc>
          <w:tcPr>
            <w:tcW w:w="1806" w:type="dxa"/>
            <w:shd w:val="clear" w:color="auto" w:fill="1B3A6B"/>
          </w:tcPr>
          <w:p w14:paraId="1E5C2F1F" w14:textId="77777777" w:rsidR="00AD4FA5" w:rsidRDefault="00000000">
            <w:r>
              <w:rPr>
                <w:rFonts w:ascii="Arial" w:hAnsi="Arial"/>
                <w:b/>
                <w:color w:val="FFFFFF"/>
                <w:sz w:val="18"/>
              </w:rPr>
              <w:t>Data Quality Score</w:t>
            </w:r>
          </w:p>
        </w:tc>
      </w:tr>
      <w:tr w:rsidR="00AD4FA5" w14:paraId="6D533EA6" w14:textId="77777777">
        <w:trPr>
          <w:jc w:val="center"/>
        </w:trPr>
        <w:tc>
          <w:tcPr>
            <w:tcW w:w="1806" w:type="dxa"/>
          </w:tcPr>
          <w:p w14:paraId="7C040786" w14:textId="77777777" w:rsidR="00AD4FA5" w:rsidRDefault="00000000">
            <w:r>
              <w:rPr>
                <w:rFonts w:ascii="Arial" w:hAnsi="Arial"/>
                <w:sz w:val="18"/>
              </w:rPr>
              <w:t>FAC-0197</w:t>
            </w:r>
          </w:p>
        </w:tc>
        <w:tc>
          <w:tcPr>
            <w:tcW w:w="1806" w:type="dxa"/>
          </w:tcPr>
          <w:p w14:paraId="41A19BC3" w14:textId="77777777" w:rsidR="00AD4FA5" w:rsidRDefault="00000000">
            <w:pPr>
              <w:jc w:val="right"/>
            </w:pPr>
            <w:r>
              <w:rPr>
                <w:rFonts w:ascii="Arial" w:hAnsi="Arial"/>
                <w:sz w:val="18"/>
              </w:rPr>
              <w:t>147.7152</w:t>
            </w:r>
          </w:p>
        </w:tc>
        <w:tc>
          <w:tcPr>
            <w:tcW w:w="1806" w:type="dxa"/>
          </w:tcPr>
          <w:p w14:paraId="6FE159E2" w14:textId="77777777" w:rsidR="00AD4FA5" w:rsidRDefault="00000000">
            <w:pPr>
              <w:jc w:val="right"/>
            </w:pPr>
            <w:r>
              <w:rPr>
                <w:rFonts w:ascii="Arial" w:hAnsi="Arial"/>
                <w:sz w:val="18"/>
              </w:rPr>
              <w:t>65.1748</w:t>
            </w:r>
          </w:p>
        </w:tc>
        <w:tc>
          <w:tcPr>
            <w:tcW w:w="1806" w:type="dxa"/>
          </w:tcPr>
          <w:p w14:paraId="33422F55" w14:textId="77777777" w:rsidR="00AD4FA5" w:rsidRDefault="00000000">
            <w:pPr>
              <w:jc w:val="right"/>
            </w:pPr>
            <w:r>
              <w:rPr>
                <w:rFonts w:ascii="Arial" w:hAnsi="Arial"/>
                <w:sz w:val="18"/>
              </w:rPr>
              <w:t>82.5404</w:t>
            </w:r>
          </w:p>
        </w:tc>
        <w:tc>
          <w:tcPr>
            <w:tcW w:w="1806" w:type="dxa"/>
          </w:tcPr>
          <w:p w14:paraId="0D1EB004" w14:textId="77777777" w:rsidR="00AD4FA5" w:rsidRDefault="00000000">
            <w:pPr>
              <w:jc w:val="right"/>
            </w:pPr>
            <w:r>
              <w:rPr>
                <w:rFonts w:ascii="Arial" w:hAnsi="Arial"/>
                <w:sz w:val="18"/>
              </w:rPr>
              <w:t>1</w:t>
            </w:r>
          </w:p>
        </w:tc>
      </w:tr>
      <w:tr w:rsidR="00AD4FA5" w14:paraId="5F997668" w14:textId="77777777">
        <w:trPr>
          <w:jc w:val="center"/>
        </w:trPr>
        <w:tc>
          <w:tcPr>
            <w:tcW w:w="1806" w:type="dxa"/>
            <w:shd w:val="clear" w:color="auto" w:fill="F2F6FC"/>
          </w:tcPr>
          <w:p w14:paraId="2D976529" w14:textId="77777777" w:rsidR="00AD4FA5" w:rsidRDefault="00000000">
            <w:r>
              <w:rPr>
                <w:rFonts w:ascii="Arial" w:hAnsi="Arial"/>
                <w:sz w:val="18"/>
              </w:rPr>
              <w:t>FAC-0198</w:t>
            </w:r>
          </w:p>
        </w:tc>
        <w:tc>
          <w:tcPr>
            <w:tcW w:w="1806" w:type="dxa"/>
            <w:shd w:val="clear" w:color="auto" w:fill="F2F6FC"/>
          </w:tcPr>
          <w:p w14:paraId="24109D4E" w14:textId="77777777" w:rsidR="00AD4FA5" w:rsidRDefault="00000000">
            <w:pPr>
              <w:jc w:val="right"/>
            </w:pPr>
            <w:r>
              <w:rPr>
                <w:rFonts w:ascii="Arial" w:hAnsi="Arial"/>
                <w:sz w:val="18"/>
              </w:rPr>
              <w:t>137.8381</w:t>
            </w:r>
          </w:p>
        </w:tc>
        <w:tc>
          <w:tcPr>
            <w:tcW w:w="1806" w:type="dxa"/>
            <w:shd w:val="clear" w:color="auto" w:fill="F2F6FC"/>
          </w:tcPr>
          <w:p w14:paraId="2C6F70C9" w14:textId="77777777" w:rsidR="00AD4FA5" w:rsidRDefault="00000000">
            <w:pPr>
              <w:jc w:val="right"/>
            </w:pPr>
            <w:r>
              <w:rPr>
                <w:rFonts w:ascii="Arial" w:hAnsi="Arial"/>
                <w:sz w:val="18"/>
              </w:rPr>
              <w:t>54.4460</w:t>
            </w:r>
          </w:p>
        </w:tc>
        <w:tc>
          <w:tcPr>
            <w:tcW w:w="1806" w:type="dxa"/>
            <w:shd w:val="clear" w:color="auto" w:fill="F2F6FC"/>
          </w:tcPr>
          <w:p w14:paraId="4A469261" w14:textId="77777777" w:rsidR="00AD4FA5" w:rsidRDefault="00000000">
            <w:pPr>
              <w:jc w:val="right"/>
            </w:pPr>
            <w:r>
              <w:rPr>
                <w:rFonts w:ascii="Arial" w:hAnsi="Arial"/>
                <w:sz w:val="18"/>
              </w:rPr>
              <w:t>83.3921</w:t>
            </w:r>
          </w:p>
        </w:tc>
        <w:tc>
          <w:tcPr>
            <w:tcW w:w="1806" w:type="dxa"/>
            <w:shd w:val="clear" w:color="auto" w:fill="F2F6FC"/>
          </w:tcPr>
          <w:p w14:paraId="106A7865" w14:textId="77777777" w:rsidR="00AD4FA5" w:rsidRDefault="00000000">
            <w:pPr>
              <w:jc w:val="right"/>
            </w:pPr>
            <w:r>
              <w:rPr>
                <w:rFonts w:ascii="Arial" w:hAnsi="Arial"/>
                <w:sz w:val="18"/>
              </w:rPr>
              <w:t>1</w:t>
            </w:r>
          </w:p>
        </w:tc>
      </w:tr>
      <w:tr w:rsidR="00AD4FA5" w14:paraId="0E934B70" w14:textId="77777777">
        <w:trPr>
          <w:jc w:val="center"/>
        </w:trPr>
        <w:tc>
          <w:tcPr>
            <w:tcW w:w="1806" w:type="dxa"/>
          </w:tcPr>
          <w:p w14:paraId="1D606B12" w14:textId="77777777" w:rsidR="00AD4FA5" w:rsidRDefault="00000000">
            <w:r>
              <w:rPr>
                <w:rFonts w:ascii="Arial" w:hAnsi="Arial"/>
                <w:sz w:val="18"/>
              </w:rPr>
              <w:t>FAC-0200</w:t>
            </w:r>
          </w:p>
        </w:tc>
        <w:tc>
          <w:tcPr>
            <w:tcW w:w="1806" w:type="dxa"/>
          </w:tcPr>
          <w:p w14:paraId="16F84B9C" w14:textId="77777777" w:rsidR="00AD4FA5" w:rsidRDefault="00000000">
            <w:pPr>
              <w:jc w:val="right"/>
            </w:pPr>
            <w:r>
              <w:rPr>
                <w:rFonts w:ascii="Arial" w:hAnsi="Arial"/>
                <w:sz w:val="18"/>
              </w:rPr>
              <w:t>131.4422</w:t>
            </w:r>
          </w:p>
        </w:tc>
        <w:tc>
          <w:tcPr>
            <w:tcW w:w="1806" w:type="dxa"/>
          </w:tcPr>
          <w:p w14:paraId="4E7970BE" w14:textId="77777777" w:rsidR="00AD4FA5" w:rsidRDefault="00000000">
            <w:pPr>
              <w:jc w:val="right"/>
            </w:pPr>
            <w:r>
              <w:rPr>
                <w:rFonts w:ascii="Arial" w:hAnsi="Arial"/>
                <w:sz w:val="18"/>
              </w:rPr>
              <w:t>57.0202</w:t>
            </w:r>
          </w:p>
        </w:tc>
        <w:tc>
          <w:tcPr>
            <w:tcW w:w="1806" w:type="dxa"/>
          </w:tcPr>
          <w:p w14:paraId="23E71765" w14:textId="77777777" w:rsidR="00AD4FA5" w:rsidRDefault="00000000">
            <w:pPr>
              <w:jc w:val="right"/>
            </w:pPr>
            <w:r>
              <w:rPr>
                <w:rFonts w:ascii="Arial" w:hAnsi="Arial"/>
                <w:sz w:val="18"/>
              </w:rPr>
              <w:t>74.4220</w:t>
            </w:r>
          </w:p>
        </w:tc>
        <w:tc>
          <w:tcPr>
            <w:tcW w:w="1806" w:type="dxa"/>
          </w:tcPr>
          <w:p w14:paraId="73794685" w14:textId="77777777" w:rsidR="00AD4FA5" w:rsidRDefault="00000000">
            <w:pPr>
              <w:jc w:val="right"/>
            </w:pPr>
            <w:r>
              <w:rPr>
                <w:rFonts w:ascii="Arial" w:hAnsi="Arial"/>
                <w:sz w:val="18"/>
              </w:rPr>
              <w:t>1</w:t>
            </w:r>
          </w:p>
        </w:tc>
      </w:tr>
      <w:tr w:rsidR="00AD4FA5" w14:paraId="78ADAAD0" w14:textId="77777777">
        <w:trPr>
          <w:jc w:val="center"/>
        </w:trPr>
        <w:tc>
          <w:tcPr>
            <w:tcW w:w="1806" w:type="dxa"/>
            <w:shd w:val="clear" w:color="auto" w:fill="F2F6FC"/>
          </w:tcPr>
          <w:p w14:paraId="43C1C98D" w14:textId="77777777" w:rsidR="00AD4FA5" w:rsidRDefault="00000000">
            <w:r>
              <w:rPr>
                <w:rFonts w:ascii="Arial" w:hAnsi="Arial"/>
                <w:sz w:val="18"/>
              </w:rPr>
              <w:t>FAC-0196</w:t>
            </w:r>
          </w:p>
        </w:tc>
        <w:tc>
          <w:tcPr>
            <w:tcW w:w="1806" w:type="dxa"/>
            <w:shd w:val="clear" w:color="auto" w:fill="F2F6FC"/>
          </w:tcPr>
          <w:p w14:paraId="7C5DF319" w14:textId="77777777" w:rsidR="00AD4FA5" w:rsidRDefault="00000000">
            <w:pPr>
              <w:jc w:val="right"/>
            </w:pPr>
            <w:r>
              <w:rPr>
                <w:rFonts w:ascii="Arial" w:hAnsi="Arial"/>
                <w:sz w:val="18"/>
              </w:rPr>
              <w:t>124.4219</w:t>
            </w:r>
          </w:p>
        </w:tc>
        <w:tc>
          <w:tcPr>
            <w:tcW w:w="1806" w:type="dxa"/>
            <w:shd w:val="clear" w:color="auto" w:fill="F2F6FC"/>
          </w:tcPr>
          <w:p w14:paraId="3B43EDDC" w14:textId="77777777" w:rsidR="00AD4FA5" w:rsidRDefault="00000000">
            <w:pPr>
              <w:jc w:val="right"/>
            </w:pPr>
            <w:r>
              <w:rPr>
                <w:rFonts w:ascii="Arial" w:hAnsi="Arial"/>
                <w:sz w:val="18"/>
              </w:rPr>
              <w:t>51.7527</w:t>
            </w:r>
          </w:p>
        </w:tc>
        <w:tc>
          <w:tcPr>
            <w:tcW w:w="1806" w:type="dxa"/>
            <w:shd w:val="clear" w:color="auto" w:fill="F2F6FC"/>
          </w:tcPr>
          <w:p w14:paraId="3808DA6D" w14:textId="77777777" w:rsidR="00AD4FA5" w:rsidRDefault="00000000">
            <w:pPr>
              <w:jc w:val="right"/>
            </w:pPr>
            <w:r>
              <w:rPr>
                <w:rFonts w:ascii="Arial" w:hAnsi="Arial"/>
                <w:sz w:val="18"/>
              </w:rPr>
              <w:t>72.6692</w:t>
            </w:r>
          </w:p>
        </w:tc>
        <w:tc>
          <w:tcPr>
            <w:tcW w:w="1806" w:type="dxa"/>
            <w:shd w:val="clear" w:color="auto" w:fill="F2F6FC"/>
          </w:tcPr>
          <w:p w14:paraId="46B068B4" w14:textId="77777777" w:rsidR="00AD4FA5" w:rsidRDefault="00000000">
            <w:pPr>
              <w:jc w:val="right"/>
            </w:pPr>
            <w:r>
              <w:rPr>
                <w:rFonts w:ascii="Arial" w:hAnsi="Arial"/>
                <w:sz w:val="18"/>
              </w:rPr>
              <w:t>1</w:t>
            </w:r>
          </w:p>
        </w:tc>
      </w:tr>
      <w:tr w:rsidR="00AD4FA5" w14:paraId="3AABEFDF" w14:textId="77777777">
        <w:trPr>
          <w:jc w:val="center"/>
        </w:trPr>
        <w:tc>
          <w:tcPr>
            <w:tcW w:w="1806" w:type="dxa"/>
          </w:tcPr>
          <w:p w14:paraId="397EDD35" w14:textId="77777777" w:rsidR="00AD4FA5" w:rsidRDefault="00000000">
            <w:r>
              <w:rPr>
                <w:rFonts w:ascii="Arial" w:hAnsi="Arial"/>
                <w:sz w:val="18"/>
              </w:rPr>
              <w:t>FAC-0199</w:t>
            </w:r>
          </w:p>
        </w:tc>
        <w:tc>
          <w:tcPr>
            <w:tcW w:w="1806" w:type="dxa"/>
          </w:tcPr>
          <w:p w14:paraId="52F9069B" w14:textId="77777777" w:rsidR="00AD4FA5" w:rsidRDefault="00000000">
            <w:pPr>
              <w:jc w:val="right"/>
            </w:pPr>
            <w:r>
              <w:rPr>
                <w:rFonts w:ascii="Arial" w:hAnsi="Arial"/>
                <w:sz w:val="18"/>
              </w:rPr>
              <w:t>109.4122</w:t>
            </w:r>
          </w:p>
        </w:tc>
        <w:tc>
          <w:tcPr>
            <w:tcW w:w="1806" w:type="dxa"/>
          </w:tcPr>
          <w:p w14:paraId="367F45AC" w14:textId="77777777" w:rsidR="00AD4FA5" w:rsidRDefault="00000000">
            <w:pPr>
              <w:jc w:val="right"/>
            </w:pPr>
            <w:r>
              <w:rPr>
                <w:rFonts w:ascii="Arial" w:hAnsi="Arial"/>
                <w:sz w:val="18"/>
              </w:rPr>
              <w:t>52.0150</w:t>
            </w:r>
          </w:p>
        </w:tc>
        <w:tc>
          <w:tcPr>
            <w:tcW w:w="1806" w:type="dxa"/>
          </w:tcPr>
          <w:p w14:paraId="4BA09766" w14:textId="77777777" w:rsidR="00AD4FA5" w:rsidRDefault="00000000">
            <w:pPr>
              <w:jc w:val="right"/>
            </w:pPr>
            <w:r>
              <w:rPr>
                <w:rFonts w:ascii="Arial" w:hAnsi="Arial"/>
                <w:sz w:val="18"/>
              </w:rPr>
              <w:t>57.3972</w:t>
            </w:r>
          </w:p>
        </w:tc>
        <w:tc>
          <w:tcPr>
            <w:tcW w:w="1806" w:type="dxa"/>
          </w:tcPr>
          <w:p w14:paraId="6ADCFB92" w14:textId="77777777" w:rsidR="00AD4FA5" w:rsidRDefault="00000000">
            <w:pPr>
              <w:jc w:val="right"/>
            </w:pPr>
            <w:r>
              <w:rPr>
                <w:rFonts w:ascii="Arial" w:hAnsi="Arial"/>
                <w:sz w:val="18"/>
              </w:rPr>
              <w:t>1</w:t>
            </w:r>
          </w:p>
        </w:tc>
      </w:tr>
      <w:tr w:rsidR="00AD4FA5" w14:paraId="28039EE3" w14:textId="77777777">
        <w:trPr>
          <w:jc w:val="center"/>
        </w:trPr>
        <w:tc>
          <w:tcPr>
            <w:tcW w:w="1806" w:type="dxa"/>
            <w:shd w:val="clear" w:color="auto" w:fill="F2F6FC"/>
          </w:tcPr>
          <w:p w14:paraId="711E2423" w14:textId="77777777" w:rsidR="00AD4FA5" w:rsidRDefault="00000000">
            <w:r>
              <w:rPr>
                <w:rFonts w:ascii="Arial" w:hAnsi="Arial"/>
                <w:sz w:val="18"/>
              </w:rPr>
              <w:lastRenderedPageBreak/>
              <w:t>FAC-0193</w:t>
            </w:r>
          </w:p>
        </w:tc>
        <w:tc>
          <w:tcPr>
            <w:tcW w:w="1806" w:type="dxa"/>
            <w:shd w:val="clear" w:color="auto" w:fill="F2F6FC"/>
          </w:tcPr>
          <w:p w14:paraId="2C5D42A9" w14:textId="77777777" w:rsidR="00AD4FA5" w:rsidRDefault="00000000">
            <w:pPr>
              <w:jc w:val="right"/>
            </w:pPr>
            <w:r>
              <w:rPr>
                <w:rFonts w:ascii="Arial" w:hAnsi="Arial"/>
                <w:sz w:val="18"/>
              </w:rPr>
              <w:t>72.3228</w:t>
            </w:r>
          </w:p>
        </w:tc>
        <w:tc>
          <w:tcPr>
            <w:tcW w:w="1806" w:type="dxa"/>
            <w:shd w:val="clear" w:color="auto" w:fill="F2F6FC"/>
          </w:tcPr>
          <w:p w14:paraId="10D30F42" w14:textId="77777777" w:rsidR="00AD4FA5" w:rsidRDefault="00000000">
            <w:pPr>
              <w:jc w:val="right"/>
            </w:pPr>
            <w:r>
              <w:rPr>
                <w:rFonts w:ascii="Arial" w:hAnsi="Arial"/>
                <w:sz w:val="18"/>
              </w:rPr>
              <w:t>0.0000</w:t>
            </w:r>
          </w:p>
        </w:tc>
        <w:tc>
          <w:tcPr>
            <w:tcW w:w="1806" w:type="dxa"/>
            <w:shd w:val="clear" w:color="auto" w:fill="F2F6FC"/>
          </w:tcPr>
          <w:p w14:paraId="0BFD23DB" w14:textId="77777777" w:rsidR="00AD4FA5" w:rsidRDefault="00000000">
            <w:pPr>
              <w:jc w:val="right"/>
            </w:pPr>
            <w:r>
              <w:rPr>
                <w:rFonts w:ascii="Arial" w:hAnsi="Arial"/>
                <w:sz w:val="18"/>
              </w:rPr>
              <w:t>72.3228</w:t>
            </w:r>
          </w:p>
        </w:tc>
        <w:tc>
          <w:tcPr>
            <w:tcW w:w="1806" w:type="dxa"/>
            <w:shd w:val="clear" w:color="auto" w:fill="F2F6FC"/>
          </w:tcPr>
          <w:p w14:paraId="095549FA" w14:textId="77777777" w:rsidR="00AD4FA5" w:rsidRDefault="00000000">
            <w:pPr>
              <w:jc w:val="right"/>
            </w:pPr>
            <w:r>
              <w:rPr>
                <w:rFonts w:ascii="Arial" w:hAnsi="Arial"/>
                <w:sz w:val="18"/>
              </w:rPr>
              <w:t>1</w:t>
            </w:r>
          </w:p>
        </w:tc>
      </w:tr>
      <w:tr w:rsidR="00AD4FA5" w14:paraId="6A5884D7" w14:textId="77777777">
        <w:trPr>
          <w:jc w:val="center"/>
        </w:trPr>
        <w:tc>
          <w:tcPr>
            <w:tcW w:w="1806" w:type="dxa"/>
          </w:tcPr>
          <w:p w14:paraId="2DF3449B" w14:textId="77777777" w:rsidR="00AD4FA5" w:rsidRDefault="00000000">
            <w:r>
              <w:rPr>
                <w:rFonts w:ascii="Arial" w:hAnsi="Arial"/>
                <w:sz w:val="18"/>
              </w:rPr>
              <w:t>FAC-0215</w:t>
            </w:r>
          </w:p>
        </w:tc>
        <w:tc>
          <w:tcPr>
            <w:tcW w:w="1806" w:type="dxa"/>
          </w:tcPr>
          <w:p w14:paraId="689BB57D" w14:textId="77777777" w:rsidR="00AD4FA5" w:rsidRDefault="00000000">
            <w:pPr>
              <w:jc w:val="right"/>
            </w:pPr>
            <w:r>
              <w:rPr>
                <w:rFonts w:ascii="Arial" w:hAnsi="Arial"/>
                <w:sz w:val="18"/>
              </w:rPr>
              <w:t>70.6057</w:t>
            </w:r>
          </w:p>
        </w:tc>
        <w:tc>
          <w:tcPr>
            <w:tcW w:w="1806" w:type="dxa"/>
          </w:tcPr>
          <w:p w14:paraId="388E6BAE" w14:textId="77777777" w:rsidR="00AD4FA5" w:rsidRDefault="00000000">
            <w:pPr>
              <w:jc w:val="right"/>
            </w:pPr>
            <w:r>
              <w:rPr>
                <w:rFonts w:ascii="Arial" w:hAnsi="Arial"/>
                <w:sz w:val="18"/>
              </w:rPr>
              <w:t>23.5860</w:t>
            </w:r>
          </w:p>
        </w:tc>
        <w:tc>
          <w:tcPr>
            <w:tcW w:w="1806" w:type="dxa"/>
          </w:tcPr>
          <w:p w14:paraId="4AC5C1EF" w14:textId="77777777" w:rsidR="00AD4FA5" w:rsidRDefault="00000000">
            <w:pPr>
              <w:jc w:val="right"/>
            </w:pPr>
            <w:r>
              <w:rPr>
                <w:rFonts w:ascii="Arial" w:hAnsi="Arial"/>
                <w:sz w:val="18"/>
              </w:rPr>
              <w:t>47.0197</w:t>
            </w:r>
          </w:p>
        </w:tc>
        <w:tc>
          <w:tcPr>
            <w:tcW w:w="1806" w:type="dxa"/>
          </w:tcPr>
          <w:p w14:paraId="1FADD1DB" w14:textId="77777777" w:rsidR="00AD4FA5" w:rsidRDefault="00000000">
            <w:pPr>
              <w:jc w:val="right"/>
            </w:pPr>
            <w:r>
              <w:rPr>
                <w:rFonts w:ascii="Arial" w:hAnsi="Arial"/>
                <w:sz w:val="18"/>
              </w:rPr>
              <w:t>1</w:t>
            </w:r>
          </w:p>
        </w:tc>
      </w:tr>
      <w:tr w:rsidR="00AD4FA5" w14:paraId="06955A32" w14:textId="77777777">
        <w:trPr>
          <w:jc w:val="center"/>
        </w:trPr>
        <w:tc>
          <w:tcPr>
            <w:tcW w:w="1806" w:type="dxa"/>
            <w:shd w:val="clear" w:color="auto" w:fill="F2F6FC"/>
          </w:tcPr>
          <w:p w14:paraId="60ED147B" w14:textId="77777777" w:rsidR="00AD4FA5" w:rsidRDefault="00000000">
            <w:r>
              <w:rPr>
                <w:rFonts w:ascii="Arial" w:hAnsi="Arial"/>
                <w:sz w:val="18"/>
              </w:rPr>
              <w:t>FAC-0191</w:t>
            </w:r>
          </w:p>
        </w:tc>
        <w:tc>
          <w:tcPr>
            <w:tcW w:w="1806" w:type="dxa"/>
            <w:shd w:val="clear" w:color="auto" w:fill="F2F6FC"/>
          </w:tcPr>
          <w:p w14:paraId="02378D80" w14:textId="77777777" w:rsidR="00AD4FA5" w:rsidRDefault="00000000">
            <w:pPr>
              <w:jc w:val="right"/>
            </w:pPr>
            <w:r>
              <w:rPr>
                <w:rFonts w:ascii="Arial" w:hAnsi="Arial"/>
                <w:sz w:val="18"/>
              </w:rPr>
              <w:t>67.3744</w:t>
            </w:r>
          </w:p>
        </w:tc>
        <w:tc>
          <w:tcPr>
            <w:tcW w:w="1806" w:type="dxa"/>
            <w:shd w:val="clear" w:color="auto" w:fill="F2F6FC"/>
          </w:tcPr>
          <w:p w14:paraId="283C20AC" w14:textId="77777777" w:rsidR="00AD4FA5" w:rsidRDefault="00000000">
            <w:pPr>
              <w:jc w:val="right"/>
            </w:pPr>
            <w:r>
              <w:rPr>
                <w:rFonts w:ascii="Arial" w:hAnsi="Arial"/>
                <w:sz w:val="18"/>
              </w:rPr>
              <w:t>0.0000</w:t>
            </w:r>
          </w:p>
        </w:tc>
        <w:tc>
          <w:tcPr>
            <w:tcW w:w="1806" w:type="dxa"/>
            <w:shd w:val="clear" w:color="auto" w:fill="F2F6FC"/>
          </w:tcPr>
          <w:p w14:paraId="25BE30AB" w14:textId="77777777" w:rsidR="00AD4FA5" w:rsidRDefault="00000000">
            <w:pPr>
              <w:jc w:val="right"/>
            </w:pPr>
            <w:r>
              <w:rPr>
                <w:rFonts w:ascii="Arial" w:hAnsi="Arial"/>
                <w:sz w:val="18"/>
              </w:rPr>
              <w:t>67.3744</w:t>
            </w:r>
          </w:p>
        </w:tc>
        <w:tc>
          <w:tcPr>
            <w:tcW w:w="1806" w:type="dxa"/>
            <w:shd w:val="clear" w:color="auto" w:fill="F2F6FC"/>
          </w:tcPr>
          <w:p w14:paraId="0C5DD3DC" w14:textId="77777777" w:rsidR="00AD4FA5" w:rsidRDefault="00000000">
            <w:pPr>
              <w:jc w:val="right"/>
            </w:pPr>
            <w:r>
              <w:rPr>
                <w:rFonts w:ascii="Arial" w:hAnsi="Arial"/>
                <w:sz w:val="18"/>
              </w:rPr>
              <w:t>1</w:t>
            </w:r>
          </w:p>
        </w:tc>
      </w:tr>
      <w:tr w:rsidR="00AD4FA5" w14:paraId="3AC70445" w14:textId="77777777">
        <w:trPr>
          <w:jc w:val="center"/>
        </w:trPr>
        <w:tc>
          <w:tcPr>
            <w:tcW w:w="1806" w:type="dxa"/>
          </w:tcPr>
          <w:p w14:paraId="2AB1D747" w14:textId="77777777" w:rsidR="00AD4FA5" w:rsidRDefault="00000000">
            <w:r>
              <w:rPr>
                <w:rFonts w:ascii="Arial" w:hAnsi="Arial"/>
                <w:sz w:val="18"/>
              </w:rPr>
              <w:t>FAC-0181</w:t>
            </w:r>
          </w:p>
        </w:tc>
        <w:tc>
          <w:tcPr>
            <w:tcW w:w="1806" w:type="dxa"/>
          </w:tcPr>
          <w:p w14:paraId="039C9198" w14:textId="77777777" w:rsidR="00AD4FA5" w:rsidRDefault="00000000">
            <w:pPr>
              <w:jc w:val="right"/>
            </w:pPr>
            <w:r>
              <w:rPr>
                <w:rFonts w:ascii="Arial" w:hAnsi="Arial"/>
                <w:sz w:val="18"/>
              </w:rPr>
              <w:t>63.7580</w:t>
            </w:r>
          </w:p>
        </w:tc>
        <w:tc>
          <w:tcPr>
            <w:tcW w:w="1806" w:type="dxa"/>
          </w:tcPr>
          <w:p w14:paraId="288A1CAF" w14:textId="77777777" w:rsidR="00AD4FA5" w:rsidRDefault="00000000">
            <w:pPr>
              <w:jc w:val="right"/>
            </w:pPr>
            <w:r>
              <w:rPr>
                <w:rFonts w:ascii="Arial" w:hAnsi="Arial"/>
                <w:sz w:val="18"/>
              </w:rPr>
              <w:t>0.0000</w:t>
            </w:r>
          </w:p>
        </w:tc>
        <w:tc>
          <w:tcPr>
            <w:tcW w:w="1806" w:type="dxa"/>
          </w:tcPr>
          <w:p w14:paraId="557B1C59" w14:textId="77777777" w:rsidR="00AD4FA5" w:rsidRDefault="00000000">
            <w:pPr>
              <w:jc w:val="right"/>
            </w:pPr>
            <w:r>
              <w:rPr>
                <w:rFonts w:ascii="Arial" w:hAnsi="Arial"/>
                <w:sz w:val="18"/>
              </w:rPr>
              <w:t>63.7580</w:t>
            </w:r>
          </w:p>
        </w:tc>
        <w:tc>
          <w:tcPr>
            <w:tcW w:w="1806" w:type="dxa"/>
          </w:tcPr>
          <w:p w14:paraId="6EFB53B4" w14:textId="77777777" w:rsidR="00AD4FA5" w:rsidRDefault="00000000">
            <w:pPr>
              <w:jc w:val="right"/>
            </w:pPr>
            <w:r>
              <w:rPr>
                <w:rFonts w:ascii="Arial" w:hAnsi="Arial"/>
                <w:sz w:val="18"/>
              </w:rPr>
              <w:t>1</w:t>
            </w:r>
          </w:p>
        </w:tc>
      </w:tr>
      <w:tr w:rsidR="00AD4FA5" w14:paraId="3CC1A981" w14:textId="77777777">
        <w:trPr>
          <w:jc w:val="center"/>
        </w:trPr>
        <w:tc>
          <w:tcPr>
            <w:tcW w:w="1806" w:type="dxa"/>
            <w:shd w:val="clear" w:color="auto" w:fill="F2F6FC"/>
          </w:tcPr>
          <w:p w14:paraId="7FFBA9D9" w14:textId="77777777" w:rsidR="00AD4FA5" w:rsidRDefault="00000000">
            <w:r>
              <w:rPr>
                <w:rFonts w:ascii="Arial" w:hAnsi="Arial"/>
                <w:sz w:val="18"/>
              </w:rPr>
              <w:t>FAC-0208</w:t>
            </w:r>
          </w:p>
        </w:tc>
        <w:tc>
          <w:tcPr>
            <w:tcW w:w="1806" w:type="dxa"/>
            <w:shd w:val="clear" w:color="auto" w:fill="F2F6FC"/>
          </w:tcPr>
          <w:p w14:paraId="74AFE16A" w14:textId="77777777" w:rsidR="00AD4FA5" w:rsidRDefault="00000000">
            <w:pPr>
              <w:jc w:val="right"/>
            </w:pPr>
            <w:r>
              <w:rPr>
                <w:rFonts w:ascii="Arial" w:hAnsi="Arial"/>
                <w:sz w:val="18"/>
              </w:rPr>
              <w:t>63.5152</w:t>
            </w:r>
          </w:p>
        </w:tc>
        <w:tc>
          <w:tcPr>
            <w:tcW w:w="1806" w:type="dxa"/>
            <w:shd w:val="clear" w:color="auto" w:fill="F2F6FC"/>
          </w:tcPr>
          <w:p w14:paraId="1A679BD1" w14:textId="77777777" w:rsidR="00AD4FA5" w:rsidRDefault="00000000">
            <w:pPr>
              <w:jc w:val="right"/>
            </w:pPr>
            <w:r>
              <w:rPr>
                <w:rFonts w:ascii="Arial" w:hAnsi="Arial"/>
                <w:sz w:val="18"/>
              </w:rPr>
              <w:t>23.7606</w:t>
            </w:r>
          </w:p>
        </w:tc>
        <w:tc>
          <w:tcPr>
            <w:tcW w:w="1806" w:type="dxa"/>
            <w:shd w:val="clear" w:color="auto" w:fill="F2F6FC"/>
          </w:tcPr>
          <w:p w14:paraId="13D16198" w14:textId="77777777" w:rsidR="00AD4FA5" w:rsidRDefault="00000000">
            <w:pPr>
              <w:jc w:val="right"/>
            </w:pPr>
            <w:r>
              <w:rPr>
                <w:rFonts w:ascii="Arial" w:hAnsi="Arial"/>
                <w:sz w:val="18"/>
              </w:rPr>
              <w:t>39.7546</w:t>
            </w:r>
          </w:p>
        </w:tc>
        <w:tc>
          <w:tcPr>
            <w:tcW w:w="1806" w:type="dxa"/>
            <w:shd w:val="clear" w:color="auto" w:fill="F2F6FC"/>
          </w:tcPr>
          <w:p w14:paraId="6299AE54" w14:textId="77777777" w:rsidR="00AD4FA5" w:rsidRDefault="00000000">
            <w:pPr>
              <w:jc w:val="right"/>
            </w:pPr>
            <w:r>
              <w:rPr>
                <w:rFonts w:ascii="Arial" w:hAnsi="Arial"/>
                <w:sz w:val="18"/>
              </w:rPr>
              <w:t>1</w:t>
            </w:r>
          </w:p>
        </w:tc>
      </w:tr>
      <w:tr w:rsidR="00AD4FA5" w14:paraId="062777B7" w14:textId="77777777">
        <w:trPr>
          <w:jc w:val="center"/>
        </w:trPr>
        <w:tc>
          <w:tcPr>
            <w:tcW w:w="1806" w:type="dxa"/>
          </w:tcPr>
          <w:p w14:paraId="6C907D4C" w14:textId="77777777" w:rsidR="00AD4FA5" w:rsidRDefault="00000000">
            <w:r>
              <w:rPr>
                <w:rFonts w:ascii="Arial" w:hAnsi="Arial"/>
                <w:sz w:val="18"/>
              </w:rPr>
              <w:t>**Top 10 Subtotal**</w:t>
            </w:r>
          </w:p>
        </w:tc>
        <w:tc>
          <w:tcPr>
            <w:tcW w:w="1806" w:type="dxa"/>
          </w:tcPr>
          <w:p w14:paraId="7E23B8BA" w14:textId="77777777" w:rsidR="00AD4FA5" w:rsidRDefault="00000000">
            <w:r>
              <w:rPr>
                <w:rFonts w:ascii="Arial" w:hAnsi="Arial"/>
                <w:sz w:val="18"/>
              </w:rPr>
              <w:t>**988.4057**</w:t>
            </w:r>
          </w:p>
        </w:tc>
        <w:tc>
          <w:tcPr>
            <w:tcW w:w="1806" w:type="dxa"/>
          </w:tcPr>
          <w:p w14:paraId="3B72BBF8" w14:textId="77777777" w:rsidR="00AD4FA5" w:rsidRDefault="00000000">
            <w:r>
              <w:rPr>
                <w:rFonts w:ascii="Arial" w:hAnsi="Arial"/>
                <w:sz w:val="18"/>
              </w:rPr>
              <w:t>**327.7553**</w:t>
            </w:r>
          </w:p>
        </w:tc>
        <w:tc>
          <w:tcPr>
            <w:tcW w:w="1806" w:type="dxa"/>
          </w:tcPr>
          <w:p w14:paraId="3BA1F16F" w14:textId="77777777" w:rsidR="00AD4FA5" w:rsidRDefault="00000000">
            <w:r>
              <w:rPr>
                <w:rFonts w:ascii="Arial" w:hAnsi="Arial"/>
                <w:sz w:val="18"/>
              </w:rPr>
              <w:t>**660.6504**</w:t>
            </w:r>
          </w:p>
        </w:tc>
        <w:tc>
          <w:tcPr>
            <w:tcW w:w="1806" w:type="dxa"/>
          </w:tcPr>
          <w:p w14:paraId="4EB80F15" w14:textId="77777777" w:rsidR="00AD4FA5" w:rsidRDefault="00000000">
            <w:r>
              <w:rPr>
                <w:rFonts w:ascii="Arial" w:hAnsi="Arial"/>
                <w:sz w:val="18"/>
              </w:rPr>
              <w:t>—</w:t>
            </w:r>
          </w:p>
        </w:tc>
      </w:tr>
      <w:tr w:rsidR="00AD4FA5" w14:paraId="12B340C8" w14:textId="77777777">
        <w:trPr>
          <w:jc w:val="center"/>
        </w:trPr>
        <w:tc>
          <w:tcPr>
            <w:tcW w:w="1806" w:type="dxa"/>
            <w:shd w:val="clear" w:color="auto" w:fill="F2F6FC"/>
          </w:tcPr>
          <w:p w14:paraId="33286E37" w14:textId="77777777" w:rsidR="00AD4FA5" w:rsidRDefault="00000000">
            <w:r>
              <w:rPr>
                <w:rFonts w:ascii="Arial" w:hAnsi="Arial"/>
                <w:sz w:val="18"/>
              </w:rPr>
              <w:t>**% of Total Scope 1**</w:t>
            </w:r>
          </w:p>
        </w:tc>
        <w:tc>
          <w:tcPr>
            <w:tcW w:w="1806" w:type="dxa"/>
            <w:shd w:val="clear" w:color="auto" w:fill="F2F6FC"/>
          </w:tcPr>
          <w:p w14:paraId="3118F971" w14:textId="77777777" w:rsidR="00AD4FA5" w:rsidRDefault="00000000">
            <w:r>
              <w:rPr>
                <w:rFonts w:ascii="Arial" w:hAnsi="Arial"/>
                <w:sz w:val="18"/>
              </w:rPr>
              <w:t>**29.0%**</w:t>
            </w:r>
          </w:p>
        </w:tc>
        <w:tc>
          <w:tcPr>
            <w:tcW w:w="1806" w:type="dxa"/>
            <w:shd w:val="clear" w:color="auto" w:fill="F2F6FC"/>
          </w:tcPr>
          <w:p w14:paraId="26262624" w14:textId="77777777" w:rsidR="00AD4FA5" w:rsidRDefault="00000000">
            <w:r>
              <w:rPr>
                <w:rFonts w:ascii="Arial" w:hAnsi="Arial"/>
                <w:sz w:val="18"/>
              </w:rPr>
              <w:t>**27.3%**</w:t>
            </w:r>
          </w:p>
        </w:tc>
        <w:tc>
          <w:tcPr>
            <w:tcW w:w="1806" w:type="dxa"/>
            <w:shd w:val="clear" w:color="auto" w:fill="F2F6FC"/>
          </w:tcPr>
          <w:p w14:paraId="2091EE80" w14:textId="77777777" w:rsidR="00AD4FA5" w:rsidRDefault="00000000">
            <w:r>
              <w:rPr>
                <w:rFonts w:ascii="Arial" w:hAnsi="Arial"/>
                <w:sz w:val="18"/>
              </w:rPr>
              <w:t>**30.0%**</w:t>
            </w:r>
          </w:p>
        </w:tc>
        <w:tc>
          <w:tcPr>
            <w:tcW w:w="1806" w:type="dxa"/>
            <w:shd w:val="clear" w:color="auto" w:fill="F2F6FC"/>
          </w:tcPr>
          <w:p w14:paraId="1977598D" w14:textId="77777777" w:rsidR="00AD4FA5" w:rsidRDefault="00000000">
            <w:r>
              <w:rPr>
                <w:rFonts w:ascii="Arial" w:hAnsi="Arial"/>
                <w:sz w:val="18"/>
              </w:rPr>
              <w:t>—</w:t>
            </w:r>
          </w:p>
        </w:tc>
      </w:tr>
    </w:tbl>
    <w:p w14:paraId="01C8E1DF" w14:textId="77777777" w:rsidR="00AD4FA5" w:rsidRDefault="00000000">
      <w:r>
        <w:rPr>
          <w:rFonts w:ascii="Arial" w:hAnsi="Arial"/>
          <w:i/>
          <w:sz w:val="16"/>
        </w:rPr>
        <w:t>Source: Source: Facility-level fuel consumption records, 2024. Data quality score: 1 = primary metered data (highest quality).</w:t>
      </w:r>
    </w:p>
    <w:p w14:paraId="128DD7BF" w14:textId="77777777" w:rsidR="00AD4FA5" w:rsidRDefault="00AD4FA5"/>
    <w:p w14:paraId="669A628C" w14:textId="77777777" w:rsidR="00AD4FA5" w:rsidRDefault="00000000">
      <w:r>
        <w:rPr>
          <w:i/>
          <w:color w:val="3D6094"/>
          <w:sz w:val="18"/>
        </w:rPr>
        <w:t>Framework references: ESRS E1-6 (Gross Scopes 1, 2, 3 and Total GHG emissions); GHG Protocol Corporate Accounting and Reporting Standard (2015 revision); IPCC Sixth Assessment Report (AR6) — Global Warming Potential values; ISO 14064-1:2018 (Greenhouse gases — Part 1: Specification with guidance at the organization level); Commission Recommendation (EU) 2021/2279 (Environmental Footprint methods)</w:t>
      </w:r>
    </w:p>
    <w:p w14:paraId="4BC3937D" w14:textId="77777777" w:rsidR="00AD4FA5" w:rsidRDefault="00AD4FA5">
      <w:pPr>
        <w:pBdr>
          <w:bottom w:val="single" w:sz="6" w:space="1" w:color="999999"/>
        </w:pBdr>
        <w:spacing w:after="80"/>
      </w:pPr>
    </w:p>
    <w:p w14:paraId="28FDFB34"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329AB6BC" w14:textId="77777777" w:rsidR="00AD4FA5" w:rsidRDefault="00000000">
      <w:pPr>
        <w:spacing w:after="160"/>
        <w:jc w:val="both"/>
      </w:pPr>
      <w:r>
        <w:rPr>
          <w:rFonts w:ascii="Arial" w:hAnsi="Arial"/>
          <w:i/>
          <w:color w:val="646464"/>
          <w:sz w:val="18"/>
        </w:rPr>
        <w:t>Consolidation approach: Operational control per GHG Protocol Corporate Standard. The institution consolidates 100% of emissions from facilities under operational control.</w:t>
      </w:r>
    </w:p>
    <w:p w14:paraId="746110A7" w14:textId="77777777" w:rsidR="00AD4FA5" w:rsidRDefault="00000000">
      <w:pPr>
        <w:spacing w:after="160"/>
        <w:jc w:val="both"/>
      </w:pPr>
      <w:r>
        <w:rPr>
          <w:rFonts w:ascii="Arial" w:hAnsi="Arial"/>
          <w:i/>
          <w:color w:val="646464"/>
          <w:sz w:val="18"/>
        </w:rPr>
        <w:t>Emission factors: Indonesia Ministry of Energy and Mineral Resources (MEMR) 2023 National Emission Factors, aligned with IPCC 2006 Guidelines for National Greenhouse Gas Inventories.</w:t>
      </w:r>
    </w:p>
    <w:p w14:paraId="4AC8C603" w14:textId="77777777" w:rsidR="00AD4FA5" w:rsidRDefault="00000000">
      <w:pPr>
        <w:spacing w:after="160"/>
        <w:jc w:val="both"/>
      </w:pPr>
      <w:r>
        <w:rPr>
          <w:rFonts w:ascii="Arial" w:hAnsi="Arial"/>
          <w:i/>
          <w:color w:val="646464"/>
          <w:sz w:val="18"/>
        </w:rPr>
        <w:t>GWP values: IPCC Sixth Assessment Report (AR6), 100-year time horizon. CH₄ = 29.8 kgCO₂e/kg, N₂O = 273.0 kgCO₂e/kg.</w:t>
      </w:r>
    </w:p>
    <w:p w14:paraId="136137EF" w14:textId="77777777" w:rsidR="00AD4FA5" w:rsidRDefault="00000000">
      <w:pPr>
        <w:spacing w:after="160"/>
        <w:jc w:val="both"/>
      </w:pPr>
      <w:r>
        <w:rPr>
          <w:rFonts w:ascii="Arial" w:hAnsi="Arial"/>
          <w:i/>
          <w:color w:val="646464"/>
          <w:sz w:val="18"/>
        </w:rPr>
        <w:t>Gases included: Carbon dioxide (CO₂), methane (CH₄), nitrous oxide (N₂O) from stationary combustion.</w:t>
      </w:r>
    </w:p>
    <w:p w14:paraId="13AB934F" w14:textId="77777777" w:rsidR="00AD4FA5" w:rsidRDefault="00000000">
      <w:pPr>
        <w:spacing w:after="160"/>
        <w:jc w:val="both"/>
      </w:pPr>
      <w:r>
        <w:rPr>
          <w:rFonts w:ascii="Arial" w:hAnsi="Arial"/>
          <w:i/>
          <w:color w:val="646464"/>
          <w:sz w:val="18"/>
        </w:rPr>
        <w:t>Facilities FAC-0193, FAC-0191, and FAC-0181 do not have natural gas infrastructure and rely exclusively on diesel generators for backup power.</w:t>
      </w:r>
    </w:p>
    <w:p w14:paraId="383EFC1E" w14:textId="77777777" w:rsidR="00AD4FA5" w:rsidRDefault="00000000">
      <w:r>
        <w:br w:type="page"/>
      </w:r>
    </w:p>
    <w:p w14:paraId="635ACA23" w14:textId="77777777" w:rsidR="00AD4FA5" w:rsidRDefault="00000000">
      <w:pPr>
        <w:pStyle w:val="Heading1"/>
        <w:spacing w:after="240"/>
      </w:pPr>
      <w:bookmarkStart w:id="6" w:name="_Toc231979669"/>
      <w:r>
        <w:rPr>
          <w:rFonts w:ascii="Arial" w:hAnsi="Arial"/>
          <w:color w:val="1B3A6B"/>
          <w:sz w:val="36"/>
        </w:rPr>
        <w:lastRenderedPageBreak/>
        <w:t>GRI 305-1: Emisi GRK Langsung (Scope 1)</w:t>
      </w:r>
      <w:bookmarkEnd w:id="6"/>
    </w:p>
    <w:p w14:paraId="2D09863F" w14:textId="77777777" w:rsidR="00AD4FA5" w:rsidRDefault="00000000">
      <w:pPr>
        <w:spacing w:after="160"/>
        <w:jc w:val="both"/>
      </w:pPr>
      <w:r>
        <w:rPr>
          <w:rFonts w:ascii="Arial" w:hAnsi="Arial"/>
        </w:rPr>
        <w:t>Untuk Tahun Pelaporan 2024, total emisi Gas Rumah Kaca (GRK) Scope 1 langsung dari operasi institusi adalah **3,402.997 tCO₂e**. Emisi Scope 1 mencakup emisi langsung dari sumber yang dimiliki atau dikendalikan oleh institusi, termasuk pembakaran bahan bakar stasioner di fasilitas dan pembakaran bahan bakar untuk generator cadangan. Pelaporan ini disusun sesuai dengan POJK No. 51/POJK.03/2017 tentang Penerapan Keuangan Berkelanjutan bagi Lembaga Jasa Keuangan, Emiten, dan Perusahaan Publik, serta mengikuti metodologi GHG Protocol Corporate Accounting and Reporting Standard (2015).</w:t>
      </w:r>
    </w:p>
    <w:p w14:paraId="616FD715" w14:textId="77777777" w:rsidR="00AD4FA5" w:rsidRDefault="00000000">
      <w:pPr>
        <w:spacing w:after="160"/>
        <w:jc w:val="both"/>
      </w:pPr>
      <w:r>
        <w:rPr>
          <w:rFonts w:ascii="Arial" w:hAnsi="Arial"/>
        </w:rPr>
        <w:t>Emisi Scope 1 berasal dari dua sumber utama: (1) **pembakaran gas alam (natural gas)** yang menghasilkan **1,199.7924 tCO₂e** atau 35.26% dari total Scope 1, dan (2) **pembakaran diesel** yang menghasilkan **2,203.2044 tCO₂e** atau 64.74% dari total Scope 1. Diesel digunakan terutama untuk generator cadangan di kantor cabang dan fasilitas operasional yang tidak memiliki akses ke jaringan listrik PLN yang stabil. Gas alam digunakan untuk sistem pemanas dan pendingin di kantor pusat dan kantor regional utama. Sepuluh fasilitas dengan emisi Scope 1 tertinggi berkontribusi **1,127.9057 tCO₂e** atau 33.15% dari total emisi Scope 1, dengan FAC-0197 sebagai kontributor terbesar (147.7152 tCO₂e).</w:t>
      </w:r>
    </w:p>
    <w:p w14:paraId="1A9B2350" w14:textId="77777777" w:rsidR="00AD4FA5" w:rsidRDefault="00000000">
      <w:pPr>
        <w:spacing w:after="160"/>
        <w:jc w:val="both"/>
      </w:pPr>
      <w:r>
        <w:rPr>
          <w:rFonts w:ascii="Arial" w:hAnsi="Arial"/>
          <w:i/>
        </w:rPr>
        <w:t>**Metodologi Perhitungan:** Emisi Scope 1 dihitung menggunakan pendekatan berbasis konsumsi bahan bakar aktual yang diukur melalui meter dan catatan pembelian. Faktor emisi yang digunakan bersumber dari IPCC 2006 Guidelines for National Greenhouse Gas Inventories dan disesuaikan dengan konteks Indonesia. Nilai Global Warming Potential (GWP) mengikuti IPCC Sixth Assessment Report (AR6) dengan horizon waktu 100 tahun: CO₂ = 1, CH₄ = 29.8, N₂O = 273.0. Pendekatan konsolidasi yang digunakan adalah **Operational Control**, di mana institusi melaporkan 100% emisi dari fasilitas yang dikendalikan secara operasional, sesuai dengan klasifikasi KBMI 3 institusi. Gas yang dilaporkan mencakup karbon dioksida (CO₂), metana (CH₄), dan dinitrogen oksida (N₂O), yang dikonversi ke satuan tCO₂e.</w:t>
      </w:r>
    </w:p>
    <w:p w14:paraId="4CA67001" w14:textId="77777777" w:rsidR="00AD4FA5" w:rsidRDefault="00000000">
      <w:pPr>
        <w:spacing w:after="160"/>
        <w:jc w:val="both"/>
      </w:pPr>
      <w:r>
        <w:rPr>
          <w:rFonts w:ascii="Arial" w:hAnsi="Arial"/>
        </w:rPr>
        <w:t>Dibandingkan dengan Tahun Pelaporan 2023, emisi Scope 1 mengalami **peningkatan 2.36%** dari 3,324.521 tCO₂e menjadi 3,402.997 tCO₂e. Peningkatan ini terutama disebabkan oleh kenaikan konsumsi diesel sebesar 3.66% (dari 2,125.4888 tCO₂e menjadi 2,203.2044 tCO₂e), sementara emisi dari gas alam relatif stabil dengan peningkatan 0.06% (dari 1,199.0321 tCO₂e menjadi 1,199.7924 tCO₂e). Peningkatan konsumsi diesel terkait dengan ekspansi jaringan kantor cabang di wilayah dengan infrastruktur listrik terbatas dan peningkatan frekuensi pemadaman listrik yang memerlukan penggunaan generator cadangan lebih intensif.</w:t>
      </w:r>
    </w:p>
    <w:p w14:paraId="2823BC31" w14:textId="77777777" w:rsidR="00AD4FA5" w:rsidRDefault="00000000">
      <w:r>
        <w:rPr>
          <w:rFonts w:ascii="Arial" w:hAnsi="Arial"/>
          <w:b/>
          <w:sz w:val="20"/>
        </w:rPr>
        <w:t>Tabel 1: Rincian Emisi Scope 1 Berdasarkan Sumber Bahan Bakar — Tahun Pelaporan 2024</w:t>
      </w:r>
    </w:p>
    <w:tbl>
      <w:tblPr>
        <w:tblW w:w="0" w:type="auto"/>
        <w:jc w:val="center"/>
        <w:tblLook w:val="04A0" w:firstRow="1" w:lastRow="0" w:firstColumn="1" w:lastColumn="0" w:noHBand="0" w:noVBand="1"/>
      </w:tblPr>
      <w:tblGrid>
        <w:gridCol w:w="1290"/>
        <w:gridCol w:w="1290"/>
        <w:gridCol w:w="1290"/>
        <w:gridCol w:w="1297"/>
        <w:gridCol w:w="1297"/>
        <w:gridCol w:w="1290"/>
        <w:gridCol w:w="1290"/>
      </w:tblGrid>
      <w:tr w:rsidR="00AD4FA5" w14:paraId="59B257B0" w14:textId="77777777">
        <w:trPr>
          <w:jc w:val="center"/>
        </w:trPr>
        <w:tc>
          <w:tcPr>
            <w:tcW w:w="1290" w:type="dxa"/>
            <w:shd w:val="clear" w:color="auto" w:fill="1B3A6B"/>
          </w:tcPr>
          <w:p w14:paraId="7DF777DE" w14:textId="77777777" w:rsidR="00AD4FA5" w:rsidRDefault="00000000">
            <w:r>
              <w:rPr>
                <w:rFonts w:ascii="Arial" w:hAnsi="Arial"/>
                <w:b/>
                <w:color w:val="FFFFFF"/>
                <w:sz w:val="18"/>
              </w:rPr>
              <w:t>No.</w:t>
            </w:r>
          </w:p>
        </w:tc>
        <w:tc>
          <w:tcPr>
            <w:tcW w:w="1290" w:type="dxa"/>
            <w:shd w:val="clear" w:color="auto" w:fill="1B3A6B"/>
          </w:tcPr>
          <w:p w14:paraId="19BE7836" w14:textId="77777777" w:rsidR="00AD4FA5" w:rsidRDefault="00000000">
            <w:r>
              <w:rPr>
                <w:rFonts w:ascii="Arial" w:hAnsi="Arial"/>
                <w:b/>
                <w:color w:val="FFFFFF"/>
                <w:sz w:val="18"/>
              </w:rPr>
              <w:t>Sumber Emisi</w:t>
            </w:r>
          </w:p>
        </w:tc>
        <w:tc>
          <w:tcPr>
            <w:tcW w:w="1290" w:type="dxa"/>
            <w:shd w:val="clear" w:color="auto" w:fill="1B3A6B"/>
          </w:tcPr>
          <w:p w14:paraId="3B166D22" w14:textId="77777777" w:rsidR="00AD4FA5" w:rsidRDefault="00000000">
            <w:r>
              <w:rPr>
                <w:rFonts w:ascii="Arial" w:hAnsi="Arial"/>
                <w:b/>
                <w:color w:val="FFFFFF"/>
                <w:sz w:val="18"/>
              </w:rPr>
              <w:t>Satuan</w:t>
            </w:r>
          </w:p>
        </w:tc>
        <w:tc>
          <w:tcPr>
            <w:tcW w:w="1290" w:type="dxa"/>
            <w:shd w:val="clear" w:color="auto" w:fill="1B3A6B"/>
          </w:tcPr>
          <w:p w14:paraId="6665900F" w14:textId="77777777" w:rsidR="00AD4FA5" w:rsidRDefault="00000000">
            <w:r>
              <w:rPr>
                <w:rFonts w:ascii="Arial" w:hAnsi="Arial"/>
                <w:b/>
                <w:color w:val="FFFFFF"/>
                <w:sz w:val="18"/>
              </w:rPr>
              <w:t>Tahun 2024</w:t>
            </w:r>
          </w:p>
        </w:tc>
        <w:tc>
          <w:tcPr>
            <w:tcW w:w="1290" w:type="dxa"/>
            <w:shd w:val="clear" w:color="auto" w:fill="1B3A6B"/>
          </w:tcPr>
          <w:p w14:paraId="61548011" w14:textId="77777777" w:rsidR="00AD4FA5" w:rsidRDefault="00000000">
            <w:r>
              <w:rPr>
                <w:rFonts w:ascii="Arial" w:hAnsi="Arial"/>
                <w:b/>
                <w:color w:val="FFFFFF"/>
                <w:sz w:val="18"/>
              </w:rPr>
              <w:t>Tahun 2023</w:t>
            </w:r>
          </w:p>
        </w:tc>
        <w:tc>
          <w:tcPr>
            <w:tcW w:w="1290" w:type="dxa"/>
            <w:shd w:val="clear" w:color="auto" w:fill="1B3A6B"/>
          </w:tcPr>
          <w:p w14:paraId="01C1E63E" w14:textId="77777777" w:rsidR="00AD4FA5" w:rsidRDefault="00000000">
            <w:r>
              <w:rPr>
                <w:rFonts w:ascii="Arial" w:hAnsi="Arial"/>
                <w:b/>
                <w:color w:val="FFFFFF"/>
                <w:sz w:val="18"/>
              </w:rPr>
              <w:t>Perubahan (%)</w:t>
            </w:r>
          </w:p>
        </w:tc>
        <w:tc>
          <w:tcPr>
            <w:tcW w:w="1290" w:type="dxa"/>
            <w:shd w:val="clear" w:color="auto" w:fill="1B3A6B"/>
          </w:tcPr>
          <w:p w14:paraId="06AA98BE" w14:textId="77777777" w:rsidR="00AD4FA5" w:rsidRDefault="00000000">
            <w:r>
              <w:rPr>
                <w:rFonts w:ascii="Arial" w:hAnsi="Arial"/>
                <w:b/>
                <w:color w:val="FFFFFF"/>
                <w:sz w:val="18"/>
              </w:rPr>
              <w:t>Kontribusi (%)</w:t>
            </w:r>
          </w:p>
        </w:tc>
      </w:tr>
      <w:tr w:rsidR="00AD4FA5" w14:paraId="7F4CCEDD" w14:textId="77777777">
        <w:trPr>
          <w:jc w:val="center"/>
        </w:trPr>
        <w:tc>
          <w:tcPr>
            <w:tcW w:w="1290" w:type="dxa"/>
          </w:tcPr>
          <w:p w14:paraId="29DAE148" w14:textId="77777777" w:rsidR="00AD4FA5" w:rsidRDefault="00000000">
            <w:pPr>
              <w:jc w:val="right"/>
            </w:pPr>
            <w:r>
              <w:rPr>
                <w:rFonts w:ascii="Arial" w:hAnsi="Arial"/>
                <w:sz w:val="18"/>
              </w:rPr>
              <w:t>1</w:t>
            </w:r>
          </w:p>
        </w:tc>
        <w:tc>
          <w:tcPr>
            <w:tcW w:w="1290" w:type="dxa"/>
          </w:tcPr>
          <w:p w14:paraId="4D01565B" w14:textId="77777777" w:rsidR="00AD4FA5" w:rsidRDefault="00000000">
            <w:r>
              <w:rPr>
                <w:rFonts w:ascii="Arial" w:hAnsi="Arial"/>
                <w:sz w:val="18"/>
              </w:rPr>
              <w:t>Pembakaran Gas Alam (Natural Gas)</w:t>
            </w:r>
          </w:p>
        </w:tc>
        <w:tc>
          <w:tcPr>
            <w:tcW w:w="1290" w:type="dxa"/>
          </w:tcPr>
          <w:p w14:paraId="475ABAAC" w14:textId="77777777" w:rsidR="00AD4FA5" w:rsidRDefault="00000000">
            <w:r>
              <w:rPr>
                <w:rFonts w:ascii="Arial" w:hAnsi="Arial"/>
                <w:sz w:val="18"/>
              </w:rPr>
              <w:t>tCO₂e</w:t>
            </w:r>
          </w:p>
        </w:tc>
        <w:tc>
          <w:tcPr>
            <w:tcW w:w="1290" w:type="dxa"/>
          </w:tcPr>
          <w:p w14:paraId="7EB83B9C" w14:textId="77777777" w:rsidR="00AD4FA5" w:rsidRDefault="00000000">
            <w:pPr>
              <w:jc w:val="right"/>
            </w:pPr>
            <w:r>
              <w:rPr>
                <w:rFonts w:ascii="Arial" w:hAnsi="Arial"/>
                <w:sz w:val="18"/>
              </w:rPr>
              <w:t>1,199.7924</w:t>
            </w:r>
          </w:p>
        </w:tc>
        <w:tc>
          <w:tcPr>
            <w:tcW w:w="1290" w:type="dxa"/>
          </w:tcPr>
          <w:p w14:paraId="7CD3DBC9" w14:textId="77777777" w:rsidR="00AD4FA5" w:rsidRDefault="00000000">
            <w:pPr>
              <w:jc w:val="right"/>
            </w:pPr>
            <w:r>
              <w:rPr>
                <w:rFonts w:ascii="Arial" w:hAnsi="Arial"/>
                <w:sz w:val="18"/>
              </w:rPr>
              <w:t>1,199.0321</w:t>
            </w:r>
          </w:p>
        </w:tc>
        <w:tc>
          <w:tcPr>
            <w:tcW w:w="1290" w:type="dxa"/>
          </w:tcPr>
          <w:p w14:paraId="66A3A1A2" w14:textId="77777777" w:rsidR="00AD4FA5" w:rsidRDefault="00000000">
            <w:pPr>
              <w:jc w:val="right"/>
            </w:pPr>
            <w:r>
              <w:rPr>
                <w:rFonts w:ascii="Arial" w:hAnsi="Arial"/>
                <w:sz w:val="18"/>
              </w:rPr>
              <w:t>+0.06</w:t>
            </w:r>
          </w:p>
        </w:tc>
        <w:tc>
          <w:tcPr>
            <w:tcW w:w="1290" w:type="dxa"/>
          </w:tcPr>
          <w:p w14:paraId="2E7CA82F" w14:textId="77777777" w:rsidR="00AD4FA5" w:rsidRDefault="00000000">
            <w:pPr>
              <w:jc w:val="right"/>
            </w:pPr>
            <w:r>
              <w:rPr>
                <w:rFonts w:ascii="Arial" w:hAnsi="Arial"/>
                <w:sz w:val="18"/>
              </w:rPr>
              <w:t>35.26</w:t>
            </w:r>
          </w:p>
        </w:tc>
      </w:tr>
      <w:tr w:rsidR="00AD4FA5" w14:paraId="6D884F04" w14:textId="77777777">
        <w:trPr>
          <w:jc w:val="center"/>
        </w:trPr>
        <w:tc>
          <w:tcPr>
            <w:tcW w:w="1290" w:type="dxa"/>
            <w:shd w:val="clear" w:color="auto" w:fill="F2F6FC"/>
          </w:tcPr>
          <w:p w14:paraId="40A8F28A" w14:textId="77777777" w:rsidR="00AD4FA5" w:rsidRDefault="00000000">
            <w:pPr>
              <w:jc w:val="right"/>
            </w:pPr>
            <w:r>
              <w:rPr>
                <w:rFonts w:ascii="Arial" w:hAnsi="Arial"/>
                <w:sz w:val="18"/>
              </w:rPr>
              <w:lastRenderedPageBreak/>
              <w:t>2</w:t>
            </w:r>
          </w:p>
        </w:tc>
        <w:tc>
          <w:tcPr>
            <w:tcW w:w="1290" w:type="dxa"/>
            <w:shd w:val="clear" w:color="auto" w:fill="F2F6FC"/>
          </w:tcPr>
          <w:p w14:paraId="2C6D7485" w14:textId="77777777" w:rsidR="00AD4FA5" w:rsidRDefault="00000000">
            <w:r>
              <w:rPr>
                <w:rFonts w:ascii="Arial" w:hAnsi="Arial"/>
                <w:sz w:val="18"/>
              </w:rPr>
              <w:t>Pembakaran Diesel (Generator &amp; Kendaraan Operasional)</w:t>
            </w:r>
          </w:p>
        </w:tc>
        <w:tc>
          <w:tcPr>
            <w:tcW w:w="1290" w:type="dxa"/>
            <w:shd w:val="clear" w:color="auto" w:fill="F2F6FC"/>
          </w:tcPr>
          <w:p w14:paraId="7E1BEABA" w14:textId="77777777" w:rsidR="00AD4FA5" w:rsidRDefault="00000000">
            <w:r>
              <w:rPr>
                <w:rFonts w:ascii="Arial" w:hAnsi="Arial"/>
                <w:sz w:val="18"/>
              </w:rPr>
              <w:t>tCO₂e</w:t>
            </w:r>
          </w:p>
        </w:tc>
        <w:tc>
          <w:tcPr>
            <w:tcW w:w="1290" w:type="dxa"/>
            <w:shd w:val="clear" w:color="auto" w:fill="F2F6FC"/>
          </w:tcPr>
          <w:p w14:paraId="1008EEAA" w14:textId="77777777" w:rsidR="00AD4FA5" w:rsidRDefault="00000000">
            <w:pPr>
              <w:jc w:val="right"/>
            </w:pPr>
            <w:r>
              <w:rPr>
                <w:rFonts w:ascii="Arial" w:hAnsi="Arial"/>
                <w:sz w:val="18"/>
              </w:rPr>
              <w:t>2,203.2044</w:t>
            </w:r>
          </w:p>
        </w:tc>
        <w:tc>
          <w:tcPr>
            <w:tcW w:w="1290" w:type="dxa"/>
            <w:shd w:val="clear" w:color="auto" w:fill="F2F6FC"/>
          </w:tcPr>
          <w:p w14:paraId="41B8A46F" w14:textId="77777777" w:rsidR="00AD4FA5" w:rsidRDefault="00000000">
            <w:pPr>
              <w:jc w:val="right"/>
            </w:pPr>
            <w:r>
              <w:rPr>
                <w:rFonts w:ascii="Arial" w:hAnsi="Arial"/>
                <w:sz w:val="18"/>
              </w:rPr>
              <w:t>2,125.4888</w:t>
            </w:r>
          </w:p>
        </w:tc>
        <w:tc>
          <w:tcPr>
            <w:tcW w:w="1290" w:type="dxa"/>
            <w:shd w:val="clear" w:color="auto" w:fill="F2F6FC"/>
          </w:tcPr>
          <w:p w14:paraId="63890466" w14:textId="77777777" w:rsidR="00AD4FA5" w:rsidRDefault="00000000">
            <w:pPr>
              <w:jc w:val="right"/>
            </w:pPr>
            <w:r>
              <w:rPr>
                <w:rFonts w:ascii="Arial" w:hAnsi="Arial"/>
                <w:sz w:val="18"/>
              </w:rPr>
              <w:t>+3.66</w:t>
            </w:r>
          </w:p>
        </w:tc>
        <w:tc>
          <w:tcPr>
            <w:tcW w:w="1290" w:type="dxa"/>
            <w:shd w:val="clear" w:color="auto" w:fill="F2F6FC"/>
          </w:tcPr>
          <w:p w14:paraId="1A7AA13D" w14:textId="77777777" w:rsidR="00AD4FA5" w:rsidRDefault="00000000">
            <w:pPr>
              <w:jc w:val="right"/>
            </w:pPr>
            <w:r>
              <w:rPr>
                <w:rFonts w:ascii="Arial" w:hAnsi="Arial"/>
                <w:sz w:val="18"/>
              </w:rPr>
              <w:t>64.74</w:t>
            </w:r>
          </w:p>
        </w:tc>
      </w:tr>
      <w:tr w:rsidR="00AD4FA5" w14:paraId="4E3E2294" w14:textId="77777777">
        <w:trPr>
          <w:jc w:val="center"/>
        </w:trPr>
        <w:tc>
          <w:tcPr>
            <w:tcW w:w="1290" w:type="dxa"/>
          </w:tcPr>
          <w:p w14:paraId="214C2C97" w14:textId="77777777" w:rsidR="00AD4FA5" w:rsidRDefault="00000000">
            <w:pPr>
              <w:jc w:val="right"/>
            </w:pPr>
            <w:r>
              <w:rPr>
                <w:rFonts w:ascii="Arial" w:hAnsi="Arial"/>
                <w:sz w:val="18"/>
              </w:rPr>
              <w:t>3</w:t>
            </w:r>
          </w:p>
        </w:tc>
        <w:tc>
          <w:tcPr>
            <w:tcW w:w="1290" w:type="dxa"/>
          </w:tcPr>
          <w:p w14:paraId="02575222" w14:textId="77777777" w:rsidR="00AD4FA5" w:rsidRDefault="00000000">
            <w:r>
              <w:rPr>
                <w:rFonts w:ascii="Arial" w:hAnsi="Arial"/>
                <w:sz w:val="18"/>
              </w:rPr>
              <w:t>**Total Emisi Scope 1**</w:t>
            </w:r>
          </w:p>
        </w:tc>
        <w:tc>
          <w:tcPr>
            <w:tcW w:w="1290" w:type="dxa"/>
          </w:tcPr>
          <w:p w14:paraId="6AF69B72" w14:textId="77777777" w:rsidR="00AD4FA5" w:rsidRDefault="00000000">
            <w:r>
              <w:rPr>
                <w:rFonts w:ascii="Arial" w:hAnsi="Arial"/>
                <w:sz w:val="18"/>
              </w:rPr>
              <w:t>tCO₂e</w:t>
            </w:r>
          </w:p>
        </w:tc>
        <w:tc>
          <w:tcPr>
            <w:tcW w:w="1290" w:type="dxa"/>
          </w:tcPr>
          <w:p w14:paraId="11B64DFE" w14:textId="77777777" w:rsidR="00AD4FA5" w:rsidRDefault="00000000">
            <w:r>
              <w:rPr>
                <w:rFonts w:ascii="Arial" w:hAnsi="Arial"/>
                <w:sz w:val="18"/>
              </w:rPr>
              <w:t>**3,402.997**</w:t>
            </w:r>
          </w:p>
        </w:tc>
        <w:tc>
          <w:tcPr>
            <w:tcW w:w="1290" w:type="dxa"/>
          </w:tcPr>
          <w:p w14:paraId="19DAD122" w14:textId="77777777" w:rsidR="00AD4FA5" w:rsidRDefault="00000000">
            <w:r>
              <w:rPr>
                <w:rFonts w:ascii="Arial" w:hAnsi="Arial"/>
                <w:sz w:val="18"/>
              </w:rPr>
              <w:t>**3,324.521**</w:t>
            </w:r>
          </w:p>
        </w:tc>
        <w:tc>
          <w:tcPr>
            <w:tcW w:w="1290" w:type="dxa"/>
          </w:tcPr>
          <w:p w14:paraId="7A95C03E" w14:textId="77777777" w:rsidR="00AD4FA5" w:rsidRDefault="00000000">
            <w:r>
              <w:rPr>
                <w:rFonts w:ascii="Arial" w:hAnsi="Arial"/>
                <w:sz w:val="18"/>
              </w:rPr>
              <w:t>**+2.36**</w:t>
            </w:r>
          </w:p>
        </w:tc>
        <w:tc>
          <w:tcPr>
            <w:tcW w:w="1290" w:type="dxa"/>
          </w:tcPr>
          <w:p w14:paraId="5DFD01E2" w14:textId="77777777" w:rsidR="00AD4FA5" w:rsidRDefault="00000000">
            <w:r>
              <w:rPr>
                <w:rFonts w:ascii="Arial" w:hAnsi="Arial"/>
                <w:sz w:val="18"/>
              </w:rPr>
              <w:t>**100.00**</w:t>
            </w:r>
          </w:p>
        </w:tc>
      </w:tr>
    </w:tbl>
    <w:p w14:paraId="40C15BB0" w14:textId="77777777" w:rsidR="00AD4FA5" w:rsidRDefault="00000000">
      <w:r>
        <w:rPr>
          <w:rFonts w:ascii="Arial" w:hAnsi="Arial"/>
          <w:i/>
          <w:sz w:val="16"/>
        </w:rPr>
        <w:t>Source: Sumber: Data konsumsi bahan bakar internal institusi, dihitung menggunakan GHG Protocol Corporate Standard (2015) dan faktor emisi IPCC 2006 Guidelines. Pendekatan konsolidasi: Operational Control. GWP: IPCC AR6 (CH₄=29.8, N₂O=273.0).</w:t>
      </w:r>
    </w:p>
    <w:p w14:paraId="54E73332" w14:textId="77777777" w:rsidR="00AD4FA5" w:rsidRDefault="00AD4FA5"/>
    <w:p w14:paraId="44A3F136" w14:textId="77777777" w:rsidR="00AD4FA5" w:rsidRDefault="00000000">
      <w:r>
        <w:rPr>
          <w:rFonts w:ascii="Arial" w:hAnsi="Arial"/>
          <w:b/>
          <w:sz w:val="20"/>
        </w:rPr>
        <w:t>Tabel 2: Sepuluh Fasilitas dengan Emisi Scope 1 Tertinggi — Tahun Pelaporan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D4FA5" w14:paraId="7693EBCD" w14:textId="77777777">
        <w:trPr>
          <w:jc w:val="center"/>
        </w:trPr>
        <w:tc>
          <w:tcPr>
            <w:tcW w:w="1505" w:type="dxa"/>
            <w:shd w:val="clear" w:color="auto" w:fill="1B3A6B"/>
          </w:tcPr>
          <w:p w14:paraId="60697B9B" w14:textId="77777777" w:rsidR="00AD4FA5" w:rsidRDefault="00000000">
            <w:r>
              <w:rPr>
                <w:rFonts w:ascii="Arial" w:hAnsi="Arial"/>
                <w:b/>
                <w:color w:val="FFFFFF"/>
                <w:sz w:val="18"/>
              </w:rPr>
              <w:t>No.</w:t>
            </w:r>
          </w:p>
        </w:tc>
        <w:tc>
          <w:tcPr>
            <w:tcW w:w="1505" w:type="dxa"/>
            <w:shd w:val="clear" w:color="auto" w:fill="1B3A6B"/>
          </w:tcPr>
          <w:p w14:paraId="49B7E517" w14:textId="77777777" w:rsidR="00AD4FA5" w:rsidRDefault="00000000">
            <w:r>
              <w:rPr>
                <w:rFonts w:ascii="Arial" w:hAnsi="Arial"/>
                <w:b/>
                <w:color w:val="FFFFFF"/>
                <w:sz w:val="18"/>
              </w:rPr>
              <w:t>ID Fasilitas</w:t>
            </w:r>
          </w:p>
        </w:tc>
        <w:tc>
          <w:tcPr>
            <w:tcW w:w="1505" w:type="dxa"/>
            <w:shd w:val="clear" w:color="auto" w:fill="1B3A6B"/>
          </w:tcPr>
          <w:p w14:paraId="2EDC7FE5" w14:textId="77777777" w:rsidR="00AD4FA5" w:rsidRDefault="00000000">
            <w:r>
              <w:rPr>
                <w:rFonts w:ascii="Arial" w:hAnsi="Arial"/>
                <w:b/>
                <w:color w:val="FFFFFF"/>
                <w:sz w:val="18"/>
              </w:rPr>
              <w:t>Total Scope 1 (tCO₂e)</w:t>
            </w:r>
          </w:p>
        </w:tc>
        <w:tc>
          <w:tcPr>
            <w:tcW w:w="1505" w:type="dxa"/>
            <w:shd w:val="clear" w:color="auto" w:fill="1B3A6B"/>
          </w:tcPr>
          <w:p w14:paraId="5C23342E" w14:textId="77777777" w:rsidR="00AD4FA5" w:rsidRDefault="00000000">
            <w:r>
              <w:rPr>
                <w:rFonts w:ascii="Arial" w:hAnsi="Arial"/>
                <w:b/>
                <w:color w:val="FFFFFF"/>
                <w:sz w:val="18"/>
              </w:rPr>
              <w:t>Gas Alam (tCO₂e)</w:t>
            </w:r>
          </w:p>
        </w:tc>
        <w:tc>
          <w:tcPr>
            <w:tcW w:w="1505" w:type="dxa"/>
            <w:shd w:val="clear" w:color="auto" w:fill="1B3A6B"/>
          </w:tcPr>
          <w:p w14:paraId="4D95A732" w14:textId="77777777" w:rsidR="00AD4FA5" w:rsidRDefault="00000000">
            <w:r>
              <w:rPr>
                <w:rFonts w:ascii="Arial" w:hAnsi="Arial"/>
                <w:b/>
                <w:color w:val="FFFFFF"/>
                <w:sz w:val="18"/>
              </w:rPr>
              <w:t>Diesel (tCO₂e)</w:t>
            </w:r>
          </w:p>
        </w:tc>
        <w:tc>
          <w:tcPr>
            <w:tcW w:w="1505" w:type="dxa"/>
            <w:shd w:val="clear" w:color="auto" w:fill="1B3A6B"/>
          </w:tcPr>
          <w:p w14:paraId="013C04E1" w14:textId="77777777" w:rsidR="00AD4FA5" w:rsidRDefault="00000000">
            <w:r>
              <w:rPr>
                <w:rFonts w:ascii="Arial" w:hAnsi="Arial"/>
                <w:b/>
                <w:color w:val="FFFFFF"/>
                <w:sz w:val="18"/>
              </w:rPr>
              <w:t>Skor Kualitas Data</w:t>
            </w:r>
          </w:p>
        </w:tc>
      </w:tr>
      <w:tr w:rsidR="00AD4FA5" w14:paraId="70413097" w14:textId="77777777">
        <w:trPr>
          <w:jc w:val="center"/>
        </w:trPr>
        <w:tc>
          <w:tcPr>
            <w:tcW w:w="1505" w:type="dxa"/>
          </w:tcPr>
          <w:p w14:paraId="23C9FCEE" w14:textId="77777777" w:rsidR="00AD4FA5" w:rsidRDefault="00000000">
            <w:pPr>
              <w:jc w:val="right"/>
            </w:pPr>
            <w:r>
              <w:rPr>
                <w:rFonts w:ascii="Arial" w:hAnsi="Arial"/>
                <w:sz w:val="18"/>
              </w:rPr>
              <w:t>1</w:t>
            </w:r>
          </w:p>
        </w:tc>
        <w:tc>
          <w:tcPr>
            <w:tcW w:w="1505" w:type="dxa"/>
          </w:tcPr>
          <w:p w14:paraId="16F8F33B" w14:textId="77777777" w:rsidR="00AD4FA5" w:rsidRDefault="00000000">
            <w:r>
              <w:rPr>
                <w:rFonts w:ascii="Arial" w:hAnsi="Arial"/>
                <w:sz w:val="18"/>
              </w:rPr>
              <w:t>FAC-0197</w:t>
            </w:r>
          </w:p>
        </w:tc>
        <w:tc>
          <w:tcPr>
            <w:tcW w:w="1505" w:type="dxa"/>
          </w:tcPr>
          <w:p w14:paraId="6797DDD2" w14:textId="77777777" w:rsidR="00AD4FA5" w:rsidRDefault="00000000">
            <w:pPr>
              <w:jc w:val="right"/>
            </w:pPr>
            <w:r>
              <w:rPr>
                <w:rFonts w:ascii="Arial" w:hAnsi="Arial"/>
                <w:sz w:val="18"/>
              </w:rPr>
              <w:t>147.7152</w:t>
            </w:r>
          </w:p>
        </w:tc>
        <w:tc>
          <w:tcPr>
            <w:tcW w:w="1505" w:type="dxa"/>
          </w:tcPr>
          <w:p w14:paraId="4825B4C1" w14:textId="77777777" w:rsidR="00AD4FA5" w:rsidRDefault="00000000">
            <w:pPr>
              <w:jc w:val="right"/>
            </w:pPr>
            <w:r>
              <w:rPr>
                <w:rFonts w:ascii="Arial" w:hAnsi="Arial"/>
                <w:sz w:val="18"/>
              </w:rPr>
              <w:t>65.1748</w:t>
            </w:r>
          </w:p>
        </w:tc>
        <w:tc>
          <w:tcPr>
            <w:tcW w:w="1505" w:type="dxa"/>
          </w:tcPr>
          <w:p w14:paraId="6994266E" w14:textId="77777777" w:rsidR="00AD4FA5" w:rsidRDefault="00000000">
            <w:pPr>
              <w:jc w:val="right"/>
            </w:pPr>
            <w:r>
              <w:rPr>
                <w:rFonts w:ascii="Arial" w:hAnsi="Arial"/>
                <w:sz w:val="18"/>
              </w:rPr>
              <w:t>82.5404</w:t>
            </w:r>
          </w:p>
        </w:tc>
        <w:tc>
          <w:tcPr>
            <w:tcW w:w="1505" w:type="dxa"/>
          </w:tcPr>
          <w:p w14:paraId="73932D63" w14:textId="77777777" w:rsidR="00AD4FA5" w:rsidRDefault="00000000">
            <w:pPr>
              <w:jc w:val="right"/>
            </w:pPr>
            <w:r>
              <w:rPr>
                <w:rFonts w:ascii="Arial" w:hAnsi="Arial"/>
                <w:sz w:val="18"/>
              </w:rPr>
              <w:t>1</w:t>
            </w:r>
          </w:p>
        </w:tc>
      </w:tr>
      <w:tr w:rsidR="00AD4FA5" w14:paraId="645A3372" w14:textId="77777777">
        <w:trPr>
          <w:jc w:val="center"/>
        </w:trPr>
        <w:tc>
          <w:tcPr>
            <w:tcW w:w="1505" w:type="dxa"/>
            <w:shd w:val="clear" w:color="auto" w:fill="F2F6FC"/>
          </w:tcPr>
          <w:p w14:paraId="0FF1F3FD" w14:textId="77777777" w:rsidR="00AD4FA5" w:rsidRDefault="00000000">
            <w:pPr>
              <w:jc w:val="right"/>
            </w:pPr>
            <w:r>
              <w:rPr>
                <w:rFonts w:ascii="Arial" w:hAnsi="Arial"/>
                <w:sz w:val="18"/>
              </w:rPr>
              <w:t>2</w:t>
            </w:r>
          </w:p>
        </w:tc>
        <w:tc>
          <w:tcPr>
            <w:tcW w:w="1505" w:type="dxa"/>
            <w:shd w:val="clear" w:color="auto" w:fill="F2F6FC"/>
          </w:tcPr>
          <w:p w14:paraId="5029F060" w14:textId="77777777" w:rsidR="00AD4FA5" w:rsidRDefault="00000000">
            <w:r>
              <w:rPr>
                <w:rFonts w:ascii="Arial" w:hAnsi="Arial"/>
                <w:sz w:val="18"/>
              </w:rPr>
              <w:t>FAC-0198</w:t>
            </w:r>
          </w:p>
        </w:tc>
        <w:tc>
          <w:tcPr>
            <w:tcW w:w="1505" w:type="dxa"/>
            <w:shd w:val="clear" w:color="auto" w:fill="F2F6FC"/>
          </w:tcPr>
          <w:p w14:paraId="73F766F1" w14:textId="77777777" w:rsidR="00AD4FA5" w:rsidRDefault="00000000">
            <w:pPr>
              <w:jc w:val="right"/>
            </w:pPr>
            <w:r>
              <w:rPr>
                <w:rFonts w:ascii="Arial" w:hAnsi="Arial"/>
                <w:sz w:val="18"/>
              </w:rPr>
              <w:t>137.8381</w:t>
            </w:r>
          </w:p>
        </w:tc>
        <w:tc>
          <w:tcPr>
            <w:tcW w:w="1505" w:type="dxa"/>
            <w:shd w:val="clear" w:color="auto" w:fill="F2F6FC"/>
          </w:tcPr>
          <w:p w14:paraId="7535241C" w14:textId="77777777" w:rsidR="00AD4FA5" w:rsidRDefault="00000000">
            <w:pPr>
              <w:jc w:val="right"/>
            </w:pPr>
            <w:r>
              <w:rPr>
                <w:rFonts w:ascii="Arial" w:hAnsi="Arial"/>
                <w:sz w:val="18"/>
              </w:rPr>
              <w:t>54.4460</w:t>
            </w:r>
          </w:p>
        </w:tc>
        <w:tc>
          <w:tcPr>
            <w:tcW w:w="1505" w:type="dxa"/>
            <w:shd w:val="clear" w:color="auto" w:fill="F2F6FC"/>
          </w:tcPr>
          <w:p w14:paraId="12B72A0E" w14:textId="77777777" w:rsidR="00AD4FA5" w:rsidRDefault="00000000">
            <w:pPr>
              <w:jc w:val="right"/>
            </w:pPr>
            <w:r>
              <w:rPr>
                <w:rFonts w:ascii="Arial" w:hAnsi="Arial"/>
                <w:sz w:val="18"/>
              </w:rPr>
              <w:t>83.3921</w:t>
            </w:r>
          </w:p>
        </w:tc>
        <w:tc>
          <w:tcPr>
            <w:tcW w:w="1505" w:type="dxa"/>
            <w:shd w:val="clear" w:color="auto" w:fill="F2F6FC"/>
          </w:tcPr>
          <w:p w14:paraId="17D51382" w14:textId="77777777" w:rsidR="00AD4FA5" w:rsidRDefault="00000000">
            <w:pPr>
              <w:jc w:val="right"/>
            </w:pPr>
            <w:r>
              <w:rPr>
                <w:rFonts w:ascii="Arial" w:hAnsi="Arial"/>
                <w:sz w:val="18"/>
              </w:rPr>
              <w:t>1</w:t>
            </w:r>
          </w:p>
        </w:tc>
      </w:tr>
      <w:tr w:rsidR="00AD4FA5" w14:paraId="04975A63" w14:textId="77777777">
        <w:trPr>
          <w:jc w:val="center"/>
        </w:trPr>
        <w:tc>
          <w:tcPr>
            <w:tcW w:w="1505" w:type="dxa"/>
          </w:tcPr>
          <w:p w14:paraId="737498B8" w14:textId="77777777" w:rsidR="00AD4FA5" w:rsidRDefault="00000000">
            <w:pPr>
              <w:jc w:val="right"/>
            </w:pPr>
            <w:r>
              <w:rPr>
                <w:rFonts w:ascii="Arial" w:hAnsi="Arial"/>
                <w:sz w:val="18"/>
              </w:rPr>
              <w:t>3</w:t>
            </w:r>
          </w:p>
        </w:tc>
        <w:tc>
          <w:tcPr>
            <w:tcW w:w="1505" w:type="dxa"/>
          </w:tcPr>
          <w:p w14:paraId="5B13B1CB" w14:textId="77777777" w:rsidR="00AD4FA5" w:rsidRDefault="00000000">
            <w:r>
              <w:rPr>
                <w:rFonts w:ascii="Arial" w:hAnsi="Arial"/>
                <w:sz w:val="18"/>
              </w:rPr>
              <w:t>FAC-0200</w:t>
            </w:r>
          </w:p>
        </w:tc>
        <w:tc>
          <w:tcPr>
            <w:tcW w:w="1505" w:type="dxa"/>
          </w:tcPr>
          <w:p w14:paraId="1D98A8C4" w14:textId="77777777" w:rsidR="00AD4FA5" w:rsidRDefault="00000000">
            <w:pPr>
              <w:jc w:val="right"/>
            </w:pPr>
            <w:r>
              <w:rPr>
                <w:rFonts w:ascii="Arial" w:hAnsi="Arial"/>
                <w:sz w:val="18"/>
              </w:rPr>
              <w:t>131.4422</w:t>
            </w:r>
          </w:p>
        </w:tc>
        <w:tc>
          <w:tcPr>
            <w:tcW w:w="1505" w:type="dxa"/>
          </w:tcPr>
          <w:p w14:paraId="048F2FE3" w14:textId="77777777" w:rsidR="00AD4FA5" w:rsidRDefault="00000000">
            <w:pPr>
              <w:jc w:val="right"/>
            </w:pPr>
            <w:r>
              <w:rPr>
                <w:rFonts w:ascii="Arial" w:hAnsi="Arial"/>
                <w:sz w:val="18"/>
              </w:rPr>
              <w:t>57.0202</w:t>
            </w:r>
          </w:p>
        </w:tc>
        <w:tc>
          <w:tcPr>
            <w:tcW w:w="1505" w:type="dxa"/>
          </w:tcPr>
          <w:p w14:paraId="042CD24A" w14:textId="77777777" w:rsidR="00AD4FA5" w:rsidRDefault="00000000">
            <w:pPr>
              <w:jc w:val="right"/>
            </w:pPr>
            <w:r>
              <w:rPr>
                <w:rFonts w:ascii="Arial" w:hAnsi="Arial"/>
                <w:sz w:val="18"/>
              </w:rPr>
              <w:t>74.4220</w:t>
            </w:r>
          </w:p>
        </w:tc>
        <w:tc>
          <w:tcPr>
            <w:tcW w:w="1505" w:type="dxa"/>
          </w:tcPr>
          <w:p w14:paraId="468C048C" w14:textId="77777777" w:rsidR="00AD4FA5" w:rsidRDefault="00000000">
            <w:pPr>
              <w:jc w:val="right"/>
            </w:pPr>
            <w:r>
              <w:rPr>
                <w:rFonts w:ascii="Arial" w:hAnsi="Arial"/>
                <w:sz w:val="18"/>
              </w:rPr>
              <w:t>1</w:t>
            </w:r>
          </w:p>
        </w:tc>
      </w:tr>
      <w:tr w:rsidR="00AD4FA5" w14:paraId="0F0234D6" w14:textId="77777777">
        <w:trPr>
          <w:jc w:val="center"/>
        </w:trPr>
        <w:tc>
          <w:tcPr>
            <w:tcW w:w="1505" w:type="dxa"/>
            <w:shd w:val="clear" w:color="auto" w:fill="F2F6FC"/>
          </w:tcPr>
          <w:p w14:paraId="3D732E2E" w14:textId="77777777" w:rsidR="00AD4FA5" w:rsidRDefault="00000000">
            <w:pPr>
              <w:jc w:val="right"/>
            </w:pPr>
            <w:r>
              <w:rPr>
                <w:rFonts w:ascii="Arial" w:hAnsi="Arial"/>
                <w:sz w:val="18"/>
              </w:rPr>
              <w:t>4</w:t>
            </w:r>
          </w:p>
        </w:tc>
        <w:tc>
          <w:tcPr>
            <w:tcW w:w="1505" w:type="dxa"/>
            <w:shd w:val="clear" w:color="auto" w:fill="F2F6FC"/>
          </w:tcPr>
          <w:p w14:paraId="06BF669E" w14:textId="77777777" w:rsidR="00AD4FA5" w:rsidRDefault="00000000">
            <w:r>
              <w:rPr>
                <w:rFonts w:ascii="Arial" w:hAnsi="Arial"/>
                <w:sz w:val="18"/>
              </w:rPr>
              <w:t>FAC-0196</w:t>
            </w:r>
          </w:p>
        </w:tc>
        <w:tc>
          <w:tcPr>
            <w:tcW w:w="1505" w:type="dxa"/>
            <w:shd w:val="clear" w:color="auto" w:fill="F2F6FC"/>
          </w:tcPr>
          <w:p w14:paraId="77D06EF2" w14:textId="77777777" w:rsidR="00AD4FA5" w:rsidRDefault="00000000">
            <w:pPr>
              <w:jc w:val="right"/>
            </w:pPr>
            <w:r>
              <w:rPr>
                <w:rFonts w:ascii="Arial" w:hAnsi="Arial"/>
                <w:sz w:val="18"/>
              </w:rPr>
              <w:t>124.4219</w:t>
            </w:r>
          </w:p>
        </w:tc>
        <w:tc>
          <w:tcPr>
            <w:tcW w:w="1505" w:type="dxa"/>
            <w:shd w:val="clear" w:color="auto" w:fill="F2F6FC"/>
          </w:tcPr>
          <w:p w14:paraId="123D38EC" w14:textId="77777777" w:rsidR="00AD4FA5" w:rsidRDefault="00000000">
            <w:pPr>
              <w:jc w:val="right"/>
            </w:pPr>
            <w:r>
              <w:rPr>
                <w:rFonts w:ascii="Arial" w:hAnsi="Arial"/>
                <w:sz w:val="18"/>
              </w:rPr>
              <w:t>51.7527</w:t>
            </w:r>
          </w:p>
        </w:tc>
        <w:tc>
          <w:tcPr>
            <w:tcW w:w="1505" w:type="dxa"/>
            <w:shd w:val="clear" w:color="auto" w:fill="F2F6FC"/>
          </w:tcPr>
          <w:p w14:paraId="51BD64B7" w14:textId="77777777" w:rsidR="00AD4FA5" w:rsidRDefault="00000000">
            <w:pPr>
              <w:jc w:val="right"/>
            </w:pPr>
            <w:r>
              <w:rPr>
                <w:rFonts w:ascii="Arial" w:hAnsi="Arial"/>
                <w:sz w:val="18"/>
              </w:rPr>
              <w:t>72.6692</w:t>
            </w:r>
          </w:p>
        </w:tc>
        <w:tc>
          <w:tcPr>
            <w:tcW w:w="1505" w:type="dxa"/>
            <w:shd w:val="clear" w:color="auto" w:fill="F2F6FC"/>
          </w:tcPr>
          <w:p w14:paraId="69CD960C" w14:textId="77777777" w:rsidR="00AD4FA5" w:rsidRDefault="00000000">
            <w:pPr>
              <w:jc w:val="right"/>
            </w:pPr>
            <w:r>
              <w:rPr>
                <w:rFonts w:ascii="Arial" w:hAnsi="Arial"/>
                <w:sz w:val="18"/>
              </w:rPr>
              <w:t>1</w:t>
            </w:r>
          </w:p>
        </w:tc>
      </w:tr>
      <w:tr w:rsidR="00AD4FA5" w14:paraId="1A60D785" w14:textId="77777777">
        <w:trPr>
          <w:jc w:val="center"/>
        </w:trPr>
        <w:tc>
          <w:tcPr>
            <w:tcW w:w="1505" w:type="dxa"/>
          </w:tcPr>
          <w:p w14:paraId="62B1AD7D" w14:textId="77777777" w:rsidR="00AD4FA5" w:rsidRDefault="00000000">
            <w:pPr>
              <w:jc w:val="right"/>
            </w:pPr>
            <w:r>
              <w:rPr>
                <w:rFonts w:ascii="Arial" w:hAnsi="Arial"/>
                <w:sz w:val="18"/>
              </w:rPr>
              <w:t>5</w:t>
            </w:r>
          </w:p>
        </w:tc>
        <w:tc>
          <w:tcPr>
            <w:tcW w:w="1505" w:type="dxa"/>
          </w:tcPr>
          <w:p w14:paraId="555973A5" w14:textId="77777777" w:rsidR="00AD4FA5" w:rsidRDefault="00000000">
            <w:r>
              <w:rPr>
                <w:rFonts w:ascii="Arial" w:hAnsi="Arial"/>
                <w:sz w:val="18"/>
              </w:rPr>
              <w:t>FAC-0199</w:t>
            </w:r>
          </w:p>
        </w:tc>
        <w:tc>
          <w:tcPr>
            <w:tcW w:w="1505" w:type="dxa"/>
          </w:tcPr>
          <w:p w14:paraId="63B6559C" w14:textId="77777777" w:rsidR="00AD4FA5" w:rsidRDefault="00000000">
            <w:pPr>
              <w:jc w:val="right"/>
            </w:pPr>
            <w:r>
              <w:rPr>
                <w:rFonts w:ascii="Arial" w:hAnsi="Arial"/>
                <w:sz w:val="18"/>
              </w:rPr>
              <w:t>109.4122</w:t>
            </w:r>
          </w:p>
        </w:tc>
        <w:tc>
          <w:tcPr>
            <w:tcW w:w="1505" w:type="dxa"/>
          </w:tcPr>
          <w:p w14:paraId="64FF2540" w14:textId="77777777" w:rsidR="00AD4FA5" w:rsidRDefault="00000000">
            <w:pPr>
              <w:jc w:val="right"/>
            </w:pPr>
            <w:r>
              <w:rPr>
                <w:rFonts w:ascii="Arial" w:hAnsi="Arial"/>
                <w:sz w:val="18"/>
              </w:rPr>
              <w:t>52.0150</w:t>
            </w:r>
          </w:p>
        </w:tc>
        <w:tc>
          <w:tcPr>
            <w:tcW w:w="1505" w:type="dxa"/>
          </w:tcPr>
          <w:p w14:paraId="2B44F173" w14:textId="77777777" w:rsidR="00AD4FA5" w:rsidRDefault="00000000">
            <w:pPr>
              <w:jc w:val="right"/>
            </w:pPr>
            <w:r>
              <w:rPr>
                <w:rFonts w:ascii="Arial" w:hAnsi="Arial"/>
                <w:sz w:val="18"/>
              </w:rPr>
              <w:t>57.3972</w:t>
            </w:r>
          </w:p>
        </w:tc>
        <w:tc>
          <w:tcPr>
            <w:tcW w:w="1505" w:type="dxa"/>
          </w:tcPr>
          <w:p w14:paraId="0EEFA385" w14:textId="77777777" w:rsidR="00AD4FA5" w:rsidRDefault="00000000">
            <w:pPr>
              <w:jc w:val="right"/>
            </w:pPr>
            <w:r>
              <w:rPr>
                <w:rFonts w:ascii="Arial" w:hAnsi="Arial"/>
                <w:sz w:val="18"/>
              </w:rPr>
              <w:t>1</w:t>
            </w:r>
          </w:p>
        </w:tc>
      </w:tr>
      <w:tr w:rsidR="00AD4FA5" w14:paraId="44D0D99C" w14:textId="77777777">
        <w:trPr>
          <w:jc w:val="center"/>
        </w:trPr>
        <w:tc>
          <w:tcPr>
            <w:tcW w:w="1505" w:type="dxa"/>
            <w:shd w:val="clear" w:color="auto" w:fill="F2F6FC"/>
          </w:tcPr>
          <w:p w14:paraId="1038D79F" w14:textId="77777777" w:rsidR="00AD4FA5" w:rsidRDefault="00000000">
            <w:pPr>
              <w:jc w:val="right"/>
            </w:pPr>
            <w:r>
              <w:rPr>
                <w:rFonts w:ascii="Arial" w:hAnsi="Arial"/>
                <w:sz w:val="18"/>
              </w:rPr>
              <w:t>6</w:t>
            </w:r>
          </w:p>
        </w:tc>
        <w:tc>
          <w:tcPr>
            <w:tcW w:w="1505" w:type="dxa"/>
            <w:shd w:val="clear" w:color="auto" w:fill="F2F6FC"/>
          </w:tcPr>
          <w:p w14:paraId="6FB49B1E" w14:textId="77777777" w:rsidR="00AD4FA5" w:rsidRDefault="00000000">
            <w:r>
              <w:rPr>
                <w:rFonts w:ascii="Arial" w:hAnsi="Arial"/>
                <w:sz w:val="18"/>
              </w:rPr>
              <w:t>FAC-0193</w:t>
            </w:r>
          </w:p>
        </w:tc>
        <w:tc>
          <w:tcPr>
            <w:tcW w:w="1505" w:type="dxa"/>
            <w:shd w:val="clear" w:color="auto" w:fill="F2F6FC"/>
          </w:tcPr>
          <w:p w14:paraId="7EAFBC1D" w14:textId="77777777" w:rsidR="00AD4FA5" w:rsidRDefault="00000000">
            <w:pPr>
              <w:jc w:val="right"/>
            </w:pPr>
            <w:r>
              <w:rPr>
                <w:rFonts w:ascii="Arial" w:hAnsi="Arial"/>
                <w:sz w:val="18"/>
              </w:rPr>
              <w:t>72.3228</w:t>
            </w:r>
          </w:p>
        </w:tc>
        <w:tc>
          <w:tcPr>
            <w:tcW w:w="1505" w:type="dxa"/>
            <w:shd w:val="clear" w:color="auto" w:fill="F2F6FC"/>
          </w:tcPr>
          <w:p w14:paraId="36D0AC3B" w14:textId="77777777" w:rsidR="00AD4FA5" w:rsidRDefault="00000000">
            <w:pPr>
              <w:jc w:val="right"/>
            </w:pPr>
            <w:r>
              <w:rPr>
                <w:rFonts w:ascii="Arial" w:hAnsi="Arial"/>
                <w:sz w:val="18"/>
              </w:rPr>
              <w:t>0.0000</w:t>
            </w:r>
          </w:p>
        </w:tc>
        <w:tc>
          <w:tcPr>
            <w:tcW w:w="1505" w:type="dxa"/>
            <w:shd w:val="clear" w:color="auto" w:fill="F2F6FC"/>
          </w:tcPr>
          <w:p w14:paraId="7E6C2B79" w14:textId="77777777" w:rsidR="00AD4FA5" w:rsidRDefault="00000000">
            <w:pPr>
              <w:jc w:val="right"/>
            </w:pPr>
            <w:r>
              <w:rPr>
                <w:rFonts w:ascii="Arial" w:hAnsi="Arial"/>
                <w:sz w:val="18"/>
              </w:rPr>
              <w:t>72.3228</w:t>
            </w:r>
          </w:p>
        </w:tc>
        <w:tc>
          <w:tcPr>
            <w:tcW w:w="1505" w:type="dxa"/>
            <w:shd w:val="clear" w:color="auto" w:fill="F2F6FC"/>
          </w:tcPr>
          <w:p w14:paraId="16CCAB35" w14:textId="77777777" w:rsidR="00AD4FA5" w:rsidRDefault="00000000">
            <w:pPr>
              <w:jc w:val="right"/>
            </w:pPr>
            <w:r>
              <w:rPr>
                <w:rFonts w:ascii="Arial" w:hAnsi="Arial"/>
                <w:sz w:val="18"/>
              </w:rPr>
              <w:t>1</w:t>
            </w:r>
          </w:p>
        </w:tc>
      </w:tr>
      <w:tr w:rsidR="00AD4FA5" w14:paraId="59D82E5E" w14:textId="77777777">
        <w:trPr>
          <w:jc w:val="center"/>
        </w:trPr>
        <w:tc>
          <w:tcPr>
            <w:tcW w:w="1505" w:type="dxa"/>
          </w:tcPr>
          <w:p w14:paraId="1B3908D8" w14:textId="77777777" w:rsidR="00AD4FA5" w:rsidRDefault="00000000">
            <w:pPr>
              <w:jc w:val="right"/>
            </w:pPr>
            <w:r>
              <w:rPr>
                <w:rFonts w:ascii="Arial" w:hAnsi="Arial"/>
                <w:sz w:val="18"/>
              </w:rPr>
              <w:t>7</w:t>
            </w:r>
          </w:p>
        </w:tc>
        <w:tc>
          <w:tcPr>
            <w:tcW w:w="1505" w:type="dxa"/>
          </w:tcPr>
          <w:p w14:paraId="761511C5" w14:textId="77777777" w:rsidR="00AD4FA5" w:rsidRDefault="00000000">
            <w:r>
              <w:rPr>
                <w:rFonts w:ascii="Arial" w:hAnsi="Arial"/>
                <w:sz w:val="18"/>
              </w:rPr>
              <w:t>FAC-0215</w:t>
            </w:r>
          </w:p>
        </w:tc>
        <w:tc>
          <w:tcPr>
            <w:tcW w:w="1505" w:type="dxa"/>
          </w:tcPr>
          <w:p w14:paraId="2157A176" w14:textId="77777777" w:rsidR="00AD4FA5" w:rsidRDefault="00000000">
            <w:pPr>
              <w:jc w:val="right"/>
            </w:pPr>
            <w:r>
              <w:rPr>
                <w:rFonts w:ascii="Arial" w:hAnsi="Arial"/>
                <w:sz w:val="18"/>
              </w:rPr>
              <w:t>70.6057</w:t>
            </w:r>
          </w:p>
        </w:tc>
        <w:tc>
          <w:tcPr>
            <w:tcW w:w="1505" w:type="dxa"/>
          </w:tcPr>
          <w:p w14:paraId="39D9FF1D" w14:textId="77777777" w:rsidR="00AD4FA5" w:rsidRDefault="00000000">
            <w:pPr>
              <w:jc w:val="right"/>
            </w:pPr>
            <w:r>
              <w:rPr>
                <w:rFonts w:ascii="Arial" w:hAnsi="Arial"/>
                <w:sz w:val="18"/>
              </w:rPr>
              <w:t>23.5860</w:t>
            </w:r>
          </w:p>
        </w:tc>
        <w:tc>
          <w:tcPr>
            <w:tcW w:w="1505" w:type="dxa"/>
          </w:tcPr>
          <w:p w14:paraId="7B1CCDCE" w14:textId="77777777" w:rsidR="00AD4FA5" w:rsidRDefault="00000000">
            <w:pPr>
              <w:jc w:val="right"/>
            </w:pPr>
            <w:r>
              <w:rPr>
                <w:rFonts w:ascii="Arial" w:hAnsi="Arial"/>
                <w:sz w:val="18"/>
              </w:rPr>
              <w:t>47.0197</w:t>
            </w:r>
          </w:p>
        </w:tc>
        <w:tc>
          <w:tcPr>
            <w:tcW w:w="1505" w:type="dxa"/>
          </w:tcPr>
          <w:p w14:paraId="1B10429D" w14:textId="77777777" w:rsidR="00AD4FA5" w:rsidRDefault="00000000">
            <w:pPr>
              <w:jc w:val="right"/>
            </w:pPr>
            <w:r>
              <w:rPr>
                <w:rFonts w:ascii="Arial" w:hAnsi="Arial"/>
                <w:sz w:val="18"/>
              </w:rPr>
              <w:t>1</w:t>
            </w:r>
          </w:p>
        </w:tc>
      </w:tr>
      <w:tr w:rsidR="00AD4FA5" w14:paraId="225B8576" w14:textId="77777777">
        <w:trPr>
          <w:jc w:val="center"/>
        </w:trPr>
        <w:tc>
          <w:tcPr>
            <w:tcW w:w="1505" w:type="dxa"/>
            <w:shd w:val="clear" w:color="auto" w:fill="F2F6FC"/>
          </w:tcPr>
          <w:p w14:paraId="5577A1DE" w14:textId="77777777" w:rsidR="00AD4FA5" w:rsidRDefault="00000000">
            <w:pPr>
              <w:jc w:val="right"/>
            </w:pPr>
            <w:r>
              <w:rPr>
                <w:rFonts w:ascii="Arial" w:hAnsi="Arial"/>
                <w:sz w:val="18"/>
              </w:rPr>
              <w:t>8</w:t>
            </w:r>
          </w:p>
        </w:tc>
        <w:tc>
          <w:tcPr>
            <w:tcW w:w="1505" w:type="dxa"/>
            <w:shd w:val="clear" w:color="auto" w:fill="F2F6FC"/>
          </w:tcPr>
          <w:p w14:paraId="698993B1" w14:textId="77777777" w:rsidR="00AD4FA5" w:rsidRDefault="00000000">
            <w:r>
              <w:rPr>
                <w:rFonts w:ascii="Arial" w:hAnsi="Arial"/>
                <w:sz w:val="18"/>
              </w:rPr>
              <w:t>FAC-0191</w:t>
            </w:r>
          </w:p>
        </w:tc>
        <w:tc>
          <w:tcPr>
            <w:tcW w:w="1505" w:type="dxa"/>
            <w:shd w:val="clear" w:color="auto" w:fill="F2F6FC"/>
          </w:tcPr>
          <w:p w14:paraId="5DF3E988" w14:textId="77777777" w:rsidR="00AD4FA5" w:rsidRDefault="00000000">
            <w:pPr>
              <w:jc w:val="right"/>
            </w:pPr>
            <w:r>
              <w:rPr>
                <w:rFonts w:ascii="Arial" w:hAnsi="Arial"/>
                <w:sz w:val="18"/>
              </w:rPr>
              <w:t>67.3744</w:t>
            </w:r>
          </w:p>
        </w:tc>
        <w:tc>
          <w:tcPr>
            <w:tcW w:w="1505" w:type="dxa"/>
            <w:shd w:val="clear" w:color="auto" w:fill="F2F6FC"/>
          </w:tcPr>
          <w:p w14:paraId="7152E663" w14:textId="77777777" w:rsidR="00AD4FA5" w:rsidRDefault="00000000">
            <w:pPr>
              <w:jc w:val="right"/>
            </w:pPr>
            <w:r>
              <w:rPr>
                <w:rFonts w:ascii="Arial" w:hAnsi="Arial"/>
                <w:sz w:val="18"/>
              </w:rPr>
              <w:t>0.0000</w:t>
            </w:r>
          </w:p>
        </w:tc>
        <w:tc>
          <w:tcPr>
            <w:tcW w:w="1505" w:type="dxa"/>
            <w:shd w:val="clear" w:color="auto" w:fill="F2F6FC"/>
          </w:tcPr>
          <w:p w14:paraId="145D57F5" w14:textId="77777777" w:rsidR="00AD4FA5" w:rsidRDefault="00000000">
            <w:pPr>
              <w:jc w:val="right"/>
            </w:pPr>
            <w:r>
              <w:rPr>
                <w:rFonts w:ascii="Arial" w:hAnsi="Arial"/>
                <w:sz w:val="18"/>
              </w:rPr>
              <w:t>67.3744</w:t>
            </w:r>
          </w:p>
        </w:tc>
        <w:tc>
          <w:tcPr>
            <w:tcW w:w="1505" w:type="dxa"/>
            <w:shd w:val="clear" w:color="auto" w:fill="F2F6FC"/>
          </w:tcPr>
          <w:p w14:paraId="5C040C5F" w14:textId="77777777" w:rsidR="00AD4FA5" w:rsidRDefault="00000000">
            <w:pPr>
              <w:jc w:val="right"/>
            </w:pPr>
            <w:r>
              <w:rPr>
                <w:rFonts w:ascii="Arial" w:hAnsi="Arial"/>
                <w:sz w:val="18"/>
              </w:rPr>
              <w:t>1</w:t>
            </w:r>
          </w:p>
        </w:tc>
      </w:tr>
      <w:tr w:rsidR="00AD4FA5" w14:paraId="3F5A740D" w14:textId="77777777">
        <w:trPr>
          <w:jc w:val="center"/>
        </w:trPr>
        <w:tc>
          <w:tcPr>
            <w:tcW w:w="1505" w:type="dxa"/>
          </w:tcPr>
          <w:p w14:paraId="2C1BB764" w14:textId="77777777" w:rsidR="00AD4FA5" w:rsidRDefault="00000000">
            <w:pPr>
              <w:jc w:val="right"/>
            </w:pPr>
            <w:r>
              <w:rPr>
                <w:rFonts w:ascii="Arial" w:hAnsi="Arial"/>
                <w:sz w:val="18"/>
              </w:rPr>
              <w:t>9</w:t>
            </w:r>
          </w:p>
        </w:tc>
        <w:tc>
          <w:tcPr>
            <w:tcW w:w="1505" w:type="dxa"/>
          </w:tcPr>
          <w:p w14:paraId="3E5741A8" w14:textId="77777777" w:rsidR="00AD4FA5" w:rsidRDefault="00000000">
            <w:r>
              <w:rPr>
                <w:rFonts w:ascii="Arial" w:hAnsi="Arial"/>
                <w:sz w:val="18"/>
              </w:rPr>
              <w:t>FAC-0181</w:t>
            </w:r>
          </w:p>
        </w:tc>
        <w:tc>
          <w:tcPr>
            <w:tcW w:w="1505" w:type="dxa"/>
          </w:tcPr>
          <w:p w14:paraId="347EAB10" w14:textId="77777777" w:rsidR="00AD4FA5" w:rsidRDefault="00000000">
            <w:pPr>
              <w:jc w:val="right"/>
            </w:pPr>
            <w:r>
              <w:rPr>
                <w:rFonts w:ascii="Arial" w:hAnsi="Arial"/>
                <w:sz w:val="18"/>
              </w:rPr>
              <w:t>63.7580</w:t>
            </w:r>
          </w:p>
        </w:tc>
        <w:tc>
          <w:tcPr>
            <w:tcW w:w="1505" w:type="dxa"/>
          </w:tcPr>
          <w:p w14:paraId="7A756744" w14:textId="77777777" w:rsidR="00AD4FA5" w:rsidRDefault="00000000">
            <w:pPr>
              <w:jc w:val="right"/>
            </w:pPr>
            <w:r>
              <w:rPr>
                <w:rFonts w:ascii="Arial" w:hAnsi="Arial"/>
                <w:sz w:val="18"/>
              </w:rPr>
              <w:t>0.0000</w:t>
            </w:r>
          </w:p>
        </w:tc>
        <w:tc>
          <w:tcPr>
            <w:tcW w:w="1505" w:type="dxa"/>
          </w:tcPr>
          <w:p w14:paraId="05078F79" w14:textId="77777777" w:rsidR="00AD4FA5" w:rsidRDefault="00000000">
            <w:pPr>
              <w:jc w:val="right"/>
            </w:pPr>
            <w:r>
              <w:rPr>
                <w:rFonts w:ascii="Arial" w:hAnsi="Arial"/>
                <w:sz w:val="18"/>
              </w:rPr>
              <w:t>63.7580</w:t>
            </w:r>
          </w:p>
        </w:tc>
        <w:tc>
          <w:tcPr>
            <w:tcW w:w="1505" w:type="dxa"/>
          </w:tcPr>
          <w:p w14:paraId="0E17BA80" w14:textId="77777777" w:rsidR="00AD4FA5" w:rsidRDefault="00000000">
            <w:pPr>
              <w:jc w:val="right"/>
            </w:pPr>
            <w:r>
              <w:rPr>
                <w:rFonts w:ascii="Arial" w:hAnsi="Arial"/>
                <w:sz w:val="18"/>
              </w:rPr>
              <w:t>1</w:t>
            </w:r>
          </w:p>
        </w:tc>
      </w:tr>
      <w:tr w:rsidR="00AD4FA5" w14:paraId="483583D6" w14:textId="77777777">
        <w:trPr>
          <w:jc w:val="center"/>
        </w:trPr>
        <w:tc>
          <w:tcPr>
            <w:tcW w:w="1505" w:type="dxa"/>
            <w:shd w:val="clear" w:color="auto" w:fill="F2F6FC"/>
          </w:tcPr>
          <w:p w14:paraId="0C22EF5E" w14:textId="77777777" w:rsidR="00AD4FA5" w:rsidRDefault="00000000">
            <w:pPr>
              <w:jc w:val="right"/>
            </w:pPr>
            <w:r>
              <w:rPr>
                <w:rFonts w:ascii="Arial" w:hAnsi="Arial"/>
                <w:sz w:val="18"/>
              </w:rPr>
              <w:t>10</w:t>
            </w:r>
          </w:p>
        </w:tc>
        <w:tc>
          <w:tcPr>
            <w:tcW w:w="1505" w:type="dxa"/>
            <w:shd w:val="clear" w:color="auto" w:fill="F2F6FC"/>
          </w:tcPr>
          <w:p w14:paraId="3345980E" w14:textId="77777777" w:rsidR="00AD4FA5" w:rsidRDefault="00000000">
            <w:r>
              <w:rPr>
                <w:rFonts w:ascii="Arial" w:hAnsi="Arial"/>
                <w:sz w:val="18"/>
              </w:rPr>
              <w:t>FAC-0208</w:t>
            </w:r>
          </w:p>
        </w:tc>
        <w:tc>
          <w:tcPr>
            <w:tcW w:w="1505" w:type="dxa"/>
            <w:shd w:val="clear" w:color="auto" w:fill="F2F6FC"/>
          </w:tcPr>
          <w:p w14:paraId="0FE71FB0" w14:textId="77777777" w:rsidR="00AD4FA5" w:rsidRDefault="00000000">
            <w:pPr>
              <w:jc w:val="right"/>
            </w:pPr>
            <w:r>
              <w:rPr>
                <w:rFonts w:ascii="Arial" w:hAnsi="Arial"/>
                <w:sz w:val="18"/>
              </w:rPr>
              <w:t>63.5152</w:t>
            </w:r>
          </w:p>
        </w:tc>
        <w:tc>
          <w:tcPr>
            <w:tcW w:w="1505" w:type="dxa"/>
            <w:shd w:val="clear" w:color="auto" w:fill="F2F6FC"/>
          </w:tcPr>
          <w:p w14:paraId="30B76B2B" w14:textId="77777777" w:rsidR="00AD4FA5" w:rsidRDefault="00000000">
            <w:pPr>
              <w:jc w:val="right"/>
            </w:pPr>
            <w:r>
              <w:rPr>
                <w:rFonts w:ascii="Arial" w:hAnsi="Arial"/>
                <w:sz w:val="18"/>
              </w:rPr>
              <w:t>23.7606</w:t>
            </w:r>
          </w:p>
        </w:tc>
        <w:tc>
          <w:tcPr>
            <w:tcW w:w="1505" w:type="dxa"/>
            <w:shd w:val="clear" w:color="auto" w:fill="F2F6FC"/>
          </w:tcPr>
          <w:p w14:paraId="07972E5C" w14:textId="77777777" w:rsidR="00AD4FA5" w:rsidRDefault="00000000">
            <w:pPr>
              <w:jc w:val="right"/>
            </w:pPr>
            <w:r>
              <w:rPr>
                <w:rFonts w:ascii="Arial" w:hAnsi="Arial"/>
                <w:sz w:val="18"/>
              </w:rPr>
              <w:t>39.7546</w:t>
            </w:r>
          </w:p>
        </w:tc>
        <w:tc>
          <w:tcPr>
            <w:tcW w:w="1505" w:type="dxa"/>
            <w:shd w:val="clear" w:color="auto" w:fill="F2F6FC"/>
          </w:tcPr>
          <w:p w14:paraId="4DDA3BD0" w14:textId="77777777" w:rsidR="00AD4FA5" w:rsidRDefault="00000000">
            <w:pPr>
              <w:jc w:val="right"/>
            </w:pPr>
            <w:r>
              <w:rPr>
                <w:rFonts w:ascii="Arial" w:hAnsi="Arial"/>
                <w:sz w:val="18"/>
              </w:rPr>
              <w:t>1</w:t>
            </w:r>
          </w:p>
        </w:tc>
      </w:tr>
    </w:tbl>
    <w:p w14:paraId="480F8A73" w14:textId="77777777" w:rsidR="00AD4FA5" w:rsidRDefault="00000000">
      <w:r>
        <w:rPr>
          <w:rFonts w:ascii="Arial" w:hAnsi="Arial"/>
          <w:i/>
          <w:sz w:val="16"/>
        </w:rPr>
        <w:t>Source: Sumber: Sistem monitoring konsumsi energi fasilitas. Skor kualitas data: 1 = data aktual terukur (highest quality), 4 = estimasi (lowest quality). Semua fasilitas top-10 memiliki skor kualitas data 1, menunjukkan akurasi pengukuran tinggi.</w:t>
      </w:r>
    </w:p>
    <w:p w14:paraId="173F3239" w14:textId="77777777" w:rsidR="00AD4FA5" w:rsidRDefault="00AD4FA5"/>
    <w:p w14:paraId="6E768361" w14:textId="77777777" w:rsidR="00AD4FA5" w:rsidRDefault="00000000">
      <w:r>
        <w:rPr>
          <w:i/>
          <w:color w:val="3D6094"/>
          <w:sz w:val="18"/>
        </w:rPr>
        <w:t>Framework references: GRI 305-1: Direct (Scope 1) GHG emissions; POJK No. 51/POJK.03/2017 tentang Penerapan Keuangan Berkelanjutan bagi Lembaga Jasa Keuangan, Emiten, dan Perusahaan Publik; GHG Protocol Corporate Accounting and Reporting Standard (2015); IPCC 2006 Guidelines for National Greenhouse Gas Inventories; IPCC Sixth Assessment Report (AR6) — Global Warming Potential values</w:t>
      </w:r>
    </w:p>
    <w:p w14:paraId="539B15CD" w14:textId="77777777" w:rsidR="00AD4FA5" w:rsidRDefault="00AD4FA5">
      <w:pPr>
        <w:pBdr>
          <w:bottom w:val="single" w:sz="6" w:space="1" w:color="999999"/>
        </w:pBdr>
        <w:spacing w:after="80"/>
      </w:pPr>
    </w:p>
    <w:p w14:paraId="7FA03329" w14:textId="77777777" w:rsidR="00AD4FA5" w:rsidRDefault="00000000">
      <w:pPr>
        <w:spacing w:after="160"/>
        <w:jc w:val="both"/>
      </w:pPr>
      <w:r>
        <w:rPr>
          <w:rFonts w:ascii="Arial" w:hAnsi="Arial"/>
          <w:i/>
          <w:color w:val="646464"/>
          <w:sz w:val="18"/>
        </w:rPr>
        <w:t>Emisi Scope 1 mencakup CO₂, CH₄, dan N₂O dari pembakaran bahan bakar stasioner (gas alam dan diesel) di fasilitas yang dikendalikan secara operasional oleh institusi.</w:t>
      </w:r>
    </w:p>
    <w:p w14:paraId="3FD795FE" w14:textId="77777777" w:rsidR="00AD4FA5" w:rsidRDefault="00000000">
      <w:pPr>
        <w:spacing w:after="160"/>
        <w:jc w:val="both"/>
      </w:pPr>
      <w:r>
        <w:rPr>
          <w:rFonts w:ascii="Arial" w:hAnsi="Arial"/>
          <w:i/>
          <w:color w:val="646464"/>
          <w:sz w:val="18"/>
        </w:rPr>
        <w:t>Faktor emisi bersumber dari IPCC 2006 Guidelines for National Greenhouse Gas Inventories, disesuaikan dengan karakteristik bahan bakar Indonesia.</w:t>
      </w:r>
    </w:p>
    <w:p w14:paraId="4CA212E8" w14:textId="77777777" w:rsidR="00AD4FA5" w:rsidRDefault="00000000">
      <w:pPr>
        <w:spacing w:after="160"/>
        <w:jc w:val="both"/>
      </w:pPr>
      <w:r>
        <w:rPr>
          <w:rFonts w:ascii="Arial" w:hAnsi="Arial"/>
          <w:i/>
          <w:color w:val="646464"/>
          <w:sz w:val="18"/>
        </w:rPr>
        <w:t>Nilai GWP mengikuti IPCC Sixth Assessment Report (AR6) dengan horizon waktu 100 tahun: CH₄ = 29.8 kg CO₂e/kg CH₄, N₂O = 273.0 kg CO₂e/kg N₂O.</w:t>
      </w:r>
    </w:p>
    <w:p w14:paraId="00BC1BC3" w14:textId="77777777" w:rsidR="00AD4FA5" w:rsidRDefault="00000000">
      <w:pPr>
        <w:spacing w:after="160"/>
        <w:jc w:val="both"/>
      </w:pPr>
      <w:r>
        <w:rPr>
          <w:rFonts w:ascii="Arial" w:hAnsi="Arial"/>
          <w:i/>
          <w:color w:val="646464"/>
          <w:sz w:val="18"/>
        </w:rPr>
        <w:lastRenderedPageBreak/>
        <w:t>Pendekatan konsolidasi: Operational Control — institusi melaporkan 100% emisi dari fasilitas yang dikendalikan operasional, sesuai dengan klasifikasi KBMI 3.</w:t>
      </w:r>
    </w:p>
    <w:p w14:paraId="4B81B446" w14:textId="77777777" w:rsidR="00AD4FA5" w:rsidRDefault="00000000">
      <w:pPr>
        <w:spacing w:after="160"/>
        <w:jc w:val="both"/>
      </w:pPr>
      <w:r>
        <w:rPr>
          <w:rFonts w:ascii="Arial" w:hAnsi="Arial"/>
          <w:i/>
          <w:color w:val="646464"/>
          <w:sz w:val="18"/>
        </w:rPr>
        <w:t>Data kualitas tinggi: Semua fasilitas top-10 memiliki skor kualitas data 1 (data aktual terukur), menunjukkan tidak ada estimasi atau imputasi data untuk fasilitas utama.</w:t>
      </w:r>
    </w:p>
    <w:p w14:paraId="49EDB041" w14:textId="77777777" w:rsidR="00AD4FA5" w:rsidRDefault="00000000">
      <w:pPr>
        <w:spacing w:after="160"/>
        <w:jc w:val="both"/>
      </w:pPr>
      <w:r>
        <w:rPr>
          <w:rFonts w:ascii="Arial" w:hAnsi="Arial"/>
          <w:i/>
          <w:color w:val="646464"/>
          <w:sz w:val="18"/>
        </w:rPr>
        <w:t>Angka-angka dalam laporan ini belum diaudit oleh pihak eksternal untuk Tahun Pelaporan 2024.</w:t>
      </w:r>
    </w:p>
    <w:p w14:paraId="3E8F9637" w14:textId="77777777" w:rsidR="00AD4FA5" w:rsidRDefault="00000000">
      <w:r>
        <w:br w:type="page"/>
      </w:r>
    </w:p>
    <w:p w14:paraId="25828556" w14:textId="77777777" w:rsidR="00AD4FA5" w:rsidRDefault="00000000">
      <w:pPr>
        <w:pStyle w:val="Heading1"/>
        <w:spacing w:after="240"/>
      </w:pPr>
      <w:bookmarkStart w:id="7" w:name="_Toc231979670"/>
      <w:r>
        <w:rPr>
          <w:rFonts w:ascii="Arial" w:hAnsi="Arial"/>
          <w:color w:val="1B3A6B"/>
          <w:sz w:val="36"/>
        </w:rPr>
        <w:lastRenderedPageBreak/>
        <w:t>GRI 305-2: Energy Indirect (Scope 2) GHG Emissions</w:t>
      </w:r>
      <w:bookmarkEnd w:id="7"/>
    </w:p>
    <w:p w14:paraId="1B42076A" w14:textId="77777777" w:rsidR="00AD4FA5" w:rsidRDefault="00000000">
      <w:pPr>
        <w:spacing w:after="160"/>
        <w:jc w:val="both"/>
      </w:pPr>
      <w:r>
        <w:rPr>
          <w:rFonts w:ascii="Arial" w:hAnsi="Arial"/>
        </w:rPr>
        <w:t>The organization's energy indirect (Scope 2) greenhouse gas emissions for the reporting period totaled 44,613.876 tCO2e using the location-based method and 44,612.518 tCO2e using the market-based method. These emissions result from the consumption of purchased electricity across the institution's operational facilities, including headquarters, branch offices, data centers, and automated teller machine (ATM) networks. The minimal difference of 1.358 tCO2e between the two methods reflects limited deployment of contractual instruments for renewable energy procurement during the reporting period.</w:t>
      </w:r>
    </w:p>
    <w:p w14:paraId="4F2338CF" w14:textId="77777777" w:rsidR="00AD4FA5" w:rsidRDefault="00000000">
      <w:pPr>
        <w:spacing w:after="160"/>
        <w:jc w:val="both"/>
      </w:pPr>
      <w:r>
        <w:rPr>
          <w:rFonts w:ascii="Arial" w:hAnsi="Arial"/>
          <w:i/>
        </w:rPr>
        <w:t>The location-based method applies the average emission factor for the Indonesian electricity grid, sourced from PT PLN (Persero) 2023 grid emission factor data at 0.850 kgCO2e/kWh for the Java-Bali interconnected system, where 87% of the institution's facilities are located. The market-based method reflects emissions from electricity that the organization has purposefully chosen through contractual instruments. For the reporting period, the organization applied renewable energy certificates (RECs) covering 0.003% of total electricity consumption, resulting in a marginal reduction in market-based emissions. The residual mix emission factor for non-contracted electricity remains aligned with the grid average due to limited availability of Indonesia-specific residual mix data.</w:t>
      </w:r>
    </w:p>
    <w:p w14:paraId="15474C19" w14:textId="77777777" w:rsidR="00AD4FA5" w:rsidRDefault="00000000">
      <w:pPr>
        <w:spacing w:after="160"/>
        <w:jc w:val="both"/>
      </w:pPr>
      <w:r>
        <w:rPr>
          <w:rFonts w:ascii="Arial" w:hAnsi="Arial"/>
        </w:rPr>
        <w:t>Contractual instruments applied during the reporting period consisted of unbundled renewable energy certificates (RECs) sourced from certified hydroelectric generation facilities in Sumatra. These RECs covered 1.598 MWh of the organization's total electricity consumption of 52,487.501 MWh, representing 0.003% renewable energy procurement. The organization has not yet entered into power purchase agreements (PPAs) or subscribed to utility green tariff programs. The market-based calculation methodology follows the GHG Protocol Scope 2 Guidance (2015), applying contractual instrument emission factors where available and grid-average factors for residual consumption.</w:t>
      </w:r>
    </w:p>
    <w:p w14:paraId="6B3F07F6" w14:textId="77777777" w:rsidR="00AD4FA5" w:rsidRDefault="00000000">
      <w:pPr>
        <w:spacing w:after="160"/>
        <w:jc w:val="both"/>
      </w:pPr>
      <w:r>
        <w:rPr>
          <w:rFonts w:ascii="Arial" w:hAnsi="Arial"/>
        </w:rPr>
        <w:t>Compared to the prior reporting period, location-based Scope 2 emissions increased by 0.032% from 44,599.440 tCO2e in 2023 to 44,613.876 tCO2e in 2024, representing an absolute increase of 14.436 tCO2e. Market-based emissions similarly increased by 0.032% from 44,598.118 tCO2e to 44,612.518 tCO2e. This marginal increase occurred despite a 2.03% increase in full-time equivalent employees, indicating improved energy efficiency per employee. The organization attributes this performance to energy management initiatives including LED retrofitting at 47 branch locations and implementation of automated shutdown systems for non-critical equipment during non-business hours.</w:t>
      </w:r>
    </w:p>
    <w:p w14:paraId="6C216100" w14:textId="77777777" w:rsidR="00AD4FA5" w:rsidRDefault="00000000">
      <w:pPr>
        <w:spacing w:after="160"/>
        <w:jc w:val="both"/>
      </w:pPr>
      <w:r>
        <w:rPr>
          <w:rFonts w:ascii="Arial" w:hAnsi="Arial"/>
          <w:i/>
        </w:rPr>
        <w:t>The organization consolidates Scope 2 emissions using the operational control approach, consistent with its Scope 1 consolidation methodology. All facilities where the organization has operational control are included in the inventory boundary, regardless of ownership structure. Emissions from leased facilities where the organization does not control energy procurement decisions are excluded from the Scope 2 inventory and would be reported under Scope 3 Category 8 (Upstream Leased Assets) if material. The base year for Scope 2 emissions is 2023, established as the first year of comprehensive electricity consumption data collection across all facility types.</w:t>
      </w:r>
    </w:p>
    <w:p w14:paraId="579327EC" w14:textId="77777777" w:rsidR="00AD4FA5" w:rsidRDefault="00000000">
      <w:pPr>
        <w:spacing w:after="160"/>
        <w:jc w:val="both"/>
      </w:pPr>
      <w:r>
        <w:rPr>
          <w:rFonts w:ascii="Arial" w:hAnsi="Arial"/>
          <w:i/>
          <w:color w:val="555555"/>
        </w:rPr>
        <w:lastRenderedPageBreak/>
        <w:t>**Advisory Recommendations for Scope 2 Emissions Reduction:**</w:t>
      </w:r>
      <w:r>
        <w:rPr>
          <w:rFonts w:ascii="Arial" w:hAnsi="Arial"/>
          <w:i/>
          <w:color w:val="555555"/>
        </w:rPr>
        <w:br/>
      </w:r>
      <w:r>
        <w:rPr>
          <w:rFonts w:ascii="Arial" w:hAnsi="Arial"/>
          <w:i/>
          <w:color w:val="555555"/>
        </w:rPr>
        <w:br/>
        <w:t>**Finding 1 — Minimal Renewable Energy Procurement**: The organization's renewable energy procurement of 0.003% significantly lags peer institutions. Bank Rakyat Indonesia (BRI) achieved 19.49% electricity savings through green building initiatives and solar panel installations across its branch network. DBS Bank sources 62% of its electricity from renewable sources as an RE100 member, achieving a 12% year-over-year reduction in Scope 2 emissions.</w:t>
      </w:r>
      <w:r>
        <w:rPr>
          <w:rFonts w:ascii="Arial" w:hAnsi="Arial"/>
          <w:i/>
          <w:color w:val="555555"/>
        </w:rPr>
        <w:br/>
      </w:r>
      <w:r>
        <w:rPr>
          <w:rFonts w:ascii="Arial" w:hAnsi="Arial"/>
          <w:i/>
          <w:color w:val="555555"/>
        </w:rPr>
        <w:br/>
        <w:t>**Benchmark**: DBS Bank (Singapore, regional operations in Indonesia) — 62% renewable electricity, RE100 commitment, 12% YoY Scope 2 reduction.</w:t>
      </w:r>
      <w:r>
        <w:rPr>
          <w:rFonts w:ascii="Arial" w:hAnsi="Arial"/>
          <w:i/>
          <w:color w:val="555555"/>
        </w:rPr>
        <w:br/>
      </w:r>
      <w:r>
        <w:rPr>
          <w:rFonts w:ascii="Arial" w:hAnsi="Arial"/>
          <w:i/>
          <w:color w:val="555555"/>
        </w:rPr>
        <w:br/>
        <w:t>**Recommendation**: Establish a three-phase renewable energy procurement roadmap: (1) Short-term (6-12 months): Install rooftop solar photovoltaic systems at 20 high-consumption branches, targeting 500 kWp total capacity based on BRI's Green Network model; (2) Medium-term (12-24 months): Execute power purchase agreements (PPAs) with renewable energy developers for 15% of total consumption; (3) Long-term (24-36 months): Submit RE100 commitment targeting 50% renewable electricity by 2030, aligned with DBS's trajectory.</w:t>
      </w:r>
      <w:r>
        <w:rPr>
          <w:rFonts w:ascii="Arial" w:hAnsi="Arial"/>
          <w:i/>
          <w:color w:val="555555"/>
        </w:rPr>
        <w:br/>
      </w:r>
      <w:r>
        <w:rPr>
          <w:rFonts w:ascii="Arial" w:hAnsi="Arial"/>
          <w:i/>
          <w:color w:val="555555"/>
        </w:rPr>
        <w:br/>
        <w:t>**Reference**: Bank Rakyat Indonesia — Solar panel installations at branch network, achieved Gold certification from Green Building Council Indonesia (GBCI) for headquarters, implemented Kaseya automated energy management system.</w:t>
      </w:r>
      <w:r>
        <w:rPr>
          <w:rFonts w:ascii="Arial" w:hAnsi="Arial"/>
          <w:i/>
          <w:color w:val="555555"/>
        </w:rPr>
        <w:br/>
      </w:r>
      <w:r>
        <w:rPr>
          <w:rFonts w:ascii="Arial" w:hAnsi="Arial"/>
          <w:i/>
          <w:color w:val="555555"/>
        </w:rPr>
        <w:br/>
        <w:t>**Priority**: High — Scope 2 represents 92.9% of operational emissions (Scope 1+2), making renewable procurement the highest-impact decarbonization lever.</w:t>
      </w:r>
      <w:r>
        <w:rPr>
          <w:rFonts w:ascii="Arial" w:hAnsi="Arial"/>
          <w:i/>
          <w:color w:val="555555"/>
        </w:rPr>
        <w:br/>
      </w:r>
      <w:r>
        <w:rPr>
          <w:rFonts w:ascii="Arial" w:hAnsi="Arial"/>
          <w:i/>
          <w:color w:val="555555"/>
        </w:rPr>
        <w:br/>
        <w:t>**Finding 2 — Limited Energy Efficiency Gains**: While emissions intensity per employee improved marginally, absolute consumption increased despite efficiency initiatives. BRI achieved 19.49% electricity savings through comprehensive building management systems and behavioral change programs.</w:t>
      </w:r>
      <w:r>
        <w:rPr>
          <w:rFonts w:ascii="Arial" w:hAnsi="Arial"/>
          <w:i/>
          <w:color w:val="555555"/>
        </w:rPr>
        <w:br/>
      </w:r>
      <w:r>
        <w:rPr>
          <w:rFonts w:ascii="Arial" w:hAnsi="Arial"/>
          <w:i/>
          <w:color w:val="555555"/>
        </w:rPr>
        <w:br/>
        <w:t>**Benchmark**: Bank Rakyat Indonesia — 19.49% electricity savings, automated shutdown systems, LED retrofitting across 10,000+ branch locations.</w:t>
      </w:r>
      <w:r>
        <w:rPr>
          <w:rFonts w:ascii="Arial" w:hAnsi="Arial"/>
          <w:i/>
          <w:color w:val="555555"/>
        </w:rPr>
        <w:br/>
      </w:r>
      <w:r>
        <w:rPr>
          <w:rFonts w:ascii="Arial" w:hAnsi="Arial"/>
          <w:i/>
          <w:color w:val="555555"/>
        </w:rPr>
        <w:br/>
        <w:t>**Recommendation**: Expand energy efficiency program to include: (1) Real-time energy monitoring systems for top 50 consumption facilities (data centers, headquarters, regional offices); (2) Elevator scheduling and HVAC optimization during low-occupancy periods; (3) Employee engagement campaigns with energy-saving targets tied to branch performance metrics, modeled on BRI's Kaseya program.</w:t>
      </w:r>
      <w:r>
        <w:rPr>
          <w:rFonts w:ascii="Arial" w:hAnsi="Arial"/>
          <w:i/>
          <w:color w:val="555555"/>
        </w:rPr>
        <w:br/>
      </w:r>
      <w:r>
        <w:rPr>
          <w:rFonts w:ascii="Arial" w:hAnsi="Arial"/>
          <w:i/>
          <w:color w:val="555555"/>
        </w:rPr>
        <w:br/>
        <w:t>**Reference**: Bank Rakyat Indonesia — Kaseya automated energy management platform, achieved 19.49% reduction through operational efficiency measures.</w:t>
      </w:r>
      <w:r>
        <w:rPr>
          <w:rFonts w:ascii="Arial" w:hAnsi="Arial"/>
          <w:i/>
          <w:color w:val="555555"/>
        </w:rPr>
        <w:br/>
      </w:r>
      <w:r>
        <w:rPr>
          <w:rFonts w:ascii="Arial" w:hAnsi="Arial"/>
          <w:i/>
          <w:color w:val="555555"/>
        </w:rPr>
        <w:br/>
        <w:t>**Priority**: Medium — Complements renewable procurement strategy, provides immediate cost savings with 18-24 month payback period for capital investments.</w:t>
      </w:r>
    </w:p>
    <w:p w14:paraId="436F6A5E" w14:textId="77777777" w:rsidR="00AD4FA5" w:rsidRDefault="00000000">
      <w:r>
        <w:rPr>
          <w:rFonts w:ascii="Arial" w:hAnsi="Arial"/>
          <w:b/>
          <w:sz w:val="20"/>
        </w:rPr>
        <w:t>Table 1: Scope 2 Energy Indirect GHG Emissions — Dual Reporting (tCO2e)</w:t>
      </w:r>
    </w:p>
    <w:tbl>
      <w:tblPr>
        <w:tblW w:w="0" w:type="auto"/>
        <w:jc w:val="center"/>
        <w:tblLook w:val="04A0" w:firstRow="1" w:lastRow="0" w:firstColumn="1" w:lastColumn="0" w:noHBand="0" w:noVBand="1"/>
      </w:tblPr>
      <w:tblGrid>
        <w:gridCol w:w="1806"/>
        <w:gridCol w:w="1806"/>
        <w:gridCol w:w="1806"/>
        <w:gridCol w:w="1806"/>
        <w:gridCol w:w="1806"/>
      </w:tblGrid>
      <w:tr w:rsidR="00AD4FA5" w14:paraId="1C9828AB" w14:textId="77777777">
        <w:trPr>
          <w:jc w:val="center"/>
        </w:trPr>
        <w:tc>
          <w:tcPr>
            <w:tcW w:w="1806" w:type="dxa"/>
            <w:shd w:val="clear" w:color="auto" w:fill="1B3A6B"/>
          </w:tcPr>
          <w:p w14:paraId="245065A0" w14:textId="77777777" w:rsidR="00AD4FA5" w:rsidRDefault="00000000">
            <w:r>
              <w:rPr>
                <w:rFonts w:ascii="Arial" w:hAnsi="Arial"/>
                <w:b/>
                <w:color w:val="FFFFFF"/>
                <w:sz w:val="18"/>
              </w:rPr>
              <w:lastRenderedPageBreak/>
              <w:t>Reporting Method</w:t>
            </w:r>
          </w:p>
        </w:tc>
        <w:tc>
          <w:tcPr>
            <w:tcW w:w="1806" w:type="dxa"/>
            <w:shd w:val="clear" w:color="auto" w:fill="1B3A6B"/>
          </w:tcPr>
          <w:p w14:paraId="3B577DEC" w14:textId="77777777" w:rsidR="00AD4FA5" w:rsidRDefault="00000000">
            <w:r>
              <w:rPr>
                <w:rFonts w:ascii="Arial" w:hAnsi="Arial"/>
                <w:b/>
                <w:color w:val="FFFFFF"/>
                <w:sz w:val="18"/>
              </w:rPr>
              <w:t>2024 Emissions (tCO2e)</w:t>
            </w:r>
          </w:p>
        </w:tc>
        <w:tc>
          <w:tcPr>
            <w:tcW w:w="1806" w:type="dxa"/>
            <w:shd w:val="clear" w:color="auto" w:fill="1B3A6B"/>
          </w:tcPr>
          <w:p w14:paraId="26869590" w14:textId="77777777" w:rsidR="00AD4FA5" w:rsidRDefault="00000000">
            <w:r>
              <w:rPr>
                <w:rFonts w:ascii="Arial" w:hAnsi="Arial"/>
                <w:b/>
                <w:color w:val="FFFFFF"/>
                <w:sz w:val="18"/>
              </w:rPr>
              <w:t>2023 Emissions (tCO2e)</w:t>
            </w:r>
          </w:p>
        </w:tc>
        <w:tc>
          <w:tcPr>
            <w:tcW w:w="1806" w:type="dxa"/>
            <w:shd w:val="clear" w:color="auto" w:fill="1B3A6B"/>
          </w:tcPr>
          <w:p w14:paraId="14246C17" w14:textId="77777777" w:rsidR="00AD4FA5" w:rsidRDefault="00000000">
            <w:r>
              <w:rPr>
                <w:rFonts w:ascii="Arial" w:hAnsi="Arial"/>
                <w:b/>
                <w:color w:val="FFFFFF"/>
                <w:sz w:val="18"/>
              </w:rPr>
              <w:t>YoY Change (%)</w:t>
            </w:r>
          </w:p>
        </w:tc>
        <w:tc>
          <w:tcPr>
            <w:tcW w:w="1806" w:type="dxa"/>
            <w:shd w:val="clear" w:color="auto" w:fill="1B3A6B"/>
          </w:tcPr>
          <w:p w14:paraId="5453595D" w14:textId="77777777" w:rsidR="00AD4FA5" w:rsidRDefault="00000000">
            <w:r>
              <w:rPr>
                <w:rFonts w:ascii="Arial" w:hAnsi="Arial"/>
                <w:b/>
                <w:color w:val="FFFFFF"/>
                <w:sz w:val="18"/>
              </w:rPr>
              <w:t>Methodology Reference</w:t>
            </w:r>
          </w:p>
        </w:tc>
      </w:tr>
      <w:tr w:rsidR="00AD4FA5" w14:paraId="658C9A91" w14:textId="77777777">
        <w:trPr>
          <w:jc w:val="center"/>
        </w:trPr>
        <w:tc>
          <w:tcPr>
            <w:tcW w:w="1806" w:type="dxa"/>
          </w:tcPr>
          <w:p w14:paraId="145CE078" w14:textId="77777777" w:rsidR="00AD4FA5" w:rsidRDefault="00000000">
            <w:r>
              <w:rPr>
                <w:rFonts w:ascii="Arial" w:hAnsi="Arial"/>
                <w:sz w:val="18"/>
              </w:rPr>
              <w:t>Location-Based</w:t>
            </w:r>
          </w:p>
        </w:tc>
        <w:tc>
          <w:tcPr>
            <w:tcW w:w="1806" w:type="dxa"/>
          </w:tcPr>
          <w:p w14:paraId="4A1C25D9" w14:textId="77777777" w:rsidR="00AD4FA5" w:rsidRDefault="00000000">
            <w:pPr>
              <w:jc w:val="right"/>
            </w:pPr>
            <w:r>
              <w:rPr>
                <w:rFonts w:ascii="Arial" w:hAnsi="Arial"/>
                <w:sz w:val="18"/>
              </w:rPr>
              <w:t>44,613.876</w:t>
            </w:r>
          </w:p>
        </w:tc>
        <w:tc>
          <w:tcPr>
            <w:tcW w:w="1806" w:type="dxa"/>
          </w:tcPr>
          <w:p w14:paraId="34E4CFE6" w14:textId="77777777" w:rsidR="00AD4FA5" w:rsidRDefault="00000000">
            <w:pPr>
              <w:jc w:val="right"/>
            </w:pPr>
            <w:r>
              <w:rPr>
                <w:rFonts w:ascii="Arial" w:hAnsi="Arial"/>
                <w:sz w:val="18"/>
              </w:rPr>
              <w:t>44,599.440</w:t>
            </w:r>
          </w:p>
        </w:tc>
        <w:tc>
          <w:tcPr>
            <w:tcW w:w="1806" w:type="dxa"/>
          </w:tcPr>
          <w:p w14:paraId="49086AC5" w14:textId="77777777" w:rsidR="00AD4FA5" w:rsidRDefault="00000000">
            <w:pPr>
              <w:jc w:val="right"/>
            </w:pPr>
            <w:r>
              <w:rPr>
                <w:rFonts w:ascii="Arial" w:hAnsi="Arial"/>
                <w:sz w:val="18"/>
              </w:rPr>
              <w:t>+0.032</w:t>
            </w:r>
          </w:p>
        </w:tc>
        <w:tc>
          <w:tcPr>
            <w:tcW w:w="1806" w:type="dxa"/>
          </w:tcPr>
          <w:p w14:paraId="62F4D497" w14:textId="77777777" w:rsidR="00AD4FA5" w:rsidRDefault="00000000">
            <w:r>
              <w:rPr>
                <w:rFonts w:ascii="Arial" w:hAnsi="Arial"/>
                <w:sz w:val="18"/>
              </w:rPr>
              <w:t>Grid average EF (PLN 2023)</w:t>
            </w:r>
          </w:p>
        </w:tc>
      </w:tr>
      <w:tr w:rsidR="00AD4FA5" w14:paraId="421D4116" w14:textId="77777777">
        <w:trPr>
          <w:jc w:val="center"/>
        </w:trPr>
        <w:tc>
          <w:tcPr>
            <w:tcW w:w="1806" w:type="dxa"/>
            <w:shd w:val="clear" w:color="auto" w:fill="F2F6FC"/>
          </w:tcPr>
          <w:p w14:paraId="5E12943A" w14:textId="77777777" w:rsidR="00AD4FA5" w:rsidRDefault="00000000">
            <w:r>
              <w:rPr>
                <w:rFonts w:ascii="Arial" w:hAnsi="Arial"/>
                <w:sz w:val="18"/>
              </w:rPr>
              <w:t>Market-Based</w:t>
            </w:r>
          </w:p>
        </w:tc>
        <w:tc>
          <w:tcPr>
            <w:tcW w:w="1806" w:type="dxa"/>
            <w:shd w:val="clear" w:color="auto" w:fill="F2F6FC"/>
          </w:tcPr>
          <w:p w14:paraId="09CD4FF6" w14:textId="77777777" w:rsidR="00AD4FA5" w:rsidRDefault="00000000">
            <w:pPr>
              <w:jc w:val="right"/>
            </w:pPr>
            <w:r>
              <w:rPr>
                <w:rFonts w:ascii="Arial" w:hAnsi="Arial"/>
                <w:sz w:val="18"/>
              </w:rPr>
              <w:t>44,612.518</w:t>
            </w:r>
          </w:p>
        </w:tc>
        <w:tc>
          <w:tcPr>
            <w:tcW w:w="1806" w:type="dxa"/>
            <w:shd w:val="clear" w:color="auto" w:fill="F2F6FC"/>
          </w:tcPr>
          <w:p w14:paraId="24815082" w14:textId="77777777" w:rsidR="00AD4FA5" w:rsidRDefault="00000000">
            <w:pPr>
              <w:jc w:val="right"/>
            </w:pPr>
            <w:r>
              <w:rPr>
                <w:rFonts w:ascii="Arial" w:hAnsi="Arial"/>
                <w:sz w:val="18"/>
              </w:rPr>
              <w:t>44,598.118</w:t>
            </w:r>
          </w:p>
        </w:tc>
        <w:tc>
          <w:tcPr>
            <w:tcW w:w="1806" w:type="dxa"/>
            <w:shd w:val="clear" w:color="auto" w:fill="F2F6FC"/>
          </w:tcPr>
          <w:p w14:paraId="0FFA514A" w14:textId="77777777" w:rsidR="00AD4FA5" w:rsidRDefault="00000000">
            <w:pPr>
              <w:jc w:val="right"/>
            </w:pPr>
            <w:r>
              <w:rPr>
                <w:rFonts w:ascii="Arial" w:hAnsi="Arial"/>
                <w:sz w:val="18"/>
              </w:rPr>
              <w:t>+0.032</w:t>
            </w:r>
          </w:p>
        </w:tc>
        <w:tc>
          <w:tcPr>
            <w:tcW w:w="1806" w:type="dxa"/>
            <w:shd w:val="clear" w:color="auto" w:fill="F2F6FC"/>
          </w:tcPr>
          <w:p w14:paraId="110D30FE" w14:textId="77777777" w:rsidR="00AD4FA5" w:rsidRDefault="00000000">
            <w:r>
              <w:rPr>
                <w:rFonts w:ascii="Arial" w:hAnsi="Arial"/>
                <w:sz w:val="18"/>
              </w:rPr>
              <w:t>Contractual instruments + residual mix</w:t>
            </w:r>
          </w:p>
        </w:tc>
      </w:tr>
      <w:tr w:rsidR="00AD4FA5" w14:paraId="553301B1" w14:textId="77777777">
        <w:trPr>
          <w:jc w:val="center"/>
        </w:trPr>
        <w:tc>
          <w:tcPr>
            <w:tcW w:w="1806" w:type="dxa"/>
          </w:tcPr>
          <w:p w14:paraId="7756C766" w14:textId="77777777" w:rsidR="00AD4FA5" w:rsidRDefault="00000000">
            <w:r>
              <w:rPr>
                <w:rFonts w:ascii="Arial" w:hAnsi="Arial"/>
                <w:sz w:val="18"/>
              </w:rPr>
              <w:t>Difference (Location - Market)</w:t>
            </w:r>
          </w:p>
        </w:tc>
        <w:tc>
          <w:tcPr>
            <w:tcW w:w="1806" w:type="dxa"/>
          </w:tcPr>
          <w:p w14:paraId="572C8F29" w14:textId="77777777" w:rsidR="00AD4FA5" w:rsidRDefault="00000000">
            <w:pPr>
              <w:jc w:val="right"/>
            </w:pPr>
            <w:r>
              <w:rPr>
                <w:rFonts w:ascii="Arial" w:hAnsi="Arial"/>
                <w:sz w:val="18"/>
              </w:rPr>
              <w:t>1.358</w:t>
            </w:r>
          </w:p>
        </w:tc>
        <w:tc>
          <w:tcPr>
            <w:tcW w:w="1806" w:type="dxa"/>
          </w:tcPr>
          <w:p w14:paraId="637D0284" w14:textId="77777777" w:rsidR="00AD4FA5" w:rsidRDefault="00000000">
            <w:pPr>
              <w:jc w:val="right"/>
            </w:pPr>
            <w:r>
              <w:rPr>
                <w:rFonts w:ascii="Arial" w:hAnsi="Arial"/>
                <w:sz w:val="18"/>
              </w:rPr>
              <w:t>1.322</w:t>
            </w:r>
          </w:p>
        </w:tc>
        <w:tc>
          <w:tcPr>
            <w:tcW w:w="1806" w:type="dxa"/>
          </w:tcPr>
          <w:p w14:paraId="4DD66E00" w14:textId="77777777" w:rsidR="00AD4FA5" w:rsidRDefault="00000000">
            <w:pPr>
              <w:jc w:val="right"/>
            </w:pPr>
            <w:r>
              <w:rPr>
                <w:rFonts w:ascii="Arial" w:hAnsi="Arial"/>
                <w:sz w:val="18"/>
              </w:rPr>
              <w:t>+2.72</w:t>
            </w:r>
          </w:p>
        </w:tc>
        <w:tc>
          <w:tcPr>
            <w:tcW w:w="1806" w:type="dxa"/>
          </w:tcPr>
          <w:p w14:paraId="3646CCFE" w14:textId="77777777" w:rsidR="00AD4FA5" w:rsidRDefault="00000000">
            <w:r>
              <w:rPr>
                <w:rFonts w:ascii="Arial" w:hAnsi="Arial"/>
                <w:sz w:val="18"/>
              </w:rPr>
              <w:t>REC application impact</w:t>
            </w:r>
          </w:p>
        </w:tc>
      </w:tr>
    </w:tbl>
    <w:p w14:paraId="20D4BFD7" w14:textId="77777777" w:rsidR="00AD4FA5" w:rsidRDefault="00000000">
      <w:r>
        <w:rPr>
          <w:rFonts w:ascii="Arial" w:hAnsi="Arial"/>
          <w:i/>
          <w:sz w:val="16"/>
        </w:rPr>
        <w:t>Source: Source: Internal energy consumption records; PLN grid emission factor 0.850 kgCO2e/kWh (Java-Bali system, 2023); REC certificates from certified hydroelectric facilities. Consolidation approach: Operational control. Gases included: CO2, CH4, N2O (expressed as CO2 equivalents per IPCC AR5 GWP values).</w:t>
      </w:r>
    </w:p>
    <w:p w14:paraId="1CD05B19" w14:textId="77777777" w:rsidR="00AD4FA5" w:rsidRDefault="00AD4FA5"/>
    <w:p w14:paraId="00438635" w14:textId="77777777" w:rsidR="00AD4FA5" w:rsidRDefault="00000000">
      <w:r>
        <w:rPr>
          <w:rFonts w:ascii="Arial" w:hAnsi="Arial"/>
          <w:b/>
          <w:sz w:val="20"/>
        </w:rPr>
        <w:t>Table 2: Electricity Consumption and Renewable Energy Procurement</w:t>
      </w:r>
    </w:p>
    <w:tbl>
      <w:tblPr>
        <w:tblW w:w="0" w:type="auto"/>
        <w:jc w:val="center"/>
        <w:tblLook w:val="04A0" w:firstRow="1" w:lastRow="0" w:firstColumn="1" w:lastColumn="0" w:noHBand="0" w:noVBand="1"/>
      </w:tblPr>
      <w:tblGrid>
        <w:gridCol w:w="1806"/>
        <w:gridCol w:w="1806"/>
        <w:gridCol w:w="1806"/>
        <w:gridCol w:w="1806"/>
        <w:gridCol w:w="1806"/>
      </w:tblGrid>
      <w:tr w:rsidR="00AD4FA5" w14:paraId="173C8FB9" w14:textId="77777777">
        <w:trPr>
          <w:jc w:val="center"/>
        </w:trPr>
        <w:tc>
          <w:tcPr>
            <w:tcW w:w="1806" w:type="dxa"/>
            <w:shd w:val="clear" w:color="auto" w:fill="1B3A6B"/>
          </w:tcPr>
          <w:p w14:paraId="3980549B" w14:textId="77777777" w:rsidR="00AD4FA5" w:rsidRDefault="00000000">
            <w:r>
              <w:rPr>
                <w:rFonts w:ascii="Arial" w:hAnsi="Arial"/>
                <w:b/>
                <w:color w:val="FFFFFF"/>
                <w:sz w:val="18"/>
              </w:rPr>
              <w:t>Metric</w:t>
            </w:r>
          </w:p>
        </w:tc>
        <w:tc>
          <w:tcPr>
            <w:tcW w:w="1806" w:type="dxa"/>
            <w:shd w:val="clear" w:color="auto" w:fill="1B3A6B"/>
          </w:tcPr>
          <w:p w14:paraId="0B3A7E61" w14:textId="77777777" w:rsidR="00AD4FA5" w:rsidRDefault="00000000">
            <w:r>
              <w:rPr>
                <w:rFonts w:ascii="Arial" w:hAnsi="Arial"/>
                <w:b/>
                <w:color w:val="FFFFFF"/>
                <w:sz w:val="18"/>
              </w:rPr>
              <w:t>2024 Value</w:t>
            </w:r>
          </w:p>
        </w:tc>
        <w:tc>
          <w:tcPr>
            <w:tcW w:w="1806" w:type="dxa"/>
            <w:shd w:val="clear" w:color="auto" w:fill="1B3A6B"/>
          </w:tcPr>
          <w:p w14:paraId="5E0EF659" w14:textId="77777777" w:rsidR="00AD4FA5" w:rsidRDefault="00000000">
            <w:r>
              <w:rPr>
                <w:rFonts w:ascii="Arial" w:hAnsi="Arial"/>
                <w:b/>
                <w:color w:val="FFFFFF"/>
                <w:sz w:val="18"/>
              </w:rPr>
              <w:t>2023 Value</w:t>
            </w:r>
          </w:p>
        </w:tc>
        <w:tc>
          <w:tcPr>
            <w:tcW w:w="1806" w:type="dxa"/>
            <w:shd w:val="clear" w:color="auto" w:fill="1B3A6B"/>
          </w:tcPr>
          <w:p w14:paraId="7F0DAD7D" w14:textId="77777777" w:rsidR="00AD4FA5" w:rsidRDefault="00000000">
            <w:r>
              <w:rPr>
                <w:rFonts w:ascii="Arial" w:hAnsi="Arial"/>
                <w:b/>
                <w:color w:val="FFFFFF"/>
                <w:sz w:val="18"/>
              </w:rPr>
              <w:t>Unit</w:t>
            </w:r>
          </w:p>
        </w:tc>
        <w:tc>
          <w:tcPr>
            <w:tcW w:w="1806" w:type="dxa"/>
            <w:shd w:val="clear" w:color="auto" w:fill="1B3A6B"/>
          </w:tcPr>
          <w:p w14:paraId="4AC58999" w14:textId="77777777" w:rsidR="00AD4FA5" w:rsidRDefault="00000000">
            <w:r>
              <w:rPr>
                <w:rFonts w:ascii="Arial" w:hAnsi="Arial"/>
                <w:b/>
                <w:color w:val="FFFFFF"/>
                <w:sz w:val="18"/>
              </w:rPr>
              <w:t>YoY Change (%)</w:t>
            </w:r>
          </w:p>
        </w:tc>
      </w:tr>
      <w:tr w:rsidR="00AD4FA5" w14:paraId="4E846589" w14:textId="77777777">
        <w:trPr>
          <w:jc w:val="center"/>
        </w:trPr>
        <w:tc>
          <w:tcPr>
            <w:tcW w:w="1806" w:type="dxa"/>
          </w:tcPr>
          <w:p w14:paraId="09625738" w14:textId="77777777" w:rsidR="00AD4FA5" w:rsidRDefault="00000000">
            <w:r>
              <w:rPr>
                <w:rFonts w:ascii="Arial" w:hAnsi="Arial"/>
                <w:sz w:val="18"/>
              </w:rPr>
              <w:t>Total Electricity Consumption</w:t>
            </w:r>
          </w:p>
        </w:tc>
        <w:tc>
          <w:tcPr>
            <w:tcW w:w="1806" w:type="dxa"/>
          </w:tcPr>
          <w:p w14:paraId="1CB8BCDD" w14:textId="77777777" w:rsidR="00AD4FA5" w:rsidRDefault="00000000">
            <w:pPr>
              <w:jc w:val="right"/>
            </w:pPr>
            <w:r>
              <w:rPr>
                <w:rFonts w:ascii="Arial" w:hAnsi="Arial"/>
                <w:sz w:val="18"/>
              </w:rPr>
              <w:t>52,487.501</w:t>
            </w:r>
          </w:p>
        </w:tc>
        <w:tc>
          <w:tcPr>
            <w:tcW w:w="1806" w:type="dxa"/>
          </w:tcPr>
          <w:p w14:paraId="763222A1" w14:textId="77777777" w:rsidR="00AD4FA5" w:rsidRDefault="00000000">
            <w:pPr>
              <w:jc w:val="right"/>
            </w:pPr>
            <w:r>
              <w:rPr>
                <w:rFonts w:ascii="Arial" w:hAnsi="Arial"/>
                <w:sz w:val="18"/>
              </w:rPr>
              <w:t>52,469.930</w:t>
            </w:r>
          </w:p>
        </w:tc>
        <w:tc>
          <w:tcPr>
            <w:tcW w:w="1806" w:type="dxa"/>
          </w:tcPr>
          <w:p w14:paraId="7C676B1A" w14:textId="77777777" w:rsidR="00AD4FA5" w:rsidRDefault="00000000">
            <w:r>
              <w:rPr>
                <w:rFonts w:ascii="Arial" w:hAnsi="Arial"/>
                <w:sz w:val="18"/>
              </w:rPr>
              <w:t>MWh</w:t>
            </w:r>
          </w:p>
        </w:tc>
        <w:tc>
          <w:tcPr>
            <w:tcW w:w="1806" w:type="dxa"/>
          </w:tcPr>
          <w:p w14:paraId="2684C4F3" w14:textId="77777777" w:rsidR="00AD4FA5" w:rsidRDefault="00000000">
            <w:pPr>
              <w:jc w:val="right"/>
            </w:pPr>
            <w:r>
              <w:rPr>
                <w:rFonts w:ascii="Arial" w:hAnsi="Arial"/>
                <w:sz w:val="18"/>
              </w:rPr>
              <w:t>+0.033</w:t>
            </w:r>
          </w:p>
        </w:tc>
      </w:tr>
      <w:tr w:rsidR="00AD4FA5" w14:paraId="0BD6FD06" w14:textId="77777777">
        <w:trPr>
          <w:jc w:val="center"/>
        </w:trPr>
        <w:tc>
          <w:tcPr>
            <w:tcW w:w="1806" w:type="dxa"/>
            <w:shd w:val="clear" w:color="auto" w:fill="F2F6FC"/>
          </w:tcPr>
          <w:p w14:paraId="483808A5" w14:textId="77777777" w:rsidR="00AD4FA5" w:rsidRDefault="00000000">
            <w:r>
              <w:rPr>
                <w:rFonts w:ascii="Arial" w:hAnsi="Arial"/>
                <w:sz w:val="18"/>
              </w:rPr>
              <w:t>Renewable Energy (RECs)</w:t>
            </w:r>
          </w:p>
        </w:tc>
        <w:tc>
          <w:tcPr>
            <w:tcW w:w="1806" w:type="dxa"/>
            <w:shd w:val="clear" w:color="auto" w:fill="F2F6FC"/>
          </w:tcPr>
          <w:p w14:paraId="28B06D8C" w14:textId="77777777" w:rsidR="00AD4FA5" w:rsidRDefault="00000000">
            <w:pPr>
              <w:jc w:val="right"/>
            </w:pPr>
            <w:r>
              <w:rPr>
                <w:rFonts w:ascii="Arial" w:hAnsi="Arial"/>
                <w:sz w:val="18"/>
              </w:rPr>
              <w:t>1.598</w:t>
            </w:r>
          </w:p>
        </w:tc>
        <w:tc>
          <w:tcPr>
            <w:tcW w:w="1806" w:type="dxa"/>
            <w:shd w:val="clear" w:color="auto" w:fill="F2F6FC"/>
          </w:tcPr>
          <w:p w14:paraId="136751E7" w14:textId="77777777" w:rsidR="00AD4FA5" w:rsidRDefault="00000000">
            <w:pPr>
              <w:jc w:val="right"/>
            </w:pPr>
            <w:r>
              <w:rPr>
                <w:rFonts w:ascii="Arial" w:hAnsi="Arial"/>
                <w:sz w:val="18"/>
              </w:rPr>
              <w:t>1.555</w:t>
            </w:r>
          </w:p>
        </w:tc>
        <w:tc>
          <w:tcPr>
            <w:tcW w:w="1806" w:type="dxa"/>
            <w:shd w:val="clear" w:color="auto" w:fill="F2F6FC"/>
          </w:tcPr>
          <w:p w14:paraId="7DBDCDAD" w14:textId="77777777" w:rsidR="00AD4FA5" w:rsidRDefault="00000000">
            <w:r>
              <w:rPr>
                <w:rFonts w:ascii="Arial" w:hAnsi="Arial"/>
                <w:sz w:val="18"/>
              </w:rPr>
              <w:t>MWh</w:t>
            </w:r>
          </w:p>
        </w:tc>
        <w:tc>
          <w:tcPr>
            <w:tcW w:w="1806" w:type="dxa"/>
            <w:shd w:val="clear" w:color="auto" w:fill="F2F6FC"/>
          </w:tcPr>
          <w:p w14:paraId="75885FFA" w14:textId="77777777" w:rsidR="00AD4FA5" w:rsidRDefault="00000000">
            <w:pPr>
              <w:jc w:val="right"/>
            </w:pPr>
            <w:r>
              <w:rPr>
                <w:rFonts w:ascii="Arial" w:hAnsi="Arial"/>
                <w:sz w:val="18"/>
              </w:rPr>
              <w:t>+2.77</w:t>
            </w:r>
          </w:p>
        </w:tc>
      </w:tr>
      <w:tr w:rsidR="00AD4FA5" w14:paraId="2FB89BEB" w14:textId="77777777">
        <w:trPr>
          <w:jc w:val="center"/>
        </w:trPr>
        <w:tc>
          <w:tcPr>
            <w:tcW w:w="1806" w:type="dxa"/>
          </w:tcPr>
          <w:p w14:paraId="51B584C1" w14:textId="77777777" w:rsidR="00AD4FA5" w:rsidRDefault="00000000">
            <w:r>
              <w:rPr>
                <w:rFonts w:ascii="Arial" w:hAnsi="Arial"/>
                <w:sz w:val="18"/>
              </w:rPr>
              <w:t>Renewable Energy Percentage</w:t>
            </w:r>
          </w:p>
        </w:tc>
        <w:tc>
          <w:tcPr>
            <w:tcW w:w="1806" w:type="dxa"/>
          </w:tcPr>
          <w:p w14:paraId="3BB2B515" w14:textId="77777777" w:rsidR="00AD4FA5" w:rsidRDefault="00000000">
            <w:pPr>
              <w:jc w:val="right"/>
            </w:pPr>
            <w:r>
              <w:rPr>
                <w:rFonts w:ascii="Arial" w:hAnsi="Arial"/>
                <w:sz w:val="18"/>
              </w:rPr>
              <w:t>0.003</w:t>
            </w:r>
          </w:p>
        </w:tc>
        <w:tc>
          <w:tcPr>
            <w:tcW w:w="1806" w:type="dxa"/>
          </w:tcPr>
          <w:p w14:paraId="51D9BFB8" w14:textId="77777777" w:rsidR="00AD4FA5" w:rsidRDefault="00000000">
            <w:pPr>
              <w:jc w:val="right"/>
            </w:pPr>
            <w:r>
              <w:rPr>
                <w:rFonts w:ascii="Arial" w:hAnsi="Arial"/>
                <w:sz w:val="18"/>
              </w:rPr>
              <w:t>0.003</w:t>
            </w:r>
          </w:p>
        </w:tc>
        <w:tc>
          <w:tcPr>
            <w:tcW w:w="1806" w:type="dxa"/>
          </w:tcPr>
          <w:p w14:paraId="299CCE8F" w14:textId="77777777" w:rsidR="00AD4FA5" w:rsidRDefault="00000000">
            <w:r>
              <w:rPr>
                <w:rFonts w:ascii="Arial" w:hAnsi="Arial"/>
                <w:sz w:val="18"/>
              </w:rPr>
              <w:t>%</w:t>
            </w:r>
          </w:p>
        </w:tc>
        <w:tc>
          <w:tcPr>
            <w:tcW w:w="1806" w:type="dxa"/>
          </w:tcPr>
          <w:p w14:paraId="7FAD202F" w14:textId="77777777" w:rsidR="00AD4FA5" w:rsidRDefault="00000000">
            <w:pPr>
              <w:jc w:val="right"/>
            </w:pPr>
            <w:r>
              <w:rPr>
                <w:rFonts w:ascii="Arial" w:hAnsi="Arial"/>
                <w:sz w:val="18"/>
              </w:rPr>
              <w:t>0.00</w:t>
            </w:r>
          </w:p>
        </w:tc>
      </w:tr>
      <w:tr w:rsidR="00AD4FA5" w14:paraId="7489909F" w14:textId="77777777">
        <w:trPr>
          <w:jc w:val="center"/>
        </w:trPr>
        <w:tc>
          <w:tcPr>
            <w:tcW w:w="1806" w:type="dxa"/>
            <w:shd w:val="clear" w:color="auto" w:fill="F2F6FC"/>
          </w:tcPr>
          <w:p w14:paraId="58424F20" w14:textId="77777777" w:rsidR="00AD4FA5" w:rsidRDefault="00000000">
            <w:r>
              <w:rPr>
                <w:rFonts w:ascii="Arial" w:hAnsi="Arial"/>
                <w:sz w:val="18"/>
              </w:rPr>
              <w:t>Grid Emission Factor Applied</w:t>
            </w:r>
          </w:p>
        </w:tc>
        <w:tc>
          <w:tcPr>
            <w:tcW w:w="1806" w:type="dxa"/>
            <w:shd w:val="clear" w:color="auto" w:fill="F2F6FC"/>
          </w:tcPr>
          <w:p w14:paraId="02E266C8" w14:textId="77777777" w:rsidR="00AD4FA5" w:rsidRDefault="00000000">
            <w:pPr>
              <w:jc w:val="right"/>
            </w:pPr>
            <w:r>
              <w:rPr>
                <w:rFonts w:ascii="Arial" w:hAnsi="Arial"/>
                <w:sz w:val="18"/>
              </w:rPr>
              <w:t>0.850</w:t>
            </w:r>
          </w:p>
        </w:tc>
        <w:tc>
          <w:tcPr>
            <w:tcW w:w="1806" w:type="dxa"/>
            <w:shd w:val="clear" w:color="auto" w:fill="F2F6FC"/>
          </w:tcPr>
          <w:p w14:paraId="428DA634" w14:textId="77777777" w:rsidR="00AD4FA5" w:rsidRDefault="00000000">
            <w:pPr>
              <w:jc w:val="right"/>
            </w:pPr>
            <w:r>
              <w:rPr>
                <w:rFonts w:ascii="Arial" w:hAnsi="Arial"/>
                <w:sz w:val="18"/>
              </w:rPr>
              <w:t>0.850</w:t>
            </w:r>
          </w:p>
        </w:tc>
        <w:tc>
          <w:tcPr>
            <w:tcW w:w="1806" w:type="dxa"/>
            <w:shd w:val="clear" w:color="auto" w:fill="F2F6FC"/>
          </w:tcPr>
          <w:p w14:paraId="4F2DDE6D" w14:textId="77777777" w:rsidR="00AD4FA5" w:rsidRDefault="00000000">
            <w:r>
              <w:rPr>
                <w:rFonts w:ascii="Arial" w:hAnsi="Arial"/>
                <w:sz w:val="18"/>
              </w:rPr>
              <w:t>kgCO2e/kWh</w:t>
            </w:r>
          </w:p>
        </w:tc>
        <w:tc>
          <w:tcPr>
            <w:tcW w:w="1806" w:type="dxa"/>
            <w:shd w:val="clear" w:color="auto" w:fill="F2F6FC"/>
          </w:tcPr>
          <w:p w14:paraId="2DBADBA8" w14:textId="77777777" w:rsidR="00AD4FA5" w:rsidRDefault="00000000">
            <w:pPr>
              <w:jc w:val="right"/>
            </w:pPr>
            <w:r>
              <w:rPr>
                <w:rFonts w:ascii="Arial" w:hAnsi="Arial"/>
                <w:sz w:val="18"/>
              </w:rPr>
              <w:t>0.00</w:t>
            </w:r>
          </w:p>
        </w:tc>
      </w:tr>
      <w:tr w:rsidR="00AD4FA5" w14:paraId="1CC323FF" w14:textId="77777777">
        <w:trPr>
          <w:jc w:val="center"/>
        </w:trPr>
        <w:tc>
          <w:tcPr>
            <w:tcW w:w="1806" w:type="dxa"/>
          </w:tcPr>
          <w:p w14:paraId="5C7E26BC" w14:textId="77777777" w:rsidR="00AD4FA5" w:rsidRDefault="00000000">
            <w:r>
              <w:rPr>
                <w:rFonts w:ascii="Arial" w:hAnsi="Arial"/>
                <w:sz w:val="18"/>
              </w:rPr>
              <w:t>Scope 2 Intensity (per FTE)</w:t>
            </w:r>
          </w:p>
        </w:tc>
        <w:tc>
          <w:tcPr>
            <w:tcW w:w="1806" w:type="dxa"/>
          </w:tcPr>
          <w:p w14:paraId="6EA0E79D" w14:textId="77777777" w:rsidR="00AD4FA5" w:rsidRDefault="00000000">
            <w:pPr>
              <w:jc w:val="right"/>
            </w:pPr>
            <w:r>
              <w:rPr>
                <w:rFonts w:ascii="Arial" w:hAnsi="Arial"/>
                <w:sz w:val="18"/>
              </w:rPr>
              <w:t>1.785</w:t>
            </w:r>
          </w:p>
        </w:tc>
        <w:tc>
          <w:tcPr>
            <w:tcW w:w="1806" w:type="dxa"/>
          </w:tcPr>
          <w:p w14:paraId="2DE272C3" w14:textId="77777777" w:rsidR="00AD4FA5" w:rsidRDefault="00000000">
            <w:pPr>
              <w:jc w:val="right"/>
            </w:pPr>
            <w:r>
              <w:rPr>
                <w:rFonts w:ascii="Arial" w:hAnsi="Arial"/>
                <w:sz w:val="18"/>
              </w:rPr>
              <w:t>1.820</w:t>
            </w:r>
          </w:p>
        </w:tc>
        <w:tc>
          <w:tcPr>
            <w:tcW w:w="1806" w:type="dxa"/>
          </w:tcPr>
          <w:p w14:paraId="63597F13" w14:textId="77777777" w:rsidR="00AD4FA5" w:rsidRDefault="00000000">
            <w:r>
              <w:rPr>
                <w:rFonts w:ascii="Arial" w:hAnsi="Arial"/>
                <w:sz w:val="18"/>
              </w:rPr>
              <w:t>tCO2e/FTE</w:t>
            </w:r>
          </w:p>
        </w:tc>
        <w:tc>
          <w:tcPr>
            <w:tcW w:w="1806" w:type="dxa"/>
          </w:tcPr>
          <w:p w14:paraId="7B6CECBE" w14:textId="77777777" w:rsidR="00AD4FA5" w:rsidRDefault="00000000">
            <w:pPr>
              <w:jc w:val="right"/>
            </w:pPr>
            <w:r>
              <w:rPr>
                <w:rFonts w:ascii="Arial" w:hAnsi="Arial"/>
                <w:sz w:val="18"/>
              </w:rPr>
              <w:t>-1.92</w:t>
            </w:r>
          </w:p>
        </w:tc>
      </w:tr>
    </w:tbl>
    <w:p w14:paraId="0548A191" w14:textId="77777777" w:rsidR="00AD4FA5" w:rsidRDefault="00000000">
      <w:r>
        <w:rPr>
          <w:rFonts w:ascii="Arial" w:hAnsi="Arial"/>
          <w:i/>
          <w:sz w:val="16"/>
        </w:rPr>
        <w:t>Source: Source: Internal electricity billing records; REC registry certificates; HR headcount data (24,997 FTE in 2024, 24,500 FTE in 2023). Intensity calculation uses market-based Scope 2 emissions.</w:t>
      </w:r>
    </w:p>
    <w:p w14:paraId="4E6AE66E" w14:textId="77777777" w:rsidR="00AD4FA5" w:rsidRDefault="00AD4FA5"/>
    <w:p w14:paraId="7616F0FC" w14:textId="77777777" w:rsidR="00AD4FA5" w:rsidRDefault="00000000">
      <w:r>
        <w:rPr>
          <w:i/>
          <w:color w:val="3D6094"/>
          <w:sz w:val="18"/>
        </w:rPr>
        <w:t>Framework references: GRI 305-2 (Energy indirect (Scope 2) GHG emissions); GHG Protocol Corporate Accounting and Reporting Standard (Revised Edition); GHG Protocol Scope 2 Guidance (2015); IPCC Fifth Assessment Report (AR5) — Global Warming Potential values</w:t>
      </w:r>
    </w:p>
    <w:p w14:paraId="6927EA62" w14:textId="77777777" w:rsidR="00AD4FA5" w:rsidRDefault="00AD4FA5">
      <w:pPr>
        <w:pBdr>
          <w:bottom w:val="single" w:sz="6" w:space="1" w:color="999999"/>
        </w:pBdr>
        <w:spacing w:after="80"/>
      </w:pPr>
    </w:p>
    <w:p w14:paraId="3B578EBD"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290BBA09" w14:textId="77777777" w:rsidR="00AD4FA5" w:rsidRDefault="00000000">
      <w:pPr>
        <w:spacing w:after="160"/>
        <w:jc w:val="both"/>
      </w:pPr>
      <w:r>
        <w:rPr>
          <w:rFonts w:ascii="Arial" w:hAnsi="Arial"/>
          <w:i/>
          <w:color w:val="646464"/>
          <w:sz w:val="18"/>
        </w:rPr>
        <w:t>Grid emission factor source: PT PLN (Persero) 2023 published grid emission factor for Java-Bali interconnected system (0.850 kgCO2e/kWh). This factor is applied to 87% of facilities; remaining facilities in Sumatra and Kalimantan use regional grid factors weighted by consumption.</w:t>
      </w:r>
    </w:p>
    <w:p w14:paraId="41ECA8C9" w14:textId="77777777" w:rsidR="00AD4FA5" w:rsidRDefault="00000000">
      <w:pPr>
        <w:spacing w:after="160"/>
        <w:jc w:val="both"/>
      </w:pPr>
      <w:r>
        <w:rPr>
          <w:rFonts w:ascii="Arial" w:hAnsi="Arial"/>
          <w:i/>
          <w:color w:val="646464"/>
          <w:sz w:val="18"/>
        </w:rPr>
        <w:t>Market-based method applies contractual instrument emission factors (zero for RECs from certified renewable sources) and residual mix factors (defaulting to grid average in absence of Indonesia-specific residual mix data) per GHG Protocol Scope 2 Guidance (2015).</w:t>
      </w:r>
    </w:p>
    <w:p w14:paraId="2F1405BB" w14:textId="77777777" w:rsidR="00AD4FA5" w:rsidRDefault="00000000">
      <w:pPr>
        <w:spacing w:after="160"/>
        <w:jc w:val="both"/>
      </w:pPr>
      <w:r>
        <w:rPr>
          <w:rFonts w:ascii="Arial" w:hAnsi="Arial"/>
          <w:i/>
          <w:color w:val="646464"/>
          <w:sz w:val="18"/>
        </w:rPr>
        <w:t>The organization has not applied biogenic emission adjustments to Scope 2, as electricity generation sources are predominantly fossil-based (coal, natural gas) with minimal biomass contribution in the Indonesian grid mix.</w:t>
      </w:r>
    </w:p>
    <w:p w14:paraId="2E2CA130" w14:textId="77777777" w:rsidR="00AD4FA5" w:rsidRDefault="00000000">
      <w:pPr>
        <w:spacing w:after="160"/>
        <w:jc w:val="both"/>
      </w:pPr>
      <w:r>
        <w:rPr>
          <w:rFonts w:ascii="Arial" w:hAnsi="Arial"/>
          <w:i/>
          <w:color w:val="646464"/>
          <w:sz w:val="18"/>
        </w:rPr>
        <w:lastRenderedPageBreak/>
        <w:t>Scope 2 emissions exclude electricity consumption at facilities where the organization does not have operational control over energy procurement decisions (e.g., co-located ATMs in third-party retail spaces). Such emissions would be reported under Scope 3 Category 8 if material.</w:t>
      </w:r>
    </w:p>
    <w:p w14:paraId="01308881" w14:textId="77777777" w:rsidR="00AD4FA5" w:rsidRDefault="00000000">
      <w:r>
        <w:br w:type="page"/>
      </w:r>
    </w:p>
    <w:p w14:paraId="3DF17D14" w14:textId="77777777" w:rsidR="00AD4FA5" w:rsidRDefault="00000000">
      <w:pPr>
        <w:pStyle w:val="Heading1"/>
        <w:spacing w:after="240"/>
      </w:pPr>
      <w:bookmarkStart w:id="8" w:name="_Toc231979671"/>
      <w:r>
        <w:rPr>
          <w:rFonts w:ascii="Arial" w:hAnsi="Arial"/>
          <w:color w:val="1B3A6B"/>
          <w:sz w:val="36"/>
        </w:rPr>
        <w:lastRenderedPageBreak/>
        <w:t>Climate Governance &amp; ESG Oversight</w:t>
      </w:r>
      <w:bookmarkEnd w:id="8"/>
    </w:p>
    <w:p w14:paraId="7458354A" w14:textId="77777777" w:rsidR="00AD4FA5" w:rsidRDefault="00000000">
      <w:pPr>
        <w:spacing w:after="160"/>
        <w:jc w:val="both"/>
      </w:pPr>
      <w:r>
        <w:rPr>
          <w:rFonts w:ascii="Arial" w:hAnsi="Arial"/>
        </w:rPr>
        <w:t>## Disclosure Gap: Governance Structure Not Yet Captured</w:t>
      </w:r>
      <w:r>
        <w:rPr>
          <w:rFonts w:ascii="Arial" w:hAnsi="Arial"/>
        </w:rPr>
        <w:br/>
      </w:r>
      <w:r>
        <w:rPr>
          <w:rFonts w:ascii="Arial" w:hAnsi="Arial"/>
        </w:rPr>
        <w:br/>
        <w:t>This data point is not yet captured in the institution's reporting system. Per IFRS S2 paragraphs 6-7, the institution is required to disclose: (a) the identity of the body(s) or individual(s) responsible for oversight of climate-related risks and opportunities, including how responsibilities are reflected in terms of reference and mandates; (b) how the governing body determines whether appropriate skills and competencies are available; (c) the frequency of climate risk reviews; (d) how climate considerations inform strategy and major transactions; (e) oversight of target-setting and monitoring; and (f) whether climate performance metrics are included in remuneration policies. Additionally, management's role in governance processes must be disclosed, including delegation structures and integration with internal controls.</w:t>
      </w:r>
    </w:p>
    <w:p w14:paraId="7701590E" w14:textId="77777777" w:rsidR="00AD4FA5" w:rsidRDefault="00000000">
      <w:pPr>
        <w:spacing w:after="160"/>
        <w:jc w:val="both"/>
      </w:pPr>
      <w:r>
        <w:rPr>
          <w:rFonts w:ascii="Arial" w:hAnsi="Arial"/>
        </w:rPr>
        <w:t>## Peer Benchmark: Indonesian Banking Sector Governance Practices</w:t>
      </w:r>
      <w:r>
        <w:rPr>
          <w:rFonts w:ascii="Arial" w:hAnsi="Arial"/>
        </w:rPr>
        <w:br/>
      </w:r>
      <w:r>
        <w:rPr>
          <w:rFonts w:ascii="Arial" w:hAnsi="Arial"/>
        </w:rPr>
        <w:br/>
        <w:t>Leading Indonesian financial institutions have established comprehensive climate governance frameworks that provide reference models for implementation. **BRI** established a dedicated Risk Management &amp; ESG Committee in 2021 via Board Decision NOKEP 872-DIR/PPM/06/2022, which reports directly to the President Director and conducts quarterly reviews of climate-related risks and opportunities. The committee's terms of reference explicitly include oversight of emissions reduction targets and climate risk integration into credit policies. **BCA** operates an ESG Subdivision under the Director of Planning &amp; Finance, with Board-level review occurring at least four times annually. BCA has integrated ESG KPIs into Board of Directors and work unit performance assessments, creating accountability mechanisms across the organization. **DBS** has implemented a Board Sustainability Committee with quarterly oversight cadence and links 20% of executive compensation to climate and sustainability metrics, demonstrating strong alignment between governance and performance incentives. **Bank Mandiri** operates an ESG Task Force with semi-annual Board reporting, though with less formalized remuneration linkage than DBS. All four institutions have achieved ISO 27001 certification for information security governance, reflecting integrated risk management approaches that encompass climate-related operational risks.</w:t>
      </w:r>
    </w:p>
    <w:p w14:paraId="09C273FD" w14:textId="77777777" w:rsidR="00AD4FA5" w:rsidRDefault="00000000">
      <w:pPr>
        <w:spacing w:after="160"/>
        <w:jc w:val="both"/>
      </w:pPr>
      <w:r>
        <w:rPr>
          <w:rFonts w:ascii="Arial" w:hAnsi="Arial"/>
          <w:i/>
        </w:rPr>
        <w:t>## Framework Requirements for Climate Governance Disclosure</w:t>
      </w:r>
      <w:r>
        <w:rPr>
          <w:rFonts w:ascii="Arial" w:hAnsi="Arial"/>
          <w:i/>
        </w:rPr>
        <w:br/>
      </w:r>
      <w:r>
        <w:rPr>
          <w:rFonts w:ascii="Arial" w:hAnsi="Arial"/>
          <w:i/>
        </w:rPr>
        <w:br/>
        <w:t xml:space="preserve">IFRS S2 paragraph 6(a) requires disclosure of how climate responsibilities are reflected in governance body terms of reference, mandates, and role descriptions. Paragraph 6(a)(ii) mandates explanation of how the governing body determines whether appropriate climate skills and competencies are available or will be developed. Paragraph 6(a)(iii) requires disclosure of how and how often the body is informed about climate-related risks and opportunities. Paragraph 6(a)(iv) mandates explanation of how climate considerations are integrated into oversight of strategy, major transactions, and risk management processes, including trade-off analysis. Paragraph 6(a)(v) requires disclosure of how the governing body oversees target-setting and monitors progress, including whether climate performance metrics are included in remuneration policies per paragraph 29(g). Paragraph 6(b) requires disclosure of management's role, including whether responsibility is delegated to specific </w:t>
      </w:r>
      <w:r>
        <w:rPr>
          <w:rFonts w:ascii="Arial" w:hAnsi="Arial"/>
          <w:i/>
        </w:rPr>
        <w:lastRenderedPageBreak/>
        <w:t>positions or committees and how controls and procedures support climate risk oversight. These requirements align with GRI 2-12 (role of highest governance body in sustainability oversight) and CSRD ESRS 2 GOV-3 (integration of sustainability performance in incentive schemes). For Indonesian listed financial institutions, OJK PSPK regulations require board-level sustainability committee establishment.</w:t>
      </w:r>
    </w:p>
    <w:p w14:paraId="03E854CE" w14:textId="77777777" w:rsidR="00AD4FA5" w:rsidRDefault="00000000">
      <w:pPr>
        <w:spacing w:after="160"/>
        <w:jc w:val="both"/>
      </w:pPr>
      <w:r>
        <w:rPr>
          <w:rFonts w:ascii="Arial" w:hAnsi="Arial"/>
          <w:i/>
          <w:color w:val="555555"/>
        </w:rPr>
        <w:t>## Recommendations for Governance Infrastructure Development</w:t>
      </w:r>
      <w:r>
        <w:rPr>
          <w:rFonts w:ascii="Arial" w:hAnsi="Arial"/>
          <w:i/>
          <w:color w:val="555555"/>
        </w:rPr>
        <w:br/>
      </w:r>
      <w:r>
        <w:rPr>
          <w:rFonts w:ascii="Arial" w:hAnsi="Arial"/>
          <w:i/>
          <w:color w:val="555555"/>
        </w:rPr>
        <w:br/>
        <w:t>**Recommendation 1 — Establish Board-Level Climate Committee (Priority: High)**</w:t>
      </w:r>
      <w:r>
        <w:rPr>
          <w:rFonts w:ascii="Arial" w:hAnsi="Arial"/>
          <w:i/>
          <w:color w:val="555555"/>
        </w:rPr>
        <w:br/>
      </w:r>
      <w:r>
        <w:rPr>
          <w:rFonts w:ascii="Arial" w:hAnsi="Arial"/>
          <w:i/>
          <w:color w:val="555555"/>
        </w:rPr>
        <w:br/>
        <w:t>**Finding**: No board-level committee with explicit climate oversight mandate has been identified in current governance documentation.</w:t>
      </w:r>
      <w:r>
        <w:rPr>
          <w:rFonts w:ascii="Arial" w:hAnsi="Arial"/>
          <w:i/>
          <w:color w:val="555555"/>
        </w:rPr>
        <w:br/>
      </w:r>
      <w:r>
        <w:rPr>
          <w:rFonts w:ascii="Arial" w:hAnsi="Arial"/>
          <w:i/>
          <w:color w:val="555555"/>
        </w:rPr>
        <w:br/>
        <w:t>**Benchmark**: BRI established Risk Management &amp; ESG Committee in 2021 with quarterly review cadence and direct reporting line to President Director. Committee terms of reference include climate target oversight, scenario analysis review, and climate risk integration into credit policies. BCA conducts Board-level ESG reviews at least four times annually with documented decision-making authority over climate strategy.</w:t>
      </w:r>
      <w:r>
        <w:rPr>
          <w:rFonts w:ascii="Arial" w:hAnsi="Arial"/>
          <w:i/>
          <w:color w:val="555555"/>
        </w:rPr>
        <w:br/>
      </w:r>
      <w:r>
        <w:rPr>
          <w:rFonts w:ascii="Arial" w:hAnsi="Arial"/>
          <w:i/>
          <w:color w:val="555555"/>
        </w:rPr>
        <w:br/>
        <w:t>**Recommendation**: Establish a Board Sustainability Committee or integrate climate oversight into existing Risk Committee with the following specifications: (1) Quarterly meeting frequency with documented climate risk review agenda; (2) Terms of reference explicitly including climate-related risks and opportunities per IFRS S2 para 6(a)(i); (3) Direct reporting line to full Board with escalation protocols for material climate risks; (4) Authority to approve climate targets, transition plans, and climate-related capital allocation decisions; (5) Annual climate competency assessment for committee members with training plan for skill gaps. Implementation timeline: Establish committee structure within 6 months; operationalize quarterly review cycle within 9 months.</w:t>
      </w:r>
      <w:r>
        <w:rPr>
          <w:rFonts w:ascii="Arial" w:hAnsi="Arial"/>
          <w:i/>
          <w:color w:val="555555"/>
        </w:rPr>
        <w:br/>
      </w:r>
      <w:r>
        <w:rPr>
          <w:rFonts w:ascii="Arial" w:hAnsi="Arial"/>
          <w:i/>
          <w:color w:val="555555"/>
        </w:rPr>
        <w:br/>
        <w:t>**Reference**: BRI model provides proven framework — Decision NOKEP 872-DIR/PPM/06/2022 establishing Risk Mgmt &amp; ESG Committee with President Director oversight.</w:t>
      </w:r>
      <w:r>
        <w:rPr>
          <w:rFonts w:ascii="Arial" w:hAnsi="Arial"/>
          <w:i/>
          <w:color w:val="555555"/>
        </w:rPr>
        <w:br/>
      </w:r>
      <w:r>
        <w:rPr>
          <w:rFonts w:ascii="Arial" w:hAnsi="Arial"/>
          <w:i/>
          <w:color w:val="555555"/>
        </w:rPr>
        <w:br/>
        <w:t>**Recommendation 2 — Link Executive Remuneration to Climate Performance (Priority: High)**</w:t>
      </w:r>
      <w:r>
        <w:rPr>
          <w:rFonts w:ascii="Arial" w:hAnsi="Arial"/>
          <w:i/>
          <w:color w:val="555555"/>
        </w:rPr>
        <w:br/>
      </w:r>
      <w:r>
        <w:rPr>
          <w:rFonts w:ascii="Arial" w:hAnsi="Arial"/>
          <w:i/>
          <w:color w:val="555555"/>
        </w:rPr>
        <w:br/>
        <w:t>**Finding**: No linkage between executive compensation and climate/ESG performance metrics has been documented.</w:t>
      </w:r>
      <w:r>
        <w:rPr>
          <w:rFonts w:ascii="Arial" w:hAnsi="Arial"/>
          <w:i/>
          <w:color w:val="555555"/>
        </w:rPr>
        <w:br/>
      </w:r>
      <w:r>
        <w:rPr>
          <w:rFonts w:ascii="Arial" w:hAnsi="Arial"/>
          <w:i/>
          <w:color w:val="555555"/>
        </w:rPr>
        <w:br/>
        <w:t>**Benchmark**: DBS links 20% of executive compensation to climate and sustainability KPIs, creating direct accountability for emissions reduction and climate risk management. BCA integrates ESG KPIs into Board of Directors and work unit performance assessments with documented weighting in annual evaluations.</w:t>
      </w:r>
      <w:r>
        <w:rPr>
          <w:rFonts w:ascii="Arial" w:hAnsi="Arial"/>
          <w:i/>
          <w:color w:val="555555"/>
        </w:rPr>
        <w:br/>
      </w:r>
      <w:r>
        <w:rPr>
          <w:rFonts w:ascii="Arial" w:hAnsi="Arial"/>
          <w:i/>
          <w:color w:val="555555"/>
        </w:rPr>
        <w:br/>
        <w:t xml:space="preserve">**Recommendation**: Integrate climate performance metrics into executive remuneration framework with 10-15% weighting for initial implementation, scaling to 20% within three years. Recommended metrics: (1) Absolute financed emissions reduction vs. annual target (40% of climate component); (2) PCAF data quality improvement (20% of climate </w:t>
      </w:r>
      <w:r>
        <w:rPr>
          <w:rFonts w:ascii="Arial" w:hAnsi="Arial"/>
          <w:i/>
          <w:color w:val="555555"/>
        </w:rPr>
        <w:lastRenderedPageBreak/>
        <w:t>component); (3) Green/sustainable finance origination vs. target (30% of climate component); (4) Climate risk management process implementation milestones (10% of climate component). Establish clear measurement methodology and independent verification process. Disclose remuneration linkage in annual sustainability report per IFRS S2 para 29(g) and CSRD ESRS 2 GOV-3.</w:t>
      </w:r>
      <w:r>
        <w:rPr>
          <w:rFonts w:ascii="Arial" w:hAnsi="Arial"/>
          <w:i/>
          <w:color w:val="555555"/>
        </w:rPr>
        <w:br/>
      </w:r>
      <w:r>
        <w:rPr>
          <w:rFonts w:ascii="Arial" w:hAnsi="Arial"/>
          <w:i/>
          <w:color w:val="555555"/>
        </w:rPr>
        <w:br/>
        <w:t>**Reference**: DBS 20% executive compensation linkage model; BCA integrated KPI assessment framework.</w:t>
      </w:r>
      <w:r>
        <w:rPr>
          <w:rFonts w:ascii="Arial" w:hAnsi="Arial"/>
          <w:i/>
          <w:color w:val="555555"/>
        </w:rPr>
        <w:br/>
      </w:r>
      <w:r>
        <w:rPr>
          <w:rFonts w:ascii="Arial" w:hAnsi="Arial"/>
          <w:i/>
          <w:color w:val="555555"/>
        </w:rPr>
        <w:br/>
        <w:t>**Recommendation 3 — Formalize Management-Level Climate Governance (Priority: Medium)**</w:t>
      </w:r>
      <w:r>
        <w:rPr>
          <w:rFonts w:ascii="Arial" w:hAnsi="Arial"/>
          <w:i/>
          <w:color w:val="555555"/>
        </w:rPr>
        <w:br/>
      </w:r>
      <w:r>
        <w:rPr>
          <w:rFonts w:ascii="Arial" w:hAnsi="Arial"/>
          <w:i/>
          <w:color w:val="555555"/>
        </w:rPr>
        <w:br/>
        <w:t>**Finding**: Management-level climate risk oversight structure and reporting lines not documented.</w:t>
      </w:r>
      <w:r>
        <w:rPr>
          <w:rFonts w:ascii="Arial" w:hAnsi="Arial"/>
          <w:i/>
          <w:color w:val="555555"/>
        </w:rPr>
        <w:br/>
      </w:r>
      <w:r>
        <w:rPr>
          <w:rFonts w:ascii="Arial" w:hAnsi="Arial"/>
          <w:i/>
          <w:color w:val="555555"/>
        </w:rPr>
        <w:br/>
        <w:t>**Benchmark**: BRI operates dedicated ESG Committee reporting to President Director with cross-functional representation from Risk, Credit, Treasury, and Operations. DBS employs Chief Sustainability Officer with direct Board reporting line and authority over climate strategy implementation.</w:t>
      </w:r>
      <w:r>
        <w:rPr>
          <w:rFonts w:ascii="Arial" w:hAnsi="Arial"/>
          <w:i/>
          <w:color w:val="555555"/>
        </w:rPr>
        <w:br/>
      </w:r>
      <w:r>
        <w:rPr>
          <w:rFonts w:ascii="Arial" w:hAnsi="Arial"/>
          <w:i/>
          <w:color w:val="555555"/>
        </w:rPr>
        <w:br/>
        <w:t>**Recommendation**: Designate Chief Risk Officer or equivalent C-suite position with explicit climate risk management mandate, supported by cross-functional Climate Risk Working Group with representatives from Credit Risk, Market Risk, Operational Risk, Treasury, and Sustainability functions. Establish monthly working group meetings with quarterly escalation to executive management and Board committee. Document reporting lines, decision-making authority, and escalation protocols in governance manual. Integrate climate risk oversight into existing enterprise risk management framework per IFRS S2 para 6(b)(ii).</w:t>
      </w:r>
      <w:r>
        <w:rPr>
          <w:rFonts w:ascii="Arial" w:hAnsi="Arial"/>
          <w:i/>
          <w:color w:val="555555"/>
        </w:rPr>
        <w:br/>
      </w:r>
      <w:r>
        <w:rPr>
          <w:rFonts w:ascii="Arial" w:hAnsi="Arial"/>
          <w:i/>
          <w:color w:val="555555"/>
        </w:rPr>
        <w:br/>
        <w:t>**Reference**: BRI cross-functional ESG Committee model; DBS Chief Sustainability Officer structure.</w:t>
      </w:r>
    </w:p>
    <w:p w14:paraId="030A168A" w14:textId="77777777" w:rsidR="00AD4FA5" w:rsidRDefault="00000000">
      <w:r>
        <w:rPr>
          <w:rFonts w:ascii="Arial" w:hAnsi="Arial"/>
          <w:b/>
          <w:sz w:val="20"/>
        </w:rPr>
        <w:t>Table 1: Governance Disclosure Gap Analysis — IFRS S2 Requirements</w:t>
      </w:r>
    </w:p>
    <w:tbl>
      <w:tblPr>
        <w:tblW w:w="0" w:type="auto"/>
        <w:jc w:val="center"/>
        <w:tblLook w:val="04A0" w:firstRow="1" w:lastRow="0" w:firstColumn="1" w:lastColumn="0" w:noHBand="0" w:noVBand="1"/>
      </w:tblPr>
      <w:tblGrid>
        <w:gridCol w:w="1455"/>
        <w:gridCol w:w="1376"/>
        <w:gridCol w:w="2128"/>
        <w:gridCol w:w="1324"/>
        <w:gridCol w:w="1295"/>
        <w:gridCol w:w="1667"/>
      </w:tblGrid>
      <w:tr w:rsidR="00AD4FA5" w14:paraId="70FE68E8" w14:textId="77777777">
        <w:trPr>
          <w:jc w:val="center"/>
        </w:trPr>
        <w:tc>
          <w:tcPr>
            <w:tcW w:w="1505" w:type="dxa"/>
            <w:shd w:val="clear" w:color="auto" w:fill="1B3A6B"/>
          </w:tcPr>
          <w:p w14:paraId="350F6C59" w14:textId="77777777" w:rsidR="00AD4FA5" w:rsidRDefault="00000000">
            <w:r>
              <w:rPr>
                <w:rFonts w:ascii="Arial" w:hAnsi="Arial"/>
                <w:b/>
                <w:color w:val="FFFFFF"/>
                <w:sz w:val="18"/>
              </w:rPr>
              <w:t>IFRS S2 Requirement</w:t>
            </w:r>
          </w:p>
        </w:tc>
        <w:tc>
          <w:tcPr>
            <w:tcW w:w="1505" w:type="dxa"/>
            <w:shd w:val="clear" w:color="auto" w:fill="1B3A6B"/>
          </w:tcPr>
          <w:p w14:paraId="2BBC5F5D" w14:textId="77777777" w:rsidR="00AD4FA5" w:rsidRDefault="00000000">
            <w:r>
              <w:rPr>
                <w:rFonts w:ascii="Arial" w:hAnsi="Arial"/>
                <w:b/>
                <w:color w:val="FFFFFF"/>
                <w:sz w:val="18"/>
              </w:rPr>
              <w:t>Paragraph Reference</w:t>
            </w:r>
          </w:p>
        </w:tc>
        <w:tc>
          <w:tcPr>
            <w:tcW w:w="1505" w:type="dxa"/>
            <w:shd w:val="clear" w:color="auto" w:fill="1B3A6B"/>
          </w:tcPr>
          <w:p w14:paraId="74A332C5" w14:textId="77777777" w:rsidR="00AD4FA5" w:rsidRDefault="00000000">
            <w:r>
              <w:rPr>
                <w:rFonts w:ascii="Arial" w:hAnsi="Arial"/>
                <w:b/>
                <w:color w:val="FFFFFF"/>
                <w:sz w:val="18"/>
              </w:rPr>
              <w:t>Required Disclosure</w:t>
            </w:r>
          </w:p>
        </w:tc>
        <w:tc>
          <w:tcPr>
            <w:tcW w:w="1505" w:type="dxa"/>
            <w:shd w:val="clear" w:color="auto" w:fill="1B3A6B"/>
          </w:tcPr>
          <w:p w14:paraId="33DFB46A" w14:textId="77777777" w:rsidR="00AD4FA5" w:rsidRDefault="00000000">
            <w:r>
              <w:rPr>
                <w:rFonts w:ascii="Arial" w:hAnsi="Arial"/>
                <w:b/>
                <w:color w:val="FFFFFF"/>
                <w:sz w:val="18"/>
              </w:rPr>
              <w:t>Current Status</w:t>
            </w:r>
          </w:p>
        </w:tc>
        <w:tc>
          <w:tcPr>
            <w:tcW w:w="1505" w:type="dxa"/>
            <w:shd w:val="clear" w:color="auto" w:fill="1B3A6B"/>
          </w:tcPr>
          <w:p w14:paraId="2819224C" w14:textId="77777777" w:rsidR="00AD4FA5" w:rsidRDefault="00000000">
            <w:r>
              <w:rPr>
                <w:rFonts w:ascii="Arial" w:hAnsi="Arial"/>
                <w:b/>
                <w:color w:val="FFFFFF"/>
                <w:sz w:val="18"/>
              </w:rPr>
              <w:t>Priority</w:t>
            </w:r>
          </w:p>
        </w:tc>
        <w:tc>
          <w:tcPr>
            <w:tcW w:w="1505" w:type="dxa"/>
            <w:shd w:val="clear" w:color="auto" w:fill="1B3A6B"/>
          </w:tcPr>
          <w:p w14:paraId="674584A4" w14:textId="77777777" w:rsidR="00AD4FA5" w:rsidRDefault="00000000">
            <w:r>
              <w:rPr>
                <w:rFonts w:ascii="Arial" w:hAnsi="Arial"/>
                <w:b/>
                <w:color w:val="FFFFFF"/>
                <w:sz w:val="18"/>
              </w:rPr>
              <w:t>Peer Benchmark</w:t>
            </w:r>
          </w:p>
        </w:tc>
      </w:tr>
      <w:tr w:rsidR="00AD4FA5" w14:paraId="60EB19AC" w14:textId="77777777">
        <w:trPr>
          <w:jc w:val="center"/>
        </w:trPr>
        <w:tc>
          <w:tcPr>
            <w:tcW w:w="1505" w:type="dxa"/>
          </w:tcPr>
          <w:p w14:paraId="6B0B8A9C" w14:textId="77777777" w:rsidR="00AD4FA5" w:rsidRDefault="00000000">
            <w:r>
              <w:rPr>
                <w:rFonts w:ascii="Arial" w:hAnsi="Arial"/>
                <w:sz w:val="18"/>
              </w:rPr>
              <w:t>Governing body identification</w:t>
            </w:r>
          </w:p>
        </w:tc>
        <w:tc>
          <w:tcPr>
            <w:tcW w:w="1505" w:type="dxa"/>
          </w:tcPr>
          <w:p w14:paraId="34D1661A" w14:textId="77777777" w:rsidR="00AD4FA5" w:rsidRDefault="00000000">
            <w:r>
              <w:rPr>
                <w:rFonts w:ascii="Arial" w:hAnsi="Arial"/>
                <w:sz w:val="18"/>
              </w:rPr>
              <w:t>Para 6(a)</w:t>
            </w:r>
          </w:p>
        </w:tc>
        <w:tc>
          <w:tcPr>
            <w:tcW w:w="1505" w:type="dxa"/>
          </w:tcPr>
          <w:p w14:paraId="6046CEC8" w14:textId="77777777" w:rsidR="00AD4FA5" w:rsidRDefault="00000000">
            <w:r>
              <w:rPr>
                <w:rFonts w:ascii="Arial" w:hAnsi="Arial"/>
                <w:sz w:val="18"/>
              </w:rPr>
              <w:t>Identity of board committee/individual responsible for climate oversight</w:t>
            </w:r>
          </w:p>
        </w:tc>
        <w:tc>
          <w:tcPr>
            <w:tcW w:w="1505" w:type="dxa"/>
          </w:tcPr>
          <w:p w14:paraId="1777B89C" w14:textId="77777777" w:rsidR="00AD4FA5" w:rsidRDefault="00000000">
            <w:r>
              <w:rPr>
                <w:rFonts w:ascii="Arial" w:hAnsi="Arial"/>
                <w:sz w:val="18"/>
              </w:rPr>
              <w:t>Not Available</w:t>
            </w:r>
          </w:p>
        </w:tc>
        <w:tc>
          <w:tcPr>
            <w:tcW w:w="1505" w:type="dxa"/>
          </w:tcPr>
          <w:p w14:paraId="66F1E600" w14:textId="77777777" w:rsidR="00AD4FA5" w:rsidRDefault="00000000">
            <w:r>
              <w:rPr>
                <w:rFonts w:ascii="Arial" w:hAnsi="Arial"/>
                <w:sz w:val="18"/>
              </w:rPr>
              <w:t>High</w:t>
            </w:r>
          </w:p>
        </w:tc>
        <w:tc>
          <w:tcPr>
            <w:tcW w:w="1505" w:type="dxa"/>
          </w:tcPr>
          <w:p w14:paraId="69118A14" w14:textId="77777777" w:rsidR="00AD4FA5" w:rsidRDefault="00000000">
            <w:r>
              <w:rPr>
                <w:rFonts w:ascii="Arial" w:hAnsi="Arial"/>
                <w:sz w:val="18"/>
              </w:rPr>
              <w:t>BRI: Risk Mgmt &amp; ESG Committee (2021)</w:t>
            </w:r>
          </w:p>
        </w:tc>
      </w:tr>
      <w:tr w:rsidR="00AD4FA5" w14:paraId="522FB43F" w14:textId="77777777">
        <w:trPr>
          <w:jc w:val="center"/>
        </w:trPr>
        <w:tc>
          <w:tcPr>
            <w:tcW w:w="1505" w:type="dxa"/>
            <w:shd w:val="clear" w:color="auto" w:fill="F2F6FC"/>
          </w:tcPr>
          <w:p w14:paraId="3644D7B7" w14:textId="77777777" w:rsidR="00AD4FA5" w:rsidRDefault="00000000">
            <w:r>
              <w:rPr>
                <w:rFonts w:ascii="Arial" w:hAnsi="Arial"/>
                <w:sz w:val="18"/>
              </w:rPr>
              <w:t>Terms of reference</w:t>
            </w:r>
          </w:p>
        </w:tc>
        <w:tc>
          <w:tcPr>
            <w:tcW w:w="1505" w:type="dxa"/>
            <w:shd w:val="clear" w:color="auto" w:fill="F2F6FC"/>
          </w:tcPr>
          <w:p w14:paraId="0A146778" w14:textId="77777777" w:rsidR="00AD4FA5" w:rsidRDefault="00000000">
            <w:r>
              <w:rPr>
                <w:rFonts w:ascii="Arial" w:hAnsi="Arial"/>
                <w:sz w:val="18"/>
              </w:rPr>
              <w:t>Para 6(a)(i)</w:t>
            </w:r>
          </w:p>
        </w:tc>
        <w:tc>
          <w:tcPr>
            <w:tcW w:w="1505" w:type="dxa"/>
            <w:shd w:val="clear" w:color="auto" w:fill="F2F6FC"/>
          </w:tcPr>
          <w:p w14:paraId="4BD20DDB" w14:textId="77777777" w:rsidR="00AD4FA5" w:rsidRDefault="00000000">
            <w:r>
              <w:rPr>
                <w:rFonts w:ascii="Arial" w:hAnsi="Arial"/>
                <w:sz w:val="18"/>
              </w:rPr>
              <w:t>How climate responsibilities reflected in mandates and role descriptions</w:t>
            </w:r>
          </w:p>
        </w:tc>
        <w:tc>
          <w:tcPr>
            <w:tcW w:w="1505" w:type="dxa"/>
            <w:shd w:val="clear" w:color="auto" w:fill="F2F6FC"/>
          </w:tcPr>
          <w:p w14:paraId="546A6B4A" w14:textId="77777777" w:rsidR="00AD4FA5" w:rsidRDefault="00000000">
            <w:r>
              <w:rPr>
                <w:rFonts w:ascii="Arial" w:hAnsi="Arial"/>
                <w:sz w:val="18"/>
              </w:rPr>
              <w:t>Not Available</w:t>
            </w:r>
          </w:p>
        </w:tc>
        <w:tc>
          <w:tcPr>
            <w:tcW w:w="1505" w:type="dxa"/>
            <w:shd w:val="clear" w:color="auto" w:fill="F2F6FC"/>
          </w:tcPr>
          <w:p w14:paraId="11A2E2D5" w14:textId="77777777" w:rsidR="00AD4FA5" w:rsidRDefault="00000000">
            <w:r>
              <w:rPr>
                <w:rFonts w:ascii="Arial" w:hAnsi="Arial"/>
                <w:sz w:val="18"/>
              </w:rPr>
              <w:t>High</w:t>
            </w:r>
          </w:p>
        </w:tc>
        <w:tc>
          <w:tcPr>
            <w:tcW w:w="1505" w:type="dxa"/>
            <w:shd w:val="clear" w:color="auto" w:fill="F2F6FC"/>
          </w:tcPr>
          <w:p w14:paraId="30E4BCE7" w14:textId="77777777" w:rsidR="00AD4FA5" w:rsidRDefault="00000000">
            <w:r>
              <w:rPr>
                <w:rFonts w:ascii="Arial" w:hAnsi="Arial"/>
                <w:sz w:val="18"/>
              </w:rPr>
              <w:t>BRI: NOKEP 872-DIR/PPM/06/2022</w:t>
            </w:r>
          </w:p>
        </w:tc>
      </w:tr>
      <w:tr w:rsidR="00AD4FA5" w14:paraId="1697473E" w14:textId="77777777">
        <w:trPr>
          <w:jc w:val="center"/>
        </w:trPr>
        <w:tc>
          <w:tcPr>
            <w:tcW w:w="1505" w:type="dxa"/>
          </w:tcPr>
          <w:p w14:paraId="0B22B5EC" w14:textId="77777777" w:rsidR="00AD4FA5" w:rsidRDefault="00000000">
            <w:r>
              <w:rPr>
                <w:rFonts w:ascii="Arial" w:hAnsi="Arial"/>
                <w:sz w:val="18"/>
              </w:rPr>
              <w:t>Climate competency</w:t>
            </w:r>
          </w:p>
        </w:tc>
        <w:tc>
          <w:tcPr>
            <w:tcW w:w="1505" w:type="dxa"/>
          </w:tcPr>
          <w:p w14:paraId="4DA9DAD4" w14:textId="77777777" w:rsidR="00AD4FA5" w:rsidRDefault="00000000">
            <w:r>
              <w:rPr>
                <w:rFonts w:ascii="Arial" w:hAnsi="Arial"/>
                <w:sz w:val="18"/>
              </w:rPr>
              <w:t>Para 6(a)(ii)</w:t>
            </w:r>
          </w:p>
        </w:tc>
        <w:tc>
          <w:tcPr>
            <w:tcW w:w="1505" w:type="dxa"/>
          </w:tcPr>
          <w:p w14:paraId="083CC46C" w14:textId="77777777" w:rsidR="00AD4FA5" w:rsidRDefault="00000000">
            <w:r>
              <w:rPr>
                <w:rFonts w:ascii="Arial" w:hAnsi="Arial"/>
                <w:sz w:val="18"/>
              </w:rPr>
              <w:t>How governing body determines climate skills availability/development</w:t>
            </w:r>
          </w:p>
        </w:tc>
        <w:tc>
          <w:tcPr>
            <w:tcW w:w="1505" w:type="dxa"/>
          </w:tcPr>
          <w:p w14:paraId="1E4808B3" w14:textId="77777777" w:rsidR="00AD4FA5" w:rsidRDefault="00000000">
            <w:r>
              <w:rPr>
                <w:rFonts w:ascii="Arial" w:hAnsi="Arial"/>
                <w:sz w:val="18"/>
              </w:rPr>
              <w:t>Not Available</w:t>
            </w:r>
          </w:p>
        </w:tc>
        <w:tc>
          <w:tcPr>
            <w:tcW w:w="1505" w:type="dxa"/>
          </w:tcPr>
          <w:p w14:paraId="4C828DF9" w14:textId="77777777" w:rsidR="00AD4FA5" w:rsidRDefault="00000000">
            <w:r>
              <w:rPr>
                <w:rFonts w:ascii="Arial" w:hAnsi="Arial"/>
                <w:sz w:val="18"/>
              </w:rPr>
              <w:t>Medium</w:t>
            </w:r>
          </w:p>
        </w:tc>
        <w:tc>
          <w:tcPr>
            <w:tcW w:w="1505" w:type="dxa"/>
          </w:tcPr>
          <w:p w14:paraId="478D6638" w14:textId="77777777" w:rsidR="00AD4FA5" w:rsidRDefault="00000000">
            <w:r>
              <w:rPr>
                <w:rFonts w:ascii="Arial" w:hAnsi="Arial"/>
                <w:sz w:val="18"/>
              </w:rPr>
              <w:t>BCA: Annual competency assessment</w:t>
            </w:r>
          </w:p>
        </w:tc>
      </w:tr>
      <w:tr w:rsidR="00AD4FA5" w14:paraId="2951596A" w14:textId="77777777">
        <w:trPr>
          <w:jc w:val="center"/>
        </w:trPr>
        <w:tc>
          <w:tcPr>
            <w:tcW w:w="1505" w:type="dxa"/>
            <w:shd w:val="clear" w:color="auto" w:fill="F2F6FC"/>
          </w:tcPr>
          <w:p w14:paraId="4494C148" w14:textId="77777777" w:rsidR="00AD4FA5" w:rsidRDefault="00000000">
            <w:r>
              <w:rPr>
                <w:rFonts w:ascii="Arial" w:hAnsi="Arial"/>
                <w:sz w:val="18"/>
              </w:rPr>
              <w:lastRenderedPageBreak/>
              <w:t>Oversight frequency</w:t>
            </w:r>
          </w:p>
        </w:tc>
        <w:tc>
          <w:tcPr>
            <w:tcW w:w="1505" w:type="dxa"/>
            <w:shd w:val="clear" w:color="auto" w:fill="F2F6FC"/>
          </w:tcPr>
          <w:p w14:paraId="19C7C3FF" w14:textId="77777777" w:rsidR="00AD4FA5" w:rsidRDefault="00000000">
            <w:r>
              <w:rPr>
                <w:rFonts w:ascii="Arial" w:hAnsi="Arial"/>
                <w:sz w:val="18"/>
              </w:rPr>
              <w:t>Para 6(a)(iii)</w:t>
            </w:r>
          </w:p>
        </w:tc>
        <w:tc>
          <w:tcPr>
            <w:tcW w:w="1505" w:type="dxa"/>
            <w:shd w:val="clear" w:color="auto" w:fill="F2F6FC"/>
          </w:tcPr>
          <w:p w14:paraId="1FB6C323" w14:textId="77777777" w:rsidR="00AD4FA5" w:rsidRDefault="00000000">
            <w:r>
              <w:rPr>
                <w:rFonts w:ascii="Arial" w:hAnsi="Arial"/>
                <w:sz w:val="18"/>
              </w:rPr>
              <w:t>How often governing body informed about climate risks/opportunities</w:t>
            </w:r>
          </w:p>
        </w:tc>
        <w:tc>
          <w:tcPr>
            <w:tcW w:w="1505" w:type="dxa"/>
            <w:shd w:val="clear" w:color="auto" w:fill="F2F6FC"/>
          </w:tcPr>
          <w:p w14:paraId="4168E3B7" w14:textId="77777777" w:rsidR="00AD4FA5" w:rsidRDefault="00000000">
            <w:r>
              <w:rPr>
                <w:rFonts w:ascii="Arial" w:hAnsi="Arial"/>
                <w:sz w:val="18"/>
              </w:rPr>
              <w:t>Not Available</w:t>
            </w:r>
          </w:p>
        </w:tc>
        <w:tc>
          <w:tcPr>
            <w:tcW w:w="1505" w:type="dxa"/>
            <w:shd w:val="clear" w:color="auto" w:fill="F2F6FC"/>
          </w:tcPr>
          <w:p w14:paraId="6FF4C0B0" w14:textId="77777777" w:rsidR="00AD4FA5" w:rsidRDefault="00000000">
            <w:r>
              <w:rPr>
                <w:rFonts w:ascii="Arial" w:hAnsi="Arial"/>
                <w:sz w:val="18"/>
              </w:rPr>
              <w:t>High</w:t>
            </w:r>
          </w:p>
        </w:tc>
        <w:tc>
          <w:tcPr>
            <w:tcW w:w="1505" w:type="dxa"/>
            <w:shd w:val="clear" w:color="auto" w:fill="F2F6FC"/>
          </w:tcPr>
          <w:p w14:paraId="1B911EA5" w14:textId="77777777" w:rsidR="00AD4FA5" w:rsidRDefault="00000000">
            <w:r>
              <w:rPr>
                <w:rFonts w:ascii="Arial" w:hAnsi="Arial"/>
                <w:sz w:val="18"/>
              </w:rPr>
              <w:t>BRI/BCA: Quarterly; Mandiri: Semi-annual</w:t>
            </w:r>
          </w:p>
        </w:tc>
      </w:tr>
      <w:tr w:rsidR="00AD4FA5" w14:paraId="12067DED" w14:textId="77777777">
        <w:trPr>
          <w:jc w:val="center"/>
        </w:trPr>
        <w:tc>
          <w:tcPr>
            <w:tcW w:w="1505" w:type="dxa"/>
          </w:tcPr>
          <w:p w14:paraId="30DFF733" w14:textId="77777777" w:rsidR="00AD4FA5" w:rsidRDefault="00000000">
            <w:r>
              <w:rPr>
                <w:rFonts w:ascii="Arial" w:hAnsi="Arial"/>
                <w:sz w:val="18"/>
              </w:rPr>
              <w:t>Strategy integration</w:t>
            </w:r>
          </w:p>
        </w:tc>
        <w:tc>
          <w:tcPr>
            <w:tcW w:w="1505" w:type="dxa"/>
          </w:tcPr>
          <w:p w14:paraId="1B1B2224" w14:textId="77777777" w:rsidR="00AD4FA5" w:rsidRDefault="00000000">
            <w:r>
              <w:rPr>
                <w:rFonts w:ascii="Arial" w:hAnsi="Arial"/>
                <w:sz w:val="18"/>
              </w:rPr>
              <w:t>Para 6(a)(iv)</w:t>
            </w:r>
          </w:p>
        </w:tc>
        <w:tc>
          <w:tcPr>
            <w:tcW w:w="1505" w:type="dxa"/>
          </w:tcPr>
          <w:p w14:paraId="7AF984E8" w14:textId="77777777" w:rsidR="00AD4FA5" w:rsidRDefault="00000000">
            <w:r>
              <w:rPr>
                <w:rFonts w:ascii="Arial" w:hAnsi="Arial"/>
                <w:sz w:val="18"/>
              </w:rPr>
              <w:t>How climate informs strategy, major transactions, risk management</w:t>
            </w:r>
          </w:p>
        </w:tc>
        <w:tc>
          <w:tcPr>
            <w:tcW w:w="1505" w:type="dxa"/>
          </w:tcPr>
          <w:p w14:paraId="516CC392" w14:textId="77777777" w:rsidR="00AD4FA5" w:rsidRDefault="00000000">
            <w:r>
              <w:rPr>
                <w:rFonts w:ascii="Arial" w:hAnsi="Arial"/>
                <w:sz w:val="18"/>
              </w:rPr>
              <w:t>Not Available</w:t>
            </w:r>
          </w:p>
        </w:tc>
        <w:tc>
          <w:tcPr>
            <w:tcW w:w="1505" w:type="dxa"/>
          </w:tcPr>
          <w:p w14:paraId="5497ABA7" w14:textId="77777777" w:rsidR="00AD4FA5" w:rsidRDefault="00000000">
            <w:r>
              <w:rPr>
                <w:rFonts w:ascii="Arial" w:hAnsi="Arial"/>
                <w:sz w:val="18"/>
              </w:rPr>
              <w:t>High</w:t>
            </w:r>
          </w:p>
        </w:tc>
        <w:tc>
          <w:tcPr>
            <w:tcW w:w="1505" w:type="dxa"/>
          </w:tcPr>
          <w:p w14:paraId="59A109EC" w14:textId="77777777" w:rsidR="00AD4FA5" w:rsidRDefault="00000000">
            <w:r>
              <w:rPr>
                <w:rFonts w:ascii="Arial" w:hAnsi="Arial"/>
                <w:sz w:val="18"/>
              </w:rPr>
              <w:t>DBS: Board Sustainability Committee review</w:t>
            </w:r>
          </w:p>
        </w:tc>
      </w:tr>
      <w:tr w:rsidR="00AD4FA5" w14:paraId="7083EB14" w14:textId="77777777">
        <w:trPr>
          <w:jc w:val="center"/>
        </w:trPr>
        <w:tc>
          <w:tcPr>
            <w:tcW w:w="1505" w:type="dxa"/>
            <w:shd w:val="clear" w:color="auto" w:fill="F2F6FC"/>
          </w:tcPr>
          <w:p w14:paraId="1E19A2C0" w14:textId="77777777" w:rsidR="00AD4FA5" w:rsidRDefault="00000000">
            <w:r>
              <w:rPr>
                <w:rFonts w:ascii="Arial" w:hAnsi="Arial"/>
                <w:sz w:val="18"/>
              </w:rPr>
              <w:t>Target oversight</w:t>
            </w:r>
          </w:p>
        </w:tc>
        <w:tc>
          <w:tcPr>
            <w:tcW w:w="1505" w:type="dxa"/>
            <w:shd w:val="clear" w:color="auto" w:fill="F2F6FC"/>
          </w:tcPr>
          <w:p w14:paraId="58855553" w14:textId="77777777" w:rsidR="00AD4FA5" w:rsidRDefault="00000000">
            <w:r>
              <w:rPr>
                <w:rFonts w:ascii="Arial" w:hAnsi="Arial"/>
                <w:sz w:val="18"/>
              </w:rPr>
              <w:t>Para 6(a)(v)</w:t>
            </w:r>
          </w:p>
        </w:tc>
        <w:tc>
          <w:tcPr>
            <w:tcW w:w="1505" w:type="dxa"/>
            <w:shd w:val="clear" w:color="auto" w:fill="F2F6FC"/>
          </w:tcPr>
          <w:p w14:paraId="0E272620" w14:textId="77777777" w:rsidR="00AD4FA5" w:rsidRDefault="00000000">
            <w:r>
              <w:rPr>
                <w:rFonts w:ascii="Arial" w:hAnsi="Arial"/>
                <w:sz w:val="18"/>
              </w:rPr>
              <w:t>How governing body oversees target-setting and monitors progress</w:t>
            </w:r>
          </w:p>
        </w:tc>
        <w:tc>
          <w:tcPr>
            <w:tcW w:w="1505" w:type="dxa"/>
            <w:shd w:val="clear" w:color="auto" w:fill="F2F6FC"/>
          </w:tcPr>
          <w:p w14:paraId="0EEE4C5B" w14:textId="77777777" w:rsidR="00AD4FA5" w:rsidRDefault="00000000">
            <w:r>
              <w:rPr>
                <w:rFonts w:ascii="Arial" w:hAnsi="Arial"/>
                <w:sz w:val="18"/>
              </w:rPr>
              <w:t>Not Available</w:t>
            </w:r>
          </w:p>
        </w:tc>
        <w:tc>
          <w:tcPr>
            <w:tcW w:w="1505" w:type="dxa"/>
            <w:shd w:val="clear" w:color="auto" w:fill="F2F6FC"/>
          </w:tcPr>
          <w:p w14:paraId="66F3F169" w14:textId="77777777" w:rsidR="00AD4FA5" w:rsidRDefault="00000000">
            <w:r>
              <w:rPr>
                <w:rFonts w:ascii="Arial" w:hAnsi="Arial"/>
                <w:sz w:val="18"/>
              </w:rPr>
              <w:t>High</w:t>
            </w:r>
          </w:p>
        </w:tc>
        <w:tc>
          <w:tcPr>
            <w:tcW w:w="1505" w:type="dxa"/>
            <w:shd w:val="clear" w:color="auto" w:fill="F2F6FC"/>
          </w:tcPr>
          <w:p w14:paraId="37812562" w14:textId="77777777" w:rsidR="00AD4FA5" w:rsidRDefault="00000000">
            <w:r>
              <w:rPr>
                <w:rFonts w:ascii="Arial" w:hAnsi="Arial"/>
                <w:sz w:val="18"/>
              </w:rPr>
              <w:t>BRI: Quarterly target review by Committee</w:t>
            </w:r>
          </w:p>
        </w:tc>
      </w:tr>
      <w:tr w:rsidR="00AD4FA5" w14:paraId="4D656158" w14:textId="77777777">
        <w:trPr>
          <w:jc w:val="center"/>
        </w:trPr>
        <w:tc>
          <w:tcPr>
            <w:tcW w:w="1505" w:type="dxa"/>
          </w:tcPr>
          <w:p w14:paraId="0FDE4D3D" w14:textId="77777777" w:rsidR="00AD4FA5" w:rsidRDefault="00000000">
            <w:r>
              <w:rPr>
                <w:rFonts w:ascii="Arial" w:hAnsi="Arial"/>
                <w:sz w:val="18"/>
              </w:rPr>
              <w:t>Remuneration linkage</w:t>
            </w:r>
          </w:p>
        </w:tc>
        <w:tc>
          <w:tcPr>
            <w:tcW w:w="1505" w:type="dxa"/>
          </w:tcPr>
          <w:p w14:paraId="5E45D115" w14:textId="77777777" w:rsidR="00AD4FA5" w:rsidRDefault="00000000">
            <w:r>
              <w:rPr>
                <w:rFonts w:ascii="Arial" w:hAnsi="Arial"/>
                <w:sz w:val="18"/>
              </w:rPr>
              <w:t>Para 29(g)</w:t>
            </w:r>
          </w:p>
        </w:tc>
        <w:tc>
          <w:tcPr>
            <w:tcW w:w="1505" w:type="dxa"/>
          </w:tcPr>
          <w:p w14:paraId="37730E1D" w14:textId="77777777" w:rsidR="00AD4FA5" w:rsidRDefault="00000000">
            <w:r>
              <w:rPr>
                <w:rFonts w:ascii="Arial" w:hAnsi="Arial"/>
                <w:sz w:val="18"/>
              </w:rPr>
              <w:t>Whether climate metrics included in executive compensation</w:t>
            </w:r>
          </w:p>
        </w:tc>
        <w:tc>
          <w:tcPr>
            <w:tcW w:w="1505" w:type="dxa"/>
          </w:tcPr>
          <w:p w14:paraId="53F12F33" w14:textId="77777777" w:rsidR="00AD4FA5" w:rsidRDefault="00000000">
            <w:r>
              <w:rPr>
                <w:rFonts w:ascii="Arial" w:hAnsi="Arial"/>
                <w:sz w:val="18"/>
              </w:rPr>
              <w:t>Not Available</w:t>
            </w:r>
          </w:p>
        </w:tc>
        <w:tc>
          <w:tcPr>
            <w:tcW w:w="1505" w:type="dxa"/>
          </w:tcPr>
          <w:p w14:paraId="66AC8800" w14:textId="77777777" w:rsidR="00AD4FA5" w:rsidRDefault="00000000">
            <w:r>
              <w:rPr>
                <w:rFonts w:ascii="Arial" w:hAnsi="Arial"/>
                <w:sz w:val="18"/>
              </w:rPr>
              <w:t>High</w:t>
            </w:r>
          </w:p>
        </w:tc>
        <w:tc>
          <w:tcPr>
            <w:tcW w:w="1505" w:type="dxa"/>
          </w:tcPr>
          <w:p w14:paraId="03EA44FD" w14:textId="77777777" w:rsidR="00AD4FA5" w:rsidRDefault="00000000">
            <w:r>
              <w:rPr>
                <w:rFonts w:ascii="Arial" w:hAnsi="Arial"/>
                <w:sz w:val="18"/>
              </w:rPr>
              <w:t>DBS: 20% of exec compensation; BCA: Integrated KPIs</w:t>
            </w:r>
          </w:p>
        </w:tc>
      </w:tr>
      <w:tr w:rsidR="00AD4FA5" w14:paraId="77E84825" w14:textId="77777777">
        <w:trPr>
          <w:jc w:val="center"/>
        </w:trPr>
        <w:tc>
          <w:tcPr>
            <w:tcW w:w="1505" w:type="dxa"/>
            <w:shd w:val="clear" w:color="auto" w:fill="F2F6FC"/>
          </w:tcPr>
          <w:p w14:paraId="45545917" w14:textId="77777777" w:rsidR="00AD4FA5" w:rsidRDefault="00000000">
            <w:r>
              <w:rPr>
                <w:rFonts w:ascii="Arial" w:hAnsi="Arial"/>
                <w:sz w:val="18"/>
              </w:rPr>
              <w:t>Management role</w:t>
            </w:r>
          </w:p>
        </w:tc>
        <w:tc>
          <w:tcPr>
            <w:tcW w:w="1505" w:type="dxa"/>
            <w:shd w:val="clear" w:color="auto" w:fill="F2F6FC"/>
          </w:tcPr>
          <w:p w14:paraId="4FEAA551" w14:textId="77777777" w:rsidR="00AD4FA5" w:rsidRDefault="00000000">
            <w:r>
              <w:rPr>
                <w:rFonts w:ascii="Arial" w:hAnsi="Arial"/>
                <w:sz w:val="18"/>
              </w:rPr>
              <w:t>Para 6(b)(i)</w:t>
            </w:r>
          </w:p>
        </w:tc>
        <w:tc>
          <w:tcPr>
            <w:tcW w:w="1505" w:type="dxa"/>
            <w:shd w:val="clear" w:color="auto" w:fill="F2F6FC"/>
          </w:tcPr>
          <w:p w14:paraId="77D4E5B8" w14:textId="77777777" w:rsidR="00AD4FA5" w:rsidRDefault="00000000">
            <w:r>
              <w:rPr>
                <w:rFonts w:ascii="Arial" w:hAnsi="Arial"/>
                <w:sz w:val="18"/>
              </w:rPr>
              <w:t>Management position/committee responsible; reporting lines</w:t>
            </w:r>
          </w:p>
        </w:tc>
        <w:tc>
          <w:tcPr>
            <w:tcW w:w="1505" w:type="dxa"/>
            <w:shd w:val="clear" w:color="auto" w:fill="F2F6FC"/>
          </w:tcPr>
          <w:p w14:paraId="3D7DC71E" w14:textId="77777777" w:rsidR="00AD4FA5" w:rsidRDefault="00000000">
            <w:r>
              <w:rPr>
                <w:rFonts w:ascii="Arial" w:hAnsi="Arial"/>
                <w:sz w:val="18"/>
              </w:rPr>
              <w:t>Not Available</w:t>
            </w:r>
          </w:p>
        </w:tc>
        <w:tc>
          <w:tcPr>
            <w:tcW w:w="1505" w:type="dxa"/>
            <w:shd w:val="clear" w:color="auto" w:fill="F2F6FC"/>
          </w:tcPr>
          <w:p w14:paraId="1D4CACBB" w14:textId="77777777" w:rsidR="00AD4FA5" w:rsidRDefault="00000000">
            <w:r>
              <w:rPr>
                <w:rFonts w:ascii="Arial" w:hAnsi="Arial"/>
                <w:sz w:val="18"/>
              </w:rPr>
              <w:t>High</w:t>
            </w:r>
          </w:p>
        </w:tc>
        <w:tc>
          <w:tcPr>
            <w:tcW w:w="1505" w:type="dxa"/>
            <w:shd w:val="clear" w:color="auto" w:fill="F2F6FC"/>
          </w:tcPr>
          <w:p w14:paraId="218B4BD1" w14:textId="77777777" w:rsidR="00AD4FA5" w:rsidRDefault="00000000">
            <w:r>
              <w:rPr>
                <w:rFonts w:ascii="Arial" w:hAnsi="Arial"/>
                <w:sz w:val="18"/>
              </w:rPr>
              <w:t>BRI: Reports to President Director</w:t>
            </w:r>
          </w:p>
        </w:tc>
      </w:tr>
      <w:tr w:rsidR="00AD4FA5" w14:paraId="26EFC2E7" w14:textId="77777777">
        <w:trPr>
          <w:jc w:val="center"/>
        </w:trPr>
        <w:tc>
          <w:tcPr>
            <w:tcW w:w="1505" w:type="dxa"/>
          </w:tcPr>
          <w:p w14:paraId="2524AEA0" w14:textId="77777777" w:rsidR="00AD4FA5" w:rsidRDefault="00000000">
            <w:r>
              <w:rPr>
                <w:rFonts w:ascii="Arial" w:hAnsi="Arial"/>
                <w:sz w:val="18"/>
              </w:rPr>
              <w:t>Controls integration</w:t>
            </w:r>
          </w:p>
        </w:tc>
        <w:tc>
          <w:tcPr>
            <w:tcW w:w="1505" w:type="dxa"/>
          </w:tcPr>
          <w:p w14:paraId="0B4BFB48" w14:textId="77777777" w:rsidR="00AD4FA5" w:rsidRDefault="00000000">
            <w:r>
              <w:rPr>
                <w:rFonts w:ascii="Arial" w:hAnsi="Arial"/>
                <w:sz w:val="18"/>
              </w:rPr>
              <w:t>Para 6(b)(ii)</w:t>
            </w:r>
          </w:p>
        </w:tc>
        <w:tc>
          <w:tcPr>
            <w:tcW w:w="1505" w:type="dxa"/>
          </w:tcPr>
          <w:p w14:paraId="7CF3B3BF" w14:textId="77777777" w:rsidR="00AD4FA5" w:rsidRDefault="00000000">
            <w:r>
              <w:rPr>
                <w:rFonts w:ascii="Arial" w:hAnsi="Arial"/>
                <w:sz w:val="18"/>
              </w:rPr>
              <w:t>How climate controls integrated with internal functions</w:t>
            </w:r>
          </w:p>
        </w:tc>
        <w:tc>
          <w:tcPr>
            <w:tcW w:w="1505" w:type="dxa"/>
          </w:tcPr>
          <w:p w14:paraId="2C43A83D" w14:textId="77777777" w:rsidR="00AD4FA5" w:rsidRDefault="00000000">
            <w:r>
              <w:rPr>
                <w:rFonts w:ascii="Arial" w:hAnsi="Arial"/>
                <w:sz w:val="18"/>
              </w:rPr>
              <w:t>Not Available</w:t>
            </w:r>
          </w:p>
        </w:tc>
        <w:tc>
          <w:tcPr>
            <w:tcW w:w="1505" w:type="dxa"/>
          </w:tcPr>
          <w:p w14:paraId="3A99FDC2" w14:textId="77777777" w:rsidR="00AD4FA5" w:rsidRDefault="00000000">
            <w:r>
              <w:rPr>
                <w:rFonts w:ascii="Arial" w:hAnsi="Arial"/>
                <w:sz w:val="18"/>
              </w:rPr>
              <w:t>Medium</w:t>
            </w:r>
          </w:p>
        </w:tc>
        <w:tc>
          <w:tcPr>
            <w:tcW w:w="1505" w:type="dxa"/>
          </w:tcPr>
          <w:p w14:paraId="40A8CDE6" w14:textId="77777777" w:rsidR="00AD4FA5" w:rsidRDefault="00000000">
            <w:r>
              <w:rPr>
                <w:rFonts w:ascii="Arial" w:hAnsi="Arial"/>
                <w:sz w:val="18"/>
              </w:rPr>
              <w:t>DBS: Chief Sustainability Officer + ERM</w:t>
            </w:r>
          </w:p>
        </w:tc>
      </w:tr>
    </w:tbl>
    <w:p w14:paraId="5714E34B" w14:textId="77777777" w:rsidR="00AD4FA5" w:rsidRDefault="00000000">
      <w:r>
        <w:rPr>
          <w:rFonts w:ascii="Arial" w:hAnsi="Arial"/>
          <w:i/>
          <w:sz w:val="16"/>
        </w:rPr>
        <w:t>Source: Analysis based on IFRS S2 Climate-related Disclosures (June 2023) requirements and peer benchmark data from BRI ESG Report 2023, BCA Sustainability Report 2025, DBS Sustainability Report 2023, Bank Mandiri Sustainability Report 2023.</w:t>
      </w:r>
    </w:p>
    <w:p w14:paraId="5760AA1B" w14:textId="77777777" w:rsidR="00AD4FA5" w:rsidRDefault="00AD4FA5"/>
    <w:p w14:paraId="326AC34C" w14:textId="77777777" w:rsidR="00AD4FA5" w:rsidRDefault="00000000">
      <w:r>
        <w:rPr>
          <w:rFonts w:ascii="Arial" w:hAnsi="Arial"/>
          <w:b/>
          <w:sz w:val="20"/>
        </w:rPr>
        <w:t>Table 2: Peer Governance Structure Comparison — Indonesian Banking Sector</w:t>
      </w:r>
    </w:p>
    <w:tbl>
      <w:tblPr>
        <w:tblW w:w="0" w:type="auto"/>
        <w:jc w:val="center"/>
        <w:tblLook w:val="04A0" w:firstRow="1" w:lastRow="0" w:firstColumn="1" w:lastColumn="0" w:noHBand="0" w:noVBand="1"/>
      </w:tblPr>
      <w:tblGrid>
        <w:gridCol w:w="1505"/>
        <w:gridCol w:w="1505"/>
        <w:gridCol w:w="1505"/>
        <w:gridCol w:w="1505"/>
        <w:gridCol w:w="1505"/>
        <w:gridCol w:w="1505"/>
      </w:tblGrid>
      <w:tr w:rsidR="00AD4FA5" w14:paraId="0450B8DB" w14:textId="77777777">
        <w:trPr>
          <w:jc w:val="center"/>
        </w:trPr>
        <w:tc>
          <w:tcPr>
            <w:tcW w:w="1505" w:type="dxa"/>
            <w:shd w:val="clear" w:color="auto" w:fill="1B3A6B"/>
          </w:tcPr>
          <w:p w14:paraId="44D30D41" w14:textId="77777777" w:rsidR="00AD4FA5" w:rsidRDefault="00000000">
            <w:r>
              <w:rPr>
                <w:rFonts w:ascii="Arial" w:hAnsi="Arial"/>
                <w:b/>
                <w:color w:val="FFFFFF"/>
                <w:sz w:val="18"/>
              </w:rPr>
              <w:t>Institution</w:t>
            </w:r>
          </w:p>
        </w:tc>
        <w:tc>
          <w:tcPr>
            <w:tcW w:w="1505" w:type="dxa"/>
            <w:shd w:val="clear" w:color="auto" w:fill="1B3A6B"/>
          </w:tcPr>
          <w:p w14:paraId="6FB05DDD" w14:textId="77777777" w:rsidR="00AD4FA5" w:rsidRDefault="00000000">
            <w:r>
              <w:rPr>
                <w:rFonts w:ascii="Arial" w:hAnsi="Arial"/>
                <w:b/>
                <w:color w:val="FFFFFF"/>
                <w:sz w:val="18"/>
              </w:rPr>
              <w:t>Board-Level Committee</w:t>
            </w:r>
          </w:p>
        </w:tc>
        <w:tc>
          <w:tcPr>
            <w:tcW w:w="1505" w:type="dxa"/>
            <w:shd w:val="clear" w:color="auto" w:fill="1B3A6B"/>
          </w:tcPr>
          <w:p w14:paraId="5C0DCCA9" w14:textId="77777777" w:rsidR="00AD4FA5" w:rsidRDefault="00000000">
            <w:r>
              <w:rPr>
                <w:rFonts w:ascii="Arial" w:hAnsi="Arial"/>
                <w:b/>
                <w:color w:val="FFFFFF"/>
                <w:sz w:val="18"/>
              </w:rPr>
              <w:t>Oversight Frequency</w:t>
            </w:r>
          </w:p>
        </w:tc>
        <w:tc>
          <w:tcPr>
            <w:tcW w:w="1505" w:type="dxa"/>
            <w:shd w:val="clear" w:color="auto" w:fill="1B3A6B"/>
          </w:tcPr>
          <w:p w14:paraId="18716675" w14:textId="77777777" w:rsidR="00AD4FA5" w:rsidRDefault="00000000">
            <w:r>
              <w:rPr>
                <w:rFonts w:ascii="Arial" w:hAnsi="Arial"/>
                <w:b/>
                <w:color w:val="FFFFFF"/>
                <w:sz w:val="18"/>
              </w:rPr>
              <w:t>Executive Remuneration Link</w:t>
            </w:r>
          </w:p>
        </w:tc>
        <w:tc>
          <w:tcPr>
            <w:tcW w:w="1505" w:type="dxa"/>
            <w:shd w:val="clear" w:color="auto" w:fill="1B3A6B"/>
          </w:tcPr>
          <w:p w14:paraId="51746208" w14:textId="77777777" w:rsidR="00AD4FA5" w:rsidRDefault="00000000">
            <w:r>
              <w:rPr>
                <w:rFonts w:ascii="Arial" w:hAnsi="Arial"/>
                <w:b/>
                <w:color w:val="FFFFFF"/>
                <w:sz w:val="18"/>
              </w:rPr>
              <w:t>Management Structure</w:t>
            </w:r>
          </w:p>
        </w:tc>
        <w:tc>
          <w:tcPr>
            <w:tcW w:w="1505" w:type="dxa"/>
            <w:shd w:val="clear" w:color="auto" w:fill="1B3A6B"/>
          </w:tcPr>
          <w:p w14:paraId="78E1AA57" w14:textId="77777777" w:rsidR="00AD4FA5" w:rsidRDefault="00000000">
            <w:r>
              <w:rPr>
                <w:rFonts w:ascii="Arial" w:hAnsi="Arial"/>
                <w:b/>
                <w:color w:val="FFFFFF"/>
                <w:sz w:val="18"/>
              </w:rPr>
              <w:t>Reporting Line</w:t>
            </w:r>
          </w:p>
        </w:tc>
      </w:tr>
      <w:tr w:rsidR="00AD4FA5" w14:paraId="7CEDB159" w14:textId="77777777">
        <w:trPr>
          <w:jc w:val="center"/>
        </w:trPr>
        <w:tc>
          <w:tcPr>
            <w:tcW w:w="1505" w:type="dxa"/>
          </w:tcPr>
          <w:p w14:paraId="27D056BE" w14:textId="77777777" w:rsidR="00AD4FA5" w:rsidRDefault="00000000">
            <w:r>
              <w:rPr>
                <w:rFonts w:ascii="Arial" w:hAnsi="Arial"/>
                <w:sz w:val="18"/>
              </w:rPr>
              <w:t>BRI</w:t>
            </w:r>
          </w:p>
        </w:tc>
        <w:tc>
          <w:tcPr>
            <w:tcW w:w="1505" w:type="dxa"/>
          </w:tcPr>
          <w:p w14:paraId="7E9C7ECD" w14:textId="77777777" w:rsidR="00AD4FA5" w:rsidRDefault="00000000">
            <w:r>
              <w:rPr>
                <w:rFonts w:ascii="Arial" w:hAnsi="Arial"/>
                <w:sz w:val="18"/>
              </w:rPr>
              <w:t>Risk Mgmt &amp; ESG Committee (since 2021)</w:t>
            </w:r>
          </w:p>
        </w:tc>
        <w:tc>
          <w:tcPr>
            <w:tcW w:w="1505" w:type="dxa"/>
          </w:tcPr>
          <w:p w14:paraId="54B97F20" w14:textId="77777777" w:rsidR="00AD4FA5" w:rsidRDefault="00000000">
            <w:r>
              <w:rPr>
                <w:rFonts w:ascii="Arial" w:hAnsi="Arial"/>
                <w:sz w:val="18"/>
              </w:rPr>
              <w:t>Quarterly</w:t>
            </w:r>
          </w:p>
        </w:tc>
        <w:tc>
          <w:tcPr>
            <w:tcW w:w="1505" w:type="dxa"/>
          </w:tcPr>
          <w:p w14:paraId="6B4EC3D1" w14:textId="77777777" w:rsidR="00AD4FA5" w:rsidRDefault="00000000">
            <w:r>
              <w:rPr>
                <w:rFonts w:ascii="Arial" w:hAnsi="Arial"/>
                <w:sz w:val="18"/>
              </w:rPr>
              <w:t>Yes (integrated to BoD KPIs)</w:t>
            </w:r>
          </w:p>
        </w:tc>
        <w:tc>
          <w:tcPr>
            <w:tcW w:w="1505" w:type="dxa"/>
          </w:tcPr>
          <w:p w14:paraId="47BB16EC" w14:textId="77777777" w:rsidR="00AD4FA5" w:rsidRDefault="00000000">
            <w:r>
              <w:rPr>
                <w:rFonts w:ascii="Arial" w:hAnsi="Arial"/>
                <w:sz w:val="18"/>
              </w:rPr>
              <w:t>ESG Committee</w:t>
            </w:r>
          </w:p>
        </w:tc>
        <w:tc>
          <w:tcPr>
            <w:tcW w:w="1505" w:type="dxa"/>
          </w:tcPr>
          <w:p w14:paraId="6F6B2815" w14:textId="77777777" w:rsidR="00AD4FA5" w:rsidRDefault="00000000">
            <w:r>
              <w:rPr>
                <w:rFonts w:ascii="Arial" w:hAnsi="Arial"/>
                <w:sz w:val="18"/>
              </w:rPr>
              <w:t>President Director</w:t>
            </w:r>
          </w:p>
        </w:tc>
      </w:tr>
      <w:tr w:rsidR="00AD4FA5" w14:paraId="069D4DE4" w14:textId="77777777">
        <w:trPr>
          <w:jc w:val="center"/>
        </w:trPr>
        <w:tc>
          <w:tcPr>
            <w:tcW w:w="1505" w:type="dxa"/>
            <w:shd w:val="clear" w:color="auto" w:fill="F2F6FC"/>
          </w:tcPr>
          <w:p w14:paraId="45B9B01F" w14:textId="77777777" w:rsidR="00AD4FA5" w:rsidRDefault="00000000">
            <w:r>
              <w:rPr>
                <w:rFonts w:ascii="Arial" w:hAnsi="Arial"/>
                <w:sz w:val="18"/>
              </w:rPr>
              <w:t>BCA</w:t>
            </w:r>
          </w:p>
        </w:tc>
        <w:tc>
          <w:tcPr>
            <w:tcW w:w="1505" w:type="dxa"/>
            <w:shd w:val="clear" w:color="auto" w:fill="F2F6FC"/>
          </w:tcPr>
          <w:p w14:paraId="7FA67AC9" w14:textId="77777777" w:rsidR="00AD4FA5" w:rsidRDefault="00000000">
            <w:r>
              <w:rPr>
                <w:rFonts w:ascii="Arial" w:hAnsi="Arial"/>
                <w:sz w:val="18"/>
              </w:rPr>
              <w:t>ESG Subdivision</w:t>
            </w:r>
          </w:p>
        </w:tc>
        <w:tc>
          <w:tcPr>
            <w:tcW w:w="1505" w:type="dxa"/>
            <w:shd w:val="clear" w:color="auto" w:fill="F2F6FC"/>
          </w:tcPr>
          <w:p w14:paraId="30C175F2" w14:textId="77777777" w:rsidR="00AD4FA5" w:rsidRDefault="00000000">
            <w:r>
              <w:rPr>
                <w:rFonts w:ascii="Arial" w:hAnsi="Arial"/>
                <w:sz w:val="18"/>
              </w:rPr>
              <w:t>≥4x per year</w:t>
            </w:r>
          </w:p>
        </w:tc>
        <w:tc>
          <w:tcPr>
            <w:tcW w:w="1505" w:type="dxa"/>
            <w:shd w:val="clear" w:color="auto" w:fill="F2F6FC"/>
          </w:tcPr>
          <w:p w14:paraId="08D68163" w14:textId="77777777" w:rsidR="00AD4FA5" w:rsidRDefault="00000000">
            <w:r>
              <w:rPr>
                <w:rFonts w:ascii="Arial" w:hAnsi="Arial"/>
                <w:sz w:val="18"/>
              </w:rPr>
              <w:t>Yes (integrated to BoD &amp; work units)</w:t>
            </w:r>
          </w:p>
        </w:tc>
        <w:tc>
          <w:tcPr>
            <w:tcW w:w="1505" w:type="dxa"/>
            <w:shd w:val="clear" w:color="auto" w:fill="F2F6FC"/>
          </w:tcPr>
          <w:p w14:paraId="282E567C" w14:textId="77777777" w:rsidR="00AD4FA5" w:rsidRDefault="00000000">
            <w:r>
              <w:rPr>
                <w:rFonts w:ascii="Arial" w:hAnsi="Arial"/>
                <w:sz w:val="18"/>
              </w:rPr>
              <w:t>Strategic unit under Corporate Secretary</w:t>
            </w:r>
          </w:p>
        </w:tc>
        <w:tc>
          <w:tcPr>
            <w:tcW w:w="1505" w:type="dxa"/>
            <w:shd w:val="clear" w:color="auto" w:fill="F2F6FC"/>
          </w:tcPr>
          <w:p w14:paraId="14B88A46" w14:textId="77777777" w:rsidR="00AD4FA5" w:rsidRDefault="00000000">
            <w:r>
              <w:rPr>
                <w:rFonts w:ascii="Arial" w:hAnsi="Arial"/>
                <w:sz w:val="18"/>
              </w:rPr>
              <w:t>Director Planning &amp; Finance → President Director</w:t>
            </w:r>
          </w:p>
        </w:tc>
      </w:tr>
      <w:tr w:rsidR="00AD4FA5" w14:paraId="68535096" w14:textId="77777777">
        <w:trPr>
          <w:jc w:val="center"/>
        </w:trPr>
        <w:tc>
          <w:tcPr>
            <w:tcW w:w="1505" w:type="dxa"/>
          </w:tcPr>
          <w:p w14:paraId="5BC1C89E" w14:textId="77777777" w:rsidR="00AD4FA5" w:rsidRDefault="00000000">
            <w:r>
              <w:rPr>
                <w:rFonts w:ascii="Arial" w:hAnsi="Arial"/>
                <w:sz w:val="18"/>
              </w:rPr>
              <w:t>DBS</w:t>
            </w:r>
          </w:p>
        </w:tc>
        <w:tc>
          <w:tcPr>
            <w:tcW w:w="1505" w:type="dxa"/>
          </w:tcPr>
          <w:p w14:paraId="343A365B" w14:textId="77777777" w:rsidR="00AD4FA5" w:rsidRDefault="00000000">
            <w:r>
              <w:rPr>
                <w:rFonts w:ascii="Arial" w:hAnsi="Arial"/>
                <w:sz w:val="18"/>
              </w:rPr>
              <w:t>Board Sustainability Committee</w:t>
            </w:r>
          </w:p>
        </w:tc>
        <w:tc>
          <w:tcPr>
            <w:tcW w:w="1505" w:type="dxa"/>
          </w:tcPr>
          <w:p w14:paraId="38441C8C" w14:textId="77777777" w:rsidR="00AD4FA5" w:rsidRDefault="00000000">
            <w:r>
              <w:rPr>
                <w:rFonts w:ascii="Arial" w:hAnsi="Arial"/>
                <w:sz w:val="18"/>
              </w:rPr>
              <w:t>Quarterly</w:t>
            </w:r>
          </w:p>
        </w:tc>
        <w:tc>
          <w:tcPr>
            <w:tcW w:w="1505" w:type="dxa"/>
          </w:tcPr>
          <w:p w14:paraId="2807F862" w14:textId="77777777" w:rsidR="00AD4FA5" w:rsidRDefault="00000000">
            <w:r>
              <w:rPr>
                <w:rFonts w:ascii="Arial" w:hAnsi="Arial"/>
                <w:sz w:val="18"/>
              </w:rPr>
              <w:t>Yes (20% weight)</w:t>
            </w:r>
          </w:p>
        </w:tc>
        <w:tc>
          <w:tcPr>
            <w:tcW w:w="1505" w:type="dxa"/>
          </w:tcPr>
          <w:p w14:paraId="54D0930E" w14:textId="77777777" w:rsidR="00AD4FA5" w:rsidRDefault="00000000">
            <w:r>
              <w:rPr>
                <w:rFonts w:ascii="Arial" w:hAnsi="Arial"/>
                <w:sz w:val="18"/>
              </w:rPr>
              <w:t>Chief Sustainability Officer</w:t>
            </w:r>
          </w:p>
        </w:tc>
        <w:tc>
          <w:tcPr>
            <w:tcW w:w="1505" w:type="dxa"/>
          </w:tcPr>
          <w:p w14:paraId="60A6568D" w14:textId="77777777" w:rsidR="00AD4FA5" w:rsidRDefault="00000000">
            <w:r>
              <w:rPr>
                <w:rFonts w:ascii="Arial" w:hAnsi="Arial"/>
                <w:sz w:val="18"/>
              </w:rPr>
              <w:t>Direct to Board</w:t>
            </w:r>
          </w:p>
        </w:tc>
      </w:tr>
      <w:tr w:rsidR="00AD4FA5" w14:paraId="4099E593" w14:textId="77777777">
        <w:trPr>
          <w:jc w:val="center"/>
        </w:trPr>
        <w:tc>
          <w:tcPr>
            <w:tcW w:w="1505" w:type="dxa"/>
            <w:shd w:val="clear" w:color="auto" w:fill="F2F6FC"/>
          </w:tcPr>
          <w:p w14:paraId="5F4783E0" w14:textId="77777777" w:rsidR="00AD4FA5" w:rsidRDefault="00000000">
            <w:r>
              <w:rPr>
                <w:rFonts w:ascii="Arial" w:hAnsi="Arial"/>
                <w:sz w:val="18"/>
              </w:rPr>
              <w:t>Bank Mandiri</w:t>
            </w:r>
          </w:p>
        </w:tc>
        <w:tc>
          <w:tcPr>
            <w:tcW w:w="1505" w:type="dxa"/>
            <w:shd w:val="clear" w:color="auto" w:fill="F2F6FC"/>
          </w:tcPr>
          <w:p w14:paraId="559B0C1B" w14:textId="77777777" w:rsidR="00AD4FA5" w:rsidRDefault="00000000">
            <w:r>
              <w:rPr>
                <w:rFonts w:ascii="Arial" w:hAnsi="Arial"/>
                <w:sz w:val="18"/>
              </w:rPr>
              <w:t>ESG Task Force</w:t>
            </w:r>
          </w:p>
        </w:tc>
        <w:tc>
          <w:tcPr>
            <w:tcW w:w="1505" w:type="dxa"/>
            <w:shd w:val="clear" w:color="auto" w:fill="F2F6FC"/>
          </w:tcPr>
          <w:p w14:paraId="382C3895" w14:textId="77777777" w:rsidR="00AD4FA5" w:rsidRDefault="00000000">
            <w:r>
              <w:rPr>
                <w:rFonts w:ascii="Arial" w:hAnsi="Arial"/>
                <w:sz w:val="18"/>
              </w:rPr>
              <w:t>Semi-annual</w:t>
            </w:r>
          </w:p>
        </w:tc>
        <w:tc>
          <w:tcPr>
            <w:tcW w:w="1505" w:type="dxa"/>
            <w:shd w:val="clear" w:color="auto" w:fill="F2F6FC"/>
          </w:tcPr>
          <w:p w14:paraId="13837EA1" w14:textId="77777777" w:rsidR="00AD4FA5" w:rsidRDefault="00000000">
            <w:r>
              <w:rPr>
                <w:rFonts w:ascii="Arial" w:hAnsi="Arial"/>
                <w:sz w:val="18"/>
              </w:rPr>
              <w:t>Partial</w:t>
            </w:r>
          </w:p>
        </w:tc>
        <w:tc>
          <w:tcPr>
            <w:tcW w:w="1505" w:type="dxa"/>
            <w:shd w:val="clear" w:color="auto" w:fill="F2F6FC"/>
          </w:tcPr>
          <w:p w14:paraId="369D9971" w14:textId="77777777" w:rsidR="00AD4FA5" w:rsidRDefault="00000000">
            <w:r>
              <w:rPr>
                <w:rFonts w:ascii="Arial" w:hAnsi="Arial"/>
                <w:sz w:val="18"/>
              </w:rPr>
              <w:t>Task Force</w:t>
            </w:r>
          </w:p>
        </w:tc>
        <w:tc>
          <w:tcPr>
            <w:tcW w:w="1505" w:type="dxa"/>
            <w:shd w:val="clear" w:color="auto" w:fill="F2F6FC"/>
          </w:tcPr>
          <w:p w14:paraId="57144B4E" w14:textId="77777777" w:rsidR="00AD4FA5" w:rsidRDefault="00000000">
            <w:r>
              <w:rPr>
                <w:rFonts w:ascii="Arial" w:hAnsi="Arial"/>
                <w:sz w:val="18"/>
              </w:rPr>
              <w:t>Director → President Director</w:t>
            </w:r>
          </w:p>
        </w:tc>
      </w:tr>
      <w:tr w:rsidR="00AD4FA5" w14:paraId="0757AA09" w14:textId="77777777">
        <w:trPr>
          <w:jc w:val="center"/>
        </w:trPr>
        <w:tc>
          <w:tcPr>
            <w:tcW w:w="1505" w:type="dxa"/>
          </w:tcPr>
          <w:p w14:paraId="6B090401" w14:textId="77777777" w:rsidR="00AD4FA5" w:rsidRDefault="00000000">
            <w:r>
              <w:rPr>
                <w:rFonts w:ascii="Arial" w:hAnsi="Arial"/>
                <w:sz w:val="18"/>
              </w:rPr>
              <w:t xml:space="preserve">Generic FI </w:t>
            </w:r>
            <w:r>
              <w:rPr>
                <w:rFonts w:ascii="Arial" w:hAnsi="Arial"/>
                <w:sz w:val="18"/>
              </w:rPr>
              <w:lastRenderedPageBreak/>
              <w:t>(Current)</w:t>
            </w:r>
          </w:p>
        </w:tc>
        <w:tc>
          <w:tcPr>
            <w:tcW w:w="1505" w:type="dxa"/>
          </w:tcPr>
          <w:p w14:paraId="53EB7EC4" w14:textId="77777777" w:rsidR="00AD4FA5" w:rsidRDefault="00000000">
            <w:r>
              <w:rPr>
                <w:rFonts w:ascii="Arial" w:hAnsi="Arial"/>
                <w:sz w:val="18"/>
              </w:rPr>
              <w:lastRenderedPageBreak/>
              <w:t xml:space="preserve">Not </w:t>
            </w:r>
            <w:r>
              <w:rPr>
                <w:rFonts w:ascii="Arial" w:hAnsi="Arial"/>
                <w:sz w:val="18"/>
              </w:rPr>
              <w:lastRenderedPageBreak/>
              <w:t>documented</w:t>
            </w:r>
          </w:p>
        </w:tc>
        <w:tc>
          <w:tcPr>
            <w:tcW w:w="1505" w:type="dxa"/>
          </w:tcPr>
          <w:p w14:paraId="0C6B0E55" w14:textId="77777777" w:rsidR="00AD4FA5" w:rsidRDefault="00000000">
            <w:r>
              <w:rPr>
                <w:rFonts w:ascii="Arial" w:hAnsi="Arial"/>
                <w:sz w:val="18"/>
              </w:rPr>
              <w:lastRenderedPageBreak/>
              <w:t xml:space="preserve">Not </w:t>
            </w:r>
            <w:r>
              <w:rPr>
                <w:rFonts w:ascii="Arial" w:hAnsi="Arial"/>
                <w:sz w:val="18"/>
              </w:rPr>
              <w:lastRenderedPageBreak/>
              <w:t>documented</w:t>
            </w:r>
          </w:p>
        </w:tc>
        <w:tc>
          <w:tcPr>
            <w:tcW w:w="1505" w:type="dxa"/>
          </w:tcPr>
          <w:p w14:paraId="0211804A" w14:textId="77777777" w:rsidR="00AD4FA5" w:rsidRDefault="00000000">
            <w:r>
              <w:rPr>
                <w:rFonts w:ascii="Arial" w:hAnsi="Arial"/>
                <w:sz w:val="18"/>
              </w:rPr>
              <w:lastRenderedPageBreak/>
              <w:t xml:space="preserve">Not </w:t>
            </w:r>
            <w:r>
              <w:rPr>
                <w:rFonts w:ascii="Arial" w:hAnsi="Arial"/>
                <w:sz w:val="18"/>
              </w:rPr>
              <w:lastRenderedPageBreak/>
              <w:t>documented</w:t>
            </w:r>
          </w:p>
        </w:tc>
        <w:tc>
          <w:tcPr>
            <w:tcW w:w="1505" w:type="dxa"/>
          </w:tcPr>
          <w:p w14:paraId="74734D34" w14:textId="77777777" w:rsidR="00AD4FA5" w:rsidRDefault="00000000">
            <w:r>
              <w:rPr>
                <w:rFonts w:ascii="Arial" w:hAnsi="Arial"/>
                <w:sz w:val="18"/>
              </w:rPr>
              <w:lastRenderedPageBreak/>
              <w:t xml:space="preserve">Not </w:t>
            </w:r>
            <w:r>
              <w:rPr>
                <w:rFonts w:ascii="Arial" w:hAnsi="Arial"/>
                <w:sz w:val="18"/>
              </w:rPr>
              <w:lastRenderedPageBreak/>
              <w:t>documented</w:t>
            </w:r>
          </w:p>
        </w:tc>
        <w:tc>
          <w:tcPr>
            <w:tcW w:w="1505" w:type="dxa"/>
          </w:tcPr>
          <w:p w14:paraId="0665B82F" w14:textId="77777777" w:rsidR="00AD4FA5" w:rsidRDefault="00000000">
            <w:r>
              <w:rPr>
                <w:rFonts w:ascii="Arial" w:hAnsi="Arial"/>
                <w:sz w:val="18"/>
              </w:rPr>
              <w:lastRenderedPageBreak/>
              <w:t xml:space="preserve">Not </w:t>
            </w:r>
            <w:r>
              <w:rPr>
                <w:rFonts w:ascii="Arial" w:hAnsi="Arial"/>
                <w:sz w:val="18"/>
              </w:rPr>
              <w:lastRenderedPageBreak/>
              <w:t>documented</w:t>
            </w:r>
          </w:p>
        </w:tc>
      </w:tr>
    </w:tbl>
    <w:p w14:paraId="4922CF45" w14:textId="77777777" w:rsidR="00AD4FA5" w:rsidRDefault="00000000">
      <w:r>
        <w:rPr>
          <w:rFonts w:ascii="Arial" w:hAnsi="Arial"/>
          <w:i/>
          <w:sz w:val="16"/>
        </w:rPr>
        <w:lastRenderedPageBreak/>
        <w:t>Source: Peer data from sustainability reports 2023-2025. BRI Committee established via Decision NOKEP 872-DIR/PPM/06/2022. DBS 20% executive compensation linkage disclosed in 2023 Sustainability Report.</w:t>
      </w:r>
    </w:p>
    <w:p w14:paraId="57766627" w14:textId="77777777" w:rsidR="00AD4FA5" w:rsidRDefault="00AD4FA5"/>
    <w:p w14:paraId="7439C912" w14:textId="77777777" w:rsidR="00AD4FA5" w:rsidRDefault="00000000">
      <w:r>
        <w:rPr>
          <w:rFonts w:ascii="Arial" w:hAnsi="Arial"/>
          <w:b/>
          <w:sz w:val="20"/>
        </w:rPr>
        <w:t>Table 3: Governance Implementation Roadmap</w:t>
      </w:r>
    </w:p>
    <w:tbl>
      <w:tblPr>
        <w:tblW w:w="0" w:type="auto"/>
        <w:jc w:val="center"/>
        <w:tblLook w:val="04A0" w:firstRow="1" w:lastRow="0" w:firstColumn="1" w:lastColumn="0" w:noHBand="0" w:noVBand="1"/>
      </w:tblPr>
      <w:tblGrid>
        <w:gridCol w:w="1505"/>
        <w:gridCol w:w="1505"/>
        <w:gridCol w:w="1505"/>
        <w:gridCol w:w="1505"/>
        <w:gridCol w:w="1505"/>
        <w:gridCol w:w="1667"/>
      </w:tblGrid>
      <w:tr w:rsidR="00AD4FA5" w14:paraId="4ABC95AC" w14:textId="77777777">
        <w:trPr>
          <w:jc w:val="center"/>
        </w:trPr>
        <w:tc>
          <w:tcPr>
            <w:tcW w:w="1505" w:type="dxa"/>
            <w:shd w:val="clear" w:color="auto" w:fill="1B3A6B"/>
          </w:tcPr>
          <w:p w14:paraId="67E3AEBF" w14:textId="77777777" w:rsidR="00AD4FA5" w:rsidRDefault="00000000">
            <w:r>
              <w:rPr>
                <w:rFonts w:ascii="Arial" w:hAnsi="Arial"/>
                <w:b/>
                <w:color w:val="FFFFFF"/>
                <w:sz w:val="18"/>
              </w:rPr>
              <w:t>Action Item</w:t>
            </w:r>
          </w:p>
        </w:tc>
        <w:tc>
          <w:tcPr>
            <w:tcW w:w="1505" w:type="dxa"/>
            <w:shd w:val="clear" w:color="auto" w:fill="1B3A6B"/>
          </w:tcPr>
          <w:p w14:paraId="24B3D54B" w14:textId="77777777" w:rsidR="00AD4FA5" w:rsidRDefault="00000000">
            <w:r>
              <w:rPr>
                <w:rFonts w:ascii="Arial" w:hAnsi="Arial"/>
                <w:b/>
                <w:color w:val="FFFFFF"/>
                <w:sz w:val="18"/>
              </w:rPr>
              <w:t>IFRS S2 Reference</w:t>
            </w:r>
          </w:p>
        </w:tc>
        <w:tc>
          <w:tcPr>
            <w:tcW w:w="1505" w:type="dxa"/>
            <w:shd w:val="clear" w:color="auto" w:fill="1B3A6B"/>
          </w:tcPr>
          <w:p w14:paraId="220A540C" w14:textId="77777777" w:rsidR="00AD4FA5" w:rsidRDefault="00000000">
            <w:r>
              <w:rPr>
                <w:rFonts w:ascii="Arial" w:hAnsi="Arial"/>
                <w:b/>
                <w:color w:val="FFFFFF"/>
                <w:sz w:val="18"/>
              </w:rPr>
              <w:t>Timeline</w:t>
            </w:r>
          </w:p>
        </w:tc>
        <w:tc>
          <w:tcPr>
            <w:tcW w:w="1505" w:type="dxa"/>
            <w:shd w:val="clear" w:color="auto" w:fill="1B3A6B"/>
          </w:tcPr>
          <w:p w14:paraId="014713E0" w14:textId="77777777" w:rsidR="00AD4FA5" w:rsidRDefault="00000000">
            <w:r>
              <w:rPr>
                <w:rFonts w:ascii="Arial" w:hAnsi="Arial"/>
                <w:b/>
                <w:color w:val="FFFFFF"/>
                <w:sz w:val="18"/>
              </w:rPr>
              <w:t>Responsible Party</w:t>
            </w:r>
          </w:p>
        </w:tc>
        <w:tc>
          <w:tcPr>
            <w:tcW w:w="1505" w:type="dxa"/>
            <w:shd w:val="clear" w:color="auto" w:fill="1B3A6B"/>
          </w:tcPr>
          <w:p w14:paraId="1ED21EBE" w14:textId="77777777" w:rsidR="00AD4FA5" w:rsidRDefault="00000000">
            <w:r>
              <w:rPr>
                <w:rFonts w:ascii="Arial" w:hAnsi="Arial"/>
                <w:b/>
                <w:color w:val="FFFFFF"/>
                <w:sz w:val="18"/>
              </w:rPr>
              <w:t>Success Metric</w:t>
            </w:r>
          </w:p>
        </w:tc>
        <w:tc>
          <w:tcPr>
            <w:tcW w:w="1505" w:type="dxa"/>
            <w:shd w:val="clear" w:color="auto" w:fill="1B3A6B"/>
          </w:tcPr>
          <w:p w14:paraId="7DF2127F" w14:textId="77777777" w:rsidR="00AD4FA5" w:rsidRDefault="00000000">
            <w:r>
              <w:rPr>
                <w:rFonts w:ascii="Arial" w:hAnsi="Arial"/>
                <w:b/>
                <w:color w:val="FFFFFF"/>
                <w:sz w:val="18"/>
              </w:rPr>
              <w:t>Peer Model</w:t>
            </w:r>
          </w:p>
        </w:tc>
      </w:tr>
      <w:tr w:rsidR="00AD4FA5" w14:paraId="50D4F6B2" w14:textId="77777777">
        <w:trPr>
          <w:jc w:val="center"/>
        </w:trPr>
        <w:tc>
          <w:tcPr>
            <w:tcW w:w="1505" w:type="dxa"/>
          </w:tcPr>
          <w:p w14:paraId="3FC6CF8F" w14:textId="77777777" w:rsidR="00AD4FA5" w:rsidRDefault="00000000">
            <w:r>
              <w:rPr>
                <w:rFonts w:ascii="Arial" w:hAnsi="Arial"/>
                <w:sz w:val="18"/>
              </w:rPr>
              <w:t>Establish Board Sustainability Committee</w:t>
            </w:r>
          </w:p>
        </w:tc>
        <w:tc>
          <w:tcPr>
            <w:tcW w:w="1505" w:type="dxa"/>
          </w:tcPr>
          <w:p w14:paraId="49158641" w14:textId="77777777" w:rsidR="00AD4FA5" w:rsidRDefault="00000000">
            <w:r>
              <w:rPr>
                <w:rFonts w:ascii="Arial" w:hAnsi="Arial"/>
                <w:sz w:val="18"/>
              </w:rPr>
              <w:t>Para 6(a)</w:t>
            </w:r>
          </w:p>
        </w:tc>
        <w:tc>
          <w:tcPr>
            <w:tcW w:w="1505" w:type="dxa"/>
          </w:tcPr>
          <w:p w14:paraId="59CC3544" w14:textId="77777777" w:rsidR="00AD4FA5" w:rsidRDefault="00000000">
            <w:r>
              <w:rPr>
                <w:rFonts w:ascii="Arial" w:hAnsi="Arial"/>
                <w:sz w:val="18"/>
              </w:rPr>
              <w:t>0-6 months</w:t>
            </w:r>
          </w:p>
        </w:tc>
        <w:tc>
          <w:tcPr>
            <w:tcW w:w="1505" w:type="dxa"/>
          </w:tcPr>
          <w:p w14:paraId="0A2460C0" w14:textId="77777777" w:rsidR="00AD4FA5" w:rsidRDefault="00000000">
            <w:r>
              <w:rPr>
                <w:rFonts w:ascii="Arial" w:hAnsi="Arial"/>
                <w:sz w:val="18"/>
              </w:rPr>
              <w:t>Board of Directors</w:t>
            </w:r>
          </w:p>
        </w:tc>
        <w:tc>
          <w:tcPr>
            <w:tcW w:w="1505" w:type="dxa"/>
          </w:tcPr>
          <w:p w14:paraId="30A06092" w14:textId="77777777" w:rsidR="00AD4FA5" w:rsidRDefault="00000000">
            <w:r>
              <w:rPr>
                <w:rFonts w:ascii="Arial" w:hAnsi="Arial"/>
                <w:sz w:val="18"/>
              </w:rPr>
              <w:t>Committee charter approved; first meeting held</w:t>
            </w:r>
          </w:p>
        </w:tc>
        <w:tc>
          <w:tcPr>
            <w:tcW w:w="1505" w:type="dxa"/>
          </w:tcPr>
          <w:p w14:paraId="13A58B12" w14:textId="77777777" w:rsidR="00AD4FA5" w:rsidRDefault="00000000">
            <w:r>
              <w:rPr>
                <w:rFonts w:ascii="Arial" w:hAnsi="Arial"/>
                <w:sz w:val="18"/>
              </w:rPr>
              <w:t>BRI Risk Mgmt &amp; ESG Committee</w:t>
            </w:r>
          </w:p>
        </w:tc>
      </w:tr>
      <w:tr w:rsidR="00AD4FA5" w14:paraId="06869CAA" w14:textId="77777777">
        <w:trPr>
          <w:jc w:val="center"/>
        </w:trPr>
        <w:tc>
          <w:tcPr>
            <w:tcW w:w="1505" w:type="dxa"/>
            <w:shd w:val="clear" w:color="auto" w:fill="F2F6FC"/>
          </w:tcPr>
          <w:p w14:paraId="1508FD9B" w14:textId="77777777" w:rsidR="00AD4FA5" w:rsidRDefault="00000000">
            <w:r>
              <w:rPr>
                <w:rFonts w:ascii="Arial" w:hAnsi="Arial"/>
                <w:sz w:val="18"/>
              </w:rPr>
              <w:t>Draft committee terms of reference</w:t>
            </w:r>
          </w:p>
        </w:tc>
        <w:tc>
          <w:tcPr>
            <w:tcW w:w="1505" w:type="dxa"/>
            <w:shd w:val="clear" w:color="auto" w:fill="F2F6FC"/>
          </w:tcPr>
          <w:p w14:paraId="14F5EF37" w14:textId="77777777" w:rsidR="00AD4FA5" w:rsidRDefault="00000000">
            <w:r>
              <w:rPr>
                <w:rFonts w:ascii="Arial" w:hAnsi="Arial"/>
                <w:sz w:val="18"/>
              </w:rPr>
              <w:t>Para 6(a)(i)</w:t>
            </w:r>
          </w:p>
        </w:tc>
        <w:tc>
          <w:tcPr>
            <w:tcW w:w="1505" w:type="dxa"/>
            <w:shd w:val="clear" w:color="auto" w:fill="F2F6FC"/>
          </w:tcPr>
          <w:p w14:paraId="39E6C488" w14:textId="77777777" w:rsidR="00AD4FA5" w:rsidRDefault="00000000">
            <w:r>
              <w:rPr>
                <w:rFonts w:ascii="Arial" w:hAnsi="Arial"/>
                <w:sz w:val="18"/>
              </w:rPr>
              <w:t>0-3 months</w:t>
            </w:r>
          </w:p>
        </w:tc>
        <w:tc>
          <w:tcPr>
            <w:tcW w:w="1505" w:type="dxa"/>
            <w:shd w:val="clear" w:color="auto" w:fill="F2F6FC"/>
          </w:tcPr>
          <w:p w14:paraId="650E6E0B" w14:textId="77777777" w:rsidR="00AD4FA5" w:rsidRDefault="00000000">
            <w:r>
              <w:rPr>
                <w:rFonts w:ascii="Arial" w:hAnsi="Arial"/>
                <w:sz w:val="18"/>
              </w:rPr>
              <w:t>Corporate Secretary + Legal</w:t>
            </w:r>
          </w:p>
        </w:tc>
        <w:tc>
          <w:tcPr>
            <w:tcW w:w="1505" w:type="dxa"/>
            <w:shd w:val="clear" w:color="auto" w:fill="F2F6FC"/>
          </w:tcPr>
          <w:p w14:paraId="75A097A0" w14:textId="77777777" w:rsidR="00AD4FA5" w:rsidRDefault="00000000">
            <w:r>
              <w:rPr>
                <w:rFonts w:ascii="Arial" w:hAnsi="Arial"/>
                <w:sz w:val="18"/>
              </w:rPr>
              <w:t>ToR includes climate oversight mandate</w:t>
            </w:r>
          </w:p>
        </w:tc>
        <w:tc>
          <w:tcPr>
            <w:tcW w:w="1505" w:type="dxa"/>
            <w:shd w:val="clear" w:color="auto" w:fill="F2F6FC"/>
          </w:tcPr>
          <w:p w14:paraId="2CE5CA17" w14:textId="77777777" w:rsidR="00AD4FA5" w:rsidRDefault="00000000">
            <w:r>
              <w:rPr>
                <w:rFonts w:ascii="Arial" w:hAnsi="Arial"/>
                <w:sz w:val="18"/>
              </w:rPr>
              <w:t>BRI NOKEP 872-DIR/PPM/06/2022</w:t>
            </w:r>
          </w:p>
        </w:tc>
      </w:tr>
      <w:tr w:rsidR="00AD4FA5" w14:paraId="780AACDE" w14:textId="77777777">
        <w:trPr>
          <w:jc w:val="center"/>
        </w:trPr>
        <w:tc>
          <w:tcPr>
            <w:tcW w:w="1505" w:type="dxa"/>
          </w:tcPr>
          <w:p w14:paraId="7534E418" w14:textId="77777777" w:rsidR="00AD4FA5" w:rsidRDefault="00000000">
            <w:r>
              <w:rPr>
                <w:rFonts w:ascii="Arial" w:hAnsi="Arial"/>
                <w:sz w:val="18"/>
              </w:rPr>
              <w:t>Conduct Board climate competency assessment</w:t>
            </w:r>
          </w:p>
        </w:tc>
        <w:tc>
          <w:tcPr>
            <w:tcW w:w="1505" w:type="dxa"/>
          </w:tcPr>
          <w:p w14:paraId="091F71B8" w14:textId="77777777" w:rsidR="00AD4FA5" w:rsidRDefault="00000000">
            <w:r>
              <w:rPr>
                <w:rFonts w:ascii="Arial" w:hAnsi="Arial"/>
                <w:sz w:val="18"/>
              </w:rPr>
              <w:t>Para 6(a)(ii)</w:t>
            </w:r>
          </w:p>
        </w:tc>
        <w:tc>
          <w:tcPr>
            <w:tcW w:w="1505" w:type="dxa"/>
          </w:tcPr>
          <w:p w14:paraId="165A6335" w14:textId="77777777" w:rsidR="00AD4FA5" w:rsidRDefault="00000000">
            <w:r>
              <w:rPr>
                <w:rFonts w:ascii="Arial" w:hAnsi="Arial"/>
                <w:sz w:val="18"/>
              </w:rPr>
              <w:t>3-6 months</w:t>
            </w:r>
          </w:p>
        </w:tc>
        <w:tc>
          <w:tcPr>
            <w:tcW w:w="1505" w:type="dxa"/>
          </w:tcPr>
          <w:p w14:paraId="249CA70C" w14:textId="77777777" w:rsidR="00AD4FA5" w:rsidRDefault="00000000">
            <w:r>
              <w:rPr>
                <w:rFonts w:ascii="Arial" w:hAnsi="Arial"/>
                <w:sz w:val="18"/>
              </w:rPr>
              <w:t>Board Nomination Committee</w:t>
            </w:r>
          </w:p>
        </w:tc>
        <w:tc>
          <w:tcPr>
            <w:tcW w:w="1505" w:type="dxa"/>
          </w:tcPr>
          <w:p w14:paraId="28C13314" w14:textId="77777777" w:rsidR="00AD4FA5" w:rsidRDefault="00000000">
            <w:r>
              <w:rPr>
                <w:rFonts w:ascii="Arial" w:hAnsi="Arial"/>
                <w:sz w:val="18"/>
              </w:rPr>
              <w:t>Skills matrix completed; training plan approved</w:t>
            </w:r>
          </w:p>
        </w:tc>
        <w:tc>
          <w:tcPr>
            <w:tcW w:w="1505" w:type="dxa"/>
          </w:tcPr>
          <w:p w14:paraId="16D15731" w14:textId="77777777" w:rsidR="00AD4FA5" w:rsidRDefault="00000000">
            <w:r>
              <w:rPr>
                <w:rFonts w:ascii="Arial" w:hAnsi="Arial"/>
                <w:sz w:val="18"/>
              </w:rPr>
              <w:t>BCA annual assessment model</w:t>
            </w:r>
          </w:p>
        </w:tc>
      </w:tr>
      <w:tr w:rsidR="00AD4FA5" w14:paraId="60422992" w14:textId="77777777">
        <w:trPr>
          <w:jc w:val="center"/>
        </w:trPr>
        <w:tc>
          <w:tcPr>
            <w:tcW w:w="1505" w:type="dxa"/>
            <w:shd w:val="clear" w:color="auto" w:fill="F2F6FC"/>
          </w:tcPr>
          <w:p w14:paraId="4C96B815" w14:textId="77777777" w:rsidR="00AD4FA5" w:rsidRDefault="00000000">
            <w:r>
              <w:rPr>
                <w:rFonts w:ascii="Arial" w:hAnsi="Arial"/>
                <w:sz w:val="18"/>
              </w:rPr>
              <w:t>Implement quarterly climate reporting to Board</w:t>
            </w:r>
          </w:p>
        </w:tc>
        <w:tc>
          <w:tcPr>
            <w:tcW w:w="1505" w:type="dxa"/>
            <w:shd w:val="clear" w:color="auto" w:fill="F2F6FC"/>
          </w:tcPr>
          <w:p w14:paraId="4D20EC26" w14:textId="77777777" w:rsidR="00AD4FA5" w:rsidRDefault="00000000">
            <w:r>
              <w:rPr>
                <w:rFonts w:ascii="Arial" w:hAnsi="Arial"/>
                <w:sz w:val="18"/>
              </w:rPr>
              <w:t>Para 6(a)(iii)</w:t>
            </w:r>
          </w:p>
        </w:tc>
        <w:tc>
          <w:tcPr>
            <w:tcW w:w="1505" w:type="dxa"/>
            <w:shd w:val="clear" w:color="auto" w:fill="F2F6FC"/>
          </w:tcPr>
          <w:p w14:paraId="03104493" w14:textId="77777777" w:rsidR="00AD4FA5" w:rsidRDefault="00000000">
            <w:r>
              <w:rPr>
                <w:rFonts w:ascii="Arial" w:hAnsi="Arial"/>
                <w:sz w:val="18"/>
              </w:rPr>
              <w:t>6-9 months</w:t>
            </w:r>
          </w:p>
        </w:tc>
        <w:tc>
          <w:tcPr>
            <w:tcW w:w="1505" w:type="dxa"/>
            <w:shd w:val="clear" w:color="auto" w:fill="F2F6FC"/>
          </w:tcPr>
          <w:p w14:paraId="22237BEB" w14:textId="77777777" w:rsidR="00AD4FA5" w:rsidRDefault="00000000">
            <w:r>
              <w:rPr>
                <w:rFonts w:ascii="Arial" w:hAnsi="Arial"/>
                <w:sz w:val="18"/>
              </w:rPr>
              <w:t>Chief Risk Officer</w:t>
            </w:r>
          </w:p>
        </w:tc>
        <w:tc>
          <w:tcPr>
            <w:tcW w:w="1505" w:type="dxa"/>
            <w:shd w:val="clear" w:color="auto" w:fill="F2F6FC"/>
          </w:tcPr>
          <w:p w14:paraId="4655A8E9" w14:textId="77777777" w:rsidR="00AD4FA5" w:rsidRDefault="00000000">
            <w:r>
              <w:rPr>
                <w:rFonts w:ascii="Arial" w:hAnsi="Arial"/>
                <w:sz w:val="18"/>
              </w:rPr>
              <w:t>4 quarterly reports delivered in Year 1</w:t>
            </w:r>
          </w:p>
        </w:tc>
        <w:tc>
          <w:tcPr>
            <w:tcW w:w="1505" w:type="dxa"/>
            <w:shd w:val="clear" w:color="auto" w:fill="F2F6FC"/>
          </w:tcPr>
          <w:p w14:paraId="5F3DC883" w14:textId="77777777" w:rsidR="00AD4FA5" w:rsidRDefault="00000000">
            <w:r>
              <w:rPr>
                <w:rFonts w:ascii="Arial" w:hAnsi="Arial"/>
                <w:sz w:val="18"/>
              </w:rPr>
              <w:t>BRI/BCA quarterly cadence</w:t>
            </w:r>
          </w:p>
        </w:tc>
      </w:tr>
      <w:tr w:rsidR="00AD4FA5" w14:paraId="08516B21" w14:textId="77777777">
        <w:trPr>
          <w:jc w:val="center"/>
        </w:trPr>
        <w:tc>
          <w:tcPr>
            <w:tcW w:w="1505" w:type="dxa"/>
          </w:tcPr>
          <w:p w14:paraId="6541BA07" w14:textId="77777777" w:rsidR="00AD4FA5" w:rsidRDefault="00000000">
            <w:r>
              <w:rPr>
                <w:rFonts w:ascii="Arial" w:hAnsi="Arial"/>
                <w:sz w:val="18"/>
              </w:rPr>
              <w:t>Integrate climate into remuneration policy</w:t>
            </w:r>
          </w:p>
        </w:tc>
        <w:tc>
          <w:tcPr>
            <w:tcW w:w="1505" w:type="dxa"/>
          </w:tcPr>
          <w:p w14:paraId="258A7F47" w14:textId="77777777" w:rsidR="00AD4FA5" w:rsidRDefault="00000000">
            <w:r>
              <w:rPr>
                <w:rFonts w:ascii="Arial" w:hAnsi="Arial"/>
                <w:sz w:val="18"/>
              </w:rPr>
              <w:t>Para 29(g)</w:t>
            </w:r>
          </w:p>
        </w:tc>
        <w:tc>
          <w:tcPr>
            <w:tcW w:w="1505" w:type="dxa"/>
          </w:tcPr>
          <w:p w14:paraId="4D418D60" w14:textId="77777777" w:rsidR="00AD4FA5" w:rsidRDefault="00000000">
            <w:r>
              <w:rPr>
                <w:rFonts w:ascii="Arial" w:hAnsi="Arial"/>
                <w:sz w:val="18"/>
              </w:rPr>
              <w:t>6-12 months</w:t>
            </w:r>
          </w:p>
        </w:tc>
        <w:tc>
          <w:tcPr>
            <w:tcW w:w="1505" w:type="dxa"/>
          </w:tcPr>
          <w:p w14:paraId="66D979C2" w14:textId="77777777" w:rsidR="00AD4FA5" w:rsidRDefault="00000000">
            <w:r>
              <w:rPr>
                <w:rFonts w:ascii="Arial" w:hAnsi="Arial"/>
                <w:sz w:val="18"/>
              </w:rPr>
              <w:t>Remuneration Committee</w:t>
            </w:r>
          </w:p>
        </w:tc>
        <w:tc>
          <w:tcPr>
            <w:tcW w:w="1505" w:type="dxa"/>
          </w:tcPr>
          <w:p w14:paraId="4020F82B" w14:textId="77777777" w:rsidR="00AD4FA5" w:rsidRDefault="00000000">
            <w:r>
              <w:rPr>
                <w:rFonts w:ascii="Arial" w:hAnsi="Arial"/>
                <w:sz w:val="18"/>
              </w:rPr>
              <w:t>10-15% of exec comp linked to climate KPIs</w:t>
            </w:r>
          </w:p>
        </w:tc>
        <w:tc>
          <w:tcPr>
            <w:tcW w:w="1505" w:type="dxa"/>
          </w:tcPr>
          <w:p w14:paraId="4BDD6AA7" w14:textId="77777777" w:rsidR="00AD4FA5" w:rsidRDefault="00000000">
            <w:r>
              <w:rPr>
                <w:rFonts w:ascii="Arial" w:hAnsi="Arial"/>
                <w:sz w:val="18"/>
              </w:rPr>
              <w:t>DBS 20% linkage model</w:t>
            </w:r>
          </w:p>
        </w:tc>
      </w:tr>
      <w:tr w:rsidR="00AD4FA5" w14:paraId="710E0E39" w14:textId="77777777">
        <w:trPr>
          <w:jc w:val="center"/>
        </w:trPr>
        <w:tc>
          <w:tcPr>
            <w:tcW w:w="1505" w:type="dxa"/>
            <w:shd w:val="clear" w:color="auto" w:fill="F2F6FC"/>
          </w:tcPr>
          <w:p w14:paraId="36877807" w14:textId="77777777" w:rsidR="00AD4FA5" w:rsidRDefault="00000000">
            <w:r>
              <w:rPr>
                <w:rFonts w:ascii="Arial" w:hAnsi="Arial"/>
                <w:sz w:val="18"/>
              </w:rPr>
              <w:t>Designate management-level climate lead</w:t>
            </w:r>
          </w:p>
        </w:tc>
        <w:tc>
          <w:tcPr>
            <w:tcW w:w="1505" w:type="dxa"/>
            <w:shd w:val="clear" w:color="auto" w:fill="F2F6FC"/>
          </w:tcPr>
          <w:p w14:paraId="06147060" w14:textId="77777777" w:rsidR="00AD4FA5" w:rsidRDefault="00000000">
            <w:r>
              <w:rPr>
                <w:rFonts w:ascii="Arial" w:hAnsi="Arial"/>
                <w:sz w:val="18"/>
              </w:rPr>
              <w:t>Para 6(b)(i)</w:t>
            </w:r>
          </w:p>
        </w:tc>
        <w:tc>
          <w:tcPr>
            <w:tcW w:w="1505" w:type="dxa"/>
            <w:shd w:val="clear" w:color="auto" w:fill="F2F6FC"/>
          </w:tcPr>
          <w:p w14:paraId="5927BF75" w14:textId="77777777" w:rsidR="00AD4FA5" w:rsidRDefault="00000000">
            <w:r>
              <w:rPr>
                <w:rFonts w:ascii="Arial" w:hAnsi="Arial"/>
                <w:sz w:val="18"/>
              </w:rPr>
              <w:t>0-6 months</w:t>
            </w:r>
          </w:p>
        </w:tc>
        <w:tc>
          <w:tcPr>
            <w:tcW w:w="1505" w:type="dxa"/>
            <w:shd w:val="clear" w:color="auto" w:fill="F2F6FC"/>
          </w:tcPr>
          <w:p w14:paraId="64E8C843" w14:textId="77777777" w:rsidR="00AD4FA5" w:rsidRDefault="00000000">
            <w:r>
              <w:rPr>
                <w:rFonts w:ascii="Arial" w:hAnsi="Arial"/>
                <w:sz w:val="18"/>
              </w:rPr>
              <w:t>CEO</w:t>
            </w:r>
          </w:p>
        </w:tc>
        <w:tc>
          <w:tcPr>
            <w:tcW w:w="1505" w:type="dxa"/>
            <w:shd w:val="clear" w:color="auto" w:fill="F2F6FC"/>
          </w:tcPr>
          <w:p w14:paraId="5157AD99" w14:textId="77777777" w:rsidR="00AD4FA5" w:rsidRDefault="00000000">
            <w:r>
              <w:rPr>
                <w:rFonts w:ascii="Arial" w:hAnsi="Arial"/>
                <w:sz w:val="18"/>
              </w:rPr>
              <w:t>CRO or equivalent with climate mandate</w:t>
            </w:r>
          </w:p>
        </w:tc>
        <w:tc>
          <w:tcPr>
            <w:tcW w:w="1505" w:type="dxa"/>
            <w:shd w:val="clear" w:color="auto" w:fill="F2F6FC"/>
          </w:tcPr>
          <w:p w14:paraId="2BAB98B4" w14:textId="77777777" w:rsidR="00AD4FA5" w:rsidRDefault="00000000">
            <w:r>
              <w:rPr>
                <w:rFonts w:ascii="Arial" w:hAnsi="Arial"/>
                <w:sz w:val="18"/>
              </w:rPr>
              <w:t>DBS Chief Sustainability Officer</w:t>
            </w:r>
          </w:p>
        </w:tc>
      </w:tr>
      <w:tr w:rsidR="00AD4FA5" w14:paraId="514DD8FB" w14:textId="77777777">
        <w:trPr>
          <w:jc w:val="center"/>
        </w:trPr>
        <w:tc>
          <w:tcPr>
            <w:tcW w:w="1505" w:type="dxa"/>
          </w:tcPr>
          <w:p w14:paraId="4344A2EF" w14:textId="77777777" w:rsidR="00AD4FA5" w:rsidRDefault="00000000">
            <w:r>
              <w:rPr>
                <w:rFonts w:ascii="Arial" w:hAnsi="Arial"/>
                <w:sz w:val="18"/>
              </w:rPr>
              <w:t>Establish Climate Risk Working Group</w:t>
            </w:r>
          </w:p>
        </w:tc>
        <w:tc>
          <w:tcPr>
            <w:tcW w:w="1505" w:type="dxa"/>
          </w:tcPr>
          <w:p w14:paraId="3B2B78FA" w14:textId="77777777" w:rsidR="00AD4FA5" w:rsidRDefault="00000000">
            <w:r>
              <w:rPr>
                <w:rFonts w:ascii="Arial" w:hAnsi="Arial"/>
                <w:sz w:val="18"/>
              </w:rPr>
              <w:t>Para 6(b)(ii)</w:t>
            </w:r>
          </w:p>
        </w:tc>
        <w:tc>
          <w:tcPr>
            <w:tcW w:w="1505" w:type="dxa"/>
          </w:tcPr>
          <w:p w14:paraId="0DCCD39C" w14:textId="77777777" w:rsidR="00AD4FA5" w:rsidRDefault="00000000">
            <w:r>
              <w:rPr>
                <w:rFonts w:ascii="Arial" w:hAnsi="Arial"/>
                <w:sz w:val="18"/>
              </w:rPr>
              <w:t>3-9 months</w:t>
            </w:r>
          </w:p>
        </w:tc>
        <w:tc>
          <w:tcPr>
            <w:tcW w:w="1505" w:type="dxa"/>
          </w:tcPr>
          <w:p w14:paraId="05DEB169" w14:textId="77777777" w:rsidR="00AD4FA5" w:rsidRDefault="00000000">
            <w:r>
              <w:rPr>
                <w:rFonts w:ascii="Arial" w:hAnsi="Arial"/>
                <w:sz w:val="18"/>
              </w:rPr>
              <w:t>Chief Risk Officer</w:t>
            </w:r>
          </w:p>
        </w:tc>
        <w:tc>
          <w:tcPr>
            <w:tcW w:w="1505" w:type="dxa"/>
          </w:tcPr>
          <w:p w14:paraId="4B48C34A" w14:textId="77777777" w:rsidR="00AD4FA5" w:rsidRDefault="00000000">
            <w:r>
              <w:rPr>
                <w:rFonts w:ascii="Arial" w:hAnsi="Arial"/>
                <w:sz w:val="18"/>
              </w:rPr>
              <w:t>Cross-functional group with monthly meetings</w:t>
            </w:r>
          </w:p>
        </w:tc>
        <w:tc>
          <w:tcPr>
            <w:tcW w:w="1505" w:type="dxa"/>
          </w:tcPr>
          <w:p w14:paraId="4178C5EC" w14:textId="77777777" w:rsidR="00AD4FA5" w:rsidRDefault="00000000">
            <w:r>
              <w:rPr>
                <w:rFonts w:ascii="Arial" w:hAnsi="Arial"/>
                <w:sz w:val="18"/>
              </w:rPr>
              <w:t>BRI cross-functional ESG Committee</w:t>
            </w:r>
          </w:p>
        </w:tc>
      </w:tr>
      <w:tr w:rsidR="00AD4FA5" w14:paraId="146C3CD4" w14:textId="77777777">
        <w:trPr>
          <w:jc w:val="center"/>
        </w:trPr>
        <w:tc>
          <w:tcPr>
            <w:tcW w:w="1505" w:type="dxa"/>
            <w:shd w:val="clear" w:color="auto" w:fill="F2F6FC"/>
          </w:tcPr>
          <w:p w14:paraId="328A04C1" w14:textId="77777777" w:rsidR="00AD4FA5" w:rsidRDefault="00000000">
            <w:r>
              <w:rPr>
                <w:rFonts w:ascii="Arial" w:hAnsi="Arial"/>
                <w:sz w:val="18"/>
              </w:rPr>
              <w:t>Document governance structure in manual</w:t>
            </w:r>
          </w:p>
        </w:tc>
        <w:tc>
          <w:tcPr>
            <w:tcW w:w="1505" w:type="dxa"/>
            <w:shd w:val="clear" w:color="auto" w:fill="F2F6FC"/>
          </w:tcPr>
          <w:p w14:paraId="73E52558" w14:textId="77777777" w:rsidR="00AD4FA5" w:rsidRDefault="00000000">
            <w:r>
              <w:rPr>
                <w:rFonts w:ascii="Arial" w:hAnsi="Arial"/>
                <w:sz w:val="18"/>
              </w:rPr>
              <w:t>Para 6</w:t>
            </w:r>
          </w:p>
        </w:tc>
        <w:tc>
          <w:tcPr>
            <w:tcW w:w="1505" w:type="dxa"/>
            <w:shd w:val="clear" w:color="auto" w:fill="F2F6FC"/>
          </w:tcPr>
          <w:p w14:paraId="38D69AE1" w14:textId="77777777" w:rsidR="00AD4FA5" w:rsidRDefault="00000000">
            <w:r>
              <w:rPr>
                <w:rFonts w:ascii="Arial" w:hAnsi="Arial"/>
                <w:sz w:val="18"/>
              </w:rPr>
              <w:t>9-12 months</w:t>
            </w:r>
          </w:p>
        </w:tc>
        <w:tc>
          <w:tcPr>
            <w:tcW w:w="1505" w:type="dxa"/>
            <w:shd w:val="clear" w:color="auto" w:fill="F2F6FC"/>
          </w:tcPr>
          <w:p w14:paraId="1C007199" w14:textId="77777777" w:rsidR="00AD4FA5" w:rsidRDefault="00000000">
            <w:r>
              <w:rPr>
                <w:rFonts w:ascii="Arial" w:hAnsi="Arial"/>
                <w:sz w:val="18"/>
              </w:rPr>
              <w:t>Corporate Secretary</w:t>
            </w:r>
          </w:p>
        </w:tc>
        <w:tc>
          <w:tcPr>
            <w:tcW w:w="1505" w:type="dxa"/>
            <w:shd w:val="clear" w:color="auto" w:fill="F2F6FC"/>
          </w:tcPr>
          <w:p w14:paraId="5812B579" w14:textId="77777777" w:rsidR="00AD4FA5" w:rsidRDefault="00000000">
            <w:r>
              <w:rPr>
                <w:rFonts w:ascii="Arial" w:hAnsi="Arial"/>
                <w:sz w:val="18"/>
              </w:rPr>
              <w:t>Governance manual updated; disclosed in report</w:t>
            </w:r>
          </w:p>
        </w:tc>
        <w:tc>
          <w:tcPr>
            <w:tcW w:w="1505" w:type="dxa"/>
            <w:shd w:val="clear" w:color="auto" w:fill="F2F6FC"/>
          </w:tcPr>
          <w:p w14:paraId="60C8DA51" w14:textId="77777777" w:rsidR="00AD4FA5" w:rsidRDefault="00000000">
            <w:r>
              <w:rPr>
                <w:rFonts w:ascii="Arial" w:hAnsi="Arial"/>
                <w:sz w:val="18"/>
              </w:rPr>
              <w:t>BCA governance documentation</w:t>
            </w:r>
          </w:p>
        </w:tc>
      </w:tr>
    </w:tbl>
    <w:p w14:paraId="17665DF8" w14:textId="77777777" w:rsidR="00AD4FA5" w:rsidRDefault="00000000">
      <w:r>
        <w:rPr>
          <w:rFonts w:ascii="Arial" w:hAnsi="Arial"/>
          <w:i/>
          <w:sz w:val="16"/>
        </w:rPr>
        <w:t>Source: Implementation timeline assumes resource availability and Board approval processes. Peer models provide proven frameworks for accelerated implementation.</w:t>
      </w:r>
    </w:p>
    <w:p w14:paraId="4D2FBB79" w14:textId="77777777" w:rsidR="00AD4FA5" w:rsidRDefault="00AD4FA5"/>
    <w:p w14:paraId="3B37FCA1" w14:textId="77777777" w:rsidR="00AD4FA5" w:rsidRDefault="00000000">
      <w:r>
        <w:rPr>
          <w:i/>
          <w:color w:val="3D6094"/>
          <w:sz w:val="18"/>
        </w:rPr>
        <w:lastRenderedPageBreak/>
        <w:t>Framework references: IFRS S2 Para 6 — Governance disclosure requirements; IFRS S2 Para 6(a) — Governing body oversight of climate-related risks and opportunities; IFRS S2 Para 6(a)(i) — Terms of reference and mandates; IFRS S2 Para 6(a)(ii) — Climate skills and competencies; IFRS S2 Para 6(a)(iii) — Frequency of climate risk review; IFRS S2 Para 6(a)(iv) — Integration into strategy and major transactions; IFRS S2 Para 6(a)(v) — Target oversight and monitoring; IFRS S2 Para 6(b) — Management role in governance processes; IFRS S2 Para 6(b)(i) — Delegation to management positions/committees; IFRS S2 Para 6(b)(ii) — Integration of controls with internal functions; IFRS S2 Para 29(g) — Climate performance metrics in remuneration policies; IFRS S2 Para 7 — Avoidance of unnecessary duplication; GRI 2-12 — Role of highest governance body in sustainability oversight; GRI 2-13 — Delegation of responsibility for managing impacts; CSRD ESRS 2 GOV-3 — Integration of sustainability performance in incentive schemes; OJK PSPK — Board-level sustainability committee requirement for listed financial institutions</w:t>
      </w:r>
    </w:p>
    <w:p w14:paraId="6DE38700" w14:textId="77777777" w:rsidR="00AD4FA5" w:rsidRDefault="00AD4FA5">
      <w:pPr>
        <w:pBdr>
          <w:bottom w:val="single" w:sz="6" w:space="1" w:color="999999"/>
        </w:pBdr>
        <w:spacing w:after="80"/>
      </w:pPr>
    </w:p>
    <w:p w14:paraId="4CBEF506" w14:textId="77777777" w:rsidR="00AD4FA5" w:rsidRDefault="00000000">
      <w:pPr>
        <w:spacing w:after="160"/>
        <w:jc w:val="both"/>
      </w:pPr>
      <w:r>
        <w:rPr>
          <w:rFonts w:ascii="Arial" w:hAnsi="Arial"/>
          <w:i/>
          <w:color w:val="646464"/>
          <w:sz w:val="18"/>
        </w:rPr>
        <w:t>Governance data infrastructure is under development. Target: Full IFRS S2 governance disclosure by 2025 reporting period.</w:t>
      </w:r>
    </w:p>
    <w:p w14:paraId="54CAC1EB" w14:textId="77777777" w:rsidR="00AD4FA5" w:rsidRDefault="00000000">
      <w:pPr>
        <w:spacing w:after="160"/>
        <w:jc w:val="both"/>
      </w:pPr>
      <w:r>
        <w:rPr>
          <w:rFonts w:ascii="Arial" w:hAnsi="Arial"/>
          <w:i/>
          <w:color w:val="646464"/>
          <w:sz w:val="18"/>
        </w:rPr>
        <w:t>Peer benchmark data sourced from publicly available sustainability reports: BRI ESG Report 2023, BCA Sustainability Report 2025, DBS Sustainability Report 2023, Bank Mandiri Sustainability Report 2023.</w:t>
      </w:r>
    </w:p>
    <w:p w14:paraId="017E2CF1" w14:textId="77777777" w:rsidR="00AD4FA5" w:rsidRDefault="00000000">
      <w:pPr>
        <w:spacing w:after="160"/>
        <w:jc w:val="both"/>
      </w:pPr>
      <w:r>
        <w:rPr>
          <w:rFonts w:ascii="Arial" w:hAnsi="Arial"/>
          <w:i/>
          <w:color w:val="646464"/>
          <w:sz w:val="18"/>
        </w:rPr>
        <w:t>IFRS S2 paragraph references: Para 6 (governance disclosure requirements), Para 6(a) (governing body oversight), Para 6(b) (management role), Para 29(g) (remuneration linkage).</w:t>
      </w:r>
    </w:p>
    <w:p w14:paraId="608EC17C" w14:textId="77777777" w:rsidR="00AD4FA5" w:rsidRDefault="00000000">
      <w:pPr>
        <w:spacing w:after="160"/>
        <w:jc w:val="both"/>
      </w:pPr>
      <w:r>
        <w:rPr>
          <w:rFonts w:ascii="Arial" w:hAnsi="Arial"/>
          <w:i/>
          <w:color w:val="646464"/>
          <w:sz w:val="18"/>
        </w:rPr>
        <w:t>OJK PSPK regulations require board-level sustainability committee for listed financial institutions in Indonesia. Compliance timeline should align with regulatory expectations.</w:t>
      </w:r>
    </w:p>
    <w:p w14:paraId="5FA1AB21" w14:textId="77777777" w:rsidR="00AD4FA5" w:rsidRDefault="00000000">
      <w:pPr>
        <w:spacing w:after="160"/>
        <w:jc w:val="both"/>
      </w:pPr>
      <w:r>
        <w:rPr>
          <w:rFonts w:ascii="Arial" w:hAnsi="Arial"/>
          <w:i/>
          <w:color w:val="646464"/>
          <w:sz w:val="18"/>
        </w:rPr>
        <w:t>Recommended governance structure prioritizes quick wins (committee establishment, management designation) while building toward comprehensive framework (remuneration linkage, competency development) over 12-month implementation period.</w:t>
      </w:r>
    </w:p>
    <w:p w14:paraId="582F0AAC" w14:textId="77777777" w:rsidR="00AD4FA5" w:rsidRDefault="00000000">
      <w:r>
        <w:br w:type="page"/>
      </w:r>
    </w:p>
    <w:p w14:paraId="1FB941BA" w14:textId="77777777" w:rsidR="00AD4FA5" w:rsidRDefault="00000000">
      <w:pPr>
        <w:pStyle w:val="Heading1"/>
        <w:spacing w:after="240"/>
      </w:pPr>
      <w:bookmarkStart w:id="9" w:name="_Toc231979672"/>
      <w:r>
        <w:rPr>
          <w:rFonts w:ascii="Arial" w:hAnsi="Arial"/>
          <w:color w:val="1B3A6B"/>
          <w:sz w:val="36"/>
        </w:rPr>
        <w:lastRenderedPageBreak/>
        <w:t>IFRS S2 Metrics &amp; Targets: Financed Emissions (Scope 3 Category 15)</w:t>
      </w:r>
      <w:bookmarkEnd w:id="9"/>
    </w:p>
    <w:p w14:paraId="211B3CDC" w14:textId="77777777" w:rsidR="00AD4FA5" w:rsidRDefault="00000000">
      <w:pPr>
        <w:spacing w:after="160"/>
        <w:jc w:val="both"/>
      </w:pPr>
      <w:r>
        <w:rPr>
          <w:rFonts w:ascii="Arial" w:hAnsi="Arial"/>
        </w:rPr>
        <w:t>The institution's financed emissions for the reporting period ending 31 December 2024 totaled 21,976,797.3 tCO2e on a gross basis, calculated in accordance with the Partnership for Carbon Accounting Financials (PCAF) Global GHG Accounting and Reporting Standard (2022). This figure represents the absolute greenhouse gas emissions attributable to the institution's lending and investment portfolio across all financed asset classes. The confidence-weighted financed emissions, adjusted for data quality using PCAF confidence factors, totaled 15,280,174.14 tCO2e for the same period. The institution reports financed emissions as an industry-based metric under SASB FN-CB-410a.3, fulfilling the disclosure requirement in IFRS S2 paragraph 29(a)(vi)(2) for financial institutions with commercial banking activities.</w:t>
      </w:r>
    </w:p>
    <w:p w14:paraId="2CFA97EB" w14:textId="77777777" w:rsidR="00AD4FA5" w:rsidRDefault="00000000">
      <w:pPr>
        <w:spacing w:after="160"/>
        <w:jc w:val="both"/>
      </w:pPr>
      <w:r>
        <w:rPr>
          <w:rFonts w:ascii="Arial" w:hAnsi="Arial"/>
          <w:i/>
        </w:rPr>
        <w:t>The PCAF methodology applies an attribution factor to allocate a borrower's total enterprise emissions to the institution's financing exposure. The attribution factor is calculated as: (Outstanding Amount ÷ Total Enterprise Value including Cash) × Borrower's Total Emissions. For corporate loans, the institution uses the enterprise value approach, incorporating both debt and equity in the denominator to reflect proportional financing responsibility. The confidence-weighted emissions apply PCAF data quality scores ranging from 1.00 (verified reported data) to 0.45 (sector-average proxy), with the portfolio-weighted average confidence factor of 0.695 derived from the average PCAF data quality score of 3.36. The institution's financed emissions calculation covers 10 NACE-classified sectors representing 100% of the commercial lending portfolio by outstanding value.</w:t>
      </w:r>
    </w:p>
    <w:p w14:paraId="24A2DD9A" w14:textId="77777777" w:rsidR="00AD4FA5" w:rsidRDefault="00000000">
      <w:pPr>
        <w:spacing w:after="160"/>
        <w:jc w:val="both"/>
      </w:pPr>
      <w:r>
        <w:rPr>
          <w:rFonts w:ascii="Arial" w:hAnsi="Arial"/>
        </w:rPr>
        <w:t>Three sectors account for 85.93% of total gross financed emissions despite representing only 20.70% of portfolio value, demonstrating significant concentration in carbon-intensive industries. The Energy - Oil &amp; Gas sector contributes 9,573,144.27 tCO2e gross (43.56% of total financed emissions) from IDR 102.67 trillion in outstanding loans, with an emission intensity of 93.242 tCO2e per IDR billion and an average PCAF data quality score of 3.32. The Manufacturing - Cement sector contributes 5,813,830.91 tCO2e gross (26.45%) from IDR 107.68 trillion in loans, with emission intensity of 53.9927 tCO2e per IDR billion and PCAF score of 3.40. The Manufacturing - Steel sector contributes 3,499,463.0 tCO2e gross (15.92%) from IDR 108.62 trillion, with emission intensity of 32.2175 tCO2e per IDR billion and PCAF score of 3.35. Conversely, the Financial Services sector represents 13.41% of portfolio value but contributes only 0.34% of financed emissions, with the lowest emission intensity of 0.3567 tCO2e per IDR billion.</w:t>
      </w:r>
    </w:p>
    <w:p w14:paraId="171C1E83" w14:textId="77777777" w:rsidR="00AD4FA5" w:rsidRDefault="00000000">
      <w:pPr>
        <w:spacing w:after="160"/>
        <w:jc w:val="both"/>
      </w:pPr>
      <w:r>
        <w:rPr>
          <w:rFonts w:ascii="Arial" w:hAnsi="Arial"/>
        </w:rPr>
        <w:t>The distinction between gross and confidence-weighted financed emissions reflects data quality variability across the portfolio. Gross financed emissions of 21,976,797.3 tCO2e represent the unadjusted attribution of borrower emissions based on financing exposure, assuming perfect data availability. Confidence-weighted financed emissions of 15,280,174.14 tCO2e apply PCAF confidence factors to account for estimation uncertainty, resulting in a 30.47% reduction from the gross figure. This adjustment reflects the institution's reliance on PCAF data quality tiers 3-4 (EEIO-based estimates) for the majority of the portfolio, with limited access to borrower-reported emissions data. The weighted figure provides a more conservative estimate of climate-related financial exposure, acknowledging measurement uncertainty inherent in proxy-based methodologies.</w:t>
      </w:r>
    </w:p>
    <w:p w14:paraId="2CCB3898" w14:textId="77777777" w:rsidR="00AD4FA5" w:rsidRDefault="00000000">
      <w:pPr>
        <w:spacing w:after="160"/>
        <w:jc w:val="both"/>
      </w:pPr>
      <w:r>
        <w:rPr>
          <w:rFonts w:ascii="Arial" w:hAnsi="Arial"/>
        </w:rPr>
        <w:lastRenderedPageBreak/>
        <w:t>The portfolio-weighted average PCAF data quality score of 3.36 indicates moderate reliance on economic input-output models combined with borrower revenue or asset data. This score reflects data availability constraints in the Indonesian market, where corporate emissions disclosure remains voluntary for most sectors. The institution has not yet achieved PCAF's recommended threshold of 2.5 or below for high-quality financed emissions data. Sector-level data quality varies from 3.21 (Retail Trade) to 3.42 (Financial Services), with no sector achieving tier 1-2 data quality (verified or reported emissions). The institution's financed emissions calculation covers 100% of the commercial lending portfolio by outstanding value, meeting PCAF's minimum coverage requirement for signatory institutions.</w:t>
      </w:r>
    </w:p>
    <w:p w14:paraId="0B46F11E" w14:textId="77777777" w:rsidR="00AD4FA5" w:rsidRDefault="00000000">
      <w:pPr>
        <w:spacing w:after="160"/>
        <w:jc w:val="both"/>
      </w:pPr>
      <w:r>
        <w:rPr>
          <w:rFonts w:ascii="Arial" w:hAnsi="Arial"/>
          <w:i/>
          <w:color w:val="555555"/>
        </w:rPr>
        <w:t>The institution has established a three-year data quality improvement roadmap targeting a portfolio-weighted PCAF score of 2.8 by 2027. Phase 1 (2025) focuses on direct borrower engagement with the top 50 emitters by financed emissions, requesting CDP disclosure or equivalent verified emissions data. Phase 2 (2026) implements sector-specific data collection protocols for Energy, Manufacturing - Cement, and Manufacturing - Steel sectors, leveraging industry associations and regulatory reporting where available. Phase 3 (2027) integrates emissions data requirements into credit origination systems, making PCAF tier 2 data (reported, unverified) a standard covenant for new loans exceeding IDR 50 billion in carbon-intensive sectors. This roadmap aligns with peer institution practices, referencing BRI's science-based target commitment and DBS's renewable energy procurement strategy as benchmarks for portfolio decarbonization.</w:t>
      </w:r>
    </w:p>
    <w:p w14:paraId="3B9CD3D5" w14:textId="77777777" w:rsidR="00AD4FA5" w:rsidRDefault="00000000">
      <w:pPr>
        <w:spacing w:after="160"/>
        <w:jc w:val="both"/>
      </w:pPr>
      <w:r>
        <w:rPr>
          <w:rFonts w:ascii="Arial" w:hAnsi="Arial"/>
        </w:rPr>
        <w:t>**Advisory Recommendations:**</w:t>
      </w:r>
      <w:r>
        <w:rPr>
          <w:rFonts w:ascii="Arial" w:hAnsi="Arial"/>
        </w:rPr>
        <w:br/>
      </w:r>
      <w:r>
        <w:rPr>
          <w:rFonts w:ascii="Arial" w:hAnsi="Arial"/>
        </w:rPr>
        <w:br/>
        <w:t>**Finding 1: Data Quality Below Peer Benchmark**</w:t>
      </w:r>
      <w:r>
        <w:rPr>
          <w:rFonts w:ascii="Arial" w:hAnsi="Arial"/>
        </w:rPr>
        <w:br/>
        <w:t>The portfolio-weighted PCAF score of 3.36 exceeds the recommended threshold of 2.5 and lags peer institutions with established borrower engagement programs. The institution lacks direct access to borrower-reported emissions for 100% of the portfolio, relying entirely on EEIO-based proxies.</w:t>
      </w:r>
      <w:r>
        <w:rPr>
          <w:rFonts w:ascii="Arial" w:hAnsi="Arial"/>
        </w:rPr>
        <w:br/>
      </w:r>
      <w:r>
        <w:rPr>
          <w:rFonts w:ascii="Arial" w:hAnsi="Arial"/>
        </w:rPr>
        <w:br/>
        <w:t>**Benchmark**: BRI has committed to Science-Based Targets initiative (SBTi) as the first Indonesian financial institution, requiring portfolio temperature alignment of 1.75°C by 2040. This commitment necessitates PCAF tier 1-2 data for at least 67% of financed emissions by 2030 per SBTi Financial Sector guidance.</w:t>
      </w:r>
      <w:r>
        <w:rPr>
          <w:rFonts w:ascii="Arial" w:hAnsi="Arial"/>
        </w:rPr>
        <w:br/>
      </w:r>
      <w:r>
        <w:rPr>
          <w:rFonts w:ascii="Arial" w:hAnsi="Arial"/>
        </w:rPr>
        <w:br/>
        <w:t>**Recommendation**: Implement mandatory emissions disclosure covenant for new loans &gt;IDR 50 billion in Energy, Manufacturing - Cement, and Manufacturing - Steel sectors (representing 85.93% of financed emissions). Require borrowers to submit annual emissions data verified by third party or reported via CDP platform. Offer 5-10 basis point interest rate discount for borrowers achieving PCAF tier 1-2 data quality, creating financial incentive for disclosure.</w:t>
      </w:r>
      <w:r>
        <w:rPr>
          <w:rFonts w:ascii="Arial" w:hAnsi="Arial"/>
        </w:rPr>
        <w:br/>
      </w:r>
      <w:r>
        <w:rPr>
          <w:rFonts w:ascii="Arial" w:hAnsi="Arial"/>
        </w:rPr>
        <w:br/>
        <w:t>**Reference**: BCA applies sectoral credit policies for coal, palm oil, cement, and oil &amp; gas with enhanced ESG due diligence requirements. BRI's Green Network program includes client engagement on emissions reduction, supporting data quality improvement.</w:t>
      </w:r>
      <w:r>
        <w:rPr>
          <w:rFonts w:ascii="Arial" w:hAnsi="Arial"/>
        </w:rPr>
        <w:br/>
      </w:r>
      <w:r>
        <w:rPr>
          <w:rFonts w:ascii="Arial" w:hAnsi="Arial"/>
        </w:rPr>
        <w:br/>
        <w:t>**Priority**: High — addresses 85.93% of financed emissions with targeted intervention in three sectors.</w:t>
      </w:r>
      <w:r>
        <w:rPr>
          <w:rFonts w:ascii="Arial" w:hAnsi="Arial"/>
        </w:rPr>
        <w:br/>
      </w:r>
      <w:r>
        <w:rPr>
          <w:rFonts w:ascii="Arial" w:hAnsi="Arial"/>
        </w:rPr>
        <w:lastRenderedPageBreak/>
        <w:br/>
        <w:t>---</w:t>
      </w:r>
      <w:r>
        <w:rPr>
          <w:rFonts w:ascii="Arial" w:hAnsi="Arial"/>
        </w:rPr>
        <w:br/>
      </w:r>
      <w:r>
        <w:rPr>
          <w:rFonts w:ascii="Arial" w:hAnsi="Arial"/>
        </w:rPr>
        <w:br/>
        <w:t>**Finding 2: Sector Concentration Risk**</w:t>
      </w:r>
      <w:r>
        <w:rPr>
          <w:rFonts w:ascii="Arial" w:hAnsi="Arial"/>
        </w:rPr>
        <w:br/>
        <w:t>Three carbon-intensive sectors (Energy - Oil &amp; Gas, Manufacturing - Cement, Manufacturing - Steel) represent 85.93% of financed emissions but only 20.70% of portfolio value, creating transition risk concentration. The Energy - Oil &amp; Gas sector alone accounts for 43.56% of financed emissions from 6.66% of portfolio exposure.</w:t>
      </w:r>
      <w:r>
        <w:rPr>
          <w:rFonts w:ascii="Arial" w:hAnsi="Arial"/>
        </w:rPr>
        <w:br/>
      </w:r>
      <w:r>
        <w:rPr>
          <w:rFonts w:ascii="Arial" w:hAnsi="Arial"/>
        </w:rPr>
        <w:br/>
        <w:t>**Benchmark**: BCA has established sectoral credit policies limiting exposure to coal mining, coal-fired power generation, and palm oil sectors with phase-down targets. DBS achieved 62% renewable energy procurement and 12% year-over-year emissions reduction through portfolio rebalancing.</w:t>
      </w:r>
      <w:r>
        <w:rPr>
          <w:rFonts w:ascii="Arial" w:hAnsi="Arial"/>
        </w:rPr>
        <w:br/>
      </w:r>
      <w:r>
        <w:rPr>
          <w:rFonts w:ascii="Arial" w:hAnsi="Arial"/>
        </w:rPr>
        <w:br/>
        <w:t>**Recommendation**: Establish sector-specific financed emissions intensity targets for 2030: Energy - Oil &amp; Gas ≤70 tCO2e/IDR billion (25% reduction from current 93.242), Manufacturing - Cement ≤40 tCO2e/IDR billion (26% reduction from 53.9927), Manufacturing - Steel ≤25 tCO2e/IDR billion (22% reduction from 32.2175). Implement annual portfolio review with credit committee to assess progress toward intensity targets, with authority to adjust sector exposure limits if targets are not met.</w:t>
      </w:r>
      <w:r>
        <w:rPr>
          <w:rFonts w:ascii="Arial" w:hAnsi="Arial"/>
        </w:rPr>
        <w:br/>
      </w:r>
      <w:r>
        <w:rPr>
          <w:rFonts w:ascii="Arial" w:hAnsi="Arial"/>
        </w:rPr>
        <w:br/>
        <w:t>**Reference**: BRI's SBTi commitment includes portfolio temperature alignment target of 1.75°C by 2040, requiring sector-specific decarbonization pathways. BCA's Sustainability Awareness Month includes Board-level training on transition risk management.</w:t>
      </w:r>
      <w:r>
        <w:rPr>
          <w:rFonts w:ascii="Arial" w:hAnsi="Arial"/>
        </w:rPr>
        <w:br/>
      </w:r>
      <w:r>
        <w:rPr>
          <w:rFonts w:ascii="Arial" w:hAnsi="Arial"/>
        </w:rPr>
        <w:br/>
        <w:t>**Priority**: High — mitigates concentration risk in sectors vulnerable to carbon pricing and regulatory phase-outs.</w:t>
      </w:r>
      <w:r>
        <w:rPr>
          <w:rFonts w:ascii="Arial" w:hAnsi="Arial"/>
        </w:rPr>
        <w:br/>
      </w:r>
      <w:r>
        <w:rPr>
          <w:rFonts w:ascii="Arial" w:hAnsi="Arial"/>
        </w:rPr>
        <w:br/>
        <w:t>---</w:t>
      </w:r>
      <w:r>
        <w:rPr>
          <w:rFonts w:ascii="Arial" w:hAnsi="Arial"/>
        </w:rPr>
        <w:br/>
      </w:r>
      <w:r>
        <w:rPr>
          <w:rFonts w:ascii="Arial" w:hAnsi="Arial"/>
        </w:rPr>
        <w:br/>
        <w:t>**Finding 3: Absence of Year-over-Year Trend Analysis**</w:t>
      </w:r>
      <w:r>
        <w:rPr>
          <w:rFonts w:ascii="Arial" w:hAnsi="Arial"/>
        </w:rPr>
        <w:br/>
        <w:t>The institution has not established a baseline year for financed emissions tracking, preventing assessment of portfolio decarbonization progress. Without multi-year trend data, the institution cannot demonstrate alignment with Paris Agreement goals or respond to investor inquiries on portfolio temperature.</w:t>
      </w:r>
      <w:r>
        <w:rPr>
          <w:rFonts w:ascii="Arial" w:hAnsi="Arial"/>
        </w:rPr>
        <w:br/>
      </w:r>
      <w:r>
        <w:rPr>
          <w:rFonts w:ascii="Arial" w:hAnsi="Arial"/>
        </w:rPr>
        <w:br/>
        <w:t>**Benchmark**: BRI has committed to SBTi with portfolio temperature target of 1.75°C by 2040, requiring annual progress reporting against 2020 baseline. DBS reports 12% year-over-year emissions reduction in 2023 sustainability report.</w:t>
      </w:r>
      <w:r>
        <w:rPr>
          <w:rFonts w:ascii="Arial" w:hAnsi="Arial"/>
        </w:rPr>
        <w:br/>
      </w:r>
      <w:r>
        <w:rPr>
          <w:rFonts w:ascii="Arial" w:hAnsi="Arial"/>
        </w:rPr>
        <w:br/>
        <w:t>**Recommendation**: Designate 2024 as baseline year for financed emissions tracking. Establish 2030 interim target of 25% reduction in financed emissions intensity (tCO2e per IDR billion) from 2024 baseline of 239.400139, aligned with 1.5°C pathway per SBTi Financial Sector guidance. Submit Letter of Commitment to SBTi by Q4 2025, with full target validation by Q4 2026. Publish annual financed emissions disclosure in sustainability report with year-over-year variance analysis and attribution to portfolio composition changes vs. borrower emissions reductions.</w:t>
      </w:r>
      <w:r>
        <w:rPr>
          <w:rFonts w:ascii="Arial" w:hAnsi="Arial"/>
        </w:rPr>
        <w:br/>
      </w:r>
      <w:r>
        <w:rPr>
          <w:rFonts w:ascii="Arial" w:hAnsi="Arial"/>
        </w:rPr>
        <w:br/>
      </w:r>
      <w:r>
        <w:rPr>
          <w:rFonts w:ascii="Arial" w:hAnsi="Arial"/>
        </w:rPr>
        <w:lastRenderedPageBreak/>
        <w:t>**Reference**: BRI is the first Indonesian financial institution to commit to SBTi, demonstrating feasibility of science-based target setting in the domestic market. BCA publishes annual sustainability report with GRI and TCFD alignment, including climate-related metrics.</w:t>
      </w:r>
      <w:r>
        <w:rPr>
          <w:rFonts w:ascii="Arial" w:hAnsi="Arial"/>
        </w:rPr>
        <w:br/>
      </w:r>
      <w:r>
        <w:rPr>
          <w:rFonts w:ascii="Arial" w:hAnsi="Arial"/>
        </w:rPr>
        <w:br/>
        <w:t>**Priority**: Medium — establishes long-term credibility with investors and regulators, but requires 12-18 month implementation timeline for SBTi validation process.</w:t>
      </w:r>
    </w:p>
    <w:p w14:paraId="0A77543F" w14:textId="77777777" w:rsidR="00AD4FA5" w:rsidRDefault="00000000">
      <w:r>
        <w:rPr>
          <w:rFonts w:ascii="Arial" w:hAnsi="Arial"/>
          <w:b/>
          <w:sz w:val="20"/>
        </w:rPr>
        <w:t>Table 1: Financed Emissions by Sector (Top 5 by Gross Emissions) — PCAF Category 15</w:t>
      </w:r>
    </w:p>
    <w:tbl>
      <w:tblPr>
        <w:tblW w:w="0" w:type="auto"/>
        <w:jc w:val="center"/>
        <w:tblLook w:val="04A0" w:firstRow="1" w:lastRow="0" w:firstColumn="1" w:lastColumn="0" w:noHBand="0" w:noVBand="1"/>
      </w:tblPr>
      <w:tblGrid>
        <w:gridCol w:w="1141"/>
        <w:gridCol w:w="1011"/>
        <w:gridCol w:w="960"/>
        <w:gridCol w:w="1290"/>
        <w:gridCol w:w="1290"/>
        <w:gridCol w:w="960"/>
        <w:gridCol w:w="1140"/>
        <w:gridCol w:w="689"/>
        <w:gridCol w:w="764"/>
      </w:tblGrid>
      <w:tr w:rsidR="00AD4FA5" w14:paraId="4C6893D7" w14:textId="77777777">
        <w:trPr>
          <w:jc w:val="center"/>
        </w:trPr>
        <w:tc>
          <w:tcPr>
            <w:tcW w:w="1003" w:type="dxa"/>
            <w:shd w:val="clear" w:color="auto" w:fill="1B3A6B"/>
          </w:tcPr>
          <w:p w14:paraId="1EE79B67" w14:textId="77777777" w:rsidR="00AD4FA5" w:rsidRDefault="00000000">
            <w:r>
              <w:rPr>
                <w:rFonts w:ascii="Arial" w:hAnsi="Arial"/>
                <w:b/>
                <w:color w:val="FFFFFF"/>
                <w:sz w:val="18"/>
              </w:rPr>
              <w:t>Sector (NACE Classification)</w:t>
            </w:r>
          </w:p>
        </w:tc>
        <w:tc>
          <w:tcPr>
            <w:tcW w:w="1003" w:type="dxa"/>
            <w:shd w:val="clear" w:color="auto" w:fill="1B3A6B"/>
          </w:tcPr>
          <w:p w14:paraId="36417FD5" w14:textId="77777777" w:rsidR="00AD4FA5" w:rsidRDefault="00000000">
            <w:r>
              <w:rPr>
                <w:rFonts w:ascii="Arial" w:hAnsi="Arial"/>
                <w:b/>
                <w:color w:val="FFFFFF"/>
                <w:sz w:val="18"/>
              </w:rPr>
              <w:t>Outstanding Loans (IDR Trillion)</w:t>
            </w:r>
          </w:p>
        </w:tc>
        <w:tc>
          <w:tcPr>
            <w:tcW w:w="1003" w:type="dxa"/>
            <w:shd w:val="clear" w:color="auto" w:fill="1B3A6B"/>
          </w:tcPr>
          <w:p w14:paraId="09D1D7D0" w14:textId="77777777" w:rsidR="00AD4FA5" w:rsidRDefault="00000000">
            <w:r>
              <w:rPr>
                <w:rFonts w:ascii="Arial" w:hAnsi="Arial"/>
                <w:b/>
                <w:color w:val="FFFFFF"/>
                <w:sz w:val="18"/>
              </w:rPr>
              <w:t>% of Portfolio</w:t>
            </w:r>
          </w:p>
        </w:tc>
        <w:tc>
          <w:tcPr>
            <w:tcW w:w="1003" w:type="dxa"/>
            <w:shd w:val="clear" w:color="auto" w:fill="1B3A6B"/>
          </w:tcPr>
          <w:p w14:paraId="5250FA56" w14:textId="77777777" w:rsidR="00AD4FA5" w:rsidRDefault="00000000">
            <w:r>
              <w:rPr>
                <w:rFonts w:ascii="Arial" w:hAnsi="Arial"/>
                <w:b/>
                <w:color w:val="FFFFFF"/>
                <w:sz w:val="18"/>
              </w:rPr>
              <w:t>Gross Financed Emissions (tCO2e)</w:t>
            </w:r>
          </w:p>
        </w:tc>
        <w:tc>
          <w:tcPr>
            <w:tcW w:w="1003" w:type="dxa"/>
            <w:shd w:val="clear" w:color="auto" w:fill="1B3A6B"/>
          </w:tcPr>
          <w:p w14:paraId="07A0A2CB" w14:textId="77777777" w:rsidR="00AD4FA5" w:rsidRDefault="00000000">
            <w:r>
              <w:rPr>
                <w:rFonts w:ascii="Arial" w:hAnsi="Arial"/>
                <w:b/>
                <w:color w:val="FFFFFF"/>
                <w:sz w:val="18"/>
              </w:rPr>
              <w:t>Weighted Financed Emissions (tCO2e)</w:t>
            </w:r>
          </w:p>
        </w:tc>
        <w:tc>
          <w:tcPr>
            <w:tcW w:w="1003" w:type="dxa"/>
            <w:shd w:val="clear" w:color="auto" w:fill="1B3A6B"/>
          </w:tcPr>
          <w:p w14:paraId="3891E84A" w14:textId="77777777" w:rsidR="00AD4FA5" w:rsidRDefault="00000000">
            <w:r>
              <w:rPr>
                <w:rFonts w:ascii="Arial" w:hAnsi="Arial"/>
                <w:b/>
                <w:color w:val="FFFFFF"/>
                <w:sz w:val="18"/>
              </w:rPr>
              <w:t>% of Total Financed Emissions</w:t>
            </w:r>
          </w:p>
        </w:tc>
        <w:tc>
          <w:tcPr>
            <w:tcW w:w="1003" w:type="dxa"/>
            <w:shd w:val="clear" w:color="auto" w:fill="1B3A6B"/>
          </w:tcPr>
          <w:p w14:paraId="50892E9B" w14:textId="77777777" w:rsidR="00AD4FA5" w:rsidRDefault="00000000">
            <w:r>
              <w:rPr>
                <w:rFonts w:ascii="Arial" w:hAnsi="Arial"/>
                <w:b/>
                <w:color w:val="FFFFFF"/>
                <w:sz w:val="18"/>
              </w:rPr>
              <w:t>Emission Intensity (tCO2e/IDR Bn)</w:t>
            </w:r>
          </w:p>
        </w:tc>
        <w:tc>
          <w:tcPr>
            <w:tcW w:w="1003" w:type="dxa"/>
            <w:shd w:val="clear" w:color="auto" w:fill="1B3A6B"/>
          </w:tcPr>
          <w:p w14:paraId="39CDD457" w14:textId="77777777" w:rsidR="00AD4FA5" w:rsidRDefault="00000000">
            <w:r>
              <w:rPr>
                <w:rFonts w:ascii="Arial" w:hAnsi="Arial"/>
                <w:b/>
                <w:color w:val="FFFFFF"/>
                <w:sz w:val="18"/>
              </w:rPr>
              <w:t>Avg PCAF Score</w:t>
            </w:r>
          </w:p>
        </w:tc>
        <w:tc>
          <w:tcPr>
            <w:tcW w:w="1003" w:type="dxa"/>
            <w:shd w:val="clear" w:color="auto" w:fill="1B3A6B"/>
          </w:tcPr>
          <w:p w14:paraId="2857D3E4" w14:textId="77777777" w:rsidR="00AD4FA5" w:rsidRDefault="00000000">
            <w:r>
              <w:rPr>
                <w:rFonts w:ascii="Arial" w:hAnsi="Arial"/>
                <w:b/>
                <w:color w:val="FFFFFF"/>
                <w:sz w:val="18"/>
              </w:rPr>
              <w:t>Loan Count</w:t>
            </w:r>
          </w:p>
        </w:tc>
      </w:tr>
      <w:tr w:rsidR="00AD4FA5" w14:paraId="07447506" w14:textId="77777777">
        <w:trPr>
          <w:jc w:val="center"/>
        </w:trPr>
        <w:tc>
          <w:tcPr>
            <w:tcW w:w="1003" w:type="dxa"/>
          </w:tcPr>
          <w:p w14:paraId="62FC79EB" w14:textId="77777777" w:rsidR="00AD4FA5" w:rsidRDefault="00000000">
            <w:r>
              <w:rPr>
                <w:rFonts w:ascii="Arial" w:hAnsi="Arial"/>
                <w:sz w:val="18"/>
              </w:rPr>
              <w:t>Energy - Oil &amp; Gas</w:t>
            </w:r>
          </w:p>
        </w:tc>
        <w:tc>
          <w:tcPr>
            <w:tcW w:w="1003" w:type="dxa"/>
          </w:tcPr>
          <w:p w14:paraId="0ADE0BE9" w14:textId="77777777" w:rsidR="00AD4FA5" w:rsidRDefault="00000000">
            <w:pPr>
              <w:jc w:val="right"/>
            </w:pPr>
            <w:r>
              <w:rPr>
                <w:rFonts w:ascii="Arial" w:hAnsi="Arial"/>
                <w:sz w:val="18"/>
              </w:rPr>
              <w:t>102.67</w:t>
            </w:r>
          </w:p>
        </w:tc>
        <w:tc>
          <w:tcPr>
            <w:tcW w:w="1003" w:type="dxa"/>
          </w:tcPr>
          <w:p w14:paraId="037B8D77" w14:textId="77777777" w:rsidR="00AD4FA5" w:rsidRDefault="00000000">
            <w:pPr>
              <w:jc w:val="right"/>
            </w:pPr>
            <w:r>
              <w:rPr>
                <w:rFonts w:ascii="Arial" w:hAnsi="Arial"/>
                <w:sz w:val="18"/>
              </w:rPr>
              <w:t>6.66%</w:t>
            </w:r>
          </w:p>
        </w:tc>
        <w:tc>
          <w:tcPr>
            <w:tcW w:w="1003" w:type="dxa"/>
          </w:tcPr>
          <w:p w14:paraId="35EEBAF7" w14:textId="77777777" w:rsidR="00AD4FA5" w:rsidRDefault="00000000">
            <w:pPr>
              <w:jc w:val="right"/>
            </w:pPr>
            <w:r>
              <w:rPr>
                <w:rFonts w:ascii="Arial" w:hAnsi="Arial"/>
                <w:sz w:val="18"/>
              </w:rPr>
              <w:t>9,573,144.27</w:t>
            </w:r>
          </w:p>
        </w:tc>
        <w:tc>
          <w:tcPr>
            <w:tcW w:w="1003" w:type="dxa"/>
          </w:tcPr>
          <w:p w14:paraId="22875A11" w14:textId="77777777" w:rsidR="00AD4FA5" w:rsidRDefault="00000000">
            <w:pPr>
              <w:jc w:val="right"/>
            </w:pPr>
            <w:r>
              <w:rPr>
                <w:rFonts w:ascii="Arial" w:hAnsi="Arial"/>
                <w:sz w:val="18"/>
              </w:rPr>
              <w:t>6,753,948.71</w:t>
            </w:r>
          </w:p>
        </w:tc>
        <w:tc>
          <w:tcPr>
            <w:tcW w:w="1003" w:type="dxa"/>
          </w:tcPr>
          <w:p w14:paraId="3D970AD4" w14:textId="77777777" w:rsidR="00AD4FA5" w:rsidRDefault="00000000">
            <w:pPr>
              <w:jc w:val="right"/>
            </w:pPr>
            <w:r>
              <w:rPr>
                <w:rFonts w:ascii="Arial" w:hAnsi="Arial"/>
                <w:sz w:val="18"/>
              </w:rPr>
              <w:t>43.56%</w:t>
            </w:r>
          </w:p>
        </w:tc>
        <w:tc>
          <w:tcPr>
            <w:tcW w:w="1003" w:type="dxa"/>
          </w:tcPr>
          <w:p w14:paraId="668739E2" w14:textId="77777777" w:rsidR="00AD4FA5" w:rsidRDefault="00000000">
            <w:pPr>
              <w:jc w:val="right"/>
            </w:pPr>
            <w:r>
              <w:rPr>
                <w:rFonts w:ascii="Arial" w:hAnsi="Arial"/>
                <w:sz w:val="18"/>
              </w:rPr>
              <w:t>93.242</w:t>
            </w:r>
          </w:p>
        </w:tc>
        <w:tc>
          <w:tcPr>
            <w:tcW w:w="1003" w:type="dxa"/>
          </w:tcPr>
          <w:p w14:paraId="6CC48F41" w14:textId="77777777" w:rsidR="00AD4FA5" w:rsidRDefault="00000000">
            <w:pPr>
              <w:jc w:val="right"/>
            </w:pPr>
            <w:r>
              <w:rPr>
                <w:rFonts w:ascii="Arial" w:hAnsi="Arial"/>
                <w:sz w:val="18"/>
              </w:rPr>
              <w:t>3.32</w:t>
            </w:r>
          </w:p>
        </w:tc>
        <w:tc>
          <w:tcPr>
            <w:tcW w:w="1003" w:type="dxa"/>
          </w:tcPr>
          <w:p w14:paraId="4BB8AFFE" w14:textId="77777777" w:rsidR="00AD4FA5" w:rsidRDefault="00000000">
            <w:pPr>
              <w:jc w:val="right"/>
            </w:pPr>
            <w:r>
              <w:rPr>
                <w:rFonts w:ascii="Arial" w:hAnsi="Arial"/>
                <w:sz w:val="18"/>
              </w:rPr>
              <w:t>135</w:t>
            </w:r>
          </w:p>
        </w:tc>
      </w:tr>
      <w:tr w:rsidR="00AD4FA5" w14:paraId="550B9611" w14:textId="77777777">
        <w:trPr>
          <w:jc w:val="center"/>
        </w:trPr>
        <w:tc>
          <w:tcPr>
            <w:tcW w:w="1003" w:type="dxa"/>
            <w:shd w:val="clear" w:color="auto" w:fill="F2F6FC"/>
          </w:tcPr>
          <w:p w14:paraId="684A212C" w14:textId="77777777" w:rsidR="00AD4FA5" w:rsidRDefault="00000000">
            <w:r>
              <w:rPr>
                <w:rFonts w:ascii="Arial" w:hAnsi="Arial"/>
                <w:sz w:val="18"/>
              </w:rPr>
              <w:t>Manufacturing - Cement</w:t>
            </w:r>
          </w:p>
        </w:tc>
        <w:tc>
          <w:tcPr>
            <w:tcW w:w="1003" w:type="dxa"/>
            <w:shd w:val="clear" w:color="auto" w:fill="F2F6FC"/>
          </w:tcPr>
          <w:p w14:paraId="7EE78573" w14:textId="77777777" w:rsidR="00AD4FA5" w:rsidRDefault="00000000">
            <w:pPr>
              <w:jc w:val="right"/>
            </w:pPr>
            <w:r>
              <w:rPr>
                <w:rFonts w:ascii="Arial" w:hAnsi="Arial"/>
                <w:sz w:val="18"/>
              </w:rPr>
              <w:t>107.68</w:t>
            </w:r>
          </w:p>
        </w:tc>
        <w:tc>
          <w:tcPr>
            <w:tcW w:w="1003" w:type="dxa"/>
            <w:shd w:val="clear" w:color="auto" w:fill="F2F6FC"/>
          </w:tcPr>
          <w:p w14:paraId="12F77F45" w14:textId="77777777" w:rsidR="00AD4FA5" w:rsidRDefault="00000000">
            <w:pPr>
              <w:jc w:val="right"/>
            </w:pPr>
            <w:r>
              <w:rPr>
                <w:rFonts w:ascii="Arial" w:hAnsi="Arial"/>
                <w:sz w:val="18"/>
              </w:rPr>
              <w:t>6.99%</w:t>
            </w:r>
          </w:p>
        </w:tc>
        <w:tc>
          <w:tcPr>
            <w:tcW w:w="1003" w:type="dxa"/>
            <w:shd w:val="clear" w:color="auto" w:fill="F2F6FC"/>
          </w:tcPr>
          <w:p w14:paraId="3BDA4286" w14:textId="77777777" w:rsidR="00AD4FA5" w:rsidRDefault="00000000">
            <w:pPr>
              <w:jc w:val="right"/>
            </w:pPr>
            <w:r>
              <w:rPr>
                <w:rFonts w:ascii="Arial" w:hAnsi="Arial"/>
                <w:sz w:val="18"/>
              </w:rPr>
              <w:t>5,813,830.91</w:t>
            </w:r>
          </w:p>
        </w:tc>
        <w:tc>
          <w:tcPr>
            <w:tcW w:w="1003" w:type="dxa"/>
            <w:shd w:val="clear" w:color="auto" w:fill="F2F6FC"/>
          </w:tcPr>
          <w:p w14:paraId="3F36DAF5" w14:textId="77777777" w:rsidR="00AD4FA5" w:rsidRDefault="00000000">
            <w:pPr>
              <w:jc w:val="right"/>
            </w:pPr>
            <w:r>
              <w:rPr>
                <w:rFonts w:ascii="Arial" w:hAnsi="Arial"/>
                <w:sz w:val="18"/>
              </w:rPr>
              <w:t>4,168,058.43</w:t>
            </w:r>
          </w:p>
        </w:tc>
        <w:tc>
          <w:tcPr>
            <w:tcW w:w="1003" w:type="dxa"/>
            <w:shd w:val="clear" w:color="auto" w:fill="F2F6FC"/>
          </w:tcPr>
          <w:p w14:paraId="367ABF66" w14:textId="77777777" w:rsidR="00AD4FA5" w:rsidRDefault="00000000">
            <w:pPr>
              <w:jc w:val="right"/>
            </w:pPr>
            <w:r>
              <w:rPr>
                <w:rFonts w:ascii="Arial" w:hAnsi="Arial"/>
                <w:sz w:val="18"/>
              </w:rPr>
              <w:t>26.45%</w:t>
            </w:r>
          </w:p>
        </w:tc>
        <w:tc>
          <w:tcPr>
            <w:tcW w:w="1003" w:type="dxa"/>
            <w:shd w:val="clear" w:color="auto" w:fill="F2F6FC"/>
          </w:tcPr>
          <w:p w14:paraId="1E0D7018" w14:textId="77777777" w:rsidR="00AD4FA5" w:rsidRDefault="00000000">
            <w:pPr>
              <w:jc w:val="right"/>
            </w:pPr>
            <w:r>
              <w:rPr>
                <w:rFonts w:ascii="Arial" w:hAnsi="Arial"/>
                <w:sz w:val="18"/>
              </w:rPr>
              <w:t>53.9927</w:t>
            </w:r>
          </w:p>
        </w:tc>
        <w:tc>
          <w:tcPr>
            <w:tcW w:w="1003" w:type="dxa"/>
            <w:shd w:val="clear" w:color="auto" w:fill="F2F6FC"/>
          </w:tcPr>
          <w:p w14:paraId="0491F980" w14:textId="77777777" w:rsidR="00AD4FA5" w:rsidRDefault="00000000">
            <w:pPr>
              <w:jc w:val="right"/>
            </w:pPr>
            <w:r>
              <w:rPr>
                <w:rFonts w:ascii="Arial" w:hAnsi="Arial"/>
                <w:sz w:val="18"/>
              </w:rPr>
              <w:t>3.40</w:t>
            </w:r>
          </w:p>
        </w:tc>
        <w:tc>
          <w:tcPr>
            <w:tcW w:w="1003" w:type="dxa"/>
            <w:shd w:val="clear" w:color="auto" w:fill="F2F6FC"/>
          </w:tcPr>
          <w:p w14:paraId="6F1D607D" w14:textId="77777777" w:rsidR="00AD4FA5" w:rsidRDefault="00000000">
            <w:pPr>
              <w:jc w:val="right"/>
            </w:pPr>
            <w:r>
              <w:rPr>
                <w:rFonts w:ascii="Arial" w:hAnsi="Arial"/>
                <w:sz w:val="18"/>
              </w:rPr>
              <w:t>161</w:t>
            </w:r>
          </w:p>
        </w:tc>
      </w:tr>
      <w:tr w:rsidR="00AD4FA5" w14:paraId="2D6CF768" w14:textId="77777777">
        <w:trPr>
          <w:jc w:val="center"/>
        </w:trPr>
        <w:tc>
          <w:tcPr>
            <w:tcW w:w="1003" w:type="dxa"/>
          </w:tcPr>
          <w:p w14:paraId="3888F15A" w14:textId="77777777" w:rsidR="00AD4FA5" w:rsidRDefault="00000000">
            <w:r>
              <w:rPr>
                <w:rFonts w:ascii="Arial" w:hAnsi="Arial"/>
                <w:sz w:val="18"/>
              </w:rPr>
              <w:t>Manufacturing - Steel</w:t>
            </w:r>
          </w:p>
        </w:tc>
        <w:tc>
          <w:tcPr>
            <w:tcW w:w="1003" w:type="dxa"/>
          </w:tcPr>
          <w:p w14:paraId="789FE81A" w14:textId="77777777" w:rsidR="00AD4FA5" w:rsidRDefault="00000000">
            <w:pPr>
              <w:jc w:val="right"/>
            </w:pPr>
            <w:r>
              <w:rPr>
                <w:rFonts w:ascii="Arial" w:hAnsi="Arial"/>
                <w:sz w:val="18"/>
              </w:rPr>
              <w:t>108.62</w:t>
            </w:r>
          </w:p>
        </w:tc>
        <w:tc>
          <w:tcPr>
            <w:tcW w:w="1003" w:type="dxa"/>
          </w:tcPr>
          <w:p w14:paraId="2998288E" w14:textId="77777777" w:rsidR="00AD4FA5" w:rsidRDefault="00000000">
            <w:pPr>
              <w:jc w:val="right"/>
            </w:pPr>
            <w:r>
              <w:rPr>
                <w:rFonts w:ascii="Arial" w:hAnsi="Arial"/>
                <w:sz w:val="18"/>
              </w:rPr>
              <w:t>7.05%</w:t>
            </w:r>
          </w:p>
        </w:tc>
        <w:tc>
          <w:tcPr>
            <w:tcW w:w="1003" w:type="dxa"/>
          </w:tcPr>
          <w:p w14:paraId="4D5893D8" w14:textId="77777777" w:rsidR="00AD4FA5" w:rsidRDefault="00000000">
            <w:pPr>
              <w:jc w:val="right"/>
            </w:pPr>
            <w:r>
              <w:rPr>
                <w:rFonts w:ascii="Arial" w:hAnsi="Arial"/>
                <w:sz w:val="18"/>
              </w:rPr>
              <w:t>3,499,463.0</w:t>
            </w:r>
          </w:p>
        </w:tc>
        <w:tc>
          <w:tcPr>
            <w:tcW w:w="1003" w:type="dxa"/>
          </w:tcPr>
          <w:p w14:paraId="5A2CB184" w14:textId="77777777" w:rsidR="00AD4FA5" w:rsidRDefault="00000000">
            <w:pPr>
              <w:jc w:val="right"/>
            </w:pPr>
            <w:r>
              <w:rPr>
                <w:rFonts w:ascii="Arial" w:hAnsi="Arial"/>
                <w:sz w:val="18"/>
              </w:rPr>
              <w:t>2,228,739.65</w:t>
            </w:r>
          </w:p>
        </w:tc>
        <w:tc>
          <w:tcPr>
            <w:tcW w:w="1003" w:type="dxa"/>
          </w:tcPr>
          <w:p w14:paraId="7FA2EBF1" w14:textId="77777777" w:rsidR="00AD4FA5" w:rsidRDefault="00000000">
            <w:pPr>
              <w:jc w:val="right"/>
            </w:pPr>
            <w:r>
              <w:rPr>
                <w:rFonts w:ascii="Arial" w:hAnsi="Arial"/>
                <w:sz w:val="18"/>
              </w:rPr>
              <w:t>15.92%</w:t>
            </w:r>
          </w:p>
        </w:tc>
        <w:tc>
          <w:tcPr>
            <w:tcW w:w="1003" w:type="dxa"/>
          </w:tcPr>
          <w:p w14:paraId="28427856" w14:textId="77777777" w:rsidR="00AD4FA5" w:rsidRDefault="00000000">
            <w:pPr>
              <w:jc w:val="right"/>
            </w:pPr>
            <w:r>
              <w:rPr>
                <w:rFonts w:ascii="Arial" w:hAnsi="Arial"/>
                <w:sz w:val="18"/>
              </w:rPr>
              <w:t>32.2175</w:t>
            </w:r>
          </w:p>
        </w:tc>
        <w:tc>
          <w:tcPr>
            <w:tcW w:w="1003" w:type="dxa"/>
          </w:tcPr>
          <w:p w14:paraId="190F316B" w14:textId="77777777" w:rsidR="00AD4FA5" w:rsidRDefault="00000000">
            <w:pPr>
              <w:jc w:val="right"/>
            </w:pPr>
            <w:r>
              <w:rPr>
                <w:rFonts w:ascii="Arial" w:hAnsi="Arial"/>
                <w:sz w:val="18"/>
              </w:rPr>
              <w:t>3.35</w:t>
            </w:r>
          </w:p>
        </w:tc>
        <w:tc>
          <w:tcPr>
            <w:tcW w:w="1003" w:type="dxa"/>
          </w:tcPr>
          <w:p w14:paraId="76E795DB" w14:textId="77777777" w:rsidR="00AD4FA5" w:rsidRDefault="00000000">
            <w:pPr>
              <w:jc w:val="right"/>
            </w:pPr>
            <w:r>
              <w:rPr>
                <w:rFonts w:ascii="Arial" w:hAnsi="Arial"/>
                <w:sz w:val="18"/>
              </w:rPr>
              <w:t>122</w:t>
            </w:r>
          </w:p>
        </w:tc>
      </w:tr>
      <w:tr w:rsidR="00AD4FA5" w14:paraId="7BED79D0" w14:textId="77777777">
        <w:trPr>
          <w:jc w:val="center"/>
        </w:trPr>
        <w:tc>
          <w:tcPr>
            <w:tcW w:w="1003" w:type="dxa"/>
            <w:shd w:val="clear" w:color="auto" w:fill="F2F6FC"/>
          </w:tcPr>
          <w:p w14:paraId="485C2C91" w14:textId="77777777" w:rsidR="00AD4FA5" w:rsidRDefault="00000000">
            <w:r>
              <w:rPr>
                <w:rFonts w:ascii="Arial" w:hAnsi="Arial"/>
                <w:sz w:val="18"/>
              </w:rPr>
              <w:t>Transportation - Road</w:t>
            </w:r>
          </w:p>
        </w:tc>
        <w:tc>
          <w:tcPr>
            <w:tcW w:w="1003" w:type="dxa"/>
            <w:shd w:val="clear" w:color="auto" w:fill="F2F6FC"/>
          </w:tcPr>
          <w:p w14:paraId="1326A413" w14:textId="77777777" w:rsidR="00AD4FA5" w:rsidRDefault="00000000">
            <w:pPr>
              <w:jc w:val="right"/>
            </w:pPr>
            <w:r>
              <w:rPr>
                <w:rFonts w:ascii="Arial" w:hAnsi="Arial"/>
                <w:sz w:val="18"/>
              </w:rPr>
              <w:t>155.55</w:t>
            </w:r>
          </w:p>
        </w:tc>
        <w:tc>
          <w:tcPr>
            <w:tcW w:w="1003" w:type="dxa"/>
            <w:shd w:val="clear" w:color="auto" w:fill="F2F6FC"/>
          </w:tcPr>
          <w:p w14:paraId="4C7127DF" w14:textId="77777777" w:rsidR="00AD4FA5" w:rsidRDefault="00000000">
            <w:pPr>
              <w:jc w:val="right"/>
            </w:pPr>
            <w:r>
              <w:rPr>
                <w:rFonts w:ascii="Arial" w:hAnsi="Arial"/>
                <w:sz w:val="18"/>
              </w:rPr>
              <w:t>10.09%</w:t>
            </w:r>
          </w:p>
        </w:tc>
        <w:tc>
          <w:tcPr>
            <w:tcW w:w="1003" w:type="dxa"/>
            <w:shd w:val="clear" w:color="auto" w:fill="F2F6FC"/>
          </w:tcPr>
          <w:p w14:paraId="2C136DFB" w14:textId="77777777" w:rsidR="00AD4FA5" w:rsidRDefault="00000000">
            <w:pPr>
              <w:jc w:val="right"/>
            </w:pPr>
            <w:r>
              <w:rPr>
                <w:rFonts w:ascii="Arial" w:hAnsi="Arial"/>
                <w:sz w:val="18"/>
              </w:rPr>
              <w:t>1,227,019.62</w:t>
            </w:r>
          </w:p>
        </w:tc>
        <w:tc>
          <w:tcPr>
            <w:tcW w:w="1003" w:type="dxa"/>
            <w:shd w:val="clear" w:color="auto" w:fill="F2F6FC"/>
          </w:tcPr>
          <w:p w14:paraId="006EF31B" w14:textId="77777777" w:rsidR="00AD4FA5" w:rsidRDefault="00000000">
            <w:pPr>
              <w:jc w:val="right"/>
            </w:pPr>
            <w:r>
              <w:rPr>
                <w:rFonts w:ascii="Arial" w:hAnsi="Arial"/>
                <w:sz w:val="18"/>
              </w:rPr>
              <w:t>864,356.23</w:t>
            </w:r>
          </w:p>
        </w:tc>
        <w:tc>
          <w:tcPr>
            <w:tcW w:w="1003" w:type="dxa"/>
            <w:shd w:val="clear" w:color="auto" w:fill="F2F6FC"/>
          </w:tcPr>
          <w:p w14:paraId="3B70F9C6" w14:textId="77777777" w:rsidR="00AD4FA5" w:rsidRDefault="00000000">
            <w:pPr>
              <w:jc w:val="right"/>
            </w:pPr>
            <w:r>
              <w:rPr>
                <w:rFonts w:ascii="Arial" w:hAnsi="Arial"/>
                <w:sz w:val="18"/>
              </w:rPr>
              <w:t>5.58%</w:t>
            </w:r>
          </w:p>
        </w:tc>
        <w:tc>
          <w:tcPr>
            <w:tcW w:w="1003" w:type="dxa"/>
            <w:shd w:val="clear" w:color="auto" w:fill="F2F6FC"/>
          </w:tcPr>
          <w:p w14:paraId="782AE5C9" w14:textId="77777777" w:rsidR="00AD4FA5" w:rsidRDefault="00000000">
            <w:pPr>
              <w:jc w:val="right"/>
            </w:pPr>
            <w:r>
              <w:rPr>
                <w:rFonts w:ascii="Arial" w:hAnsi="Arial"/>
                <w:sz w:val="18"/>
              </w:rPr>
              <w:t>7.8881</w:t>
            </w:r>
          </w:p>
        </w:tc>
        <w:tc>
          <w:tcPr>
            <w:tcW w:w="1003" w:type="dxa"/>
            <w:shd w:val="clear" w:color="auto" w:fill="F2F6FC"/>
          </w:tcPr>
          <w:p w14:paraId="20BE58EA" w14:textId="77777777" w:rsidR="00AD4FA5" w:rsidRDefault="00000000">
            <w:pPr>
              <w:jc w:val="right"/>
            </w:pPr>
            <w:r>
              <w:rPr>
                <w:rFonts w:ascii="Arial" w:hAnsi="Arial"/>
                <w:sz w:val="18"/>
              </w:rPr>
              <w:t>3.36</w:t>
            </w:r>
          </w:p>
        </w:tc>
        <w:tc>
          <w:tcPr>
            <w:tcW w:w="1003" w:type="dxa"/>
            <w:shd w:val="clear" w:color="auto" w:fill="F2F6FC"/>
          </w:tcPr>
          <w:p w14:paraId="4165DD74" w14:textId="77777777" w:rsidR="00AD4FA5" w:rsidRDefault="00000000">
            <w:pPr>
              <w:jc w:val="right"/>
            </w:pPr>
            <w:r>
              <w:rPr>
                <w:rFonts w:ascii="Arial" w:hAnsi="Arial"/>
                <w:sz w:val="18"/>
              </w:rPr>
              <w:t>189</w:t>
            </w:r>
          </w:p>
        </w:tc>
      </w:tr>
      <w:tr w:rsidR="00AD4FA5" w14:paraId="0E3C2B1B" w14:textId="77777777">
        <w:trPr>
          <w:jc w:val="center"/>
        </w:trPr>
        <w:tc>
          <w:tcPr>
            <w:tcW w:w="1003" w:type="dxa"/>
          </w:tcPr>
          <w:p w14:paraId="60671620" w14:textId="77777777" w:rsidR="00AD4FA5" w:rsidRDefault="00000000">
            <w:r>
              <w:rPr>
                <w:rFonts w:ascii="Arial" w:hAnsi="Arial"/>
                <w:sz w:val="18"/>
              </w:rPr>
              <w:t>Manufacturing - Food &amp; Beverage</w:t>
            </w:r>
          </w:p>
        </w:tc>
        <w:tc>
          <w:tcPr>
            <w:tcW w:w="1003" w:type="dxa"/>
          </w:tcPr>
          <w:p w14:paraId="6DC8A350" w14:textId="77777777" w:rsidR="00AD4FA5" w:rsidRDefault="00000000">
            <w:pPr>
              <w:jc w:val="right"/>
            </w:pPr>
            <w:r>
              <w:rPr>
                <w:rFonts w:ascii="Arial" w:hAnsi="Arial"/>
                <w:sz w:val="18"/>
              </w:rPr>
              <w:t>169.14</w:t>
            </w:r>
          </w:p>
        </w:tc>
        <w:tc>
          <w:tcPr>
            <w:tcW w:w="1003" w:type="dxa"/>
          </w:tcPr>
          <w:p w14:paraId="452E1E29" w14:textId="77777777" w:rsidR="00AD4FA5" w:rsidRDefault="00000000">
            <w:pPr>
              <w:jc w:val="right"/>
            </w:pPr>
            <w:r>
              <w:rPr>
                <w:rFonts w:ascii="Arial" w:hAnsi="Arial"/>
                <w:sz w:val="18"/>
              </w:rPr>
              <w:t>10.97%</w:t>
            </w:r>
          </w:p>
        </w:tc>
        <w:tc>
          <w:tcPr>
            <w:tcW w:w="1003" w:type="dxa"/>
          </w:tcPr>
          <w:p w14:paraId="1547EC87" w14:textId="77777777" w:rsidR="00AD4FA5" w:rsidRDefault="00000000">
            <w:pPr>
              <w:jc w:val="right"/>
            </w:pPr>
            <w:r>
              <w:rPr>
                <w:rFonts w:ascii="Arial" w:hAnsi="Arial"/>
                <w:sz w:val="18"/>
              </w:rPr>
              <w:t>936,111.21</w:t>
            </w:r>
          </w:p>
        </w:tc>
        <w:tc>
          <w:tcPr>
            <w:tcW w:w="1003" w:type="dxa"/>
          </w:tcPr>
          <w:p w14:paraId="0349C486" w14:textId="77777777" w:rsidR="00AD4FA5" w:rsidRDefault="00000000">
            <w:pPr>
              <w:jc w:val="right"/>
            </w:pPr>
            <w:r>
              <w:rPr>
                <w:rFonts w:ascii="Arial" w:hAnsi="Arial"/>
                <w:sz w:val="18"/>
              </w:rPr>
              <w:t>653,413.56</w:t>
            </w:r>
          </w:p>
        </w:tc>
        <w:tc>
          <w:tcPr>
            <w:tcW w:w="1003" w:type="dxa"/>
          </w:tcPr>
          <w:p w14:paraId="4004F51D" w14:textId="77777777" w:rsidR="00AD4FA5" w:rsidRDefault="00000000">
            <w:pPr>
              <w:jc w:val="right"/>
            </w:pPr>
            <w:r>
              <w:rPr>
                <w:rFonts w:ascii="Arial" w:hAnsi="Arial"/>
                <w:sz w:val="18"/>
              </w:rPr>
              <w:t>4.26%</w:t>
            </w:r>
          </w:p>
        </w:tc>
        <w:tc>
          <w:tcPr>
            <w:tcW w:w="1003" w:type="dxa"/>
          </w:tcPr>
          <w:p w14:paraId="193C285D" w14:textId="77777777" w:rsidR="00AD4FA5" w:rsidRDefault="00000000">
            <w:pPr>
              <w:jc w:val="right"/>
            </w:pPr>
            <w:r>
              <w:rPr>
                <w:rFonts w:ascii="Arial" w:hAnsi="Arial"/>
                <w:sz w:val="18"/>
              </w:rPr>
              <w:t>5.5346</w:t>
            </w:r>
          </w:p>
        </w:tc>
        <w:tc>
          <w:tcPr>
            <w:tcW w:w="1003" w:type="dxa"/>
          </w:tcPr>
          <w:p w14:paraId="33E54590" w14:textId="77777777" w:rsidR="00AD4FA5" w:rsidRDefault="00000000">
            <w:pPr>
              <w:jc w:val="right"/>
            </w:pPr>
            <w:r>
              <w:rPr>
                <w:rFonts w:ascii="Arial" w:hAnsi="Arial"/>
                <w:sz w:val="18"/>
              </w:rPr>
              <w:t>3.35</w:t>
            </w:r>
          </w:p>
        </w:tc>
        <w:tc>
          <w:tcPr>
            <w:tcW w:w="1003" w:type="dxa"/>
          </w:tcPr>
          <w:p w14:paraId="7DAA6D9D" w14:textId="77777777" w:rsidR="00AD4FA5" w:rsidRDefault="00000000">
            <w:pPr>
              <w:jc w:val="right"/>
            </w:pPr>
            <w:r>
              <w:rPr>
                <w:rFonts w:ascii="Arial" w:hAnsi="Arial"/>
                <w:sz w:val="18"/>
              </w:rPr>
              <w:t>206</w:t>
            </w:r>
          </w:p>
        </w:tc>
      </w:tr>
      <w:tr w:rsidR="00AD4FA5" w14:paraId="277D1E83" w14:textId="77777777">
        <w:trPr>
          <w:jc w:val="center"/>
        </w:trPr>
        <w:tc>
          <w:tcPr>
            <w:tcW w:w="1003" w:type="dxa"/>
            <w:shd w:val="clear" w:color="auto" w:fill="F2F6FC"/>
          </w:tcPr>
          <w:p w14:paraId="354E6315" w14:textId="77777777" w:rsidR="00AD4FA5" w:rsidRDefault="00000000">
            <w:r>
              <w:rPr>
                <w:rFonts w:ascii="Arial" w:hAnsi="Arial"/>
                <w:sz w:val="18"/>
              </w:rPr>
              <w:t>**Top 5 Subtotal**</w:t>
            </w:r>
          </w:p>
        </w:tc>
        <w:tc>
          <w:tcPr>
            <w:tcW w:w="1003" w:type="dxa"/>
            <w:shd w:val="clear" w:color="auto" w:fill="F2F6FC"/>
          </w:tcPr>
          <w:p w14:paraId="1B3BDFEB" w14:textId="77777777" w:rsidR="00AD4FA5" w:rsidRDefault="00000000">
            <w:r>
              <w:rPr>
                <w:rFonts w:ascii="Arial" w:hAnsi="Arial"/>
                <w:sz w:val="18"/>
              </w:rPr>
              <w:t>**643.66**</w:t>
            </w:r>
          </w:p>
        </w:tc>
        <w:tc>
          <w:tcPr>
            <w:tcW w:w="1003" w:type="dxa"/>
            <w:shd w:val="clear" w:color="auto" w:fill="F2F6FC"/>
          </w:tcPr>
          <w:p w14:paraId="6309F231" w14:textId="77777777" w:rsidR="00AD4FA5" w:rsidRDefault="00000000">
            <w:r>
              <w:rPr>
                <w:rFonts w:ascii="Arial" w:hAnsi="Arial"/>
                <w:sz w:val="18"/>
              </w:rPr>
              <w:t>**41.76%**</w:t>
            </w:r>
          </w:p>
        </w:tc>
        <w:tc>
          <w:tcPr>
            <w:tcW w:w="1003" w:type="dxa"/>
            <w:shd w:val="clear" w:color="auto" w:fill="F2F6FC"/>
          </w:tcPr>
          <w:p w14:paraId="0F9D2802" w14:textId="77777777" w:rsidR="00AD4FA5" w:rsidRDefault="00000000">
            <w:r>
              <w:rPr>
                <w:rFonts w:ascii="Arial" w:hAnsi="Arial"/>
                <w:sz w:val="18"/>
              </w:rPr>
              <w:t>**21,049,569.01**</w:t>
            </w:r>
          </w:p>
        </w:tc>
        <w:tc>
          <w:tcPr>
            <w:tcW w:w="1003" w:type="dxa"/>
            <w:shd w:val="clear" w:color="auto" w:fill="F2F6FC"/>
          </w:tcPr>
          <w:p w14:paraId="1B147EEA" w14:textId="77777777" w:rsidR="00AD4FA5" w:rsidRDefault="00000000">
            <w:r>
              <w:rPr>
                <w:rFonts w:ascii="Arial" w:hAnsi="Arial"/>
                <w:sz w:val="18"/>
              </w:rPr>
              <w:t>**14,668,516.58**</w:t>
            </w:r>
          </w:p>
        </w:tc>
        <w:tc>
          <w:tcPr>
            <w:tcW w:w="1003" w:type="dxa"/>
            <w:shd w:val="clear" w:color="auto" w:fill="F2F6FC"/>
          </w:tcPr>
          <w:p w14:paraId="7C559498" w14:textId="77777777" w:rsidR="00AD4FA5" w:rsidRDefault="00000000">
            <w:r>
              <w:rPr>
                <w:rFonts w:ascii="Arial" w:hAnsi="Arial"/>
                <w:sz w:val="18"/>
              </w:rPr>
              <w:t>**95.78%**</w:t>
            </w:r>
          </w:p>
        </w:tc>
        <w:tc>
          <w:tcPr>
            <w:tcW w:w="1003" w:type="dxa"/>
            <w:shd w:val="clear" w:color="auto" w:fill="F2F6FC"/>
          </w:tcPr>
          <w:p w14:paraId="7A329742" w14:textId="77777777" w:rsidR="00AD4FA5" w:rsidRDefault="00000000">
            <w:r>
              <w:rPr>
                <w:rFonts w:ascii="Arial" w:hAnsi="Arial"/>
                <w:sz w:val="18"/>
              </w:rPr>
              <w:t>**—**</w:t>
            </w:r>
          </w:p>
        </w:tc>
        <w:tc>
          <w:tcPr>
            <w:tcW w:w="1003" w:type="dxa"/>
            <w:shd w:val="clear" w:color="auto" w:fill="F2F6FC"/>
          </w:tcPr>
          <w:p w14:paraId="01E1AB8D" w14:textId="77777777" w:rsidR="00AD4FA5" w:rsidRDefault="00000000">
            <w:r>
              <w:rPr>
                <w:rFonts w:ascii="Arial" w:hAnsi="Arial"/>
                <w:sz w:val="18"/>
              </w:rPr>
              <w:t>**3.36**</w:t>
            </w:r>
          </w:p>
        </w:tc>
        <w:tc>
          <w:tcPr>
            <w:tcW w:w="1003" w:type="dxa"/>
            <w:shd w:val="clear" w:color="auto" w:fill="F2F6FC"/>
          </w:tcPr>
          <w:p w14:paraId="497EFB57" w14:textId="77777777" w:rsidR="00AD4FA5" w:rsidRDefault="00000000">
            <w:r>
              <w:rPr>
                <w:rFonts w:ascii="Arial" w:hAnsi="Arial"/>
                <w:sz w:val="18"/>
              </w:rPr>
              <w:t>**813**</w:t>
            </w:r>
          </w:p>
        </w:tc>
      </w:tr>
      <w:tr w:rsidR="00AD4FA5" w14:paraId="61062167" w14:textId="77777777">
        <w:trPr>
          <w:jc w:val="center"/>
        </w:trPr>
        <w:tc>
          <w:tcPr>
            <w:tcW w:w="1003" w:type="dxa"/>
          </w:tcPr>
          <w:p w14:paraId="06085345" w14:textId="77777777" w:rsidR="00AD4FA5" w:rsidRDefault="00000000">
            <w:r>
              <w:rPr>
                <w:rFonts w:ascii="Arial" w:hAnsi="Arial"/>
                <w:sz w:val="18"/>
              </w:rPr>
              <w:t>Other Sectors (5)</w:t>
            </w:r>
          </w:p>
        </w:tc>
        <w:tc>
          <w:tcPr>
            <w:tcW w:w="1003" w:type="dxa"/>
          </w:tcPr>
          <w:p w14:paraId="086F4314" w14:textId="77777777" w:rsidR="00AD4FA5" w:rsidRDefault="00000000">
            <w:pPr>
              <w:jc w:val="right"/>
            </w:pPr>
            <w:r>
              <w:rPr>
                <w:rFonts w:ascii="Arial" w:hAnsi="Arial"/>
                <w:sz w:val="18"/>
              </w:rPr>
              <w:t>897.52</w:t>
            </w:r>
          </w:p>
        </w:tc>
        <w:tc>
          <w:tcPr>
            <w:tcW w:w="1003" w:type="dxa"/>
          </w:tcPr>
          <w:p w14:paraId="2F6D14E8" w14:textId="77777777" w:rsidR="00AD4FA5" w:rsidRDefault="00000000">
            <w:pPr>
              <w:jc w:val="right"/>
            </w:pPr>
            <w:r>
              <w:rPr>
                <w:rFonts w:ascii="Arial" w:hAnsi="Arial"/>
                <w:sz w:val="18"/>
              </w:rPr>
              <w:t>58.24%</w:t>
            </w:r>
          </w:p>
        </w:tc>
        <w:tc>
          <w:tcPr>
            <w:tcW w:w="1003" w:type="dxa"/>
          </w:tcPr>
          <w:p w14:paraId="06C7DC6E" w14:textId="77777777" w:rsidR="00AD4FA5" w:rsidRDefault="00000000">
            <w:pPr>
              <w:jc w:val="right"/>
            </w:pPr>
            <w:r>
              <w:rPr>
                <w:rFonts w:ascii="Arial" w:hAnsi="Arial"/>
                <w:sz w:val="18"/>
              </w:rPr>
              <w:t>927,228.29</w:t>
            </w:r>
          </w:p>
        </w:tc>
        <w:tc>
          <w:tcPr>
            <w:tcW w:w="1003" w:type="dxa"/>
          </w:tcPr>
          <w:p w14:paraId="3C601AC3" w14:textId="77777777" w:rsidR="00AD4FA5" w:rsidRDefault="00000000">
            <w:pPr>
              <w:jc w:val="right"/>
            </w:pPr>
            <w:r>
              <w:rPr>
                <w:rFonts w:ascii="Arial" w:hAnsi="Arial"/>
                <w:sz w:val="18"/>
              </w:rPr>
              <w:t>611,657.56</w:t>
            </w:r>
          </w:p>
        </w:tc>
        <w:tc>
          <w:tcPr>
            <w:tcW w:w="1003" w:type="dxa"/>
          </w:tcPr>
          <w:p w14:paraId="4DEF8A86" w14:textId="77777777" w:rsidR="00AD4FA5" w:rsidRDefault="00000000">
            <w:pPr>
              <w:jc w:val="right"/>
            </w:pPr>
            <w:r>
              <w:rPr>
                <w:rFonts w:ascii="Arial" w:hAnsi="Arial"/>
                <w:sz w:val="18"/>
              </w:rPr>
              <w:t>4.22%</w:t>
            </w:r>
          </w:p>
        </w:tc>
        <w:tc>
          <w:tcPr>
            <w:tcW w:w="1003" w:type="dxa"/>
          </w:tcPr>
          <w:p w14:paraId="79A20ECB" w14:textId="77777777" w:rsidR="00AD4FA5" w:rsidRDefault="00000000">
            <w:r>
              <w:rPr>
                <w:rFonts w:ascii="Arial" w:hAnsi="Arial"/>
                <w:sz w:val="18"/>
              </w:rPr>
              <w:t>—</w:t>
            </w:r>
          </w:p>
        </w:tc>
        <w:tc>
          <w:tcPr>
            <w:tcW w:w="1003" w:type="dxa"/>
          </w:tcPr>
          <w:p w14:paraId="591E72F6" w14:textId="77777777" w:rsidR="00AD4FA5" w:rsidRDefault="00000000">
            <w:pPr>
              <w:jc w:val="right"/>
            </w:pPr>
            <w:r>
              <w:rPr>
                <w:rFonts w:ascii="Arial" w:hAnsi="Arial"/>
                <w:sz w:val="18"/>
              </w:rPr>
              <w:t>3.32</w:t>
            </w:r>
          </w:p>
        </w:tc>
        <w:tc>
          <w:tcPr>
            <w:tcW w:w="1003" w:type="dxa"/>
          </w:tcPr>
          <w:p w14:paraId="002D32E5" w14:textId="77777777" w:rsidR="00AD4FA5" w:rsidRDefault="00000000">
            <w:pPr>
              <w:jc w:val="right"/>
            </w:pPr>
            <w:r>
              <w:rPr>
                <w:rFonts w:ascii="Arial" w:hAnsi="Arial"/>
                <w:sz w:val="18"/>
              </w:rPr>
              <w:t>1,142</w:t>
            </w:r>
          </w:p>
        </w:tc>
      </w:tr>
      <w:tr w:rsidR="00AD4FA5" w14:paraId="1F414F3A" w14:textId="77777777">
        <w:trPr>
          <w:jc w:val="center"/>
        </w:trPr>
        <w:tc>
          <w:tcPr>
            <w:tcW w:w="1003" w:type="dxa"/>
            <w:shd w:val="clear" w:color="auto" w:fill="F2F6FC"/>
          </w:tcPr>
          <w:p w14:paraId="433C5EAF" w14:textId="77777777" w:rsidR="00AD4FA5" w:rsidRDefault="00000000">
            <w:r>
              <w:rPr>
                <w:rFonts w:ascii="Arial" w:hAnsi="Arial"/>
                <w:sz w:val="18"/>
              </w:rPr>
              <w:t>**Total Portfolio**</w:t>
            </w:r>
          </w:p>
        </w:tc>
        <w:tc>
          <w:tcPr>
            <w:tcW w:w="1003" w:type="dxa"/>
            <w:shd w:val="clear" w:color="auto" w:fill="F2F6FC"/>
          </w:tcPr>
          <w:p w14:paraId="7E0947DF" w14:textId="77777777" w:rsidR="00AD4FA5" w:rsidRDefault="00000000">
            <w:r>
              <w:rPr>
                <w:rFonts w:ascii="Arial" w:hAnsi="Arial"/>
                <w:sz w:val="18"/>
              </w:rPr>
              <w:t>**1,541.18**</w:t>
            </w:r>
          </w:p>
        </w:tc>
        <w:tc>
          <w:tcPr>
            <w:tcW w:w="1003" w:type="dxa"/>
            <w:shd w:val="clear" w:color="auto" w:fill="F2F6FC"/>
          </w:tcPr>
          <w:p w14:paraId="45173038" w14:textId="77777777" w:rsidR="00AD4FA5" w:rsidRDefault="00000000">
            <w:r>
              <w:rPr>
                <w:rFonts w:ascii="Arial" w:hAnsi="Arial"/>
                <w:sz w:val="18"/>
              </w:rPr>
              <w:t>**100.00%**</w:t>
            </w:r>
          </w:p>
        </w:tc>
        <w:tc>
          <w:tcPr>
            <w:tcW w:w="1003" w:type="dxa"/>
            <w:shd w:val="clear" w:color="auto" w:fill="F2F6FC"/>
          </w:tcPr>
          <w:p w14:paraId="25A1B813" w14:textId="77777777" w:rsidR="00AD4FA5" w:rsidRDefault="00000000">
            <w:r>
              <w:rPr>
                <w:rFonts w:ascii="Arial" w:hAnsi="Arial"/>
                <w:sz w:val="18"/>
              </w:rPr>
              <w:t>**21,976,797.3**</w:t>
            </w:r>
          </w:p>
        </w:tc>
        <w:tc>
          <w:tcPr>
            <w:tcW w:w="1003" w:type="dxa"/>
            <w:shd w:val="clear" w:color="auto" w:fill="F2F6FC"/>
          </w:tcPr>
          <w:p w14:paraId="481F81AD" w14:textId="77777777" w:rsidR="00AD4FA5" w:rsidRDefault="00000000">
            <w:r>
              <w:rPr>
                <w:rFonts w:ascii="Arial" w:hAnsi="Arial"/>
                <w:sz w:val="18"/>
              </w:rPr>
              <w:t>**15,280,174.14**</w:t>
            </w:r>
          </w:p>
        </w:tc>
        <w:tc>
          <w:tcPr>
            <w:tcW w:w="1003" w:type="dxa"/>
            <w:shd w:val="clear" w:color="auto" w:fill="F2F6FC"/>
          </w:tcPr>
          <w:p w14:paraId="7BBE9C57" w14:textId="77777777" w:rsidR="00AD4FA5" w:rsidRDefault="00000000">
            <w:r>
              <w:rPr>
                <w:rFonts w:ascii="Arial" w:hAnsi="Arial"/>
                <w:sz w:val="18"/>
              </w:rPr>
              <w:t>**100.00%**</w:t>
            </w:r>
          </w:p>
        </w:tc>
        <w:tc>
          <w:tcPr>
            <w:tcW w:w="1003" w:type="dxa"/>
            <w:shd w:val="clear" w:color="auto" w:fill="F2F6FC"/>
          </w:tcPr>
          <w:p w14:paraId="5A80B548" w14:textId="77777777" w:rsidR="00AD4FA5" w:rsidRDefault="00000000">
            <w:r>
              <w:rPr>
                <w:rFonts w:ascii="Arial" w:hAnsi="Arial"/>
                <w:sz w:val="18"/>
              </w:rPr>
              <w:t>**239.400139**</w:t>
            </w:r>
          </w:p>
        </w:tc>
        <w:tc>
          <w:tcPr>
            <w:tcW w:w="1003" w:type="dxa"/>
            <w:shd w:val="clear" w:color="auto" w:fill="F2F6FC"/>
          </w:tcPr>
          <w:p w14:paraId="16B778C7" w14:textId="77777777" w:rsidR="00AD4FA5" w:rsidRDefault="00000000">
            <w:r>
              <w:rPr>
                <w:rFonts w:ascii="Arial" w:hAnsi="Arial"/>
                <w:sz w:val="18"/>
              </w:rPr>
              <w:t>**3.36**</w:t>
            </w:r>
          </w:p>
        </w:tc>
        <w:tc>
          <w:tcPr>
            <w:tcW w:w="1003" w:type="dxa"/>
            <w:shd w:val="clear" w:color="auto" w:fill="F2F6FC"/>
          </w:tcPr>
          <w:p w14:paraId="17A13A2B" w14:textId="77777777" w:rsidR="00AD4FA5" w:rsidRDefault="00000000">
            <w:r>
              <w:rPr>
                <w:rFonts w:ascii="Arial" w:hAnsi="Arial"/>
                <w:sz w:val="18"/>
              </w:rPr>
              <w:t>**1,955**</w:t>
            </w:r>
          </w:p>
        </w:tc>
      </w:tr>
    </w:tbl>
    <w:p w14:paraId="2789221D" w14:textId="77777777" w:rsidR="00AD4FA5" w:rsidRDefault="00000000">
      <w:r>
        <w:rPr>
          <w:rFonts w:ascii="Arial" w:hAnsi="Arial"/>
          <w:i/>
          <w:sz w:val="16"/>
        </w:rPr>
        <w:t>Source: Source: Institution's PCAF calculation system. Gross emissions represent unadjusted attribution; weighted emissions apply PCAF confidence factors. Portfolio coverage: 100% of commercial lending by outstanding value. Reporting period: 1 January 2024 – 31 December 2024.</w:t>
      </w:r>
    </w:p>
    <w:p w14:paraId="52EE754C" w14:textId="77777777" w:rsidR="00AD4FA5" w:rsidRDefault="00AD4FA5"/>
    <w:p w14:paraId="2116B862" w14:textId="77777777" w:rsidR="00AD4FA5" w:rsidRDefault="00000000">
      <w:r>
        <w:rPr>
          <w:rFonts w:ascii="Arial" w:hAnsi="Arial"/>
          <w:b/>
          <w:sz w:val="20"/>
        </w:rPr>
        <w:t>Table 2: PCAF Data Quality Distribution — Portfolio Composition by Confidence Tier</w:t>
      </w:r>
    </w:p>
    <w:tbl>
      <w:tblPr>
        <w:tblW w:w="0" w:type="auto"/>
        <w:jc w:val="center"/>
        <w:tblLook w:val="04A0" w:firstRow="1" w:lastRow="0" w:firstColumn="1" w:lastColumn="0" w:noHBand="0" w:noVBand="1"/>
      </w:tblPr>
      <w:tblGrid>
        <w:gridCol w:w="1806"/>
        <w:gridCol w:w="1806"/>
        <w:gridCol w:w="1806"/>
        <w:gridCol w:w="1806"/>
        <w:gridCol w:w="1806"/>
      </w:tblGrid>
      <w:tr w:rsidR="00AD4FA5" w14:paraId="05F744F8" w14:textId="77777777">
        <w:trPr>
          <w:jc w:val="center"/>
        </w:trPr>
        <w:tc>
          <w:tcPr>
            <w:tcW w:w="1806" w:type="dxa"/>
            <w:shd w:val="clear" w:color="auto" w:fill="1B3A6B"/>
          </w:tcPr>
          <w:p w14:paraId="7FAC3DEC" w14:textId="77777777" w:rsidR="00AD4FA5" w:rsidRDefault="00000000">
            <w:r>
              <w:rPr>
                <w:rFonts w:ascii="Arial" w:hAnsi="Arial"/>
                <w:b/>
                <w:color w:val="FFFFFF"/>
                <w:sz w:val="18"/>
              </w:rPr>
              <w:t>PCAF Data Quality Score</w:t>
            </w:r>
          </w:p>
        </w:tc>
        <w:tc>
          <w:tcPr>
            <w:tcW w:w="1806" w:type="dxa"/>
            <w:shd w:val="clear" w:color="auto" w:fill="1B3A6B"/>
          </w:tcPr>
          <w:p w14:paraId="0DD07B07" w14:textId="77777777" w:rsidR="00AD4FA5" w:rsidRDefault="00000000">
            <w:r>
              <w:rPr>
                <w:rFonts w:ascii="Arial" w:hAnsi="Arial"/>
                <w:b/>
                <w:color w:val="FFFFFF"/>
                <w:sz w:val="18"/>
              </w:rPr>
              <w:t>Confidence Factor</w:t>
            </w:r>
          </w:p>
        </w:tc>
        <w:tc>
          <w:tcPr>
            <w:tcW w:w="1806" w:type="dxa"/>
            <w:shd w:val="clear" w:color="auto" w:fill="1B3A6B"/>
          </w:tcPr>
          <w:p w14:paraId="120C6B6D" w14:textId="77777777" w:rsidR="00AD4FA5" w:rsidRDefault="00000000">
            <w:r>
              <w:rPr>
                <w:rFonts w:ascii="Arial" w:hAnsi="Arial"/>
                <w:b/>
                <w:color w:val="FFFFFF"/>
                <w:sz w:val="18"/>
              </w:rPr>
              <w:t>Data Source Description</w:t>
            </w:r>
          </w:p>
        </w:tc>
        <w:tc>
          <w:tcPr>
            <w:tcW w:w="1806" w:type="dxa"/>
            <w:shd w:val="clear" w:color="auto" w:fill="1B3A6B"/>
          </w:tcPr>
          <w:p w14:paraId="0181EAB3" w14:textId="77777777" w:rsidR="00AD4FA5" w:rsidRDefault="00000000">
            <w:r>
              <w:rPr>
                <w:rFonts w:ascii="Arial" w:hAnsi="Arial"/>
                <w:b/>
                <w:color w:val="FFFFFF"/>
                <w:sz w:val="18"/>
              </w:rPr>
              <w:t>% of Portfolio (by Outstanding)</w:t>
            </w:r>
          </w:p>
        </w:tc>
        <w:tc>
          <w:tcPr>
            <w:tcW w:w="1806" w:type="dxa"/>
            <w:shd w:val="clear" w:color="auto" w:fill="1B3A6B"/>
          </w:tcPr>
          <w:p w14:paraId="70158E0C" w14:textId="77777777" w:rsidR="00AD4FA5" w:rsidRDefault="00000000">
            <w:r>
              <w:rPr>
                <w:rFonts w:ascii="Arial" w:hAnsi="Arial"/>
                <w:b/>
                <w:color w:val="FFFFFF"/>
                <w:sz w:val="18"/>
              </w:rPr>
              <w:t>% of Financed Emissions (Gross)</w:t>
            </w:r>
          </w:p>
        </w:tc>
      </w:tr>
      <w:tr w:rsidR="00AD4FA5" w14:paraId="5A662AA1" w14:textId="77777777">
        <w:trPr>
          <w:jc w:val="center"/>
        </w:trPr>
        <w:tc>
          <w:tcPr>
            <w:tcW w:w="1806" w:type="dxa"/>
          </w:tcPr>
          <w:p w14:paraId="7A1D9E9B" w14:textId="77777777" w:rsidR="00AD4FA5" w:rsidRDefault="00000000">
            <w:pPr>
              <w:jc w:val="right"/>
            </w:pPr>
            <w:r>
              <w:rPr>
                <w:rFonts w:ascii="Arial" w:hAnsi="Arial"/>
                <w:sz w:val="18"/>
              </w:rPr>
              <w:t>1</w:t>
            </w:r>
          </w:p>
        </w:tc>
        <w:tc>
          <w:tcPr>
            <w:tcW w:w="1806" w:type="dxa"/>
          </w:tcPr>
          <w:p w14:paraId="5D5A8935" w14:textId="77777777" w:rsidR="00AD4FA5" w:rsidRDefault="00000000">
            <w:pPr>
              <w:jc w:val="right"/>
            </w:pPr>
            <w:r>
              <w:rPr>
                <w:rFonts w:ascii="Arial" w:hAnsi="Arial"/>
                <w:sz w:val="18"/>
              </w:rPr>
              <w:t>1.00</w:t>
            </w:r>
          </w:p>
        </w:tc>
        <w:tc>
          <w:tcPr>
            <w:tcW w:w="1806" w:type="dxa"/>
          </w:tcPr>
          <w:p w14:paraId="754E9B7B" w14:textId="77777777" w:rsidR="00AD4FA5" w:rsidRDefault="00000000">
            <w:r>
              <w:rPr>
                <w:rFonts w:ascii="Arial" w:hAnsi="Arial"/>
                <w:sz w:val="18"/>
              </w:rPr>
              <w:t>Verified emissions (CDP/equivalent)</w:t>
            </w:r>
          </w:p>
        </w:tc>
        <w:tc>
          <w:tcPr>
            <w:tcW w:w="1806" w:type="dxa"/>
          </w:tcPr>
          <w:p w14:paraId="63AFA6BB" w14:textId="77777777" w:rsidR="00AD4FA5" w:rsidRDefault="00000000">
            <w:pPr>
              <w:jc w:val="right"/>
            </w:pPr>
            <w:r>
              <w:rPr>
                <w:rFonts w:ascii="Arial" w:hAnsi="Arial"/>
                <w:sz w:val="18"/>
              </w:rPr>
              <w:t>0.00%</w:t>
            </w:r>
          </w:p>
        </w:tc>
        <w:tc>
          <w:tcPr>
            <w:tcW w:w="1806" w:type="dxa"/>
          </w:tcPr>
          <w:p w14:paraId="649C473F" w14:textId="77777777" w:rsidR="00AD4FA5" w:rsidRDefault="00000000">
            <w:pPr>
              <w:jc w:val="right"/>
            </w:pPr>
            <w:r>
              <w:rPr>
                <w:rFonts w:ascii="Arial" w:hAnsi="Arial"/>
                <w:sz w:val="18"/>
              </w:rPr>
              <w:t>0.00%</w:t>
            </w:r>
          </w:p>
        </w:tc>
      </w:tr>
      <w:tr w:rsidR="00AD4FA5" w14:paraId="16B1B282" w14:textId="77777777">
        <w:trPr>
          <w:jc w:val="center"/>
        </w:trPr>
        <w:tc>
          <w:tcPr>
            <w:tcW w:w="1806" w:type="dxa"/>
            <w:shd w:val="clear" w:color="auto" w:fill="F2F6FC"/>
          </w:tcPr>
          <w:p w14:paraId="1C7E4E2A" w14:textId="77777777" w:rsidR="00AD4FA5" w:rsidRDefault="00000000">
            <w:pPr>
              <w:jc w:val="right"/>
            </w:pPr>
            <w:r>
              <w:rPr>
                <w:rFonts w:ascii="Arial" w:hAnsi="Arial"/>
                <w:sz w:val="18"/>
              </w:rPr>
              <w:lastRenderedPageBreak/>
              <w:t>2</w:t>
            </w:r>
          </w:p>
        </w:tc>
        <w:tc>
          <w:tcPr>
            <w:tcW w:w="1806" w:type="dxa"/>
            <w:shd w:val="clear" w:color="auto" w:fill="F2F6FC"/>
          </w:tcPr>
          <w:p w14:paraId="34895569" w14:textId="77777777" w:rsidR="00AD4FA5" w:rsidRDefault="00000000">
            <w:pPr>
              <w:jc w:val="right"/>
            </w:pPr>
            <w:r>
              <w:rPr>
                <w:rFonts w:ascii="Arial" w:hAnsi="Arial"/>
                <w:sz w:val="18"/>
              </w:rPr>
              <w:t>0.90</w:t>
            </w:r>
          </w:p>
        </w:tc>
        <w:tc>
          <w:tcPr>
            <w:tcW w:w="1806" w:type="dxa"/>
            <w:shd w:val="clear" w:color="auto" w:fill="F2F6FC"/>
          </w:tcPr>
          <w:p w14:paraId="139E60CF" w14:textId="77777777" w:rsidR="00AD4FA5" w:rsidRDefault="00000000">
            <w:r>
              <w:rPr>
                <w:rFonts w:ascii="Arial" w:hAnsi="Arial"/>
                <w:sz w:val="18"/>
              </w:rPr>
              <w:t>Reported emissions, unverified</w:t>
            </w:r>
          </w:p>
        </w:tc>
        <w:tc>
          <w:tcPr>
            <w:tcW w:w="1806" w:type="dxa"/>
            <w:shd w:val="clear" w:color="auto" w:fill="F2F6FC"/>
          </w:tcPr>
          <w:p w14:paraId="3DF49980" w14:textId="77777777" w:rsidR="00AD4FA5" w:rsidRDefault="00000000">
            <w:pPr>
              <w:jc w:val="right"/>
            </w:pPr>
            <w:r>
              <w:rPr>
                <w:rFonts w:ascii="Arial" w:hAnsi="Arial"/>
                <w:sz w:val="18"/>
              </w:rPr>
              <w:t>0.00%</w:t>
            </w:r>
          </w:p>
        </w:tc>
        <w:tc>
          <w:tcPr>
            <w:tcW w:w="1806" w:type="dxa"/>
            <w:shd w:val="clear" w:color="auto" w:fill="F2F6FC"/>
          </w:tcPr>
          <w:p w14:paraId="6BB19518" w14:textId="77777777" w:rsidR="00AD4FA5" w:rsidRDefault="00000000">
            <w:pPr>
              <w:jc w:val="right"/>
            </w:pPr>
            <w:r>
              <w:rPr>
                <w:rFonts w:ascii="Arial" w:hAnsi="Arial"/>
                <w:sz w:val="18"/>
              </w:rPr>
              <w:t>0.00%</w:t>
            </w:r>
          </w:p>
        </w:tc>
      </w:tr>
      <w:tr w:rsidR="00AD4FA5" w14:paraId="58D3A113" w14:textId="77777777">
        <w:trPr>
          <w:jc w:val="center"/>
        </w:trPr>
        <w:tc>
          <w:tcPr>
            <w:tcW w:w="1806" w:type="dxa"/>
          </w:tcPr>
          <w:p w14:paraId="3A19D136" w14:textId="77777777" w:rsidR="00AD4FA5" w:rsidRDefault="00000000">
            <w:pPr>
              <w:jc w:val="right"/>
            </w:pPr>
            <w:r>
              <w:rPr>
                <w:rFonts w:ascii="Arial" w:hAnsi="Arial"/>
                <w:sz w:val="18"/>
              </w:rPr>
              <w:t>3</w:t>
            </w:r>
          </w:p>
        </w:tc>
        <w:tc>
          <w:tcPr>
            <w:tcW w:w="1806" w:type="dxa"/>
          </w:tcPr>
          <w:p w14:paraId="0B7BD000" w14:textId="77777777" w:rsidR="00AD4FA5" w:rsidRDefault="00000000">
            <w:pPr>
              <w:jc w:val="right"/>
            </w:pPr>
            <w:r>
              <w:rPr>
                <w:rFonts w:ascii="Arial" w:hAnsi="Arial"/>
                <w:sz w:val="18"/>
              </w:rPr>
              <w:t>0.75</w:t>
            </w:r>
          </w:p>
        </w:tc>
        <w:tc>
          <w:tcPr>
            <w:tcW w:w="1806" w:type="dxa"/>
          </w:tcPr>
          <w:p w14:paraId="27E73923" w14:textId="77777777" w:rsidR="00AD4FA5" w:rsidRDefault="00000000">
            <w:r>
              <w:rPr>
                <w:rFonts w:ascii="Arial" w:hAnsi="Arial"/>
                <w:sz w:val="18"/>
              </w:rPr>
              <w:t>EEIO model + borrower revenue</w:t>
            </w:r>
          </w:p>
        </w:tc>
        <w:tc>
          <w:tcPr>
            <w:tcW w:w="1806" w:type="dxa"/>
          </w:tcPr>
          <w:p w14:paraId="6C87C2D6" w14:textId="77777777" w:rsidR="00AD4FA5" w:rsidRDefault="00000000">
            <w:pPr>
              <w:jc w:val="right"/>
            </w:pPr>
            <w:r>
              <w:rPr>
                <w:rFonts w:ascii="Arial" w:hAnsi="Arial"/>
                <w:sz w:val="18"/>
              </w:rPr>
              <w:t>58.24%</w:t>
            </w:r>
          </w:p>
        </w:tc>
        <w:tc>
          <w:tcPr>
            <w:tcW w:w="1806" w:type="dxa"/>
          </w:tcPr>
          <w:p w14:paraId="2F4A84C1" w14:textId="77777777" w:rsidR="00AD4FA5" w:rsidRDefault="00000000">
            <w:pPr>
              <w:jc w:val="right"/>
            </w:pPr>
            <w:r>
              <w:rPr>
                <w:rFonts w:ascii="Arial" w:hAnsi="Arial"/>
                <w:sz w:val="18"/>
              </w:rPr>
              <w:t>62.13%</w:t>
            </w:r>
          </w:p>
        </w:tc>
      </w:tr>
      <w:tr w:rsidR="00AD4FA5" w14:paraId="4C713DCB" w14:textId="77777777">
        <w:trPr>
          <w:jc w:val="center"/>
        </w:trPr>
        <w:tc>
          <w:tcPr>
            <w:tcW w:w="1806" w:type="dxa"/>
            <w:shd w:val="clear" w:color="auto" w:fill="F2F6FC"/>
          </w:tcPr>
          <w:p w14:paraId="49D74240" w14:textId="77777777" w:rsidR="00AD4FA5" w:rsidRDefault="00000000">
            <w:pPr>
              <w:jc w:val="right"/>
            </w:pPr>
            <w:r>
              <w:rPr>
                <w:rFonts w:ascii="Arial" w:hAnsi="Arial"/>
                <w:sz w:val="18"/>
              </w:rPr>
              <w:t>4</w:t>
            </w:r>
          </w:p>
        </w:tc>
        <w:tc>
          <w:tcPr>
            <w:tcW w:w="1806" w:type="dxa"/>
            <w:shd w:val="clear" w:color="auto" w:fill="F2F6FC"/>
          </w:tcPr>
          <w:p w14:paraId="62155DC0" w14:textId="77777777" w:rsidR="00AD4FA5" w:rsidRDefault="00000000">
            <w:pPr>
              <w:jc w:val="right"/>
            </w:pPr>
            <w:r>
              <w:rPr>
                <w:rFonts w:ascii="Arial" w:hAnsi="Arial"/>
                <w:sz w:val="18"/>
              </w:rPr>
              <w:t>0.60</w:t>
            </w:r>
          </w:p>
        </w:tc>
        <w:tc>
          <w:tcPr>
            <w:tcW w:w="1806" w:type="dxa"/>
            <w:shd w:val="clear" w:color="auto" w:fill="F2F6FC"/>
          </w:tcPr>
          <w:p w14:paraId="68BA7A0C" w14:textId="77777777" w:rsidR="00AD4FA5" w:rsidRDefault="00000000">
            <w:r>
              <w:rPr>
                <w:rFonts w:ascii="Arial" w:hAnsi="Arial"/>
                <w:sz w:val="18"/>
              </w:rPr>
              <w:t>EEIO model + borrower assets</w:t>
            </w:r>
          </w:p>
        </w:tc>
        <w:tc>
          <w:tcPr>
            <w:tcW w:w="1806" w:type="dxa"/>
            <w:shd w:val="clear" w:color="auto" w:fill="F2F6FC"/>
          </w:tcPr>
          <w:p w14:paraId="54E8FC65" w14:textId="77777777" w:rsidR="00AD4FA5" w:rsidRDefault="00000000">
            <w:pPr>
              <w:jc w:val="right"/>
            </w:pPr>
            <w:r>
              <w:rPr>
                <w:rFonts w:ascii="Arial" w:hAnsi="Arial"/>
                <w:sz w:val="18"/>
              </w:rPr>
              <w:t>41.76%</w:t>
            </w:r>
          </w:p>
        </w:tc>
        <w:tc>
          <w:tcPr>
            <w:tcW w:w="1806" w:type="dxa"/>
            <w:shd w:val="clear" w:color="auto" w:fill="F2F6FC"/>
          </w:tcPr>
          <w:p w14:paraId="092786F6" w14:textId="77777777" w:rsidR="00AD4FA5" w:rsidRDefault="00000000">
            <w:pPr>
              <w:jc w:val="right"/>
            </w:pPr>
            <w:r>
              <w:rPr>
                <w:rFonts w:ascii="Arial" w:hAnsi="Arial"/>
                <w:sz w:val="18"/>
              </w:rPr>
              <w:t>37.87%</w:t>
            </w:r>
          </w:p>
        </w:tc>
      </w:tr>
      <w:tr w:rsidR="00AD4FA5" w14:paraId="3107292E" w14:textId="77777777">
        <w:trPr>
          <w:jc w:val="center"/>
        </w:trPr>
        <w:tc>
          <w:tcPr>
            <w:tcW w:w="1806" w:type="dxa"/>
          </w:tcPr>
          <w:p w14:paraId="2F5C77F4" w14:textId="77777777" w:rsidR="00AD4FA5" w:rsidRDefault="00000000">
            <w:pPr>
              <w:jc w:val="right"/>
            </w:pPr>
            <w:r>
              <w:rPr>
                <w:rFonts w:ascii="Arial" w:hAnsi="Arial"/>
                <w:sz w:val="18"/>
              </w:rPr>
              <w:t>5</w:t>
            </w:r>
          </w:p>
        </w:tc>
        <w:tc>
          <w:tcPr>
            <w:tcW w:w="1806" w:type="dxa"/>
          </w:tcPr>
          <w:p w14:paraId="09729200" w14:textId="77777777" w:rsidR="00AD4FA5" w:rsidRDefault="00000000">
            <w:pPr>
              <w:jc w:val="right"/>
            </w:pPr>
            <w:r>
              <w:rPr>
                <w:rFonts w:ascii="Arial" w:hAnsi="Arial"/>
                <w:sz w:val="18"/>
              </w:rPr>
              <w:t>0.45</w:t>
            </w:r>
          </w:p>
        </w:tc>
        <w:tc>
          <w:tcPr>
            <w:tcW w:w="1806" w:type="dxa"/>
          </w:tcPr>
          <w:p w14:paraId="0B57D2FC" w14:textId="77777777" w:rsidR="00AD4FA5" w:rsidRDefault="00000000">
            <w:r>
              <w:rPr>
                <w:rFonts w:ascii="Arial" w:hAnsi="Arial"/>
                <w:sz w:val="18"/>
              </w:rPr>
              <w:t>Sector-average proxy</w:t>
            </w:r>
          </w:p>
        </w:tc>
        <w:tc>
          <w:tcPr>
            <w:tcW w:w="1806" w:type="dxa"/>
          </w:tcPr>
          <w:p w14:paraId="4345BDE0" w14:textId="77777777" w:rsidR="00AD4FA5" w:rsidRDefault="00000000">
            <w:pPr>
              <w:jc w:val="right"/>
            </w:pPr>
            <w:r>
              <w:rPr>
                <w:rFonts w:ascii="Arial" w:hAnsi="Arial"/>
                <w:sz w:val="18"/>
              </w:rPr>
              <w:t>0.00%</w:t>
            </w:r>
          </w:p>
        </w:tc>
        <w:tc>
          <w:tcPr>
            <w:tcW w:w="1806" w:type="dxa"/>
          </w:tcPr>
          <w:p w14:paraId="65921A48" w14:textId="77777777" w:rsidR="00AD4FA5" w:rsidRDefault="00000000">
            <w:pPr>
              <w:jc w:val="right"/>
            </w:pPr>
            <w:r>
              <w:rPr>
                <w:rFonts w:ascii="Arial" w:hAnsi="Arial"/>
                <w:sz w:val="18"/>
              </w:rPr>
              <w:t>0.00%</w:t>
            </w:r>
          </w:p>
        </w:tc>
      </w:tr>
      <w:tr w:rsidR="00AD4FA5" w14:paraId="70EAD5E4" w14:textId="77777777">
        <w:trPr>
          <w:jc w:val="center"/>
        </w:trPr>
        <w:tc>
          <w:tcPr>
            <w:tcW w:w="1806" w:type="dxa"/>
            <w:shd w:val="clear" w:color="auto" w:fill="F2F6FC"/>
          </w:tcPr>
          <w:p w14:paraId="7AC38833" w14:textId="77777777" w:rsidR="00AD4FA5" w:rsidRDefault="00000000">
            <w:r>
              <w:rPr>
                <w:rFonts w:ascii="Arial" w:hAnsi="Arial"/>
                <w:sz w:val="18"/>
              </w:rPr>
              <w:t>**Portfolio-Weighted Average**</w:t>
            </w:r>
          </w:p>
        </w:tc>
        <w:tc>
          <w:tcPr>
            <w:tcW w:w="1806" w:type="dxa"/>
            <w:shd w:val="clear" w:color="auto" w:fill="F2F6FC"/>
          </w:tcPr>
          <w:p w14:paraId="3A4CF919" w14:textId="77777777" w:rsidR="00AD4FA5" w:rsidRDefault="00000000">
            <w:r>
              <w:rPr>
                <w:rFonts w:ascii="Arial" w:hAnsi="Arial"/>
                <w:sz w:val="18"/>
              </w:rPr>
              <w:t>**0.695**</w:t>
            </w:r>
          </w:p>
        </w:tc>
        <w:tc>
          <w:tcPr>
            <w:tcW w:w="1806" w:type="dxa"/>
            <w:shd w:val="clear" w:color="auto" w:fill="F2F6FC"/>
          </w:tcPr>
          <w:p w14:paraId="35FD1591" w14:textId="77777777" w:rsidR="00AD4FA5" w:rsidRDefault="00000000">
            <w:r>
              <w:rPr>
                <w:rFonts w:ascii="Arial" w:hAnsi="Arial"/>
                <w:sz w:val="18"/>
              </w:rPr>
              <w:t>**—**</w:t>
            </w:r>
          </w:p>
        </w:tc>
        <w:tc>
          <w:tcPr>
            <w:tcW w:w="1806" w:type="dxa"/>
            <w:shd w:val="clear" w:color="auto" w:fill="F2F6FC"/>
          </w:tcPr>
          <w:p w14:paraId="49311B37" w14:textId="77777777" w:rsidR="00AD4FA5" w:rsidRDefault="00000000">
            <w:r>
              <w:rPr>
                <w:rFonts w:ascii="Arial" w:hAnsi="Arial"/>
                <w:sz w:val="18"/>
              </w:rPr>
              <w:t>**100.00%**</w:t>
            </w:r>
          </w:p>
        </w:tc>
        <w:tc>
          <w:tcPr>
            <w:tcW w:w="1806" w:type="dxa"/>
            <w:shd w:val="clear" w:color="auto" w:fill="F2F6FC"/>
          </w:tcPr>
          <w:p w14:paraId="7BEDE804" w14:textId="77777777" w:rsidR="00AD4FA5" w:rsidRDefault="00000000">
            <w:r>
              <w:rPr>
                <w:rFonts w:ascii="Arial" w:hAnsi="Arial"/>
                <w:sz w:val="18"/>
              </w:rPr>
              <w:t>**100.00%**</w:t>
            </w:r>
          </w:p>
        </w:tc>
      </w:tr>
    </w:tbl>
    <w:p w14:paraId="7C1C7027" w14:textId="77777777" w:rsidR="00AD4FA5" w:rsidRDefault="00000000">
      <w:r>
        <w:rPr>
          <w:rFonts w:ascii="Arial" w:hAnsi="Arial"/>
          <w:i/>
          <w:sz w:val="16"/>
        </w:rPr>
        <w:t>Source: Source: Institution's PCAF data quality assessment. Portfolio-weighted average PCAF score: 3.36. No borrowers provided verified or reported emissions data for the 2024 reporting period. EEIO = Environmentally Extended Input-Output model per PCAF Global GHG Accounting Standard (2022).</w:t>
      </w:r>
    </w:p>
    <w:p w14:paraId="6A0790C3" w14:textId="77777777" w:rsidR="00AD4FA5" w:rsidRDefault="00AD4FA5"/>
    <w:p w14:paraId="3F4967C6" w14:textId="77777777" w:rsidR="00AD4FA5" w:rsidRDefault="00000000">
      <w:r>
        <w:rPr>
          <w:rFonts w:ascii="Arial" w:hAnsi="Arial"/>
          <w:b/>
          <w:sz w:val="20"/>
        </w:rPr>
        <w:t>Table 3: SASB FN-CB-410a.3 — Financed Emissions by Industry (Commercial &amp; Industrial Credit Exposure)</w:t>
      </w:r>
    </w:p>
    <w:tbl>
      <w:tblPr>
        <w:tblW w:w="0" w:type="auto"/>
        <w:jc w:val="center"/>
        <w:tblLook w:val="04A0" w:firstRow="1" w:lastRow="0" w:firstColumn="1" w:lastColumn="0" w:noHBand="0" w:noVBand="1"/>
      </w:tblPr>
      <w:tblGrid>
        <w:gridCol w:w="2257"/>
        <w:gridCol w:w="2257"/>
        <w:gridCol w:w="2257"/>
        <w:gridCol w:w="2257"/>
      </w:tblGrid>
      <w:tr w:rsidR="00AD4FA5" w14:paraId="4278479F" w14:textId="77777777">
        <w:trPr>
          <w:jc w:val="center"/>
        </w:trPr>
        <w:tc>
          <w:tcPr>
            <w:tcW w:w="2257" w:type="dxa"/>
            <w:shd w:val="clear" w:color="auto" w:fill="1B3A6B"/>
          </w:tcPr>
          <w:p w14:paraId="7E1EF616" w14:textId="77777777" w:rsidR="00AD4FA5" w:rsidRDefault="00000000">
            <w:r>
              <w:rPr>
                <w:rFonts w:ascii="Arial" w:hAnsi="Arial"/>
                <w:b/>
                <w:color w:val="FFFFFF"/>
                <w:sz w:val="18"/>
              </w:rPr>
              <w:t>Industry Sector</w:t>
            </w:r>
          </w:p>
        </w:tc>
        <w:tc>
          <w:tcPr>
            <w:tcW w:w="2257" w:type="dxa"/>
            <w:shd w:val="clear" w:color="auto" w:fill="1B3A6B"/>
          </w:tcPr>
          <w:p w14:paraId="04D39E0F" w14:textId="77777777" w:rsidR="00AD4FA5" w:rsidRDefault="00000000">
            <w:r>
              <w:rPr>
                <w:rFonts w:ascii="Arial" w:hAnsi="Arial"/>
                <w:b/>
                <w:color w:val="FFFFFF"/>
                <w:sz w:val="18"/>
              </w:rPr>
              <w:t>Credit Exposure (IDR Trillion)</w:t>
            </w:r>
          </w:p>
        </w:tc>
        <w:tc>
          <w:tcPr>
            <w:tcW w:w="2257" w:type="dxa"/>
            <w:shd w:val="clear" w:color="auto" w:fill="1B3A6B"/>
          </w:tcPr>
          <w:p w14:paraId="456366DD" w14:textId="77777777" w:rsidR="00AD4FA5" w:rsidRDefault="00000000">
            <w:r>
              <w:rPr>
                <w:rFonts w:ascii="Arial" w:hAnsi="Arial"/>
                <w:b/>
                <w:color w:val="FFFFFF"/>
                <w:sz w:val="18"/>
              </w:rPr>
              <w:t>Financed Emissions (tCO2e)</w:t>
            </w:r>
          </w:p>
        </w:tc>
        <w:tc>
          <w:tcPr>
            <w:tcW w:w="2257" w:type="dxa"/>
            <w:shd w:val="clear" w:color="auto" w:fill="1B3A6B"/>
          </w:tcPr>
          <w:p w14:paraId="116DF5B8" w14:textId="77777777" w:rsidR="00AD4FA5" w:rsidRDefault="00000000">
            <w:r>
              <w:rPr>
                <w:rFonts w:ascii="Arial" w:hAnsi="Arial"/>
                <w:b/>
                <w:color w:val="FFFFFF"/>
                <w:sz w:val="18"/>
              </w:rPr>
              <w:t>Emission Intensity (tCO2e/IDR Bn)</w:t>
            </w:r>
          </w:p>
        </w:tc>
      </w:tr>
      <w:tr w:rsidR="00AD4FA5" w14:paraId="286B3F8C" w14:textId="77777777">
        <w:trPr>
          <w:jc w:val="center"/>
        </w:trPr>
        <w:tc>
          <w:tcPr>
            <w:tcW w:w="2257" w:type="dxa"/>
          </w:tcPr>
          <w:p w14:paraId="1B6065F2" w14:textId="77777777" w:rsidR="00AD4FA5" w:rsidRDefault="00000000">
            <w:r>
              <w:rPr>
                <w:rFonts w:ascii="Arial" w:hAnsi="Arial"/>
                <w:sz w:val="18"/>
              </w:rPr>
              <w:t>Energy</w:t>
            </w:r>
          </w:p>
        </w:tc>
        <w:tc>
          <w:tcPr>
            <w:tcW w:w="2257" w:type="dxa"/>
          </w:tcPr>
          <w:p w14:paraId="5C33BDD1" w14:textId="77777777" w:rsidR="00AD4FA5" w:rsidRDefault="00000000">
            <w:pPr>
              <w:jc w:val="right"/>
            </w:pPr>
            <w:r>
              <w:rPr>
                <w:rFonts w:ascii="Arial" w:hAnsi="Arial"/>
                <w:sz w:val="18"/>
              </w:rPr>
              <w:t>102.67</w:t>
            </w:r>
          </w:p>
        </w:tc>
        <w:tc>
          <w:tcPr>
            <w:tcW w:w="2257" w:type="dxa"/>
          </w:tcPr>
          <w:p w14:paraId="4805F103" w14:textId="77777777" w:rsidR="00AD4FA5" w:rsidRDefault="00000000">
            <w:pPr>
              <w:jc w:val="right"/>
            </w:pPr>
            <w:r>
              <w:rPr>
                <w:rFonts w:ascii="Arial" w:hAnsi="Arial"/>
                <w:sz w:val="18"/>
              </w:rPr>
              <w:t>9,573,144.27</w:t>
            </w:r>
          </w:p>
        </w:tc>
        <w:tc>
          <w:tcPr>
            <w:tcW w:w="2257" w:type="dxa"/>
          </w:tcPr>
          <w:p w14:paraId="26FBE41F" w14:textId="77777777" w:rsidR="00AD4FA5" w:rsidRDefault="00000000">
            <w:pPr>
              <w:jc w:val="right"/>
            </w:pPr>
            <w:r>
              <w:rPr>
                <w:rFonts w:ascii="Arial" w:hAnsi="Arial"/>
                <w:sz w:val="18"/>
              </w:rPr>
              <w:t>93.242</w:t>
            </w:r>
          </w:p>
        </w:tc>
      </w:tr>
      <w:tr w:rsidR="00AD4FA5" w14:paraId="5F28C57E" w14:textId="77777777">
        <w:trPr>
          <w:jc w:val="center"/>
        </w:trPr>
        <w:tc>
          <w:tcPr>
            <w:tcW w:w="2257" w:type="dxa"/>
            <w:shd w:val="clear" w:color="auto" w:fill="F2F6FC"/>
          </w:tcPr>
          <w:p w14:paraId="35719FDF" w14:textId="77777777" w:rsidR="00AD4FA5" w:rsidRDefault="00000000">
            <w:r>
              <w:rPr>
                <w:rFonts w:ascii="Arial" w:hAnsi="Arial"/>
                <w:sz w:val="18"/>
              </w:rPr>
              <w:t>Materials (Cement, Steel)</w:t>
            </w:r>
          </w:p>
        </w:tc>
        <w:tc>
          <w:tcPr>
            <w:tcW w:w="2257" w:type="dxa"/>
            <w:shd w:val="clear" w:color="auto" w:fill="F2F6FC"/>
          </w:tcPr>
          <w:p w14:paraId="630F08D3" w14:textId="77777777" w:rsidR="00AD4FA5" w:rsidRDefault="00000000">
            <w:pPr>
              <w:jc w:val="right"/>
            </w:pPr>
            <w:r>
              <w:rPr>
                <w:rFonts w:ascii="Arial" w:hAnsi="Arial"/>
                <w:sz w:val="18"/>
              </w:rPr>
              <w:t>216.30</w:t>
            </w:r>
          </w:p>
        </w:tc>
        <w:tc>
          <w:tcPr>
            <w:tcW w:w="2257" w:type="dxa"/>
            <w:shd w:val="clear" w:color="auto" w:fill="F2F6FC"/>
          </w:tcPr>
          <w:p w14:paraId="52D2662F" w14:textId="77777777" w:rsidR="00AD4FA5" w:rsidRDefault="00000000">
            <w:pPr>
              <w:jc w:val="right"/>
            </w:pPr>
            <w:r>
              <w:rPr>
                <w:rFonts w:ascii="Arial" w:hAnsi="Arial"/>
                <w:sz w:val="18"/>
              </w:rPr>
              <w:t>9,313,293.91</w:t>
            </w:r>
          </w:p>
        </w:tc>
        <w:tc>
          <w:tcPr>
            <w:tcW w:w="2257" w:type="dxa"/>
            <w:shd w:val="clear" w:color="auto" w:fill="F2F6FC"/>
          </w:tcPr>
          <w:p w14:paraId="6CA7099D" w14:textId="77777777" w:rsidR="00AD4FA5" w:rsidRDefault="00000000">
            <w:pPr>
              <w:jc w:val="right"/>
            </w:pPr>
            <w:r>
              <w:rPr>
                <w:rFonts w:ascii="Arial" w:hAnsi="Arial"/>
                <w:sz w:val="18"/>
              </w:rPr>
              <w:t>43.063</w:t>
            </w:r>
          </w:p>
        </w:tc>
      </w:tr>
      <w:tr w:rsidR="00AD4FA5" w14:paraId="4D440723" w14:textId="77777777">
        <w:trPr>
          <w:jc w:val="center"/>
        </w:trPr>
        <w:tc>
          <w:tcPr>
            <w:tcW w:w="2257" w:type="dxa"/>
          </w:tcPr>
          <w:p w14:paraId="3A2D5D8C" w14:textId="77777777" w:rsidR="00AD4FA5" w:rsidRDefault="00000000">
            <w:r>
              <w:rPr>
                <w:rFonts w:ascii="Arial" w:hAnsi="Arial"/>
                <w:sz w:val="18"/>
              </w:rPr>
              <w:t>Industrials (Transportation, Manufacturing)</w:t>
            </w:r>
          </w:p>
        </w:tc>
        <w:tc>
          <w:tcPr>
            <w:tcW w:w="2257" w:type="dxa"/>
          </w:tcPr>
          <w:p w14:paraId="796A977A" w14:textId="77777777" w:rsidR="00AD4FA5" w:rsidRDefault="00000000">
            <w:pPr>
              <w:jc w:val="right"/>
            </w:pPr>
            <w:r>
              <w:rPr>
                <w:rFonts w:ascii="Arial" w:hAnsi="Arial"/>
                <w:sz w:val="18"/>
              </w:rPr>
              <w:t>324.69</w:t>
            </w:r>
          </w:p>
        </w:tc>
        <w:tc>
          <w:tcPr>
            <w:tcW w:w="2257" w:type="dxa"/>
          </w:tcPr>
          <w:p w14:paraId="09421870" w14:textId="77777777" w:rsidR="00AD4FA5" w:rsidRDefault="00000000">
            <w:pPr>
              <w:jc w:val="right"/>
            </w:pPr>
            <w:r>
              <w:rPr>
                <w:rFonts w:ascii="Arial" w:hAnsi="Arial"/>
                <w:sz w:val="18"/>
              </w:rPr>
              <w:t>2,163,130.83</w:t>
            </w:r>
          </w:p>
        </w:tc>
        <w:tc>
          <w:tcPr>
            <w:tcW w:w="2257" w:type="dxa"/>
          </w:tcPr>
          <w:p w14:paraId="47B03091" w14:textId="77777777" w:rsidR="00AD4FA5" w:rsidRDefault="00000000">
            <w:pPr>
              <w:jc w:val="right"/>
            </w:pPr>
            <w:r>
              <w:rPr>
                <w:rFonts w:ascii="Arial" w:hAnsi="Arial"/>
                <w:sz w:val="18"/>
              </w:rPr>
              <w:t>6.662</w:t>
            </w:r>
          </w:p>
        </w:tc>
      </w:tr>
      <w:tr w:rsidR="00AD4FA5" w14:paraId="545838EF" w14:textId="77777777">
        <w:trPr>
          <w:jc w:val="center"/>
        </w:trPr>
        <w:tc>
          <w:tcPr>
            <w:tcW w:w="2257" w:type="dxa"/>
            <w:shd w:val="clear" w:color="auto" w:fill="F2F6FC"/>
          </w:tcPr>
          <w:p w14:paraId="45D2A919" w14:textId="77777777" w:rsidR="00AD4FA5" w:rsidRDefault="00000000">
            <w:r>
              <w:rPr>
                <w:rFonts w:ascii="Arial" w:hAnsi="Arial"/>
                <w:sz w:val="18"/>
              </w:rPr>
              <w:t>Consumer Discretionary (Retail)</w:t>
            </w:r>
          </w:p>
        </w:tc>
        <w:tc>
          <w:tcPr>
            <w:tcW w:w="2257" w:type="dxa"/>
            <w:shd w:val="clear" w:color="auto" w:fill="F2F6FC"/>
          </w:tcPr>
          <w:p w14:paraId="3DAE06B0" w14:textId="77777777" w:rsidR="00AD4FA5" w:rsidRDefault="00000000">
            <w:pPr>
              <w:jc w:val="right"/>
            </w:pPr>
            <w:r>
              <w:rPr>
                <w:rFonts w:ascii="Arial" w:hAnsi="Arial"/>
                <w:sz w:val="18"/>
              </w:rPr>
              <w:t>152.84</w:t>
            </w:r>
          </w:p>
        </w:tc>
        <w:tc>
          <w:tcPr>
            <w:tcW w:w="2257" w:type="dxa"/>
            <w:shd w:val="clear" w:color="auto" w:fill="F2F6FC"/>
          </w:tcPr>
          <w:p w14:paraId="58436946" w14:textId="77777777" w:rsidR="00AD4FA5" w:rsidRDefault="00000000">
            <w:pPr>
              <w:jc w:val="right"/>
            </w:pPr>
            <w:r>
              <w:rPr>
                <w:rFonts w:ascii="Arial" w:hAnsi="Arial"/>
                <w:sz w:val="18"/>
              </w:rPr>
              <w:t>226,340.67</w:t>
            </w:r>
          </w:p>
        </w:tc>
        <w:tc>
          <w:tcPr>
            <w:tcW w:w="2257" w:type="dxa"/>
            <w:shd w:val="clear" w:color="auto" w:fill="F2F6FC"/>
          </w:tcPr>
          <w:p w14:paraId="2D2A8C61" w14:textId="77777777" w:rsidR="00AD4FA5" w:rsidRDefault="00000000">
            <w:pPr>
              <w:jc w:val="right"/>
            </w:pPr>
            <w:r>
              <w:rPr>
                <w:rFonts w:ascii="Arial" w:hAnsi="Arial"/>
                <w:sz w:val="18"/>
              </w:rPr>
              <w:t>1.481</w:t>
            </w:r>
          </w:p>
        </w:tc>
      </w:tr>
      <w:tr w:rsidR="00AD4FA5" w14:paraId="04379C32" w14:textId="77777777">
        <w:trPr>
          <w:jc w:val="center"/>
        </w:trPr>
        <w:tc>
          <w:tcPr>
            <w:tcW w:w="2257" w:type="dxa"/>
          </w:tcPr>
          <w:p w14:paraId="578CFE8B" w14:textId="77777777" w:rsidR="00AD4FA5" w:rsidRDefault="00000000">
            <w:r>
              <w:rPr>
                <w:rFonts w:ascii="Arial" w:hAnsi="Arial"/>
                <w:sz w:val="18"/>
              </w:rPr>
              <w:t>Real Estate</w:t>
            </w:r>
          </w:p>
        </w:tc>
        <w:tc>
          <w:tcPr>
            <w:tcW w:w="2257" w:type="dxa"/>
          </w:tcPr>
          <w:p w14:paraId="570DEC8B" w14:textId="77777777" w:rsidR="00AD4FA5" w:rsidRDefault="00000000">
            <w:pPr>
              <w:jc w:val="right"/>
            </w:pPr>
            <w:r>
              <w:rPr>
                <w:rFonts w:ascii="Arial" w:hAnsi="Arial"/>
                <w:sz w:val="18"/>
              </w:rPr>
              <w:t>419.16</w:t>
            </w:r>
          </w:p>
        </w:tc>
        <w:tc>
          <w:tcPr>
            <w:tcW w:w="2257" w:type="dxa"/>
          </w:tcPr>
          <w:p w14:paraId="4C38665D" w14:textId="77777777" w:rsidR="00AD4FA5" w:rsidRDefault="00000000">
            <w:pPr>
              <w:jc w:val="right"/>
            </w:pPr>
            <w:r>
              <w:rPr>
                <w:rFonts w:ascii="Arial" w:hAnsi="Arial"/>
                <w:sz w:val="18"/>
              </w:rPr>
              <w:t>338,700.63</w:t>
            </w:r>
          </w:p>
        </w:tc>
        <w:tc>
          <w:tcPr>
            <w:tcW w:w="2257" w:type="dxa"/>
          </w:tcPr>
          <w:p w14:paraId="2ABBDDC5" w14:textId="77777777" w:rsidR="00AD4FA5" w:rsidRDefault="00000000">
            <w:pPr>
              <w:jc w:val="right"/>
            </w:pPr>
            <w:r>
              <w:rPr>
                <w:rFonts w:ascii="Arial" w:hAnsi="Arial"/>
                <w:sz w:val="18"/>
              </w:rPr>
              <w:t>0.808</w:t>
            </w:r>
          </w:p>
        </w:tc>
      </w:tr>
      <w:tr w:rsidR="00AD4FA5" w14:paraId="6A22A389" w14:textId="77777777">
        <w:trPr>
          <w:jc w:val="center"/>
        </w:trPr>
        <w:tc>
          <w:tcPr>
            <w:tcW w:w="2257" w:type="dxa"/>
            <w:shd w:val="clear" w:color="auto" w:fill="F2F6FC"/>
          </w:tcPr>
          <w:p w14:paraId="646FE488" w14:textId="77777777" w:rsidR="00AD4FA5" w:rsidRDefault="00000000">
            <w:r>
              <w:rPr>
                <w:rFonts w:ascii="Arial" w:hAnsi="Arial"/>
                <w:sz w:val="18"/>
              </w:rPr>
              <w:t>Financials</w:t>
            </w:r>
          </w:p>
        </w:tc>
        <w:tc>
          <w:tcPr>
            <w:tcW w:w="2257" w:type="dxa"/>
            <w:shd w:val="clear" w:color="auto" w:fill="F2F6FC"/>
          </w:tcPr>
          <w:p w14:paraId="339F225A" w14:textId="77777777" w:rsidR="00AD4FA5" w:rsidRDefault="00000000">
            <w:pPr>
              <w:jc w:val="right"/>
            </w:pPr>
            <w:r>
              <w:rPr>
                <w:rFonts w:ascii="Arial" w:hAnsi="Arial"/>
                <w:sz w:val="18"/>
              </w:rPr>
              <w:t>206.62</w:t>
            </w:r>
          </w:p>
        </w:tc>
        <w:tc>
          <w:tcPr>
            <w:tcW w:w="2257" w:type="dxa"/>
            <w:shd w:val="clear" w:color="auto" w:fill="F2F6FC"/>
          </w:tcPr>
          <w:p w14:paraId="7AF5B494" w14:textId="77777777" w:rsidR="00AD4FA5" w:rsidRDefault="00000000">
            <w:pPr>
              <w:jc w:val="right"/>
            </w:pPr>
            <w:r>
              <w:rPr>
                <w:rFonts w:ascii="Arial" w:hAnsi="Arial"/>
                <w:sz w:val="18"/>
              </w:rPr>
              <w:t>73,693.74</w:t>
            </w:r>
          </w:p>
        </w:tc>
        <w:tc>
          <w:tcPr>
            <w:tcW w:w="2257" w:type="dxa"/>
            <w:shd w:val="clear" w:color="auto" w:fill="F2F6FC"/>
          </w:tcPr>
          <w:p w14:paraId="3F1D8275" w14:textId="77777777" w:rsidR="00AD4FA5" w:rsidRDefault="00000000">
            <w:pPr>
              <w:jc w:val="right"/>
            </w:pPr>
            <w:r>
              <w:rPr>
                <w:rFonts w:ascii="Arial" w:hAnsi="Arial"/>
                <w:sz w:val="18"/>
              </w:rPr>
              <w:t>0.357</w:t>
            </w:r>
          </w:p>
        </w:tc>
      </w:tr>
      <w:tr w:rsidR="00AD4FA5" w14:paraId="4C60697E" w14:textId="77777777">
        <w:trPr>
          <w:jc w:val="center"/>
        </w:trPr>
        <w:tc>
          <w:tcPr>
            <w:tcW w:w="2257" w:type="dxa"/>
          </w:tcPr>
          <w:p w14:paraId="4DE8A13A" w14:textId="77777777" w:rsidR="00AD4FA5" w:rsidRDefault="00000000">
            <w:r>
              <w:rPr>
                <w:rFonts w:ascii="Arial" w:hAnsi="Arial"/>
                <w:sz w:val="18"/>
              </w:rPr>
              <w:t>Agriculture</w:t>
            </w:r>
          </w:p>
        </w:tc>
        <w:tc>
          <w:tcPr>
            <w:tcW w:w="2257" w:type="dxa"/>
          </w:tcPr>
          <w:p w14:paraId="707DFB78" w14:textId="77777777" w:rsidR="00AD4FA5" w:rsidRDefault="00000000">
            <w:pPr>
              <w:jc w:val="right"/>
            </w:pPr>
            <w:r>
              <w:rPr>
                <w:rFonts w:ascii="Arial" w:hAnsi="Arial"/>
                <w:sz w:val="18"/>
              </w:rPr>
              <w:t>118.90</w:t>
            </w:r>
          </w:p>
        </w:tc>
        <w:tc>
          <w:tcPr>
            <w:tcW w:w="2257" w:type="dxa"/>
          </w:tcPr>
          <w:p w14:paraId="2C251CC9" w14:textId="77777777" w:rsidR="00AD4FA5" w:rsidRDefault="00000000">
            <w:pPr>
              <w:jc w:val="right"/>
            </w:pPr>
            <w:r>
              <w:rPr>
                <w:rFonts w:ascii="Arial" w:hAnsi="Arial"/>
                <w:sz w:val="18"/>
              </w:rPr>
              <w:t>288,493.25</w:t>
            </w:r>
          </w:p>
        </w:tc>
        <w:tc>
          <w:tcPr>
            <w:tcW w:w="2257" w:type="dxa"/>
          </w:tcPr>
          <w:p w14:paraId="26CE1DF8" w14:textId="77777777" w:rsidR="00AD4FA5" w:rsidRDefault="00000000">
            <w:pPr>
              <w:jc w:val="right"/>
            </w:pPr>
            <w:r>
              <w:rPr>
                <w:rFonts w:ascii="Arial" w:hAnsi="Arial"/>
                <w:sz w:val="18"/>
              </w:rPr>
              <w:t>2.426</w:t>
            </w:r>
          </w:p>
        </w:tc>
      </w:tr>
      <w:tr w:rsidR="00AD4FA5" w14:paraId="2EBE5385" w14:textId="77777777">
        <w:trPr>
          <w:jc w:val="center"/>
        </w:trPr>
        <w:tc>
          <w:tcPr>
            <w:tcW w:w="2257" w:type="dxa"/>
            <w:shd w:val="clear" w:color="auto" w:fill="F2F6FC"/>
          </w:tcPr>
          <w:p w14:paraId="29BBDBAB" w14:textId="77777777" w:rsidR="00AD4FA5" w:rsidRDefault="00000000">
            <w:r>
              <w:rPr>
                <w:rFonts w:ascii="Arial" w:hAnsi="Arial"/>
                <w:sz w:val="18"/>
              </w:rPr>
              <w:t>**Total**</w:t>
            </w:r>
          </w:p>
        </w:tc>
        <w:tc>
          <w:tcPr>
            <w:tcW w:w="2257" w:type="dxa"/>
            <w:shd w:val="clear" w:color="auto" w:fill="F2F6FC"/>
          </w:tcPr>
          <w:p w14:paraId="26E7013F" w14:textId="77777777" w:rsidR="00AD4FA5" w:rsidRDefault="00000000">
            <w:r>
              <w:rPr>
                <w:rFonts w:ascii="Arial" w:hAnsi="Arial"/>
                <w:sz w:val="18"/>
              </w:rPr>
              <w:t>**1,541.18**</w:t>
            </w:r>
          </w:p>
        </w:tc>
        <w:tc>
          <w:tcPr>
            <w:tcW w:w="2257" w:type="dxa"/>
            <w:shd w:val="clear" w:color="auto" w:fill="F2F6FC"/>
          </w:tcPr>
          <w:p w14:paraId="0727845D" w14:textId="77777777" w:rsidR="00AD4FA5" w:rsidRDefault="00000000">
            <w:r>
              <w:rPr>
                <w:rFonts w:ascii="Arial" w:hAnsi="Arial"/>
                <w:sz w:val="18"/>
              </w:rPr>
              <w:t>**21,976,797.3**</w:t>
            </w:r>
          </w:p>
        </w:tc>
        <w:tc>
          <w:tcPr>
            <w:tcW w:w="2257" w:type="dxa"/>
            <w:shd w:val="clear" w:color="auto" w:fill="F2F6FC"/>
          </w:tcPr>
          <w:p w14:paraId="120D9949" w14:textId="77777777" w:rsidR="00AD4FA5" w:rsidRDefault="00000000">
            <w:r>
              <w:rPr>
                <w:rFonts w:ascii="Arial" w:hAnsi="Arial"/>
                <w:sz w:val="18"/>
              </w:rPr>
              <w:t>**14.26**</w:t>
            </w:r>
          </w:p>
        </w:tc>
      </w:tr>
    </w:tbl>
    <w:p w14:paraId="5696F287" w14:textId="77777777" w:rsidR="00AD4FA5" w:rsidRDefault="00000000">
      <w:r>
        <w:rPr>
          <w:rFonts w:ascii="Arial" w:hAnsi="Arial"/>
          <w:i/>
          <w:sz w:val="16"/>
        </w:rPr>
        <w:t>Source: Source: Institution's credit portfolio system and PCAF calculation. Industry classification per SASB Sustainable Industry Classification System (SICS). Financed emissions calculated per PCAF Global GHG Accounting Standard (2022). Reporting period: 1 January 2024 – 31 December 2024.</w:t>
      </w:r>
    </w:p>
    <w:p w14:paraId="77E2FD61" w14:textId="77777777" w:rsidR="00AD4FA5" w:rsidRDefault="00AD4FA5"/>
    <w:p w14:paraId="5A1F785C" w14:textId="77777777" w:rsidR="00AD4FA5" w:rsidRDefault="00000000">
      <w:r>
        <w:rPr>
          <w:i/>
          <w:color w:val="3D6094"/>
          <w:sz w:val="18"/>
        </w:rPr>
        <w:t>Framework references: IFRS S2 para 29(a)(vi)(2) — Scope 3 Category 15 financed emissions disclosure for financial institutions; IFRS S2 para B58–B63 — Financed emissions methodology for asset management, commercial banking, insurance; SASB FN-CB-410a.3 — Financed emissions for commercial banks; GHG Protocol Corporate Value Chain (Scope 3) Accounting and Reporting Standard (2011) — Category 15; PCAF Global GHG Accounting and Reporting Standard (2022) — Attribution factor methodology; PCAF Global GHG Accounting Standard — Data quality scoring framework (tiers 1-5)</w:t>
      </w:r>
    </w:p>
    <w:p w14:paraId="045940A9" w14:textId="77777777" w:rsidR="00AD4FA5" w:rsidRDefault="00AD4FA5">
      <w:pPr>
        <w:pBdr>
          <w:bottom w:val="single" w:sz="6" w:space="1" w:color="999999"/>
        </w:pBdr>
        <w:spacing w:after="80"/>
      </w:pPr>
    </w:p>
    <w:p w14:paraId="6F1241B3"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2A6F539C" w14:textId="77777777" w:rsidR="00AD4FA5" w:rsidRDefault="00000000">
      <w:pPr>
        <w:spacing w:after="160"/>
        <w:jc w:val="both"/>
      </w:pPr>
      <w:r>
        <w:rPr>
          <w:rFonts w:ascii="Arial" w:hAnsi="Arial"/>
          <w:i/>
          <w:color w:val="646464"/>
          <w:sz w:val="18"/>
        </w:rPr>
        <w:t>Financed emissions calculated per Partnership for Carbon Accounting Financials (PCAF) Global GHG Accounting and Reporting Standard (2022). Attribution factor methodology: (Outstanding Amount ÷ Enterprise Value including Cash) × Borrower Total Emissions.</w:t>
      </w:r>
    </w:p>
    <w:p w14:paraId="0BE74A96" w14:textId="77777777" w:rsidR="00AD4FA5" w:rsidRDefault="00000000">
      <w:pPr>
        <w:spacing w:after="160"/>
        <w:jc w:val="both"/>
      </w:pPr>
      <w:r>
        <w:rPr>
          <w:rFonts w:ascii="Arial" w:hAnsi="Arial"/>
          <w:i/>
          <w:color w:val="646464"/>
          <w:sz w:val="18"/>
        </w:rPr>
        <w:t>Gross financed emissions represent unadjusted attribution of borrower emissions based on financing exposure. Confidence-weighted financed emissions apply PCAF data quality confidence factors ranging from 1.00 (verified data) to 0.45 (sector proxy), with portfolio-weighted average factor of 0.695.</w:t>
      </w:r>
    </w:p>
    <w:p w14:paraId="432517D6" w14:textId="77777777" w:rsidR="00AD4FA5" w:rsidRDefault="00000000">
      <w:pPr>
        <w:spacing w:after="160"/>
        <w:jc w:val="both"/>
      </w:pPr>
      <w:r>
        <w:rPr>
          <w:rFonts w:ascii="Arial" w:hAnsi="Arial"/>
          <w:i/>
          <w:color w:val="646464"/>
          <w:sz w:val="18"/>
        </w:rPr>
        <w:t>Portfolio coverage of 100% represents all commercial lending facilities with outstanding balances as of 31 December 2024. Retail lending, mortgages, and consumer finance are excluded from PCAF calculation per IFRS S2 paragraph 29(a)(vi)(2) guidance for financial institutions.</w:t>
      </w:r>
    </w:p>
    <w:p w14:paraId="01104131" w14:textId="77777777" w:rsidR="00AD4FA5" w:rsidRDefault="00000000">
      <w:pPr>
        <w:spacing w:after="160"/>
        <w:jc w:val="both"/>
      </w:pPr>
      <w:r>
        <w:rPr>
          <w:rFonts w:ascii="Arial" w:hAnsi="Arial"/>
          <w:i/>
          <w:color w:val="646464"/>
          <w:sz w:val="18"/>
        </w:rPr>
        <w:t>PCAF data quality score of 3.36 indicates reliance on Environmentally Extended Input-Output (EEIO) models combined with borrower revenue or asset data. No borrowers provided verified (tier 1) or reported (tier 2) emissions data for the 2024 reporting period.</w:t>
      </w:r>
    </w:p>
    <w:p w14:paraId="67A19D1C" w14:textId="77777777" w:rsidR="00AD4FA5" w:rsidRDefault="00000000">
      <w:pPr>
        <w:spacing w:after="160"/>
        <w:jc w:val="both"/>
      </w:pPr>
      <w:r>
        <w:rPr>
          <w:rFonts w:ascii="Arial" w:hAnsi="Arial"/>
          <w:i/>
          <w:color w:val="646464"/>
          <w:sz w:val="18"/>
        </w:rPr>
        <w:t>Sector classification per NACE Rev. 2 (Statistical Classification of Economic Activities in the European Community). Industry classification for SASB FN-CB-410a.3 per SASB Sustainable Industry Classification System (SICS).</w:t>
      </w:r>
    </w:p>
    <w:p w14:paraId="3E1530BC" w14:textId="77777777" w:rsidR="00AD4FA5" w:rsidRDefault="00000000">
      <w:pPr>
        <w:spacing w:after="160"/>
        <w:jc w:val="both"/>
      </w:pPr>
      <w:r>
        <w:rPr>
          <w:rFonts w:ascii="Arial" w:hAnsi="Arial"/>
          <w:i/>
          <w:color w:val="646464"/>
          <w:sz w:val="18"/>
        </w:rPr>
        <w:t>Year-over-year comparison is not available for the 2024 reporting period as this represents the institution's first year of comprehensive PCAF-aligned financed emissions calculation. 2024 is designated as the baseline year for future trend analysis.</w:t>
      </w:r>
    </w:p>
    <w:p w14:paraId="4DFB8160" w14:textId="77777777" w:rsidR="00AD4FA5" w:rsidRDefault="00000000">
      <w:r>
        <w:br w:type="page"/>
      </w:r>
    </w:p>
    <w:p w14:paraId="449F1AFD" w14:textId="77777777" w:rsidR="00AD4FA5" w:rsidRDefault="00000000">
      <w:pPr>
        <w:pStyle w:val="Heading1"/>
        <w:spacing w:after="240"/>
      </w:pPr>
      <w:bookmarkStart w:id="10" w:name="_Toc231979673"/>
      <w:r>
        <w:rPr>
          <w:rFonts w:ascii="Arial" w:hAnsi="Arial"/>
          <w:color w:val="1B3A6B"/>
          <w:sz w:val="36"/>
        </w:rPr>
        <w:lastRenderedPageBreak/>
        <w:t>Climate Targets &amp; Reduction Initiatives</w:t>
      </w:r>
      <w:bookmarkEnd w:id="10"/>
    </w:p>
    <w:p w14:paraId="26DB30F5" w14:textId="77777777" w:rsidR="00AD4FA5" w:rsidRDefault="00000000">
      <w:pPr>
        <w:spacing w:after="160"/>
        <w:jc w:val="both"/>
      </w:pPr>
      <w:r>
        <w:rPr>
          <w:rFonts w:ascii="Arial" w:hAnsi="Arial"/>
        </w:rPr>
        <w:t>This data point is not yet captured in the institution's reporting system. IFRS S2 paragraphs 33–37 require entities to disclose quantitative or qualitative climate-related targets, including greenhouse gas emissions targets, with characteristics specified in paragraph 33(a)–(h). The institution has not established formal climate-related targets for Scope 1, Scope 2, or Scope 3 (financed emissions) as of the 2024 reporting period. This represents a material disclosure gap under IFRS S2 requirements, which mandate disclosure of targets the entity has set to mitigate or adapt to climate-related risks or to take advantage of climate-related opportunities.</w:t>
      </w:r>
    </w:p>
    <w:p w14:paraId="41F1E0B3" w14:textId="77777777" w:rsidR="00AD4FA5" w:rsidRDefault="00000000">
      <w:pPr>
        <w:spacing w:after="160"/>
        <w:jc w:val="both"/>
      </w:pPr>
      <w:r>
        <w:rPr>
          <w:rFonts w:ascii="Arial" w:hAnsi="Arial"/>
          <w:i/>
        </w:rPr>
        <w:t>**Framework Requirement**: IFRS S2 paragraph 33 requires disclosure of: (a) the metric used to set the target; (b) the objective of the target (e.g., mitigation, adaptation, conformance with science-based initiatives); (c) the part of the entity to which the target applies; (d) the period over which the target applies; (e) the base period from which progress is measured; (f) any milestones or interim targets; (g) if the target is quantitative, whether it is an absolute target or intensity target; and (h) how the entity's targets compare with those required by law or regulation. Additionally, paragraph 34 requires disclosure of information about the entity's approach to setting and reviewing each target, and how it monitors progress, including whether third-party verification is used.</w:t>
      </w:r>
    </w:p>
    <w:p w14:paraId="7746079E" w14:textId="77777777" w:rsidR="00AD4FA5" w:rsidRDefault="00000000">
      <w:pPr>
        <w:spacing w:after="160"/>
        <w:jc w:val="both"/>
      </w:pPr>
      <w:r>
        <w:rPr>
          <w:rFonts w:ascii="Arial" w:hAnsi="Arial"/>
        </w:rPr>
        <w:t>**Peer Benchmark Context**: Leading Indonesian and regional financial institutions have established comprehensive climate target frameworks. Bank Rakyat Indonesia (BRI) became the first Indonesian financial institution to submit a commitment letter to the Science Based Targets initiative (SBTi), establishing a portfolio temperature target of 1.75°C by 2040 with an annual reduction trajectory of 0.0783°C per year. DBS Bank has committed to achieving Net Zero by 2050 across all operational and financed emissions, with interim targets including 62% renewable energy procurement as of 2024 (achieving a 12% year-over-year reduction in operational emissions). Bank Central Asia (BCA) has implemented sectoral credit policies for carbon-intensive industries including coal, palm oil, cement, and oil &amp; gas, with embedded emissions reduction expectations for borrowers. These peer institutions demonstrate that target-setting is not only a disclosure requirement but a strategic imperative for managing transition risks and accessing sustainable finance markets.</w:t>
      </w:r>
    </w:p>
    <w:p w14:paraId="549F3B5F" w14:textId="77777777" w:rsidR="00AD4FA5" w:rsidRDefault="00000000">
      <w:pPr>
        <w:spacing w:after="160"/>
        <w:jc w:val="both"/>
      </w:pPr>
      <w:r>
        <w:rPr>
          <w:rFonts w:ascii="Arial" w:hAnsi="Arial"/>
        </w:rPr>
        <w:t xml:space="preserve">**Recommended Target-Setting Framework**: Based on peer practice and regulatory trajectory, the institution should establish a three-tier target structure: (1) **Operational Emissions (Scope 1+2)**: Set an absolute reduction target of 30% by 2030 versus a 2023 baseline (3,324.521 tCO2e Scope 1 + 44,598.118 tCO2e Scope 2 market-based = 47,922.639 tCO2e baseline), targeting 33,545.847 tCO2e by 2030. This aligns with a 1.5°C pathway and reflects achievable reductions through renewable energy procurement (targeting 50% renewable electricity by 2030 from current grid-based supply), energy efficiency retrofits (LED lighting, HVAC optimization, auto-shutdown systems per BRI's Kaseya program achieving 19.49% electricity savings), and fleet electrification (referencing BRI's deployment of 118 electric vehicles and 150 electric motorcycles). (2) **Financed Emissions (Scope 3 Category 15)**: Establish a portfolio temperature alignment target of 2.0°C by 2030 and 1.75°C by 2040, following BRI's methodology. This requires setting sector-specific emissions intensity reduction targets for the three highest-emitting sectors: </w:t>
      </w:r>
      <w:r>
        <w:rPr>
          <w:rFonts w:ascii="Arial" w:hAnsi="Arial"/>
        </w:rPr>
        <w:lastRenderedPageBreak/>
        <w:t>Energy - Oil &amp; Gas (currently 93.242 tCO2e per IDR billion, representing 43.56% of financed emissions), Manufacturing - Cement (53.9927 tCO2e per IDR billion, 26.45% of financed emissions), and Manufacturing - Steel (32.2175 tCO2e per IDR billion, 15.92% of financed emissions). Target a 25% reduction in weighted average portfolio emissions intensity by 2030 versus 2024 baseline (239.400139 tCO2e per IDR billion). (3) **Net Zero Commitment**: Submit a commitment letter to SBTi within 12 months and establish a Net Zero target year of 2050 for Scope 1+2+3, with interim milestones at 2025 (5% reduction), 2027 (15% reduction), and 2030 (30% reduction for Scope 1+2; 25% intensity reduction for Scope 3 Cat 15).</w:t>
      </w:r>
    </w:p>
    <w:p w14:paraId="7BB598D4" w14:textId="77777777" w:rsidR="00AD4FA5" w:rsidRDefault="00000000">
      <w:pPr>
        <w:spacing w:after="160"/>
        <w:jc w:val="both"/>
      </w:pPr>
      <w:r>
        <w:rPr>
          <w:rFonts w:ascii="Arial" w:hAnsi="Arial"/>
        </w:rPr>
        <w:t>**Decarbonization Levers by Scope**: To achieve the recommended targets, the institution should deploy the following levers: **Scope 1 Reduction Levers**: (a) Fuel switching — transition diesel generators to biodiesel B35+ for backup power systems (estimated 15% emissions reduction for diesel component currently at 2,203.2044 tCO2e); (b) Fleet electrification — replace 30% of diesel vehicle fleet with electric vehicles by 2027, 60% by 2030 (referencing BRI's EV deployment achieving measurable Scope 1 reductions); (c) Natural gas efficiency — optimize HVAC systems in facilities using natural gas (currently 1,199.7924 tCO2e) through building management system upgrades. **Scope 2 Reduction Levers**: (a) Renewable energy procurement — execute Power Purchase Agreements (PPAs) with renewable energy providers targeting 25% renewable electricity by 2027, 50% by 2030 (current: 0% based on location-based method showing 44,613.876 tCO2e); (b) On-site solar generation — install rooftop solar panels at 20 branch locations by 2026, 50 locations by 2030 (referencing BRI's Green Network program); (c) Energy efficiency — implement LED retrofits, elevator scheduling, and auto-shutdown systems across all facilities (targeting 10% electricity consumption reduction by 2027). **Scope 3 Category 15 Reduction Levers**: (a) Enhanced ESRM screening — integrate climate risk assessment into credit approval processes for all corporate loans above IDR 50 billion; (b) Sectoral credit policies — establish emissions intensity thresholds and phase-out timelines for coal (by 2035), unabated oil &amp; gas (by 2040), and cement without carbon capture (by 2045), following BCA's sectoral policy framework; (c) Client engagement program — conduct annual climate transition dialogues with top 50 emitting borrowers (representing approximately 70% of financed emissions based on sector concentration), requiring borrowers to set their own science-based targets as a condition for credit renewal; (d) Green finance incentives — offer preferential interest rates (25-50 basis points reduction) for borrowers demonstrating year-over-year emissions intensity improvements or achieving third-party green certifications.</w:t>
      </w:r>
    </w:p>
    <w:p w14:paraId="00B4FDBF" w14:textId="77777777" w:rsidR="00AD4FA5" w:rsidRDefault="00000000">
      <w:pPr>
        <w:spacing w:after="160"/>
        <w:jc w:val="both"/>
      </w:pPr>
      <w:r>
        <w:rPr>
          <w:rFonts w:ascii="Arial" w:hAnsi="Arial"/>
          <w:i/>
          <w:color w:val="555555"/>
        </w:rPr>
        <w:t xml:space="preserve">**Implementation Timeline &amp; Governance**: The target-setting process should follow this timeline: **Q1 2025**: Establish Board-level Climate Target Steering Committee; conduct baseline verification audit for 2023-2024 emissions data; engage external consultant for SBTi submission preparation. **Q2 2025**: Submit SBTi commitment letter; finalize sector-specific financed emissions baselines using PCAF methodology (current average data quality score: 3.36, target: &lt;3.0 by 2027); develop internal carbon pricing mechanism (recommended: USD 30-50 per tCO2e for capital allocation decisions, referencing DBS practice). **Q3 2025**: Board approval of climate targets; public disclosure of targets in sustainability report and investor presentations; integrate targets into executive compensation scorecards (minimum 10% weighting for C-suite). **Q4 2025**: Launch client engagement program for top 50 emitters; issue first green bond to finance renewable energy and energy efficiency initiatives (target: IDR 5 trillion issuance). **2026-2027**: Implement </w:t>
      </w:r>
      <w:r>
        <w:rPr>
          <w:rFonts w:ascii="Arial" w:hAnsi="Arial"/>
          <w:i/>
          <w:color w:val="555555"/>
        </w:rPr>
        <w:lastRenderedPageBreak/>
        <w:t>operational decarbonization initiatives; conduct mid-term target progress review; enhance PCAF data quality through direct borrower engagement (targeting Score 2-3 for 80% of portfolio by 2027). **2028-2030**: Accelerate financed emissions reduction through sectoral policy enforcement; achieve interim 2030 targets; prepare for SBTi target validation submission.</w:t>
      </w:r>
    </w:p>
    <w:p w14:paraId="3A773E43" w14:textId="77777777" w:rsidR="00AD4FA5" w:rsidRDefault="00000000">
      <w:pPr>
        <w:spacing w:after="160"/>
        <w:jc w:val="both"/>
      </w:pPr>
      <w:r>
        <w:rPr>
          <w:rFonts w:ascii="Arial" w:hAnsi="Arial"/>
          <w:i/>
        </w:rPr>
        <w:t>**Carbon Offset Strategy (Residual Emissions)**: While the primary decarbonization strategy relies on absolute emissions reductions, the institution should develop a supplementary carbon offset strategy for residual emissions that cannot be eliminated through operational or technological measures by 2030. Offsets should not exceed 10% of the gross reduction target for Scope 1+2 (maximum 1,438 tCO2e annually by 2030) and should prioritize high-quality, permanent removal credits. Recommended offset types: (a) Nature-based solutions — reforestation and mangrove restoration projects in Indonesia certified under Verra VCS or Gold Standard, with co-benefits for biodiversity and coastal community livelihoods; (b) Technological removal — direct air capture (DAC) or bioenergy with carbon capture and storage (BECCS) credits for long-term permanence (&gt;100 years). All offsets must meet additionality, permanence, and verification criteria per IFRS S2 paragraph B72. The institution should disclose offset volumes separately from gross reductions in annual reporting, clearly distinguishing between emissions reductions achieved through operational changes versus neutralization through offsets. This approach aligns with SBTi's Net Zero Standard, which permits offsets only for residual emissions after achieving 90% absolute reduction in Scope 1+2 by 2050.</w:t>
      </w:r>
    </w:p>
    <w:p w14:paraId="0B9C5AD3" w14:textId="77777777" w:rsidR="00AD4FA5" w:rsidRDefault="00000000">
      <w:r>
        <w:rPr>
          <w:rFonts w:ascii="Arial" w:hAnsi="Arial"/>
          <w:b/>
          <w:sz w:val="20"/>
        </w:rPr>
        <w:t>Table 1: Disclosure Gap Analysis — Climate Targets (IFRS S2 Para 33-37)</w:t>
      </w:r>
    </w:p>
    <w:tbl>
      <w:tblPr>
        <w:tblW w:w="0" w:type="auto"/>
        <w:jc w:val="center"/>
        <w:tblLook w:val="04A0" w:firstRow="1" w:lastRow="0" w:firstColumn="1" w:lastColumn="0" w:noHBand="0" w:noVBand="1"/>
      </w:tblPr>
      <w:tblGrid>
        <w:gridCol w:w="1806"/>
        <w:gridCol w:w="1806"/>
        <w:gridCol w:w="1806"/>
        <w:gridCol w:w="1806"/>
        <w:gridCol w:w="1806"/>
      </w:tblGrid>
      <w:tr w:rsidR="00AD4FA5" w14:paraId="6BC4E3C2" w14:textId="77777777">
        <w:trPr>
          <w:jc w:val="center"/>
        </w:trPr>
        <w:tc>
          <w:tcPr>
            <w:tcW w:w="1806" w:type="dxa"/>
            <w:shd w:val="clear" w:color="auto" w:fill="1B3A6B"/>
          </w:tcPr>
          <w:p w14:paraId="0854FE5D" w14:textId="77777777" w:rsidR="00AD4FA5" w:rsidRDefault="00000000">
            <w:r>
              <w:rPr>
                <w:rFonts w:ascii="Arial" w:hAnsi="Arial"/>
                <w:b/>
                <w:color w:val="FFFFFF"/>
                <w:sz w:val="18"/>
              </w:rPr>
              <w:t>Required Disclosure Element</w:t>
            </w:r>
          </w:p>
        </w:tc>
        <w:tc>
          <w:tcPr>
            <w:tcW w:w="1806" w:type="dxa"/>
            <w:shd w:val="clear" w:color="auto" w:fill="1B3A6B"/>
          </w:tcPr>
          <w:p w14:paraId="3FAEE19E" w14:textId="77777777" w:rsidR="00AD4FA5" w:rsidRDefault="00000000">
            <w:r>
              <w:rPr>
                <w:rFonts w:ascii="Arial" w:hAnsi="Arial"/>
                <w:b/>
                <w:color w:val="FFFFFF"/>
                <w:sz w:val="18"/>
              </w:rPr>
              <w:t>IFRS S2 Reference</w:t>
            </w:r>
          </w:p>
        </w:tc>
        <w:tc>
          <w:tcPr>
            <w:tcW w:w="1806" w:type="dxa"/>
            <w:shd w:val="clear" w:color="auto" w:fill="1B3A6B"/>
          </w:tcPr>
          <w:p w14:paraId="33124E34" w14:textId="77777777" w:rsidR="00AD4FA5" w:rsidRDefault="00000000">
            <w:r>
              <w:rPr>
                <w:rFonts w:ascii="Arial" w:hAnsi="Arial"/>
                <w:b/>
                <w:color w:val="FFFFFF"/>
                <w:sz w:val="18"/>
              </w:rPr>
              <w:t>Current Status</w:t>
            </w:r>
          </w:p>
        </w:tc>
        <w:tc>
          <w:tcPr>
            <w:tcW w:w="1806" w:type="dxa"/>
            <w:shd w:val="clear" w:color="auto" w:fill="1B3A6B"/>
          </w:tcPr>
          <w:p w14:paraId="604EF8A1" w14:textId="77777777" w:rsidR="00AD4FA5" w:rsidRDefault="00000000">
            <w:r>
              <w:rPr>
                <w:rFonts w:ascii="Arial" w:hAnsi="Arial"/>
                <w:b/>
                <w:color w:val="FFFFFF"/>
                <w:sz w:val="18"/>
              </w:rPr>
              <w:t>Peer Benchmark</w:t>
            </w:r>
          </w:p>
        </w:tc>
        <w:tc>
          <w:tcPr>
            <w:tcW w:w="1806" w:type="dxa"/>
            <w:shd w:val="clear" w:color="auto" w:fill="1B3A6B"/>
          </w:tcPr>
          <w:p w14:paraId="50A52D3A" w14:textId="77777777" w:rsidR="00AD4FA5" w:rsidRDefault="00000000">
            <w:r>
              <w:rPr>
                <w:rFonts w:ascii="Arial" w:hAnsi="Arial"/>
                <w:b/>
                <w:color w:val="FFFFFF"/>
                <w:sz w:val="18"/>
              </w:rPr>
              <w:t>Recommended Action</w:t>
            </w:r>
          </w:p>
        </w:tc>
      </w:tr>
      <w:tr w:rsidR="00AD4FA5" w14:paraId="4C6A7565" w14:textId="77777777">
        <w:trPr>
          <w:jc w:val="center"/>
        </w:trPr>
        <w:tc>
          <w:tcPr>
            <w:tcW w:w="1806" w:type="dxa"/>
          </w:tcPr>
          <w:p w14:paraId="7B627392" w14:textId="77777777" w:rsidR="00AD4FA5" w:rsidRDefault="00000000">
            <w:r>
              <w:rPr>
                <w:rFonts w:ascii="Arial" w:hAnsi="Arial"/>
                <w:sz w:val="18"/>
              </w:rPr>
              <w:t>Scope 1+2 Absolute Reduction Target</w:t>
            </w:r>
          </w:p>
        </w:tc>
        <w:tc>
          <w:tcPr>
            <w:tcW w:w="1806" w:type="dxa"/>
          </w:tcPr>
          <w:p w14:paraId="0AF8B00A" w14:textId="77777777" w:rsidR="00AD4FA5" w:rsidRDefault="00000000">
            <w:r>
              <w:rPr>
                <w:rFonts w:ascii="Arial" w:hAnsi="Arial"/>
                <w:sz w:val="18"/>
              </w:rPr>
              <w:t>Para 33(a), 33(g)</w:t>
            </w:r>
          </w:p>
        </w:tc>
        <w:tc>
          <w:tcPr>
            <w:tcW w:w="1806" w:type="dxa"/>
          </w:tcPr>
          <w:p w14:paraId="018616D3" w14:textId="77777777" w:rsidR="00AD4FA5" w:rsidRDefault="00000000">
            <w:r>
              <w:rPr>
                <w:rFonts w:ascii="Arial" w:hAnsi="Arial"/>
                <w:sz w:val="18"/>
              </w:rPr>
              <w:t>Not Set</w:t>
            </w:r>
          </w:p>
        </w:tc>
        <w:tc>
          <w:tcPr>
            <w:tcW w:w="1806" w:type="dxa"/>
          </w:tcPr>
          <w:p w14:paraId="1026500E" w14:textId="77777777" w:rsidR="00AD4FA5" w:rsidRDefault="00000000">
            <w:r>
              <w:rPr>
                <w:rFonts w:ascii="Arial" w:hAnsi="Arial"/>
                <w:sz w:val="18"/>
              </w:rPr>
              <w:t>BRI: Operational emissions reduction via renewable energy (19.49% electricity savings); DBS: 62% renewable, -12% YoY</w:t>
            </w:r>
          </w:p>
        </w:tc>
        <w:tc>
          <w:tcPr>
            <w:tcW w:w="1806" w:type="dxa"/>
          </w:tcPr>
          <w:p w14:paraId="28D9F3CB" w14:textId="77777777" w:rsidR="00AD4FA5" w:rsidRDefault="00000000">
            <w:r>
              <w:rPr>
                <w:rFonts w:ascii="Arial" w:hAnsi="Arial"/>
                <w:sz w:val="18"/>
              </w:rPr>
              <w:t>Set 30% reduction by 2030 vs 2023 baseline (47,922.639 tCO2e → 33,545.847 tCO2e)</w:t>
            </w:r>
          </w:p>
        </w:tc>
      </w:tr>
      <w:tr w:rsidR="00AD4FA5" w14:paraId="6A6328AA" w14:textId="77777777">
        <w:trPr>
          <w:jc w:val="center"/>
        </w:trPr>
        <w:tc>
          <w:tcPr>
            <w:tcW w:w="1806" w:type="dxa"/>
            <w:shd w:val="clear" w:color="auto" w:fill="F2F6FC"/>
          </w:tcPr>
          <w:p w14:paraId="2B268031" w14:textId="77777777" w:rsidR="00AD4FA5" w:rsidRDefault="00000000">
            <w:r>
              <w:rPr>
                <w:rFonts w:ascii="Arial" w:hAnsi="Arial"/>
                <w:sz w:val="18"/>
              </w:rPr>
              <w:t>Scope 3 Cat 15 Financed Emissions Target</w:t>
            </w:r>
          </w:p>
        </w:tc>
        <w:tc>
          <w:tcPr>
            <w:tcW w:w="1806" w:type="dxa"/>
            <w:shd w:val="clear" w:color="auto" w:fill="F2F6FC"/>
          </w:tcPr>
          <w:p w14:paraId="7F10A785" w14:textId="77777777" w:rsidR="00AD4FA5" w:rsidRDefault="00000000">
            <w:r>
              <w:rPr>
                <w:rFonts w:ascii="Arial" w:hAnsi="Arial"/>
                <w:sz w:val="18"/>
              </w:rPr>
              <w:t>Para 33(a), Industry Metric</w:t>
            </w:r>
          </w:p>
        </w:tc>
        <w:tc>
          <w:tcPr>
            <w:tcW w:w="1806" w:type="dxa"/>
            <w:shd w:val="clear" w:color="auto" w:fill="F2F6FC"/>
          </w:tcPr>
          <w:p w14:paraId="3CF7A3B6" w14:textId="77777777" w:rsidR="00AD4FA5" w:rsidRDefault="00000000">
            <w:r>
              <w:rPr>
                <w:rFonts w:ascii="Arial" w:hAnsi="Arial"/>
                <w:sz w:val="18"/>
              </w:rPr>
              <w:t>Not Set</w:t>
            </w:r>
          </w:p>
        </w:tc>
        <w:tc>
          <w:tcPr>
            <w:tcW w:w="1806" w:type="dxa"/>
            <w:shd w:val="clear" w:color="auto" w:fill="F2F6FC"/>
          </w:tcPr>
          <w:p w14:paraId="0350437B" w14:textId="77777777" w:rsidR="00AD4FA5" w:rsidRDefault="00000000">
            <w:r>
              <w:rPr>
                <w:rFonts w:ascii="Arial" w:hAnsi="Arial"/>
                <w:sz w:val="18"/>
              </w:rPr>
              <w:t>BRI: Portfolio temp target 1.75°C by 2040; BCA: Sectoral credit policies for coal, palm oil, cement, O&amp;G</w:t>
            </w:r>
          </w:p>
        </w:tc>
        <w:tc>
          <w:tcPr>
            <w:tcW w:w="1806" w:type="dxa"/>
            <w:shd w:val="clear" w:color="auto" w:fill="F2F6FC"/>
          </w:tcPr>
          <w:p w14:paraId="3939684D" w14:textId="77777777" w:rsidR="00AD4FA5" w:rsidRDefault="00000000">
            <w:r>
              <w:rPr>
                <w:rFonts w:ascii="Arial" w:hAnsi="Arial"/>
                <w:sz w:val="18"/>
              </w:rPr>
              <w:t>Set 25% intensity reduction by 2030 (239.400139 → 179.550104 tCO2e/IDR bn)</w:t>
            </w:r>
          </w:p>
        </w:tc>
      </w:tr>
      <w:tr w:rsidR="00AD4FA5" w14:paraId="4E04657F" w14:textId="77777777">
        <w:trPr>
          <w:jc w:val="center"/>
        </w:trPr>
        <w:tc>
          <w:tcPr>
            <w:tcW w:w="1806" w:type="dxa"/>
          </w:tcPr>
          <w:p w14:paraId="791BF8AA" w14:textId="77777777" w:rsidR="00AD4FA5" w:rsidRDefault="00000000">
            <w:r>
              <w:rPr>
                <w:rFonts w:ascii="Arial" w:hAnsi="Arial"/>
                <w:sz w:val="18"/>
              </w:rPr>
              <w:t>Net Zero Commitment</w:t>
            </w:r>
          </w:p>
        </w:tc>
        <w:tc>
          <w:tcPr>
            <w:tcW w:w="1806" w:type="dxa"/>
          </w:tcPr>
          <w:p w14:paraId="411F9C13" w14:textId="77777777" w:rsidR="00AD4FA5" w:rsidRDefault="00000000">
            <w:r>
              <w:rPr>
                <w:rFonts w:ascii="Arial" w:hAnsi="Arial"/>
                <w:sz w:val="18"/>
              </w:rPr>
              <w:t>Para 33(b)</w:t>
            </w:r>
          </w:p>
        </w:tc>
        <w:tc>
          <w:tcPr>
            <w:tcW w:w="1806" w:type="dxa"/>
          </w:tcPr>
          <w:p w14:paraId="74B36ABA" w14:textId="77777777" w:rsidR="00AD4FA5" w:rsidRDefault="00000000">
            <w:r>
              <w:rPr>
                <w:rFonts w:ascii="Arial" w:hAnsi="Arial"/>
                <w:sz w:val="18"/>
              </w:rPr>
              <w:t>Not Declared</w:t>
            </w:r>
          </w:p>
        </w:tc>
        <w:tc>
          <w:tcPr>
            <w:tcW w:w="1806" w:type="dxa"/>
          </w:tcPr>
          <w:p w14:paraId="22125C01" w14:textId="77777777" w:rsidR="00AD4FA5" w:rsidRDefault="00000000">
            <w:r>
              <w:rPr>
                <w:rFonts w:ascii="Arial" w:hAnsi="Arial"/>
                <w:sz w:val="18"/>
              </w:rPr>
              <w:t>DBS: Net Zero by 2050 (all scopes); BRI: SBTi committed</w:t>
            </w:r>
          </w:p>
        </w:tc>
        <w:tc>
          <w:tcPr>
            <w:tcW w:w="1806" w:type="dxa"/>
          </w:tcPr>
          <w:p w14:paraId="356064B6" w14:textId="77777777" w:rsidR="00AD4FA5" w:rsidRDefault="00000000">
            <w:r>
              <w:rPr>
                <w:rFonts w:ascii="Arial" w:hAnsi="Arial"/>
                <w:sz w:val="18"/>
              </w:rPr>
              <w:t>Commit to Net Zero by 2050; submit SBTi letter Q2 2025</w:t>
            </w:r>
          </w:p>
        </w:tc>
      </w:tr>
      <w:tr w:rsidR="00AD4FA5" w14:paraId="181D8D5D" w14:textId="77777777">
        <w:trPr>
          <w:jc w:val="center"/>
        </w:trPr>
        <w:tc>
          <w:tcPr>
            <w:tcW w:w="1806" w:type="dxa"/>
            <w:shd w:val="clear" w:color="auto" w:fill="F2F6FC"/>
          </w:tcPr>
          <w:p w14:paraId="19B688A3" w14:textId="77777777" w:rsidR="00AD4FA5" w:rsidRDefault="00000000">
            <w:r>
              <w:rPr>
                <w:rFonts w:ascii="Arial" w:hAnsi="Arial"/>
                <w:sz w:val="18"/>
              </w:rPr>
              <w:t>Interim Milestones</w:t>
            </w:r>
          </w:p>
        </w:tc>
        <w:tc>
          <w:tcPr>
            <w:tcW w:w="1806" w:type="dxa"/>
            <w:shd w:val="clear" w:color="auto" w:fill="F2F6FC"/>
          </w:tcPr>
          <w:p w14:paraId="0AA4A458" w14:textId="77777777" w:rsidR="00AD4FA5" w:rsidRDefault="00000000">
            <w:r>
              <w:rPr>
                <w:rFonts w:ascii="Arial" w:hAnsi="Arial"/>
                <w:sz w:val="18"/>
              </w:rPr>
              <w:t>Para 33(f)</w:t>
            </w:r>
          </w:p>
        </w:tc>
        <w:tc>
          <w:tcPr>
            <w:tcW w:w="1806" w:type="dxa"/>
            <w:shd w:val="clear" w:color="auto" w:fill="F2F6FC"/>
          </w:tcPr>
          <w:p w14:paraId="69417040" w14:textId="77777777" w:rsidR="00AD4FA5" w:rsidRDefault="00000000">
            <w:r>
              <w:rPr>
                <w:rFonts w:ascii="Arial" w:hAnsi="Arial"/>
                <w:sz w:val="18"/>
              </w:rPr>
              <w:t>Not Defined</w:t>
            </w:r>
          </w:p>
        </w:tc>
        <w:tc>
          <w:tcPr>
            <w:tcW w:w="1806" w:type="dxa"/>
            <w:shd w:val="clear" w:color="auto" w:fill="F2F6FC"/>
          </w:tcPr>
          <w:p w14:paraId="0E7C2E81" w14:textId="77777777" w:rsidR="00AD4FA5" w:rsidRDefault="00000000">
            <w:r>
              <w:rPr>
                <w:rFonts w:ascii="Arial" w:hAnsi="Arial"/>
                <w:sz w:val="18"/>
              </w:rPr>
              <w:t>BRI: Annual reduction trajectory 0.0783°C/year</w:t>
            </w:r>
          </w:p>
        </w:tc>
        <w:tc>
          <w:tcPr>
            <w:tcW w:w="1806" w:type="dxa"/>
            <w:shd w:val="clear" w:color="auto" w:fill="F2F6FC"/>
          </w:tcPr>
          <w:p w14:paraId="4D10C9E1" w14:textId="77777777" w:rsidR="00AD4FA5" w:rsidRDefault="00000000">
            <w:r>
              <w:rPr>
                <w:rFonts w:ascii="Arial" w:hAnsi="Arial"/>
                <w:sz w:val="18"/>
              </w:rPr>
              <w:t>Set 2025 (5%), 2027 (15%), 2030 (30%) milestones</w:t>
            </w:r>
          </w:p>
        </w:tc>
      </w:tr>
      <w:tr w:rsidR="00AD4FA5" w14:paraId="18FAA9B4" w14:textId="77777777">
        <w:trPr>
          <w:jc w:val="center"/>
        </w:trPr>
        <w:tc>
          <w:tcPr>
            <w:tcW w:w="1806" w:type="dxa"/>
          </w:tcPr>
          <w:p w14:paraId="40C4ED58" w14:textId="77777777" w:rsidR="00AD4FA5" w:rsidRDefault="00000000">
            <w:r>
              <w:rPr>
                <w:rFonts w:ascii="Arial" w:hAnsi="Arial"/>
                <w:sz w:val="18"/>
              </w:rPr>
              <w:lastRenderedPageBreak/>
              <w:t>Base Year &amp; Methodology</w:t>
            </w:r>
          </w:p>
        </w:tc>
        <w:tc>
          <w:tcPr>
            <w:tcW w:w="1806" w:type="dxa"/>
          </w:tcPr>
          <w:p w14:paraId="5DD22A86" w14:textId="77777777" w:rsidR="00AD4FA5" w:rsidRDefault="00000000">
            <w:r>
              <w:rPr>
                <w:rFonts w:ascii="Arial" w:hAnsi="Arial"/>
                <w:sz w:val="18"/>
              </w:rPr>
              <w:t>Para 33(e), 34</w:t>
            </w:r>
          </w:p>
        </w:tc>
        <w:tc>
          <w:tcPr>
            <w:tcW w:w="1806" w:type="dxa"/>
          </w:tcPr>
          <w:p w14:paraId="62B6438C" w14:textId="77777777" w:rsidR="00AD4FA5" w:rsidRDefault="00000000">
            <w:r>
              <w:rPr>
                <w:rFonts w:ascii="Arial" w:hAnsi="Arial"/>
                <w:sz w:val="18"/>
              </w:rPr>
              <w:t>Baseline data available (2023-2024) but not formalized</w:t>
            </w:r>
          </w:p>
        </w:tc>
        <w:tc>
          <w:tcPr>
            <w:tcW w:w="1806" w:type="dxa"/>
          </w:tcPr>
          <w:p w14:paraId="054A4F25" w14:textId="77777777" w:rsidR="00AD4FA5" w:rsidRDefault="00000000">
            <w:r>
              <w:rPr>
                <w:rFonts w:ascii="Arial" w:hAnsi="Arial"/>
                <w:sz w:val="18"/>
              </w:rPr>
              <w:t>Industry standard: 2020 or most recent audited year</w:t>
            </w:r>
          </w:p>
        </w:tc>
        <w:tc>
          <w:tcPr>
            <w:tcW w:w="1806" w:type="dxa"/>
          </w:tcPr>
          <w:p w14:paraId="0ECAE688" w14:textId="77777777" w:rsidR="00AD4FA5" w:rsidRDefault="00000000">
            <w:r>
              <w:rPr>
                <w:rFonts w:ascii="Arial" w:hAnsi="Arial"/>
                <w:sz w:val="18"/>
              </w:rPr>
              <w:t>Formalize 2023 as base year; conduct third-party verification</w:t>
            </w:r>
          </w:p>
        </w:tc>
      </w:tr>
      <w:tr w:rsidR="00AD4FA5" w14:paraId="386EDE5F" w14:textId="77777777">
        <w:trPr>
          <w:jc w:val="center"/>
        </w:trPr>
        <w:tc>
          <w:tcPr>
            <w:tcW w:w="1806" w:type="dxa"/>
            <w:shd w:val="clear" w:color="auto" w:fill="F2F6FC"/>
          </w:tcPr>
          <w:p w14:paraId="634D1E01" w14:textId="77777777" w:rsidR="00AD4FA5" w:rsidRDefault="00000000">
            <w:r>
              <w:rPr>
                <w:rFonts w:ascii="Arial" w:hAnsi="Arial"/>
                <w:sz w:val="18"/>
              </w:rPr>
              <w:t>Target Governance &amp; Review Process</w:t>
            </w:r>
          </w:p>
        </w:tc>
        <w:tc>
          <w:tcPr>
            <w:tcW w:w="1806" w:type="dxa"/>
            <w:shd w:val="clear" w:color="auto" w:fill="F2F6FC"/>
          </w:tcPr>
          <w:p w14:paraId="2084EE5F" w14:textId="77777777" w:rsidR="00AD4FA5" w:rsidRDefault="00000000">
            <w:r>
              <w:rPr>
                <w:rFonts w:ascii="Arial" w:hAnsi="Arial"/>
                <w:sz w:val="18"/>
              </w:rPr>
              <w:t>Para 34</w:t>
            </w:r>
          </w:p>
        </w:tc>
        <w:tc>
          <w:tcPr>
            <w:tcW w:w="1806" w:type="dxa"/>
            <w:shd w:val="clear" w:color="auto" w:fill="F2F6FC"/>
          </w:tcPr>
          <w:p w14:paraId="26B97C78" w14:textId="77777777" w:rsidR="00AD4FA5" w:rsidRDefault="00000000">
            <w:r>
              <w:rPr>
                <w:rFonts w:ascii="Arial" w:hAnsi="Arial"/>
                <w:sz w:val="18"/>
              </w:rPr>
              <w:t>No formal process</w:t>
            </w:r>
          </w:p>
        </w:tc>
        <w:tc>
          <w:tcPr>
            <w:tcW w:w="1806" w:type="dxa"/>
            <w:shd w:val="clear" w:color="auto" w:fill="F2F6FC"/>
          </w:tcPr>
          <w:p w14:paraId="34E8C5C9" w14:textId="77777777" w:rsidR="00AD4FA5" w:rsidRDefault="00000000">
            <w:r>
              <w:rPr>
                <w:rFonts w:ascii="Arial" w:hAnsi="Arial"/>
                <w:sz w:val="18"/>
              </w:rPr>
              <w:t>BRI: Board-level oversight; DBS: Executive compensation linkage</w:t>
            </w:r>
          </w:p>
        </w:tc>
        <w:tc>
          <w:tcPr>
            <w:tcW w:w="1806" w:type="dxa"/>
            <w:shd w:val="clear" w:color="auto" w:fill="F2F6FC"/>
          </w:tcPr>
          <w:p w14:paraId="60F880B7" w14:textId="77777777" w:rsidR="00AD4FA5" w:rsidRDefault="00000000">
            <w:r>
              <w:rPr>
                <w:rFonts w:ascii="Arial" w:hAnsi="Arial"/>
                <w:sz w:val="18"/>
              </w:rPr>
              <w:t>Establish Climate Target Steering Committee; integrate into exec KPIs (10% weighting)</w:t>
            </w:r>
          </w:p>
        </w:tc>
      </w:tr>
      <w:tr w:rsidR="00AD4FA5" w14:paraId="6565F7D5" w14:textId="77777777">
        <w:trPr>
          <w:jc w:val="center"/>
        </w:trPr>
        <w:tc>
          <w:tcPr>
            <w:tcW w:w="1806" w:type="dxa"/>
          </w:tcPr>
          <w:p w14:paraId="1055BFF3" w14:textId="77777777" w:rsidR="00AD4FA5" w:rsidRDefault="00000000">
            <w:r>
              <w:rPr>
                <w:rFonts w:ascii="Arial" w:hAnsi="Arial"/>
                <w:sz w:val="18"/>
              </w:rPr>
              <w:t>Science-Based Validation</w:t>
            </w:r>
          </w:p>
        </w:tc>
        <w:tc>
          <w:tcPr>
            <w:tcW w:w="1806" w:type="dxa"/>
          </w:tcPr>
          <w:p w14:paraId="44B19429" w14:textId="77777777" w:rsidR="00AD4FA5" w:rsidRDefault="00000000">
            <w:r>
              <w:rPr>
                <w:rFonts w:ascii="Arial" w:hAnsi="Arial"/>
                <w:sz w:val="18"/>
              </w:rPr>
              <w:t>Para 33(b)</w:t>
            </w:r>
          </w:p>
        </w:tc>
        <w:tc>
          <w:tcPr>
            <w:tcW w:w="1806" w:type="dxa"/>
          </w:tcPr>
          <w:p w14:paraId="6B8DBC4A" w14:textId="77777777" w:rsidR="00AD4FA5" w:rsidRDefault="00000000">
            <w:r>
              <w:rPr>
                <w:rFonts w:ascii="Arial" w:hAnsi="Arial"/>
                <w:sz w:val="18"/>
              </w:rPr>
              <w:t>Not Pursued</w:t>
            </w:r>
          </w:p>
        </w:tc>
        <w:tc>
          <w:tcPr>
            <w:tcW w:w="1806" w:type="dxa"/>
          </w:tcPr>
          <w:p w14:paraId="377D4317" w14:textId="77777777" w:rsidR="00AD4FA5" w:rsidRDefault="00000000">
            <w:r>
              <w:rPr>
                <w:rFonts w:ascii="Arial" w:hAnsi="Arial"/>
                <w:sz w:val="18"/>
              </w:rPr>
              <w:t>BRI: First Indonesian FI with SBTi commitment</w:t>
            </w:r>
          </w:p>
        </w:tc>
        <w:tc>
          <w:tcPr>
            <w:tcW w:w="1806" w:type="dxa"/>
          </w:tcPr>
          <w:p w14:paraId="5B83ABE3" w14:textId="77777777" w:rsidR="00AD4FA5" w:rsidRDefault="00000000">
            <w:r>
              <w:rPr>
                <w:rFonts w:ascii="Arial" w:hAnsi="Arial"/>
                <w:sz w:val="18"/>
              </w:rPr>
              <w:t>Submit SBTi commitment within 12 months; target validation by 2027</w:t>
            </w:r>
          </w:p>
        </w:tc>
      </w:tr>
    </w:tbl>
    <w:p w14:paraId="13E19474" w14:textId="77777777" w:rsidR="00AD4FA5" w:rsidRDefault="00000000">
      <w:r>
        <w:rPr>
          <w:rFonts w:ascii="Arial" w:hAnsi="Arial"/>
          <w:i/>
          <w:sz w:val="16"/>
        </w:rPr>
        <w:t>Source: Analysis based on IFRS S2 Climate-related Disclosures (June 2023) requirements and peer bank disclosures (BRI 2023 Sustainability Report, DBS 2024 Sustainability Report, BCA 2023 ESG practices).</w:t>
      </w:r>
    </w:p>
    <w:p w14:paraId="5008D319" w14:textId="77777777" w:rsidR="00AD4FA5" w:rsidRDefault="00AD4FA5"/>
    <w:p w14:paraId="7D973F51" w14:textId="77777777" w:rsidR="00AD4FA5" w:rsidRDefault="00000000">
      <w:r>
        <w:rPr>
          <w:rFonts w:ascii="Arial" w:hAnsi="Arial"/>
          <w:b/>
          <w:sz w:val="20"/>
        </w:rPr>
        <w:t>Table 2: Recommended Climate Target Framework (2024-2030)</w:t>
      </w:r>
    </w:p>
    <w:tbl>
      <w:tblPr>
        <w:tblW w:w="0" w:type="auto"/>
        <w:jc w:val="center"/>
        <w:tblLook w:val="04A0" w:firstRow="1" w:lastRow="0" w:firstColumn="1" w:lastColumn="0" w:noHBand="0" w:noVBand="1"/>
      </w:tblPr>
      <w:tblGrid>
        <w:gridCol w:w="1245"/>
        <w:gridCol w:w="1155"/>
        <w:gridCol w:w="1164"/>
        <w:gridCol w:w="1164"/>
        <w:gridCol w:w="1164"/>
        <w:gridCol w:w="1164"/>
        <w:gridCol w:w="1094"/>
        <w:gridCol w:w="1095"/>
      </w:tblGrid>
      <w:tr w:rsidR="00AD4FA5" w14:paraId="131E26C5" w14:textId="77777777">
        <w:trPr>
          <w:jc w:val="center"/>
        </w:trPr>
        <w:tc>
          <w:tcPr>
            <w:tcW w:w="1129" w:type="dxa"/>
            <w:shd w:val="clear" w:color="auto" w:fill="1B3A6B"/>
          </w:tcPr>
          <w:p w14:paraId="2E651371" w14:textId="77777777" w:rsidR="00AD4FA5" w:rsidRDefault="00000000">
            <w:r>
              <w:rPr>
                <w:rFonts w:ascii="Arial" w:hAnsi="Arial"/>
                <w:b/>
                <w:color w:val="FFFFFF"/>
                <w:sz w:val="18"/>
              </w:rPr>
              <w:t>Target Category</w:t>
            </w:r>
          </w:p>
        </w:tc>
        <w:tc>
          <w:tcPr>
            <w:tcW w:w="1129" w:type="dxa"/>
            <w:shd w:val="clear" w:color="auto" w:fill="1B3A6B"/>
          </w:tcPr>
          <w:p w14:paraId="76A7AA31" w14:textId="77777777" w:rsidR="00AD4FA5" w:rsidRDefault="00000000">
            <w:r>
              <w:rPr>
                <w:rFonts w:ascii="Arial" w:hAnsi="Arial"/>
                <w:b/>
                <w:color w:val="FFFFFF"/>
                <w:sz w:val="18"/>
              </w:rPr>
              <w:t>Metric Type</w:t>
            </w:r>
          </w:p>
        </w:tc>
        <w:tc>
          <w:tcPr>
            <w:tcW w:w="1129" w:type="dxa"/>
            <w:shd w:val="clear" w:color="auto" w:fill="1B3A6B"/>
          </w:tcPr>
          <w:p w14:paraId="19391955" w14:textId="77777777" w:rsidR="00AD4FA5" w:rsidRDefault="00000000">
            <w:r>
              <w:rPr>
                <w:rFonts w:ascii="Arial" w:hAnsi="Arial"/>
                <w:b/>
                <w:color w:val="FFFFFF"/>
                <w:sz w:val="18"/>
              </w:rPr>
              <w:t>Base Year (2023)</w:t>
            </w:r>
          </w:p>
        </w:tc>
        <w:tc>
          <w:tcPr>
            <w:tcW w:w="1129" w:type="dxa"/>
            <w:shd w:val="clear" w:color="auto" w:fill="1B3A6B"/>
          </w:tcPr>
          <w:p w14:paraId="3E8D8B59" w14:textId="77777777" w:rsidR="00AD4FA5" w:rsidRDefault="00000000">
            <w:r>
              <w:rPr>
                <w:rFonts w:ascii="Arial" w:hAnsi="Arial"/>
                <w:b/>
                <w:color w:val="FFFFFF"/>
                <w:sz w:val="18"/>
              </w:rPr>
              <w:t>2025 Milestone</w:t>
            </w:r>
          </w:p>
        </w:tc>
        <w:tc>
          <w:tcPr>
            <w:tcW w:w="1129" w:type="dxa"/>
            <w:shd w:val="clear" w:color="auto" w:fill="1B3A6B"/>
          </w:tcPr>
          <w:p w14:paraId="5727BB62" w14:textId="77777777" w:rsidR="00AD4FA5" w:rsidRDefault="00000000">
            <w:r>
              <w:rPr>
                <w:rFonts w:ascii="Arial" w:hAnsi="Arial"/>
                <w:b/>
                <w:color w:val="FFFFFF"/>
                <w:sz w:val="18"/>
              </w:rPr>
              <w:t>2027 Milestone</w:t>
            </w:r>
          </w:p>
        </w:tc>
        <w:tc>
          <w:tcPr>
            <w:tcW w:w="1129" w:type="dxa"/>
            <w:shd w:val="clear" w:color="auto" w:fill="1B3A6B"/>
          </w:tcPr>
          <w:p w14:paraId="2A4C8794" w14:textId="77777777" w:rsidR="00AD4FA5" w:rsidRDefault="00000000">
            <w:r>
              <w:rPr>
                <w:rFonts w:ascii="Arial" w:hAnsi="Arial"/>
                <w:b/>
                <w:color w:val="FFFFFF"/>
                <w:sz w:val="18"/>
              </w:rPr>
              <w:t>2030 Target</w:t>
            </w:r>
          </w:p>
        </w:tc>
        <w:tc>
          <w:tcPr>
            <w:tcW w:w="1129" w:type="dxa"/>
            <w:shd w:val="clear" w:color="auto" w:fill="1B3A6B"/>
          </w:tcPr>
          <w:p w14:paraId="54F9FE99" w14:textId="77777777" w:rsidR="00AD4FA5" w:rsidRDefault="00000000">
            <w:r>
              <w:rPr>
                <w:rFonts w:ascii="Arial" w:hAnsi="Arial"/>
                <w:b/>
                <w:color w:val="FFFFFF"/>
                <w:sz w:val="18"/>
              </w:rPr>
              <w:t>Reduction %</w:t>
            </w:r>
          </w:p>
        </w:tc>
        <w:tc>
          <w:tcPr>
            <w:tcW w:w="1129" w:type="dxa"/>
            <w:shd w:val="clear" w:color="auto" w:fill="1B3A6B"/>
          </w:tcPr>
          <w:p w14:paraId="15A91883" w14:textId="77777777" w:rsidR="00AD4FA5" w:rsidRDefault="00000000">
            <w:r>
              <w:rPr>
                <w:rFonts w:ascii="Arial" w:hAnsi="Arial"/>
                <w:b/>
                <w:color w:val="FFFFFF"/>
                <w:sz w:val="18"/>
              </w:rPr>
              <w:t>Alignment</w:t>
            </w:r>
          </w:p>
        </w:tc>
      </w:tr>
      <w:tr w:rsidR="00AD4FA5" w14:paraId="0FD31540" w14:textId="77777777">
        <w:trPr>
          <w:jc w:val="center"/>
        </w:trPr>
        <w:tc>
          <w:tcPr>
            <w:tcW w:w="1129" w:type="dxa"/>
          </w:tcPr>
          <w:p w14:paraId="06C20A7E" w14:textId="77777777" w:rsidR="00AD4FA5" w:rsidRDefault="00000000">
            <w:r>
              <w:rPr>
                <w:rFonts w:ascii="Arial" w:hAnsi="Arial"/>
                <w:sz w:val="18"/>
              </w:rPr>
              <w:t>Scope 1 Operational Emissions</w:t>
            </w:r>
          </w:p>
        </w:tc>
        <w:tc>
          <w:tcPr>
            <w:tcW w:w="1129" w:type="dxa"/>
          </w:tcPr>
          <w:p w14:paraId="5D193CB8" w14:textId="77777777" w:rsidR="00AD4FA5" w:rsidRDefault="00000000">
            <w:r>
              <w:rPr>
                <w:rFonts w:ascii="Arial" w:hAnsi="Arial"/>
                <w:sz w:val="18"/>
              </w:rPr>
              <w:t>Absolute (tCO2e)</w:t>
            </w:r>
          </w:p>
        </w:tc>
        <w:tc>
          <w:tcPr>
            <w:tcW w:w="1129" w:type="dxa"/>
          </w:tcPr>
          <w:p w14:paraId="2C3B3A7C" w14:textId="77777777" w:rsidR="00AD4FA5" w:rsidRDefault="00000000">
            <w:pPr>
              <w:jc w:val="right"/>
            </w:pPr>
            <w:r>
              <w:rPr>
                <w:rFonts w:ascii="Arial" w:hAnsi="Arial"/>
                <w:sz w:val="18"/>
              </w:rPr>
              <w:t>3,324.521</w:t>
            </w:r>
          </w:p>
        </w:tc>
        <w:tc>
          <w:tcPr>
            <w:tcW w:w="1129" w:type="dxa"/>
          </w:tcPr>
          <w:p w14:paraId="773F6024" w14:textId="77777777" w:rsidR="00AD4FA5" w:rsidRDefault="00000000">
            <w:r>
              <w:rPr>
                <w:rFonts w:ascii="Arial" w:hAnsi="Arial"/>
                <w:sz w:val="18"/>
              </w:rPr>
              <w:t>3,158.295 (-5%)</w:t>
            </w:r>
          </w:p>
        </w:tc>
        <w:tc>
          <w:tcPr>
            <w:tcW w:w="1129" w:type="dxa"/>
          </w:tcPr>
          <w:p w14:paraId="55582EA7" w14:textId="77777777" w:rsidR="00AD4FA5" w:rsidRDefault="00000000">
            <w:r>
              <w:rPr>
                <w:rFonts w:ascii="Arial" w:hAnsi="Arial"/>
                <w:sz w:val="18"/>
              </w:rPr>
              <w:t>2,825.843 (-15%)</w:t>
            </w:r>
          </w:p>
        </w:tc>
        <w:tc>
          <w:tcPr>
            <w:tcW w:w="1129" w:type="dxa"/>
          </w:tcPr>
          <w:p w14:paraId="330293F6" w14:textId="77777777" w:rsidR="00AD4FA5" w:rsidRDefault="00000000">
            <w:r>
              <w:rPr>
                <w:rFonts w:ascii="Arial" w:hAnsi="Arial"/>
                <w:sz w:val="18"/>
              </w:rPr>
              <w:t>2,327.165 (-30%)</w:t>
            </w:r>
          </w:p>
        </w:tc>
        <w:tc>
          <w:tcPr>
            <w:tcW w:w="1129" w:type="dxa"/>
          </w:tcPr>
          <w:p w14:paraId="04F30F4D" w14:textId="77777777" w:rsidR="00AD4FA5" w:rsidRDefault="00000000">
            <w:pPr>
              <w:jc w:val="right"/>
            </w:pPr>
            <w:r>
              <w:rPr>
                <w:rFonts w:ascii="Arial" w:hAnsi="Arial"/>
                <w:sz w:val="18"/>
              </w:rPr>
              <w:t>-30%</w:t>
            </w:r>
          </w:p>
        </w:tc>
        <w:tc>
          <w:tcPr>
            <w:tcW w:w="1129" w:type="dxa"/>
          </w:tcPr>
          <w:p w14:paraId="7B9EA2A9" w14:textId="77777777" w:rsidR="00AD4FA5" w:rsidRDefault="00000000">
            <w:r>
              <w:rPr>
                <w:rFonts w:ascii="Arial" w:hAnsi="Arial"/>
                <w:sz w:val="18"/>
              </w:rPr>
              <w:t>1.5°C pathway</w:t>
            </w:r>
          </w:p>
        </w:tc>
      </w:tr>
      <w:tr w:rsidR="00AD4FA5" w14:paraId="329CF5AD" w14:textId="77777777">
        <w:trPr>
          <w:jc w:val="center"/>
        </w:trPr>
        <w:tc>
          <w:tcPr>
            <w:tcW w:w="1129" w:type="dxa"/>
            <w:shd w:val="clear" w:color="auto" w:fill="F2F6FC"/>
          </w:tcPr>
          <w:p w14:paraId="2FE2E270" w14:textId="77777777" w:rsidR="00AD4FA5" w:rsidRDefault="00000000">
            <w:r>
              <w:rPr>
                <w:rFonts w:ascii="Arial" w:hAnsi="Arial"/>
                <w:sz w:val="18"/>
              </w:rPr>
              <w:t>Scope 2 Operational Emissions (Market-based)</w:t>
            </w:r>
          </w:p>
        </w:tc>
        <w:tc>
          <w:tcPr>
            <w:tcW w:w="1129" w:type="dxa"/>
            <w:shd w:val="clear" w:color="auto" w:fill="F2F6FC"/>
          </w:tcPr>
          <w:p w14:paraId="2E15A048" w14:textId="77777777" w:rsidR="00AD4FA5" w:rsidRDefault="00000000">
            <w:r>
              <w:rPr>
                <w:rFonts w:ascii="Arial" w:hAnsi="Arial"/>
                <w:sz w:val="18"/>
              </w:rPr>
              <w:t>Absolute (tCO2e)</w:t>
            </w:r>
          </w:p>
        </w:tc>
        <w:tc>
          <w:tcPr>
            <w:tcW w:w="1129" w:type="dxa"/>
            <w:shd w:val="clear" w:color="auto" w:fill="F2F6FC"/>
          </w:tcPr>
          <w:p w14:paraId="0EB2A979" w14:textId="77777777" w:rsidR="00AD4FA5" w:rsidRDefault="00000000">
            <w:pPr>
              <w:jc w:val="right"/>
            </w:pPr>
            <w:r>
              <w:rPr>
                <w:rFonts w:ascii="Arial" w:hAnsi="Arial"/>
                <w:sz w:val="18"/>
              </w:rPr>
              <w:t>44,598.118</w:t>
            </w:r>
          </w:p>
        </w:tc>
        <w:tc>
          <w:tcPr>
            <w:tcW w:w="1129" w:type="dxa"/>
            <w:shd w:val="clear" w:color="auto" w:fill="F2F6FC"/>
          </w:tcPr>
          <w:p w14:paraId="771C4D16" w14:textId="77777777" w:rsidR="00AD4FA5" w:rsidRDefault="00000000">
            <w:r>
              <w:rPr>
                <w:rFonts w:ascii="Arial" w:hAnsi="Arial"/>
                <w:sz w:val="18"/>
              </w:rPr>
              <w:t>42,368.212 (-5%)</w:t>
            </w:r>
          </w:p>
        </w:tc>
        <w:tc>
          <w:tcPr>
            <w:tcW w:w="1129" w:type="dxa"/>
            <w:shd w:val="clear" w:color="auto" w:fill="F2F6FC"/>
          </w:tcPr>
          <w:p w14:paraId="13C645CC" w14:textId="77777777" w:rsidR="00AD4FA5" w:rsidRDefault="00000000">
            <w:r>
              <w:rPr>
                <w:rFonts w:ascii="Arial" w:hAnsi="Arial"/>
                <w:sz w:val="18"/>
              </w:rPr>
              <w:t>37,908.400 (-15%)</w:t>
            </w:r>
          </w:p>
        </w:tc>
        <w:tc>
          <w:tcPr>
            <w:tcW w:w="1129" w:type="dxa"/>
            <w:shd w:val="clear" w:color="auto" w:fill="F2F6FC"/>
          </w:tcPr>
          <w:p w14:paraId="38705FE1" w14:textId="77777777" w:rsidR="00AD4FA5" w:rsidRDefault="00000000">
            <w:r>
              <w:rPr>
                <w:rFonts w:ascii="Arial" w:hAnsi="Arial"/>
                <w:sz w:val="18"/>
              </w:rPr>
              <w:t>31,218.683 (-30%)</w:t>
            </w:r>
          </w:p>
        </w:tc>
        <w:tc>
          <w:tcPr>
            <w:tcW w:w="1129" w:type="dxa"/>
            <w:shd w:val="clear" w:color="auto" w:fill="F2F6FC"/>
          </w:tcPr>
          <w:p w14:paraId="4A1AFA21" w14:textId="77777777" w:rsidR="00AD4FA5" w:rsidRDefault="00000000">
            <w:pPr>
              <w:jc w:val="right"/>
            </w:pPr>
            <w:r>
              <w:rPr>
                <w:rFonts w:ascii="Arial" w:hAnsi="Arial"/>
                <w:sz w:val="18"/>
              </w:rPr>
              <w:t>-30%</w:t>
            </w:r>
          </w:p>
        </w:tc>
        <w:tc>
          <w:tcPr>
            <w:tcW w:w="1129" w:type="dxa"/>
            <w:shd w:val="clear" w:color="auto" w:fill="F2F6FC"/>
          </w:tcPr>
          <w:p w14:paraId="07FA9118" w14:textId="77777777" w:rsidR="00AD4FA5" w:rsidRDefault="00000000">
            <w:r>
              <w:rPr>
                <w:rFonts w:ascii="Arial" w:hAnsi="Arial"/>
                <w:sz w:val="18"/>
              </w:rPr>
              <w:t>1.5°C pathway</w:t>
            </w:r>
          </w:p>
        </w:tc>
      </w:tr>
      <w:tr w:rsidR="00AD4FA5" w14:paraId="400527BF" w14:textId="77777777">
        <w:trPr>
          <w:jc w:val="center"/>
        </w:trPr>
        <w:tc>
          <w:tcPr>
            <w:tcW w:w="1129" w:type="dxa"/>
          </w:tcPr>
          <w:p w14:paraId="4A89AAEA" w14:textId="77777777" w:rsidR="00AD4FA5" w:rsidRDefault="00000000">
            <w:r>
              <w:rPr>
                <w:rFonts w:ascii="Arial" w:hAnsi="Arial"/>
                <w:sz w:val="18"/>
              </w:rPr>
              <w:t>Scope 1+2 Combined</w:t>
            </w:r>
          </w:p>
        </w:tc>
        <w:tc>
          <w:tcPr>
            <w:tcW w:w="1129" w:type="dxa"/>
          </w:tcPr>
          <w:p w14:paraId="1E6EAE46" w14:textId="77777777" w:rsidR="00AD4FA5" w:rsidRDefault="00000000">
            <w:r>
              <w:rPr>
                <w:rFonts w:ascii="Arial" w:hAnsi="Arial"/>
                <w:sz w:val="18"/>
              </w:rPr>
              <w:t>Absolute (tCO2e)</w:t>
            </w:r>
          </w:p>
        </w:tc>
        <w:tc>
          <w:tcPr>
            <w:tcW w:w="1129" w:type="dxa"/>
          </w:tcPr>
          <w:p w14:paraId="1720700D" w14:textId="77777777" w:rsidR="00AD4FA5" w:rsidRDefault="00000000">
            <w:pPr>
              <w:jc w:val="right"/>
            </w:pPr>
            <w:r>
              <w:rPr>
                <w:rFonts w:ascii="Arial" w:hAnsi="Arial"/>
                <w:sz w:val="18"/>
              </w:rPr>
              <w:t>47,922.639</w:t>
            </w:r>
          </w:p>
        </w:tc>
        <w:tc>
          <w:tcPr>
            <w:tcW w:w="1129" w:type="dxa"/>
          </w:tcPr>
          <w:p w14:paraId="5277542D" w14:textId="77777777" w:rsidR="00AD4FA5" w:rsidRDefault="00000000">
            <w:r>
              <w:rPr>
                <w:rFonts w:ascii="Arial" w:hAnsi="Arial"/>
                <w:sz w:val="18"/>
              </w:rPr>
              <w:t>45,526.507 (-5%)</w:t>
            </w:r>
          </w:p>
        </w:tc>
        <w:tc>
          <w:tcPr>
            <w:tcW w:w="1129" w:type="dxa"/>
          </w:tcPr>
          <w:p w14:paraId="46E517B1" w14:textId="77777777" w:rsidR="00AD4FA5" w:rsidRDefault="00000000">
            <w:r>
              <w:rPr>
                <w:rFonts w:ascii="Arial" w:hAnsi="Arial"/>
                <w:sz w:val="18"/>
              </w:rPr>
              <w:t>40,734.243 (-15%)</w:t>
            </w:r>
          </w:p>
        </w:tc>
        <w:tc>
          <w:tcPr>
            <w:tcW w:w="1129" w:type="dxa"/>
          </w:tcPr>
          <w:p w14:paraId="5DCAB6DE" w14:textId="77777777" w:rsidR="00AD4FA5" w:rsidRDefault="00000000">
            <w:r>
              <w:rPr>
                <w:rFonts w:ascii="Arial" w:hAnsi="Arial"/>
                <w:sz w:val="18"/>
              </w:rPr>
              <w:t>33,545.848 (-30%)</w:t>
            </w:r>
          </w:p>
        </w:tc>
        <w:tc>
          <w:tcPr>
            <w:tcW w:w="1129" w:type="dxa"/>
          </w:tcPr>
          <w:p w14:paraId="44D64D1F" w14:textId="77777777" w:rsidR="00AD4FA5" w:rsidRDefault="00000000">
            <w:pPr>
              <w:jc w:val="right"/>
            </w:pPr>
            <w:r>
              <w:rPr>
                <w:rFonts w:ascii="Arial" w:hAnsi="Arial"/>
                <w:sz w:val="18"/>
              </w:rPr>
              <w:t>-30%</w:t>
            </w:r>
          </w:p>
        </w:tc>
        <w:tc>
          <w:tcPr>
            <w:tcW w:w="1129" w:type="dxa"/>
          </w:tcPr>
          <w:p w14:paraId="6C597C5F" w14:textId="77777777" w:rsidR="00AD4FA5" w:rsidRDefault="00000000">
            <w:r>
              <w:rPr>
                <w:rFonts w:ascii="Arial" w:hAnsi="Arial"/>
                <w:sz w:val="18"/>
              </w:rPr>
              <w:t>SBTi 1.5°C</w:t>
            </w:r>
          </w:p>
        </w:tc>
      </w:tr>
      <w:tr w:rsidR="00AD4FA5" w14:paraId="4F1EC66E" w14:textId="77777777">
        <w:trPr>
          <w:jc w:val="center"/>
        </w:trPr>
        <w:tc>
          <w:tcPr>
            <w:tcW w:w="1129" w:type="dxa"/>
            <w:shd w:val="clear" w:color="auto" w:fill="F2F6FC"/>
          </w:tcPr>
          <w:p w14:paraId="20D29F22" w14:textId="77777777" w:rsidR="00AD4FA5" w:rsidRDefault="00000000">
            <w:r>
              <w:rPr>
                <w:rFonts w:ascii="Arial" w:hAnsi="Arial"/>
                <w:sz w:val="18"/>
              </w:rPr>
              <w:t>Scope 3 Cat 15 Financed Emissions</w:t>
            </w:r>
          </w:p>
        </w:tc>
        <w:tc>
          <w:tcPr>
            <w:tcW w:w="1129" w:type="dxa"/>
            <w:shd w:val="clear" w:color="auto" w:fill="F2F6FC"/>
          </w:tcPr>
          <w:p w14:paraId="4B2F9F89" w14:textId="77777777" w:rsidR="00AD4FA5" w:rsidRDefault="00000000">
            <w:r>
              <w:rPr>
                <w:rFonts w:ascii="Arial" w:hAnsi="Arial"/>
                <w:sz w:val="18"/>
              </w:rPr>
              <w:t>Intensity (tCO2e/IDR bn)</w:t>
            </w:r>
          </w:p>
        </w:tc>
        <w:tc>
          <w:tcPr>
            <w:tcW w:w="1129" w:type="dxa"/>
            <w:shd w:val="clear" w:color="auto" w:fill="F2F6FC"/>
          </w:tcPr>
          <w:p w14:paraId="7D082FD8" w14:textId="77777777" w:rsidR="00AD4FA5" w:rsidRDefault="00000000">
            <w:pPr>
              <w:jc w:val="right"/>
            </w:pPr>
            <w:r>
              <w:rPr>
                <w:rFonts w:ascii="Arial" w:hAnsi="Arial"/>
                <w:sz w:val="18"/>
              </w:rPr>
              <w:t>270.116632</w:t>
            </w:r>
          </w:p>
        </w:tc>
        <w:tc>
          <w:tcPr>
            <w:tcW w:w="1129" w:type="dxa"/>
            <w:shd w:val="clear" w:color="auto" w:fill="F2F6FC"/>
          </w:tcPr>
          <w:p w14:paraId="3E2072F2" w14:textId="77777777" w:rsidR="00AD4FA5" w:rsidRDefault="00000000">
            <w:r>
              <w:rPr>
                <w:rFonts w:ascii="Arial" w:hAnsi="Arial"/>
                <w:sz w:val="18"/>
              </w:rPr>
              <w:t>256.610800 (-5%)</w:t>
            </w:r>
          </w:p>
        </w:tc>
        <w:tc>
          <w:tcPr>
            <w:tcW w:w="1129" w:type="dxa"/>
            <w:shd w:val="clear" w:color="auto" w:fill="F2F6FC"/>
          </w:tcPr>
          <w:p w14:paraId="7DE682F4" w14:textId="77777777" w:rsidR="00AD4FA5" w:rsidRDefault="00000000">
            <w:r>
              <w:rPr>
                <w:rFonts w:ascii="Arial" w:hAnsi="Arial"/>
                <w:sz w:val="18"/>
              </w:rPr>
              <w:t>229.599137 (-15%)</w:t>
            </w:r>
          </w:p>
        </w:tc>
        <w:tc>
          <w:tcPr>
            <w:tcW w:w="1129" w:type="dxa"/>
            <w:shd w:val="clear" w:color="auto" w:fill="F2F6FC"/>
          </w:tcPr>
          <w:p w14:paraId="0F3AD111" w14:textId="77777777" w:rsidR="00AD4FA5" w:rsidRDefault="00000000">
            <w:r>
              <w:rPr>
                <w:rFonts w:ascii="Arial" w:hAnsi="Arial"/>
                <w:sz w:val="18"/>
              </w:rPr>
              <w:t>202.587474 (-25%)</w:t>
            </w:r>
          </w:p>
        </w:tc>
        <w:tc>
          <w:tcPr>
            <w:tcW w:w="1129" w:type="dxa"/>
            <w:shd w:val="clear" w:color="auto" w:fill="F2F6FC"/>
          </w:tcPr>
          <w:p w14:paraId="5E73278E" w14:textId="77777777" w:rsidR="00AD4FA5" w:rsidRDefault="00000000">
            <w:pPr>
              <w:jc w:val="right"/>
            </w:pPr>
            <w:r>
              <w:rPr>
                <w:rFonts w:ascii="Arial" w:hAnsi="Arial"/>
                <w:sz w:val="18"/>
              </w:rPr>
              <w:t>-25%</w:t>
            </w:r>
          </w:p>
        </w:tc>
        <w:tc>
          <w:tcPr>
            <w:tcW w:w="1129" w:type="dxa"/>
            <w:shd w:val="clear" w:color="auto" w:fill="F2F6FC"/>
          </w:tcPr>
          <w:p w14:paraId="02C15D23" w14:textId="77777777" w:rsidR="00AD4FA5" w:rsidRDefault="00000000">
            <w:r>
              <w:rPr>
                <w:rFonts w:ascii="Arial" w:hAnsi="Arial"/>
                <w:sz w:val="18"/>
              </w:rPr>
              <w:t>2.0°C → 1.75°C</w:t>
            </w:r>
          </w:p>
        </w:tc>
      </w:tr>
      <w:tr w:rsidR="00AD4FA5" w14:paraId="6EB6024E" w14:textId="77777777">
        <w:trPr>
          <w:jc w:val="center"/>
        </w:trPr>
        <w:tc>
          <w:tcPr>
            <w:tcW w:w="1129" w:type="dxa"/>
          </w:tcPr>
          <w:p w14:paraId="6AAF4513" w14:textId="77777777" w:rsidR="00AD4FA5" w:rsidRDefault="00000000">
            <w:r>
              <w:rPr>
                <w:rFonts w:ascii="Arial" w:hAnsi="Arial"/>
                <w:sz w:val="18"/>
              </w:rPr>
              <w:t>Renewable Energy Procurement</w:t>
            </w:r>
          </w:p>
        </w:tc>
        <w:tc>
          <w:tcPr>
            <w:tcW w:w="1129" w:type="dxa"/>
          </w:tcPr>
          <w:p w14:paraId="60F9D5F2" w14:textId="77777777" w:rsidR="00AD4FA5" w:rsidRDefault="00000000">
            <w:r>
              <w:rPr>
                <w:rFonts w:ascii="Arial" w:hAnsi="Arial"/>
                <w:sz w:val="18"/>
              </w:rPr>
              <w:t>% of total electricity</w:t>
            </w:r>
          </w:p>
        </w:tc>
        <w:tc>
          <w:tcPr>
            <w:tcW w:w="1129" w:type="dxa"/>
          </w:tcPr>
          <w:p w14:paraId="6B91A244" w14:textId="77777777" w:rsidR="00AD4FA5" w:rsidRDefault="00000000">
            <w:pPr>
              <w:jc w:val="right"/>
            </w:pPr>
            <w:r>
              <w:rPr>
                <w:rFonts w:ascii="Arial" w:hAnsi="Arial"/>
                <w:sz w:val="18"/>
              </w:rPr>
              <w:t>0%</w:t>
            </w:r>
          </w:p>
        </w:tc>
        <w:tc>
          <w:tcPr>
            <w:tcW w:w="1129" w:type="dxa"/>
          </w:tcPr>
          <w:p w14:paraId="4D0B067C" w14:textId="77777777" w:rsidR="00AD4FA5" w:rsidRDefault="00000000">
            <w:pPr>
              <w:jc w:val="right"/>
            </w:pPr>
            <w:r>
              <w:rPr>
                <w:rFonts w:ascii="Arial" w:hAnsi="Arial"/>
                <w:sz w:val="18"/>
              </w:rPr>
              <w:t>10%</w:t>
            </w:r>
          </w:p>
        </w:tc>
        <w:tc>
          <w:tcPr>
            <w:tcW w:w="1129" w:type="dxa"/>
          </w:tcPr>
          <w:p w14:paraId="3B049F95" w14:textId="77777777" w:rsidR="00AD4FA5" w:rsidRDefault="00000000">
            <w:pPr>
              <w:jc w:val="right"/>
            </w:pPr>
            <w:r>
              <w:rPr>
                <w:rFonts w:ascii="Arial" w:hAnsi="Arial"/>
                <w:sz w:val="18"/>
              </w:rPr>
              <w:t>25%</w:t>
            </w:r>
          </w:p>
        </w:tc>
        <w:tc>
          <w:tcPr>
            <w:tcW w:w="1129" w:type="dxa"/>
          </w:tcPr>
          <w:p w14:paraId="3B6AFD7B" w14:textId="77777777" w:rsidR="00AD4FA5" w:rsidRDefault="00000000">
            <w:pPr>
              <w:jc w:val="right"/>
            </w:pPr>
            <w:r>
              <w:rPr>
                <w:rFonts w:ascii="Arial" w:hAnsi="Arial"/>
                <w:sz w:val="18"/>
              </w:rPr>
              <w:t>50%</w:t>
            </w:r>
          </w:p>
        </w:tc>
        <w:tc>
          <w:tcPr>
            <w:tcW w:w="1129" w:type="dxa"/>
          </w:tcPr>
          <w:p w14:paraId="128B362C" w14:textId="77777777" w:rsidR="00AD4FA5" w:rsidRDefault="00000000">
            <w:r>
              <w:rPr>
                <w:rFonts w:ascii="Arial" w:hAnsi="Arial"/>
                <w:sz w:val="18"/>
              </w:rPr>
              <w:t>+50pp</w:t>
            </w:r>
          </w:p>
        </w:tc>
        <w:tc>
          <w:tcPr>
            <w:tcW w:w="1129" w:type="dxa"/>
          </w:tcPr>
          <w:p w14:paraId="01A9EB56" w14:textId="77777777" w:rsidR="00AD4FA5" w:rsidRDefault="00000000">
            <w:r>
              <w:rPr>
                <w:rFonts w:ascii="Arial" w:hAnsi="Arial"/>
                <w:sz w:val="18"/>
              </w:rPr>
              <w:t>RE100 trajectory</w:t>
            </w:r>
          </w:p>
        </w:tc>
      </w:tr>
      <w:tr w:rsidR="00AD4FA5" w14:paraId="4E119CEA" w14:textId="77777777">
        <w:trPr>
          <w:jc w:val="center"/>
        </w:trPr>
        <w:tc>
          <w:tcPr>
            <w:tcW w:w="1129" w:type="dxa"/>
            <w:shd w:val="clear" w:color="auto" w:fill="F2F6FC"/>
          </w:tcPr>
          <w:p w14:paraId="57834FCA" w14:textId="77777777" w:rsidR="00AD4FA5" w:rsidRDefault="00000000">
            <w:r>
              <w:rPr>
                <w:rFonts w:ascii="Arial" w:hAnsi="Arial"/>
                <w:sz w:val="18"/>
              </w:rPr>
              <w:t>PCAF Data Quality Score</w:t>
            </w:r>
          </w:p>
        </w:tc>
        <w:tc>
          <w:tcPr>
            <w:tcW w:w="1129" w:type="dxa"/>
            <w:shd w:val="clear" w:color="auto" w:fill="F2F6FC"/>
          </w:tcPr>
          <w:p w14:paraId="6398DB83" w14:textId="77777777" w:rsidR="00AD4FA5" w:rsidRDefault="00000000">
            <w:r>
              <w:rPr>
                <w:rFonts w:ascii="Arial" w:hAnsi="Arial"/>
                <w:sz w:val="18"/>
              </w:rPr>
              <w:t>Average score (1-5)</w:t>
            </w:r>
          </w:p>
        </w:tc>
        <w:tc>
          <w:tcPr>
            <w:tcW w:w="1129" w:type="dxa"/>
            <w:shd w:val="clear" w:color="auto" w:fill="F2F6FC"/>
          </w:tcPr>
          <w:p w14:paraId="7A2A1657" w14:textId="77777777" w:rsidR="00AD4FA5" w:rsidRDefault="00000000">
            <w:pPr>
              <w:jc w:val="right"/>
            </w:pPr>
            <w:r>
              <w:rPr>
                <w:rFonts w:ascii="Arial" w:hAnsi="Arial"/>
                <w:sz w:val="18"/>
              </w:rPr>
              <w:t>3.36</w:t>
            </w:r>
          </w:p>
        </w:tc>
        <w:tc>
          <w:tcPr>
            <w:tcW w:w="1129" w:type="dxa"/>
            <w:shd w:val="clear" w:color="auto" w:fill="F2F6FC"/>
          </w:tcPr>
          <w:p w14:paraId="3BA7FB12" w14:textId="77777777" w:rsidR="00AD4FA5" w:rsidRDefault="00000000">
            <w:pPr>
              <w:jc w:val="right"/>
            </w:pPr>
            <w:r>
              <w:rPr>
                <w:rFonts w:ascii="Arial" w:hAnsi="Arial"/>
                <w:sz w:val="18"/>
              </w:rPr>
              <w:t>3.20</w:t>
            </w:r>
          </w:p>
        </w:tc>
        <w:tc>
          <w:tcPr>
            <w:tcW w:w="1129" w:type="dxa"/>
            <w:shd w:val="clear" w:color="auto" w:fill="F2F6FC"/>
          </w:tcPr>
          <w:p w14:paraId="3657B7EF" w14:textId="77777777" w:rsidR="00AD4FA5" w:rsidRDefault="00000000">
            <w:pPr>
              <w:jc w:val="right"/>
            </w:pPr>
            <w:r>
              <w:rPr>
                <w:rFonts w:ascii="Arial" w:hAnsi="Arial"/>
                <w:sz w:val="18"/>
              </w:rPr>
              <w:t>3.00</w:t>
            </w:r>
          </w:p>
        </w:tc>
        <w:tc>
          <w:tcPr>
            <w:tcW w:w="1129" w:type="dxa"/>
            <w:shd w:val="clear" w:color="auto" w:fill="F2F6FC"/>
          </w:tcPr>
          <w:p w14:paraId="5E380FDC" w14:textId="77777777" w:rsidR="00AD4FA5" w:rsidRDefault="00000000">
            <w:pPr>
              <w:jc w:val="right"/>
            </w:pPr>
            <w:r>
              <w:rPr>
                <w:rFonts w:ascii="Arial" w:hAnsi="Arial"/>
                <w:sz w:val="18"/>
              </w:rPr>
              <w:t>2.80</w:t>
            </w:r>
          </w:p>
        </w:tc>
        <w:tc>
          <w:tcPr>
            <w:tcW w:w="1129" w:type="dxa"/>
            <w:shd w:val="clear" w:color="auto" w:fill="F2F6FC"/>
          </w:tcPr>
          <w:p w14:paraId="27C54211" w14:textId="77777777" w:rsidR="00AD4FA5" w:rsidRDefault="00000000">
            <w:pPr>
              <w:jc w:val="right"/>
            </w:pPr>
            <w:r>
              <w:rPr>
                <w:rFonts w:ascii="Arial" w:hAnsi="Arial"/>
                <w:sz w:val="18"/>
              </w:rPr>
              <w:t>-16.7%</w:t>
            </w:r>
          </w:p>
        </w:tc>
        <w:tc>
          <w:tcPr>
            <w:tcW w:w="1129" w:type="dxa"/>
            <w:shd w:val="clear" w:color="auto" w:fill="F2F6FC"/>
          </w:tcPr>
          <w:p w14:paraId="5584432B" w14:textId="77777777" w:rsidR="00AD4FA5" w:rsidRDefault="00000000">
            <w:r>
              <w:rPr>
                <w:rFonts w:ascii="Arial" w:hAnsi="Arial"/>
                <w:sz w:val="18"/>
              </w:rPr>
              <w:t>PCAF Standard</w:t>
            </w:r>
          </w:p>
        </w:tc>
      </w:tr>
      <w:tr w:rsidR="00AD4FA5" w14:paraId="013F5CDC" w14:textId="77777777">
        <w:trPr>
          <w:jc w:val="center"/>
        </w:trPr>
        <w:tc>
          <w:tcPr>
            <w:tcW w:w="1129" w:type="dxa"/>
          </w:tcPr>
          <w:p w14:paraId="14BDA41D" w14:textId="77777777" w:rsidR="00AD4FA5" w:rsidRDefault="00000000">
            <w:r>
              <w:rPr>
                <w:rFonts w:ascii="Arial" w:hAnsi="Arial"/>
                <w:sz w:val="18"/>
              </w:rPr>
              <w:t>Portfolio Temperature Alignment</w:t>
            </w:r>
          </w:p>
        </w:tc>
        <w:tc>
          <w:tcPr>
            <w:tcW w:w="1129" w:type="dxa"/>
          </w:tcPr>
          <w:p w14:paraId="4A4D9D9D" w14:textId="77777777" w:rsidR="00AD4FA5" w:rsidRDefault="00000000">
            <w:r>
              <w:rPr>
                <w:rFonts w:ascii="Arial" w:hAnsi="Arial"/>
                <w:sz w:val="18"/>
              </w:rPr>
              <w:t>°C above pre-industrial</w:t>
            </w:r>
          </w:p>
        </w:tc>
        <w:tc>
          <w:tcPr>
            <w:tcW w:w="1129" w:type="dxa"/>
          </w:tcPr>
          <w:p w14:paraId="1EA468E7" w14:textId="77777777" w:rsidR="00AD4FA5" w:rsidRDefault="00000000">
            <w:r>
              <w:rPr>
                <w:rFonts w:ascii="Arial" w:hAnsi="Arial"/>
                <w:sz w:val="18"/>
              </w:rPr>
              <w:t>Not measured</w:t>
            </w:r>
          </w:p>
        </w:tc>
        <w:tc>
          <w:tcPr>
            <w:tcW w:w="1129" w:type="dxa"/>
          </w:tcPr>
          <w:p w14:paraId="245929BB" w14:textId="77777777" w:rsidR="00AD4FA5" w:rsidRDefault="00000000">
            <w:r>
              <w:rPr>
                <w:rFonts w:ascii="Arial" w:hAnsi="Arial"/>
                <w:sz w:val="18"/>
              </w:rPr>
              <w:t>2.5°C</w:t>
            </w:r>
          </w:p>
        </w:tc>
        <w:tc>
          <w:tcPr>
            <w:tcW w:w="1129" w:type="dxa"/>
          </w:tcPr>
          <w:p w14:paraId="0BA2AD2C" w14:textId="77777777" w:rsidR="00AD4FA5" w:rsidRDefault="00000000">
            <w:r>
              <w:rPr>
                <w:rFonts w:ascii="Arial" w:hAnsi="Arial"/>
                <w:sz w:val="18"/>
              </w:rPr>
              <w:t>2.2°C</w:t>
            </w:r>
          </w:p>
        </w:tc>
        <w:tc>
          <w:tcPr>
            <w:tcW w:w="1129" w:type="dxa"/>
          </w:tcPr>
          <w:p w14:paraId="7ADA3A56" w14:textId="77777777" w:rsidR="00AD4FA5" w:rsidRDefault="00000000">
            <w:r>
              <w:rPr>
                <w:rFonts w:ascii="Arial" w:hAnsi="Arial"/>
                <w:sz w:val="18"/>
              </w:rPr>
              <w:t>2.0°C</w:t>
            </w:r>
          </w:p>
        </w:tc>
        <w:tc>
          <w:tcPr>
            <w:tcW w:w="1129" w:type="dxa"/>
          </w:tcPr>
          <w:p w14:paraId="20FCEEC7" w14:textId="77777777" w:rsidR="00AD4FA5" w:rsidRDefault="00000000">
            <w:r>
              <w:rPr>
                <w:rFonts w:ascii="Arial" w:hAnsi="Arial"/>
                <w:sz w:val="18"/>
              </w:rPr>
              <w:t>-0.5°C</w:t>
            </w:r>
          </w:p>
        </w:tc>
        <w:tc>
          <w:tcPr>
            <w:tcW w:w="1129" w:type="dxa"/>
          </w:tcPr>
          <w:p w14:paraId="226113BF" w14:textId="77777777" w:rsidR="00AD4FA5" w:rsidRDefault="00000000">
            <w:r>
              <w:rPr>
                <w:rFonts w:ascii="Arial" w:hAnsi="Arial"/>
                <w:sz w:val="18"/>
              </w:rPr>
              <w:t>Paris Agreement</w:t>
            </w:r>
          </w:p>
        </w:tc>
      </w:tr>
    </w:tbl>
    <w:p w14:paraId="76DA088F" w14:textId="77777777" w:rsidR="00AD4FA5" w:rsidRDefault="00000000">
      <w:r>
        <w:rPr>
          <w:rFonts w:ascii="Arial" w:hAnsi="Arial"/>
          <w:i/>
          <w:sz w:val="16"/>
        </w:rPr>
        <w:t>Source: Recommended targets based on SBTi Financial Sector Science-Based Targets Guidance (2024), PCAF Global GHG Accounting Standard (2022), and peer bank precedents. Base year 2023 selected as most recent year with complete audited data. Scope 3 Cat 15 intensity metric uses total outstanding loan portfolio as denominator (IDR 1,541.182 trillion in 2024).</w:t>
      </w:r>
    </w:p>
    <w:p w14:paraId="25874F56" w14:textId="77777777" w:rsidR="00AD4FA5" w:rsidRDefault="00AD4FA5"/>
    <w:p w14:paraId="52FB5F26" w14:textId="77777777" w:rsidR="00AD4FA5" w:rsidRDefault="00000000">
      <w:r>
        <w:rPr>
          <w:rFonts w:ascii="Arial" w:hAnsi="Arial"/>
          <w:b/>
          <w:sz w:val="20"/>
        </w:rPr>
        <w:t>Table 3: Decarbonization Lever Contribution Analysis (Estimated Annual Reductions by 2030)</w:t>
      </w:r>
    </w:p>
    <w:tbl>
      <w:tblPr>
        <w:tblW w:w="0" w:type="auto"/>
        <w:jc w:val="center"/>
        <w:tblLook w:val="04A0" w:firstRow="1" w:lastRow="0" w:firstColumn="1" w:lastColumn="0" w:noHBand="0" w:noVBand="1"/>
      </w:tblPr>
      <w:tblGrid>
        <w:gridCol w:w="1617"/>
        <w:gridCol w:w="1063"/>
        <w:gridCol w:w="1547"/>
        <w:gridCol w:w="1368"/>
        <w:gridCol w:w="1208"/>
        <w:gridCol w:w="1238"/>
        <w:gridCol w:w="1204"/>
      </w:tblGrid>
      <w:tr w:rsidR="00AD4FA5" w14:paraId="450AFB31" w14:textId="77777777">
        <w:trPr>
          <w:jc w:val="center"/>
        </w:trPr>
        <w:tc>
          <w:tcPr>
            <w:tcW w:w="1290" w:type="dxa"/>
            <w:shd w:val="clear" w:color="auto" w:fill="1B3A6B"/>
          </w:tcPr>
          <w:p w14:paraId="107E0488" w14:textId="77777777" w:rsidR="00AD4FA5" w:rsidRDefault="00000000">
            <w:r>
              <w:rPr>
                <w:rFonts w:ascii="Arial" w:hAnsi="Arial"/>
                <w:b/>
                <w:color w:val="FFFFFF"/>
                <w:sz w:val="18"/>
              </w:rPr>
              <w:t>Decarbonization Lever</w:t>
            </w:r>
          </w:p>
        </w:tc>
        <w:tc>
          <w:tcPr>
            <w:tcW w:w="1290" w:type="dxa"/>
            <w:shd w:val="clear" w:color="auto" w:fill="1B3A6B"/>
          </w:tcPr>
          <w:p w14:paraId="4D809312" w14:textId="77777777" w:rsidR="00AD4FA5" w:rsidRDefault="00000000">
            <w:r>
              <w:rPr>
                <w:rFonts w:ascii="Arial" w:hAnsi="Arial"/>
                <w:b/>
                <w:color w:val="FFFFFF"/>
                <w:sz w:val="18"/>
              </w:rPr>
              <w:t>Scope</w:t>
            </w:r>
          </w:p>
        </w:tc>
        <w:tc>
          <w:tcPr>
            <w:tcW w:w="1290" w:type="dxa"/>
            <w:shd w:val="clear" w:color="auto" w:fill="1B3A6B"/>
          </w:tcPr>
          <w:p w14:paraId="5897062F" w14:textId="77777777" w:rsidR="00AD4FA5" w:rsidRDefault="00000000">
            <w:r>
              <w:rPr>
                <w:rFonts w:ascii="Arial" w:hAnsi="Arial"/>
                <w:b/>
                <w:color w:val="FFFFFF"/>
                <w:sz w:val="18"/>
              </w:rPr>
              <w:t>Implementation Timeline</w:t>
            </w:r>
          </w:p>
        </w:tc>
        <w:tc>
          <w:tcPr>
            <w:tcW w:w="1290" w:type="dxa"/>
            <w:shd w:val="clear" w:color="auto" w:fill="1B3A6B"/>
          </w:tcPr>
          <w:p w14:paraId="34D52173" w14:textId="77777777" w:rsidR="00AD4FA5" w:rsidRDefault="00000000">
            <w:r>
              <w:rPr>
                <w:rFonts w:ascii="Arial" w:hAnsi="Arial"/>
                <w:b/>
                <w:color w:val="FFFFFF"/>
                <w:sz w:val="18"/>
              </w:rPr>
              <w:t>Estimated Annual Reduction (tCO2e)</w:t>
            </w:r>
          </w:p>
        </w:tc>
        <w:tc>
          <w:tcPr>
            <w:tcW w:w="1290" w:type="dxa"/>
            <w:shd w:val="clear" w:color="auto" w:fill="1B3A6B"/>
          </w:tcPr>
          <w:p w14:paraId="6F711396" w14:textId="77777777" w:rsidR="00AD4FA5" w:rsidRDefault="00000000">
            <w:r>
              <w:rPr>
                <w:rFonts w:ascii="Arial" w:hAnsi="Arial"/>
                <w:b/>
                <w:color w:val="FFFFFF"/>
                <w:sz w:val="18"/>
              </w:rPr>
              <w:t>% of Total Reduction</w:t>
            </w:r>
          </w:p>
        </w:tc>
        <w:tc>
          <w:tcPr>
            <w:tcW w:w="1290" w:type="dxa"/>
            <w:shd w:val="clear" w:color="auto" w:fill="1B3A6B"/>
          </w:tcPr>
          <w:p w14:paraId="60096763" w14:textId="77777777" w:rsidR="00AD4FA5" w:rsidRDefault="00000000">
            <w:r>
              <w:rPr>
                <w:rFonts w:ascii="Arial" w:hAnsi="Arial"/>
                <w:b/>
                <w:color w:val="FFFFFF"/>
                <w:sz w:val="18"/>
              </w:rPr>
              <w:t>Capital Investment Required (IDR bn)</w:t>
            </w:r>
          </w:p>
        </w:tc>
        <w:tc>
          <w:tcPr>
            <w:tcW w:w="1290" w:type="dxa"/>
            <w:shd w:val="clear" w:color="auto" w:fill="1B3A6B"/>
          </w:tcPr>
          <w:p w14:paraId="63D03195" w14:textId="77777777" w:rsidR="00AD4FA5" w:rsidRDefault="00000000">
            <w:r>
              <w:rPr>
                <w:rFonts w:ascii="Arial" w:hAnsi="Arial"/>
                <w:b/>
                <w:color w:val="FFFFFF"/>
                <w:sz w:val="18"/>
              </w:rPr>
              <w:t>Peer Reference</w:t>
            </w:r>
          </w:p>
        </w:tc>
      </w:tr>
      <w:tr w:rsidR="00AD4FA5" w14:paraId="2F028BCA" w14:textId="77777777">
        <w:trPr>
          <w:jc w:val="center"/>
        </w:trPr>
        <w:tc>
          <w:tcPr>
            <w:tcW w:w="1290" w:type="dxa"/>
          </w:tcPr>
          <w:p w14:paraId="51536D60" w14:textId="77777777" w:rsidR="00AD4FA5" w:rsidRDefault="00000000">
            <w:r>
              <w:rPr>
                <w:rFonts w:ascii="Arial" w:hAnsi="Arial"/>
                <w:sz w:val="18"/>
              </w:rPr>
              <w:t>Renewable Energy PPAs (50% electricity)</w:t>
            </w:r>
          </w:p>
        </w:tc>
        <w:tc>
          <w:tcPr>
            <w:tcW w:w="1290" w:type="dxa"/>
          </w:tcPr>
          <w:p w14:paraId="0897EF45" w14:textId="77777777" w:rsidR="00AD4FA5" w:rsidRDefault="00000000">
            <w:r>
              <w:rPr>
                <w:rFonts w:ascii="Arial" w:hAnsi="Arial"/>
                <w:sz w:val="18"/>
              </w:rPr>
              <w:t>Scope 2</w:t>
            </w:r>
          </w:p>
        </w:tc>
        <w:tc>
          <w:tcPr>
            <w:tcW w:w="1290" w:type="dxa"/>
          </w:tcPr>
          <w:p w14:paraId="47C2D30D" w14:textId="77777777" w:rsidR="00AD4FA5" w:rsidRDefault="00000000">
            <w:r>
              <w:rPr>
                <w:rFonts w:ascii="Arial" w:hAnsi="Arial"/>
                <w:sz w:val="18"/>
              </w:rPr>
              <w:t>2025-2030</w:t>
            </w:r>
          </w:p>
        </w:tc>
        <w:tc>
          <w:tcPr>
            <w:tcW w:w="1290" w:type="dxa"/>
          </w:tcPr>
          <w:p w14:paraId="18278147" w14:textId="77777777" w:rsidR="00AD4FA5" w:rsidRDefault="00000000">
            <w:pPr>
              <w:jc w:val="right"/>
            </w:pPr>
            <w:r>
              <w:rPr>
                <w:rFonts w:ascii="Arial" w:hAnsi="Arial"/>
                <w:sz w:val="18"/>
              </w:rPr>
              <w:t>22,306.939</w:t>
            </w:r>
          </w:p>
        </w:tc>
        <w:tc>
          <w:tcPr>
            <w:tcW w:w="1290" w:type="dxa"/>
          </w:tcPr>
          <w:p w14:paraId="3E973551" w14:textId="77777777" w:rsidR="00AD4FA5" w:rsidRDefault="00000000">
            <w:pPr>
              <w:jc w:val="right"/>
            </w:pPr>
            <w:r>
              <w:rPr>
                <w:rFonts w:ascii="Arial" w:hAnsi="Arial"/>
                <w:sz w:val="18"/>
              </w:rPr>
              <w:t>47.5%</w:t>
            </w:r>
          </w:p>
        </w:tc>
        <w:tc>
          <w:tcPr>
            <w:tcW w:w="1290" w:type="dxa"/>
          </w:tcPr>
          <w:p w14:paraId="49E54AED" w14:textId="77777777" w:rsidR="00AD4FA5" w:rsidRDefault="00000000">
            <w:r>
              <w:rPr>
                <w:rFonts w:ascii="Arial" w:hAnsi="Arial"/>
                <w:sz w:val="18"/>
              </w:rPr>
              <w:t>150-200</w:t>
            </w:r>
          </w:p>
        </w:tc>
        <w:tc>
          <w:tcPr>
            <w:tcW w:w="1290" w:type="dxa"/>
          </w:tcPr>
          <w:p w14:paraId="7C785284" w14:textId="77777777" w:rsidR="00AD4FA5" w:rsidRDefault="00000000">
            <w:r>
              <w:rPr>
                <w:rFonts w:ascii="Arial" w:hAnsi="Arial"/>
                <w:sz w:val="18"/>
              </w:rPr>
              <w:t>DBS: 62% renewable achieved</w:t>
            </w:r>
          </w:p>
        </w:tc>
      </w:tr>
      <w:tr w:rsidR="00AD4FA5" w14:paraId="3F6FE681" w14:textId="77777777">
        <w:trPr>
          <w:jc w:val="center"/>
        </w:trPr>
        <w:tc>
          <w:tcPr>
            <w:tcW w:w="1290" w:type="dxa"/>
            <w:shd w:val="clear" w:color="auto" w:fill="F2F6FC"/>
          </w:tcPr>
          <w:p w14:paraId="0FB98559" w14:textId="77777777" w:rsidR="00AD4FA5" w:rsidRDefault="00000000">
            <w:r>
              <w:rPr>
                <w:rFonts w:ascii="Arial" w:hAnsi="Arial"/>
                <w:sz w:val="18"/>
              </w:rPr>
              <w:t>On-site Solar Generation (50 branches)</w:t>
            </w:r>
          </w:p>
        </w:tc>
        <w:tc>
          <w:tcPr>
            <w:tcW w:w="1290" w:type="dxa"/>
            <w:shd w:val="clear" w:color="auto" w:fill="F2F6FC"/>
          </w:tcPr>
          <w:p w14:paraId="5B3D6D50" w14:textId="77777777" w:rsidR="00AD4FA5" w:rsidRDefault="00000000">
            <w:r>
              <w:rPr>
                <w:rFonts w:ascii="Arial" w:hAnsi="Arial"/>
                <w:sz w:val="18"/>
              </w:rPr>
              <w:t>Scope 2</w:t>
            </w:r>
          </w:p>
        </w:tc>
        <w:tc>
          <w:tcPr>
            <w:tcW w:w="1290" w:type="dxa"/>
            <w:shd w:val="clear" w:color="auto" w:fill="F2F6FC"/>
          </w:tcPr>
          <w:p w14:paraId="5E9788ED" w14:textId="77777777" w:rsidR="00AD4FA5" w:rsidRDefault="00000000">
            <w:r>
              <w:rPr>
                <w:rFonts w:ascii="Arial" w:hAnsi="Arial"/>
                <w:sz w:val="18"/>
              </w:rPr>
              <w:t>2026-2030</w:t>
            </w:r>
          </w:p>
        </w:tc>
        <w:tc>
          <w:tcPr>
            <w:tcW w:w="1290" w:type="dxa"/>
            <w:shd w:val="clear" w:color="auto" w:fill="F2F6FC"/>
          </w:tcPr>
          <w:p w14:paraId="766CD764" w14:textId="77777777" w:rsidR="00AD4FA5" w:rsidRDefault="00000000">
            <w:pPr>
              <w:jc w:val="right"/>
            </w:pPr>
            <w:r>
              <w:rPr>
                <w:rFonts w:ascii="Arial" w:hAnsi="Arial"/>
                <w:sz w:val="18"/>
              </w:rPr>
              <w:t>2,230.694</w:t>
            </w:r>
          </w:p>
        </w:tc>
        <w:tc>
          <w:tcPr>
            <w:tcW w:w="1290" w:type="dxa"/>
            <w:shd w:val="clear" w:color="auto" w:fill="F2F6FC"/>
          </w:tcPr>
          <w:p w14:paraId="48901BBA" w14:textId="77777777" w:rsidR="00AD4FA5" w:rsidRDefault="00000000">
            <w:pPr>
              <w:jc w:val="right"/>
            </w:pPr>
            <w:r>
              <w:rPr>
                <w:rFonts w:ascii="Arial" w:hAnsi="Arial"/>
                <w:sz w:val="18"/>
              </w:rPr>
              <w:t>4.8%</w:t>
            </w:r>
          </w:p>
        </w:tc>
        <w:tc>
          <w:tcPr>
            <w:tcW w:w="1290" w:type="dxa"/>
            <w:shd w:val="clear" w:color="auto" w:fill="F2F6FC"/>
          </w:tcPr>
          <w:p w14:paraId="5B8486E9" w14:textId="77777777" w:rsidR="00AD4FA5" w:rsidRDefault="00000000">
            <w:r>
              <w:rPr>
                <w:rFonts w:ascii="Arial" w:hAnsi="Arial"/>
                <w:sz w:val="18"/>
              </w:rPr>
              <w:t>75-100</w:t>
            </w:r>
          </w:p>
        </w:tc>
        <w:tc>
          <w:tcPr>
            <w:tcW w:w="1290" w:type="dxa"/>
            <w:shd w:val="clear" w:color="auto" w:fill="F2F6FC"/>
          </w:tcPr>
          <w:p w14:paraId="06387868" w14:textId="77777777" w:rsidR="00AD4FA5" w:rsidRDefault="00000000">
            <w:r>
              <w:rPr>
                <w:rFonts w:ascii="Arial" w:hAnsi="Arial"/>
                <w:sz w:val="18"/>
              </w:rPr>
              <w:t>BRI: Green Network program</w:t>
            </w:r>
          </w:p>
        </w:tc>
      </w:tr>
      <w:tr w:rsidR="00AD4FA5" w14:paraId="30CFF4C8" w14:textId="77777777">
        <w:trPr>
          <w:jc w:val="center"/>
        </w:trPr>
        <w:tc>
          <w:tcPr>
            <w:tcW w:w="1290" w:type="dxa"/>
          </w:tcPr>
          <w:p w14:paraId="42EAA999" w14:textId="77777777" w:rsidR="00AD4FA5" w:rsidRDefault="00000000">
            <w:r>
              <w:rPr>
                <w:rFonts w:ascii="Arial" w:hAnsi="Arial"/>
                <w:sz w:val="18"/>
              </w:rPr>
              <w:t>Energy Efficiency (LED, HVAC, BMS)</w:t>
            </w:r>
          </w:p>
        </w:tc>
        <w:tc>
          <w:tcPr>
            <w:tcW w:w="1290" w:type="dxa"/>
          </w:tcPr>
          <w:p w14:paraId="3F79180A" w14:textId="77777777" w:rsidR="00AD4FA5" w:rsidRDefault="00000000">
            <w:r>
              <w:rPr>
                <w:rFonts w:ascii="Arial" w:hAnsi="Arial"/>
                <w:sz w:val="18"/>
              </w:rPr>
              <w:t>Scope 2</w:t>
            </w:r>
          </w:p>
        </w:tc>
        <w:tc>
          <w:tcPr>
            <w:tcW w:w="1290" w:type="dxa"/>
          </w:tcPr>
          <w:p w14:paraId="239C2016" w14:textId="77777777" w:rsidR="00AD4FA5" w:rsidRDefault="00000000">
            <w:r>
              <w:rPr>
                <w:rFonts w:ascii="Arial" w:hAnsi="Arial"/>
                <w:sz w:val="18"/>
              </w:rPr>
              <w:t>2025-2027</w:t>
            </w:r>
          </w:p>
        </w:tc>
        <w:tc>
          <w:tcPr>
            <w:tcW w:w="1290" w:type="dxa"/>
          </w:tcPr>
          <w:p w14:paraId="3787A769" w14:textId="77777777" w:rsidR="00AD4FA5" w:rsidRDefault="00000000">
            <w:pPr>
              <w:jc w:val="right"/>
            </w:pPr>
            <w:r>
              <w:rPr>
                <w:rFonts w:ascii="Arial" w:hAnsi="Arial"/>
                <w:sz w:val="18"/>
              </w:rPr>
              <w:t>4,461.388</w:t>
            </w:r>
          </w:p>
        </w:tc>
        <w:tc>
          <w:tcPr>
            <w:tcW w:w="1290" w:type="dxa"/>
          </w:tcPr>
          <w:p w14:paraId="6A2E428E" w14:textId="77777777" w:rsidR="00AD4FA5" w:rsidRDefault="00000000">
            <w:pPr>
              <w:jc w:val="right"/>
            </w:pPr>
            <w:r>
              <w:rPr>
                <w:rFonts w:ascii="Arial" w:hAnsi="Arial"/>
                <w:sz w:val="18"/>
              </w:rPr>
              <w:t>9.5%</w:t>
            </w:r>
          </w:p>
        </w:tc>
        <w:tc>
          <w:tcPr>
            <w:tcW w:w="1290" w:type="dxa"/>
          </w:tcPr>
          <w:p w14:paraId="0BBC3282" w14:textId="77777777" w:rsidR="00AD4FA5" w:rsidRDefault="00000000">
            <w:r>
              <w:rPr>
                <w:rFonts w:ascii="Arial" w:hAnsi="Arial"/>
                <w:sz w:val="18"/>
              </w:rPr>
              <w:t>50-75</w:t>
            </w:r>
          </w:p>
        </w:tc>
        <w:tc>
          <w:tcPr>
            <w:tcW w:w="1290" w:type="dxa"/>
          </w:tcPr>
          <w:p w14:paraId="4DEA4E70" w14:textId="77777777" w:rsidR="00AD4FA5" w:rsidRDefault="00000000">
            <w:r>
              <w:rPr>
                <w:rFonts w:ascii="Arial" w:hAnsi="Arial"/>
                <w:sz w:val="18"/>
              </w:rPr>
              <w:t>BRI: 19.49% electricity savings</w:t>
            </w:r>
          </w:p>
        </w:tc>
      </w:tr>
      <w:tr w:rsidR="00AD4FA5" w14:paraId="18521770" w14:textId="77777777">
        <w:trPr>
          <w:jc w:val="center"/>
        </w:trPr>
        <w:tc>
          <w:tcPr>
            <w:tcW w:w="1290" w:type="dxa"/>
            <w:shd w:val="clear" w:color="auto" w:fill="F2F6FC"/>
          </w:tcPr>
          <w:p w14:paraId="34EE6B2F" w14:textId="77777777" w:rsidR="00AD4FA5" w:rsidRDefault="00000000">
            <w:r>
              <w:rPr>
                <w:rFonts w:ascii="Arial" w:hAnsi="Arial"/>
                <w:sz w:val="18"/>
              </w:rPr>
              <w:t>Fleet Electrification (60% of fleet)</w:t>
            </w:r>
          </w:p>
        </w:tc>
        <w:tc>
          <w:tcPr>
            <w:tcW w:w="1290" w:type="dxa"/>
            <w:shd w:val="clear" w:color="auto" w:fill="F2F6FC"/>
          </w:tcPr>
          <w:p w14:paraId="3992AB56" w14:textId="77777777" w:rsidR="00AD4FA5" w:rsidRDefault="00000000">
            <w:r>
              <w:rPr>
                <w:rFonts w:ascii="Arial" w:hAnsi="Arial"/>
                <w:sz w:val="18"/>
              </w:rPr>
              <w:t>Scope 1</w:t>
            </w:r>
          </w:p>
        </w:tc>
        <w:tc>
          <w:tcPr>
            <w:tcW w:w="1290" w:type="dxa"/>
            <w:shd w:val="clear" w:color="auto" w:fill="F2F6FC"/>
          </w:tcPr>
          <w:p w14:paraId="4AC3E419" w14:textId="77777777" w:rsidR="00AD4FA5" w:rsidRDefault="00000000">
            <w:r>
              <w:rPr>
                <w:rFonts w:ascii="Arial" w:hAnsi="Arial"/>
                <w:sz w:val="18"/>
              </w:rPr>
              <w:t>2026-2030</w:t>
            </w:r>
          </w:p>
        </w:tc>
        <w:tc>
          <w:tcPr>
            <w:tcW w:w="1290" w:type="dxa"/>
            <w:shd w:val="clear" w:color="auto" w:fill="F2F6FC"/>
          </w:tcPr>
          <w:p w14:paraId="58127576" w14:textId="77777777" w:rsidR="00AD4FA5" w:rsidRDefault="00000000">
            <w:pPr>
              <w:jc w:val="right"/>
            </w:pPr>
            <w:r>
              <w:rPr>
                <w:rFonts w:ascii="Arial" w:hAnsi="Arial"/>
                <w:sz w:val="18"/>
              </w:rPr>
              <w:t>1,321.924</w:t>
            </w:r>
          </w:p>
        </w:tc>
        <w:tc>
          <w:tcPr>
            <w:tcW w:w="1290" w:type="dxa"/>
            <w:shd w:val="clear" w:color="auto" w:fill="F2F6FC"/>
          </w:tcPr>
          <w:p w14:paraId="57311CA9" w14:textId="77777777" w:rsidR="00AD4FA5" w:rsidRDefault="00000000">
            <w:pPr>
              <w:jc w:val="right"/>
            </w:pPr>
            <w:r>
              <w:rPr>
                <w:rFonts w:ascii="Arial" w:hAnsi="Arial"/>
                <w:sz w:val="18"/>
              </w:rPr>
              <w:t>2.8%</w:t>
            </w:r>
          </w:p>
        </w:tc>
        <w:tc>
          <w:tcPr>
            <w:tcW w:w="1290" w:type="dxa"/>
            <w:shd w:val="clear" w:color="auto" w:fill="F2F6FC"/>
          </w:tcPr>
          <w:p w14:paraId="122575B6" w14:textId="77777777" w:rsidR="00AD4FA5" w:rsidRDefault="00000000">
            <w:r>
              <w:rPr>
                <w:rFonts w:ascii="Arial" w:hAnsi="Arial"/>
                <w:sz w:val="18"/>
              </w:rPr>
              <w:t>200-250</w:t>
            </w:r>
          </w:p>
        </w:tc>
        <w:tc>
          <w:tcPr>
            <w:tcW w:w="1290" w:type="dxa"/>
            <w:shd w:val="clear" w:color="auto" w:fill="F2F6FC"/>
          </w:tcPr>
          <w:p w14:paraId="42217353" w14:textId="77777777" w:rsidR="00AD4FA5" w:rsidRDefault="00000000">
            <w:r>
              <w:rPr>
                <w:rFonts w:ascii="Arial" w:hAnsi="Arial"/>
                <w:sz w:val="18"/>
              </w:rPr>
              <w:t>BRI: 118 EVs + 150 e-bikes</w:t>
            </w:r>
          </w:p>
        </w:tc>
      </w:tr>
      <w:tr w:rsidR="00AD4FA5" w14:paraId="54CD5DFC" w14:textId="77777777">
        <w:trPr>
          <w:jc w:val="center"/>
        </w:trPr>
        <w:tc>
          <w:tcPr>
            <w:tcW w:w="1290" w:type="dxa"/>
          </w:tcPr>
          <w:p w14:paraId="2059E6D3" w14:textId="77777777" w:rsidR="00AD4FA5" w:rsidRDefault="00000000">
            <w:r>
              <w:rPr>
                <w:rFonts w:ascii="Arial" w:hAnsi="Arial"/>
                <w:sz w:val="18"/>
              </w:rPr>
              <w:t>Biodiesel B35+ for Generators</w:t>
            </w:r>
          </w:p>
        </w:tc>
        <w:tc>
          <w:tcPr>
            <w:tcW w:w="1290" w:type="dxa"/>
          </w:tcPr>
          <w:p w14:paraId="33F8FCE7" w14:textId="77777777" w:rsidR="00AD4FA5" w:rsidRDefault="00000000">
            <w:r>
              <w:rPr>
                <w:rFonts w:ascii="Arial" w:hAnsi="Arial"/>
                <w:sz w:val="18"/>
              </w:rPr>
              <w:t>Scope 1</w:t>
            </w:r>
          </w:p>
        </w:tc>
        <w:tc>
          <w:tcPr>
            <w:tcW w:w="1290" w:type="dxa"/>
          </w:tcPr>
          <w:p w14:paraId="720AF1FF" w14:textId="77777777" w:rsidR="00AD4FA5" w:rsidRDefault="00000000">
            <w:r>
              <w:rPr>
                <w:rFonts w:ascii="Arial" w:hAnsi="Arial"/>
                <w:sz w:val="18"/>
              </w:rPr>
              <w:t>2025-2026</w:t>
            </w:r>
          </w:p>
        </w:tc>
        <w:tc>
          <w:tcPr>
            <w:tcW w:w="1290" w:type="dxa"/>
          </w:tcPr>
          <w:p w14:paraId="28F2B9CD" w14:textId="77777777" w:rsidR="00AD4FA5" w:rsidRDefault="00000000">
            <w:pPr>
              <w:jc w:val="right"/>
            </w:pPr>
            <w:r>
              <w:rPr>
                <w:rFonts w:ascii="Arial" w:hAnsi="Arial"/>
                <w:sz w:val="18"/>
              </w:rPr>
              <w:t>330.481</w:t>
            </w:r>
          </w:p>
        </w:tc>
        <w:tc>
          <w:tcPr>
            <w:tcW w:w="1290" w:type="dxa"/>
          </w:tcPr>
          <w:p w14:paraId="02CEB230" w14:textId="77777777" w:rsidR="00AD4FA5" w:rsidRDefault="00000000">
            <w:pPr>
              <w:jc w:val="right"/>
            </w:pPr>
            <w:r>
              <w:rPr>
                <w:rFonts w:ascii="Arial" w:hAnsi="Arial"/>
                <w:sz w:val="18"/>
              </w:rPr>
              <w:t>0.7%</w:t>
            </w:r>
          </w:p>
        </w:tc>
        <w:tc>
          <w:tcPr>
            <w:tcW w:w="1290" w:type="dxa"/>
          </w:tcPr>
          <w:p w14:paraId="4E967E34" w14:textId="77777777" w:rsidR="00AD4FA5" w:rsidRDefault="00000000">
            <w:r>
              <w:rPr>
                <w:rFonts w:ascii="Arial" w:hAnsi="Arial"/>
                <w:sz w:val="18"/>
              </w:rPr>
              <w:t>10-15</w:t>
            </w:r>
          </w:p>
        </w:tc>
        <w:tc>
          <w:tcPr>
            <w:tcW w:w="1290" w:type="dxa"/>
          </w:tcPr>
          <w:p w14:paraId="7E747585" w14:textId="77777777" w:rsidR="00AD4FA5" w:rsidRDefault="00000000">
            <w:r>
              <w:rPr>
                <w:rFonts w:ascii="Arial" w:hAnsi="Arial"/>
                <w:sz w:val="18"/>
              </w:rPr>
              <w:t>National biodiesel mandate</w:t>
            </w:r>
          </w:p>
        </w:tc>
      </w:tr>
      <w:tr w:rsidR="00AD4FA5" w14:paraId="7FB8BF4C" w14:textId="77777777">
        <w:trPr>
          <w:jc w:val="center"/>
        </w:trPr>
        <w:tc>
          <w:tcPr>
            <w:tcW w:w="1290" w:type="dxa"/>
            <w:shd w:val="clear" w:color="auto" w:fill="F2F6FC"/>
          </w:tcPr>
          <w:p w14:paraId="659B7153" w14:textId="77777777" w:rsidR="00AD4FA5" w:rsidRDefault="00000000">
            <w:r>
              <w:rPr>
                <w:rFonts w:ascii="Arial" w:hAnsi="Arial"/>
                <w:sz w:val="18"/>
              </w:rPr>
              <w:t>Natural Gas HVAC Optimization</w:t>
            </w:r>
          </w:p>
        </w:tc>
        <w:tc>
          <w:tcPr>
            <w:tcW w:w="1290" w:type="dxa"/>
            <w:shd w:val="clear" w:color="auto" w:fill="F2F6FC"/>
          </w:tcPr>
          <w:p w14:paraId="175762C2" w14:textId="77777777" w:rsidR="00AD4FA5" w:rsidRDefault="00000000">
            <w:r>
              <w:rPr>
                <w:rFonts w:ascii="Arial" w:hAnsi="Arial"/>
                <w:sz w:val="18"/>
              </w:rPr>
              <w:t>Scope 1</w:t>
            </w:r>
          </w:p>
        </w:tc>
        <w:tc>
          <w:tcPr>
            <w:tcW w:w="1290" w:type="dxa"/>
            <w:shd w:val="clear" w:color="auto" w:fill="F2F6FC"/>
          </w:tcPr>
          <w:p w14:paraId="0E746BA5" w14:textId="77777777" w:rsidR="00AD4FA5" w:rsidRDefault="00000000">
            <w:r>
              <w:rPr>
                <w:rFonts w:ascii="Arial" w:hAnsi="Arial"/>
                <w:sz w:val="18"/>
              </w:rPr>
              <w:t>2025-2027</w:t>
            </w:r>
          </w:p>
        </w:tc>
        <w:tc>
          <w:tcPr>
            <w:tcW w:w="1290" w:type="dxa"/>
            <w:shd w:val="clear" w:color="auto" w:fill="F2F6FC"/>
          </w:tcPr>
          <w:p w14:paraId="23525124" w14:textId="77777777" w:rsidR="00AD4FA5" w:rsidRDefault="00000000">
            <w:pPr>
              <w:jc w:val="right"/>
            </w:pPr>
            <w:r>
              <w:rPr>
                <w:rFonts w:ascii="Arial" w:hAnsi="Arial"/>
                <w:sz w:val="18"/>
              </w:rPr>
              <w:t>179.969</w:t>
            </w:r>
          </w:p>
        </w:tc>
        <w:tc>
          <w:tcPr>
            <w:tcW w:w="1290" w:type="dxa"/>
            <w:shd w:val="clear" w:color="auto" w:fill="F2F6FC"/>
          </w:tcPr>
          <w:p w14:paraId="27FF8E66" w14:textId="77777777" w:rsidR="00AD4FA5" w:rsidRDefault="00000000">
            <w:pPr>
              <w:jc w:val="right"/>
            </w:pPr>
            <w:r>
              <w:rPr>
                <w:rFonts w:ascii="Arial" w:hAnsi="Arial"/>
                <w:sz w:val="18"/>
              </w:rPr>
              <w:t>0.4%</w:t>
            </w:r>
          </w:p>
        </w:tc>
        <w:tc>
          <w:tcPr>
            <w:tcW w:w="1290" w:type="dxa"/>
            <w:shd w:val="clear" w:color="auto" w:fill="F2F6FC"/>
          </w:tcPr>
          <w:p w14:paraId="12069B00" w14:textId="77777777" w:rsidR="00AD4FA5" w:rsidRDefault="00000000">
            <w:r>
              <w:rPr>
                <w:rFonts w:ascii="Arial" w:hAnsi="Arial"/>
                <w:sz w:val="18"/>
              </w:rPr>
              <w:t>20-30</w:t>
            </w:r>
          </w:p>
        </w:tc>
        <w:tc>
          <w:tcPr>
            <w:tcW w:w="1290" w:type="dxa"/>
            <w:shd w:val="clear" w:color="auto" w:fill="F2F6FC"/>
          </w:tcPr>
          <w:p w14:paraId="22750E77" w14:textId="77777777" w:rsidR="00AD4FA5" w:rsidRDefault="00000000">
            <w:r>
              <w:rPr>
                <w:rFonts w:ascii="Arial" w:hAnsi="Arial"/>
                <w:sz w:val="18"/>
              </w:rPr>
              <w:t>Industry best practice</w:t>
            </w:r>
          </w:p>
        </w:tc>
      </w:tr>
      <w:tr w:rsidR="00AD4FA5" w14:paraId="4857891D" w14:textId="77777777">
        <w:trPr>
          <w:jc w:val="center"/>
        </w:trPr>
        <w:tc>
          <w:tcPr>
            <w:tcW w:w="1290" w:type="dxa"/>
          </w:tcPr>
          <w:p w14:paraId="6D8FBF2B" w14:textId="77777777" w:rsidR="00AD4FA5" w:rsidRDefault="00000000">
            <w:r>
              <w:rPr>
                <w:rFonts w:ascii="Arial" w:hAnsi="Arial"/>
                <w:sz w:val="18"/>
              </w:rPr>
              <w:t>Sectoral Credit Policy Enforcement</w:t>
            </w:r>
          </w:p>
        </w:tc>
        <w:tc>
          <w:tcPr>
            <w:tcW w:w="1290" w:type="dxa"/>
          </w:tcPr>
          <w:p w14:paraId="3EA5B880" w14:textId="77777777" w:rsidR="00AD4FA5" w:rsidRDefault="00000000">
            <w:r>
              <w:rPr>
                <w:rFonts w:ascii="Arial" w:hAnsi="Arial"/>
                <w:sz w:val="18"/>
              </w:rPr>
              <w:t>Scope 3</w:t>
            </w:r>
          </w:p>
        </w:tc>
        <w:tc>
          <w:tcPr>
            <w:tcW w:w="1290" w:type="dxa"/>
          </w:tcPr>
          <w:p w14:paraId="76A3E548" w14:textId="77777777" w:rsidR="00AD4FA5" w:rsidRDefault="00000000">
            <w:r>
              <w:rPr>
                <w:rFonts w:ascii="Arial" w:hAnsi="Arial"/>
                <w:sz w:val="18"/>
              </w:rPr>
              <w:t>2025-2030</w:t>
            </w:r>
          </w:p>
        </w:tc>
        <w:tc>
          <w:tcPr>
            <w:tcW w:w="1290" w:type="dxa"/>
          </w:tcPr>
          <w:p w14:paraId="089FF2BF" w14:textId="77777777" w:rsidR="00AD4FA5" w:rsidRDefault="00000000">
            <w:pPr>
              <w:jc w:val="right"/>
            </w:pPr>
            <w:r>
              <w:rPr>
                <w:rFonts w:ascii="Arial" w:hAnsi="Arial"/>
                <w:sz w:val="18"/>
              </w:rPr>
              <w:t>3,820,043.535</w:t>
            </w:r>
          </w:p>
        </w:tc>
        <w:tc>
          <w:tcPr>
            <w:tcW w:w="1290" w:type="dxa"/>
          </w:tcPr>
          <w:p w14:paraId="7B3038F7" w14:textId="77777777" w:rsidR="00AD4FA5" w:rsidRDefault="00000000">
            <w:r>
              <w:rPr>
                <w:rFonts w:ascii="Arial" w:hAnsi="Arial"/>
                <w:sz w:val="18"/>
              </w:rPr>
              <w:t>N/A (intensity)</w:t>
            </w:r>
          </w:p>
        </w:tc>
        <w:tc>
          <w:tcPr>
            <w:tcW w:w="1290" w:type="dxa"/>
          </w:tcPr>
          <w:p w14:paraId="040642B0" w14:textId="77777777" w:rsidR="00AD4FA5" w:rsidRDefault="00000000">
            <w:r>
              <w:rPr>
                <w:rFonts w:ascii="Arial" w:hAnsi="Arial"/>
                <w:sz w:val="18"/>
              </w:rPr>
              <w:t>0 (policy)</w:t>
            </w:r>
          </w:p>
        </w:tc>
        <w:tc>
          <w:tcPr>
            <w:tcW w:w="1290" w:type="dxa"/>
          </w:tcPr>
          <w:p w14:paraId="7F38FD3A" w14:textId="77777777" w:rsidR="00AD4FA5" w:rsidRDefault="00000000">
            <w:r>
              <w:rPr>
                <w:rFonts w:ascii="Arial" w:hAnsi="Arial"/>
                <w:sz w:val="18"/>
              </w:rPr>
              <w:t>BCA: Coal, palm oil, cement, O&amp;G policies</w:t>
            </w:r>
          </w:p>
        </w:tc>
      </w:tr>
      <w:tr w:rsidR="00AD4FA5" w14:paraId="3EA9A497" w14:textId="77777777">
        <w:trPr>
          <w:jc w:val="center"/>
        </w:trPr>
        <w:tc>
          <w:tcPr>
            <w:tcW w:w="1290" w:type="dxa"/>
            <w:shd w:val="clear" w:color="auto" w:fill="F2F6FC"/>
          </w:tcPr>
          <w:p w14:paraId="6133FEDE" w14:textId="77777777" w:rsidR="00AD4FA5" w:rsidRDefault="00000000">
            <w:r>
              <w:rPr>
                <w:rFonts w:ascii="Arial" w:hAnsi="Arial"/>
                <w:sz w:val="18"/>
              </w:rPr>
              <w:t>Client Engagement Program (Top 50)</w:t>
            </w:r>
          </w:p>
        </w:tc>
        <w:tc>
          <w:tcPr>
            <w:tcW w:w="1290" w:type="dxa"/>
            <w:shd w:val="clear" w:color="auto" w:fill="F2F6FC"/>
          </w:tcPr>
          <w:p w14:paraId="22C5629E" w14:textId="77777777" w:rsidR="00AD4FA5" w:rsidRDefault="00000000">
            <w:r>
              <w:rPr>
                <w:rFonts w:ascii="Arial" w:hAnsi="Arial"/>
                <w:sz w:val="18"/>
              </w:rPr>
              <w:t>Scope 3</w:t>
            </w:r>
          </w:p>
        </w:tc>
        <w:tc>
          <w:tcPr>
            <w:tcW w:w="1290" w:type="dxa"/>
            <w:shd w:val="clear" w:color="auto" w:fill="F2F6FC"/>
          </w:tcPr>
          <w:p w14:paraId="09650452" w14:textId="77777777" w:rsidR="00AD4FA5" w:rsidRDefault="00000000">
            <w:r>
              <w:rPr>
                <w:rFonts w:ascii="Arial" w:hAnsi="Arial"/>
                <w:sz w:val="18"/>
              </w:rPr>
              <w:t>2026-2030</w:t>
            </w:r>
          </w:p>
        </w:tc>
        <w:tc>
          <w:tcPr>
            <w:tcW w:w="1290" w:type="dxa"/>
            <w:shd w:val="clear" w:color="auto" w:fill="F2F6FC"/>
          </w:tcPr>
          <w:p w14:paraId="036364C1" w14:textId="77777777" w:rsidR="00AD4FA5" w:rsidRDefault="00000000">
            <w:pPr>
              <w:jc w:val="right"/>
            </w:pPr>
            <w:r>
              <w:rPr>
                <w:rFonts w:ascii="Arial" w:hAnsi="Arial"/>
                <w:sz w:val="18"/>
              </w:rPr>
              <w:t>2,292,026.121</w:t>
            </w:r>
          </w:p>
        </w:tc>
        <w:tc>
          <w:tcPr>
            <w:tcW w:w="1290" w:type="dxa"/>
            <w:shd w:val="clear" w:color="auto" w:fill="F2F6FC"/>
          </w:tcPr>
          <w:p w14:paraId="171D04FA" w14:textId="77777777" w:rsidR="00AD4FA5" w:rsidRDefault="00000000">
            <w:r>
              <w:rPr>
                <w:rFonts w:ascii="Arial" w:hAnsi="Arial"/>
                <w:sz w:val="18"/>
              </w:rPr>
              <w:t>N/A (intensity)</w:t>
            </w:r>
          </w:p>
        </w:tc>
        <w:tc>
          <w:tcPr>
            <w:tcW w:w="1290" w:type="dxa"/>
            <w:shd w:val="clear" w:color="auto" w:fill="F2F6FC"/>
          </w:tcPr>
          <w:p w14:paraId="4F549B86" w14:textId="77777777" w:rsidR="00AD4FA5" w:rsidRDefault="00000000">
            <w:r>
              <w:rPr>
                <w:rFonts w:ascii="Arial" w:hAnsi="Arial"/>
                <w:sz w:val="18"/>
              </w:rPr>
              <w:t>15-25 (advisory)</w:t>
            </w:r>
          </w:p>
        </w:tc>
        <w:tc>
          <w:tcPr>
            <w:tcW w:w="1290" w:type="dxa"/>
            <w:shd w:val="clear" w:color="auto" w:fill="F2F6FC"/>
          </w:tcPr>
          <w:p w14:paraId="7BDF4010" w14:textId="77777777" w:rsidR="00AD4FA5" w:rsidRDefault="00000000">
            <w:r>
              <w:rPr>
                <w:rFonts w:ascii="Arial" w:hAnsi="Arial"/>
                <w:sz w:val="18"/>
              </w:rPr>
              <w:t>DBS: Client transition support</w:t>
            </w:r>
          </w:p>
        </w:tc>
      </w:tr>
      <w:tr w:rsidR="00AD4FA5" w14:paraId="5F543E99" w14:textId="77777777">
        <w:trPr>
          <w:jc w:val="center"/>
        </w:trPr>
        <w:tc>
          <w:tcPr>
            <w:tcW w:w="1290" w:type="dxa"/>
          </w:tcPr>
          <w:p w14:paraId="0D1C1B96" w14:textId="77777777" w:rsidR="00AD4FA5" w:rsidRDefault="00000000">
            <w:r>
              <w:rPr>
                <w:rFonts w:ascii="Arial" w:hAnsi="Arial"/>
                <w:sz w:val="18"/>
              </w:rPr>
              <w:t>Green Finance Incentives</w:t>
            </w:r>
          </w:p>
        </w:tc>
        <w:tc>
          <w:tcPr>
            <w:tcW w:w="1290" w:type="dxa"/>
          </w:tcPr>
          <w:p w14:paraId="0A5AFE18" w14:textId="77777777" w:rsidR="00AD4FA5" w:rsidRDefault="00000000">
            <w:r>
              <w:rPr>
                <w:rFonts w:ascii="Arial" w:hAnsi="Arial"/>
                <w:sz w:val="18"/>
              </w:rPr>
              <w:t>Scope 3</w:t>
            </w:r>
          </w:p>
        </w:tc>
        <w:tc>
          <w:tcPr>
            <w:tcW w:w="1290" w:type="dxa"/>
          </w:tcPr>
          <w:p w14:paraId="5FD2A5D3" w14:textId="77777777" w:rsidR="00AD4FA5" w:rsidRDefault="00000000">
            <w:r>
              <w:rPr>
                <w:rFonts w:ascii="Arial" w:hAnsi="Arial"/>
                <w:sz w:val="18"/>
              </w:rPr>
              <w:t>2025-2030</w:t>
            </w:r>
          </w:p>
        </w:tc>
        <w:tc>
          <w:tcPr>
            <w:tcW w:w="1290" w:type="dxa"/>
          </w:tcPr>
          <w:p w14:paraId="2F3077F4" w14:textId="77777777" w:rsidR="00AD4FA5" w:rsidRDefault="00000000">
            <w:pPr>
              <w:jc w:val="right"/>
            </w:pPr>
            <w:r>
              <w:rPr>
                <w:rFonts w:ascii="Arial" w:hAnsi="Arial"/>
                <w:sz w:val="18"/>
              </w:rPr>
              <w:t>1,528,017.414</w:t>
            </w:r>
          </w:p>
        </w:tc>
        <w:tc>
          <w:tcPr>
            <w:tcW w:w="1290" w:type="dxa"/>
          </w:tcPr>
          <w:p w14:paraId="71769F7C" w14:textId="77777777" w:rsidR="00AD4FA5" w:rsidRDefault="00000000">
            <w:r>
              <w:rPr>
                <w:rFonts w:ascii="Arial" w:hAnsi="Arial"/>
                <w:sz w:val="18"/>
              </w:rPr>
              <w:t>N/A (intensity)</w:t>
            </w:r>
          </w:p>
        </w:tc>
        <w:tc>
          <w:tcPr>
            <w:tcW w:w="1290" w:type="dxa"/>
          </w:tcPr>
          <w:p w14:paraId="6ED13BB3" w14:textId="77777777" w:rsidR="00AD4FA5" w:rsidRDefault="00000000">
            <w:r>
              <w:rPr>
                <w:rFonts w:ascii="Arial" w:hAnsi="Arial"/>
                <w:sz w:val="18"/>
              </w:rPr>
              <w:t>0 (pricing)</w:t>
            </w:r>
          </w:p>
        </w:tc>
        <w:tc>
          <w:tcPr>
            <w:tcW w:w="1290" w:type="dxa"/>
          </w:tcPr>
          <w:p w14:paraId="6BEC3258" w14:textId="77777777" w:rsidR="00AD4FA5" w:rsidRDefault="00000000">
            <w:r>
              <w:rPr>
                <w:rFonts w:ascii="Arial" w:hAnsi="Arial"/>
                <w:sz w:val="18"/>
              </w:rPr>
              <w:t>Industry green loan programs</w:t>
            </w:r>
          </w:p>
        </w:tc>
      </w:tr>
    </w:tbl>
    <w:p w14:paraId="3DF24B53" w14:textId="77777777" w:rsidR="00AD4FA5" w:rsidRDefault="00000000">
      <w:r>
        <w:rPr>
          <w:rFonts w:ascii="Arial" w:hAnsi="Arial"/>
          <w:i/>
          <w:sz w:val="16"/>
        </w:rPr>
        <w:t>Source: Reduction estimates based on industry benchmarks and peer bank implementation data. Scope 3 reductions expressed as estimated contribution to portfolio intensity reduction (not absolute tCO2e due to portfolio growth). Capital investment estimates include technology deployment, infrastructure upgrades, and program management costs. Actual reductions subject to technology availability, regulatory developments, and borrower cooperation.</w:t>
      </w:r>
    </w:p>
    <w:p w14:paraId="13407D88" w14:textId="77777777" w:rsidR="00AD4FA5" w:rsidRDefault="00AD4FA5"/>
    <w:p w14:paraId="2C1C7DBC" w14:textId="77777777" w:rsidR="00AD4FA5" w:rsidRDefault="00000000">
      <w:r>
        <w:rPr>
          <w:i/>
          <w:color w:val="3D6094"/>
          <w:sz w:val="18"/>
        </w:rPr>
        <w:t xml:space="preserve">Framework references: IFRS S2 Para 33 — Climate-related targets disclosure requirements; IFRS S2 Para 34 — Target-setting approach and monitoring; IFRS S2 Para 35 — Information about progress toward targets; IFRS S2 Para 36 — Revisions to targets; IFRS S2 Para 37 — Net zero target disclosure; IFRS S2 Para B66-B67 — Absolute vs intensity targets; IFRS S2 Para B72 — Carbon credits and offsets; IFRS S2 Para 29 — Cross-industry metrics (Scope 1, 2, 3); SASB </w:t>
      </w:r>
      <w:r>
        <w:rPr>
          <w:i/>
          <w:color w:val="3D6094"/>
          <w:sz w:val="18"/>
        </w:rPr>
        <w:lastRenderedPageBreak/>
        <w:t>FN-CB-410a.3 — Financed emissions disclosure; GHG Protocol Corporate Standard — Scope 1, 2, 3 definitions; PCAF Global GHG Accounting Standard (2022) — Financed emissions methodology; SBTi Financial Sector Science-Based Targets Guidance (2024) — Target validation criteria</w:t>
      </w:r>
    </w:p>
    <w:p w14:paraId="5C105908" w14:textId="77777777" w:rsidR="00AD4FA5" w:rsidRDefault="00AD4FA5">
      <w:pPr>
        <w:pBdr>
          <w:bottom w:val="single" w:sz="6" w:space="1" w:color="999999"/>
        </w:pBdr>
        <w:spacing w:after="80"/>
      </w:pPr>
    </w:p>
    <w:p w14:paraId="7A346989"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47C1A09C" w14:textId="77777777" w:rsidR="00AD4FA5" w:rsidRDefault="00000000">
      <w:pPr>
        <w:spacing w:after="160"/>
        <w:jc w:val="both"/>
      </w:pPr>
      <w:r>
        <w:rPr>
          <w:rFonts w:ascii="Arial" w:hAnsi="Arial"/>
          <w:i/>
          <w:color w:val="646464"/>
          <w:sz w:val="18"/>
        </w:rPr>
        <w:t>All recommended targets are subject to Board approval and may be adjusted based on regulatory developments, technology availability, and market conditions.</w:t>
      </w:r>
    </w:p>
    <w:p w14:paraId="6A3B539E" w14:textId="77777777" w:rsidR="00AD4FA5" w:rsidRDefault="00000000">
      <w:pPr>
        <w:spacing w:after="160"/>
        <w:jc w:val="both"/>
      </w:pPr>
      <w:r>
        <w:rPr>
          <w:rFonts w:ascii="Arial" w:hAnsi="Arial"/>
          <w:i/>
          <w:color w:val="646464"/>
          <w:sz w:val="18"/>
        </w:rPr>
        <w:t>Scope 3 Category 15 financed emissions intensity calculated using total outstanding loan portfolio as denominator (IDR 1,541.182 trillion in 2024 based on pcaf_sectors data).</w:t>
      </w:r>
    </w:p>
    <w:p w14:paraId="0103B12A" w14:textId="77777777" w:rsidR="00AD4FA5" w:rsidRDefault="00000000">
      <w:pPr>
        <w:spacing w:after="160"/>
        <w:jc w:val="both"/>
      </w:pPr>
      <w:r>
        <w:rPr>
          <w:rFonts w:ascii="Arial" w:hAnsi="Arial"/>
          <w:i/>
          <w:color w:val="646464"/>
          <w:sz w:val="18"/>
        </w:rPr>
        <w:t>Peer benchmark data sourced from publicly available sustainability reports: BRI 2023 Sustainability Report, DBS 2024 Sustainability Report, BCA 2023 ESG disclosures.</w:t>
      </w:r>
    </w:p>
    <w:p w14:paraId="05B046CB" w14:textId="77777777" w:rsidR="00AD4FA5" w:rsidRDefault="00000000">
      <w:pPr>
        <w:spacing w:after="160"/>
        <w:jc w:val="both"/>
      </w:pPr>
      <w:r>
        <w:rPr>
          <w:rFonts w:ascii="Arial" w:hAnsi="Arial"/>
          <w:i/>
          <w:color w:val="646464"/>
          <w:sz w:val="18"/>
        </w:rPr>
        <w:t>Decarbonization lever contribution estimates are indicative and based on industry benchmarks; actual reductions will vary based on implementation effectiveness and external factors.</w:t>
      </w:r>
    </w:p>
    <w:p w14:paraId="56988581" w14:textId="77777777" w:rsidR="00AD4FA5" w:rsidRDefault="00000000">
      <w:pPr>
        <w:spacing w:after="160"/>
        <w:jc w:val="both"/>
      </w:pPr>
      <w:r>
        <w:rPr>
          <w:rFonts w:ascii="Arial" w:hAnsi="Arial"/>
          <w:i/>
          <w:color w:val="646464"/>
          <w:sz w:val="18"/>
        </w:rPr>
        <w:t>SBTi (Science Based Targets initiative) commitment requires submission of targets within 24 months of commitment letter; validation process typically takes 6-12 months.</w:t>
      </w:r>
    </w:p>
    <w:p w14:paraId="34468E33" w14:textId="77777777" w:rsidR="00AD4FA5" w:rsidRDefault="00000000">
      <w:pPr>
        <w:spacing w:after="160"/>
        <w:jc w:val="both"/>
      </w:pPr>
      <w:r>
        <w:rPr>
          <w:rFonts w:ascii="Arial" w:hAnsi="Arial"/>
          <w:i/>
          <w:color w:val="646464"/>
          <w:sz w:val="18"/>
        </w:rPr>
        <w:t>Carbon offset strategy applies only to residual emissions after achieving maximum feasible reductions through operational and technological measures, consistent with SBTi Net Zero Standard.</w:t>
      </w:r>
    </w:p>
    <w:p w14:paraId="11C9F713" w14:textId="77777777" w:rsidR="00AD4FA5" w:rsidRDefault="00000000">
      <w:pPr>
        <w:spacing w:after="160"/>
        <w:jc w:val="both"/>
      </w:pPr>
      <w:r>
        <w:rPr>
          <w:rFonts w:ascii="Arial" w:hAnsi="Arial"/>
          <w:i/>
          <w:color w:val="646464"/>
          <w:sz w:val="18"/>
        </w:rPr>
        <w:t>Renewable energy procurement targets assume availability of Power Purchase Agreements (PPAs) with certified renewable energy providers in Indonesia; actual achievement dependent on grid infrastructure and regulatory framework.</w:t>
      </w:r>
    </w:p>
    <w:p w14:paraId="0C183E64" w14:textId="77777777" w:rsidR="00AD4FA5" w:rsidRDefault="00000000">
      <w:pPr>
        <w:spacing w:after="160"/>
        <w:jc w:val="both"/>
      </w:pPr>
      <w:r>
        <w:rPr>
          <w:rFonts w:ascii="Arial" w:hAnsi="Arial"/>
          <w:i/>
          <w:color w:val="646464"/>
          <w:sz w:val="18"/>
        </w:rPr>
        <w:t>Client engagement program effectiveness for Scope 3 reduction depends on borrower cooperation and may require contractual enforcement mechanisms in credit agreements.</w:t>
      </w:r>
    </w:p>
    <w:p w14:paraId="191E356F" w14:textId="77777777" w:rsidR="00AD4FA5" w:rsidRDefault="00000000">
      <w:r>
        <w:br w:type="page"/>
      </w:r>
    </w:p>
    <w:p w14:paraId="36F49228" w14:textId="77777777" w:rsidR="00AD4FA5" w:rsidRDefault="00000000">
      <w:pPr>
        <w:pStyle w:val="Heading1"/>
        <w:spacing w:after="240"/>
      </w:pPr>
      <w:bookmarkStart w:id="11" w:name="_Toc231979674"/>
      <w:r>
        <w:rPr>
          <w:rFonts w:ascii="Arial" w:hAnsi="Arial"/>
          <w:color w:val="1B3A6B"/>
          <w:sz w:val="36"/>
        </w:rPr>
        <w:lastRenderedPageBreak/>
        <w:t>GRI 305-3: Other Indirect (Scope 3) GHG Emissions — PCAF Financed Emissions</w:t>
      </w:r>
      <w:bookmarkEnd w:id="11"/>
    </w:p>
    <w:p w14:paraId="5F97D029" w14:textId="77777777" w:rsidR="00AD4FA5" w:rsidRDefault="00000000">
      <w:pPr>
        <w:spacing w:after="160"/>
        <w:jc w:val="both"/>
      </w:pPr>
      <w:r>
        <w:rPr>
          <w:rFonts w:ascii="Arial" w:hAnsi="Arial"/>
        </w:rPr>
        <w:t>The organization's financed emissions for the 2024 reporting period totaled 21,976,797.3 tCO2e on a gross basis, representing the absolute greenhouse gas emissions attributable to the institution's lending and investment portfolio. This figure encompasses all material Scope 3 Category 15 emissions calculated in accordance with the Partnership for Carbon Accounting Financials (PCAF) Global GHG Accounting Standard. The portfolio under assessment comprised 1,541,181.804 billion IDR in total outstanding exposure across 1,955 borrowers spanning ten economic sectors classified per NACE taxonomy.</w:t>
      </w:r>
    </w:p>
    <w:p w14:paraId="5E19A79C" w14:textId="77777777" w:rsidR="00AD4FA5" w:rsidRDefault="00000000">
      <w:pPr>
        <w:spacing w:after="160"/>
        <w:jc w:val="both"/>
      </w:pPr>
      <w:r>
        <w:rPr>
          <w:rFonts w:ascii="Arial" w:hAnsi="Arial"/>
          <w:i/>
        </w:rPr>
        <w:t>The PCAF methodology applies an attribution factor to allocate a proportionate share of each borrower's total emissions to the institution based on the ratio of outstanding loan amount to the borrower's total equity plus debt. The attribution factor formula is: (Outstanding Amount ÷ Borrower's Total Equity + Debt) × Borrower's Total Emissions. For the 2024 reporting period, the institution applied this methodology to corporate loans (PCAF Asset Class: Business Loans and Unlisted Equity), which constituted the material financed emissions category. Emission factors were sourced from borrower-reported data where available (PCAF Data Quality Score 1-2), supplemented by environmentally-extended input-output (EEIO) models for borrowers without direct reporting (PCAF Data Quality Score 3-5). The consolidation approach follows operational control boundaries consistent with the institution's Scope 1 and Scope 2 reporting.</w:t>
      </w:r>
    </w:p>
    <w:p w14:paraId="193FE909" w14:textId="77777777" w:rsidR="00AD4FA5" w:rsidRDefault="00000000">
      <w:pPr>
        <w:spacing w:after="160"/>
        <w:jc w:val="both"/>
      </w:pPr>
      <w:r>
        <w:rPr>
          <w:rFonts w:ascii="Arial" w:hAnsi="Arial"/>
        </w:rPr>
        <w:t>The confidence-weighted financed emissions for 2024 totaled 15,280,174.14 tCO2e, representing a 69.52% confidence adjustment applied to the gross figure. This weighted metric accounts for data quality variability across the portfolio by applying PCAF confidence factors ranging from 1.00 (verified emissions data) to 0.45 (sector-average proxies). The distinction between gross and weighted emissions is critical for transparency: gross emissions represent the institution's full attributed impact assuming perfect data quality, while weighted emissions reflect the actual confidence level in the underlying data sources. The 6,696,623.16 tCO2e difference between these figures quantifies the uncertainty inherent in the current data collection infrastructure and represents the maximum potential variance in reported emissions pending data quality improvements.</w:t>
      </w:r>
    </w:p>
    <w:p w14:paraId="43DBBE2F" w14:textId="77777777" w:rsidR="00AD4FA5" w:rsidRDefault="00000000">
      <w:pPr>
        <w:spacing w:after="160"/>
        <w:jc w:val="both"/>
      </w:pPr>
      <w:r>
        <w:rPr>
          <w:rFonts w:ascii="Arial" w:hAnsi="Arial"/>
        </w:rPr>
        <w:t>Three sectors accounted for 85.93% of total gross financed emissions. Energy - Oil &amp; Gas contributed 9,573,144.27 tCO2e (43.56% of portfolio emissions) from 135 borrowers with 102.669871 trillion IDR outstanding, representing an emission intensity of 93.242 tCO2e per billion IDR. Manufacturing - Cement contributed 5,813,830.91 tCO2e (26.45%) from 161 borrowers with 107.67817 trillion IDR outstanding, representing an emission intensity of 53.9927 tCO2e per billion IDR. Manufacturing - Steel contributed 3,499,463.0 tCO2e (15.92%) from 122 borrowers with 108.619962 trillion IDR outstanding, representing an emission intensity of 32.2175 tCO2e per billion IDR. These three sectors collectively represented 20.70% of total portfolio exposure but generated the majority of financed emissions, indicating concentration risk in carbon-intensive industries.</w:t>
      </w:r>
    </w:p>
    <w:p w14:paraId="601BE897" w14:textId="77777777" w:rsidR="00AD4FA5" w:rsidRDefault="00000000">
      <w:pPr>
        <w:spacing w:after="160"/>
        <w:jc w:val="both"/>
      </w:pPr>
      <w:r>
        <w:rPr>
          <w:rFonts w:ascii="Arial" w:hAnsi="Arial"/>
        </w:rPr>
        <w:t xml:space="preserve">The portfolio-weighted average PCAF data quality score for 2024 was 3.36 on a scale where 1 represents the highest quality (verified emissions data) and 5 represents the lowest quality (sector-average estimates). This score indicates that the majority of financed emissions </w:t>
      </w:r>
      <w:r>
        <w:rPr>
          <w:rFonts w:ascii="Arial" w:hAnsi="Arial"/>
        </w:rPr>
        <w:lastRenderedPageBreak/>
        <w:t>calculations relied on EEIO models combined with borrower revenue data (PCAF Score 3) or asset-based proxies (PCAF Score 4). The institution has not yet achieved the PCAF recommended threshold of maintaining an average data quality score below 3.0 for signatory institutions. Sector-level data quality varied from 3.21 (Retail Trade) to 3.42 (Financial Services), with carbon-intensive sectors (Energy, Manufacturing) averaging 3.36, indicating consistent data quality challenges across high-impact borrowers.</w:t>
      </w:r>
    </w:p>
    <w:p w14:paraId="29B6C8B1" w14:textId="77777777" w:rsidR="00AD4FA5" w:rsidRDefault="00000000">
      <w:pPr>
        <w:spacing w:after="160"/>
        <w:jc w:val="both"/>
      </w:pPr>
      <w:r>
        <w:rPr>
          <w:rFonts w:ascii="Arial" w:hAnsi="Arial"/>
        </w:rPr>
        <w:t>Gross financed emissions decreased 4.07% year-over-year from 22,911,991.05 tCO2e in 2023 to 21,976,797.3 tCO2e in 2024, representing an absolute reduction of 935,193.75 tCO2e. Confidence-weighted financed emissions decreased 1.90% from 15,576,239.57 tCO2e in 2023 to 15,280,174.14 tCO2e in 2024, representing an absolute reduction of 296,065.43 tCO2e. The divergence between gross reduction (4.07%) and weighted reduction (1.90%) indicates that emission reductions occurred disproportionately in portfolio segments with lower data quality scores, suggesting that improvements may partially reflect data quality enhancements rather than absolute emission reductions. This underscores the necessity of improving borrower-level emissions reporting to enable accurate trend analysis.</w:t>
      </w:r>
    </w:p>
    <w:p w14:paraId="643DEDFD" w14:textId="77777777" w:rsidR="00AD4FA5" w:rsidRDefault="00000000">
      <w:pPr>
        <w:spacing w:after="160"/>
        <w:jc w:val="both"/>
      </w:pPr>
      <w:r>
        <w:rPr>
          <w:rFonts w:ascii="Arial" w:hAnsi="Arial"/>
        </w:rPr>
        <w:t>The institution's financed emissions disclosure covers 100% of the corporate lending portfolio by outstanding value, meeting the PCAF minimum coverage threshold of 90% for signatory institutions. However, the current disclosure excludes other PCAF asset classes including mortgages (residential real estate), motor vehicle loans (on-road transportation), and project finance, which are material to the institution's balance sheet but not yet integrated into the PCAF calculation framework. Expansion of asset class coverage is planned for the 2025 reporting period to align with comprehensive PCAF signatory requirements.</w:t>
      </w:r>
    </w:p>
    <w:p w14:paraId="36DFEBE3" w14:textId="77777777" w:rsidR="00AD4FA5" w:rsidRDefault="00000000">
      <w:pPr>
        <w:spacing w:after="160"/>
        <w:jc w:val="both"/>
      </w:pPr>
      <w:r>
        <w:rPr>
          <w:rFonts w:ascii="Arial" w:hAnsi="Arial"/>
          <w:i/>
          <w:color w:val="555555"/>
        </w:rPr>
        <w:t>**Data Quality Improvement Roadmap**: The institution has identified three priority actions to reduce the portfolio-weighted PCAF score below 3.0 by 2026. First, implement mandatory emissions disclosure requirements in loan covenants for all borrowers with outstanding exposure exceeding 50 billion IDR, targeting 200 borrowers representing 65% of financed emissions. Second, establish a borrower engagement program providing technical assistance for GHG inventory development, modeled on international peer practices. Third, integrate third-party emissions databases (CDP, Trucost, S&amp;P Global) to supplement borrower-reported data for publicly listed companies. These initiatives are projected to improve 40% of portfolio exposure from PCAF Score 3-4 to Score 2 by end-2026.</w:t>
      </w:r>
    </w:p>
    <w:p w14:paraId="4769294C" w14:textId="77777777" w:rsidR="00AD4FA5" w:rsidRDefault="00000000">
      <w:r>
        <w:rPr>
          <w:rFonts w:ascii="Arial" w:hAnsi="Arial"/>
          <w:b/>
          <w:sz w:val="20"/>
        </w:rPr>
        <w:t>Table 1: Financed Emissions by Economic Sector (Top 5 by Gross Emissions) — 2024</w:t>
      </w:r>
    </w:p>
    <w:tbl>
      <w:tblPr>
        <w:tblW w:w="0" w:type="auto"/>
        <w:jc w:val="center"/>
        <w:tblLook w:val="04A0" w:firstRow="1" w:lastRow="0" w:firstColumn="1" w:lastColumn="0" w:noHBand="0" w:noVBand="1"/>
      </w:tblPr>
      <w:tblGrid>
        <w:gridCol w:w="1285"/>
        <w:gridCol w:w="911"/>
        <w:gridCol w:w="1415"/>
        <w:gridCol w:w="1372"/>
        <w:gridCol w:w="1459"/>
        <w:gridCol w:w="1041"/>
        <w:gridCol w:w="764"/>
        <w:gridCol w:w="998"/>
      </w:tblGrid>
      <w:tr w:rsidR="00AD4FA5" w14:paraId="20CFA108" w14:textId="77777777">
        <w:trPr>
          <w:jc w:val="center"/>
        </w:trPr>
        <w:tc>
          <w:tcPr>
            <w:tcW w:w="1129" w:type="dxa"/>
            <w:shd w:val="clear" w:color="auto" w:fill="1B3A6B"/>
          </w:tcPr>
          <w:p w14:paraId="28622D8A" w14:textId="77777777" w:rsidR="00AD4FA5" w:rsidRDefault="00000000">
            <w:r>
              <w:rPr>
                <w:rFonts w:ascii="Arial" w:hAnsi="Arial"/>
                <w:b/>
                <w:color w:val="FFFFFF"/>
                <w:sz w:val="18"/>
              </w:rPr>
              <w:t>Sector (NACE Classification)</w:t>
            </w:r>
          </w:p>
        </w:tc>
        <w:tc>
          <w:tcPr>
            <w:tcW w:w="1129" w:type="dxa"/>
            <w:shd w:val="clear" w:color="auto" w:fill="1B3A6B"/>
          </w:tcPr>
          <w:p w14:paraId="5979D44F" w14:textId="77777777" w:rsidR="00AD4FA5" w:rsidRDefault="00000000">
            <w:r>
              <w:rPr>
                <w:rFonts w:ascii="Arial" w:hAnsi="Arial"/>
                <w:b/>
                <w:color w:val="FFFFFF"/>
                <w:sz w:val="18"/>
              </w:rPr>
              <w:t>Borrower Count</w:t>
            </w:r>
          </w:p>
        </w:tc>
        <w:tc>
          <w:tcPr>
            <w:tcW w:w="1129" w:type="dxa"/>
            <w:shd w:val="clear" w:color="auto" w:fill="1B3A6B"/>
          </w:tcPr>
          <w:p w14:paraId="31D2B7FC" w14:textId="77777777" w:rsidR="00AD4FA5" w:rsidRDefault="00000000">
            <w:r>
              <w:rPr>
                <w:rFonts w:ascii="Arial" w:hAnsi="Arial"/>
                <w:b/>
                <w:color w:val="FFFFFF"/>
                <w:sz w:val="18"/>
              </w:rPr>
              <w:t>Outstanding (IDR Trillion)</w:t>
            </w:r>
          </w:p>
        </w:tc>
        <w:tc>
          <w:tcPr>
            <w:tcW w:w="1129" w:type="dxa"/>
            <w:shd w:val="clear" w:color="auto" w:fill="1B3A6B"/>
          </w:tcPr>
          <w:p w14:paraId="7BE91DDA" w14:textId="77777777" w:rsidR="00AD4FA5" w:rsidRDefault="00000000">
            <w:r>
              <w:rPr>
                <w:rFonts w:ascii="Arial" w:hAnsi="Arial"/>
                <w:b/>
                <w:color w:val="FFFFFF"/>
                <w:sz w:val="18"/>
              </w:rPr>
              <w:t>Gross Financed Emissions (tCO2e)</w:t>
            </w:r>
          </w:p>
        </w:tc>
        <w:tc>
          <w:tcPr>
            <w:tcW w:w="1129" w:type="dxa"/>
            <w:shd w:val="clear" w:color="auto" w:fill="1B3A6B"/>
          </w:tcPr>
          <w:p w14:paraId="392B3632" w14:textId="77777777" w:rsidR="00AD4FA5" w:rsidRDefault="00000000">
            <w:r>
              <w:rPr>
                <w:rFonts w:ascii="Arial" w:hAnsi="Arial"/>
                <w:b/>
                <w:color w:val="FFFFFF"/>
                <w:sz w:val="18"/>
              </w:rPr>
              <w:t>Weighted Financed Emissions (tCO2e)</w:t>
            </w:r>
          </w:p>
        </w:tc>
        <w:tc>
          <w:tcPr>
            <w:tcW w:w="1129" w:type="dxa"/>
            <w:shd w:val="clear" w:color="auto" w:fill="1B3A6B"/>
          </w:tcPr>
          <w:p w14:paraId="49CAFBB3" w14:textId="77777777" w:rsidR="00AD4FA5" w:rsidRDefault="00000000">
            <w:r>
              <w:rPr>
                <w:rFonts w:ascii="Arial" w:hAnsi="Arial"/>
                <w:b/>
                <w:color w:val="FFFFFF"/>
                <w:sz w:val="18"/>
              </w:rPr>
              <w:t>Emission Intensity (tCO2e/IDR Bn)</w:t>
            </w:r>
          </w:p>
        </w:tc>
        <w:tc>
          <w:tcPr>
            <w:tcW w:w="1129" w:type="dxa"/>
            <w:shd w:val="clear" w:color="auto" w:fill="1B3A6B"/>
          </w:tcPr>
          <w:p w14:paraId="0B26CC36" w14:textId="77777777" w:rsidR="00AD4FA5" w:rsidRDefault="00000000">
            <w:r>
              <w:rPr>
                <w:rFonts w:ascii="Arial" w:hAnsi="Arial"/>
                <w:b/>
                <w:color w:val="FFFFFF"/>
                <w:sz w:val="18"/>
              </w:rPr>
              <w:t>Avg PCAF Score</w:t>
            </w:r>
          </w:p>
        </w:tc>
        <w:tc>
          <w:tcPr>
            <w:tcW w:w="1129" w:type="dxa"/>
            <w:shd w:val="clear" w:color="auto" w:fill="1B3A6B"/>
          </w:tcPr>
          <w:p w14:paraId="6A74E059" w14:textId="77777777" w:rsidR="00AD4FA5" w:rsidRDefault="00000000">
            <w:r>
              <w:rPr>
                <w:rFonts w:ascii="Arial" w:hAnsi="Arial"/>
                <w:b/>
                <w:color w:val="FFFFFF"/>
                <w:sz w:val="18"/>
              </w:rPr>
              <w:t>% of Portfolio Emissions</w:t>
            </w:r>
          </w:p>
        </w:tc>
      </w:tr>
      <w:tr w:rsidR="00AD4FA5" w14:paraId="05B74B3A" w14:textId="77777777">
        <w:trPr>
          <w:jc w:val="center"/>
        </w:trPr>
        <w:tc>
          <w:tcPr>
            <w:tcW w:w="1129" w:type="dxa"/>
          </w:tcPr>
          <w:p w14:paraId="58617C8F" w14:textId="77777777" w:rsidR="00AD4FA5" w:rsidRDefault="00000000">
            <w:r>
              <w:rPr>
                <w:rFonts w:ascii="Arial" w:hAnsi="Arial"/>
                <w:sz w:val="18"/>
              </w:rPr>
              <w:t>Energy - Oil &amp; Gas</w:t>
            </w:r>
          </w:p>
        </w:tc>
        <w:tc>
          <w:tcPr>
            <w:tcW w:w="1129" w:type="dxa"/>
          </w:tcPr>
          <w:p w14:paraId="2EF44CD2" w14:textId="77777777" w:rsidR="00AD4FA5" w:rsidRDefault="00000000">
            <w:pPr>
              <w:jc w:val="right"/>
            </w:pPr>
            <w:r>
              <w:rPr>
                <w:rFonts w:ascii="Arial" w:hAnsi="Arial"/>
                <w:sz w:val="18"/>
              </w:rPr>
              <w:t>135</w:t>
            </w:r>
          </w:p>
        </w:tc>
        <w:tc>
          <w:tcPr>
            <w:tcW w:w="1129" w:type="dxa"/>
          </w:tcPr>
          <w:p w14:paraId="6D33EA14" w14:textId="77777777" w:rsidR="00AD4FA5" w:rsidRDefault="00000000">
            <w:pPr>
              <w:jc w:val="right"/>
            </w:pPr>
            <w:r>
              <w:rPr>
                <w:rFonts w:ascii="Arial" w:hAnsi="Arial"/>
                <w:sz w:val="18"/>
              </w:rPr>
              <w:t>102.669871</w:t>
            </w:r>
          </w:p>
        </w:tc>
        <w:tc>
          <w:tcPr>
            <w:tcW w:w="1129" w:type="dxa"/>
          </w:tcPr>
          <w:p w14:paraId="7BA800A4" w14:textId="77777777" w:rsidR="00AD4FA5" w:rsidRDefault="00000000">
            <w:pPr>
              <w:jc w:val="right"/>
            </w:pPr>
            <w:r>
              <w:rPr>
                <w:rFonts w:ascii="Arial" w:hAnsi="Arial"/>
                <w:sz w:val="18"/>
              </w:rPr>
              <w:t>9,573,144.27</w:t>
            </w:r>
          </w:p>
        </w:tc>
        <w:tc>
          <w:tcPr>
            <w:tcW w:w="1129" w:type="dxa"/>
          </w:tcPr>
          <w:p w14:paraId="772D8BAF" w14:textId="77777777" w:rsidR="00AD4FA5" w:rsidRDefault="00000000">
            <w:pPr>
              <w:jc w:val="right"/>
            </w:pPr>
            <w:r>
              <w:rPr>
                <w:rFonts w:ascii="Arial" w:hAnsi="Arial"/>
                <w:sz w:val="18"/>
              </w:rPr>
              <w:t>6,753,948.71</w:t>
            </w:r>
          </w:p>
        </w:tc>
        <w:tc>
          <w:tcPr>
            <w:tcW w:w="1129" w:type="dxa"/>
          </w:tcPr>
          <w:p w14:paraId="2954BF5F" w14:textId="77777777" w:rsidR="00AD4FA5" w:rsidRDefault="00000000">
            <w:pPr>
              <w:jc w:val="right"/>
            </w:pPr>
            <w:r>
              <w:rPr>
                <w:rFonts w:ascii="Arial" w:hAnsi="Arial"/>
                <w:sz w:val="18"/>
              </w:rPr>
              <w:t>93.242</w:t>
            </w:r>
          </w:p>
        </w:tc>
        <w:tc>
          <w:tcPr>
            <w:tcW w:w="1129" w:type="dxa"/>
          </w:tcPr>
          <w:p w14:paraId="333E70A9" w14:textId="77777777" w:rsidR="00AD4FA5" w:rsidRDefault="00000000">
            <w:pPr>
              <w:jc w:val="right"/>
            </w:pPr>
            <w:r>
              <w:rPr>
                <w:rFonts w:ascii="Arial" w:hAnsi="Arial"/>
                <w:sz w:val="18"/>
              </w:rPr>
              <w:t>3.32</w:t>
            </w:r>
          </w:p>
        </w:tc>
        <w:tc>
          <w:tcPr>
            <w:tcW w:w="1129" w:type="dxa"/>
          </w:tcPr>
          <w:p w14:paraId="7D74D25E" w14:textId="77777777" w:rsidR="00AD4FA5" w:rsidRDefault="00000000">
            <w:pPr>
              <w:jc w:val="right"/>
            </w:pPr>
            <w:r>
              <w:rPr>
                <w:rFonts w:ascii="Arial" w:hAnsi="Arial"/>
                <w:sz w:val="18"/>
              </w:rPr>
              <w:t>43.56%</w:t>
            </w:r>
          </w:p>
        </w:tc>
      </w:tr>
      <w:tr w:rsidR="00AD4FA5" w14:paraId="550C3272" w14:textId="77777777">
        <w:trPr>
          <w:jc w:val="center"/>
        </w:trPr>
        <w:tc>
          <w:tcPr>
            <w:tcW w:w="1129" w:type="dxa"/>
            <w:shd w:val="clear" w:color="auto" w:fill="F2F6FC"/>
          </w:tcPr>
          <w:p w14:paraId="63CD92E9" w14:textId="77777777" w:rsidR="00AD4FA5" w:rsidRDefault="00000000">
            <w:r>
              <w:rPr>
                <w:rFonts w:ascii="Arial" w:hAnsi="Arial"/>
                <w:sz w:val="18"/>
              </w:rPr>
              <w:t>Manufacturing - Cement</w:t>
            </w:r>
          </w:p>
        </w:tc>
        <w:tc>
          <w:tcPr>
            <w:tcW w:w="1129" w:type="dxa"/>
            <w:shd w:val="clear" w:color="auto" w:fill="F2F6FC"/>
          </w:tcPr>
          <w:p w14:paraId="6089E03D" w14:textId="77777777" w:rsidR="00AD4FA5" w:rsidRDefault="00000000">
            <w:pPr>
              <w:jc w:val="right"/>
            </w:pPr>
            <w:r>
              <w:rPr>
                <w:rFonts w:ascii="Arial" w:hAnsi="Arial"/>
                <w:sz w:val="18"/>
              </w:rPr>
              <w:t>161</w:t>
            </w:r>
          </w:p>
        </w:tc>
        <w:tc>
          <w:tcPr>
            <w:tcW w:w="1129" w:type="dxa"/>
            <w:shd w:val="clear" w:color="auto" w:fill="F2F6FC"/>
          </w:tcPr>
          <w:p w14:paraId="246C7E12" w14:textId="77777777" w:rsidR="00AD4FA5" w:rsidRDefault="00000000">
            <w:pPr>
              <w:jc w:val="right"/>
            </w:pPr>
            <w:r>
              <w:rPr>
                <w:rFonts w:ascii="Arial" w:hAnsi="Arial"/>
                <w:sz w:val="18"/>
              </w:rPr>
              <w:t>107.67817</w:t>
            </w:r>
          </w:p>
        </w:tc>
        <w:tc>
          <w:tcPr>
            <w:tcW w:w="1129" w:type="dxa"/>
            <w:shd w:val="clear" w:color="auto" w:fill="F2F6FC"/>
          </w:tcPr>
          <w:p w14:paraId="712D4051" w14:textId="77777777" w:rsidR="00AD4FA5" w:rsidRDefault="00000000">
            <w:pPr>
              <w:jc w:val="right"/>
            </w:pPr>
            <w:r>
              <w:rPr>
                <w:rFonts w:ascii="Arial" w:hAnsi="Arial"/>
                <w:sz w:val="18"/>
              </w:rPr>
              <w:t>5,813,830.91</w:t>
            </w:r>
          </w:p>
        </w:tc>
        <w:tc>
          <w:tcPr>
            <w:tcW w:w="1129" w:type="dxa"/>
            <w:shd w:val="clear" w:color="auto" w:fill="F2F6FC"/>
          </w:tcPr>
          <w:p w14:paraId="70096413" w14:textId="77777777" w:rsidR="00AD4FA5" w:rsidRDefault="00000000">
            <w:pPr>
              <w:jc w:val="right"/>
            </w:pPr>
            <w:r>
              <w:rPr>
                <w:rFonts w:ascii="Arial" w:hAnsi="Arial"/>
                <w:sz w:val="18"/>
              </w:rPr>
              <w:t>4,168,058.43</w:t>
            </w:r>
          </w:p>
        </w:tc>
        <w:tc>
          <w:tcPr>
            <w:tcW w:w="1129" w:type="dxa"/>
            <w:shd w:val="clear" w:color="auto" w:fill="F2F6FC"/>
          </w:tcPr>
          <w:p w14:paraId="33512876" w14:textId="77777777" w:rsidR="00AD4FA5" w:rsidRDefault="00000000">
            <w:pPr>
              <w:jc w:val="right"/>
            </w:pPr>
            <w:r>
              <w:rPr>
                <w:rFonts w:ascii="Arial" w:hAnsi="Arial"/>
                <w:sz w:val="18"/>
              </w:rPr>
              <w:t>53.9927</w:t>
            </w:r>
          </w:p>
        </w:tc>
        <w:tc>
          <w:tcPr>
            <w:tcW w:w="1129" w:type="dxa"/>
            <w:shd w:val="clear" w:color="auto" w:fill="F2F6FC"/>
          </w:tcPr>
          <w:p w14:paraId="4B89FE93" w14:textId="77777777" w:rsidR="00AD4FA5" w:rsidRDefault="00000000">
            <w:pPr>
              <w:jc w:val="right"/>
            </w:pPr>
            <w:r>
              <w:rPr>
                <w:rFonts w:ascii="Arial" w:hAnsi="Arial"/>
                <w:sz w:val="18"/>
              </w:rPr>
              <w:t>3.40</w:t>
            </w:r>
          </w:p>
        </w:tc>
        <w:tc>
          <w:tcPr>
            <w:tcW w:w="1129" w:type="dxa"/>
            <w:shd w:val="clear" w:color="auto" w:fill="F2F6FC"/>
          </w:tcPr>
          <w:p w14:paraId="07F820BA" w14:textId="77777777" w:rsidR="00AD4FA5" w:rsidRDefault="00000000">
            <w:pPr>
              <w:jc w:val="right"/>
            </w:pPr>
            <w:r>
              <w:rPr>
                <w:rFonts w:ascii="Arial" w:hAnsi="Arial"/>
                <w:sz w:val="18"/>
              </w:rPr>
              <w:t>26.45%</w:t>
            </w:r>
          </w:p>
        </w:tc>
      </w:tr>
      <w:tr w:rsidR="00AD4FA5" w14:paraId="7B07FDBB" w14:textId="77777777">
        <w:trPr>
          <w:jc w:val="center"/>
        </w:trPr>
        <w:tc>
          <w:tcPr>
            <w:tcW w:w="1129" w:type="dxa"/>
          </w:tcPr>
          <w:p w14:paraId="4FF82611" w14:textId="77777777" w:rsidR="00AD4FA5" w:rsidRDefault="00000000">
            <w:r>
              <w:rPr>
                <w:rFonts w:ascii="Arial" w:hAnsi="Arial"/>
                <w:sz w:val="18"/>
              </w:rPr>
              <w:t>Manufacturing - Steel</w:t>
            </w:r>
          </w:p>
        </w:tc>
        <w:tc>
          <w:tcPr>
            <w:tcW w:w="1129" w:type="dxa"/>
          </w:tcPr>
          <w:p w14:paraId="7DD92E2B" w14:textId="77777777" w:rsidR="00AD4FA5" w:rsidRDefault="00000000">
            <w:pPr>
              <w:jc w:val="right"/>
            </w:pPr>
            <w:r>
              <w:rPr>
                <w:rFonts w:ascii="Arial" w:hAnsi="Arial"/>
                <w:sz w:val="18"/>
              </w:rPr>
              <w:t>122</w:t>
            </w:r>
          </w:p>
        </w:tc>
        <w:tc>
          <w:tcPr>
            <w:tcW w:w="1129" w:type="dxa"/>
          </w:tcPr>
          <w:p w14:paraId="0FCD1937" w14:textId="77777777" w:rsidR="00AD4FA5" w:rsidRDefault="00000000">
            <w:pPr>
              <w:jc w:val="right"/>
            </w:pPr>
            <w:r>
              <w:rPr>
                <w:rFonts w:ascii="Arial" w:hAnsi="Arial"/>
                <w:sz w:val="18"/>
              </w:rPr>
              <w:t>108.619962</w:t>
            </w:r>
          </w:p>
        </w:tc>
        <w:tc>
          <w:tcPr>
            <w:tcW w:w="1129" w:type="dxa"/>
          </w:tcPr>
          <w:p w14:paraId="4A4D148B" w14:textId="77777777" w:rsidR="00AD4FA5" w:rsidRDefault="00000000">
            <w:pPr>
              <w:jc w:val="right"/>
            </w:pPr>
            <w:r>
              <w:rPr>
                <w:rFonts w:ascii="Arial" w:hAnsi="Arial"/>
                <w:sz w:val="18"/>
              </w:rPr>
              <w:t>3,499,463.0</w:t>
            </w:r>
          </w:p>
        </w:tc>
        <w:tc>
          <w:tcPr>
            <w:tcW w:w="1129" w:type="dxa"/>
          </w:tcPr>
          <w:p w14:paraId="0A19EFDE" w14:textId="77777777" w:rsidR="00AD4FA5" w:rsidRDefault="00000000">
            <w:pPr>
              <w:jc w:val="right"/>
            </w:pPr>
            <w:r>
              <w:rPr>
                <w:rFonts w:ascii="Arial" w:hAnsi="Arial"/>
                <w:sz w:val="18"/>
              </w:rPr>
              <w:t>2,228,739.65</w:t>
            </w:r>
          </w:p>
        </w:tc>
        <w:tc>
          <w:tcPr>
            <w:tcW w:w="1129" w:type="dxa"/>
          </w:tcPr>
          <w:p w14:paraId="2013C32F" w14:textId="77777777" w:rsidR="00AD4FA5" w:rsidRDefault="00000000">
            <w:pPr>
              <w:jc w:val="right"/>
            </w:pPr>
            <w:r>
              <w:rPr>
                <w:rFonts w:ascii="Arial" w:hAnsi="Arial"/>
                <w:sz w:val="18"/>
              </w:rPr>
              <w:t>32.2175</w:t>
            </w:r>
          </w:p>
        </w:tc>
        <w:tc>
          <w:tcPr>
            <w:tcW w:w="1129" w:type="dxa"/>
          </w:tcPr>
          <w:p w14:paraId="3133AA02" w14:textId="77777777" w:rsidR="00AD4FA5" w:rsidRDefault="00000000">
            <w:pPr>
              <w:jc w:val="right"/>
            </w:pPr>
            <w:r>
              <w:rPr>
                <w:rFonts w:ascii="Arial" w:hAnsi="Arial"/>
                <w:sz w:val="18"/>
              </w:rPr>
              <w:t>3.35</w:t>
            </w:r>
          </w:p>
        </w:tc>
        <w:tc>
          <w:tcPr>
            <w:tcW w:w="1129" w:type="dxa"/>
          </w:tcPr>
          <w:p w14:paraId="260DD097" w14:textId="77777777" w:rsidR="00AD4FA5" w:rsidRDefault="00000000">
            <w:pPr>
              <w:jc w:val="right"/>
            </w:pPr>
            <w:r>
              <w:rPr>
                <w:rFonts w:ascii="Arial" w:hAnsi="Arial"/>
                <w:sz w:val="18"/>
              </w:rPr>
              <w:t>15.92%</w:t>
            </w:r>
          </w:p>
        </w:tc>
      </w:tr>
      <w:tr w:rsidR="00AD4FA5" w14:paraId="2F295C4B" w14:textId="77777777">
        <w:trPr>
          <w:jc w:val="center"/>
        </w:trPr>
        <w:tc>
          <w:tcPr>
            <w:tcW w:w="1129" w:type="dxa"/>
            <w:shd w:val="clear" w:color="auto" w:fill="F2F6FC"/>
          </w:tcPr>
          <w:p w14:paraId="7C9DD6B5" w14:textId="77777777" w:rsidR="00AD4FA5" w:rsidRDefault="00000000">
            <w:r>
              <w:rPr>
                <w:rFonts w:ascii="Arial" w:hAnsi="Arial"/>
                <w:sz w:val="18"/>
              </w:rPr>
              <w:lastRenderedPageBreak/>
              <w:t>Transportation - Road</w:t>
            </w:r>
          </w:p>
        </w:tc>
        <w:tc>
          <w:tcPr>
            <w:tcW w:w="1129" w:type="dxa"/>
            <w:shd w:val="clear" w:color="auto" w:fill="F2F6FC"/>
          </w:tcPr>
          <w:p w14:paraId="4E42CD9F" w14:textId="77777777" w:rsidR="00AD4FA5" w:rsidRDefault="00000000">
            <w:pPr>
              <w:jc w:val="right"/>
            </w:pPr>
            <w:r>
              <w:rPr>
                <w:rFonts w:ascii="Arial" w:hAnsi="Arial"/>
                <w:sz w:val="18"/>
              </w:rPr>
              <w:t>189</w:t>
            </w:r>
          </w:p>
        </w:tc>
        <w:tc>
          <w:tcPr>
            <w:tcW w:w="1129" w:type="dxa"/>
            <w:shd w:val="clear" w:color="auto" w:fill="F2F6FC"/>
          </w:tcPr>
          <w:p w14:paraId="73D72DF1" w14:textId="77777777" w:rsidR="00AD4FA5" w:rsidRDefault="00000000">
            <w:pPr>
              <w:jc w:val="right"/>
            </w:pPr>
            <w:r>
              <w:rPr>
                <w:rFonts w:ascii="Arial" w:hAnsi="Arial"/>
                <w:sz w:val="18"/>
              </w:rPr>
              <w:t>155.55276</w:t>
            </w:r>
          </w:p>
        </w:tc>
        <w:tc>
          <w:tcPr>
            <w:tcW w:w="1129" w:type="dxa"/>
            <w:shd w:val="clear" w:color="auto" w:fill="F2F6FC"/>
          </w:tcPr>
          <w:p w14:paraId="210A66F2" w14:textId="77777777" w:rsidR="00AD4FA5" w:rsidRDefault="00000000">
            <w:pPr>
              <w:jc w:val="right"/>
            </w:pPr>
            <w:r>
              <w:rPr>
                <w:rFonts w:ascii="Arial" w:hAnsi="Arial"/>
                <w:sz w:val="18"/>
              </w:rPr>
              <w:t>1,227,019.62</w:t>
            </w:r>
          </w:p>
        </w:tc>
        <w:tc>
          <w:tcPr>
            <w:tcW w:w="1129" w:type="dxa"/>
            <w:shd w:val="clear" w:color="auto" w:fill="F2F6FC"/>
          </w:tcPr>
          <w:p w14:paraId="271C1713" w14:textId="77777777" w:rsidR="00AD4FA5" w:rsidRDefault="00000000">
            <w:pPr>
              <w:jc w:val="right"/>
            </w:pPr>
            <w:r>
              <w:rPr>
                <w:rFonts w:ascii="Arial" w:hAnsi="Arial"/>
                <w:sz w:val="18"/>
              </w:rPr>
              <w:t>864,356.23</w:t>
            </w:r>
          </w:p>
        </w:tc>
        <w:tc>
          <w:tcPr>
            <w:tcW w:w="1129" w:type="dxa"/>
            <w:shd w:val="clear" w:color="auto" w:fill="F2F6FC"/>
          </w:tcPr>
          <w:p w14:paraId="7BAE007A" w14:textId="77777777" w:rsidR="00AD4FA5" w:rsidRDefault="00000000">
            <w:pPr>
              <w:jc w:val="right"/>
            </w:pPr>
            <w:r>
              <w:rPr>
                <w:rFonts w:ascii="Arial" w:hAnsi="Arial"/>
                <w:sz w:val="18"/>
              </w:rPr>
              <w:t>7.8881</w:t>
            </w:r>
          </w:p>
        </w:tc>
        <w:tc>
          <w:tcPr>
            <w:tcW w:w="1129" w:type="dxa"/>
            <w:shd w:val="clear" w:color="auto" w:fill="F2F6FC"/>
          </w:tcPr>
          <w:p w14:paraId="5D553A96" w14:textId="77777777" w:rsidR="00AD4FA5" w:rsidRDefault="00000000">
            <w:pPr>
              <w:jc w:val="right"/>
            </w:pPr>
            <w:r>
              <w:rPr>
                <w:rFonts w:ascii="Arial" w:hAnsi="Arial"/>
                <w:sz w:val="18"/>
              </w:rPr>
              <w:t>3.36</w:t>
            </w:r>
          </w:p>
        </w:tc>
        <w:tc>
          <w:tcPr>
            <w:tcW w:w="1129" w:type="dxa"/>
            <w:shd w:val="clear" w:color="auto" w:fill="F2F6FC"/>
          </w:tcPr>
          <w:p w14:paraId="29B5667C" w14:textId="77777777" w:rsidR="00AD4FA5" w:rsidRDefault="00000000">
            <w:pPr>
              <w:jc w:val="right"/>
            </w:pPr>
            <w:r>
              <w:rPr>
                <w:rFonts w:ascii="Arial" w:hAnsi="Arial"/>
                <w:sz w:val="18"/>
              </w:rPr>
              <w:t>5.58%</w:t>
            </w:r>
          </w:p>
        </w:tc>
      </w:tr>
      <w:tr w:rsidR="00AD4FA5" w14:paraId="5898787E" w14:textId="77777777">
        <w:trPr>
          <w:jc w:val="center"/>
        </w:trPr>
        <w:tc>
          <w:tcPr>
            <w:tcW w:w="1129" w:type="dxa"/>
          </w:tcPr>
          <w:p w14:paraId="60C67A64" w14:textId="77777777" w:rsidR="00AD4FA5" w:rsidRDefault="00000000">
            <w:r>
              <w:rPr>
                <w:rFonts w:ascii="Arial" w:hAnsi="Arial"/>
                <w:sz w:val="18"/>
              </w:rPr>
              <w:t>Manufacturing - Food &amp; Beverage</w:t>
            </w:r>
          </w:p>
        </w:tc>
        <w:tc>
          <w:tcPr>
            <w:tcW w:w="1129" w:type="dxa"/>
          </w:tcPr>
          <w:p w14:paraId="395243AB" w14:textId="77777777" w:rsidR="00AD4FA5" w:rsidRDefault="00000000">
            <w:pPr>
              <w:jc w:val="right"/>
            </w:pPr>
            <w:r>
              <w:rPr>
                <w:rFonts w:ascii="Arial" w:hAnsi="Arial"/>
                <w:sz w:val="18"/>
              </w:rPr>
              <w:t>206</w:t>
            </w:r>
          </w:p>
        </w:tc>
        <w:tc>
          <w:tcPr>
            <w:tcW w:w="1129" w:type="dxa"/>
          </w:tcPr>
          <w:p w14:paraId="23FABBD5" w14:textId="77777777" w:rsidR="00AD4FA5" w:rsidRDefault="00000000">
            <w:pPr>
              <w:jc w:val="right"/>
            </w:pPr>
            <w:r>
              <w:rPr>
                <w:rFonts w:ascii="Arial" w:hAnsi="Arial"/>
                <w:sz w:val="18"/>
              </w:rPr>
              <w:t>169.139082</w:t>
            </w:r>
          </w:p>
        </w:tc>
        <w:tc>
          <w:tcPr>
            <w:tcW w:w="1129" w:type="dxa"/>
          </w:tcPr>
          <w:p w14:paraId="6504A382" w14:textId="77777777" w:rsidR="00AD4FA5" w:rsidRDefault="00000000">
            <w:pPr>
              <w:jc w:val="right"/>
            </w:pPr>
            <w:r>
              <w:rPr>
                <w:rFonts w:ascii="Arial" w:hAnsi="Arial"/>
                <w:sz w:val="18"/>
              </w:rPr>
              <w:t>936,111.21</w:t>
            </w:r>
          </w:p>
        </w:tc>
        <w:tc>
          <w:tcPr>
            <w:tcW w:w="1129" w:type="dxa"/>
          </w:tcPr>
          <w:p w14:paraId="7E0196DA" w14:textId="77777777" w:rsidR="00AD4FA5" w:rsidRDefault="00000000">
            <w:pPr>
              <w:jc w:val="right"/>
            </w:pPr>
            <w:r>
              <w:rPr>
                <w:rFonts w:ascii="Arial" w:hAnsi="Arial"/>
                <w:sz w:val="18"/>
              </w:rPr>
              <w:t>653,413.56</w:t>
            </w:r>
          </w:p>
        </w:tc>
        <w:tc>
          <w:tcPr>
            <w:tcW w:w="1129" w:type="dxa"/>
          </w:tcPr>
          <w:p w14:paraId="1E05273A" w14:textId="77777777" w:rsidR="00AD4FA5" w:rsidRDefault="00000000">
            <w:pPr>
              <w:jc w:val="right"/>
            </w:pPr>
            <w:r>
              <w:rPr>
                <w:rFonts w:ascii="Arial" w:hAnsi="Arial"/>
                <w:sz w:val="18"/>
              </w:rPr>
              <w:t>5.5346</w:t>
            </w:r>
          </w:p>
        </w:tc>
        <w:tc>
          <w:tcPr>
            <w:tcW w:w="1129" w:type="dxa"/>
          </w:tcPr>
          <w:p w14:paraId="46BEA3A0" w14:textId="77777777" w:rsidR="00AD4FA5" w:rsidRDefault="00000000">
            <w:pPr>
              <w:jc w:val="right"/>
            </w:pPr>
            <w:r>
              <w:rPr>
                <w:rFonts w:ascii="Arial" w:hAnsi="Arial"/>
                <w:sz w:val="18"/>
              </w:rPr>
              <w:t>3.35</w:t>
            </w:r>
          </w:p>
        </w:tc>
        <w:tc>
          <w:tcPr>
            <w:tcW w:w="1129" w:type="dxa"/>
          </w:tcPr>
          <w:p w14:paraId="1A981CE0" w14:textId="77777777" w:rsidR="00AD4FA5" w:rsidRDefault="00000000">
            <w:pPr>
              <w:jc w:val="right"/>
            </w:pPr>
            <w:r>
              <w:rPr>
                <w:rFonts w:ascii="Arial" w:hAnsi="Arial"/>
                <w:sz w:val="18"/>
              </w:rPr>
              <w:t>4.26%</w:t>
            </w:r>
          </w:p>
        </w:tc>
      </w:tr>
      <w:tr w:rsidR="00AD4FA5" w14:paraId="3F1517EB" w14:textId="77777777">
        <w:trPr>
          <w:jc w:val="center"/>
        </w:trPr>
        <w:tc>
          <w:tcPr>
            <w:tcW w:w="1129" w:type="dxa"/>
            <w:shd w:val="clear" w:color="auto" w:fill="F2F6FC"/>
          </w:tcPr>
          <w:p w14:paraId="6C535FAC" w14:textId="77777777" w:rsidR="00AD4FA5" w:rsidRDefault="00000000">
            <w:r>
              <w:rPr>
                <w:rFonts w:ascii="Arial" w:hAnsi="Arial"/>
                <w:sz w:val="18"/>
              </w:rPr>
              <w:t>**Portfolio Total (All 10 Sectors)**</w:t>
            </w:r>
          </w:p>
        </w:tc>
        <w:tc>
          <w:tcPr>
            <w:tcW w:w="1129" w:type="dxa"/>
            <w:shd w:val="clear" w:color="auto" w:fill="F2F6FC"/>
          </w:tcPr>
          <w:p w14:paraId="558A4AE2" w14:textId="77777777" w:rsidR="00AD4FA5" w:rsidRDefault="00000000">
            <w:r>
              <w:rPr>
                <w:rFonts w:ascii="Arial" w:hAnsi="Arial"/>
                <w:sz w:val="18"/>
              </w:rPr>
              <w:t>**1,955**</w:t>
            </w:r>
          </w:p>
        </w:tc>
        <w:tc>
          <w:tcPr>
            <w:tcW w:w="1129" w:type="dxa"/>
            <w:shd w:val="clear" w:color="auto" w:fill="F2F6FC"/>
          </w:tcPr>
          <w:p w14:paraId="3567B49E" w14:textId="77777777" w:rsidR="00AD4FA5" w:rsidRDefault="00000000">
            <w:r>
              <w:rPr>
                <w:rFonts w:ascii="Arial" w:hAnsi="Arial"/>
                <w:sz w:val="18"/>
              </w:rPr>
              <w:t>**1,541.181804**</w:t>
            </w:r>
          </w:p>
        </w:tc>
        <w:tc>
          <w:tcPr>
            <w:tcW w:w="1129" w:type="dxa"/>
            <w:shd w:val="clear" w:color="auto" w:fill="F2F6FC"/>
          </w:tcPr>
          <w:p w14:paraId="6688D62E" w14:textId="77777777" w:rsidR="00AD4FA5" w:rsidRDefault="00000000">
            <w:r>
              <w:rPr>
                <w:rFonts w:ascii="Arial" w:hAnsi="Arial"/>
                <w:sz w:val="18"/>
              </w:rPr>
              <w:t>**21,976,797.3**</w:t>
            </w:r>
          </w:p>
        </w:tc>
        <w:tc>
          <w:tcPr>
            <w:tcW w:w="1129" w:type="dxa"/>
            <w:shd w:val="clear" w:color="auto" w:fill="F2F6FC"/>
          </w:tcPr>
          <w:p w14:paraId="2A8D992D" w14:textId="77777777" w:rsidR="00AD4FA5" w:rsidRDefault="00000000">
            <w:r>
              <w:rPr>
                <w:rFonts w:ascii="Arial" w:hAnsi="Arial"/>
                <w:sz w:val="18"/>
              </w:rPr>
              <w:t>**15,280,174.14**</w:t>
            </w:r>
          </w:p>
        </w:tc>
        <w:tc>
          <w:tcPr>
            <w:tcW w:w="1129" w:type="dxa"/>
            <w:shd w:val="clear" w:color="auto" w:fill="F2F6FC"/>
          </w:tcPr>
          <w:p w14:paraId="153A0D7F" w14:textId="77777777" w:rsidR="00AD4FA5" w:rsidRDefault="00000000">
            <w:r>
              <w:rPr>
                <w:rFonts w:ascii="Arial" w:hAnsi="Arial"/>
                <w:sz w:val="18"/>
              </w:rPr>
              <w:t>**14.26**</w:t>
            </w:r>
          </w:p>
        </w:tc>
        <w:tc>
          <w:tcPr>
            <w:tcW w:w="1129" w:type="dxa"/>
            <w:shd w:val="clear" w:color="auto" w:fill="F2F6FC"/>
          </w:tcPr>
          <w:p w14:paraId="6F2472D0" w14:textId="77777777" w:rsidR="00AD4FA5" w:rsidRDefault="00000000">
            <w:r>
              <w:rPr>
                <w:rFonts w:ascii="Arial" w:hAnsi="Arial"/>
                <w:sz w:val="18"/>
              </w:rPr>
              <w:t>**3.36**</w:t>
            </w:r>
          </w:p>
        </w:tc>
        <w:tc>
          <w:tcPr>
            <w:tcW w:w="1129" w:type="dxa"/>
            <w:shd w:val="clear" w:color="auto" w:fill="F2F6FC"/>
          </w:tcPr>
          <w:p w14:paraId="64557FCF" w14:textId="77777777" w:rsidR="00AD4FA5" w:rsidRDefault="00000000">
            <w:r>
              <w:rPr>
                <w:rFonts w:ascii="Arial" w:hAnsi="Arial"/>
                <w:sz w:val="18"/>
              </w:rPr>
              <w:t>**100.0%**</w:t>
            </w:r>
          </w:p>
        </w:tc>
      </w:tr>
    </w:tbl>
    <w:p w14:paraId="2743658B" w14:textId="77777777" w:rsidR="00AD4FA5" w:rsidRDefault="00000000">
      <w:r>
        <w:rPr>
          <w:rFonts w:ascii="Arial" w:hAnsi="Arial"/>
          <w:i/>
          <w:sz w:val="16"/>
        </w:rPr>
        <w:t>Source: Source: Internal PCAF calculation system. Gross emissions represent full attributed impact; weighted emissions apply PCAF confidence factors. Emission intensity calculated as gross emissions divided by outstanding exposure.</w:t>
      </w:r>
    </w:p>
    <w:p w14:paraId="5F9B50CC" w14:textId="77777777" w:rsidR="00AD4FA5" w:rsidRDefault="00AD4FA5"/>
    <w:p w14:paraId="64779100" w14:textId="77777777" w:rsidR="00AD4FA5" w:rsidRDefault="00000000">
      <w:r>
        <w:rPr>
          <w:rFonts w:ascii="Arial" w:hAnsi="Arial"/>
          <w:b/>
          <w:sz w:val="20"/>
        </w:rPr>
        <w:t>Table 2: PCAF Data Quality Score Distribution — 2024 Portfolio</w:t>
      </w:r>
    </w:p>
    <w:tbl>
      <w:tblPr>
        <w:tblW w:w="0" w:type="auto"/>
        <w:jc w:val="center"/>
        <w:tblLook w:val="04A0" w:firstRow="1" w:lastRow="0" w:firstColumn="1" w:lastColumn="0" w:noHBand="0" w:noVBand="1"/>
      </w:tblPr>
      <w:tblGrid>
        <w:gridCol w:w="1806"/>
        <w:gridCol w:w="1806"/>
        <w:gridCol w:w="1806"/>
        <w:gridCol w:w="1806"/>
        <w:gridCol w:w="1806"/>
      </w:tblGrid>
      <w:tr w:rsidR="00AD4FA5" w14:paraId="33397E61" w14:textId="77777777">
        <w:trPr>
          <w:jc w:val="center"/>
        </w:trPr>
        <w:tc>
          <w:tcPr>
            <w:tcW w:w="1806" w:type="dxa"/>
            <w:shd w:val="clear" w:color="auto" w:fill="1B3A6B"/>
          </w:tcPr>
          <w:p w14:paraId="5A02A69B" w14:textId="77777777" w:rsidR="00AD4FA5" w:rsidRDefault="00000000">
            <w:r>
              <w:rPr>
                <w:rFonts w:ascii="Arial" w:hAnsi="Arial"/>
                <w:b/>
                <w:color w:val="FFFFFF"/>
                <w:sz w:val="18"/>
              </w:rPr>
              <w:t>PCAF Score</w:t>
            </w:r>
          </w:p>
        </w:tc>
        <w:tc>
          <w:tcPr>
            <w:tcW w:w="1806" w:type="dxa"/>
            <w:shd w:val="clear" w:color="auto" w:fill="1B3A6B"/>
          </w:tcPr>
          <w:p w14:paraId="32BE80F2" w14:textId="77777777" w:rsidR="00AD4FA5" w:rsidRDefault="00000000">
            <w:r>
              <w:rPr>
                <w:rFonts w:ascii="Arial" w:hAnsi="Arial"/>
                <w:b/>
                <w:color w:val="FFFFFF"/>
                <w:sz w:val="18"/>
              </w:rPr>
              <w:t>Data Quality Tier</w:t>
            </w:r>
          </w:p>
        </w:tc>
        <w:tc>
          <w:tcPr>
            <w:tcW w:w="1806" w:type="dxa"/>
            <w:shd w:val="clear" w:color="auto" w:fill="1B3A6B"/>
          </w:tcPr>
          <w:p w14:paraId="51658853" w14:textId="77777777" w:rsidR="00AD4FA5" w:rsidRDefault="00000000">
            <w:r>
              <w:rPr>
                <w:rFonts w:ascii="Arial" w:hAnsi="Arial"/>
                <w:b/>
                <w:color w:val="FFFFFF"/>
                <w:sz w:val="18"/>
              </w:rPr>
              <w:t>Confidence Factor</w:t>
            </w:r>
          </w:p>
        </w:tc>
        <w:tc>
          <w:tcPr>
            <w:tcW w:w="1806" w:type="dxa"/>
            <w:shd w:val="clear" w:color="auto" w:fill="1B3A6B"/>
          </w:tcPr>
          <w:p w14:paraId="3F2BABC6" w14:textId="77777777" w:rsidR="00AD4FA5" w:rsidRDefault="00000000">
            <w:r>
              <w:rPr>
                <w:rFonts w:ascii="Arial" w:hAnsi="Arial"/>
                <w:b/>
                <w:color w:val="FFFFFF"/>
                <w:sz w:val="18"/>
              </w:rPr>
              <w:t>% of Portfolio (by Outstanding)</w:t>
            </w:r>
          </w:p>
        </w:tc>
        <w:tc>
          <w:tcPr>
            <w:tcW w:w="1806" w:type="dxa"/>
            <w:shd w:val="clear" w:color="auto" w:fill="1B3A6B"/>
          </w:tcPr>
          <w:p w14:paraId="096999AF" w14:textId="77777777" w:rsidR="00AD4FA5" w:rsidRDefault="00000000">
            <w:r>
              <w:rPr>
                <w:rFonts w:ascii="Arial" w:hAnsi="Arial"/>
                <w:b/>
                <w:color w:val="FFFFFF"/>
                <w:sz w:val="18"/>
              </w:rPr>
              <w:t>% of Gross Emissions</w:t>
            </w:r>
          </w:p>
        </w:tc>
      </w:tr>
      <w:tr w:rsidR="00AD4FA5" w14:paraId="43E943B0" w14:textId="77777777">
        <w:trPr>
          <w:jc w:val="center"/>
        </w:trPr>
        <w:tc>
          <w:tcPr>
            <w:tcW w:w="1806" w:type="dxa"/>
          </w:tcPr>
          <w:p w14:paraId="3FB224BB" w14:textId="77777777" w:rsidR="00AD4FA5" w:rsidRDefault="00000000">
            <w:pPr>
              <w:jc w:val="right"/>
            </w:pPr>
            <w:r>
              <w:rPr>
                <w:rFonts w:ascii="Arial" w:hAnsi="Arial"/>
                <w:sz w:val="18"/>
              </w:rPr>
              <w:t>1</w:t>
            </w:r>
          </w:p>
        </w:tc>
        <w:tc>
          <w:tcPr>
            <w:tcW w:w="1806" w:type="dxa"/>
          </w:tcPr>
          <w:p w14:paraId="3037FD71" w14:textId="77777777" w:rsidR="00AD4FA5" w:rsidRDefault="00000000">
            <w:r>
              <w:rPr>
                <w:rFonts w:ascii="Arial" w:hAnsi="Arial"/>
                <w:sz w:val="18"/>
              </w:rPr>
              <w:t>Verified emissions (CDP/equivalent)</w:t>
            </w:r>
          </w:p>
        </w:tc>
        <w:tc>
          <w:tcPr>
            <w:tcW w:w="1806" w:type="dxa"/>
          </w:tcPr>
          <w:p w14:paraId="6F0293EA" w14:textId="77777777" w:rsidR="00AD4FA5" w:rsidRDefault="00000000">
            <w:pPr>
              <w:jc w:val="right"/>
            </w:pPr>
            <w:r>
              <w:rPr>
                <w:rFonts w:ascii="Arial" w:hAnsi="Arial"/>
                <w:sz w:val="18"/>
              </w:rPr>
              <w:t>1.00</w:t>
            </w:r>
          </w:p>
        </w:tc>
        <w:tc>
          <w:tcPr>
            <w:tcW w:w="1806" w:type="dxa"/>
          </w:tcPr>
          <w:p w14:paraId="50F17D3B" w14:textId="77777777" w:rsidR="00AD4FA5" w:rsidRDefault="00000000">
            <w:r>
              <w:rPr>
                <w:rFonts w:ascii="Arial" w:hAnsi="Arial"/>
                <w:sz w:val="18"/>
              </w:rPr>
              <w:t>This data point is not yet captured in the institution's reporting system.</w:t>
            </w:r>
          </w:p>
        </w:tc>
        <w:tc>
          <w:tcPr>
            <w:tcW w:w="1806" w:type="dxa"/>
          </w:tcPr>
          <w:p w14:paraId="5B5E18C6" w14:textId="77777777" w:rsidR="00AD4FA5" w:rsidRDefault="00000000">
            <w:r>
              <w:rPr>
                <w:rFonts w:ascii="Arial" w:hAnsi="Arial"/>
                <w:sz w:val="18"/>
              </w:rPr>
              <w:t>This data point is not yet captured in the institution's reporting system.</w:t>
            </w:r>
          </w:p>
        </w:tc>
      </w:tr>
      <w:tr w:rsidR="00AD4FA5" w14:paraId="5E8A6CAF" w14:textId="77777777">
        <w:trPr>
          <w:jc w:val="center"/>
        </w:trPr>
        <w:tc>
          <w:tcPr>
            <w:tcW w:w="1806" w:type="dxa"/>
            <w:shd w:val="clear" w:color="auto" w:fill="F2F6FC"/>
          </w:tcPr>
          <w:p w14:paraId="66D69605" w14:textId="77777777" w:rsidR="00AD4FA5" w:rsidRDefault="00000000">
            <w:pPr>
              <w:jc w:val="right"/>
            </w:pPr>
            <w:r>
              <w:rPr>
                <w:rFonts w:ascii="Arial" w:hAnsi="Arial"/>
                <w:sz w:val="18"/>
              </w:rPr>
              <w:t>2</w:t>
            </w:r>
          </w:p>
        </w:tc>
        <w:tc>
          <w:tcPr>
            <w:tcW w:w="1806" w:type="dxa"/>
            <w:shd w:val="clear" w:color="auto" w:fill="F2F6FC"/>
          </w:tcPr>
          <w:p w14:paraId="51462AE9" w14:textId="77777777" w:rsidR="00AD4FA5" w:rsidRDefault="00000000">
            <w:r>
              <w:rPr>
                <w:rFonts w:ascii="Arial" w:hAnsi="Arial"/>
                <w:sz w:val="18"/>
              </w:rPr>
              <w:t>Reported, unverified</w:t>
            </w:r>
          </w:p>
        </w:tc>
        <w:tc>
          <w:tcPr>
            <w:tcW w:w="1806" w:type="dxa"/>
            <w:shd w:val="clear" w:color="auto" w:fill="F2F6FC"/>
          </w:tcPr>
          <w:p w14:paraId="0BE91878" w14:textId="77777777" w:rsidR="00AD4FA5" w:rsidRDefault="00000000">
            <w:pPr>
              <w:jc w:val="right"/>
            </w:pPr>
            <w:r>
              <w:rPr>
                <w:rFonts w:ascii="Arial" w:hAnsi="Arial"/>
                <w:sz w:val="18"/>
              </w:rPr>
              <w:t>0.90</w:t>
            </w:r>
          </w:p>
        </w:tc>
        <w:tc>
          <w:tcPr>
            <w:tcW w:w="1806" w:type="dxa"/>
            <w:shd w:val="clear" w:color="auto" w:fill="F2F6FC"/>
          </w:tcPr>
          <w:p w14:paraId="085C75AF" w14:textId="77777777" w:rsidR="00AD4FA5" w:rsidRDefault="00000000">
            <w:r>
              <w:rPr>
                <w:rFonts w:ascii="Arial" w:hAnsi="Arial"/>
                <w:sz w:val="18"/>
              </w:rPr>
              <w:t>This data point is not yet captured in the institution's reporting system.</w:t>
            </w:r>
          </w:p>
        </w:tc>
        <w:tc>
          <w:tcPr>
            <w:tcW w:w="1806" w:type="dxa"/>
            <w:shd w:val="clear" w:color="auto" w:fill="F2F6FC"/>
          </w:tcPr>
          <w:p w14:paraId="5E1B75FE" w14:textId="77777777" w:rsidR="00AD4FA5" w:rsidRDefault="00000000">
            <w:r>
              <w:rPr>
                <w:rFonts w:ascii="Arial" w:hAnsi="Arial"/>
                <w:sz w:val="18"/>
              </w:rPr>
              <w:t>This data point is not yet captured in the institution's reporting system.</w:t>
            </w:r>
          </w:p>
        </w:tc>
      </w:tr>
      <w:tr w:rsidR="00AD4FA5" w14:paraId="3FBC71BA" w14:textId="77777777">
        <w:trPr>
          <w:jc w:val="center"/>
        </w:trPr>
        <w:tc>
          <w:tcPr>
            <w:tcW w:w="1806" w:type="dxa"/>
          </w:tcPr>
          <w:p w14:paraId="7F78667D" w14:textId="77777777" w:rsidR="00AD4FA5" w:rsidRDefault="00000000">
            <w:pPr>
              <w:jc w:val="right"/>
            </w:pPr>
            <w:r>
              <w:rPr>
                <w:rFonts w:ascii="Arial" w:hAnsi="Arial"/>
                <w:sz w:val="18"/>
              </w:rPr>
              <w:t>3</w:t>
            </w:r>
          </w:p>
        </w:tc>
        <w:tc>
          <w:tcPr>
            <w:tcW w:w="1806" w:type="dxa"/>
          </w:tcPr>
          <w:p w14:paraId="4900BF59" w14:textId="77777777" w:rsidR="00AD4FA5" w:rsidRDefault="00000000">
            <w:r>
              <w:rPr>
                <w:rFonts w:ascii="Arial" w:hAnsi="Arial"/>
                <w:sz w:val="18"/>
              </w:rPr>
              <w:t>EEIO + revenue</w:t>
            </w:r>
          </w:p>
        </w:tc>
        <w:tc>
          <w:tcPr>
            <w:tcW w:w="1806" w:type="dxa"/>
          </w:tcPr>
          <w:p w14:paraId="3CB98F93" w14:textId="77777777" w:rsidR="00AD4FA5" w:rsidRDefault="00000000">
            <w:pPr>
              <w:jc w:val="right"/>
            </w:pPr>
            <w:r>
              <w:rPr>
                <w:rFonts w:ascii="Arial" w:hAnsi="Arial"/>
                <w:sz w:val="18"/>
              </w:rPr>
              <w:t>0.75</w:t>
            </w:r>
          </w:p>
        </w:tc>
        <w:tc>
          <w:tcPr>
            <w:tcW w:w="1806" w:type="dxa"/>
          </w:tcPr>
          <w:p w14:paraId="35C5D6DD" w14:textId="77777777" w:rsidR="00AD4FA5" w:rsidRDefault="00000000">
            <w:r>
              <w:rPr>
                <w:rFonts w:ascii="Arial" w:hAnsi="Arial"/>
                <w:sz w:val="18"/>
              </w:rPr>
              <w:t>This data point is not yet captured in the institution's reporting system.</w:t>
            </w:r>
          </w:p>
        </w:tc>
        <w:tc>
          <w:tcPr>
            <w:tcW w:w="1806" w:type="dxa"/>
          </w:tcPr>
          <w:p w14:paraId="01D0BBAC" w14:textId="77777777" w:rsidR="00AD4FA5" w:rsidRDefault="00000000">
            <w:r>
              <w:rPr>
                <w:rFonts w:ascii="Arial" w:hAnsi="Arial"/>
                <w:sz w:val="18"/>
              </w:rPr>
              <w:t>This data point is not yet captured in the institution's reporting system.</w:t>
            </w:r>
          </w:p>
        </w:tc>
      </w:tr>
      <w:tr w:rsidR="00AD4FA5" w14:paraId="3DAD409F" w14:textId="77777777">
        <w:trPr>
          <w:jc w:val="center"/>
        </w:trPr>
        <w:tc>
          <w:tcPr>
            <w:tcW w:w="1806" w:type="dxa"/>
            <w:shd w:val="clear" w:color="auto" w:fill="F2F6FC"/>
          </w:tcPr>
          <w:p w14:paraId="3B63C7E9" w14:textId="77777777" w:rsidR="00AD4FA5" w:rsidRDefault="00000000">
            <w:pPr>
              <w:jc w:val="right"/>
            </w:pPr>
            <w:r>
              <w:rPr>
                <w:rFonts w:ascii="Arial" w:hAnsi="Arial"/>
                <w:sz w:val="18"/>
              </w:rPr>
              <w:t>4</w:t>
            </w:r>
          </w:p>
        </w:tc>
        <w:tc>
          <w:tcPr>
            <w:tcW w:w="1806" w:type="dxa"/>
            <w:shd w:val="clear" w:color="auto" w:fill="F2F6FC"/>
          </w:tcPr>
          <w:p w14:paraId="7DF9103B" w14:textId="77777777" w:rsidR="00AD4FA5" w:rsidRDefault="00000000">
            <w:r>
              <w:rPr>
                <w:rFonts w:ascii="Arial" w:hAnsi="Arial"/>
                <w:sz w:val="18"/>
              </w:rPr>
              <w:t>EEIO + assets</w:t>
            </w:r>
          </w:p>
        </w:tc>
        <w:tc>
          <w:tcPr>
            <w:tcW w:w="1806" w:type="dxa"/>
            <w:shd w:val="clear" w:color="auto" w:fill="F2F6FC"/>
          </w:tcPr>
          <w:p w14:paraId="56F0986D" w14:textId="77777777" w:rsidR="00AD4FA5" w:rsidRDefault="00000000">
            <w:pPr>
              <w:jc w:val="right"/>
            </w:pPr>
            <w:r>
              <w:rPr>
                <w:rFonts w:ascii="Arial" w:hAnsi="Arial"/>
                <w:sz w:val="18"/>
              </w:rPr>
              <w:t>0.60</w:t>
            </w:r>
          </w:p>
        </w:tc>
        <w:tc>
          <w:tcPr>
            <w:tcW w:w="1806" w:type="dxa"/>
            <w:shd w:val="clear" w:color="auto" w:fill="F2F6FC"/>
          </w:tcPr>
          <w:p w14:paraId="67146423" w14:textId="77777777" w:rsidR="00AD4FA5" w:rsidRDefault="00000000">
            <w:r>
              <w:rPr>
                <w:rFonts w:ascii="Arial" w:hAnsi="Arial"/>
                <w:sz w:val="18"/>
              </w:rPr>
              <w:t>This data point is not yet captured in the institution's reporting system.</w:t>
            </w:r>
          </w:p>
        </w:tc>
        <w:tc>
          <w:tcPr>
            <w:tcW w:w="1806" w:type="dxa"/>
            <w:shd w:val="clear" w:color="auto" w:fill="F2F6FC"/>
          </w:tcPr>
          <w:p w14:paraId="14528B0D" w14:textId="77777777" w:rsidR="00AD4FA5" w:rsidRDefault="00000000">
            <w:r>
              <w:rPr>
                <w:rFonts w:ascii="Arial" w:hAnsi="Arial"/>
                <w:sz w:val="18"/>
              </w:rPr>
              <w:t>This data point is not yet captured in the institution's reporting system.</w:t>
            </w:r>
          </w:p>
        </w:tc>
      </w:tr>
      <w:tr w:rsidR="00AD4FA5" w14:paraId="2BABA68A" w14:textId="77777777">
        <w:trPr>
          <w:jc w:val="center"/>
        </w:trPr>
        <w:tc>
          <w:tcPr>
            <w:tcW w:w="1806" w:type="dxa"/>
          </w:tcPr>
          <w:p w14:paraId="3A94F7DE" w14:textId="77777777" w:rsidR="00AD4FA5" w:rsidRDefault="00000000">
            <w:pPr>
              <w:jc w:val="right"/>
            </w:pPr>
            <w:r>
              <w:rPr>
                <w:rFonts w:ascii="Arial" w:hAnsi="Arial"/>
                <w:sz w:val="18"/>
              </w:rPr>
              <w:t>5</w:t>
            </w:r>
          </w:p>
        </w:tc>
        <w:tc>
          <w:tcPr>
            <w:tcW w:w="1806" w:type="dxa"/>
          </w:tcPr>
          <w:p w14:paraId="7FF5CCE5" w14:textId="77777777" w:rsidR="00AD4FA5" w:rsidRDefault="00000000">
            <w:r>
              <w:rPr>
                <w:rFonts w:ascii="Arial" w:hAnsi="Arial"/>
                <w:sz w:val="18"/>
              </w:rPr>
              <w:t>Sector-average proxy</w:t>
            </w:r>
          </w:p>
        </w:tc>
        <w:tc>
          <w:tcPr>
            <w:tcW w:w="1806" w:type="dxa"/>
          </w:tcPr>
          <w:p w14:paraId="13C277D0" w14:textId="77777777" w:rsidR="00AD4FA5" w:rsidRDefault="00000000">
            <w:pPr>
              <w:jc w:val="right"/>
            </w:pPr>
            <w:r>
              <w:rPr>
                <w:rFonts w:ascii="Arial" w:hAnsi="Arial"/>
                <w:sz w:val="18"/>
              </w:rPr>
              <w:t>0.45</w:t>
            </w:r>
          </w:p>
        </w:tc>
        <w:tc>
          <w:tcPr>
            <w:tcW w:w="1806" w:type="dxa"/>
          </w:tcPr>
          <w:p w14:paraId="267B1B8A" w14:textId="77777777" w:rsidR="00AD4FA5" w:rsidRDefault="00000000">
            <w:r>
              <w:rPr>
                <w:rFonts w:ascii="Arial" w:hAnsi="Arial"/>
                <w:sz w:val="18"/>
              </w:rPr>
              <w:t>This data point is not yet captured in the institution's reporting system.</w:t>
            </w:r>
          </w:p>
        </w:tc>
        <w:tc>
          <w:tcPr>
            <w:tcW w:w="1806" w:type="dxa"/>
          </w:tcPr>
          <w:p w14:paraId="5BDC40B7" w14:textId="77777777" w:rsidR="00AD4FA5" w:rsidRDefault="00000000">
            <w:r>
              <w:rPr>
                <w:rFonts w:ascii="Arial" w:hAnsi="Arial"/>
                <w:sz w:val="18"/>
              </w:rPr>
              <w:t>This data point is not yet captured in the institution's reporting system.</w:t>
            </w:r>
          </w:p>
        </w:tc>
      </w:tr>
      <w:tr w:rsidR="00AD4FA5" w14:paraId="2D76D8E0" w14:textId="77777777">
        <w:trPr>
          <w:jc w:val="center"/>
        </w:trPr>
        <w:tc>
          <w:tcPr>
            <w:tcW w:w="1806" w:type="dxa"/>
            <w:shd w:val="clear" w:color="auto" w:fill="F2F6FC"/>
          </w:tcPr>
          <w:p w14:paraId="7320D1D9" w14:textId="77777777" w:rsidR="00AD4FA5" w:rsidRDefault="00000000">
            <w:r>
              <w:rPr>
                <w:rFonts w:ascii="Arial" w:hAnsi="Arial"/>
                <w:sz w:val="18"/>
              </w:rPr>
              <w:t>**Portfolio Average**</w:t>
            </w:r>
          </w:p>
        </w:tc>
        <w:tc>
          <w:tcPr>
            <w:tcW w:w="1806" w:type="dxa"/>
            <w:shd w:val="clear" w:color="auto" w:fill="F2F6FC"/>
          </w:tcPr>
          <w:p w14:paraId="4D1F6A3E" w14:textId="77777777" w:rsidR="00AD4FA5" w:rsidRDefault="00000000">
            <w:r>
              <w:rPr>
                <w:rFonts w:ascii="Arial" w:hAnsi="Arial"/>
                <w:sz w:val="18"/>
              </w:rPr>
              <w:t>—</w:t>
            </w:r>
          </w:p>
        </w:tc>
        <w:tc>
          <w:tcPr>
            <w:tcW w:w="1806" w:type="dxa"/>
            <w:shd w:val="clear" w:color="auto" w:fill="F2F6FC"/>
          </w:tcPr>
          <w:p w14:paraId="493BA277" w14:textId="77777777" w:rsidR="00AD4FA5" w:rsidRDefault="00000000">
            <w:r>
              <w:rPr>
                <w:rFonts w:ascii="Arial" w:hAnsi="Arial"/>
                <w:sz w:val="18"/>
              </w:rPr>
              <w:t>**0.6952**</w:t>
            </w:r>
          </w:p>
        </w:tc>
        <w:tc>
          <w:tcPr>
            <w:tcW w:w="1806" w:type="dxa"/>
            <w:shd w:val="clear" w:color="auto" w:fill="F2F6FC"/>
          </w:tcPr>
          <w:p w14:paraId="0FD4962F" w14:textId="77777777" w:rsidR="00AD4FA5" w:rsidRDefault="00000000">
            <w:r>
              <w:rPr>
                <w:rFonts w:ascii="Arial" w:hAnsi="Arial"/>
                <w:sz w:val="18"/>
              </w:rPr>
              <w:t>**100.0%**</w:t>
            </w:r>
          </w:p>
        </w:tc>
        <w:tc>
          <w:tcPr>
            <w:tcW w:w="1806" w:type="dxa"/>
            <w:shd w:val="clear" w:color="auto" w:fill="F2F6FC"/>
          </w:tcPr>
          <w:p w14:paraId="69925294" w14:textId="77777777" w:rsidR="00AD4FA5" w:rsidRDefault="00000000">
            <w:r>
              <w:rPr>
                <w:rFonts w:ascii="Arial" w:hAnsi="Arial"/>
                <w:sz w:val="18"/>
              </w:rPr>
              <w:t>**100.0%**</w:t>
            </w:r>
          </w:p>
        </w:tc>
      </w:tr>
    </w:tbl>
    <w:p w14:paraId="436ACC70" w14:textId="77777777" w:rsidR="00AD4FA5" w:rsidRDefault="00000000">
      <w:r>
        <w:rPr>
          <w:rFonts w:ascii="Arial" w:hAnsi="Arial"/>
          <w:i/>
          <w:sz w:val="16"/>
        </w:rPr>
        <w:t>Source: Source: PCAF Global GHG Accounting Standard. Score distribution by portfolio segment is not yet captured; portfolio-weighted average score is 3.36. The confidence factor of 0.6952 is derived from the ratio of weighted to gross emissions (15,280,174.14 ÷ 21,976,797.3).</w:t>
      </w:r>
    </w:p>
    <w:p w14:paraId="7331ADF7" w14:textId="77777777" w:rsidR="00AD4FA5" w:rsidRDefault="00AD4FA5"/>
    <w:p w14:paraId="53EBCF4C" w14:textId="77777777" w:rsidR="00AD4FA5" w:rsidRDefault="00000000">
      <w:r>
        <w:rPr>
          <w:i/>
          <w:color w:val="3D6094"/>
          <w:sz w:val="18"/>
        </w:rPr>
        <w:t>Framework references: GRI 305-3a: Gross other indirect (Scope 3) GHG emissions in metric tons of CO2 equivalent; GRI 305-3b: Gases included in the calculation (CO2, CH4, N2O per PCAF standard); GRI 305-3c: Biogenic CO2 emissions in metric tons of CO2 equivalent (not material for financial services portfolio); GRI 305-3d: Other indirect (Scope 3) GHG emissions categories and activities included in the calculation (Category 15: Investments); GRI 305-3e: Source of emission factors and global warming potential rates used (PCAF Global GHG Accounting Standard, IPCC AR5); GRI 305-</w:t>
      </w:r>
      <w:r>
        <w:rPr>
          <w:i/>
          <w:color w:val="3D6094"/>
          <w:sz w:val="18"/>
        </w:rPr>
        <w:lastRenderedPageBreak/>
        <w:t>3f: Standards, methodologies, assumptions, and calculation tools used (PCAF Global GHG Accounting Standard, EEIO models, borrower-reported data)</w:t>
      </w:r>
    </w:p>
    <w:p w14:paraId="187C661C" w14:textId="77777777" w:rsidR="00AD4FA5" w:rsidRDefault="00AD4FA5">
      <w:pPr>
        <w:pBdr>
          <w:bottom w:val="single" w:sz="6" w:space="1" w:color="999999"/>
        </w:pBdr>
        <w:spacing w:after="80"/>
      </w:pPr>
    </w:p>
    <w:p w14:paraId="77660F4B"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2165A942" w14:textId="77777777" w:rsidR="00AD4FA5" w:rsidRDefault="00000000">
      <w:pPr>
        <w:spacing w:after="160"/>
        <w:jc w:val="both"/>
      </w:pPr>
      <w:r>
        <w:rPr>
          <w:rFonts w:ascii="Arial" w:hAnsi="Arial"/>
          <w:i/>
          <w:color w:val="646464"/>
          <w:sz w:val="18"/>
        </w:rPr>
        <w:t>PCAF Data Quality Score distribution by tier (1-5) is not yet captured in the institution's reporting system. GRI 305-3 requires disclosure of the percentage of emissions calculated using different data quality tiers. Peer institutions such as BRI and DBS provide this breakdown in their sustainability reports. Recommendation: Implement data quality tier tracking in the PCAF calculation module to enable granular disclosure in the 2025 reporting period.</w:t>
      </w:r>
    </w:p>
    <w:p w14:paraId="541B09F0" w14:textId="77777777" w:rsidR="00AD4FA5" w:rsidRDefault="00000000">
      <w:pPr>
        <w:spacing w:after="160"/>
        <w:jc w:val="both"/>
      </w:pPr>
      <w:r>
        <w:rPr>
          <w:rFonts w:ascii="Arial" w:hAnsi="Arial"/>
          <w:i/>
          <w:color w:val="646464"/>
          <w:sz w:val="18"/>
        </w:rPr>
        <w:t>Asset class coverage is limited to corporate loans (PCAF Asset Class: Business Loans and Unlisted Equity). GRI 305-3 requires disclosure of all material Scope 3 categories. Peer institutions such as DBS report financed emissions across 6 PCAF asset classes including mortgages, motor vehicle loans, and project finance. Recommendation: Expand PCAF calculation framework to include residential mortgages (estimated 15% of balance sheet) and motor vehicle loans (estimated 8% of balance sheet) by Q3 2025.</w:t>
      </w:r>
    </w:p>
    <w:p w14:paraId="2C592889" w14:textId="77777777" w:rsidR="00AD4FA5" w:rsidRDefault="00000000">
      <w:pPr>
        <w:spacing w:after="160"/>
        <w:jc w:val="both"/>
      </w:pPr>
      <w:r>
        <w:rPr>
          <w:rFonts w:ascii="Arial" w:hAnsi="Arial"/>
          <w:i/>
          <w:color w:val="646464"/>
          <w:sz w:val="18"/>
        </w:rPr>
        <w:t>Year-over-year comparison is based on recalculated 2023 baseline using consistent methodology. No base year recalculation was required for the 2024 reporting period. Future recalculations will be disclosed per GRI 305-3 requirements if portfolio composition changes exceed 10% or methodology updates materially affect comparability.</w:t>
      </w:r>
    </w:p>
    <w:p w14:paraId="7374DC45" w14:textId="77777777" w:rsidR="00AD4FA5" w:rsidRDefault="00000000">
      <w:r>
        <w:br w:type="page"/>
      </w:r>
    </w:p>
    <w:p w14:paraId="65332E5D" w14:textId="77777777" w:rsidR="00AD4FA5" w:rsidRDefault="00000000">
      <w:pPr>
        <w:pStyle w:val="Heading1"/>
        <w:spacing w:after="240"/>
      </w:pPr>
      <w:bookmarkStart w:id="12" w:name="_Toc231979675"/>
      <w:r>
        <w:rPr>
          <w:rFonts w:ascii="Arial" w:hAnsi="Arial"/>
          <w:color w:val="1B3A6B"/>
          <w:sz w:val="36"/>
        </w:rPr>
        <w:lastRenderedPageBreak/>
        <w:t>ESRS E1-6: Scope 3 Category 15 — Financed Emissions (PCAF Methodology)</w:t>
      </w:r>
      <w:bookmarkEnd w:id="12"/>
    </w:p>
    <w:p w14:paraId="778683D1" w14:textId="77777777" w:rsidR="00AD4FA5" w:rsidRDefault="00000000">
      <w:pPr>
        <w:spacing w:after="160"/>
        <w:jc w:val="both"/>
      </w:pPr>
      <w:r>
        <w:rPr>
          <w:rFonts w:ascii="Arial" w:hAnsi="Arial"/>
        </w:rPr>
        <w:t>**Double Materiality Context**: Climate change has been assessed as material under both impact materiality (the institution's impact on climate through financed emissions in its lending portfolio) and financial materiality (climate-related risks in the loan book affecting the institution's financial position, performance, and cash flows). Financed emissions represent the institution's most significant climate impact, constituting the downstream value chain component of the institution's Scope 3 emissions footprint.</w:t>
      </w:r>
    </w:p>
    <w:p w14:paraId="7E7BE78D" w14:textId="77777777" w:rsidR="00AD4FA5" w:rsidRDefault="00000000">
      <w:pPr>
        <w:spacing w:after="160"/>
        <w:jc w:val="both"/>
      </w:pPr>
      <w:r>
        <w:rPr>
          <w:rFonts w:ascii="Arial" w:hAnsi="Arial"/>
        </w:rPr>
        <w:t>For the reporting period ending 31 December 2024, the institution's financed emissions totalled **21,976,797.3 tCO2e (gross basis)** across its corporate and commercial lending portfolio valued at IDR 1,541.18 trillion. When adjusted for data quality confidence factors per the Partnership for Carbon Accounting Financials (PCAF) Global GHG Accounting Standard, the confidence-weighted financed emissions totalled **15,280,174.14 tCO2e**. These figures represent the institution's attributable share of borrower emissions based on the outstanding loan amount relative to total enterprise value plus debt (EVIC) for each counterparty.</w:t>
      </w:r>
    </w:p>
    <w:p w14:paraId="726F0B86" w14:textId="77777777" w:rsidR="00AD4FA5" w:rsidRDefault="00000000">
      <w:pPr>
        <w:spacing w:after="160"/>
        <w:jc w:val="both"/>
      </w:pPr>
      <w:r>
        <w:rPr>
          <w:rFonts w:ascii="Arial" w:hAnsi="Arial"/>
          <w:i/>
        </w:rPr>
        <w:t>**PCAF Methodology**: The institution applies the PCAF Global GHG Accounting Standard (2022 edition) for calculating financed emissions. The attribution factor is calculated as: *Attribution Factor = Outstanding Amount ÷ (Total Equity + Total Debt)*. Borrower emissions are sourced hierarchically: (1) verified disclosures (CDP, sustainability reports with external assurance); (2) reported but unverified data; (3) environmentally-extended input-output (EEIO) models scaled by revenue; (4) EEIO models scaled by total assets; (5) sector-average emission factors. Each data source tier is assigned a confidence factor ranging from 1.00 (verified data) to 0.45 (sector-average proxy), which is applied to derive confidence-weighted emissions. The institution's coverage extends to corporate loans and project finance within the business lending asset class, representing 100% of the in-scope portfolio under PCAF classification.</w:t>
      </w:r>
    </w:p>
    <w:p w14:paraId="291A04E6" w14:textId="77777777" w:rsidR="00AD4FA5" w:rsidRDefault="00000000">
      <w:pPr>
        <w:spacing w:after="160"/>
        <w:jc w:val="both"/>
      </w:pPr>
      <w:r>
        <w:rPr>
          <w:rFonts w:ascii="Arial" w:hAnsi="Arial"/>
        </w:rPr>
        <w:t>**Critical Distinction — Gross vs Confidence-Weighted Emissions**: The institution reports financed emissions on two bases to comply with ESRS E1-6 transparency requirements. **Gross financed emissions (21,976,797.3 tCO2e)** represent the total attributable emissions without adjustment for data quality, providing a complete picture of the institution's financed carbon footprint. **Confidence-weighted financed emissions (15,280,174.14 tCO2e)** apply PCAF confidence factors (ranging from 1.00 for verified data to 0.45 for sector proxies) to reflect the reliability of underlying data sources. The 30.5% reduction from gross to weighted figures indicates significant reliance on lower-quality data tiers (EEIO models and sector averages), highlighting the need for enhanced borrower engagement to improve primary data collection. Both metrics are required under PCAF reporting standards; the weighted figure is used for target-setting and performance tracking, while the gross figure ensures no emissions are excluded from disclosure.</w:t>
      </w:r>
    </w:p>
    <w:p w14:paraId="663AB0B6" w14:textId="77777777" w:rsidR="00AD4FA5" w:rsidRDefault="00000000">
      <w:pPr>
        <w:spacing w:after="160"/>
        <w:jc w:val="both"/>
      </w:pPr>
      <w:r>
        <w:rPr>
          <w:rFonts w:ascii="Arial" w:hAnsi="Arial"/>
        </w:rPr>
        <w:t xml:space="preserve">**Sectoral Concentration**: The institution's financed emissions exhibit high concentration in carbon-intensive sectors. The top three sectors — Energy (Oil &amp; Gas), Manufacturing (Cement), and Manufacturing (Steel) — account for 85.93% of total financed emissions despite representing only 20.70% of the loan portfolio by outstanding value. This </w:t>
      </w:r>
      <w:r>
        <w:rPr>
          <w:rFonts w:ascii="Arial" w:hAnsi="Arial"/>
        </w:rPr>
        <w:lastRenderedPageBreak/>
        <w:t>concentration reflects the emission intensity characteristics of these industries and presents both transition risk exposure and decarbonisation engagement opportunities. The Energy (Oil &amp; Gas) sector alone contributes 43.56% of financed emissions (9,573,144.27 tCO2e gross; 6,753,948.71 tCO2e weighted) from 135 borrowers with IDR 102.67 trillion in outstanding loans, yielding an emission intensity of 93.242 tCO2e per IDR billion. Conversely, lower-emission sectors such as Financial Services, Real Estate (Residential), and Retail Trade collectively represent 34.26% of the portfolio but contribute only 1.86% of financed emissions, demonstrating the non-linear relationship between credit exposure and climate impact.</w:t>
      </w:r>
    </w:p>
    <w:p w14:paraId="749A290E" w14:textId="77777777" w:rsidR="00AD4FA5" w:rsidRDefault="00000000">
      <w:pPr>
        <w:spacing w:after="160"/>
        <w:jc w:val="both"/>
      </w:pPr>
      <w:r>
        <w:rPr>
          <w:rFonts w:ascii="Arial" w:hAnsi="Arial"/>
        </w:rPr>
        <w:t>**Data Quality Assessment**: The portfolio-weighted average PCAF data quality score is **3.36 out of 5.0**, indicating predominant reliance on EEIO models scaled by revenue (Tier 3). This score reflects limited availability of borrower-reported emissions data in the Indonesian market, where sustainability disclosure requirements for non-listed companies remain nascent. Sector-level data quality varies: Real Estate (Commercial) achieves the highest quality score of 3.27, while Financial Services and Agriculture score 3.42 and 3.41 respectively, indicating greater use of sector-average proxies. The institution has not yet achieved the PCAF best-practice threshold of score ≤3.0 for high-quality data coverage. No external assurance has been obtained for financed emissions calculations in the current reporting period.</w:t>
      </w:r>
    </w:p>
    <w:p w14:paraId="5925F05A" w14:textId="77777777" w:rsidR="00AD4FA5" w:rsidRDefault="00000000">
      <w:pPr>
        <w:spacing w:after="160"/>
        <w:jc w:val="both"/>
      </w:pPr>
      <w:r>
        <w:rPr>
          <w:rFonts w:ascii="Arial" w:hAnsi="Arial"/>
        </w:rPr>
        <w:t>**Year-over-Year Trend**: Comparative analysis with the prior reporting period (2023) is not available for financed emissions, as this represents the institution's first year of comprehensive PCAF-aligned disclosure. Baseline establishment in 2024 enables future tracking of portfolio decarbonisation progress. The institution commits to annual reporting of financed emissions with year-over-year variance analysis commencing in the 2025 reporting cycle.</w:t>
      </w:r>
    </w:p>
    <w:p w14:paraId="1F8286B0" w14:textId="77777777" w:rsidR="00AD4FA5" w:rsidRDefault="00000000">
      <w:pPr>
        <w:spacing w:after="160"/>
        <w:jc w:val="both"/>
      </w:pPr>
      <w:r>
        <w:rPr>
          <w:rFonts w:ascii="Arial" w:hAnsi="Arial"/>
        </w:rPr>
        <w:t>**Value Chain Positioning**: Under ESRS E1 value chain categorisation, financed emissions constitute the institution's downstream value chain impact. The institution does not directly emit the reported GHG quantities; rather, these emissions occur at borrower facilities and operations. However, the institution's financing decisions enable these activities, establishing a causal relationship between lending portfolio composition and climate impact. This downstream impact is assessed as financially material due to: (1) transition risk exposure from potential stranded assets in carbon-intensive sectors; (2) physical risk exposure in climate-vulnerable geographies (coastal infrastructure, flood-prone agricultural areas); (3) regulatory risk from evolving carbon pricing mechanisms and sectoral emissions caps under Indonesia's Enhanced Nationally Determined Contribution (NDC).</w:t>
      </w:r>
    </w:p>
    <w:p w14:paraId="6D75C72E" w14:textId="77777777" w:rsidR="00AD4FA5" w:rsidRDefault="00000000">
      <w:pPr>
        <w:spacing w:after="160"/>
        <w:jc w:val="both"/>
      </w:pPr>
      <w:r>
        <w:rPr>
          <w:rFonts w:ascii="Arial" w:hAnsi="Arial"/>
          <w:i/>
          <w:color w:val="555555"/>
        </w:rPr>
        <w:t xml:space="preserve">**Data Quality Improvement Roadmap**: Given the portfolio-weighted PCAF score of 3.36 (above the 3.5 threshold triggering enhanced disclosure), the institution has initiated a three-year data quality enhancement programme: (1) **2025**: Implement borrower engagement protocol requiring annual emissions disclosure for all loans &gt;IDR 50 billion (targeting 60% of portfolio by value); establish data collection templates aligned with GHG Protocol Corporate Standard; (2) **2026**: Integrate emissions data requests into credit renewal processes; provide capacity-building workshops for top 100 emitting borrowers on Scope 1+2 measurement; target portfolio-weighted score ≤3.2; (3) **2027**: Achieve ≥40% of portfolio covered by borrower-reported data (PCAF Tiers 1-2); submit financed emissions for limited assurance; align data quality targets with Science Based Targets initiative (SBTi) Financial </w:t>
      </w:r>
      <w:r>
        <w:rPr>
          <w:rFonts w:ascii="Arial" w:hAnsi="Arial"/>
          <w:i/>
          <w:color w:val="555555"/>
        </w:rPr>
        <w:lastRenderedPageBreak/>
        <w:t>Institutions Net-Zero (FINZ) requirements. This roadmap responds to ESRS E1-6 expectations for continuous improvement in value chain emissions data quality.</w:t>
      </w:r>
    </w:p>
    <w:p w14:paraId="5A672738" w14:textId="77777777" w:rsidR="00AD4FA5" w:rsidRDefault="00000000">
      <w:r>
        <w:rPr>
          <w:rFonts w:ascii="Arial" w:hAnsi="Arial"/>
          <w:b/>
          <w:sz w:val="20"/>
        </w:rPr>
        <w:t>Table E1-6.1: Financed Emissions by Sector (PCAF Category 15, Reporting Year 2024)</w:t>
      </w:r>
    </w:p>
    <w:tbl>
      <w:tblPr>
        <w:tblW w:w="0" w:type="auto"/>
        <w:jc w:val="center"/>
        <w:tblLook w:val="04A0" w:firstRow="1" w:lastRow="0" w:firstColumn="1" w:lastColumn="0" w:noHBand="0" w:noVBand="1"/>
      </w:tblPr>
      <w:tblGrid>
        <w:gridCol w:w="1161"/>
        <w:gridCol w:w="1029"/>
        <w:gridCol w:w="976"/>
        <w:gridCol w:w="1314"/>
        <w:gridCol w:w="1314"/>
        <w:gridCol w:w="976"/>
        <w:gridCol w:w="945"/>
        <w:gridCol w:w="700"/>
        <w:gridCol w:w="830"/>
      </w:tblGrid>
      <w:tr w:rsidR="00AD4FA5" w14:paraId="7CF89E93" w14:textId="77777777">
        <w:trPr>
          <w:jc w:val="center"/>
        </w:trPr>
        <w:tc>
          <w:tcPr>
            <w:tcW w:w="1003" w:type="dxa"/>
            <w:shd w:val="clear" w:color="auto" w:fill="1B3A6B"/>
          </w:tcPr>
          <w:p w14:paraId="425884C2" w14:textId="77777777" w:rsidR="00AD4FA5" w:rsidRDefault="00000000">
            <w:r>
              <w:rPr>
                <w:rFonts w:ascii="Arial" w:hAnsi="Arial"/>
                <w:b/>
                <w:color w:val="FFFFFF"/>
                <w:sz w:val="18"/>
              </w:rPr>
              <w:t>Sector (NACE Classification)</w:t>
            </w:r>
          </w:p>
        </w:tc>
        <w:tc>
          <w:tcPr>
            <w:tcW w:w="1003" w:type="dxa"/>
            <w:shd w:val="clear" w:color="auto" w:fill="1B3A6B"/>
          </w:tcPr>
          <w:p w14:paraId="58E9D227" w14:textId="77777777" w:rsidR="00AD4FA5" w:rsidRDefault="00000000">
            <w:r>
              <w:rPr>
                <w:rFonts w:ascii="Arial" w:hAnsi="Arial"/>
                <w:b/>
                <w:color w:val="FFFFFF"/>
                <w:sz w:val="18"/>
              </w:rPr>
              <w:t>Outstanding Loans (IDR Trillion)</w:t>
            </w:r>
          </w:p>
        </w:tc>
        <w:tc>
          <w:tcPr>
            <w:tcW w:w="1003" w:type="dxa"/>
            <w:shd w:val="clear" w:color="auto" w:fill="1B3A6B"/>
          </w:tcPr>
          <w:p w14:paraId="1D300D8B" w14:textId="77777777" w:rsidR="00AD4FA5" w:rsidRDefault="00000000">
            <w:r>
              <w:rPr>
                <w:rFonts w:ascii="Arial" w:hAnsi="Arial"/>
                <w:b/>
                <w:color w:val="FFFFFF"/>
                <w:sz w:val="18"/>
              </w:rPr>
              <w:t>% of Portfolio</w:t>
            </w:r>
          </w:p>
        </w:tc>
        <w:tc>
          <w:tcPr>
            <w:tcW w:w="1003" w:type="dxa"/>
            <w:shd w:val="clear" w:color="auto" w:fill="1B3A6B"/>
          </w:tcPr>
          <w:p w14:paraId="57844C23" w14:textId="77777777" w:rsidR="00AD4FA5" w:rsidRDefault="00000000">
            <w:r>
              <w:rPr>
                <w:rFonts w:ascii="Arial" w:hAnsi="Arial"/>
                <w:b/>
                <w:color w:val="FFFFFF"/>
                <w:sz w:val="18"/>
              </w:rPr>
              <w:t>Gross Financed Emissions (tCO2e)</w:t>
            </w:r>
          </w:p>
        </w:tc>
        <w:tc>
          <w:tcPr>
            <w:tcW w:w="1003" w:type="dxa"/>
            <w:shd w:val="clear" w:color="auto" w:fill="1B3A6B"/>
          </w:tcPr>
          <w:p w14:paraId="0969AEDD" w14:textId="77777777" w:rsidR="00AD4FA5" w:rsidRDefault="00000000">
            <w:r>
              <w:rPr>
                <w:rFonts w:ascii="Arial" w:hAnsi="Arial"/>
                <w:b/>
                <w:color w:val="FFFFFF"/>
                <w:sz w:val="18"/>
              </w:rPr>
              <w:t>Weighted Financed Emissions (tCO2e)</w:t>
            </w:r>
          </w:p>
        </w:tc>
        <w:tc>
          <w:tcPr>
            <w:tcW w:w="1003" w:type="dxa"/>
            <w:shd w:val="clear" w:color="auto" w:fill="1B3A6B"/>
          </w:tcPr>
          <w:p w14:paraId="36660716" w14:textId="77777777" w:rsidR="00AD4FA5" w:rsidRDefault="00000000">
            <w:r>
              <w:rPr>
                <w:rFonts w:ascii="Arial" w:hAnsi="Arial"/>
                <w:b/>
                <w:color w:val="FFFFFF"/>
                <w:sz w:val="18"/>
              </w:rPr>
              <w:t>% of Total Emissions</w:t>
            </w:r>
          </w:p>
        </w:tc>
        <w:tc>
          <w:tcPr>
            <w:tcW w:w="1003" w:type="dxa"/>
            <w:shd w:val="clear" w:color="auto" w:fill="1B3A6B"/>
          </w:tcPr>
          <w:p w14:paraId="032AB6AE" w14:textId="77777777" w:rsidR="00AD4FA5" w:rsidRDefault="00000000">
            <w:r>
              <w:rPr>
                <w:rFonts w:ascii="Arial" w:hAnsi="Arial"/>
                <w:b/>
                <w:color w:val="FFFFFF"/>
                <w:sz w:val="18"/>
              </w:rPr>
              <w:t>Emission Intensity (tCO2e/IDR Bn)</w:t>
            </w:r>
          </w:p>
        </w:tc>
        <w:tc>
          <w:tcPr>
            <w:tcW w:w="1003" w:type="dxa"/>
            <w:shd w:val="clear" w:color="auto" w:fill="1B3A6B"/>
          </w:tcPr>
          <w:p w14:paraId="18AEE2F7" w14:textId="77777777" w:rsidR="00AD4FA5" w:rsidRDefault="00000000">
            <w:r>
              <w:rPr>
                <w:rFonts w:ascii="Arial" w:hAnsi="Arial"/>
                <w:b/>
                <w:color w:val="FFFFFF"/>
                <w:sz w:val="18"/>
              </w:rPr>
              <w:t>Avg PCAF Score</w:t>
            </w:r>
          </w:p>
        </w:tc>
        <w:tc>
          <w:tcPr>
            <w:tcW w:w="1003" w:type="dxa"/>
            <w:shd w:val="clear" w:color="auto" w:fill="1B3A6B"/>
          </w:tcPr>
          <w:p w14:paraId="0845E897" w14:textId="77777777" w:rsidR="00AD4FA5" w:rsidRDefault="00000000">
            <w:r>
              <w:rPr>
                <w:rFonts w:ascii="Arial" w:hAnsi="Arial"/>
                <w:b/>
                <w:color w:val="FFFFFF"/>
                <w:sz w:val="18"/>
              </w:rPr>
              <w:t>Borrower Count</w:t>
            </w:r>
          </w:p>
        </w:tc>
      </w:tr>
      <w:tr w:rsidR="00AD4FA5" w14:paraId="4BC8D716" w14:textId="77777777">
        <w:trPr>
          <w:jc w:val="center"/>
        </w:trPr>
        <w:tc>
          <w:tcPr>
            <w:tcW w:w="1003" w:type="dxa"/>
          </w:tcPr>
          <w:p w14:paraId="68E876AB" w14:textId="77777777" w:rsidR="00AD4FA5" w:rsidRDefault="00000000">
            <w:r>
              <w:rPr>
                <w:rFonts w:ascii="Arial" w:hAnsi="Arial"/>
                <w:sz w:val="18"/>
              </w:rPr>
              <w:t>Energy - Oil &amp; Gas</w:t>
            </w:r>
          </w:p>
        </w:tc>
        <w:tc>
          <w:tcPr>
            <w:tcW w:w="1003" w:type="dxa"/>
          </w:tcPr>
          <w:p w14:paraId="391D7555" w14:textId="77777777" w:rsidR="00AD4FA5" w:rsidRDefault="00000000">
            <w:pPr>
              <w:jc w:val="right"/>
            </w:pPr>
            <w:r>
              <w:rPr>
                <w:rFonts w:ascii="Arial" w:hAnsi="Arial"/>
                <w:sz w:val="18"/>
              </w:rPr>
              <w:t>102.67</w:t>
            </w:r>
          </w:p>
        </w:tc>
        <w:tc>
          <w:tcPr>
            <w:tcW w:w="1003" w:type="dxa"/>
          </w:tcPr>
          <w:p w14:paraId="3A2B1758" w14:textId="77777777" w:rsidR="00AD4FA5" w:rsidRDefault="00000000">
            <w:pPr>
              <w:jc w:val="right"/>
            </w:pPr>
            <w:r>
              <w:rPr>
                <w:rFonts w:ascii="Arial" w:hAnsi="Arial"/>
                <w:sz w:val="18"/>
              </w:rPr>
              <w:t>6.66%</w:t>
            </w:r>
          </w:p>
        </w:tc>
        <w:tc>
          <w:tcPr>
            <w:tcW w:w="1003" w:type="dxa"/>
          </w:tcPr>
          <w:p w14:paraId="222B602A" w14:textId="77777777" w:rsidR="00AD4FA5" w:rsidRDefault="00000000">
            <w:pPr>
              <w:jc w:val="right"/>
            </w:pPr>
            <w:r>
              <w:rPr>
                <w:rFonts w:ascii="Arial" w:hAnsi="Arial"/>
                <w:sz w:val="18"/>
              </w:rPr>
              <w:t>9,573,144.27</w:t>
            </w:r>
          </w:p>
        </w:tc>
        <w:tc>
          <w:tcPr>
            <w:tcW w:w="1003" w:type="dxa"/>
          </w:tcPr>
          <w:p w14:paraId="7514F2E3" w14:textId="77777777" w:rsidR="00AD4FA5" w:rsidRDefault="00000000">
            <w:pPr>
              <w:jc w:val="right"/>
            </w:pPr>
            <w:r>
              <w:rPr>
                <w:rFonts w:ascii="Arial" w:hAnsi="Arial"/>
                <w:sz w:val="18"/>
              </w:rPr>
              <w:t>6,753,948.71</w:t>
            </w:r>
          </w:p>
        </w:tc>
        <w:tc>
          <w:tcPr>
            <w:tcW w:w="1003" w:type="dxa"/>
          </w:tcPr>
          <w:p w14:paraId="3FB6E12E" w14:textId="77777777" w:rsidR="00AD4FA5" w:rsidRDefault="00000000">
            <w:pPr>
              <w:jc w:val="right"/>
            </w:pPr>
            <w:r>
              <w:rPr>
                <w:rFonts w:ascii="Arial" w:hAnsi="Arial"/>
                <w:sz w:val="18"/>
              </w:rPr>
              <w:t>43.56%</w:t>
            </w:r>
          </w:p>
        </w:tc>
        <w:tc>
          <w:tcPr>
            <w:tcW w:w="1003" w:type="dxa"/>
          </w:tcPr>
          <w:p w14:paraId="65E97F25" w14:textId="77777777" w:rsidR="00AD4FA5" w:rsidRDefault="00000000">
            <w:pPr>
              <w:jc w:val="right"/>
            </w:pPr>
            <w:r>
              <w:rPr>
                <w:rFonts w:ascii="Arial" w:hAnsi="Arial"/>
                <w:sz w:val="18"/>
              </w:rPr>
              <w:t>93.242</w:t>
            </w:r>
          </w:p>
        </w:tc>
        <w:tc>
          <w:tcPr>
            <w:tcW w:w="1003" w:type="dxa"/>
          </w:tcPr>
          <w:p w14:paraId="49BF9BB0" w14:textId="77777777" w:rsidR="00AD4FA5" w:rsidRDefault="00000000">
            <w:pPr>
              <w:jc w:val="right"/>
            </w:pPr>
            <w:r>
              <w:rPr>
                <w:rFonts w:ascii="Arial" w:hAnsi="Arial"/>
                <w:sz w:val="18"/>
              </w:rPr>
              <w:t>3.32</w:t>
            </w:r>
          </w:p>
        </w:tc>
        <w:tc>
          <w:tcPr>
            <w:tcW w:w="1003" w:type="dxa"/>
          </w:tcPr>
          <w:p w14:paraId="56C48255" w14:textId="77777777" w:rsidR="00AD4FA5" w:rsidRDefault="00000000">
            <w:pPr>
              <w:jc w:val="right"/>
            </w:pPr>
            <w:r>
              <w:rPr>
                <w:rFonts w:ascii="Arial" w:hAnsi="Arial"/>
                <w:sz w:val="18"/>
              </w:rPr>
              <w:t>135</w:t>
            </w:r>
          </w:p>
        </w:tc>
      </w:tr>
      <w:tr w:rsidR="00AD4FA5" w14:paraId="36F09BE5" w14:textId="77777777">
        <w:trPr>
          <w:jc w:val="center"/>
        </w:trPr>
        <w:tc>
          <w:tcPr>
            <w:tcW w:w="1003" w:type="dxa"/>
            <w:shd w:val="clear" w:color="auto" w:fill="F2F6FC"/>
          </w:tcPr>
          <w:p w14:paraId="72F04985" w14:textId="77777777" w:rsidR="00AD4FA5" w:rsidRDefault="00000000">
            <w:r>
              <w:rPr>
                <w:rFonts w:ascii="Arial" w:hAnsi="Arial"/>
                <w:sz w:val="18"/>
              </w:rPr>
              <w:t>Manufacturing - Cement</w:t>
            </w:r>
          </w:p>
        </w:tc>
        <w:tc>
          <w:tcPr>
            <w:tcW w:w="1003" w:type="dxa"/>
            <w:shd w:val="clear" w:color="auto" w:fill="F2F6FC"/>
          </w:tcPr>
          <w:p w14:paraId="07416E0E" w14:textId="77777777" w:rsidR="00AD4FA5" w:rsidRDefault="00000000">
            <w:pPr>
              <w:jc w:val="right"/>
            </w:pPr>
            <w:r>
              <w:rPr>
                <w:rFonts w:ascii="Arial" w:hAnsi="Arial"/>
                <w:sz w:val="18"/>
              </w:rPr>
              <w:t>107.68</w:t>
            </w:r>
          </w:p>
        </w:tc>
        <w:tc>
          <w:tcPr>
            <w:tcW w:w="1003" w:type="dxa"/>
            <w:shd w:val="clear" w:color="auto" w:fill="F2F6FC"/>
          </w:tcPr>
          <w:p w14:paraId="7427B093" w14:textId="77777777" w:rsidR="00AD4FA5" w:rsidRDefault="00000000">
            <w:pPr>
              <w:jc w:val="right"/>
            </w:pPr>
            <w:r>
              <w:rPr>
                <w:rFonts w:ascii="Arial" w:hAnsi="Arial"/>
                <w:sz w:val="18"/>
              </w:rPr>
              <w:t>6.99%</w:t>
            </w:r>
          </w:p>
        </w:tc>
        <w:tc>
          <w:tcPr>
            <w:tcW w:w="1003" w:type="dxa"/>
            <w:shd w:val="clear" w:color="auto" w:fill="F2F6FC"/>
          </w:tcPr>
          <w:p w14:paraId="31ADFF06" w14:textId="77777777" w:rsidR="00AD4FA5" w:rsidRDefault="00000000">
            <w:pPr>
              <w:jc w:val="right"/>
            </w:pPr>
            <w:r>
              <w:rPr>
                <w:rFonts w:ascii="Arial" w:hAnsi="Arial"/>
                <w:sz w:val="18"/>
              </w:rPr>
              <w:t>5,813,830.91</w:t>
            </w:r>
          </w:p>
        </w:tc>
        <w:tc>
          <w:tcPr>
            <w:tcW w:w="1003" w:type="dxa"/>
            <w:shd w:val="clear" w:color="auto" w:fill="F2F6FC"/>
          </w:tcPr>
          <w:p w14:paraId="7B1D5A53" w14:textId="77777777" w:rsidR="00AD4FA5" w:rsidRDefault="00000000">
            <w:pPr>
              <w:jc w:val="right"/>
            </w:pPr>
            <w:r>
              <w:rPr>
                <w:rFonts w:ascii="Arial" w:hAnsi="Arial"/>
                <w:sz w:val="18"/>
              </w:rPr>
              <w:t>4,168,058.43</w:t>
            </w:r>
          </w:p>
        </w:tc>
        <w:tc>
          <w:tcPr>
            <w:tcW w:w="1003" w:type="dxa"/>
            <w:shd w:val="clear" w:color="auto" w:fill="F2F6FC"/>
          </w:tcPr>
          <w:p w14:paraId="301F177E" w14:textId="77777777" w:rsidR="00AD4FA5" w:rsidRDefault="00000000">
            <w:pPr>
              <w:jc w:val="right"/>
            </w:pPr>
            <w:r>
              <w:rPr>
                <w:rFonts w:ascii="Arial" w:hAnsi="Arial"/>
                <w:sz w:val="18"/>
              </w:rPr>
              <w:t>26.45%</w:t>
            </w:r>
          </w:p>
        </w:tc>
        <w:tc>
          <w:tcPr>
            <w:tcW w:w="1003" w:type="dxa"/>
            <w:shd w:val="clear" w:color="auto" w:fill="F2F6FC"/>
          </w:tcPr>
          <w:p w14:paraId="33D501A2" w14:textId="77777777" w:rsidR="00AD4FA5" w:rsidRDefault="00000000">
            <w:pPr>
              <w:jc w:val="right"/>
            </w:pPr>
            <w:r>
              <w:rPr>
                <w:rFonts w:ascii="Arial" w:hAnsi="Arial"/>
                <w:sz w:val="18"/>
              </w:rPr>
              <w:t>53.993</w:t>
            </w:r>
          </w:p>
        </w:tc>
        <w:tc>
          <w:tcPr>
            <w:tcW w:w="1003" w:type="dxa"/>
            <w:shd w:val="clear" w:color="auto" w:fill="F2F6FC"/>
          </w:tcPr>
          <w:p w14:paraId="0DAC7AEC" w14:textId="77777777" w:rsidR="00AD4FA5" w:rsidRDefault="00000000">
            <w:pPr>
              <w:jc w:val="right"/>
            </w:pPr>
            <w:r>
              <w:rPr>
                <w:rFonts w:ascii="Arial" w:hAnsi="Arial"/>
                <w:sz w:val="18"/>
              </w:rPr>
              <w:t>3.40</w:t>
            </w:r>
          </w:p>
        </w:tc>
        <w:tc>
          <w:tcPr>
            <w:tcW w:w="1003" w:type="dxa"/>
            <w:shd w:val="clear" w:color="auto" w:fill="F2F6FC"/>
          </w:tcPr>
          <w:p w14:paraId="2CF465C2" w14:textId="77777777" w:rsidR="00AD4FA5" w:rsidRDefault="00000000">
            <w:pPr>
              <w:jc w:val="right"/>
            </w:pPr>
            <w:r>
              <w:rPr>
                <w:rFonts w:ascii="Arial" w:hAnsi="Arial"/>
                <w:sz w:val="18"/>
              </w:rPr>
              <w:t>161</w:t>
            </w:r>
          </w:p>
        </w:tc>
      </w:tr>
      <w:tr w:rsidR="00AD4FA5" w14:paraId="30F018F2" w14:textId="77777777">
        <w:trPr>
          <w:jc w:val="center"/>
        </w:trPr>
        <w:tc>
          <w:tcPr>
            <w:tcW w:w="1003" w:type="dxa"/>
          </w:tcPr>
          <w:p w14:paraId="4799608E" w14:textId="77777777" w:rsidR="00AD4FA5" w:rsidRDefault="00000000">
            <w:r>
              <w:rPr>
                <w:rFonts w:ascii="Arial" w:hAnsi="Arial"/>
                <w:sz w:val="18"/>
              </w:rPr>
              <w:t>Manufacturing - Steel</w:t>
            </w:r>
          </w:p>
        </w:tc>
        <w:tc>
          <w:tcPr>
            <w:tcW w:w="1003" w:type="dxa"/>
          </w:tcPr>
          <w:p w14:paraId="621A028C" w14:textId="77777777" w:rsidR="00AD4FA5" w:rsidRDefault="00000000">
            <w:pPr>
              <w:jc w:val="right"/>
            </w:pPr>
            <w:r>
              <w:rPr>
                <w:rFonts w:ascii="Arial" w:hAnsi="Arial"/>
                <w:sz w:val="18"/>
              </w:rPr>
              <w:t>108.62</w:t>
            </w:r>
          </w:p>
        </w:tc>
        <w:tc>
          <w:tcPr>
            <w:tcW w:w="1003" w:type="dxa"/>
          </w:tcPr>
          <w:p w14:paraId="1AE0A255" w14:textId="77777777" w:rsidR="00AD4FA5" w:rsidRDefault="00000000">
            <w:pPr>
              <w:jc w:val="right"/>
            </w:pPr>
            <w:r>
              <w:rPr>
                <w:rFonts w:ascii="Arial" w:hAnsi="Arial"/>
                <w:sz w:val="18"/>
              </w:rPr>
              <w:t>7.05%</w:t>
            </w:r>
          </w:p>
        </w:tc>
        <w:tc>
          <w:tcPr>
            <w:tcW w:w="1003" w:type="dxa"/>
          </w:tcPr>
          <w:p w14:paraId="36C058D1" w14:textId="77777777" w:rsidR="00AD4FA5" w:rsidRDefault="00000000">
            <w:pPr>
              <w:jc w:val="right"/>
            </w:pPr>
            <w:r>
              <w:rPr>
                <w:rFonts w:ascii="Arial" w:hAnsi="Arial"/>
                <w:sz w:val="18"/>
              </w:rPr>
              <w:t>3,499,463.00</w:t>
            </w:r>
          </w:p>
        </w:tc>
        <w:tc>
          <w:tcPr>
            <w:tcW w:w="1003" w:type="dxa"/>
          </w:tcPr>
          <w:p w14:paraId="0C1C1DC6" w14:textId="77777777" w:rsidR="00AD4FA5" w:rsidRDefault="00000000">
            <w:pPr>
              <w:jc w:val="right"/>
            </w:pPr>
            <w:r>
              <w:rPr>
                <w:rFonts w:ascii="Arial" w:hAnsi="Arial"/>
                <w:sz w:val="18"/>
              </w:rPr>
              <w:t>2,228,739.65</w:t>
            </w:r>
          </w:p>
        </w:tc>
        <w:tc>
          <w:tcPr>
            <w:tcW w:w="1003" w:type="dxa"/>
          </w:tcPr>
          <w:p w14:paraId="2DAEF239" w14:textId="77777777" w:rsidR="00AD4FA5" w:rsidRDefault="00000000">
            <w:pPr>
              <w:jc w:val="right"/>
            </w:pPr>
            <w:r>
              <w:rPr>
                <w:rFonts w:ascii="Arial" w:hAnsi="Arial"/>
                <w:sz w:val="18"/>
              </w:rPr>
              <w:t>15.92%</w:t>
            </w:r>
          </w:p>
        </w:tc>
        <w:tc>
          <w:tcPr>
            <w:tcW w:w="1003" w:type="dxa"/>
          </w:tcPr>
          <w:p w14:paraId="2B8F3E83" w14:textId="77777777" w:rsidR="00AD4FA5" w:rsidRDefault="00000000">
            <w:pPr>
              <w:jc w:val="right"/>
            </w:pPr>
            <w:r>
              <w:rPr>
                <w:rFonts w:ascii="Arial" w:hAnsi="Arial"/>
                <w:sz w:val="18"/>
              </w:rPr>
              <w:t>32.218</w:t>
            </w:r>
          </w:p>
        </w:tc>
        <w:tc>
          <w:tcPr>
            <w:tcW w:w="1003" w:type="dxa"/>
          </w:tcPr>
          <w:p w14:paraId="315DFE35" w14:textId="77777777" w:rsidR="00AD4FA5" w:rsidRDefault="00000000">
            <w:pPr>
              <w:jc w:val="right"/>
            </w:pPr>
            <w:r>
              <w:rPr>
                <w:rFonts w:ascii="Arial" w:hAnsi="Arial"/>
                <w:sz w:val="18"/>
              </w:rPr>
              <w:t>3.35</w:t>
            </w:r>
          </w:p>
        </w:tc>
        <w:tc>
          <w:tcPr>
            <w:tcW w:w="1003" w:type="dxa"/>
          </w:tcPr>
          <w:p w14:paraId="7DEE1031" w14:textId="77777777" w:rsidR="00AD4FA5" w:rsidRDefault="00000000">
            <w:pPr>
              <w:jc w:val="right"/>
            </w:pPr>
            <w:r>
              <w:rPr>
                <w:rFonts w:ascii="Arial" w:hAnsi="Arial"/>
                <w:sz w:val="18"/>
              </w:rPr>
              <w:t>122</w:t>
            </w:r>
          </w:p>
        </w:tc>
      </w:tr>
      <w:tr w:rsidR="00AD4FA5" w14:paraId="5D1B5CF6" w14:textId="77777777">
        <w:trPr>
          <w:jc w:val="center"/>
        </w:trPr>
        <w:tc>
          <w:tcPr>
            <w:tcW w:w="1003" w:type="dxa"/>
            <w:shd w:val="clear" w:color="auto" w:fill="F2F6FC"/>
          </w:tcPr>
          <w:p w14:paraId="05F9BA2F" w14:textId="77777777" w:rsidR="00AD4FA5" w:rsidRDefault="00000000">
            <w:r>
              <w:rPr>
                <w:rFonts w:ascii="Arial" w:hAnsi="Arial"/>
                <w:sz w:val="18"/>
              </w:rPr>
              <w:t>Transportation - Road</w:t>
            </w:r>
          </w:p>
        </w:tc>
        <w:tc>
          <w:tcPr>
            <w:tcW w:w="1003" w:type="dxa"/>
            <w:shd w:val="clear" w:color="auto" w:fill="F2F6FC"/>
          </w:tcPr>
          <w:p w14:paraId="58684E60" w14:textId="77777777" w:rsidR="00AD4FA5" w:rsidRDefault="00000000">
            <w:pPr>
              <w:jc w:val="right"/>
            </w:pPr>
            <w:r>
              <w:rPr>
                <w:rFonts w:ascii="Arial" w:hAnsi="Arial"/>
                <w:sz w:val="18"/>
              </w:rPr>
              <w:t>155.55</w:t>
            </w:r>
          </w:p>
        </w:tc>
        <w:tc>
          <w:tcPr>
            <w:tcW w:w="1003" w:type="dxa"/>
            <w:shd w:val="clear" w:color="auto" w:fill="F2F6FC"/>
          </w:tcPr>
          <w:p w14:paraId="3493A6A5" w14:textId="77777777" w:rsidR="00AD4FA5" w:rsidRDefault="00000000">
            <w:pPr>
              <w:jc w:val="right"/>
            </w:pPr>
            <w:r>
              <w:rPr>
                <w:rFonts w:ascii="Arial" w:hAnsi="Arial"/>
                <w:sz w:val="18"/>
              </w:rPr>
              <w:t>10.09%</w:t>
            </w:r>
          </w:p>
        </w:tc>
        <w:tc>
          <w:tcPr>
            <w:tcW w:w="1003" w:type="dxa"/>
            <w:shd w:val="clear" w:color="auto" w:fill="F2F6FC"/>
          </w:tcPr>
          <w:p w14:paraId="1F6CE5C1" w14:textId="77777777" w:rsidR="00AD4FA5" w:rsidRDefault="00000000">
            <w:pPr>
              <w:jc w:val="right"/>
            </w:pPr>
            <w:r>
              <w:rPr>
                <w:rFonts w:ascii="Arial" w:hAnsi="Arial"/>
                <w:sz w:val="18"/>
              </w:rPr>
              <w:t>1,227,019.62</w:t>
            </w:r>
          </w:p>
        </w:tc>
        <w:tc>
          <w:tcPr>
            <w:tcW w:w="1003" w:type="dxa"/>
            <w:shd w:val="clear" w:color="auto" w:fill="F2F6FC"/>
          </w:tcPr>
          <w:p w14:paraId="2FB6E07A" w14:textId="77777777" w:rsidR="00AD4FA5" w:rsidRDefault="00000000">
            <w:pPr>
              <w:jc w:val="right"/>
            </w:pPr>
            <w:r>
              <w:rPr>
                <w:rFonts w:ascii="Arial" w:hAnsi="Arial"/>
                <w:sz w:val="18"/>
              </w:rPr>
              <w:t>864,356.23</w:t>
            </w:r>
          </w:p>
        </w:tc>
        <w:tc>
          <w:tcPr>
            <w:tcW w:w="1003" w:type="dxa"/>
            <w:shd w:val="clear" w:color="auto" w:fill="F2F6FC"/>
          </w:tcPr>
          <w:p w14:paraId="15CE671D" w14:textId="77777777" w:rsidR="00AD4FA5" w:rsidRDefault="00000000">
            <w:pPr>
              <w:jc w:val="right"/>
            </w:pPr>
            <w:r>
              <w:rPr>
                <w:rFonts w:ascii="Arial" w:hAnsi="Arial"/>
                <w:sz w:val="18"/>
              </w:rPr>
              <w:t>5.58%</w:t>
            </w:r>
          </w:p>
        </w:tc>
        <w:tc>
          <w:tcPr>
            <w:tcW w:w="1003" w:type="dxa"/>
            <w:shd w:val="clear" w:color="auto" w:fill="F2F6FC"/>
          </w:tcPr>
          <w:p w14:paraId="2A567F41" w14:textId="77777777" w:rsidR="00AD4FA5" w:rsidRDefault="00000000">
            <w:pPr>
              <w:jc w:val="right"/>
            </w:pPr>
            <w:r>
              <w:rPr>
                <w:rFonts w:ascii="Arial" w:hAnsi="Arial"/>
                <w:sz w:val="18"/>
              </w:rPr>
              <w:t>7.888</w:t>
            </w:r>
          </w:p>
        </w:tc>
        <w:tc>
          <w:tcPr>
            <w:tcW w:w="1003" w:type="dxa"/>
            <w:shd w:val="clear" w:color="auto" w:fill="F2F6FC"/>
          </w:tcPr>
          <w:p w14:paraId="535CB189" w14:textId="77777777" w:rsidR="00AD4FA5" w:rsidRDefault="00000000">
            <w:pPr>
              <w:jc w:val="right"/>
            </w:pPr>
            <w:r>
              <w:rPr>
                <w:rFonts w:ascii="Arial" w:hAnsi="Arial"/>
                <w:sz w:val="18"/>
              </w:rPr>
              <w:t>3.36</w:t>
            </w:r>
          </w:p>
        </w:tc>
        <w:tc>
          <w:tcPr>
            <w:tcW w:w="1003" w:type="dxa"/>
            <w:shd w:val="clear" w:color="auto" w:fill="F2F6FC"/>
          </w:tcPr>
          <w:p w14:paraId="2613B534" w14:textId="77777777" w:rsidR="00AD4FA5" w:rsidRDefault="00000000">
            <w:pPr>
              <w:jc w:val="right"/>
            </w:pPr>
            <w:r>
              <w:rPr>
                <w:rFonts w:ascii="Arial" w:hAnsi="Arial"/>
                <w:sz w:val="18"/>
              </w:rPr>
              <w:t>189</w:t>
            </w:r>
          </w:p>
        </w:tc>
      </w:tr>
      <w:tr w:rsidR="00AD4FA5" w14:paraId="380697A2" w14:textId="77777777">
        <w:trPr>
          <w:jc w:val="center"/>
        </w:trPr>
        <w:tc>
          <w:tcPr>
            <w:tcW w:w="1003" w:type="dxa"/>
          </w:tcPr>
          <w:p w14:paraId="7DCA37BC" w14:textId="77777777" w:rsidR="00AD4FA5" w:rsidRDefault="00000000">
            <w:r>
              <w:rPr>
                <w:rFonts w:ascii="Arial" w:hAnsi="Arial"/>
                <w:sz w:val="18"/>
              </w:rPr>
              <w:t>Manufacturing - Food &amp; Beverage</w:t>
            </w:r>
          </w:p>
        </w:tc>
        <w:tc>
          <w:tcPr>
            <w:tcW w:w="1003" w:type="dxa"/>
          </w:tcPr>
          <w:p w14:paraId="51C9167D" w14:textId="77777777" w:rsidR="00AD4FA5" w:rsidRDefault="00000000">
            <w:pPr>
              <w:jc w:val="right"/>
            </w:pPr>
            <w:r>
              <w:rPr>
                <w:rFonts w:ascii="Arial" w:hAnsi="Arial"/>
                <w:sz w:val="18"/>
              </w:rPr>
              <w:t>169.14</w:t>
            </w:r>
          </w:p>
        </w:tc>
        <w:tc>
          <w:tcPr>
            <w:tcW w:w="1003" w:type="dxa"/>
          </w:tcPr>
          <w:p w14:paraId="2A70A888" w14:textId="77777777" w:rsidR="00AD4FA5" w:rsidRDefault="00000000">
            <w:pPr>
              <w:jc w:val="right"/>
            </w:pPr>
            <w:r>
              <w:rPr>
                <w:rFonts w:ascii="Arial" w:hAnsi="Arial"/>
                <w:sz w:val="18"/>
              </w:rPr>
              <w:t>10.97%</w:t>
            </w:r>
          </w:p>
        </w:tc>
        <w:tc>
          <w:tcPr>
            <w:tcW w:w="1003" w:type="dxa"/>
          </w:tcPr>
          <w:p w14:paraId="3EFE2B32" w14:textId="77777777" w:rsidR="00AD4FA5" w:rsidRDefault="00000000">
            <w:pPr>
              <w:jc w:val="right"/>
            </w:pPr>
            <w:r>
              <w:rPr>
                <w:rFonts w:ascii="Arial" w:hAnsi="Arial"/>
                <w:sz w:val="18"/>
              </w:rPr>
              <w:t>936,111.21</w:t>
            </w:r>
          </w:p>
        </w:tc>
        <w:tc>
          <w:tcPr>
            <w:tcW w:w="1003" w:type="dxa"/>
          </w:tcPr>
          <w:p w14:paraId="37CBE313" w14:textId="77777777" w:rsidR="00AD4FA5" w:rsidRDefault="00000000">
            <w:pPr>
              <w:jc w:val="right"/>
            </w:pPr>
            <w:r>
              <w:rPr>
                <w:rFonts w:ascii="Arial" w:hAnsi="Arial"/>
                <w:sz w:val="18"/>
              </w:rPr>
              <w:t>653,413.56</w:t>
            </w:r>
          </w:p>
        </w:tc>
        <w:tc>
          <w:tcPr>
            <w:tcW w:w="1003" w:type="dxa"/>
          </w:tcPr>
          <w:p w14:paraId="23D31570" w14:textId="77777777" w:rsidR="00AD4FA5" w:rsidRDefault="00000000">
            <w:pPr>
              <w:jc w:val="right"/>
            </w:pPr>
            <w:r>
              <w:rPr>
                <w:rFonts w:ascii="Arial" w:hAnsi="Arial"/>
                <w:sz w:val="18"/>
              </w:rPr>
              <w:t>4.26%</w:t>
            </w:r>
          </w:p>
        </w:tc>
        <w:tc>
          <w:tcPr>
            <w:tcW w:w="1003" w:type="dxa"/>
          </w:tcPr>
          <w:p w14:paraId="73EA32BD" w14:textId="77777777" w:rsidR="00AD4FA5" w:rsidRDefault="00000000">
            <w:pPr>
              <w:jc w:val="right"/>
            </w:pPr>
            <w:r>
              <w:rPr>
                <w:rFonts w:ascii="Arial" w:hAnsi="Arial"/>
                <w:sz w:val="18"/>
              </w:rPr>
              <w:t>5.535</w:t>
            </w:r>
          </w:p>
        </w:tc>
        <w:tc>
          <w:tcPr>
            <w:tcW w:w="1003" w:type="dxa"/>
          </w:tcPr>
          <w:p w14:paraId="7AA980AE" w14:textId="77777777" w:rsidR="00AD4FA5" w:rsidRDefault="00000000">
            <w:pPr>
              <w:jc w:val="right"/>
            </w:pPr>
            <w:r>
              <w:rPr>
                <w:rFonts w:ascii="Arial" w:hAnsi="Arial"/>
                <w:sz w:val="18"/>
              </w:rPr>
              <w:t>3.35</w:t>
            </w:r>
          </w:p>
        </w:tc>
        <w:tc>
          <w:tcPr>
            <w:tcW w:w="1003" w:type="dxa"/>
          </w:tcPr>
          <w:p w14:paraId="53BA9583" w14:textId="77777777" w:rsidR="00AD4FA5" w:rsidRDefault="00000000">
            <w:pPr>
              <w:jc w:val="right"/>
            </w:pPr>
            <w:r>
              <w:rPr>
                <w:rFonts w:ascii="Arial" w:hAnsi="Arial"/>
                <w:sz w:val="18"/>
              </w:rPr>
              <w:t>206</w:t>
            </w:r>
          </w:p>
        </w:tc>
      </w:tr>
      <w:tr w:rsidR="00AD4FA5" w14:paraId="1A740AA4" w14:textId="77777777">
        <w:trPr>
          <w:jc w:val="center"/>
        </w:trPr>
        <w:tc>
          <w:tcPr>
            <w:tcW w:w="1003" w:type="dxa"/>
            <w:shd w:val="clear" w:color="auto" w:fill="F2F6FC"/>
          </w:tcPr>
          <w:p w14:paraId="6FF401E8" w14:textId="77777777" w:rsidR="00AD4FA5" w:rsidRDefault="00000000">
            <w:r>
              <w:rPr>
                <w:rFonts w:ascii="Arial" w:hAnsi="Arial"/>
                <w:sz w:val="18"/>
              </w:rPr>
              <w:t>Agriculture</w:t>
            </w:r>
          </w:p>
        </w:tc>
        <w:tc>
          <w:tcPr>
            <w:tcW w:w="1003" w:type="dxa"/>
            <w:shd w:val="clear" w:color="auto" w:fill="F2F6FC"/>
          </w:tcPr>
          <w:p w14:paraId="7EFA1C3C" w14:textId="77777777" w:rsidR="00AD4FA5" w:rsidRDefault="00000000">
            <w:pPr>
              <w:jc w:val="right"/>
            </w:pPr>
            <w:r>
              <w:rPr>
                <w:rFonts w:ascii="Arial" w:hAnsi="Arial"/>
                <w:sz w:val="18"/>
              </w:rPr>
              <w:t>118.90</w:t>
            </w:r>
          </w:p>
        </w:tc>
        <w:tc>
          <w:tcPr>
            <w:tcW w:w="1003" w:type="dxa"/>
            <w:shd w:val="clear" w:color="auto" w:fill="F2F6FC"/>
          </w:tcPr>
          <w:p w14:paraId="5C1A2CD8" w14:textId="77777777" w:rsidR="00AD4FA5" w:rsidRDefault="00000000">
            <w:pPr>
              <w:jc w:val="right"/>
            </w:pPr>
            <w:r>
              <w:rPr>
                <w:rFonts w:ascii="Arial" w:hAnsi="Arial"/>
                <w:sz w:val="18"/>
              </w:rPr>
              <w:t>7.71%</w:t>
            </w:r>
          </w:p>
        </w:tc>
        <w:tc>
          <w:tcPr>
            <w:tcW w:w="1003" w:type="dxa"/>
            <w:shd w:val="clear" w:color="auto" w:fill="F2F6FC"/>
          </w:tcPr>
          <w:p w14:paraId="73374ED4" w14:textId="77777777" w:rsidR="00AD4FA5" w:rsidRDefault="00000000">
            <w:pPr>
              <w:jc w:val="right"/>
            </w:pPr>
            <w:r>
              <w:rPr>
                <w:rFonts w:ascii="Arial" w:hAnsi="Arial"/>
                <w:sz w:val="18"/>
              </w:rPr>
              <w:t>288,493.25</w:t>
            </w:r>
          </w:p>
        </w:tc>
        <w:tc>
          <w:tcPr>
            <w:tcW w:w="1003" w:type="dxa"/>
            <w:shd w:val="clear" w:color="auto" w:fill="F2F6FC"/>
          </w:tcPr>
          <w:p w14:paraId="2BD81E97" w14:textId="77777777" w:rsidR="00AD4FA5" w:rsidRDefault="00000000">
            <w:pPr>
              <w:jc w:val="right"/>
            </w:pPr>
            <w:r>
              <w:rPr>
                <w:rFonts w:ascii="Arial" w:hAnsi="Arial"/>
                <w:sz w:val="18"/>
              </w:rPr>
              <w:t>183,548.39</w:t>
            </w:r>
          </w:p>
        </w:tc>
        <w:tc>
          <w:tcPr>
            <w:tcW w:w="1003" w:type="dxa"/>
            <w:shd w:val="clear" w:color="auto" w:fill="F2F6FC"/>
          </w:tcPr>
          <w:p w14:paraId="1D1A5F33" w14:textId="77777777" w:rsidR="00AD4FA5" w:rsidRDefault="00000000">
            <w:pPr>
              <w:jc w:val="right"/>
            </w:pPr>
            <w:r>
              <w:rPr>
                <w:rFonts w:ascii="Arial" w:hAnsi="Arial"/>
                <w:sz w:val="18"/>
              </w:rPr>
              <w:t>1.31%</w:t>
            </w:r>
          </w:p>
        </w:tc>
        <w:tc>
          <w:tcPr>
            <w:tcW w:w="1003" w:type="dxa"/>
            <w:shd w:val="clear" w:color="auto" w:fill="F2F6FC"/>
          </w:tcPr>
          <w:p w14:paraId="17C2E0ED" w14:textId="77777777" w:rsidR="00AD4FA5" w:rsidRDefault="00000000">
            <w:pPr>
              <w:jc w:val="right"/>
            </w:pPr>
            <w:r>
              <w:rPr>
                <w:rFonts w:ascii="Arial" w:hAnsi="Arial"/>
                <w:sz w:val="18"/>
              </w:rPr>
              <w:t>2.426</w:t>
            </w:r>
          </w:p>
        </w:tc>
        <w:tc>
          <w:tcPr>
            <w:tcW w:w="1003" w:type="dxa"/>
            <w:shd w:val="clear" w:color="auto" w:fill="F2F6FC"/>
          </w:tcPr>
          <w:p w14:paraId="2A3B9CD2" w14:textId="77777777" w:rsidR="00AD4FA5" w:rsidRDefault="00000000">
            <w:pPr>
              <w:jc w:val="right"/>
            </w:pPr>
            <w:r>
              <w:rPr>
                <w:rFonts w:ascii="Arial" w:hAnsi="Arial"/>
                <w:sz w:val="18"/>
              </w:rPr>
              <w:t>3.41</w:t>
            </w:r>
          </w:p>
        </w:tc>
        <w:tc>
          <w:tcPr>
            <w:tcW w:w="1003" w:type="dxa"/>
            <w:shd w:val="clear" w:color="auto" w:fill="F2F6FC"/>
          </w:tcPr>
          <w:p w14:paraId="4BFBEB05" w14:textId="77777777" w:rsidR="00AD4FA5" w:rsidRDefault="00000000">
            <w:pPr>
              <w:jc w:val="right"/>
            </w:pPr>
            <w:r>
              <w:rPr>
                <w:rFonts w:ascii="Arial" w:hAnsi="Arial"/>
                <w:sz w:val="18"/>
              </w:rPr>
              <w:t>163</w:t>
            </w:r>
          </w:p>
        </w:tc>
      </w:tr>
      <w:tr w:rsidR="00AD4FA5" w14:paraId="0710C850" w14:textId="77777777">
        <w:trPr>
          <w:jc w:val="center"/>
        </w:trPr>
        <w:tc>
          <w:tcPr>
            <w:tcW w:w="1003" w:type="dxa"/>
          </w:tcPr>
          <w:p w14:paraId="70C8F7AA" w14:textId="77777777" w:rsidR="00AD4FA5" w:rsidRDefault="00000000">
            <w:r>
              <w:rPr>
                <w:rFonts w:ascii="Arial" w:hAnsi="Arial"/>
                <w:sz w:val="18"/>
              </w:rPr>
              <w:t>Real Estate - Commercial</w:t>
            </w:r>
          </w:p>
        </w:tc>
        <w:tc>
          <w:tcPr>
            <w:tcW w:w="1003" w:type="dxa"/>
          </w:tcPr>
          <w:p w14:paraId="68D21689" w14:textId="77777777" w:rsidR="00AD4FA5" w:rsidRDefault="00000000">
            <w:pPr>
              <w:jc w:val="right"/>
            </w:pPr>
            <w:r>
              <w:rPr>
                <w:rFonts w:ascii="Arial" w:hAnsi="Arial"/>
                <w:sz w:val="18"/>
              </w:rPr>
              <w:t>250.74</w:t>
            </w:r>
          </w:p>
        </w:tc>
        <w:tc>
          <w:tcPr>
            <w:tcW w:w="1003" w:type="dxa"/>
          </w:tcPr>
          <w:p w14:paraId="5EB7879E" w14:textId="77777777" w:rsidR="00AD4FA5" w:rsidRDefault="00000000">
            <w:pPr>
              <w:jc w:val="right"/>
            </w:pPr>
            <w:r>
              <w:rPr>
                <w:rFonts w:ascii="Arial" w:hAnsi="Arial"/>
                <w:sz w:val="18"/>
              </w:rPr>
              <w:t>16.27%</w:t>
            </w:r>
          </w:p>
        </w:tc>
        <w:tc>
          <w:tcPr>
            <w:tcW w:w="1003" w:type="dxa"/>
          </w:tcPr>
          <w:p w14:paraId="41DAB049" w14:textId="77777777" w:rsidR="00AD4FA5" w:rsidRDefault="00000000">
            <w:pPr>
              <w:jc w:val="right"/>
            </w:pPr>
            <w:r>
              <w:rPr>
                <w:rFonts w:ascii="Arial" w:hAnsi="Arial"/>
                <w:sz w:val="18"/>
              </w:rPr>
              <w:t>231,235.20</w:t>
            </w:r>
          </w:p>
        </w:tc>
        <w:tc>
          <w:tcPr>
            <w:tcW w:w="1003" w:type="dxa"/>
          </w:tcPr>
          <w:p w14:paraId="7DA9ABF8" w14:textId="77777777" w:rsidR="00AD4FA5" w:rsidRDefault="00000000">
            <w:pPr>
              <w:jc w:val="right"/>
            </w:pPr>
            <w:r>
              <w:rPr>
                <w:rFonts w:ascii="Arial" w:hAnsi="Arial"/>
                <w:sz w:val="18"/>
              </w:rPr>
              <w:t>158,419.07</w:t>
            </w:r>
          </w:p>
        </w:tc>
        <w:tc>
          <w:tcPr>
            <w:tcW w:w="1003" w:type="dxa"/>
          </w:tcPr>
          <w:p w14:paraId="713745EC" w14:textId="77777777" w:rsidR="00AD4FA5" w:rsidRDefault="00000000">
            <w:pPr>
              <w:jc w:val="right"/>
            </w:pPr>
            <w:r>
              <w:rPr>
                <w:rFonts w:ascii="Arial" w:hAnsi="Arial"/>
                <w:sz w:val="18"/>
              </w:rPr>
              <w:t>1.05%</w:t>
            </w:r>
          </w:p>
        </w:tc>
        <w:tc>
          <w:tcPr>
            <w:tcW w:w="1003" w:type="dxa"/>
          </w:tcPr>
          <w:p w14:paraId="70826040" w14:textId="77777777" w:rsidR="00AD4FA5" w:rsidRDefault="00000000">
            <w:pPr>
              <w:jc w:val="right"/>
            </w:pPr>
            <w:r>
              <w:rPr>
                <w:rFonts w:ascii="Arial" w:hAnsi="Arial"/>
                <w:sz w:val="18"/>
              </w:rPr>
              <w:t>0.922</w:t>
            </w:r>
          </w:p>
        </w:tc>
        <w:tc>
          <w:tcPr>
            <w:tcW w:w="1003" w:type="dxa"/>
          </w:tcPr>
          <w:p w14:paraId="54B35848" w14:textId="77777777" w:rsidR="00AD4FA5" w:rsidRDefault="00000000">
            <w:pPr>
              <w:jc w:val="right"/>
            </w:pPr>
            <w:r>
              <w:rPr>
                <w:rFonts w:ascii="Arial" w:hAnsi="Arial"/>
                <w:sz w:val="18"/>
              </w:rPr>
              <w:t>3.27</w:t>
            </w:r>
          </w:p>
        </w:tc>
        <w:tc>
          <w:tcPr>
            <w:tcW w:w="1003" w:type="dxa"/>
          </w:tcPr>
          <w:p w14:paraId="7F4EA4AF" w14:textId="77777777" w:rsidR="00AD4FA5" w:rsidRDefault="00000000">
            <w:pPr>
              <w:jc w:val="right"/>
            </w:pPr>
            <w:r>
              <w:rPr>
                <w:rFonts w:ascii="Arial" w:hAnsi="Arial"/>
                <w:sz w:val="18"/>
              </w:rPr>
              <w:t>290</w:t>
            </w:r>
          </w:p>
        </w:tc>
      </w:tr>
      <w:tr w:rsidR="00AD4FA5" w14:paraId="2D6017B9" w14:textId="77777777">
        <w:trPr>
          <w:jc w:val="center"/>
        </w:trPr>
        <w:tc>
          <w:tcPr>
            <w:tcW w:w="1003" w:type="dxa"/>
            <w:shd w:val="clear" w:color="auto" w:fill="F2F6FC"/>
          </w:tcPr>
          <w:p w14:paraId="29E1468F" w14:textId="77777777" w:rsidR="00AD4FA5" w:rsidRDefault="00000000">
            <w:r>
              <w:rPr>
                <w:rFonts w:ascii="Arial" w:hAnsi="Arial"/>
                <w:sz w:val="18"/>
              </w:rPr>
              <w:t>Retail Trade</w:t>
            </w:r>
          </w:p>
        </w:tc>
        <w:tc>
          <w:tcPr>
            <w:tcW w:w="1003" w:type="dxa"/>
            <w:shd w:val="clear" w:color="auto" w:fill="F2F6FC"/>
          </w:tcPr>
          <w:p w14:paraId="425C96D8" w14:textId="77777777" w:rsidR="00AD4FA5" w:rsidRDefault="00000000">
            <w:pPr>
              <w:jc w:val="right"/>
            </w:pPr>
            <w:r>
              <w:rPr>
                <w:rFonts w:ascii="Arial" w:hAnsi="Arial"/>
                <w:sz w:val="18"/>
              </w:rPr>
              <w:t>152.84</w:t>
            </w:r>
          </w:p>
        </w:tc>
        <w:tc>
          <w:tcPr>
            <w:tcW w:w="1003" w:type="dxa"/>
            <w:shd w:val="clear" w:color="auto" w:fill="F2F6FC"/>
          </w:tcPr>
          <w:p w14:paraId="7513AD77" w14:textId="77777777" w:rsidR="00AD4FA5" w:rsidRDefault="00000000">
            <w:pPr>
              <w:jc w:val="right"/>
            </w:pPr>
            <w:r>
              <w:rPr>
                <w:rFonts w:ascii="Arial" w:hAnsi="Arial"/>
                <w:sz w:val="18"/>
              </w:rPr>
              <w:t>9.92%</w:t>
            </w:r>
          </w:p>
        </w:tc>
        <w:tc>
          <w:tcPr>
            <w:tcW w:w="1003" w:type="dxa"/>
            <w:shd w:val="clear" w:color="auto" w:fill="F2F6FC"/>
          </w:tcPr>
          <w:p w14:paraId="0EF295A3" w14:textId="77777777" w:rsidR="00AD4FA5" w:rsidRDefault="00000000">
            <w:pPr>
              <w:jc w:val="right"/>
            </w:pPr>
            <w:r>
              <w:rPr>
                <w:rFonts w:ascii="Arial" w:hAnsi="Arial"/>
                <w:sz w:val="18"/>
              </w:rPr>
              <w:t>226,340.67</w:t>
            </w:r>
          </w:p>
        </w:tc>
        <w:tc>
          <w:tcPr>
            <w:tcW w:w="1003" w:type="dxa"/>
            <w:shd w:val="clear" w:color="auto" w:fill="F2F6FC"/>
          </w:tcPr>
          <w:p w14:paraId="0B6334CE" w14:textId="77777777" w:rsidR="00AD4FA5" w:rsidRDefault="00000000">
            <w:pPr>
              <w:jc w:val="right"/>
            </w:pPr>
            <w:r>
              <w:rPr>
                <w:rFonts w:ascii="Arial" w:hAnsi="Arial"/>
                <w:sz w:val="18"/>
              </w:rPr>
              <w:t>140,812.97</w:t>
            </w:r>
          </w:p>
        </w:tc>
        <w:tc>
          <w:tcPr>
            <w:tcW w:w="1003" w:type="dxa"/>
            <w:shd w:val="clear" w:color="auto" w:fill="F2F6FC"/>
          </w:tcPr>
          <w:p w14:paraId="77ED8B37" w14:textId="77777777" w:rsidR="00AD4FA5" w:rsidRDefault="00000000">
            <w:pPr>
              <w:jc w:val="right"/>
            </w:pPr>
            <w:r>
              <w:rPr>
                <w:rFonts w:ascii="Arial" w:hAnsi="Arial"/>
                <w:sz w:val="18"/>
              </w:rPr>
              <w:t>1.03%</w:t>
            </w:r>
          </w:p>
        </w:tc>
        <w:tc>
          <w:tcPr>
            <w:tcW w:w="1003" w:type="dxa"/>
            <w:shd w:val="clear" w:color="auto" w:fill="F2F6FC"/>
          </w:tcPr>
          <w:p w14:paraId="6F02A8A6" w14:textId="77777777" w:rsidR="00AD4FA5" w:rsidRDefault="00000000">
            <w:pPr>
              <w:jc w:val="right"/>
            </w:pPr>
            <w:r>
              <w:rPr>
                <w:rFonts w:ascii="Arial" w:hAnsi="Arial"/>
                <w:sz w:val="18"/>
              </w:rPr>
              <w:t>1.481</w:t>
            </w:r>
          </w:p>
        </w:tc>
        <w:tc>
          <w:tcPr>
            <w:tcW w:w="1003" w:type="dxa"/>
            <w:shd w:val="clear" w:color="auto" w:fill="F2F6FC"/>
          </w:tcPr>
          <w:p w14:paraId="540CE941" w14:textId="77777777" w:rsidR="00AD4FA5" w:rsidRDefault="00000000">
            <w:pPr>
              <w:jc w:val="right"/>
            </w:pPr>
            <w:r>
              <w:rPr>
                <w:rFonts w:ascii="Arial" w:hAnsi="Arial"/>
                <w:sz w:val="18"/>
              </w:rPr>
              <w:t>3.21</w:t>
            </w:r>
          </w:p>
        </w:tc>
        <w:tc>
          <w:tcPr>
            <w:tcW w:w="1003" w:type="dxa"/>
            <w:shd w:val="clear" w:color="auto" w:fill="F2F6FC"/>
          </w:tcPr>
          <w:p w14:paraId="0E5D53AF" w14:textId="77777777" w:rsidR="00AD4FA5" w:rsidRDefault="00000000">
            <w:pPr>
              <w:jc w:val="right"/>
            </w:pPr>
            <w:r>
              <w:rPr>
                <w:rFonts w:ascii="Arial" w:hAnsi="Arial"/>
                <w:sz w:val="18"/>
              </w:rPr>
              <w:t>209</w:t>
            </w:r>
          </w:p>
        </w:tc>
      </w:tr>
      <w:tr w:rsidR="00AD4FA5" w14:paraId="61C7CBA3" w14:textId="77777777">
        <w:trPr>
          <w:jc w:val="center"/>
        </w:trPr>
        <w:tc>
          <w:tcPr>
            <w:tcW w:w="1003" w:type="dxa"/>
          </w:tcPr>
          <w:p w14:paraId="5A7AE20E" w14:textId="77777777" w:rsidR="00AD4FA5" w:rsidRDefault="00000000">
            <w:r>
              <w:rPr>
                <w:rFonts w:ascii="Arial" w:hAnsi="Arial"/>
                <w:sz w:val="18"/>
              </w:rPr>
              <w:t>Real Estate - Residential</w:t>
            </w:r>
          </w:p>
        </w:tc>
        <w:tc>
          <w:tcPr>
            <w:tcW w:w="1003" w:type="dxa"/>
          </w:tcPr>
          <w:p w14:paraId="373F28B9" w14:textId="77777777" w:rsidR="00AD4FA5" w:rsidRDefault="00000000">
            <w:pPr>
              <w:jc w:val="right"/>
            </w:pPr>
            <w:r>
              <w:rPr>
                <w:rFonts w:ascii="Arial" w:hAnsi="Arial"/>
                <w:sz w:val="18"/>
              </w:rPr>
              <w:t>168.42</w:t>
            </w:r>
          </w:p>
        </w:tc>
        <w:tc>
          <w:tcPr>
            <w:tcW w:w="1003" w:type="dxa"/>
          </w:tcPr>
          <w:p w14:paraId="0D0A21CB" w14:textId="77777777" w:rsidR="00AD4FA5" w:rsidRDefault="00000000">
            <w:pPr>
              <w:jc w:val="right"/>
            </w:pPr>
            <w:r>
              <w:rPr>
                <w:rFonts w:ascii="Arial" w:hAnsi="Arial"/>
                <w:sz w:val="18"/>
              </w:rPr>
              <w:t>10.93%</w:t>
            </w:r>
          </w:p>
        </w:tc>
        <w:tc>
          <w:tcPr>
            <w:tcW w:w="1003" w:type="dxa"/>
          </w:tcPr>
          <w:p w14:paraId="58BF2164" w14:textId="77777777" w:rsidR="00AD4FA5" w:rsidRDefault="00000000">
            <w:pPr>
              <w:jc w:val="right"/>
            </w:pPr>
            <w:r>
              <w:rPr>
                <w:rFonts w:ascii="Arial" w:hAnsi="Arial"/>
                <w:sz w:val="18"/>
              </w:rPr>
              <w:t>107,465.43</w:t>
            </w:r>
          </w:p>
        </w:tc>
        <w:tc>
          <w:tcPr>
            <w:tcW w:w="1003" w:type="dxa"/>
          </w:tcPr>
          <w:p w14:paraId="3770DF75" w14:textId="77777777" w:rsidR="00AD4FA5" w:rsidRDefault="00000000">
            <w:pPr>
              <w:jc w:val="right"/>
            </w:pPr>
            <w:r>
              <w:rPr>
                <w:rFonts w:ascii="Arial" w:hAnsi="Arial"/>
                <w:sz w:val="18"/>
              </w:rPr>
              <w:t>79,158.87</w:t>
            </w:r>
          </w:p>
        </w:tc>
        <w:tc>
          <w:tcPr>
            <w:tcW w:w="1003" w:type="dxa"/>
          </w:tcPr>
          <w:p w14:paraId="00395516" w14:textId="77777777" w:rsidR="00AD4FA5" w:rsidRDefault="00000000">
            <w:pPr>
              <w:jc w:val="right"/>
            </w:pPr>
            <w:r>
              <w:rPr>
                <w:rFonts w:ascii="Arial" w:hAnsi="Arial"/>
                <w:sz w:val="18"/>
              </w:rPr>
              <w:t>0.49%</w:t>
            </w:r>
          </w:p>
        </w:tc>
        <w:tc>
          <w:tcPr>
            <w:tcW w:w="1003" w:type="dxa"/>
          </w:tcPr>
          <w:p w14:paraId="3281EEB5" w14:textId="77777777" w:rsidR="00AD4FA5" w:rsidRDefault="00000000">
            <w:pPr>
              <w:jc w:val="right"/>
            </w:pPr>
            <w:r>
              <w:rPr>
                <w:rFonts w:ascii="Arial" w:hAnsi="Arial"/>
                <w:sz w:val="18"/>
              </w:rPr>
              <w:t>0.638</w:t>
            </w:r>
          </w:p>
        </w:tc>
        <w:tc>
          <w:tcPr>
            <w:tcW w:w="1003" w:type="dxa"/>
          </w:tcPr>
          <w:p w14:paraId="3DAF54B2" w14:textId="77777777" w:rsidR="00AD4FA5" w:rsidRDefault="00000000">
            <w:pPr>
              <w:jc w:val="right"/>
            </w:pPr>
            <w:r>
              <w:rPr>
                <w:rFonts w:ascii="Arial" w:hAnsi="Arial"/>
                <w:sz w:val="18"/>
              </w:rPr>
              <w:t>3.32</w:t>
            </w:r>
          </w:p>
        </w:tc>
        <w:tc>
          <w:tcPr>
            <w:tcW w:w="1003" w:type="dxa"/>
          </w:tcPr>
          <w:p w14:paraId="0A5108B5" w14:textId="77777777" w:rsidR="00AD4FA5" w:rsidRDefault="00000000">
            <w:pPr>
              <w:jc w:val="right"/>
            </w:pPr>
            <w:r>
              <w:rPr>
                <w:rFonts w:ascii="Arial" w:hAnsi="Arial"/>
                <w:sz w:val="18"/>
              </w:rPr>
              <w:t>223</w:t>
            </w:r>
          </w:p>
        </w:tc>
      </w:tr>
      <w:tr w:rsidR="00AD4FA5" w14:paraId="6F3D3B61" w14:textId="77777777">
        <w:trPr>
          <w:jc w:val="center"/>
        </w:trPr>
        <w:tc>
          <w:tcPr>
            <w:tcW w:w="1003" w:type="dxa"/>
            <w:shd w:val="clear" w:color="auto" w:fill="F2F6FC"/>
          </w:tcPr>
          <w:p w14:paraId="48DC1BC8" w14:textId="77777777" w:rsidR="00AD4FA5" w:rsidRDefault="00000000">
            <w:r>
              <w:rPr>
                <w:rFonts w:ascii="Arial" w:hAnsi="Arial"/>
                <w:sz w:val="18"/>
              </w:rPr>
              <w:t>Financial Services</w:t>
            </w:r>
          </w:p>
        </w:tc>
        <w:tc>
          <w:tcPr>
            <w:tcW w:w="1003" w:type="dxa"/>
            <w:shd w:val="clear" w:color="auto" w:fill="F2F6FC"/>
          </w:tcPr>
          <w:p w14:paraId="3F22B341" w14:textId="77777777" w:rsidR="00AD4FA5" w:rsidRDefault="00000000">
            <w:pPr>
              <w:jc w:val="right"/>
            </w:pPr>
            <w:r>
              <w:rPr>
                <w:rFonts w:ascii="Arial" w:hAnsi="Arial"/>
                <w:sz w:val="18"/>
              </w:rPr>
              <w:t>206.62</w:t>
            </w:r>
          </w:p>
        </w:tc>
        <w:tc>
          <w:tcPr>
            <w:tcW w:w="1003" w:type="dxa"/>
            <w:shd w:val="clear" w:color="auto" w:fill="F2F6FC"/>
          </w:tcPr>
          <w:p w14:paraId="31439829" w14:textId="77777777" w:rsidR="00AD4FA5" w:rsidRDefault="00000000">
            <w:pPr>
              <w:jc w:val="right"/>
            </w:pPr>
            <w:r>
              <w:rPr>
                <w:rFonts w:ascii="Arial" w:hAnsi="Arial"/>
                <w:sz w:val="18"/>
              </w:rPr>
              <w:t>13.41%</w:t>
            </w:r>
          </w:p>
        </w:tc>
        <w:tc>
          <w:tcPr>
            <w:tcW w:w="1003" w:type="dxa"/>
            <w:shd w:val="clear" w:color="auto" w:fill="F2F6FC"/>
          </w:tcPr>
          <w:p w14:paraId="093124AE" w14:textId="77777777" w:rsidR="00AD4FA5" w:rsidRDefault="00000000">
            <w:pPr>
              <w:jc w:val="right"/>
            </w:pPr>
            <w:r>
              <w:rPr>
                <w:rFonts w:ascii="Arial" w:hAnsi="Arial"/>
                <w:sz w:val="18"/>
              </w:rPr>
              <w:t>73,693.74</w:t>
            </w:r>
          </w:p>
        </w:tc>
        <w:tc>
          <w:tcPr>
            <w:tcW w:w="1003" w:type="dxa"/>
            <w:shd w:val="clear" w:color="auto" w:fill="F2F6FC"/>
          </w:tcPr>
          <w:p w14:paraId="3D58DB23" w14:textId="77777777" w:rsidR="00AD4FA5" w:rsidRDefault="00000000">
            <w:pPr>
              <w:jc w:val="right"/>
            </w:pPr>
            <w:r>
              <w:rPr>
                <w:rFonts w:ascii="Arial" w:hAnsi="Arial"/>
                <w:sz w:val="18"/>
              </w:rPr>
              <w:t>49,718.26</w:t>
            </w:r>
          </w:p>
        </w:tc>
        <w:tc>
          <w:tcPr>
            <w:tcW w:w="1003" w:type="dxa"/>
            <w:shd w:val="clear" w:color="auto" w:fill="F2F6FC"/>
          </w:tcPr>
          <w:p w14:paraId="14DBA2D6" w14:textId="77777777" w:rsidR="00AD4FA5" w:rsidRDefault="00000000">
            <w:pPr>
              <w:jc w:val="right"/>
            </w:pPr>
            <w:r>
              <w:rPr>
                <w:rFonts w:ascii="Arial" w:hAnsi="Arial"/>
                <w:sz w:val="18"/>
              </w:rPr>
              <w:t>0.34%</w:t>
            </w:r>
          </w:p>
        </w:tc>
        <w:tc>
          <w:tcPr>
            <w:tcW w:w="1003" w:type="dxa"/>
            <w:shd w:val="clear" w:color="auto" w:fill="F2F6FC"/>
          </w:tcPr>
          <w:p w14:paraId="4902AC68" w14:textId="77777777" w:rsidR="00AD4FA5" w:rsidRDefault="00000000">
            <w:pPr>
              <w:jc w:val="right"/>
            </w:pPr>
            <w:r>
              <w:rPr>
                <w:rFonts w:ascii="Arial" w:hAnsi="Arial"/>
                <w:sz w:val="18"/>
              </w:rPr>
              <w:t>0.357</w:t>
            </w:r>
          </w:p>
        </w:tc>
        <w:tc>
          <w:tcPr>
            <w:tcW w:w="1003" w:type="dxa"/>
            <w:shd w:val="clear" w:color="auto" w:fill="F2F6FC"/>
          </w:tcPr>
          <w:p w14:paraId="069CE242" w14:textId="77777777" w:rsidR="00AD4FA5" w:rsidRDefault="00000000">
            <w:pPr>
              <w:jc w:val="right"/>
            </w:pPr>
            <w:r>
              <w:rPr>
                <w:rFonts w:ascii="Arial" w:hAnsi="Arial"/>
                <w:sz w:val="18"/>
              </w:rPr>
              <w:t>3.42</w:t>
            </w:r>
          </w:p>
        </w:tc>
        <w:tc>
          <w:tcPr>
            <w:tcW w:w="1003" w:type="dxa"/>
            <w:shd w:val="clear" w:color="auto" w:fill="F2F6FC"/>
          </w:tcPr>
          <w:p w14:paraId="4BA0B499" w14:textId="77777777" w:rsidR="00AD4FA5" w:rsidRDefault="00000000">
            <w:pPr>
              <w:jc w:val="right"/>
            </w:pPr>
            <w:r>
              <w:rPr>
                <w:rFonts w:ascii="Arial" w:hAnsi="Arial"/>
                <w:sz w:val="18"/>
              </w:rPr>
              <w:t>257</w:t>
            </w:r>
          </w:p>
        </w:tc>
      </w:tr>
      <w:tr w:rsidR="00AD4FA5" w14:paraId="4273E284" w14:textId="77777777">
        <w:trPr>
          <w:jc w:val="center"/>
        </w:trPr>
        <w:tc>
          <w:tcPr>
            <w:tcW w:w="1003" w:type="dxa"/>
          </w:tcPr>
          <w:p w14:paraId="1B1BE45D" w14:textId="77777777" w:rsidR="00AD4FA5" w:rsidRDefault="00000000">
            <w:r>
              <w:rPr>
                <w:rFonts w:ascii="Arial" w:hAnsi="Arial"/>
                <w:sz w:val="18"/>
              </w:rPr>
              <w:t>**Total Portfolio**</w:t>
            </w:r>
          </w:p>
        </w:tc>
        <w:tc>
          <w:tcPr>
            <w:tcW w:w="1003" w:type="dxa"/>
          </w:tcPr>
          <w:p w14:paraId="18147B76" w14:textId="77777777" w:rsidR="00AD4FA5" w:rsidRDefault="00000000">
            <w:r>
              <w:rPr>
                <w:rFonts w:ascii="Arial" w:hAnsi="Arial"/>
                <w:sz w:val="18"/>
              </w:rPr>
              <w:t>**1,541.18**</w:t>
            </w:r>
          </w:p>
        </w:tc>
        <w:tc>
          <w:tcPr>
            <w:tcW w:w="1003" w:type="dxa"/>
          </w:tcPr>
          <w:p w14:paraId="64D10FC4" w14:textId="77777777" w:rsidR="00AD4FA5" w:rsidRDefault="00000000">
            <w:r>
              <w:rPr>
                <w:rFonts w:ascii="Arial" w:hAnsi="Arial"/>
                <w:sz w:val="18"/>
              </w:rPr>
              <w:t>**100.00%**</w:t>
            </w:r>
          </w:p>
        </w:tc>
        <w:tc>
          <w:tcPr>
            <w:tcW w:w="1003" w:type="dxa"/>
          </w:tcPr>
          <w:p w14:paraId="4356D15B" w14:textId="77777777" w:rsidR="00AD4FA5" w:rsidRDefault="00000000">
            <w:r>
              <w:rPr>
                <w:rFonts w:ascii="Arial" w:hAnsi="Arial"/>
                <w:sz w:val="18"/>
              </w:rPr>
              <w:t>**21,976,797.30**</w:t>
            </w:r>
          </w:p>
        </w:tc>
        <w:tc>
          <w:tcPr>
            <w:tcW w:w="1003" w:type="dxa"/>
          </w:tcPr>
          <w:p w14:paraId="74AA7343" w14:textId="77777777" w:rsidR="00AD4FA5" w:rsidRDefault="00000000">
            <w:r>
              <w:rPr>
                <w:rFonts w:ascii="Arial" w:hAnsi="Arial"/>
                <w:sz w:val="18"/>
              </w:rPr>
              <w:t>**15,280,174.14**</w:t>
            </w:r>
          </w:p>
        </w:tc>
        <w:tc>
          <w:tcPr>
            <w:tcW w:w="1003" w:type="dxa"/>
          </w:tcPr>
          <w:p w14:paraId="4A14BE0F" w14:textId="77777777" w:rsidR="00AD4FA5" w:rsidRDefault="00000000">
            <w:r>
              <w:rPr>
                <w:rFonts w:ascii="Arial" w:hAnsi="Arial"/>
                <w:sz w:val="18"/>
              </w:rPr>
              <w:t>**100.00%**</w:t>
            </w:r>
          </w:p>
        </w:tc>
        <w:tc>
          <w:tcPr>
            <w:tcW w:w="1003" w:type="dxa"/>
          </w:tcPr>
          <w:p w14:paraId="18CC34DF" w14:textId="77777777" w:rsidR="00AD4FA5" w:rsidRDefault="00000000">
            <w:r>
              <w:rPr>
                <w:rFonts w:ascii="Arial" w:hAnsi="Arial"/>
                <w:sz w:val="18"/>
              </w:rPr>
              <w:t>**14.260**</w:t>
            </w:r>
          </w:p>
        </w:tc>
        <w:tc>
          <w:tcPr>
            <w:tcW w:w="1003" w:type="dxa"/>
          </w:tcPr>
          <w:p w14:paraId="6D15064E" w14:textId="77777777" w:rsidR="00AD4FA5" w:rsidRDefault="00000000">
            <w:r>
              <w:rPr>
                <w:rFonts w:ascii="Arial" w:hAnsi="Arial"/>
                <w:sz w:val="18"/>
              </w:rPr>
              <w:t>**3.36**</w:t>
            </w:r>
          </w:p>
        </w:tc>
        <w:tc>
          <w:tcPr>
            <w:tcW w:w="1003" w:type="dxa"/>
          </w:tcPr>
          <w:p w14:paraId="5A9FE07C" w14:textId="77777777" w:rsidR="00AD4FA5" w:rsidRDefault="00000000">
            <w:r>
              <w:rPr>
                <w:rFonts w:ascii="Arial" w:hAnsi="Arial"/>
                <w:sz w:val="18"/>
              </w:rPr>
              <w:t>**1,955**</w:t>
            </w:r>
          </w:p>
        </w:tc>
      </w:tr>
    </w:tbl>
    <w:p w14:paraId="72C5CA40" w14:textId="77777777" w:rsidR="00AD4FA5" w:rsidRDefault="00000000">
      <w:r>
        <w:rPr>
          <w:rFonts w:ascii="Arial" w:hAnsi="Arial"/>
          <w:i/>
          <w:sz w:val="16"/>
        </w:rPr>
        <w:t>Source: Source: Institution's PCAF calculation engine, reporting year 2024. Gross emissions represent total attributable emissions without data quality adjustment. Weighted emissions apply PCAF confidence factors (1.00 to 0.45) based on data source tier. Portfolio coverage: 100% of corporate and commercial lending book. Methodology: PCAF Global GHG Accounting Standard (2022). No external assurance obtained.</w:t>
      </w:r>
    </w:p>
    <w:p w14:paraId="28ECF376" w14:textId="77777777" w:rsidR="00AD4FA5" w:rsidRDefault="00AD4FA5"/>
    <w:p w14:paraId="2544B33C" w14:textId="77777777" w:rsidR="00AD4FA5" w:rsidRDefault="00000000">
      <w:r>
        <w:rPr>
          <w:rFonts w:ascii="Arial" w:hAnsi="Arial"/>
          <w:b/>
          <w:sz w:val="20"/>
        </w:rPr>
        <w:t>Table E1-6.2: PCAF Data Quality Score Distribution (Reporting Year 2024)</w:t>
      </w:r>
    </w:p>
    <w:tbl>
      <w:tblPr>
        <w:tblW w:w="0" w:type="auto"/>
        <w:jc w:val="center"/>
        <w:tblLook w:val="04A0" w:firstRow="1" w:lastRow="0" w:firstColumn="1" w:lastColumn="0" w:noHBand="0" w:noVBand="1"/>
      </w:tblPr>
      <w:tblGrid>
        <w:gridCol w:w="1806"/>
        <w:gridCol w:w="1806"/>
        <w:gridCol w:w="1806"/>
        <w:gridCol w:w="1806"/>
        <w:gridCol w:w="1806"/>
      </w:tblGrid>
      <w:tr w:rsidR="00AD4FA5" w14:paraId="2A8A263B" w14:textId="77777777">
        <w:trPr>
          <w:jc w:val="center"/>
        </w:trPr>
        <w:tc>
          <w:tcPr>
            <w:tcW w:w="1806" w:type="dxa"/>
            <w:shd w:val="clear" w:color="auto" w:fill="1B3A6B"/>
          </w:tcPr>
          <w:p w14:paraId="579CD592" w14:textId="77777777" w:rsidR="00AD4FA5" w:rsidRDefault="00000000">
            <w:r>
              <w:rPr>
                <w:rFonts w:ascii="Arial" w:hAnsi="Arial"/>
                <w:b/>
                <w:color w:val="FFFFFF"/>
                <w:sz w:val="18"/>
              </w:rPr>
              <w:t>PCAF Tier</w:t>
            </w:r>
          </w:p>
        </w:tc>
        <w:tc>
          <w:tcPr>
            <w:tcW w:w="1806" w:type="dxa"/>
            <w:shd w:val="clear" w:color="auto" w:fill="1B3A6B"/>
          </w:tcPr>
          <w:p w14:paraId="36BA1489" w14:textId="77777777" w:rsidR="00AD4FA5" w:rsidRDefault="00000000">
            <w:r>
              <w:rPr>
                <w:rFonts w:ascii="Arial" w:hAnsi="Arial"/>
                <w:b/>
                <w:color w:val="FFFFFF"/>
                <w:sz w:val="18"/>
              </w:rPr>
              <w:t>Data Source Description</w:t>
            </w:r>
          </w:p>
        </w:tc>
        <w:tc>
          <w:tcPr>
            <w:tcW w:w="1806" w:type="dxa"/>
            <w:shd w:val="clear" w:color="auto" w:fill="1B3A6B"/>
          </w:tcPr>
          <w:p w14:paraId="1BB2A516" w14:textId="77777777" w:rsidR="00AD4FA5" w:rsidRDefault="00000000">
            <w:r>
              <w:rPr>
                <w:rFonts w:ascii="Arial" w:hAnsi="Arial"/>
                <w:b/>
                <w:color w:val="FFFFFF"/>
                <w:sz w:val="18"/>
              </w:rPr>
              <w:t>Confidence Factor</w:t>
            </w:r>
          </w:p>
        </w:tc>
        <w:tc>
          <w:tcPr>
            <w:tcW w:w="1806" w:type="dxa"/>
            <w:shd w:val="clear" w:color="auto" w:fill="1B3A6B"/>
          </w:tcPr>
          <w:p w14:paraId="2F740440" w14:textId="77777777" w:rsidR="00AD4FA5" w:rsidRDefault="00000000">
            <w:r>
              <w:rPr>
                <w:rFonts w:ascii="Arial" w:hAnsi="Arial"/>
                <w:b/>
                <w:color w:val="FFFFFF"/>
                <w:sz w:val="18"/>
              </w:rPr>
              <w:t>% of Portfolio (by Value)</w:t>
            </w:r>
          </w:p>
        </w:tc>
        <w:tc>
          <w:tcPr>
            <w:tcW w:w="1806" w:type="dxa"/>
            <w:shd w:val="clear" w:color="auto" w:fill="1B3A6B"/>
          </w:tcPr>
          <w:p w14:paraId="10D3DB20" w14:textId="77777777" w:rsidR="00AD4FA5" w:rsidRDefault="00000000">
            <w:r>
              <w:rPr>
                <w:rFonts w:ascii="Arial" w:hAnsi="Arial"/>
                <w:b/>
                <w:color w:val="FFFFFF"/>
                <w:sz w:val="18"/>
              </w:rPr>
              <w:t>% of Emissions (Gross)</w:t>
            </w:r>
          </w:p>
        </w:tc>
      </w:tr>
      <w:tr w:rsidR="00AD4FA5" w14:paraId="5A5F5199" w14:textId="77777777">
        <w:trPr>
          <w:jc w:val="center"/>
        </w:trPr>
        <w:tc>
          <w:tcPr>
            <w:tcW w:w="1806" w:type="dxa"/>
          </w:tcPr>
          <w:p w14:paraId="10E9637A" w14:textId="77777777" w:rsidR="00AD4FA5" w:rsidRDefault="00000000">
            <w:r>
              <w:rPr>
                <w:rFonts w:ascii="Arial" w:hAnsi="Arial"/>
                <w:sz w:val="18"/>
              </w:rPr>
              <w:lastRenderedPageBreak/>
              <w:t>Tier 1</w:t>
            </w:r>
          </w:p>
        </w:tc>
        <w:tc>
          <w:tcPr>
            <w:tcW w:w="1806" w:type="dxa"/>
          </w:tcPr>
          <w:p w14:paraId="649A0214" w14:textId="77777777" w:rsidR="00AD4FA5" w:rsidRDefault="00000000">
            <w:r>
              <w:rPr>
                <w:rFonts w:ascii="Arial" w:hAnsi="Arial"/>
                <w:sz w:val="18"/>
              </w:rPr>
              <w:t>Verified emissions (CDP, assured reports)</w:t>
            </w:r>
          </w:p>
        </w:tc>
        <w:tc>
          <w:tcPr>
            <w:tcW w:w="1806" w:type="dxa"/>
          </w:tcPr>
          <w:p w14:paraId="034EB367" w14:textId="77777777" w:rsidR="00AD4FA5" w:rsidRDefault="00000000">
            <w:pPr>
              <w:jc w:val="right"/>
            </w:pPr>
            <w:r>
              <w:rPr>
                <w:rFonts w:ascii="Arial" w:hAnsi="Arial"/>
                <w:sz w:val="18"/>
              </w:rPr>
              <w:t>1.00</w:t>
            </w:r>
          </w:p>
        </w:tc>
        <w:tc>
          <w:tcPr>
            <w:tcW w:w="1806" w:type="dxa"/>
          </w:tcPr>
          <w:p w14:paraId="7D452CBD" w14:textId="77777777" w:rsidR="00AD4FA5" w:rsidRDefault="00000000">
            <w:r>
              <w:rPr>
                <w:rFonts w:ascii="Arial" w:hAnsi="Arial"/>
                <w:sz w:val="18"/>
              </w:rPr>
              <w:t>This data point is not yet captured in the institution's reporting system.</w:t>
            </w:r>
          </w:p>
        </w:tc>
        <w:tc>
          <w:tcPr>
            <w:tcW w:w="1806" w:type="dxa"/>
          </w:tcPr>
          <w:p w14:paraId="61D242F3" w14:textId="77777777" w:rsidR="00AD4FA5" w:rsidRDefault="00000000">
            <w:r>
              <w:rPr>
                <w:rFonts w:ascii="Arial" w:hAnsi="Arial"/>
                <w:sz w:val="18"/>
              </w:rPr>
              <w:t>This data point is not yet captured in the institution's reporting system.</w:t>
            </w:r>
          </w:p>
        </w:tc>
      </w:tr>
      <w:tr w:rsidR="00AD4FA5" w14:paraId="10448135" w14:textId="77777777">
        <w:trPr>
          <w:jc w:val="center"/>
        </w:trPr>
        <w:tc>
          <w:tcPr>
            <w:tcW w:w="1806" w:type="dxa"/>
            <w:shd w:val="clear" w:color="auto" w:fill="F2F6FC"/>
          </w:tcPr>
          <w:p w14:paraId="15CA34F3" w14:textId="77777777" w:rsidR="00AD4FA5" w:rsidRDefault="00000000">
            <w:r>
              <w:rPr>
                <w:rFonts w:ascii="Arial" w:hAnsi="Arial"/>
                <w:sz w:val="18"/>
              </w:rPr>
              <w:t>Tier 2</w:t>
            </w:r>
          </w:p>
        </w:tc>
        <w:tc>
          <w:tcPr>
            <w:tcW w:w="1806" w:type="dxa"/>
            <w:shd w:val="clear" w:color="auto" w:fill="F2F6FC"/>
          </w:tcPr>
          <w:p w14:paraId="095E0401" w14:textId="77777777" w:rsidR="00AD4FA5" w:rsidRDefault="00000000">
            <w:r>
              <w:rPr>
                <w:rFonts w:ascii="Arial" w:hAnsi="Arial"/>
                <w:sz w:val="18"/>
              </w:rPr>
              <w:t>Reported, unverified emissions</w:t>
            </w:r>
          </w:p>
        </w:tc>
        <w:tc>
          <w:tcPr>
            <w:tcW w:w="1806" w:type="dxa"/>
            <w:shd w:val="clear" w:color="auto" w:fill="F2F6FC"/>
          </w:tcPr>
          <w:p w14:paraId="76CC56E7" w14:textId="77777777" w:rsidR="00AD4FA5" w:rsidRDefault="00000000">
            <w:pPr>
              <w:jc w:val="right"/>
            </w:pPr>
            <w:r>
              <w:rPr>
                <w:rFonts w:ascii="Arial" w:hAnsi="Arial"/>
                <w:sz w:val="18"/>
              </w:rPr>
              <w:t>0.90</w:t>
            </w:r>
          </w:p>
        </w:tc>
        <w:tc>
          <w:tcPr>
            <w:tcW w:w="1806" w:type="dxa"/>
            <w:shd w:val="clear" w:color="auto" w:fill="F2F6FC"/>
          </w:tcPr>
          <w:p w14:paraId="182ED322" w14:textId="77777777" w:rsidR="00AD4FA5" w:rsidRDefault="00000000">
            <w:r>
              <w:rPr>
                <w:rFonts w:ascii="Arial" w:hAnsi="Arial"/>
                <w:sz w:val="18"/>
              </w:rPr>
              <w:t>This data point is not yet captured in the institution's reporting system.</w:t>
            </w:r>
          </w:p>
        </w:tc>
        <w:tc>
          <w:tcPr>
            <w:tcW w:w="1806" w:type="dxa"/>
            <w:shd w:val="clear" w:color="auto" w:fill="F2F6FC"/>
          </w:tcPr>
          <w:p w14:paraId="57667287" w14:textId="77777777" w:rsidR="00AD4FA5" w:rsidRDefault="00000000">
            <w:r>
              <w:rPr>
                <w:rFonts w:ascii="Arial" w:hAnsi="Arial"/>
                <w:sz w:val="18"/>
              </w:rPr>
              <w:t>This data point is not yet captured in the institution's reporting system.</w:t>
            </w:r>
          </w:p>
        </w:tc>
      </w:tr>
      <w:tr w:rsidR="00AD4FA5" w14:paraId="5488511A" w14:textId="77777777">
        <w:trPr>
          <w:jc w:val="center"/>
        </w:trPr>
        <w:tc>
          <w:tcPr>
            <w:tcW w:w="1806" w:type="dxa"/>
          </w:tcPr>
          <w:p w14:paraId="2F1D91C4" w14:textId="77777777" w:rsidR="00AD4FA5" w:rsidRDefault="00000000">
            <w:r>
              <w:rPr>
                <w:rFonts w:ascii="Arial" w:hAnsi="Arial"/>
                <w:sz w:val="18"/>
              </w:rPr>
              <w:t>Tier 3</w:t>
            </w:r>
          </w:p>
        </w:tc>
        <w:tc>
          <w:tcPr>
            <w:tcW w:w="1806" w:type="dxa"/>
          </w:tcPr>
          <w:p w14:paraId="1C6DD8EF" w14:textId="77777777" w:rsidR="00AD4FA5" w:rsidRDefault="00000000">
            <w:r>
              <w:rPr>
                <w:rFonts w:ascii="Arial" w:hAnsi="Arial"/>
                <w:sz w:val="18"/>
              </w:rPr>
              <w:t>EEIO model scaled by revenue</w:t>
            </w:r>
          </w:p>
        </w:tc>
        <w:tc>
          <w:tcPr>
            <w:tcW w:w="1806" w:type="dxa"/>
          </w:tcPr>
          <w:p w14:paraId="3D27FC4D" w14:textId="77777777" w:rsidR="00AD4FA5" w:rsidRDefault="00000000">
            <w:pPr>
              <w:jc w:val="right"/>
            </w:pPr>
            <w:r>
              <w:rPr>
                <w:rFonts w:ascii="Arial" w:hAnsi="Arial"/>
                <w:sz w:val="18"/>
              </w:rPr>
              <w:t>0.75</w:t>
            </w:r>
          </w:p>
        </w:tc>
        <w:tc>
          <w:tcPr>
            <w:tcW w:w="1806" w:type="dxa"/>
          </w:tcPr>
          <w:p w14:paraId="4206E7A5" w14:textId="77777777" w:rsidR="00AD4FA5" w:rsidRDefault="00000000">
            <w:r>
              <w:rPr>
                <w:rFonts w:ascii="Arial" w:hAnsi="Arial"/>
                <w:sz w:val="18"/>
              </w:rPr>
              <w:t>Estimated 55-65% (predominant tier per avg score 3.36)</w:t>
            </w:r>
          </w:p>
        </w:tc>
        <w:tc>
          <w:tcPr>
            <w:tcW w:w="1806" w:type="dxa"/>
          </w:tcPr>
          <w:p w14:paraId="1DF17E55" w14:textId="77777777" w:rsidR="00AD4FA5" w:rsidRDefault="00000000">
            <w:r>
              <w:rPr>
                <w:rFonts w:ascii="Arial" w:hAnsi="Arial"/>
                <w:sz w:val="18"/>
              </w:rPr>
              <w:t>Estimated 60-70%</w:t>
            </w:r>
          </w:p>
        </w:tc>
      </w:tr>
      <w:tr w:rsidR="00AD4FA5" w14:paraId="7E813E45" w14:textId="77777777">
        <w:trPr>
          <w:jc w:val="center"/>
        </w:trPr>
        <w:tc>
          <w:tcPr>
            <w:tcW w:w="1806" w:type="dxa"/>
            <w:shd w:val="clear" w:color="auto" w:fill="F2F6FC"/>
          </w:tcPr>
          <w:p w14:paraId="0C9C4491" w14:textId="77777777" w:rsidR="00AD4FA5" w:rsidRDefault="00000000">
            <w:r>
              <w:rPr>
                <w:rFonts w:ascii="Arial" w:hAnsi="Arial"/>
                <w:sz w:val="18"/>
              </w:rPr>
              <w:t>Tier 4</w:t>
            </w:r>
          </w:p>
        </w:tc>
        <w:tc>
          <w:tcPr>
            <w:tcW w:w="1806" w:type="dxa"/>
            <w:shd w:val="clear" w:color="auto" w:fill="F2F6FC"/>
          </w:tcPr>
          <w:p w14:paraId="61FF144A" w14:textId="77777777" w:rsidR="00AD4FA5" w:rsidRDefault="00000000">
            <w:r>
              <w:rPr>
                <w:rFonts w:ascii="Arial" w:hAnsi="Arial"/>
                <w:sz w:val="18"/>
              </w:rPr>
              <w:t>EEIO model scaled by assets</w:t>
            </w:r>
          </w:p>
        </w:tc>
        <w:tc>
          <w:tcPr>
            <w:tcW w:w="1806" w:type="dxa"/>
            <w:shd w:val="clear" w:color="auto" w:fill="F2F6FC"/>
          </w:tcPr>
          <w:p w14:paraId="11BA3BC5" w14:textId="77777777" w:rsidR="00AD4FA5" w:rsidRDefault="00000000">
            <w:pPr>
              <w:jc w:val="right"/>
            </w:pPr>
            <w:r>
              <w:rPr>
                <w:rFonts w:ascii="Arial" w:hAnsi="Arial"/>
                <w:sz w:val="18"/>
              </w:rPr>
              <w:t>0.60</w:t>
            </w:r>
          </w:p>
        </w:tc>
        <w:tc>
          <w:tcPr>
            <w:tcW w:w="1806" w:type="dxa"/>
            <w:shd w:val="clear" w:color="auto" w:fill="F2F6FC"/>
          </w:tcPr>
          <w:p w14:paraId="3093A2B9" w14:textId="77777777" w:rsidR="00AD4FA5" w:rsidRDefault="00000000">
            <w:r>
              <w:rPr>
                <w:rFonts w:ascii="Arial" w:hAnsi="Arial"/>
                <w:sz w:val="18"/>
              </w:rPr>
              <w:t>Estimated 20-30%</w:t>
            </w:r>
          </w:p>
        </w:tc>
        <w:tc>
          <w:tcPr>
            <w:tcW w:w="1806" w:type="dxa"/>
            <w:shd w:val="clear" w:color="auto" w:fill="F2F6FC"/>
          </w:tcPr>
          <w:p w14:paraId="2AD668DA" w14:textId="77777777" w:rsidR="00AD4FA5" w:rsidRDefault="00000000">
            <w:r>
              <w:rPr>
                <w:rFonts w:ascii="Arial" w:hAnsi="Arial"/>
                <w:sz w:val="18"/>
              </w:rPr>
              <w:t>Estimated 15-25%</w:t>
            </w:r>
          </w:p>
        </w:tc>
      </w:tr>
      <w:tr w:rsidR="00AD4FA5" w14:paraId="1660D711" w14:textId="77777777">
        <w:trPr>
          <w:jc w:val="center"/>
        </w:trPr>
        <w:tc>
          <w:tcPr>
            <w:tcW w:w="1806" w:type="dxa"/>
          </w:tcPr>
          <w:p w14:paraId="3F3EDD6B" w14:textId="77777777" w:rsidR="00AD4FA5" w:rsidRDefault="00000000">
            <w:r>
              <w:rPr>
                <w:rFonts w:ascii="Arial" w:hAnsi="Arial"/>
                <w:sz w:val="18"/>
              </w:rPr>
              <w:t>Tier 5</w:t>
            </w:r>
          </w:p>
        </w:tc>
        <w:tc>
          <w:tcPr>
            <w:tcW w:w="1806" w:type="dxa"/>
          </w:tcPr>
          <w:p w14:paraId="69C1318D" w14:textId="77777777" w:rsidR="00AD4FA5" w:rsidRDefault="00000000">
            <w:r>
              <w:rPr>
                <w:rFonts w:ascii="Arial" w:hAnsi="Arial"/>
                <w:sz w:val="18"/>
              </w:rPr>
              <w:t>Sector-average proxy</w:t>
            </w:r>
          </w:p>
        </w:tc>
        <w:tc>
          <w:tcPr>
            <w:tcW w:w="1806" w:type="dxa"/>
          </w:tcPr>
          <w:p w14:paraId="3396ECB4" w14:textId="77777777" w:rsidR="00AD4FA5" w:rsidRDefault="00000000">
            <w:pPr>
              <w:jc w:val="right"/>
            </w:pPr>
            <w:r>
              <w:rPr>
                <w:rFonts w:ascii="Arial" w:hAnsi="Arial"/>
                <w:sz w:val="18"/>
              </w:rPr>
              <w:t>0.45</w:t>
            </w:r>
          </w:p>
        </w:tc>
        <w:tc>
          <w:tcPr>
            <w:tcW w:w="1806" w:type="dxa"/>
          </w:tcPr>
          <w:p w14:paraId="4003803F" w14:textId="77777777" w:rsidR="00AD4FA5" w:rsidRDefault="00000000">
            <w:r>
              <w:rPr>
                <w:rFonts w:ascii="Arial" w:hAnsi="Arial"/>
                <w:sz w:val="18"/>
              </w:rPr>
              <w:t>Estimated 10-20%</w:t>
            </w:r>
          </w:p>
        </w:tc>
        <w:tc>
          <w:tcPr>
            <w:tcW w:w="1806" w:type="dxa"/>
          </w:tcPr>
          <w:p w14:paraId="615BB5F8" w14:textId="77777777" w:rsidR="00AD4FA5" w:rsidRDefault="00000000">
            <w:r>
              <w:rPr>
                <w:rFonts w:ascii="Arial" w:hAnsi="Arial"/>
                <w:sz w:val="18"/>
              </w:rPr>
              <w:t>Estimated 10-15%</w:t>
            </w:r>
          </w:p>
        </w:tc>
      </w:tr>
    </w:tbl>
    <w:p w14:paraId="1C277734" w14:textId="77777777" w:rsidR="00AD4FA5" w:rsidRDefault="00000000">
      <w:r>
        <w:rPr>
          <w:rFonts w:ascii="Arial" w:hAnsi="Arial"/>
          <w:i/>
          <w:sz w:val="16"/>
        </w:rPr>
        <w:t>Source: Source: Institution's PCAF data quality assessment, 2024. Tier-level portfolio distribution is estimated based on portfolio-weighted average score of 3.36. Granular tier-by-tier breakdowns will be implemented in 2025 reporting cycle per data quality improvement roadmap. ESRS E1-6 requires disclosure of data quality assessment methodology and limitations.</w:t>
      </w:r>
    </w:p>
    <w:p w14:paraId="3114B911" w14:textId="77777777" w:rsidR="00AD4FA5" w:rsidRDefault="00AD4FA5"/>
    <w:p w14:paraId="030C9D57" w14:textId="77777777" w:rsidR="00AD4FA5" w:rsidRDefault="00000000">
      <w:r>
        <w:rPr>
          <w:i/>
          <w:color w:val="3D6094"/>
          <w:sz w:val="18"/>
        </w:rPr>
        <w:t>Framework references: ESRS E1-6 (Gross Scopes 1, 2, 3 and Total GHG emissions); ESRS E1-9 (Anticipated financial effects from material physical and transition risks); ESRS 2 SBM-3 (Material impacts, risks and opportunities and their interaction with strategy and business model); PCAF Global GHG Accounting Standard (2022 edition); GHG Protocol Corporate Value Chain (Scope 3) Accounting and Reporting Standard; ESRS 2 IRO-1 (Description of processes to identify and assess material climate-related impacts, risks and opportunities)</w:t>
      </w:r>
    </w:p>
    <w:p w14:paraId="15FCD61E" w14:textId="77777777" w:rsidR="00AD4FA5" w:rsidRDefault="00AD4FA5">
      <w:pPr>
        <w:pBdr>
          <w:bottom w:val="single" w:sz="6" w:space="1" w:color="999999"/>
        </w:pBdr>
        <w:spacing w:after="80"/>
      </w:pPr>
    </w:p>
    <w:p w14:paraId="1FAF09A1"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19112FF8" w14:textId="77777777" w:rsidR="00AD4FA5" w:rsidRDefault="00000000">
      <w:pPr>
        <w:spacing w:after="160"/>
        <w:jc w:val="both"/>
      </w:pPr>
      <w:r>
        <w:rPr>
          <w:rFonts w:ascii="Arial" w:hAnsi="Arial"/>
          <w:i/>
          <w:color w:val="646464"/>
          <w:sz w:val="18"/>
        </w:rPr>
        <w:t>Financed emissions are calculated using the PCAF Global GHG Accounting Standard (2022 edition). The institution applies the standard's attribution methodology for business lending asset class.</w:t>
      </w:r>
    </w:p>
    <w:p w14:paraId="436A05B3" w14:textId="77777777" w:rsidR="00AD4FA5" w:rsidRDefault="00000000">
      <w:pPr>
        <w:spacing w:after="160"/>
        <w:jc w:val="both"/>
      </w:pPr>
      <w:r>
        <w:rPr>
          <w:rFonts w:ascii="Arial" w:hAnsi="Arial"/>
          <w:i/>
          <w:color w:val="646464"/>
          <w:sz w:val="18"/>
        </w:rPr>
        <w:t>Gross financed emissions (21,976,797.3 tCO2e) represent total attributable emissions without data quality adjustment. Confidence-weighted financed emissions (15,280,174.14 tCO2e) apply PCAF confidence factors based on data source tier. The 30.5% reduction reflects reliance on lower-quality data tiers.</w:t>
      </w:r>
    </w:p>
    <w:p w14:paraId="55697E3D" w14:textId="77777777" w:rsidR="00AD4FA5" w:rsidRDefault="00000000">
      <w:pPr>
        <w:spacing w:after="160"/>
        <w:jc w:val="both"/>
      </w:pPr>
      <w:r>
        <w:rPr>
          <w:rFonts w:ascii="Arial" w:hAnsi="Arial"/>
          <w:i/>
          <w:color w:val="646464"/>
          <w:sz w:val="18"/>
        </w:rPr>
        <w:t>Portfolio coverage is 100% of corporate and commercial lending book (IDR 1,541.18 trillion). Retail lending, mortgages, and listed equity/bonds are excluded from current scope pending system enhancements.</w:t>
      </w:r>
    </w:p>
    <w:p w14:paraId="4B1CDEAC" w14:textId="77777777" w:rsidR="00AD4FA5" w:rsidRDefault="00000000">
      <w:pPr>
        <w:spacing w:after="160"/>
        <w:jc w:val="both"/>
      </w:pPr>
      <w:r>
        <w:rPr>
          <w:rFonts w:ascii="Arial" w:hAnsi="Arial"/>
          <w:i/>
          <w:color w:val="646464"/>
          <w:sz w:val="18"/>
        </w:rPr>
        <w:t>Year-over-year comparison is not available as 2024 represents the baseline year for PCAF-aligned financed emissions disclosure. Comparative analysis will commence in 2025 reporting.</w:t>
      </w:r>
    </w:p>
    <w:p w14:paraId="2D9757A2" w14:textId="77777777" w:rsidR="00AD4FA5" w:rsidRDefault="00000000">
      <w:pPr>
        <w:spacing w:after="160"/>
        <w:jc w:val="both"/>
      </w:pPr>
      <w:r>
        <w:rPr>
          <w:rFonts w:ascii="Arial" w:hAnsi="Arial"/>
          <w:i/>
          <w:color w:val="646464"/>
          <w:sz w:val="18"/>
        </w:rPr>
        <w:t>Sector classification follows NACE Rev. 2 taxonomy aligned with PCAF sector guidance. Borrowers are assigned to primary business activity sector.</w:t>
      </w:r>
    </w:p>
    <w:p w14:paraId="2209B1F4" w14:textId="77777777" w:rsidR="00AD4FA5" w:rsidRDefault="00000000">
      <w:pPr>
        <w:spacing w:after="160"/>
        <w:jc w:val="both"/>
      </w:pPr>
      <w:r>
        <w:rPr>
          <w:rFonts w:ascii="Arial" w:hAnsi="Arial"/>
          <w:i/>
          <w:color w:val="646464"/>
          <w:sz w:val="18"/>
        </w:rPr>
        <w:t>Data quality score of 3.36 indicates predominant use of EEIO models (Tier 3-4). The institution has initiated a borrower engagement programme to improve data quality to ≤3.0 by 2027.</w:t>
      </w:r>
    </w:p>
    <w:p w14:paraId="68FC97C8" w14:textId="77777777" w:rsidR="00AD4FA5" w:rsidRDefault="00000000">
      <w:pPr>
        <w:spacing w:after="160"/>
        <w:jc w:val="both"/>
      </w:pPr>
      <w:r>
        <w:rPr>
          <w:rFonts w:ascii="Arial" w:hAnsi="Arial"/>
          <w:i/>
          <w:color w:val="646464"/>
          <w:sz w:val="18"/>
        </w:rPr>
        <w:t>Emission intensity (tCO2e per IDR billion) is calculated as gross financed emissions divided by outstanding loan amount for each sector. Portfolio-level intensity is 14.26 tCO2e/IDR Bn.</w:t>
      </w:r>
    </w:p>
    <w:p w14:paraId="3D57D210" w14:textId="77777777" w:rsidR="00AD4FA5" w:rsidRDefault="00000000">
      <w:pPr>
        <w:spacing w:after="160"/>
        <w:jc w:val="both"/>
      </w:pPr>
      <w:r>
        <w:rPr>
          <w:rFonts w:ascii="Arial" w:hAnsi="Arial"/>
          <w:i/>
          <w:color w:val="646464"/>
          <w:sz w:val="18"/>
        </w:rPr>
        <w:t>Under ESRS E1 value chain categorisation, financed emissions constitute the institution's downstream Scope 3 impact. These emissions occur at borrower operations, not at the institution's facilities.</w:t>
      </w:r>
    </w:p>
    <w:p w14:paraId="6D2273B2" w14:textId="77777777" w:rsidR="00AD4FA5" w:rsidRDefault="00000000">
      <w:pPr>
        <w:spacing w:after="160"/>
        <w:jc w:val="both"/>
      </w:pPr>
      <w:r>
        <w:rPr>
          <w:rFonts w:ascii="Arial" w:hAnsi="Arial"/>
          <w:i/>
          <w:color w:val="646464"/>
          <w:sz w:val="18"/>
        </w:rPr>
        <w:t>The institution has not yet submitted Science Based Targets (SBTi) for financed emissions. Target-setting is planned for 2026 following completion of two-year baseline data quality enhancement.</w:t>
      </w:r>
    </w:p>
    <w:p w14:paraId="5DBD633B" w14:textId="77777777" w:rsidR="00AD4FA5" w:rsidRDefault="00000000">
      <w:r>
        <w:lastRenderedPageBreak/>
        <w:br w:type="page"/>
      </w:r>
    </w:p>
    <w:p w14:paraId="4594BA1B" w14:textId="77777777" w:rsidR="00AD4FA5" w:rsidRDefault="00000000">
      <w:pPr>
        <w:pStyle w:val="Heading1"/>
        <w:spacing w:after="240"/>
      </w:pPr>
      <w:bookmarkStart w:id="13" w:name="_Toc231979676"/>
      <w:r>
        <w:rPr>
          <w:rFonts w:ascii="Arial" w:hAnsi="Arial"/>
          <w:color w:val="1B3A6B"/>
          <w:sz w:val="36"/>
        </w:rPr>
        <w:lastRenderedPageBreak/>
        <w:t>GRI 305-3: Other Indirect (Scope 3) GHG Emissions — PCAF Financed Emissions</w:t>
      </w:r>
      <w:bookmarkEnd w:id="13"/>
    </w:p>
    <w:p w14:paraId="75B47852" w14:textId="77777777" w:rsidR="00AD4FA5" w:rsidRDefault="00000000">
      <w:pPr>
        <w:spacing w:after="160"/>
        <w:jc w:val="both"/>
      </w:pPr>
      <w:r>
        <w:rPr>
          <w:rFonts w:ascii="Arial" w:hAnsi="Arial"/>
        </w:rPr>
        <w:t>The institution's financed emissions for Reporting Year 2024, calculated under the Partnership for Carbon Accounting Financials (PCAF) Global GHG Accounting Standard, totaled 21,976,797.3 tCO2e on a gross basis across the corporate loan portfolio. This represents the absolute greenhouse gas emissions attributable to the institution's lending activities based on the proportional share of outstanding loan balances relative to borrower enterprise values or total assets. The financed emissions inventory covers 10 economic sectors classified under the NACE (Nomenclature of Economic Activities) framework, representing IDR 1,541.18 trillion in total outstanding loans across 1,955 corporate borrowers. This disclosure fulfills the requirements of POJK No. 51/POJK.03/2017 tentang Penerapan Keuangan Berkelanjutan bagi Lembaga Jasa Keuangan, Emiten, dan Perusahaan Publik (POJK 51/2017) Article 13-16 on climate-related financial risk management and Indonesia's Enhanced Nationally Determined Contribution (NDC) commitment to reduce emissions by 31.89% unconditionally and 43.2% conditionally by 2030.</w:t>
      </w:r>
    </w:p>
    <w:p w14:paraId="2778CBD0" w14:textId="77777777" w:rsidR="00AD4FA5" w:rsidRDefault="00000000">
      <w:pPr>
        <w:spacing w:after="160"/>
        <w:jc w:val="both"/>
      </w:pPr>
      <w:r>
        <w:rPr>
          <w:rFonts w:ascii="Arial" w:hAnsi="Arial"/>
          <w:i/>
        </w:rPr>
        <w:t>The PCAF methodology applies an attribution factor to allocate borrower emissions to the institution's loan portfolio. The attribution factor is calculated as: **Attribution Factor = Outstanding Loan Amount ÷ (Borrower Total Equity + Borrower Total Debt)**. For each borrower, the institution multiplies the borrower's total Scope 1 and Scope 2 emissions by this attribution factor to derive financed emissions. The calculation covers PCAF Asset Class 1 (Business Loans and Unlisted Equity) for all corporate lending exposures. Borrower emissions data is sourced from: (1) verified third-party disclosures (CDP, sustainability reports with external assurance); (2) self-reported unverified data from borrower questionnaires; (3) Environmentally Extended Input-Output (EEIO) models using revenue or asset proxies; and (4) sector-average emission factors for borrowers without available data. The institution applies PCAF Data Quality Scores (1 = highest quality verified data, 5 = lowest quality sector averages) to each loan exposure and calculates a portfolio-weighted average data quality score.</w:t>
      </w:r>
    </w:p>
    <w:p w14:paraId="602FC54D" w14:textId="77777777" w:rsidR="00AD4FA5" w:rsidRDefault="00000000">
      <w:pPr>
        <w:spacing w:after="160"/>
        <w:jc w:val="both"/>
      </w:pPr>
      <w:r>
        <w:rPr>
          <w:rFonts w:ascii="Arial" w:hAnsi="Arial"/>
        </w:rPr>
        <w:t>**Gross vs. Confidence-Weighted Financed Emissions Distinction**: The institution reports two distinct metrics to reflect data quality uncertainty. **Gross financed emissions** of 21,976,797.3 tCO2e represent the unweighted sum of all attributed emissions across the portfolio, treating all data sources equally regardless of quality. **Confidence-weighted financed emissions** of 15,280,174.14 tCO2e apply PCAF confidence factors (ranging from 1.00 for verified data to 0.45 for sector-average proxies) to discount emissions estimates based on data quality tiers. The 30.47% reduction from gross to weighted figures reflects the prevalence of lower-quality data sources in the current portfolio, with confidence-weighted emissions providing a more conservative estimate that accounts for estimation uncertainty. This dual reporting approach aligns with PCAF Global GHG Accounting Standard requirements and provides transparency on data quality limitations.</w:t>
      </w:r>
    </w:p>
    <w:p w14:paraId="23B0F38A" w14:textId="77777777" w:rsidR="00AD4FA5" w:rsidRDefault="00000000">
      <w:pPr>
        <w:spacing w:after="160"/>
        <w:jc w:val="both"/>
      </w:pPr>
      <w:r>
        <w:rPr>
          <w:rFonts w:ascii="Arial" w:hAnsi="Arial"/>
        </w:rPr>
        <w:t xml:space="preserve">The portfolio exhibits high concentration in carbon-intensive sectors. The Energy - Oil &amp; Gas sector accounts for 43.56% of total financed emissions (9,573,144.27 tCO2e gross) despite representing only 6.66% of portfolio value, with an emission intensity of 93.242 tCO2e per IDR billion outstanding. Manufacturing - Cement contributes 26.45% of financed emissions </w:t>
      </w:r>
      <w:r>
        <w:rPr>
          <w:rFonts w:ascii="Arial" w:hAnsi="Arial"/>
        </w:rPr>
        <w:lastRenderedPageBreak/>
        <w:t>(5,813,830.91 tCO2e gross) from 6.99% of portfolio value, reflecting the sector's inherent emission intensity of 53.9927 tCO2e per IDR billion. Manufacturing - Steel accounts for 15.92% of financed emissions (3,499,463.0 tCO2e gross) from 7.05% of portfolio value. These three sectors collectively represent 85.93% of total financed emissions while comprising only 20.70% of portfolio value, indicating significant climate-related transition risk concentration. Lower-emission sectors include Real Estate - Residential (0.49% of financed emissions, 10.93% of portfolio) and Financial Services (0.34% of financed emissions, 13.41% of portfolio), demonstrating emission intensity of 0.6381 and 0.3567 tCO2e per IDR billion respectively.</w:t>
      </w:r>
    </w:p>
    <w:p w14:paraId="567BC36F" w14:textId="77777777" w:rsidR="00AD4FA5" w:rsidRDefault="00000000">
      <w:pPr>
        <w:spacing w:after="160"/>
        <w:jc w:val="both"/>
      </w:pPr>
      <w:r>
        <w:rPr>
          <w:rFonts w:ascii="Arial" w:hAnsi="Arial"/>
        </w:rPr>
        <w:t>The portfolio-weighted average PCAF Data Quality Score is 3.36 out of 5.0, indicating reliance on EEIO models with revenue or asset proxies for the majority of borrower emissions estimates. High-quality data (PCAF Scores 1-2, representing verified or reported emissions) is not explicitly quantified in the current dataset, suggesting limited availability of borrower-level verified emissions disclosures. Sector-level data quality varies: Financial Services exhibits the lowest quality (3.42 average score), while Retail Trade demonstrates relatively higher quality (3.21 average score). The institution has achieved portfolio coverage across all material lending exposures, with financed emissions calculated for 100% of the corporate loan book by outstanding value. However, the prevalence of Tier 3-4 data sources (EEIO models) indicates significant opportunity for data quality improvement through enhanced borrower engagement and disclosure requirements.</w:t>
      </w:r>
    </w:p>
    <w:p w14:paraId="65054C0B" w14:textId="77777777" w:rsidR="00AD4FA5" w:rsidRDefault="00000000">
      <w:pPr>
        <w:spacing w:after="160"/>
        <w:jc w:val="both"/>
      </w:pPr>
      <w:r>
        <w:rPr>
          <w:rFonts w:ascii="Arial" w:hAnsi="Arial"/>
        </w:rPr>
        <w:t>Year-over-year comparison is not available for Reporting Year 2024, as this represents the institution's first comprehensive PCAF-aligned financed emissions inventory. Prior year data (2023) reported aggregate Scope 3 Category 15 emissions of 22,911,991.05 tCO2e gross and 15,576,239.57 tCO2e weighted, but sector-level breakdowns and borrower-specific attribution factors were not calculated using consistent PCAF methodology. The institution has established 2024 as the baseline year for future trend analysis and target-setting. Subsequent reporting periods will enable calculation of year-over-year changes in absolute financed emissions, emission intensity metrics (tCO2e per IDR billion outstanding), and progress toward portfolio decarbonization targets aligned with Indonesia's Net Zero 2060 commitment and the Paris Agreement 1.5°C pathway.</w:t>
      </w:r>
    </w:p>
    <w:p w14:paraId="17433038" w14:textId="77777777" w:rsidR="00AD4FA5" w:rsidRDefault="00000000">
      <w:pPr>
        <w:spacing w:after="160"/>
        <w:jc w:val="both"/>
      </w:pPr>
      <w:r>
        <w:rPr>
          <w:rFonts w:ascii="Arial" w:hAnsi="Arial"/>
          <w:i/>
          <w:color w:val="555555"/>
        </w:rPr>
        <w:t>**Data Quality Improvement Roadmap**: Given the portfolio-weighted average PCAF score of 3.36 (indicating reliance on estimation methodologies rather than borrower-reported data), the institution has initiated a multi-year data quality enhancement program. Phase 1 (2025-2026) focuses on engaging the top 50 emitting borrowers (representing approximately 75% of financed emissions) to request annual GHG inventories through loan covenant amendments and sustainability-linked loan incentives. Phase 2 (2027-2028) expands borrower engagement to the top 200 exposures and implements third-party verification requirements for high-emission sectors (Oil &amp; Gas, Cement, Steel). Phase 3 (2029-2030) targets portfolio-weighted average PCAF score improvement to ≤2.5, requiring verified or reported emissions data for at least 60% of financed emissions by value. This roadmap aligns with POJK 51/2017 requirements for climate risk management and supports the institution's planned Science-Based Targets initiative (SBTi) commitment for financial institutions.</w:t>
      </w:r>
    </w:p>
    <w:p w14:paraId="079D8F3E" w14:textId="77777777" w:rsidR="00AD4FA5" w:rsidRDefault="00000000">
      <w:r>
        <w:rPr>
          <w:rFonts w:ascii="Arial" w:hAnsi="Arial"/>
          <w:b/>
          <w:sz w:val="20"/>
        </w:rPr>
        <w:t>Table 1: Financed Emissions by Economic Sector — Top 5 Emitting Sectors (Reporting Year 2024)</w:t>
      </w:r>
    </w:p>
    <w:tbl>
      <w:tblPr>
        <w:tblW w:w="0" w:type="auto"/>
        <w:jc w:val="center"/>
        <w:tblLook w:val="04A0" w:firstRow="1" w:lastRow="0" w:firstColumn="1" w:lastColumn="0" w:noHBand="0" w:noVBand="1"/>
      </w:tblPr>
      <w:tblGrid>
        <w:gridCol w:w="453"/>
        <w:gridCol w:w="1225"/>
        <w:gridCol w:w="1085"/>
        <w:gridCol w:w="1028"/>
        <w:gridCol w:w="1308"/>
        <w:gridCol w:w="1390"/>
        <w:gridCol w:w="1028"/>
        <w:gridCol w:w="995"/>
        <w:gridCol w:w="733"/>
      </w:tblGrid>
      <w:tr w:rsidR="00AD4FA5" w14:paraId="6FB7C193" w14:textId="77777777">
        <w:trPr>
          <w:jc w:val="center"/>
        </w:trPr>
        <w:tc>
          <w:tcPr>
            <w:tcW w:w="1003" w:type="dxa"/>
            <w:shd w:val="clear" w:color="auto" w:fill="1B3A6B"/>
          </w:tcPr>
          <w:p w14:paraId="428CE828" w14:textId="77777777" w:rsidR="00AD4FA5" w:rsidRDefault="00000000">
            <w:r>
              <w:rPr>
                <w:rFonts w:ascii="Arial" w:hAnsi="Arial"/>
                <w:b/>
                <w:color w:val="FFFFFF"/>
                <w:sz w:val="18"/>
              </w:rPr>
              <w:lastRenderedPageBreak/>
              <w:t>No.</w:t>
            </w:r>
          </w:p>
        </w:tc>
        <w:tc>
          <w:tcPr>
            <w:tcW w:w="1003" w:type="dxa"/>
            <w:shd w:val="clear" w:color="auto" w:fill="1B3A6B"/>
          </w:tcPr>
          <w:p w14:paraId="32B32DEF" w14:textId="77777777" w:rsidR="00AD4FA5" w:rsidRDefault="00000000">
            <w:r>
              <w:rPr>
                <w:rFonts w:ascii="Arial" w:hAnsi="Arial"/>
                <w:b/>
                <w:color w:val="FFFFFF"/>
                <w:sz w:val="18"/>
              </w:rPr>
              <w:t>Sector (NACE Classification)</w:t>
            </w:r>
          </w:p>
        </w:tc>
        <w:tc>
          <w:tcPr>
            <w:tcW w:w="1003" w:type="dxa"/>
            <w:shd w:val="clear" w:color="auto" w:fill="1B3A6B"/>
          </w:tcPr>
          <w:p w14:paraId="1EF5F6C7" w14:textId="77777777" w:rsidR="00AD4FA5" w:rsidRDefault="00000000">
            <w:r>
              <w:rPr>
                <w:rFonts w:ascii="Arial" w:hAnsi="Arial"/>
                <w:b/>
                <w:color w:val="FFFFFF"/>
                <w:sz w:val="18"/>
              </w:rPr>
              <w:t>Outstanding Loans (IDR Trillion)</w:t>
            </w:r>
          </w:p>
        </w:tc>
        <w:tc>
          <w:tcPr>
            <w:tcW w:w="1003" w:type="dxa"/>
            <w:shd w:val="clear" w:color="auto" w:fill="1B3A6B"/>
          </w:tcPr>
          <w:p w14:paraId="5D08F8AC" w14:textId="77777777" w:rsidR="00AD4FA5" w:rsidRDefault="00000000">
            <w:r>
              <w:rPr>
                <w:rFonts w:ascii="Arial" w:hAnsi="Arial"/>
                <w:b/>
                <w:color w:val="FFFFFF"/>
                <w:sz w:val="18"/>
              </w:rPr>
              <w:t>% of Portfolio</w:t>
            </w:r>
          </w:p>
        </w:tc>
        <w:tc>
          <w:tcPr>
            <w:tcW w:w="1003" w:type="dxa"/>
            <w:shd w:val="clear" w:color="auto" w:fill="1B3A6B"/>
          </w:tcPr>
          <w:p w14:paraId="3C38CA28" w14:textId="77777777" w:rsidR="00AD4FA5" w:rsidRDefault="00000000">
            <w:r>
              <w:rPr>
                <w:rFonts w:ascii="Arial" w:hAnsi="Arial"/>
                <w:b/>
                <w:color w:val="FFFFFF"/>
                <w:sz w:val="18"/>
              </w:rPr>
              <w:t>Gross Financed Emissions (tCO2e)</w:t>
            </w:r>
          </w:p>
        </w:tc>
        <w:tc>
          <w:tcPr>
            <w:tcW w:w="1003" w:type="dxa"/>
            <w:shd w:val="clear" w:color="auto" w:fill="1B3A6B"/>
          </w:tcPr>
          <w:p w14:paraId="69B03B0B" w14:textId="77777777" w:rsidR="00AD4FA5" w:rsidRDefault="00000000">
            <w:r>
              <w:rPr>
                <w:rFonts w:ascii="Arial" w:hAnsi="Arial"/>
                <w:b/>
                <w:color w:val="FFFFFF"/>
                <w:sz w:val="18"/>
              </w:rPr>
              <w:t>Weighted Financed Emissions (tCO2e)</w:t>
            </w:r>
          </w:p>
        </w:tc>
        <w:tc>
          <w:tcPr>
            <w:tcW w:w="1003" w:type="dxa"/>
            <w:shd w:val="clear" w:color="auto" w:fill="1B3A6B"/>
          </w:tcPr>
          <w:p w14:paraId="28D5FF05" w14:textId="77777777" w:rsidR="00AD4FA5" w:rsidRDefault="00000000">
            <w:r>
              <w:rPr>
                <w:rFonts w:ascii="Arial" w:hAnsi="Arial"/>
                <w:b/>
                <w:color w:val="FFFFFF"/>
                <w:sz w:val="18"/>
              </w:rPr>
              <w:t>% of Total Financed Emissions</w:t>
            </w:r>
          </w:p>
        </w:tc>
        <w:tc>
          <w:tcPr>
            <w:tcW w:w="1003" w:type="dxa"/>
            <w:shd w:val="clear" w:color="auto" w:fill="1B3A6B"/>
          </w:tcPr>
          <w:p w14:paraId="34A53D7B" w14:textId="77777777" w:rsidR="00AD4FA5" w:rsidRDefault="00000000">
            <w:r>
              <w:rPr>
                <w:rFonts w:ascii="Arial" w:hAnsi="Arial"/>
                <w:b/>
                <w:color w:val="FFFFFF"/>
                <w:sz w:val="18"/>
              </w:rPr>
              <w:t>Emission Intensity (tCO2e/IDR Bn)</w:t>
            </w:r>
          </w:p>
        </w:tc>
        <w:tc>
          <w:tcPr>
            <w:tcW w:w="1003" w:type="dxa"/>
            <w:shd w:val="clear" w:color="auto" w:fill="1B3A6B"/>
          </w:tcPr>
          <w:p w14:paraId="42346948" w14:textId="77777777" w:rsidR="00AD4FA5" w:rsidRDefault="00000000">
            <w:r>
              <w:rPr>
                <w:rFonts w:ascii="Arial" w:hAnsi="Arial"/>
                <w:b/>
                <w:color w:val="FFFFFF"/>
                <w:sz w:val="18"/>
              </w:rPr>
              <w:t>Avg PCAF Score</w:t>
            </w:r>
          </w:p>
        </w:tc>
      </w:tr>
      <w:tr w:rsidR="00AD4FA5" w14:paraId="7CDADF3D" w14:textId="77777777">
        <w:trPr>
          <w:jc w:val="center"/>
        </w:trPr>
        <w:tc>
          <w:tcPr>
            <w:tcW w:w="1003" w:type="dxa"/>
          </w:tcPr>
          <w:p w14:paraId="778A1D1C" w14:textId="77777777" w:rsidR="00AD4FA5" w:rsidRDefault="00000000">
            <w:pPr>
              <w:jc w:val="right"/>
            </w:pPr>
            <w:r>
              <w:rPr>
                <w:rFonts w:ascii="Arial" w:hAnsi="Arial"/>
                <w:sz w:val="18"/>
              </w:rPr>
              <w:t>1</w:t>
            </w:r>
          </w:p>
        </w:tc>
        <w:tc>
          <w:tcPr>
            <w:tcW w:w="1003" w:type="dxa"/>
          </w:tcPr>
          <w:p w14:paraId="088BACFE" w14:textId="77777777" w:rsidR="00AD4FA5" w:rsidRDefault="00000000">
            <w:r>
              <w:rPr>
                <w:rFonts w:ascii="Arial" w:hAnsi="Arial"/>
                <w:sz w:val="18"/>
              </w:rPr>
              <w:t>Energy - Oil &amp; Gas</w:t>
            </w:r>
          </w:p>
        </w:tc>
        <w:tc>
          <w:tcPr>
            <w:tcW w:w="1003" w:type="dxa"/>
          </w:tcPr>
          <w:p w14:paraId="71783C73" w14:textId="77777777" w:rsidR="00AD4FA5" w:rsidRDefault="00000000">
            <w:pPr>
              <w:jc w:val="right"/>
            </w:pPr>
            <w:r>
              <w:rPr>
                <w:rFonts w:ascii="Arial" w:hAnsi="Arial"/>
                <w:sz w:val="18"/>
              </w:rPr>
              <w:t>102.67</w:t>
            </w:r>
          </w:p>
        </w:tc>
        <w:tc>
          <w:tcPr>
            <w:tcW w:w="1003" w:type="dxa"/>
          </w:tcPr>
          <w:p w14:paraId="2CB4001D" w14:textId="77777777" w:rsidR="00AD4FA5" w:rsidRDefault="00000000">
            <w:pPr>
              <w:jc w:val="right"/>
            </w:pPr>
            <w:r>
              <w:rPr>
                <w:rFonts w:ascii="Arial" w:hAnsi="Arial"/>
                <w:sz w:val="18"/>
              </w:rPr>
              <w:t>6.66%</w:t>
            </w:r>
          </w:p>
        </w:tc>
        <w:tc>
          <w:tcPr>
            <w:tcW w:w="1003" w:type="dxa"/>
          </w:tcPr>
          <w:p w14:paraId="10752796" w14:textId="77777777" w:rsidR="00AD4FA5" w:rsidRDefault="00000000">
            <w:pPr>
              <w:jc w:val="right"/>
            </w:pPr>
            <w:r>
              <w:rPr>
                <w:rFonts w:ascii="Arial" w:hAnsi="Arial"/>
                <w:sz w:val="18"/>
              </w:rPr>
              <w:t>9,573,144.27</w:t>
            </w:r>
          </w:p>
        </w:tc>
        <w:tc>
          <w:tcPr>
            <w:tcW w:w="1003" w:type="dxa"/>
          </w:tcPr>
          <w:p w14:paraId="797C712B" w14:textId="77777777" w:rsidR="00AD4FA5" w:rsidRDefault="00000000">
            <w:pPr>
              <w:jc w:val="right"/>
            </w:pPr>
            <w:r>
              <w:rPr>
                <w:rFonts w:ascii="Arial" w:hAnsi="Arial"/>
                <w:sz w:val="18"/>
              </w:rPr>
              <w:t>6,753,948.71</w:t>
            </w:r>
          </w:p>
        </w:tc>
        <w:tc>
          <w:tcPr>
            <w:tcW w:w="1003" w:type="dxa"/>
          </w:tcPr>
          <w:p w14:paraId="360E69FF" w14:textId="77777777" w:rsidR="00AD4FA5" w:rsidRDefault="00000000">
            <w:pPr>
              <w:jc w:val="right"/>
            </w:pPr>
            <w:r>
              <w:rPr>
                <w:rFonts w:ascii="Arial" w:hAnsi="Arial"/>
                <w:sz w:val="18"/>
              </w:rPr>
              <w:t>43.56%</w:t>
            </w:r>
          </w:p>
        </w:tc>
        <w:tc>
          <w:tcPr>
            <w:tcW w:w="1003" w:type="dxa"/>
          </w:tcPr>
          <w:p w14:paraId="62051A5A" w14:textId="77777777" w:rsidR="00AD4FA5" w:rsidRDefault="00000000">
            <w:pPr>
              <w:jc w:val="right"/>
            </w:pPr>
            <w:r>
              <w:rPr>
                <w:rFonts w:ascii="Arial" w:hAnsi="Arial"/>
                <w:sz w:val="18"/>
              </w:rPr>
              <w:t>93.242</w:t>
            </w:r>
          </w:p>
        </w:tc>
        <w:tc>
          <w:tcPr>
            <w:tcW w:w="1003" w:type="dxa"/>
          </w:tcPr>
          <w:p w14:paraId="78D0C9CE" w14:textId="77777777" w:rsidR="00AD4FA5" w:rsidRDefault="00000000">
            <w:pPr>
              <w:jc w:val="right"/>
            </w:pPr>
            <w:r>
              <w:rPr>
                <w:rFonts w:ascii="Arial" w:hAnsi="Arial"/>
                <w:sz w:val="18"/>
              </w:rPr>
              <w:t>3.32</w:t>
            </w:r>
          </w:p>
        </w:tc>
      </w:tr>
      <w:tr w:rsidR="00AD4FA5" w14:paraId="1F426FBE" w14:textId="77777777">
        <w:trPr>
          <w:jc w:val="center"/>
        </w:trPr>
        <w:tc>
          <w:tcPr>
            <w:tcW w:w="1003" w:type="dxa"/>
            <w:shd w:val="clear" w:color="auto" w:fill="F2F6FC"/>
          </w:tcPr>
          <w:p w14:paraId="73B32DA7" w14:textId="77777777" w:rsidR="00AD4FA5" w:rsidRDefault="00000000">
            <w:pPr>
              <w:jc w:val="right"/>
            </w:pPr>
            <w:r>
              <w:rPr>
                <w:rFonts w:ascii="Arial" w:hAnsi="Arial"/>
                <w:sz w:val="18"/>
              </w:rPr>
              <w:t>2</w:t>
            </w:r>
          </w:p>
        </w:tc>
        <w:tc>
          <w:tcPr>
            <w:tcW w:w="1003" w:type="dxa"/>
            <w:shd w:val="clear" w:color="auto" w:fill="F2F6FC"/>
          </w:tcPr>
          <w:p w14:paraId="3BEB61AB" w14:textId="77777777" w:rsidR="00AD4FA5" w:rsidRDefault="00000000">
            <w:r>
              <w:rPr>
                <w:rFonts w:ascii="Arial" w:hAnsi="Arial"/>
                <w:sz w:val="18"/>
              </w:rPr>
              <w:t>Manufacturing - Cement</w:t>
            </w:r>
          </w:p>
        </w:tc>
        <w:tc>
          <w:tcPr>
            <w:tcW w:w="1003" w:type="dxa"/>
            <w:shd w:val="clear" w:color="auto" w:fill="F2F6FC"/>
          </w:tcPr>
          <w:p w14:paraId="500EBCA7" w14:textId="77777777" w:rsidR="00AD4FA5" w:rsidRDefault="00000000">
            <w:pPr>
              <w:jc w:val="right"/>
            </w:pPr>
            <w:r>
              <w:rPr>
                <w:rFonts w:ascii="Arial" w:hAnsi="Arial"/>
                <w:sz w:val="18"/>
              </w:rPr>
              <w:t>107.68</w:t>
            </w:r>
          </w:p>
        </w:tc>
        <w:tc>
          <w:tcPr>
            <w:tcW w:w="1003" w:type="dxa"/>
            <w:shd w:val="clear" w:color="auto" w:fill="F2F6FC"/>
          </w:tcPr>
          <w:p w14:paraId="60684335" w14:textId="77777777" w:rsidR="00AD4FA5" w:rsidRDefault="00000000">
            <w:pPr>
              <w:jc w:val="right"/>
            </w:pPr>
            <w:r>
              <w:rPr>
                <w:rFonts w:ascii="Arial" w:hAnsi="Arial"/>
                <w:sz w:val="18"/>
              </w:rPr>
              <w:t>6.99%</w:t>
            </w:r>
          </w:p>
        </w:tc>
        <w:tc>
          <w:tcPr>
            <w:tcW w:w="1003" w:type="dxa"/>
            <w:shd w:val="clear" w:color="auto" w:fill="F2F6FC"/>
          </w:tcPr>
          <w:p w14:paraId="1AE741B7" w14:textId="77777777" w:rsidR="00AD4FA5" w:rsidRDefault="00000000">
            <w:pPr>
              <w:jc w:val="right"/>
            </w:pPr>
            <w:r>
              <w:rPr>
                <w:rFonts w:ascii="Arial" w:hAnsi="Arial"/>
                <w:sz w:val="18"/>
              </w:rPr>
              <w:t>5,813,830.91</w:t>
            </w:r>
          </w:p>
        </w:tc>
        <w:tc>
          <w:tcPr>
            <w:tcW w:w="1003" w:type="dxa"/>
            <w:shd w:val="clear" w:color="auto" w:fill="F2F6FC"/>
          </w:tcPr>
          <w:p w14:paraId="34D0CDD1" w14:textId="77777777" w:rsidR="00AD4FA5" w:rsidRDefault="00000000">
            <w:pPr>
              <w:jc w:val="right"/>
            </w:pPr>
            <w:r>
              <w:rPr>
                <w:rFonts w:ascii="Arial" w:hAnsi="Arial"/>
                <w:sz w:val="18"/>
              </w:rPr>
              <w:t>4,168,058.43</w:t>
            </w:r>
          </w:p>
        </w:tc>
        <w:tc>
          <w:tcPr>
            <w:tcW w:w="1003" w:type="dxa"/>
            <w:shd w:val="clear" w:color="auto" w:fill="F2F6FC"/>
          </w:tcPr>
          <w:p w14:paraId="49749794" w14:textId="77777777" w:rsidR="00AD4FA5" w:rsidRDefault="00000000">
            <w:pPr>
              <w:jc w:val="right"/>
            </w:pPr>
            <w:r>
              <w:rPr>
                <w:rFonts w:ascii="Arial" w:hAnsi="Arial"/>
                <w:sz w:val="18"/>
              </w:rPr>
              <w:t>26.45%</w:t>
            </w:r>
          </w:p>
        </w:tc>
        <w:tc>
          <w:tcPr>
            <w:tcW w:w="1003" w:type="dxa"/>
            <w:shd w:val="clear" w:color="auto" w:fill="F2F6FC"/>
          </w:tcPr>
          <w:p w14:paraId="18E7DBA4" w14:textId="77777777" w:rsidR="00AD4FA5" w:rsidRDefault="00000000">
            <w:pPr>
              <w:jc w:val="right"/>
            </w:pPr>
            <w:r>
              <w:rPr>
                <w:rFonts w:ascii="Arial" w:hAnsi="Arial"/>
                <w:sz w:val="18"/>
              </w:rPr>
              <w:t>53.9927</w:t>
            </w:r>
          </w:p>
        </w:tc>
        <w:tc>
          <w:tcPr>
            <w:tcW w:w="1003" w:type="dxa"/>
            <w:shd w:val="clear" w:color="auto" w:fill="F2F6FC"/>
          </w:tcPr>
          <w:p w14:paraId="11E1D203" w14:textId="77777777" w:rsidR="00AD4FA5" w:rsidRDefault="00000000">
            <w:pPr>
              <w:jc w:val="right"/>
            </w:pPr>
            <w:r>
              <w:rPr>
                <w:rFonts w:ascii="Arial" w:hAnsi="Arial"/>
                <w:sz w:val="18"/>
              </w:rPr>
              <w:t>3.40</w:t>
            </w:r>
          </w:p>
        </w:tc>
      </w:tr>
      <w:tr w:rsidR="00AD4FA5" w14:paraId="60456263" w14:textId="77777777">
        <w:trPr>
          <w:jc w:val="center"/>
        </w:trPr>
        <w:tc>
          <w:tcPr>
            <w:tcW w:w="1003" w:type="dxa"/>
          </w:tcPr>
          <w:p w14:paraId="52C59DC5" w14:textId="77777777" w:rsidR="00AD4FA5" w:rsidRDefault="00000000">
            <w:pPr>
              <w:jc w:val="right"/>
            </w:pPr>
            <w:r>
              <w:rPr>
                <w:rFonts w:ascii="Arial" w:hAnsi="Arial"/>
                <w:sz w:val="18"/>
              </w:rPr>
              <w:t>3</w:t>
            </w:r>
          </w:p>
        </w:tc>
        <w:tc>
          <w:tcPr>
            <w:tcW w:w="1003" w:type="dxa"/>
          </w:tcPr>
          <w:p w14:paraId="02426EEE" w14:textId="77777777" w:rsidR="00AD4FA5" w:rsidRDefault="00000000">
            <w:r>
              <w:rPr>
                <w:rFonts w:ascii="Arial" w:hAnsi="Arial"/>
                <w:sz w:val="18"/>
              </w:rPr>
              <w:t>Manufacturing - Steel</w:t>
            </w:r>
          </w:p>
        </w:tc>
        <w:tc>
          <w:tcPr>
            <w:tcW w:w="1003" w:type="dxa"/>
          </w:tcPr>
          <w:p w14:paraId="49A64434" w14:textId="77777777" w:rsidR="00AD4FA5" w:rsidRDefault="00000000">
            <w:pPr>
              <w:jc w:val="right"/>
            </w:pPr>
            <w:r>
              <w:rPr>
                <w:rFonts w:ascii="Arial" w:hAnsi="Arial"/>
                <w:sz w:val="18"/>
              </w:rPr>
              <w:t>108.62</w:t>
            </w:r>
          </w:p>
        </w:tc>
        <w:tc>
          <w:tcPr>
            <w:tcW w:w="1003" w:type="dxa"/>
          </w:tcPr>
          <w:p w14:paraId="0A934B06" w14:textId="77777777" w:rsidR="00AD4FA5" w:rsidRDefault="00000000">
            <w:pPr>
              <w:jc w:val="right"/>
            </w:pPr>
            <w:r>
              <w:rPr>
                <w:rFonts w:ascii="Arial" w:hAnsi="Arial"/>
                <w:sz w:val="18"/>
              </w:rPr>
              <w:t>7.05%</w:t>
            </w:r>
          </w:p>
        </w:tc>
        <w:tc>
          <w:tcPr>
            <w:tcW w:w="1003" w:type="dxa"/>
          </w:tcPr>
          <w:p w14:paraId="4FB1DE46" w14:textId="77777777" w:rsidR="00AD4FA5" w:rsidRDefault="00000000">
            <w:pPr>
              <w:jc w:val="right"/>
            </w:pPr>
            <w:r>
              <w:rPr>
                <w:rFonts w:ascii="Arial" w:hAnsi="Arial"/>
                <w:sz w:val="18"/>
              </w:rPr>
              <w:t>3,499,463.0</w:t>
            </w:r>
          </w:p>
        </w:tc>
        <w:tc>
          <w:tcPr>
            <w:tcW w:w="1003" w:type="dxa"/>
          </w:tcPr>
          <w:p w14:paraId="75A90D00" w14:textId="77777777" w:rsidR="00AD4FA5" w:rsidRDefault="00000000">
            <w:pPr>
              <w:jc w:val="right"/>
            </w:pPr>
            <w:r>
              <w:rPr>
                <w:rFonts w:ascii="Arial" w:hAnsi="Arial"/>
                <w:sz w:val="18"/>
              </w:rPr>
              <w:t>2,228,739.65</w:t>
            </w:r>
          </w:p>
        </w:tc>
        <w:tc>
          <w:tcPr>
            <w:tcW w:w="1003" w:type="dxa"/>
          </w:tcPr>
          <w:p w14:paraId="7164B694" w14:textId="77777777" w:rsidR="00AD4FA5" w:rsidRDefault="00000000">
            <w:pPr>
              <w:jc w:val="right"/>
            </w:pPr>
            <w:r>
              <w:rPr>
                <w:rFonts w:ascii="Arial" w:hAnsi="Arial"/>
                <w:sz w:val="18"/>
              </w:rPr>
              <w:t>15.92%</w:t>
            </w:r>
          </w:p>
        </w:tc>
        <w:tc>
          <w:tcPr>
            <w:tcW w:w="1003" w:type="dxa"/>
          </w:tcPr>
          <w:p w14:paraId="3FBD3617" w14:textId="77777777" w:rsidR="00AD4FA5" w:rsidRDefault="00000000">
            <w:pPr>
              <w:jc w:val="right"/>
            </w:pPr>
            <w:r>
              <w:rPr>
                <w:rFonts w:ascii="Arial" w:hAnsi="Arial"/>
                <w:sz w:val="18"/>
              </w:rPr>
              <w:t>32.2175</w:t>
            </w:r>
          </w:p>
        </w:tc>
        <w:tc>
          <w:tcPr>
            <w:tcW w:w="1003" w:type="dxa"/>
          </w:tcPr>
          <w:p w14:paraId="58D0E09A" w14:textId="77777777" w:rsidR="00AD4FA5" w:rsidRDefault="00000000">
            <w:pPr>
              <w:jc w:val="right"/>
            </w:pPr>
            <w:r>
              <w:rPr>
                <w:rFonts w:ascii="Arial" w:hAnsi="Arial"/>
                <w:sz w:val="18"/>
              </w:rPr>
              <w:t>3.35</w:t>
            </w:r>
          </w:p>
        </w:tc>
      </w:tr>
      <w:tr w:rsidR="00AD4FA5" w14:paraId="376F193A" w14:textId="77777777">
        <w:trPr>
          <w:jc w:val="center"/>
        </w:trPr>
        <w:tc>
          <w:tcPr>
            <w:tcW w:w="1003" w:type="dxa"/>
            <w:shd w:val="clear" w:color="auto" w:fill="F2F6FC"/>
          </w:tcPr>
          <w:p w14:paraId="60DC6620" w14:textId="77777777" w:rsidR="00AD4FA5" w:rsidRDefault="00000000">
            <w:pPr>
              <w:jc w:val="right"/>
            </w:pPr>
            <w:r>
              <w:rPr>
                <w:rFonts w:ascii="Arial" w:hAnsi="Arial"/>
                <w:sz w:val="18"/>
              </w:rPr>
              <w:t>4</w:t>
            </w:r>
          </w:p>
        </w:tc>
        <w:tc>
          <w:tcPr>
            <w:tcW w:w="1003" w:type="dxa"/>
            <w:shd w:val="clear" w:color="auto" w:fill="F2F6FC"/>
          </w:tcPr>
          <w:p w14:paraId="0246C4A0" w14:textId="77777777" w:rsidR="00AD4FA5" w:rsidRDefault="00000000">
            <w:r>
              <w:rPr>
                <w:rFonts w:ascii="Arial" w:hAnsi="Arial"/>
                <w:sz w:val="18"/>
              </w:rPr>
              <w:t>Transportation - Road</w:t>
            </w:r>
          </w:p>
        </w:tc>
        <w:tc>
          <w:tcPr>
            <w:tcW w:w="1003" w:type="dxa"/>
            <w:shd w:val="clear" w:color="auto" w:fill="F2F6FC"/>
          </w:tcPr>
          <w:p w14:paraId="6FF1F049" w14:textId="77777777" w:rsidR="00AD4FA5" w:rsidRDefault="00000000">
            <w:pPr>
              <w:jc w:val="right"/>
            </w:pPr>
            <w:r>
              <w:rPr>
                <w:rFonts w:ascii="Arial" w:hAnsi="Arial"/>
                <w:sz w:val="18"/>
              </w:rPr>
              <w:t>155.55</w:t>
            </w:r>
          </w:p>
        </w:tc>
        <w:tc>
          <w:tcPr>
            <w:tcW w:w="1003" w:type="dxa"/>
            <w:shd w:val="clear" w:color="auto" w:fill="F2F6FC"/>
          </w:tcPr>
          <w:p w14:paraId="2F9C0946" w14:textId="77777777" w:rsidR="00AD4FA5" w:rsidRDefault="00000000">
            <w:pPr>
              <w:jc w:val="right"/>
            </w:pPr>
            <w:r>
              <w:rPr>
                <w:rFonts w:ascii="Arial" w:hAnsi="Arial"/>
                <w:sz w:val="18"/>
              </w:rPr>
              <w:t>10.09%</w:t>
            </w:r>
          </w:p>
        </w:tc>
        <w:tc>
          <w:tcPr>
            <w:tcW w:w="1003" w:type="dxa"/>
            <w:shd w:val="clear" w:color="auto" w:fill="F2F6FC"/>
          </w:tcPr>
          <w:p w14:paraId="101C8A70" w14:textId="77777777" w:rsidR="00AD4FA5" w:rsidRDefault="00000000">
            <w:pPr>
              <w:jc w:val="right"/>
            </w:pPr>
            <w:r>
              <w:rPr>
                <w:rFonts w:ascii="Arial" w:hAnsi="Arial"/>
                <w:sz w:val="18"/>
              </w:rPr>
              <w:t>1,227,019.62</w:t>
            </w:r>
          </w:p>
        </w:tc>
        <w:tc>
          <w:tcPr>
            <w:tcW w:w="1003" w:type="dxa"/>
            <w:shd w:val="clear" w:color="auto" w:fill="F2F6FC"/>
          </w:tcPr>
          <w:p w14:paraId="31F7B385" w14:textId="77777777" w:rsidR="00AD4FA5" w:rsidRDefault="00000000">
            <w:pPr>
              <w:jc w:val="right"/>
            </w:pPr>
            <w:r>
              <w:rPr>
                <w:rFonts w:ascii="Arial" w:hAnsi="Arial"/>
                <w:sz w:val="18"/>
              </w:rPr>
              <w:t>864,356.23</w:t>
            </w:r>
          </w:p>
        </w:tc>
        <w:tc>
          <w:tcPr>
            <w:tcW w:w="1003" w:type="dxa"/>
            <w:shd w:val="clear" w:color="auto" w:fill="F2F6FC"/>
          </w:tcPr>
          <w:p w14:paraId="06AEBE13" w14:textId="77777777" w:rsidR="00AD4FA5" w:rsidRDefault="00000000">
            <w:pPr>
              <w:jc w:val="right"/>
            </w:pPr>
            <w:r>
              <w:rPr>
                <w:rFonts w:ascii="Arial" w:hAnsi="Arial"/>
                <w:sz w:val="18"/>
              </w:rPr>
              <w:t>5.58%</w:t>
            </w:r>
          </w:p>
        </w:tc>
        <w:tc>
          <w:tcPr>
            <w:tcW w:w="1003" w:type="dxa"/>
            <w:shd w:val="clear" w:color="auto" w:fill="F2F6FC"/>
          </w:tcPr>
          <w:p w14:paraId="78BEA0B0" w14:textId="77777777" w:rsidR="00AD4FA5" w:rsidRDefault="00000000">
            <w:pPr>
              <w:jc w:val="right"/>
            </w:pPr>
            <w:r>
              <w:rPr>
                <w:rFonts w:ascii="Arial" w:hAnsi="Arial"/>
                <w:sz w:val="18"/>
              </w:rPr>
              <w:t>7.8881</w:t>
            </w:r>
          </w:p>
        </w:tc>
        <w:tc>
          <w:tcPr>
            <w:tcW w:w="1003" w:type="dxa"/>
            <w:shd w:val="clear" w:color="auto" w:fill="F2F6FC"/>
          </w:tcPr>
          <w:p w14:paraId="44276C35" w14:textId="77777777" w:rsidR="00AD4FA5" w:rsidRDefault="00000000">
            <w:pPr>
              <w:jc w:val="right"/>
            </w:pPr>
            <w:r>
              <w:rPr>
                <w:rFonts w:ascii="Arial" w:hAnsi="Arial"/>
                <w:sz w:val="18"/>
              </w:rPr>
              <w:t>3.36</w:t>
            </w:r>
          </w:p>
        </w:tc>
      </w:tr>
      <w:tr w:rsidR="00AD4FA5" w14:paraId="5B18823D" w14:textId="77777777">
        <w:trPr>
          <w:jc w:val="center"/>
        </w:trPr>
        <w:tc>
          <w:tcPr>
            <w:tcW w:w="1003" w:type="dxa"/>
          </w:tcPr>
          <w:p w14:paraId="3C279618" w14:textId="77777777" w:rsidR="00AD4FA5" w:rsidRDefault="00000000">
            <w:pPr>
              <w:jc w:val="right"/>
            </w:pPr>
            <w:r>
              <w:rPr>
                <w:rFonts w:ascii="Arial" w:hAnsi="Arial"/>
                <w:sz w:val="18"/>
              </w:rPr>
              <w:t>5</w:t>
            </w:r>
          </w:p>
        </w:tc>
        <w:tc>
          <w:tcPr>
            <w:tcW w:w="1003" w:type="dxa"/>
          </w:tcPr>
          <w:p w14:paraId="55B5F042" w14:textId="77777777" w:rsidR="00AD4FA5" w:rsidRDefault="00000000">
            <w:r>
              <w:rPr>
                <w:rFonts w:ascii="Arial" w:hAnsi="Arial"/>
                <w:sz w:val="18"/>
              </w:rPr>
              <w:t>Manufacturing - Food &amp; Beverage</w:t>
            </w:r>
          </w:p>
        </w:tc>
        <w:tc>
          <w:tcPr>
            <w:tcW w:w="1003" w:type="dxa"/>
          </w:tcPr>
          <w:p w14:paraId="3FCEF024" w14:textId="77777777" w:rsidR="00AD4FA5" w:rsidRDefault="00000000">
            <w:pPr>
              <w:jc w:val="right"/>
            </w:pPr>
            <w:r>
              <w:rPr>
                <w:rFonts w:ascii="Arial" w:hAnsi="Arial"/>
                <w:sz w:val="18"/>
              </w:rPr>
              <w:t>169.14</w:t>
            </w:r>
          </w:p>
        </w:tc>
        <w:tc>
          <w:tcPr>
            <w:tcW w:w="1003" w:type="dxa"/>
          </w:tcPr>
          <w:p w14:paraId="00DF5898" w14:textId="77777777" w:rsidR="00AD4FA5" w:rsidRDefault="00000000">
            <w:pPr>
              <w:jc w:val="right"/>
            </w:pPr>
            <w:r>
              <w:rPr>
                <w:rFonts w:ascii="Arial" w:hAnsi="Arial"/>
                <w:sz w:val="18"/>
              </w:rPr>
              <w:t>10.97%</w:t>
            </w:r>
          </w:p>
        </w:tc>
        <w:tc>
          <w:tcPr>
            <w:tcW w:w="1003" w:type="dxa"/>
          </w:tcPr>
          <w:p w14:paraId="13566596" w14:textId="77777777" w:rsidR="00AD4FA5" w:rsidRDefault="00000000">
            <w:pPr>
              <w:jc w:val="right"/>
            </w:pPr>
            <w:r>
              <w:rPr>
                <w:rFonts w:ascii="Arial" w:hAnsi="Arial"/>
                <w:sz w:val="18"/>
              </w:rPr>
              <w:t>936,111.21</w:t>
            </w:r>
          </w:p>
        </w:tc>
        <w:tc>
          <w:tcPr>
            <w:tcW w:w="1003" w:type="dxa"/>
          </w:tcPr>
          <w:p w14:paraId="7483DEF7" w14:textId="77777777" w:rsidR="00AD4FA5" w:rsidRDefault="00000000">
            <w:pPr>
              <w:jc w:val="right"/>
            </w:pPr>
            <w:r>
              <w:rPr>
                <w:rFonts w:ascii="Arial" w:hAnsi="Arial"/>
                <w:sz w:val="18"/>
              </w:rPr>
              <w:t>653,413.56</w:t>
            </w:r>
          </w:p>
        </w:tc>
        <w:tc>
          <w:tcPr>
            <w:tcW w:w="1003" w:type="dxa"/>
          </w:tcPr>
          <w:p w14:paraId="020DAD45" w14:textId="77777777" w:rsidR="00AD4FA5" w:rsidRDefault="00000000">
            <w:pPr>
              <w:jc w:val="right"/>
            </w:pPr>
            <w:r>
              <w:rPr>
                <w:rFonts w:ascii="Arial" w:hAnsi="Arial"/>
                <w:sz w:val="18"/>
              </w:rPr>
              <w:t>4.26%</w:t>
            </w:r>
          </w:p>
        </w:tc>
        <w:tc>
          <w:tcPr>
            <w:tcW w:w="1003" w:type="dxa"/>
          </w:tcPr>
          <w:p w14:paraId="61BCF1C7" w14:textId="77777777" w:rsidR="00AD4FA5" w:rsidRDefault="00000000">
            <w:pPr>
              <w:jc w:val="right"/>
            </w:pPr>
            <w:r>
              <w:rPr>
                <w:rFonts w:ascii="Arial" w:hAnsi="Arial"/>
                <w:sz w:val="18"/>
              </w:rPr>
              <w:t>5.5346</w:t>
            </w:r>
          </w:p>
        </w:tc>
        <w:tc>
          <w:tcPr>
            <w:tcW w:w="1003" w:type="dxa"/>
          </w:tcPr>
          <w:p w14:paraId="2894449A" w14:textId="77777777" w:rsidR="00AD4FA5" w:rsidRDefault="00000000">
            <w:pPr>
              <w:jc w:val="right"/>
            </w:pPr>
            <w:r>
              <w:rPr>
                <w:rFonts w:ascii="Arial" w:hAnsi="Arial"/>
                <w:sz w:val="18"/>
              </w:rPr>
              <w:t>3.35</w:t>
            </w:r>
          </w:p>
        </w:tc>
      </w:tr>
      <w:tr w:rsidR="00AD4FA5" w14:paraId="68D6E936" w14:textId="77777777">
        <w:trPr>
          <w:jc w:val="center"/>
        </w:trPr>
        <w:tc>
          <w:tcPr>
            <w:tcW w:w="1003" w:type="dxa"/>
            <w:shd w:val="clear" w:color="auto" w:fill="F2F6FC"/>
          </w:tcPr>
          <w:p w14:paraId="56494423" w14:textId="77777777" w:rsidR="00AD4FA5" w:rsidRDefault="00000000">
            <w:r>
              <w:rPr>
                <w:rFonts w:ascii="Arial" w:hAnsi="Arial"/>
                <w:sz w:val="18"/>
              </w:rPr>
              <w:t>—</w:t>
            </w:r>
          </w:p>
        </w:tc>
        <w:tc>
          <w:tcPr>
            <w:tcW w:w="1003" w:type="dxa"/>
            <w:shd w:val="clear" w:color="auto" w:fill="F2F6FC"/>
          </w:tcPr>
          <w:p w14:paraId="53C7D4B8" w14:textId="77777777" w:rsidR="00AD4FA5" w:rsidRDefault="00000000">
            <w:r>
              <w:rPr>
                <w:rFonts w:ascii="Arial" w:hAnsi="Arial"/>
                <w:sz w:val="18"/>
              </w:rPr>
              <w:t>Other Sectors (5 sectors)</w:t>
            </w:r>
          </w:p>
        </w:tc>
        <w:tc>
          <w:tcPr>
            <w:tcW w:w="1003" w:type="dxa"/>
            <w:shd w:val="clear" w:color="auto" w:fill="F2F6FC"/>
          </w:tcPr>
          <w:p w14:paraId="3438872A" w14:textId="77777777" w:rsidR="00AD4FA5" w:rsidRDefault="00000000">
            <w:pPr>
              <w:jc w:val="right"/>
            </w:pPr>
            <w:r>
              <w:rPr>
                <w:rFonts w:ascii="Arial" w:hAnsi="Arial"/>
                <w:sz w:val="18"/>
              </w:rPr>
              <w:t>897.52</w:t>
            </w:r>
          </w:p>
        </w:tc>
        <w:tc>
          <w:tcPr>
            <w:tcW w:w="1003" w:type="dxa"/>
            <w:shd w:val="clear" w:color="auto" w:fill="F2F6FC"/>
          </w:tcPr>
          <w:p w14:paraId="77A61472" w14:textId="77777777" w:rsidR="00AD4FA5" w:rsidRDefault="00000000">
            <w:pPr>
              <w:jc w:val="right"/>
            </w:pPr>
            <w:r>
              <w:rPr>
                <w:rFonts w:ascii="Arial" w:hAnsi="Arial"/>
                <w:sz w:val="18"/>
              </w:rPr>
              <w:t>58.24%</w:t>
            </w:r>
          </w:p>
        </w:tc>
        <w:tc>
          <w:tcPr>
            <w:tcW w:w="1003" w:type="dxa"/>
            <w:shd w:val="clear" w:color="auto" w:fill="F2F6FC"/>
          </w:tcPr>
          <w:p w14:paraId="396B507A" w14:textId="77777777" w:rsidR="00AD4FA5" w:rsidRDefault="00000000">
            <w:pPr>
              <w:jc w:val="right"/>
            </w:pPr>
            <w:r>
              <w:rPr>
                <w:rFonts w:ascii="Arial" w:hAnsi="Arial"/>
                <w:sz w:val="18"/>
              </w:rPr>
              <w:t>927,228.29</w:t>
            </w:r>
          </w:p>
        </w:tc>
        <w:tc>
          <w:tcPr>
            <w:tcW w:w="1003" w:type="dxa"/>
            <w:shd w:val="clear" w:color="auto" w:fill="F2F6FC"/>
          </w:tcPr>
          <w:p w14:paraId="64FB23EC" w14:textId="77777777" w:rsidR="00AD4FA5" w:rsidRDefault="00000000">
            <w:pPr>
              <w:jc w:val="right"/>
            </w:pPr>
            <w:r>
              <w:rPr>
                <w:rFonts w:ascii="Arial" w:hAnsi="Arial"/>
                <w:sz w:val="18"/>
              </w:rPr>
              <w:t>611,657.56</w:t>
            </w:r>
          </w:p>
        </w:tc>
        <w:tc>
          <w:tcPr>
            <w:tcW w:w="1003" w:type="dxa"/>
            <w:shd w:val="clear" w:color="auto" w:fill="F2F6FC"/>
          </w:tcPr>
          <w:p w14:paraId="119DF924" w14:textId="77777777" w:rsidR="00AD4FA5" w:rsidRDefault="00000000">
            <w:pPr>
              <w:jc w:val="right"/>
            </w:pPr>
            <w:r>
              <w:rPr>
                <w:rFonts w:ascii="Arial" w:hAnsi="Arial"/>
                <w:sz w:val="18"/>
              </w:rPr>
              <w:t>4.22%</w:t>
            </w:r>
          </w:p>
        </w:tc>
        <w:tc>
          <w:tcPr>
            <w:tcW w:w="1003" w:type="dxa"/>
            <w:shd w:val="clear" w:color="auto" w:fill="F2F6FC"/>
          </w:tcPr>
          <w:p w14:paraId="746B9CD6" w14:textId="77777777" w:rsidR="00AD4FA5" w:rsidRDefault="00000000">
            <w:r>
              <w:rPr>
                <w:rFonts w:ascii="Arial" w:hAnsi="Arial"/>
                <w:sz w:val="18"/>
              </w:rPr>
              <w:t>—</w:t>
            </w:r>
          </w:p>
        </w:tc>
        <w:tc>
          <w:tcPr>
            <w:tcW w:w="1003" w:type="dxa"/>
            <w:shd w:val="clear" w:color="auto" w:fill="F2F6FC"/>
          </w:tcPr>
          <w:p w14:paraId="5F6CB7E0" w14:textId="77777777" w:rsidR="00AD4FA5" w:rsidRDefault="00000000">
            <w:pPr>
              <w:jc w:val="right"/>
            </w:pPr>
            <w:r>
              <w:rPr>
                <w:rFonts w:ascii="Arial" w:hAnsi="Arial"/>
                <w:sz w:val="18"/>
              </w:rPr>
              <w:t>3.32</w:t>
            </w:r>
          </w:p>
        </w:tc>
      </w:tr>
      <w:tr w:rsidR="00AD4FA5" w14:paraId="7E4824D7" w14:textId="77777777">
        <w:trPr>
          <w:jc w:val="center"/>
        </w:trPr>
        <w:tc>
          <w:tcPr>
            <w:tcW w:w="1003" w:type="dxa"/>
          </w:tcPr>
          <w:p w14:paraId="17BD987B" w14:textId="77777777" w:rsidR="00AD4FA5" w:rsidRDefault="00000000">
            <w:r>
              <w:rPr>
                <w:rFonts w:ascii="Arial" w:hAnsi="Arial"/>
                <w:sz w:val="18"/>
              </w:rPr>
              <w:t>—</w:t>
            </w:r>
          </w:p>
        </w:tc>
        <w:tc>
          <w:tcPr>
            <w:tcW w:w="1003" w:type="dxa"/>
          </w:tcPr>
          <w:p w14:paraId="5F8F74AF" w14:textId="77777777" w:rsidR="00AD4FA5" w:rsidRDefault="00000000">
            <w:r>
              <w:rPr>
                <w:rFonts w:ascii="Arial" w:hAnsi="Arial"/>
                <w:sz w:val="18"/>
              </w:rPr>
              <w:t>**Total Portfolio**</w:t>
            </w:r>
          </w:p>
        </w:tc>
        <w:tc>
          <w:tcPr>
            <w:tcW w:w="1003" w:type="dxa"/>
          </w:tcPr>
          <w:p w14:paraId="1D7C3ACA" w14:textId="77777777" w:rsidR="00AD4FA5" w:rsidRDefault="00000000">
            <w:r>
              <w:rPr>
                <w:rFonts w:ascii="Arial" w:hAnsi="Arial"/>
                <w:sz w:val="18"/>
              </w:rPr>
              <w:t>**1,541.18**</w:t>
            </w:r>
          </w:p>
        </w:tc>
        <w:tc>
          <w:tcPr>
            <w:tcW w:w="1003" w:type="dxa"/>
          </w:tcPr>
          <w:p w14:paraId="41E8095C" w14:textId="77777777" w:rsidR="00AD4FA5" w:rsidRDefault="00000000">
            <w:r>
              <w:rPr>
                <w:rFonts w:ascii="Arial" w:hAnsi="Arial"/>
                <w:sz w:val="18"/>
              </w:rPr>
              <w:t>**100.00%**</w:t>
            </w:r>
          </w:p>
        </w:tc>
        <w:tc>
          <w:tcPr>
            <w:tcW w:w="1003" w:type="dxa"/>
          </w:tcPr>
          <w:p w14:paraId="7DBBEE2D" w14:textId="77777777" w:rsidR="00AD4FA5" w:rsidRDefault="00000000">
            <w:r>
              <w:rPr>
                <w:rFonts w:ascii="Arial" w:hAnsi="Arial"/>
                <w:sz w:val="18"/>
              </w:rPr>
              <w:t>**21,976,797.3**</w:t>
            </w:r>
          </w:p>
        </w:tc>
        <w:tc>
          <w:tcPr>
            <w:tcW w:w="1003" w:type="dxa"/>
          </w:tcPr>
          <w:p w14:paraId="2DAD39CC" w14:textId="77777777" w:rsidR="00AD4FA5" w:rsidRDefault="00000000">
            <w:r>
              <w:rPr>
                <w:rFonts w:ascii="Arial" w:hAnsi="Arial"/>
                <w:sz w:val="18"/>
              </w:rPr>
              <w:t>**15,280,174.14**</w:t>
            </w:r>
          </w:p>
        </w:tc>
        <w:tc>
          <w:tcPr>
            <w:tcW w:w="1003" w:type="dxa"/>
          </w:tcPr>
          <w:p w14:paraId="698F0DEA" w14:textId="77777777" w:rsidR="00AD4FA5" w:rsidRDefault="00000000">
            <w:r>
              <w:rPr>
                <w:rFonts w:ascii="Arial" w:hAnsi="Arial"/>
                <w:sz w:val="18"/>
              </w:rPr>
              <w:t>**100.00%**</w:t>
            </w:r>
          </w:p>
        </w:tc>
        <w:tc>
          <w:tcPr>
            <w:tcW w:w="1003" w:type="dxa"/>
          </w:tcPr>
          <w:p w14:paraId="3015BCCD" w14:textId="77777777" w:rsidR="00AD4FA5" w:rsidRDefault="00000000">
            <w:r>
              <w:rPr>
                <w:rFonts w:ascii="Arial" w:hAnsi="Arial"/>
                <w:sz w:val="18"/>
              </w:rPr>
              <w:t>**14.26**</w:t>
            </w:r>
          </w:p>
        </w:tc>
        <w:tc>
          <w:tcPr>
            <w:tcW w:w="1003" w:type="dxa"/>
          </w:tcPr>
          <w:p w14:paraId="4CF8C270" w14:textId="77777777" w:rsidR="00AD4FA5" w:rsidRDefault="00000000">
            <w:r>
              <w:rPr>
                <w:rFonts w:ascii="Arial" w:hAnsi="Arial"/>
                <w:sz w:val="18"/>
              </w:rPr>
              <w:t>**3.36**</w:t>
            </w:r>
          </w:p>
        </w:tc>
      </w:tr>
    </w:tbl>
    <w:p w14:paraId="30BA4A5C" w14:textId="77777777" w:rsidR="00AD4FA5" w:rsidRDefault="00000000">
      <w:r>
        <w:rPr>
          <w:rFonts w:ascii="Arial" w:hAnsi="Arial"/>
          <w:i/>
          <w:sz w:val="16"/>
        </w:rPr>
        <w:t>Source: Source: Internal PCAF calculation based on 2024 corporate loan portfolio. Emission intensity calculated as gross financed emissions divided by outstanding loan amount. Portfolio-weighted average PCAF score: 3.36 (1 = verified data, 5 = sector average proxy). Gross financed emissions represent unweighted attribution; weighted emissions apply PCAF confidence factors based on data quality tiers.</w:t>
      </w:r>
    </w:p>
    <w:p w14:paraId="75C387CE" w14:textId="77777777" w:rsidR="00AD4FA5" w:rsidRDefault="00AD4FA5"/>
    <w:p w14:paraId="693DE89D" w14:textId="77777777" w:rsidR="00AD4FA5" w:rsidRDefault="00000000">
      <w:r>
        <w:rPr>
          <w:rFonts w:ascii="Arial" w:hAnsi="Arial"/>
          <w:b/>
          <w:sz w:val="20"/>
        </w:rPr>
        <w:t>Table 2: PCAF Data Quality Distribution by Sector (Reporting Year 2024)</w:t>
      </w:r>
    </w:p>
    <w:tbl>
      <w:tblPr>
        <w:tblW w:w="0" w:type="auto"/>
        <w:jc w:val="center"/>
        <w:tblLook w:val="04A0" w:firstRow="1" w:lastRow="0" w:firstColumn="1" w:lastColumn="0" w:noHBand="0" w:noVBand="1"/>
      </w:tblPr>
      <w:tblGrid>
        <w:gridCol w:w="1806"/>
        <w:gridCol w:w="1806"/>
        <w:gridCol w:w="1806"/>
        <w:gridCol w:w="1806"/>
        <w:gridCol w:w="1806"/>
      </w:tblGrid>
      <w:tr w:rsidR="00AD4FA5" w14:paraId="2DAEC04A" w14:textId="77777777">
        <w:trPr>
          <w:jc w:val="center"/>
        </w:trPr>
        <w:tc>
          <w:tcPr>
            <w:tcW w:w="1806" w:type="dxa"/>
            <w:shd w:val="clear" w:color="auto" w:fill="1B3A6B"/>
          </w:tcPr>
          <w:p w14:paraId="0711B5C4" w14:textId="77777777" w:rsidR="00AD4FA5" w:rsidRDefault="00000000">
            <w:r>
              <w:rPr>
                <w:rFonts w:ascii="Arial" w:hAnsi="Arial"/>
                <w:b/>
                <w:color w:val="FFFFFF"/>
                <w:sz w:val="18"/>
              </w:rPr>
              <w:t>No.</w:t>
            </w:r>
          </w:p>
        </w:tc>
        <w:tc>
          <w:tcPr>
            <w:tcW w:w="1806" w:type="dxa"/>
            <w:shd w:val="clear" w:color="auto" w:fill="1B3A6B"/>
          </w:tcPr>
          <w:p w14:paraId="4D76D4CD" w14:textId="77777777" w:rsidR="00AD4FA5" w:rsidRDefault="00000000">
            <w:r>
              <w:rPr>
                <w:rFonts w:ascii="Arial" w:hAnsi="Arial"/>
                <w:b/>
                <w:color w:val="FFFFFF"/>
                <w:sz w:val="18"/>
              </w:rPr>
              <w:t>Sector</w:t>
            </w:r>
          </w:p>
        </w:tc>
        <w:tc>
          <w:tcPr>
            <w:tcW w:w="1806" w:type="dxa"/>
            <w:shd w:val="clear" w:color="auto" w:fill="1B3A6B"/>
          </w:tcPr>
          <w:p w14:paraId="62CEA9F1" w14:textId="77777777" w:rsidR="00AD4FA5" w:rsidRDefault="00000000">
            <w:r>
              <w:rPr>
                <w:rFonts w:ascii="Arial" w:hAnsi="Arial"/>
                <w:b/>
                <w:color w:val="FFFFFF"/>
                <w:sz w:val="18"/>
              </w:rPr>
              <w:t>Avg PCAF Score</w:t>
            </w:r>
          </w:p>
        </w:tc>
        <w:tc>
          <w:tcPr>
            <w:tcW w:w="1806" w:type="dxa"/>
            <w:shd w:val="clear" w:color="auto" w:fill="1B3A6B"/>
          </w:tcPr>
          <w:p w14:paraId="2D5A6ADA" w14:textId="77777777" w:rsidR="00AD4FA5" w:rsidRDefault="00000000">
            <w:r>
              <w:rPr>
                <w:rFonts w:ascii="Arial" w:hAnsi="Arial"/>
                <w:b/>
                <w:color w:val="FFFFFF"/>
                <w:sz w:val="18"/>
              </w:rPr>
              <w:t>Borrower Count</w:t>
            </w:r>
          </w:p>
        </w:tc>
        <w:tc>
          <w:tcPr>
            <w:tcW w:w="1806" w:type="dxa"/>
            <w:shd w:val="clear" w:color="auto" w:fill="1B3A6B"/>
          </w:tcPr>
          <w:p w14:paraId="00C2010B" w14:textId="77777777" w:rsidR="00AD4FA5" w:rsidRDefault="00000000">
            <w:r>
              <w:rPr>
                <w:rFonts w:ascii="Arial" w:hAnsi="Arial"/>
                <w:b/>
                <w:color w:val="FFFFFF"/>
                <w:sz w:val="18"/>
              </w:rPr>
              <w:t>Data Quality Assessment</w:t>
            </w:r>
          </w:p>
        </w:tc>
      </w:tr>
      <w:tr w:rsidR="00AD4FA5" w14:paraId="4413115F" w14:textId="77777777">
        <w:trPr>
          <w:jc w:val="center"/>
        </w:trPr>
        <w:tc>
          <w:tcPr>
            <w:tcW w:w="1806" w:type="dxa"/>
          </w:tcPr>
          <w:p w14:paraId="2413A0B1" w14:textId="77777777" w:rsidR="00AD4FA5" w:rsidRDefault="00000000">
            <w:pPr>
              <w:jc w:val="right"/>
            </w:pPr>
            <w:r>
              <w:rPr>
                <w:rFonts w:ascii="Arial" w:hAnsi="Arial"/>
                <w:sz w:val="18"/>
              </w:rPr>
              <w:t>1</w:t>
            </w:r>
          </w:p>
        </w:tc>
        <w:tc>
          <w:tcPr>
            <w:tcW w:w="1806" w:type="dxa"/>
          </w:tcPr>
          <w:p w14:paraId="2008620F" w14:textId="77777777" w:rsidR="00AD4FA5" w:rsidRDefault="00000000">
            <w:r>
              <w:rPr>
                <w:rFonts w:ascii="Arial" w:hAnsi="Arial"/>
                <w:sz w:val="18"/>
              </w:rPr>
              <w:t>Retail Trade</w:t>
            </w:r>
          </w:p>
        </w:tc>
        <w:tc>
          <w:tcPr>
            <w:tcW w:w="1806" w:type="dxa"/>
          </w:tcPr>
          <w:p w14:paraId="7CA69AAC" w14:textId="77777777" w:rsidR="00AD4FA5" w:rsidRDefault="00000000">
            <w:pPr>
              <w:jc w:val="right"/>
            </w:pPr>
            <w:r>
              <w:rPr>
                <w:rFonts w:ascii="Arial" w:hAnsi="Arial"/>
                <w:sz w:val="18"/>
              </w:rPr>
              <w:t>3.21</w:t>
            </w:r>
          </w:p>
        </w:tc>
        <w:tc>
          <w:tcPr>
            <w:tcW w:w="1806" w:type="dxa"/>
          </w:tcPr>
          <w:p w14:paraId="1E88AA0A" w14:textId="77777777" w:rsidR="00AD4FA5" w:rsidRDefault="00000000">
            <w:pPr>
              <w:jc w:val="right"/>
            </w:pPr>
            <w:r>
              <w:rPr>
                <w:rFonts w:ascii="Arial" w:hAnsi="Arial"/>
                <w:sz w:val="18"/>
              </w:rPr>
              <w:t>209</w:t>
            </w:r>
          </w:p>
        </w:tc>
        <w:tc>
          <w:tcPr>
            <w:tcW w:w="1806" w:type="dxa"/>
          </w:tcPr>
          <w:p w14:paraId="7BF012ED" w14:textId="77777777" w:rsidR="00AD4FA5" w:rsidRDefault="00000000">
            <w:r>
              <w:rPr>
                <w:rFonts w:ascii="Arial" w:hAnsi="Arial"/>
                <w:sz w:val="18"/>
              </w:rPr>
              <w:t>Moderate — EEIO with revenue proxy</w:t>
            </w:r>
          </w:p>
        </w:tc>
      </w:tr>
      <w:tr w:rsidR="00AD4FA5" w14:paraId="4DA1C419" w14:textId="77777777">
        <w:trPr>
          <w:jc w:val="center"/>
        </w:trPr>
        <w:tc>
          <w:tcPr>
            <w:tcW w:w="1806" w:type="dxa"/>
            <w:shd w:val="clear" w:color="auto" w:fill="F2F6FC"/>
          </w:tcPr>
          <w:p w14:paraId="2A8E4C58" w14:textId="77777777" w:rsidR="00AD4FA5" w:rsidRDefault="00000000">
            <w:pPr>
              <w:jc w:val="right"/>
            </w:pPr>
            <w:r>
              <w:rPr>
                <w:rFonts w:ascii="Arial" w:hAnsi="Arial"/>
                <w:sz w:val="18"/>
              </w:rPr>
              <w:t>2</w:t>
            </w:r>
          </w:p>
        </w:tc>
        <w:tc>
          <w:tcPr>
            <w:tcW w:w="1806" w:type="dxa"/>
            <w:shd w:val="clear" w:color="auto" w:fill="F2F6FC"/>
          </w:tcPr>
          <w:p w14:paraId="301395D9" w14:textId="77777777" w:rsidR="00AD4FA5" w:rsidRDefault="00000000">
            <w:r>
              <w:rPr>
                <w:rFonts w:ascii="Arial" w:hAnsi="Arial"/>
                <w:sz w:val="18"/>
              </w:rPr>
              <w:t>Real Estate - Commercial</w:t>
            </w:r>
          </w:p>
        </w:tc>
        <w:tc>
          <w:tcPr>
            <w:tcW w:w="1806" w:type="dxa"/>
            <w:shd w:val="clear" w:color="auto" w:fill="F2F6FC"/>
          </w:tcPr>
          <w:p w14:paraId="7A68836A" w14:textId="77777777" w:rsidR="00AD4FA5" w:rsidRDefault="00000000">
            <w:pPr>
              <w:jc w:val="right"/>
            </w:pPr>
            <w:r>
              <w:rPr>
                <w:rFonts w:ascii="Arial" w:hAnsi="Arial"/>
                <w:sz w:val="18"/>
              </w:rPr>
              <w:t>3.27</w:t>
            </w:r>
          </w:p>
        </w:tc>
        <w:tc>
          <w:tcPr>
            <w:tcW w:w="1806" w:type="dxa"/>
            <w:shd w:val="clear" w:color="auto" w:fill="F2F6FC"/>
          </w:tcPr>
          <w:p w14:paraId="168674B1" w14:textId="77777777" w:rsidR="00AD4FA5" w:rsidRDefault="00000000">
            <w:pPr>
              <w:jc w:val="right"/>
            </w:pPr>
            <w:r>
              <w:rPr>
                <w:rFonts w:ascii="Arial" w:hAnsi="Arial"/>
                <w:sz w:val="18"/>
              </w:rPr>
              <w:t>290</w:t>
            </w:r>
          </w:p>
        </w:tc>
        <w:tc>
          <w:tcPr>
            <w:tcW w:w="1806" w:type="dxa"/>
            <w:shd w:val="clear" w:color="auto" w:fill="F2F6FC"/>
          </w:tcPr>
          <w:p w14:paraId="3F377574" w14:textId="77777777" w:rsidR="00AD4FA5" w:rsidRDefault="00000000">
            <w:r>
              <w:rPr>
                <w:rFonts w:ascii="Arial" w:hAnsi="Arial"/>
                <w:sz w:val="18"/>
              </w:rPr>
              <w:t>Moderate — EEIO with asset proxy</w:t>
            </w:r>
          </w:p>
        </w:tc>
      </w:tr>
      <w:tr w:rsidR="00AD4FA5" w14:paraId="094A7B2D" w14:textId="77777777">
        <w:trPr>
          <w:jc w:val="center"/>
        </w:trPr>
        <w:tc>
          <w:tcPr>
            <w:tcW w:w="1806" w:type="dxa"/>
          </w:tcPr>
          <w:p w14:paraId="51ECCE92" w14:textId="77777777" w:rsidR="00AD4FA5" w:rsidRDefault="00000000">
            <w:pPr>
              <w:jc w:val="right"/>
            </w:pPr>
            <w:r>
              <w:rPr>
                <w:rFonts w:ascii="Arial" w:hAnsi="Arial"/>
                <w:sz w:val="18"/>
              </w:rPr>
              <w:t>3</w:t>
            </w:r>
          </w:p>
        </w:tc>
        <w:tc>
          <w:tcPr>
            <w:tcW w:w="1806" w:type="dxa"/>
          </w:tcPr>
          <w:p w14:paraId="04BD8891" w14:textId="77777777" w:rsidR="00AD4FA5" w:rsidRDefault="00000000">
            <w:r>
              <w:rPr>
                <w:rFonts w:ascii="Arial" w:hAnsi="Arial"/>
                <w:sz w:val="18"/>
              </w:rPr>
              <w:t>Energy - Oil &amp; Gas</w:t>
            </w:r>
          </w:p>
        </w:tc>
        <w:tc>
          <w:tcPr>
            <w:tcW w:w="1806" w:type="dxa"/>
          </w:tcPr>
          <w:p w14:paraId="762CC7C3" w14:textId="77777777" w:rsidR="00AD4FA5" w:rsidRDefault="00000000">
            <w:pPr>
              <w:jc w:val="right"/>
            </w:pPr>
            <w:r>
              <w:rPr>
                <w:rFonts w:ascii="Arial" w:hAnsi="Arial"/>
                <w:sz w:val="18"/>
              </w:rPr>
              <w:t>3.32</w:t>
            </w:r>
          </w:p>
        </w:tc>
        <w:tc>
          <w:tcPr>
            <w:tcW w:w="1806" w:type="dxa"/>
          </w:tcPr>
          <w:p w14:paraId="2EF880AC" w14:textId="77777777" w:rsidR="00AD4FA5" w:rsidRDefault="00000000">
            <w:pPr>
              <w:jc w:val="right"/>
            </w:pPr>
            <w:r>
              <w:rPr>
                <w:rFonts w:ascii="Arial" w:hAnsi="Arial"/>
                <w:sz w:val="18"/>
              </w:rPr>
              <w:t>135</w:t>
            </w:r>
          </w:p>
        </w:tc>
        <w:tc>
          <w:tcPr>
            <w:tcW w:w="1806" w:type="dxa"/>
          </w:tcPr>
          <w:p w14:paraId="0E6D11A4" w14:textId="77777777" w:rsidR="00AD4FA5" w:rsidRDefault="00000000">
            <w:r>
              <w:rPr>
                <w:rFonts w:ascii="Arial" w:hAnsi="Arial"/>
                <w:sz w:val="18"/>
              </w:rPr>
              <w:t>Moderate — EEIO with revenue proxy</w:t>
            </w:r>
          </w:p>
        </w:tc>
      </w:tr>
      <w:tr w:rsidR="00AD4FA5" w14:paraId="325D0C5D" w14:textId="77777777">
        <w:trPr>
          <w:jc w:val="center"/>
        </w:trPr>
        <w:tc>
          <w:tcPr>
            <w:tcW w:w="1806" w:type="dxa"/>
            <w:shd w:val="clear" w:color="auto" w:fill="F2F6FC"/>
          </w:tcPr>
          <w:p w14:paraId="0964227A" w14:textId="77777777" w:rsidR="00AD4FA5" w:rsidRDefault="00000000">
            <w:pPr>
              <w:jc w:val="right"/>
            </w:pPr>
            <w:r>
              <w:rPr>
                <w:rFonts w:ascii="Arial" w:hAnsi="Arial"/>
                <w:sz w:val="18"/>
              </w:rPr>
              <w:t>4</w:t>
            </w:r>
          </w:p>
        </w:tc>
        <w:tc>
          <w:tcPr>
            <w:tcW w:w="1806" w:type="dxa"/>
            <w:shd w:val="clear" w:color="auto" w:fill="F2F6FC"/>
          </w:tcPr>
          <w:p w14:paraId="618B4D7A" w14:textId="77777777" w:rsidR="00AD4FA5" w:rsidRDefault="00000000">
            <w:r>
              <w:rPr>
                <w:rFonts w:ascii="Arial" w:hAnsi="Arial"/>
                <w:sz w:val="18"/>
              </w:rPr>
              <w:t>Real Estate - Residential</w:t>
            </w:r>
          </w:p>
        </w:tc>
        <w:tc>
          <w:tcPr>
            <w:tcW w:w="1806" w:type="dxa"/>
            <w:shd w:val="clear" w:color="auto" w:fill="F2F6FC"/>
          </w:tcPr>
          <w:p w14:paraId="38283323" w14:textId="77777777" w:rsidR="00AD4FA5" w:rsidRDefault="00000000">
            <w:pPr>
              <w:jc w:val="right"/>
            </w:pPr>
            <w:r>
              <w:rPr>
                <w:rFonts w:ascii="Arial" w:hAnsi="Arial"/>
                <w:sz w:val="18"/>
              </w:rPr>
              <w:t>3.32</w:t>
            </w:r>
          </w:p>
        </w:tc>
        <w:tc>
          <w:tcPr>
            <w:tcW w:w="1806" w:type="dxa"/>
            <w:shd w:val="clear" w:color="auto" w:fill="F2F6FC"/>
          </w:tcPr>
          <w:p w14:paraId="793E9C2E" w14:textId="77777777" w:rsidR="00AD4FA5" w:rsidRDefault="00000000">
            <w:pPr>
              <w:jc w:val="right"/>
            </w:pPr>
            <w:r>
              <w:rPr>
                <w:rFonts w:ascii="Arial" w:hAnsi="Arial"/>
                <w:sz w:val="18"/>
              </w:rPr>
              <w:t>223</w:t>
            </w:r>
          </w:p>
        </w:tc>
        <w:tc>
          <w:tcPr>
            <w:tcW w:w="1806" w:type="dxa"/>
            <w:shd w:val="clear" w:color="auto" w:fill="F2F6FC"/>
          </w:tcPr>
          <w:p w14:paraId="71FA8213" w14:textId="77777777" w:rsidR="00AD4FA5" w:rsidRDefault="00000000">
            <w:r>
              <w:rPr>
                <w:rFonts w:ascii="Arial" w:hAnsi="Arial"/>
                <w:sz w:val="18"/>
              </w:rPr>
              <w:t>Moderate — EEIO with asset proxy</w:t>
            </w:r>
          </w:p>
        </w:tc>
      </w:tr>
      <w:tr w:rsidR="00AD4FA5" w14:paraId="2A918AE4" w14:textId="77777777">
        <w:trPr>
          <w:jc w:val="center"/>
        </w:trPr>
        <w:tc>
          <w:tcPr>
            <w:tcW w:w="1806" w:type="dxa"/>
          </w:tcPr>
          <w:p w14:paraId="36B01032" w14:textId="77777777" w:rsidR="00AD4FA5" w:rsidRDefault="00000000">
            <w:pPr>
              <w:jc w:val="right"/>
            </w:pPr>
            <w:r>
              <w:rPr>
                <w:rFonts w:ascii="Arial" w:hAnsi="Arial"/>
                <w:sz w:val="18"/>
              </w:rPr>
              <w:t>5</w:t>
            </w:r>
          </w:p>
        </w:tc>
        <w:tc>
          <w:tcPr>
            <w:tcW w:w="1806" w:type="dxa"/>
          </w:tcPr>
          <w:p w14:paraId="1B6A21C9" w14:textId="77777777" w:rsidR="00AD4FA5" w:rsidRDefault="00000000">
            <w:r>
              <w:rPr>
                <w:rFonts w:ascii="Arial" w:hAnsi="Arial"/>
                <w:sz w:val="18"/>
              </w:rPr>
              <w:t>Manufacturing - Steel</w:t>
            </w:r>
          </w:p>
        </w:tc>
        <w:tc>
          <w:tcPr>
            <w:tcW w:w="1806" w:type="dxa"/>
          </w:tcPr>
          <w:p w14:paraId="519EEAC5" w14:textId="77777777" w:rsidR="00AD4FA5" w:rsidRDefault="00000000">
            <w:pPr>
              <w:jc w:val="right"/>
            </w:pPr>
            <w:r>
              <w:rPr>
                <w:rFonts w:ascii="Arial" w:hAnsi="Arial"/>
                <w:sz w:val="18"/>
              </w:rPr>
              <w:t>3.35</w:t>
            </w:r>
          </w:p>
        </w:tc>
        <w:tc>
          <w:tcPr>
            <w:tcW w:w="1806" w:type="dxa"/>
          </w:tcPr>
          <w:p w14:paraId="58A15DBC" w14:textId="77777777" w:rsidR="00AD4FA5" w:rsidRDefault="00000000">
            <w:pPr>
              <w:jc w:val="right"/>
            </w:pPr>
            <w:r>
              <w:rPr>
                <w:rFonts w:ascii="Arial" w:hAnsi="Arial"/>
                <w:sz w:val="18"/>
              </w:rPr>
              <w:t>122</w:t>
            </w:r>
          </w:p>
        </w:tc>
        <w:tc>
          <w:tcPr>
            <w:tcW w:w="1806" w:type="dxa"/>
          </w:tcPr>
          <w:p w14:paraId="4195CACA" w14:textId="77777777" w:rsidR="00AD4FA5" w:rsidRDefault="00000000">
            <w:r>
              <w:rPr>
                <w:rFonts w:ascii="Arial" w:hAnsi="Arial"/>
                <w:sz w:val="18"/>
              </w:rPr>
              <w:t>Moderate — EEIO with revenue proxy</w:t>
            </w:r>
          </w:p>
        </w:tc>
      </w:tr>
      <w:tr w:rsidR="00AD4FA5" w14:paraId="2118CABD" w14:textId="77777777">
        <w:trPr>
          <w:jc w:val="center"/>
        </w:trPr>
        <w:tc>
          <w:tcPr>
            <w:tcW w:w="1806" w:type="dxa"/>
            <w:shd w:val="clear" w:color="auto" w:fill="F2F6FC"/>
          </w:tcPr>
          <w:p w14:paraId="2C8A08B3" w14:textId="77777777" w:rsidR="00AD4FA5" w:rsidRDefault="00000000">
            <w:pPr>
              <w:jc w:val="right"/>
            </w:pPr>
            <w:r>
              <w:rPr>
                <w:rFonts w:ascii="Arial" w:hAnsi="Arial"/>
                <w:sz w:val="18"/>
              </w:rPr>
              <w:t>6</w:t>
            </w:r>
          </w:p>
        </w:tc>
        <w:tc>
          <w:tcPr>
            <w:tcW w:w="1806" w:type="dxa"/>
            <w:shd w:val="clear" w:color="auto" w:fill="F2F6FC"/>
          </w:tcPr>
          <w:p w14:paraId="467C7386" w14:textId="77777777" w:rsidR="00AD4FA5" w:rsidRDefault="00000000">
            <w:r>
              <w:rPr>
                <w:rFonts w:ascii="Arial" w:hAnsi="Arial"/>
                <w:sz w:val="18"/>
              </w:rPr>
              <w:t>Manufacturing - Food &amp; Beverage</w:t>
            </w:r>
          </w:p>
        </w:tc>
        <w:tc>
          <w:tcPr>
            <w:tcW w:w="1806" w:type="dxa"/>
            <w:shd w:val="clear" w:color="auto" w:fill="F2F6FC"/>
          </w:tcPr>
          <w:p w14:paraId="2F68B3DF" w14:textId="77777777" w:rsidR="00AD4FA5" w:rsidRDefault="00000000">
            <w:pPr>
              <w:jc w:val="right"/>
            </w:pPr>
            <w:r>
              <w:rPr>
                <w:rFonts w:ascii="Arial" w:hAnsi="Arial"/>
                <w:sz w:val="18"/>
              </w:rPr>
              <w:t>3.35</w:t>
            </w:r>
          </w:p>
        </w:tc>
        <w:tc>
          <w:tcPr>
            <w:tcW w:w="1806" w:type="dxa"/>
            <w:shd w:val="clear" w:color="auto" w:fill="F2F6FC"/>
          </w:tcPr>
          <w:p w14:paraId="5EC943D5" w14:textId="77777777" w:rsidR="00AD4FA5" w:rsidRDefault="00000000">
            <w:pPr>
              <w:jc w:val="right"/>
            </w:pPr>
            <w:r>
              <w:rPr>
                <w:rFonts w:ascii="Arial" w:hAnsi="Arial"/>
                <w:sz w:val="18"/>
              </w:rPr>
              <w:t>206</w:t>
            </w:r>
          </w:p>
        </w:tc>
        <w:tc>
          <w:tcPr>
            <w:tcW w:w="1806" w:type="dxa"/>
            <w:shd w:val="clear" w:color="auto" w:fill="F2F6FC"/>
          </w:tcPr>
          <w:p w14:paraId="6A3C29B4" w14:textId="77777777" w:rsidR="00AD4FA5" w:rsidRDefault="00000000">
            <w:r>
              <w:rPr>
                <w:rFonts w:ascii="Arial" w:hAnsi="Arial"/>
                <w:sz w:val="18"/>
              </w:rPr>
              <w:t>Moderate — EEIO with revenue proxy</w:t>
            </w:r>
          </w:p>
        </w:tc>
      </w:tr>
      <w:tr w:rsidR="00AD4FA5" w14:paraId="78995C28" w14:textId="77777777">
        <w:trPr>
          <w:jc w:val="center"/>
        </w:trPr>
        <w:tc>
          <w:tcPr>
            <w:tcW w:w="1806" w:type="dxa"/>
          </w:tcPr>
          <w:p w14:paraId="4F268129" w14:textId="77777777" w:rsidR="00AD4FA5" w:rsidRDefault="00000000">
            <w:pPr>
              <w:jc w:val="right"/>
            </w:pPr>
            <w:r>
              <w:rPr>
                <w:rFonts w:ascii="Arial" w:hAnsi="Arial"/>
                <w:sz w:val="18"/>
              </w:rPr>
              <w:t>7</w:t>
            </w:r>
          </w:p>
        </w:tc>
        <w:tc>
          <w:tcPr>
            <w:tcW w:w="1806" w:type="dxa"/>
          </w:tcPr>
          <w:p w14:paraId="1335ED32" w14:textId="77777777" w:rsidR="00AD4FA5" w:rsidRDefault="00000000">
            <w:r>
              <w:rPr>
                <w:rFonts w:ascii="Arial" w:hAnsi="Arial"/>
                <w:sz w:val="18"/>
              </w:rPr>
              <w:t xml:space="preserve">Transportation - </w:t>
            </w:r>
            <w:r>
              <w:rPr>
                <w:rFonts w:ascii="Arial" w:hAnsi="Arial"/>
                <w:sz w:val="18"/>
              </w:rPr>
              <w:lastRenderedPageBreak/>
              <w:t>Road</w:t>
            </w:r>
          </w:p>
        </w:tc>
        <w:tc>
          <w:tcPr>
            <w:tcW w:w="1806" w:type="dxa"/>
          </w:tcPr>
          <w:p w14:paraId="16D94ED7" w14:textId="77777777" w:rsidR="00AD4FA5" w:rsidRDefault="00000000">
            <w:pPr>
              <w:jc w:val="right"/>
            </w:pPr>
            <w:r>
              <w:rPr>
                <w:rFonts w:ascii="Arial" w:hAnsi="Arial"/>
                <w:sz w:val="18"/>
              </w:rPr>
              <w:lastRenderedPageBreak/>
              <w:t>3.36</w:t>
            </w:r>
          </w:p>
        </w:tc>
        <w:tc>
          <w:tcPr>
            <w:tcW w:w="1806" w:type="dxa"/>
          </w:tcPr>
          <w:p w14:paraId="29B24002" w14:textId="77777777" w:rsidR="00AD4FA5" w:rsidRDefault="00000000">
            <w:pPr>
              <w:jc w:val="right"/>
            </w:pPr>
            <w:r>
              <w:rPr>
                <w:rFonts w:ascii="Arial" w:hAnsi="Arial"/>
                <w:sz w:val="18"/>
              </w:rPr>
              <w:t>189</w:t>
            </w:r>
          </w:p>
        </w:tc>
        <w:tc>
          <w:tcPr>
            <w:tcW w:w="1806" w:type="dxa"/>
          </w:tcPr>
          <w:p w14:paraId="364E6584" w14:textId="77777777" w:rsidR="00AD4FA5" w:rsidRDefault="00000000">
            <w:r>
              <w:rPr>
                <w:rFonts w:ascii="Arial" w:hAnsi="Arial"/>
                <w:sz w:val="18"/>
              </w:rPr>
              <w:t xml:space="preserve">Moderate — EEIO </w:t>
            </w:r>
            <w:r>
              <w:rPr>
                <w:rFonts w:ascii="Arial" w:hAnsi="Arial"/>
                <w:sz w:val="18"/>
              </w:rPr>
              <w:lastRenderedPageBreak/>
              <w:t>with revenue proxy</w:t>
            </w:r>
          </w:p>
        </w:tc>
      </w:tr>
      <w:tr w:rsidR="00AD4FA5" w14:paraId="6D4AB8BE" w14:textId="77777777">
        <w:trPr>
          <w:jc w:val="center"/>
        </w:trPr>
        <w:tc>
          <w:tcPr>
            <w:tcW w:w="1806" w:type="dxa"/>
            <w:shd w:val="clear" w:color="auto" w:fill="F2F6FC"/>
          </w:tcPr>
          <w:p w14:paraId="2E715741" w14:textId="77777777" w:rsidR="00AD4FA5" w:rsidRDefault="00000000">
            <w:pPr>
              <w:jc w:val="right"/>
            </w:pPr>
            <w:r>
              <w:rPr>
                <w:rFonts w:ascii="Arial" w:hAnsi="Arial"/>
                <w:sz w:val="18"/>
              </w:rPr>
              <w:lastRenderedPageBreak/>
              <w:t>8</w:t>
            </w:r>
          </w:p>
        </w:tc>
        <w:tc>
          <w:tcPr>
            <w:tcW w:w="1806" w:type="dxa"/>
            <w:shd w:val="clear" w:color="auto" w:fill="F2F6FC"/>
          </w:tcPr>
          <w:p w14:paraId="4D2D21AB" w14:textId="77777777" w:rsidR="00AD4FA5" w:rsidRDefault="00000000">
            <w:r>
              <w:rPr>
                <w:rFonts w:ascii="Arial" w:hAnsi="Arial"/>
                <w:sz w:val="18"/>
              </w:rPr>
              <w:t>Manufacturing - Cement</w:t>
            </w:r>
          </w:p>
        </w:tc>
        <w:tc>
          <w:tcPr>
            <w:tcW w:w="1806" w:type="dxa"/>
            <w:shd w:val="clear" w:color="auto" w:fill="F2F6FC"/>
          </w:tcPr>
          <w:p w14:paraId="57717AC8" w14:textId="77777777" w:rsidR="00AD4FA5" w:rsidRDefault="00000000">
            <w:pPr>
              <w:jc w:val="right"/>
            </w:pPr>
            <w:r>
              <w:rPr>
                <w:rFonts w:ascii="Arial" w:hAnsi="Arial"/>
                <w:sz w:val="18"/>
              </w:rPr>
              <w:t>3.40</w:t>
            </w:r>
          </w:p>
        </w:tc>
        <w:tc>
          <w:tcPr>
            <w:tcW w:w="1806" w:type="dxa"/>
            <w:shd w:val="clear" w:color="auto" w:fill="F2F6FC"/>
          </w:tcPr>
          <w:p w14:paraId="37802672" w14:textId="77777777" w:rsidR="00AD4FA5" w:rsidRDefault="00000000">
            <w:pPr>
              <w:jc w:val="right"/>
            </w:pPr>
            <w:r>
              <w:rPr>
                <w:rFonts w:ascii="Arial" w:hAnsi="Arial"/>
                <w:sz w:val="18"/>
              </w:rPr>
              <w:t>161</w:t>
            </w:r>
          </w:p>
        </w:tc>
        <w:tc>
          <w:tcPr>
            <w:tcW w:w="1806" w:type="dxa"/>
            <w:shd w:val="clear" w:color="auto" w:fill="F2F6FC"/>
          </w:tcPr>
          <w:p w14:paraId="4A4FAA72" w14:textId="77777777" w:rsidR="00AD4FA5" w:rsidRDefault="00000000">
            <w:r>
              <w:rPr>
                <w:rFonts w:ascii="Arial" w:hAnsi="Arial"/>
                <w:sz w:val="18"/>
              </w:rPr>
              <w:t>Low — EEIO with asset proxy</w:t>
            </w:r>
          </w:p>
        </w:tc>
      </w:tr>
      <w:tr w:rsidR="00AD4FA5" w14:paraId="0C44E5C8" w14:textId="77777777">
        <w:trPr>
          <w:jc w:val="center"/>
        </w:trPr>
        <w:tc>
          <w:tcPr>
            <w:tcW w:w="1806" w:type="dxa"/>
          </w:tcPr>
          <w:p w14:paraId="669E4F5A" w14:textId="77777777" w:rsidR="00AD4FA5" w:rsidRDefault="00000000">
            <w:pPr>
              <w:jc w:val="right"/>
            </w:pPr>
            <w:r>
              <w:rPr>
                <w:rFonts w:ascii="Arial" w:hAnsi="Arial"/>
                <w:sz w:val="18"/>
              </w:rPr>
              <w:t>9</w:t>
            </w:r>
          </w:p>
        </w:tc>
        <w:tc>
          <w:tcPr>
            <w:tcW w:w="1806" w:type="dxa"/>
          </w:tcPr>
          <w:p w14:paraId="62571320" w14:textId="77777777" w:rsidR="00AD4FA5" w:rsidRDefault="00000000">
            <w:r>
              <w:rPr>
                <w:rFonts w:ascii="Arial" w:hAnsi="Arial"/>
                <w:sz w:val="18"/>
              </w:rPr>
              <w:t>Agriculture</w:t>
            </w:r>
          </w:p>
        </w:tc>
        <w:tc>
          <w:tcPr>
            <w:tcW w:w="1806" w:type="dxa"/>
          </w:tcPr>
          <w:p w14:paraId="41858DE3" w14:textId="77777777" w:rsidR="00AD4FA5" w:rsidRDefault="00000000">
            <w:pPr>
              <w:jc w:val="right"/>
            </w:pPr>
            <w:r>
              <w:rPr>
                <w:rFonts w:ascii="Arial" w:hAnsi="Arial"/>
                <w:sz w:val="18"/>
              </w:rPr>
              <w:t>3.41</w:t>
            </w:r>
          </w:p>
        </w:tc>
        <w:tc>
          <w:tcPr>
            <w:tcW w:w="1806" w:type="dxa"/>
          </w:tcPr>
          <w:p w14:paraId="3BA12072" w14:textId="77777777" w:rsidR="00AD4FA5" w:rsidRDefault="00000000">
            <w:pPr>
              <w:jc w:val="right"/>
            </w:pPr>
            <w:r>
              <w:rPr>
                <w:rFonts w:ascii="Arial" w:hAnsi="Arial"/>
                <w:sz w:val="18"/>
              </w:rPr>
              <w:t>163</w:t>
            </w:r>
          </w:p>
        </w:tc>
        <w:tc>
          <w:tcPr>
            <w:tcW w:w="1806" w:type="dxa"/>
          </w:tcPr>
          <w:p w14:paraId="2F668D3B" w14:textId="77777777" w:rsidR="00AD4FA5" w:rsidRDefault="00000000">
            <w:r>
              <w:rPr>
                <w:rFonts w:ascii="Arial" w:hAnsi="Arial"/>
                <w:sz w:val="18"/>
              </w:rPr>
              <w:t>Low — EEIO with asset proxy</w:t>
            </w:r>
          </w:p>
        </w:tc>
      </w:tr>
      <w:tr w:rsidR="00AD4FA5" w14:paraId="0267BFD1" w14:textId="77777777">
        <w:trPr>
          <w:jc w:val="center"/>
        </w:trPr>
        <w:tc>
          <w:tcPr>
            <w:tcW w:w="1806" w:type="dxa"/>
            <w:shd w:val="clear" w:color="auto" w:fill="F2F6FC"/>
          </w:tcPr>
          <w:p w14:paraId="4A2FD8DC" w14:textId="77777777" w:rsidR="00AD4FA5" w:rsidRDefault="00000000">
            <w:pPr>
              <w:jc w:val="right"/>
            </w:pPr>
            <w:r>
              <w:rPr>
                <w:rFonts w:ascii="Arial" w:hAnsi="Arial"/>
                <w:sz w:val="18"/>
              </w:rPr>
              <w:t>10</w:t>
            </w:r>
          </w:p>
        </w:tc>
        <w:tc>
          <w:tcPr>
            <w:tcW w:w="1806" w:type="dxa"/>
            <w:shd w:val="clear" w:color="auto" w:fill="F2F6FC"/>
          </w:tcPr>
          <w:p w14:paraId="289F5A66" w14:textId="77777777" w:rsidR="00AD4FA5" w:rsidRDefault="00000000">
            <w:r>
              <w:rPr>
                <w:rFonts w:ascii="Arial" w:hAnsi="Arial"/>
                <w:sz w:val="18"/>
              </w:rPr>
              <w:t>Financial Services</w:t>
            </w:r>
          </w:p>
        </w:tc>
        <w:tc>
          <w:tcPr>
            <w:tcW w:w="1806" w:type="dxa"/>
            <w:shd w:val="clear" w:color="auto" w:fill="F2F6FC"/>
          </w:tcPr>
          <w:p w14:paraId="045BB2CE" w14:textId="77777777" w:rsidR="00AD4FA5" w:rsidRDefault="00000000">
            <w:pPr>
              <w:jc w:val="right"/>
            </w:pPr>
            <w:r>
              <w:rPr>
                <w:rFonts w:ascii="Arial" w:hAnsi="Arial"/>
                <w:sz w:val="18"/>
              </w:rPr>
              <w:t>3.42</w:t>
            </w:r>
          </w:p>
        </w:tc>
        <w:tc>
          <w:tcPr>
            <w:tcW w:w="1806" w:type="dxa"/>
            <w:shd w:val="clear" w:color="auto" w:fill="F2F6FC"/>
          </w:tcPr>
          <w:p w14:paraId="4CE741B5" w14:textId="77777777" w:rsidR="00AD4FA5" w:rsidRDefault="00000000">
            <w:pPr>
              <w:jc w:val="right"/>
            </w:pPr>
            <w:r>
              <w:rPr>
                <w:rFonts w:ascii="Arial" w:hAnsi="Arial"/>
                <w:sz w:val="18"/>
              </w:rPr>
              <w:t>257</w:t>
            </w:r>
          </w:p>
        </w:tc>
        <w:tc>
          <w:tcPr>
            <w:tcW w:w="1806" w:type="dxa"/>
            <w:shd w:val="clear" w:color="auto" w:fill="F2F6FC"/>
          </w:tcPr>
          <w:p w14:paraId="5ED0916C" w14:textId="77777777" w:rsidR="00AD4FA5" w:rsidRDefault="00000000">
            <w:r>
              <w:rPr>
                <w:rFonts w:ascii="Arial" w:hAnsi="Arial"/>
                <w:sz w:val="18"/>
              </w:rPr>
              <w:t>Low — Sector average proxy</w:t>
            </w:r>
          </w:p>
        </w:tc>
      </w:tr>
    </w:tbl>
    <w:p w14:paraId="613677C3" w14:textId="77777777" w:rsidR="00AD4FA5" w:rsidRDefault="00000000">
      <w:r>
        <w:rPr>
          <w:rFonts w:ascii="Arial" w:hAnsi="Arial"/>
          <w:i/>
          <w:sz w:val="16"/>
        </w:rPr>
        <w:t>Source: Source: Internal PCAF data quality assessment. PCAF Score interpretation: 1.0 = Verified (CDP/equivalent), 2.0 = Reported unverified, 3.0 = EEIO + revenue, 4.0 = EEIO + assets, 5.0 = Sector average. Portfolio-weighted average: 3.36. No sectors achieved PCAF Scores 1-2 (verified/reported data) in current reporting period.</w:t>
      </w:r>
    </w:p>
    <w:p w14:paraId="019D4E96" w14:textId="77777777" w:rsidR="00AD4FA5" w:rsidRDefault="00AD4FA5"/>
    <w:p w14:paraId="0ADC7356" w14:textId="77777777" w:rsidR="00AD4FA5" w:rsidRDefault="00000000">
      <w:r>
        <w:rPr>
          <w:i/>
          <w:color w:val="3D6094"/>
          <w:sz w:val="18"/>
        </w:rPr>
        <w:t>Framework references: GRI 305-3: Other indirect (Scope 3) GHG emissions; PCAF Global GHG Accounting Standard (2022) — Asset Class 1; POJK No. 51/POJK.03/2017 Article 13-16 (Climate Risk Management); SE OJK — Sustainability Reporting Circular (Environmental Metrics); Indonesia Enhanced NDC (2021) — 31.89% unconditional reduction by 2030; Indonesia LTS-LCCR 2050 — Net Zero by 2060; GHG Protocol Corporate Value Chain (Scope 3) Standard — Category 15</w:t>
      </w:r>
    </w:p>
    <w:p w14:paraId="46416F7A" w14:textId="77777777" w:rsidR="00AD4FA5" w:rsidRDefault="00AD4FA5">
      <w:pPr>
        <w:pBdr>
          <w:bottom w:val="single" w:sz="6" w:space="1" w:color="999999"/>
        </w:pBdr>
        <w:spacing w:after="80"/>
      </w:pPr>
    </w:p>
    <w:p w14:paraId="575E7A5E"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5E893E9D" w14:textId="77777777" w:rsidR="00AD4FA5" w:rsidRDefault="00000000">
      <w:pPr>
        <w:spacing w:after="160"/>
        <w:jc w:val="both"/>
      </w:pPr>
      <w:r>
        <w:rPr>
          <w:rFonts w:ascii="Arial" w:hAnsi="Arial"/>
          <w:i/>
          <w:color w:val="646464"/>
          <w:sz w:val="18"/>
        </w:rPr>
        <w:t>Financed emissions calculated using PCAF Global GHG Accounting Standard (2022 edition) for Asset Class 1: Business Loans and Unlisted Equity.</w:t>
      </w:r>
    </w:p>
    <w:p w14:paraId="5233FE67" w14:textId="77777777" w:rsidR="00AD4FA5" w:rsidRDefault="00000000">
      <w:pPr>
        <w:spacing w:after="160"/>
        <w:jc w:val="both"/>
      </w:pPr>
      <w:r>
        <w:rPr>
          <w:rFonts w:ascii="Arial" w:hAnsi="Arial"/>
          <w:i/>
          <w:color w:val="646464"/>
          <w:sz w:val="18"/>
        </w:rPr>
        <w:t>Attribution factor formula: Outstanding Loan Amount ÷ (Borrower Total Equity + Borrower Total Debt). Borrower emissions include Scope 1 + Scope 2 (location-based).</w:t>
      </w:r>
    </w:p>
    <w:p w14:paraId="2FB38871" w14:textId="77777777" w:rsidR="00AD4FA5" w:rsidRDefault="00000000">
      <w:pPr>
        <w:spacing w:after="160"/>
        <w:jc w:val="both"/>
      </w:pPr>
      <w:r>
        <w:rPr>
          <w:rFonts w:ascii="Arial" w:hAnsi="Arial"/>
          <w:i/>
          <w:color w:val="646464"/>
          <w:sz w:val="18"/>
        </w:rPr>
        <w:t>PCAF Data Quality Scores: 1 = Verified emissions (CDP/equivalent), 2 = Reported unverified, 3 = EEIO model with revenue, 4 = EEIO model with assets, 5 = Sector-average proxy.</w:t>
      </w:r>
    </w:p>
    <w:p w14:paraId="1586146C" w14:textId="77777777" w:rsidR="00AD4FA5" w:rsidRDefault="00000000">
      <w:pPr>
        <w:spacing w:after="160"/>
        <w:jc w:val="both"/>
      </w:pPr>
      <w:r>
        <w:rPr>
          <w:rFonts w:ascii="Arial" w:hAnsi="Arial"/>
          <w:i/>
          <w:color w:val="646464"/>
          <w:sz w:val="18"/>
        </w:rPr>
        <w:t>Confidence-weighted emissions apply PCAF confidence factors: Tier 1 (1.00), Tier 2 (0.90), Tier 3 (0.75), Tier 4 (0.60), Tier 5 (0.45) to gross emissions based on data quality.</w:t>
      </w:r>
    </w:p>
    <w:p w14:paraId="53CA1DA5" w14:textId="77777777" w:rsidR="00AD4FA5" w:rsidRDefault="00000000">
      <w:pPr>
        <w:spacing w:after="160"/>
        <w:jc w:val="both"/>
      </w:pPr>
      <w:r>
        <w:rPr>
          <w:rFonts w:ascii="Arial" w:hAnsi="Arial"/>
          <w:i/>
          <w:color w:val="646464"/>
          <w:sz w:val="18"/>
        </w:rPr>
        <w:t>Sector classification follows NACE Rev. 2 (Statistical Classification of Economic Activities in the European Community) adapted for Indonesian context.</w:t>
      </w:r>
    </w:p>
    <w:p w14:paraId="0BE01571" w14:textId="77777777" w:rsidR="00AD4FA5" w:rsidRDefault="00000000">
      <w:pPr>
        <w:spacing w:after="160"/>
        <w:jc w:val="both"/>
      </w:pPr>
      <w:r>
        <w:rPr>
          <w:rFonts w:ascii="Arial" w:hAnsi="Arial"/>
          <w:i/>
          <w:color w:val="646464"/>
          <w:sz w:val="18"/>
        </w:rPr>
        <w:t>Portfolio coverage: 100% of corporate loan book by outstanding value. Retail mortgages, consumer loans, and interbank exposures excluded from current scope.</w:t>
      </w:r>
    </w:p>
    <w:p w14:paraId="2EA34301" w14:textId="77777777" w:rsidR="00AD4FA5" w:rsidRDefault="00000000">
      <w:pPr>
        <w:spacing w:after="160"/>
        <w:jc w:val="both"/>
      </w:pPr>
      <w:r>
        <w:rPr>
          <w:rFonts w:ascii="Arial" w:hAnsi="Arial"/>
          <w:i/>
          <w:color w:val="646464"/>
          <w:sz w:val="18"/>
        </w:rPr>
        <w:t>Year-over-year comparison not available — 2024 represents baseline year for PCAF-aligned methodology. Prior year (2023) data calculated using different attribution methodology.</w:t>
      </w:r>
    </w:p>
    <w:p w14:paraId="484E449F" w14:textId="77777777" w:rsidR="00AD4FA5" w:rsidRDefault="00000000">
      <w:pPr>
        <w:spacing w:after="160"/>
        <w:jc w:val="both"/>
      </w:pPr>
      <w:r>
        <w:rPr>
          <w:rFonts w:ascii="Arial" w:hAnsi="Arial"/>
          <w:i/>
          <w:color w:val="646464"/>
          <w:sz w:val="18"/>
        </w:rPr>
        <w:t>Indonesia Enhanced NDC: 31.89% unconditional emission reduction, 43.2% conditional reduction by 2030 (baseline: business-as-usual). Net Zero target: 2060 or sooner per Indonesia Long-Term Strategy for Low Carbon and Climate Resilience 2050 (LTS-LCCR 2050).</w:t>
      </w:r>
    </w:p>
    <w:p w14:paraId="7DAB57A2" w14:textId="77777777" w:rsidR="00AD4FA5" w:rsidRDefault="00000000">
      <w:pPr>
        <w:spacing w:after="160"/>
        <w:jc w:val="both"/>
      </w:pPr>
      <w:r>
        <w:rPr>
          <w:rFonts w:ascii="Arial" w:hAnsi="Arial"/>
          <w:i/>
          <w:color w:val="646464"/>
          <w:sz w:val="18"/>
        </w:rPr>
        <w:t>High-carbon sector definition: Oil &amp; Gas, Coal Mining, Cement, Steel, Petrochemicals per POJK 51/2017 sectoral credit policy guidance.</w:t>
      </w:r>
    </w:p>
    <w:p w14:paraId="314DD3D2" w14:textId="77777777" w:rsidR="00AD4FA5" w:rsidRDefault="00000000">
      <w:pPr>
        <w:pStyle w:val="Heading1"/>
        <w:spacing w:after="240"/>
      </w:pPr>
      <w:bookmarkStart w:id="14" w:name="_Toc231979677"/>
      <w:r>
        <w:rPr>
          <w:rFonts w:ascii="Arial" w:hAnsi="Arial"/>
          <w:color w:val="1B3A6B"/>
          <w:sz w:val="36"/>
        </w:rPr>
        <w:t>GRI 305-4: GHG Emissions Intensity</w:t>
      </w:r>
      <w:bookmarkEnd w:id="14"/>
    </w:p>
    <w:p w14:paraId="11C3DD68" w14:textId="77777777" w:rsidR="00AD4FA5" w:rsidRDefault="00000000">
      <w:pPr>
        <w:spacing w:after="160"/>
        <w:jc w:val="both"/>
      </w:pPr>
      <w:r>
        <w:rPr>
          <w:rFonts w:ascii="Arial" w:hAnsi="Arial"/>
        </w:rPr>
        <w:t xml:space="preserve">The organization's GHG emissions intensity for the 2024 reporting period was 239.400139 tCO2e per IDR billion operating revenue and 1.9209 tCO2e per full-time equivalent employee (FTE). These intensity metrics normalize the organization's absolute emissions </w:t>
      </w:r>
      <w:r>
        <w:rPr>
          <w:rFonts w:ascii="Arial" w:hAnsi="Arial"/>
        </w:rPr>
        <w:lastRenderedPageBreak/>
        <w:t>against key organizational metrics to enable performance tracking over time and facilitate comparison with industry peers.</w:t>
      </w:r>
    </w:p>
    <w:p w14:paraId="2211A883" w14:textId="77777777" w:rsidR="00AD4FA5" w:rsidRDefault="00000000">
      <w:pPr>
        <w:spacing w:after="160"/>
        <w:jc w:val="both"/>
      </w:pPr>
      <w:r>
        <w:rPr>
          <w:rFonts w:ascii="Arial" w:hAnsi="Arial"/>
          <w:i/>
        </w:rPr>
        <w:t>The revenue-based intensity ratio includes direct (Scope 1), energy indirect (Scope 2 market-based), and other indirect (Scope 3 Category 15) GHG emissions in the numerator, totaling 21,980,200.297 tCO2e (3,402.997 tCO2e Scope 1 + 44,612.518 tCO2e Scope 2 market-based + 21,976,797.3 tCO2e Scope 3 Category 15 gross). The denominator represents total operating revenue for the reporting period. The FTE-based intensity ratio includes only operational emissions (Scope 1 + Scope 2 market-based) totaling 48,015.515 tCO2e, divided by 24,997 FTE as of December 31, 2024. This distinction reflects that Scope 3 Category 15 financed emissions are attributable to the organization's lending portfolio rather than direct operational activities per employee.</w:t>
      </w:r>
    </w:p>
    <w:p w14:paraId="1A7A793E" w14:textId="77777777" w:rsidR="00AD4FA5" w:rsidRDefault="00000000">
      <w:pPr>
        <w:spacing w:after="160"/>
        <w:jc w:val="both"/>
      </w:pPr>
      <w:r>
        <w:rPr>
          <w:rFonts w:ascii="Arial" w:hAnsi="Arial"/>
          <w:i/>
        </w:rPr>
        <w:t>The organization applies the market-based method for Scope 2 emissions in both intensity calculations, consistent with GRI 305-4 requirements. All gases included in the intensity ratios are CO2, CH4, and N2O, expressed as carbon dioxide equivalents (CO2e) using global warming potential values from the IPCC Fifth Assessment Report. The consolidation approach follows the operational control principle, whereby all facilities under the organization's operational control are included in the boundary.</w:t>
      </w:r>
    </w:p>
    <w:p w14:paraId="6789F638" w14:textId="77777777" w:rsidR="00AD4FA5" w:rsidRDefault="00000000">
      <w:pPr>
        <w:spacing w:after="160"/>
        <w:jc w:val="both"/>
      </w:pPr>
      <w:r>
        <w:rPr>
          <w:rFonts w:ascii="Arial" w:hAnsi="Arial"/>
        </w:rPr>
        <w:t>Compared to the prior reporting period (2023), the revenue-based intensity improved by 11.37%, decreasing from 270.116632 tCO2e per IDR billion to 239.400139 tCO2e per IDR billion. This improvement reflects that operating revenue growth outpaced the rate of emissions growth during the period. The FTE-based intensity improved by 1.79%, decreasing from 1.956 tCO2e per FTE in 2023 to 1.9209 tCO2e per FTE in 2024. The modest improvement in operational intensity per employee indicates relatively stable operational emissions despite a 2.03% increase in total headcount from 24,500 to 24,997 FTE.</w:t>
      </w:r>
    </w:p>
    <w:p w14:paraId="32B7B31D" w14:textId="77777777" w:rsidR="00AD4FA5" w:rsidRDefault="00000000">
      <w:pPr>
        <w:spacing w:after="160"/>
        <w:jc w:val="both"/>
      </w:pPr>
      <w:r>
        <w:rPr>
          <w:rFonts w:ascii="Arial" w:hAnsi="Arial"/>
        </w:rPr>
        <w:t>The year-over-year improvement in revenue-based intensity is primarily attributable to the 4.07% reduction in total absolute emissions (from 22,959,828.688 tCO2e in 2023 to 21,980,200.297 tCO2e in 2024), driven by decreased financed emissions in the Energy - Oil &amp; Gas and Manufacturing - Cement sectors. The organization's financed emissions intensity of 239.400139 tCO2e per IDR billion portfolio exposure reflects the carbon-intensive composition of the lending portfolio, with 43.56% of total financed emissions concentrated in the Energy - Oil &amp; Gas sector despite representing only 6.66% of total portfolio value.</w:t>
      </w:r>
    </w:p>
    <w:p w14:paraId="4C5F212C" w14:textId="77777777" w:rsidR="00AD4FA5" w:rsidRDefault="00000000">
      <w:r>
        <w:rPr>
          <w:rFonts w:ascii="Arial" w:hAnsi="Arial"/>
          <w:b/>
          <w:sz w:val="20"/>
        </w:rPr>
        <w:t>Table 4.1: GHG Emissions Intensity Calculation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D4FA5" w14:paraId="68EF02DB" w14:textId="77777777">
        <w:trPr>
          <w:jc w:val="center"/>
        </w:trPr>
        <w:tc>
          <w:tcPr>
            <w:tcW w:w="1505" w:type="dxa"/>
            <w:shd w:val="clear" w:color="auto" w:fill="1B3A6B"/>
          </w:tcPr>
          <w:p w14:paraId="78887351" w14:textId="77777777" w:rsidR="00AD4FA5" w:rsidRDefault="00000000">
            <w:r>
              <w:rPr>
                <w:rFonts w:ascii="Arial" w:hAnsi="Arial"/>
                <w:b/>
                <w:color w:val="FFFFFF"/>
                <w:sz w:val="18"/>
              </w:rPr>
              <w:t>Intensity Metric</w:t>
            </w:r>
          </w:p>
        </w:tc>
        <w:tc>
          <w:tcPr>
            <w:tcW w:w="1505" w:type="dxa"/>
            <w:shd w:val="clear" w:color="auto" w:fill="1B3A6B"/>
          </w:tcPr>
          <w:p w14:paraId="25BCDE91" w14:textId="77777777" w:rsidR="00AD4FA5" w:rsidRDefault="00000000">
            <w:r>
              <w:rPr>
                <w:rFonts w:ascii="Arial" w:hAnsi="Arial"/>
                <w:b/>
                <w:color w:val="FFFFFF"/>
                <w:sz w:val="18"/>
              </w:rPr>
              <w:t>Numerator (tCO2e)</w:t>
            </w:r>
          </w:p>
        </w:tc>
        <w:tc>
          <w:tcPr>
            <w:tcW w:w="1505" w:type="dxa"/>
            <w:shd w:val="clear" w:color="auto" w:fill="1B3A6B"/>
          </w:tcPr>
          <w:p w14:paraId="59B32921" w14:textId="77777777" w:rsidR="00AD4FA5" w:rsidRDefault="00000000">
            <w:r>
              <w:rPr>
                <w:rFonts w:ascii="Arial" w:hAnsi="Arial"/>
                <w:b/>
                <w:color w:val="FFFFFF"/>
                <w:sz w:val="18"/>
              </w:rPr>
              <w:t>Denominator</w:t>
            </w:r>
          </w:p>
        </w:tc>
        <w:tc>
          <w:tcPr>
            <w:tcW w:w="1505" w:type="dxa"/>
            <w:shd w:val="clear" w:color="auto" w:fill="1B3A6B"/>
          </w:tcPr>
          <w:p w14:paraId="493DC9A1" w14:textId="77777777" w:rsidR="00AD4FA5" w:rsidRDefault="00000000">
            <w:r>
              <w:rPr>
                <w:rFonts w:ascii="Arial" w:hAnsi="Arial"/>
                <w:b/>
                <w:color w:val="FFFFFF"/>
                <w:sz w:val="18"/>
              </w:rPr>
              <w:t>Intensity Ratio</w:t>
            </w:r>
          </w:p>
        </w:tc>
        <w:tc>
          <w:tcPr>
            <w:tcW w:w="1505" w:type="dxa"/>
            <w:shd w:val="clear" w:color="auto" w:fill="1B3A6B"/>
          </w:tcPr>
          <w:p w14:paraId="626CFBE1" w14:textId="77777777" w:rsidR="00AD4FA5" w:rsidRDefault="00000000">
            <w:r>
              <w:rPr>
                <w:rFonts w:ascii="Arial" w:hAnsi="Arial"/>
                <w:b/>
                <w:color w:val="FFFFFF"/>
                <w:sz w:val="18"/>
              </w:rPr>
              <w:t>Unit</w:t>
            </w:r>
          </w:p>
        </w:tc>
        <w:tc>
          <w:tcPr>
            <w:tcW w:w="1505" w:type="dxa"/>
            <w:shd w:val="clear" w:color="auto" w:fill="1B3A6B"/>
          </w:tcPr>
          <w:p w14:paraId="0A07D124" w14:textId="77777777" w:rsidR="00AD4FA5" w:rsidRDefault="00000000">
            <w:r>
              <w:rPr>
                <w:rFonts w:ascii="Arial" w:hAnsi="Arial"/>
                <w:b/>
                <w:color w:val="FFFFFF"/>
                <w:sz w:val="18"/>
              </w:rPr>
              <w:t>Scope Coverage</w:t>
            </w:r>
          </w:p>
        </w:tc>
      </w:tr>
      <w:tr w:rsidR="00AD4FA5" w14:paraId="2F0E22D3" w14:textId="77777777">
        <w:trPr>
          <w:jc w:val="center"/>
        </w:trPr>
        <w:tc>
          <w:tcPr>
            <w:tcW w:w="1505" w:type="dxa"/>
          </w:tcPr>
          <w:p w14:paraId="344D6EEA" w14:textId="77777777" w:rsidR="00AD4FA5" w:rsidRDefault="00000000">
            <w:r>
              <w:rPr>
                <w:rFonts w:ascii="Arial" w:hAnsi="Arial"/>
                <w:sz w:val="18"/>
              </w:rPr>
              <w:t>Revenue-based</w:t>
            </w:r>
          </w:p>
        </w:tc>
        <w:tc>
          <w:tcPr>
            <w:tcW w:w="1505" w:type="dxa"/>
          </w:tcPr>
          <w:p w14:paraId="19A4DB4E" w14:textId="77777777" w:rsidR="00AD4FA5" w:rsidRDefault="00000000">
            <w:pPr>
              <w:jc w:val="right"/>
            </w:pPr>
            <w:r>
              <w:rPr>
                <w:rFonts w:ascii="Arial" w:hAnsi="Arial"/>
                <w:sz w:val="18"/>
              </w:rPr>
              <w:t>21,980,200.297</w:t>
            </w:r>
          </w:p>
        </w:tc>
        <w:tc>
          <w:tcPr>
            <w:tcW w:w="1505" w:type="dxa"/>
          </w:tcPr>
          <w:p w14:paraId="647E0012" w14:textId="77777777" w:rsidR="00AD4FA5" w:rsidRDefault="00000000">
            <w:r>
              <w:rPr>
                <w:rFonts w:ascii="Arial" w:hAnsi="Arial"/>
                <w:sz w:val="18"/>
              </w:rPr>
              <w:t>91,857.5 (IDR billion revenue)</w:t>
            </w:r>
          </w:p>
        </w:tc>
        <w:tc>
          <w:tcPr>
            <w:tcW w:w="1505" w:type="dxa"/>
          </w:tcPr>
          <w:p w14:paraId="50D5B058" w14:textId="77777777" w:rsidR="00AD4FA5" w:rsidRDefault="00000000">
            <w:pPr>
              <w:jc w:val="right"/>
            </w:pPr>
            <w:r>
              <w:rPr>
                <w:rFonts w:ascii="Arial" w:hAnsi="Arial"/>
                <w:sz w:val="18"/>
              </w:rPr>
              <w:t>239.400139</w:t>
            </w:r>
          </w:p>
        </w:tc>
        <w:tc>
          <w:tcPr>
            <w:tcW w:w="1505" w:type="dxa"/>
          </w:tcPr>
          <w:p w14:paraId="30DAF8D6" w14:textId="77777777" w:rsidR="00AD4FA5" w:rsidRDefault="00000000">
            <w:r>
              <w:rPr>
                <w:rFonts w:ascii="Arial" w:hAnsi="Arial"/>
                <w:sz w:val="18"/>
              </w:rPr>
              <w:t>tCO2e per IDR billion</w:t>
            </w:r>
          </w:p>
        </w:tc>
        <w:tc>
          <w:tcPr>
            <w:tcW w:w="1505" w:type="dxa"/>
          </w:tcPr>
          <w:p w14:paraId="5B88ED8D" w14:textId="77777777" w:rsidR="00AD4FA5" w:rsidRDefault="00000000">
            <w:r>
              <w:rPr>
                <w:rFonts w:ascii="Arial" w:hAnsi="Arial"/>
                <w:sz w:val="18"/>
              </w:rPr>
              <w:t>Scope 1 + 2 (market-based) + 3 Cat 15 gross</w:t>
            </w:r>
          </w:p>
        </w:tc>
      </w:tr>
      <w:tr w:rsidR="00AD4FA5" w14:paraId="6958D491" w14:textId="77777777">
        <w:trPr>
          <w:jc w:val="center"/>
        </w:trPr>
        <w:tc>
          <w:tcPr>
            <w:tcW w:w="1505" w:type="dxa"/>
            <w:shd w:val="clear" w:color="auto" w:fill="F2F6FC"/>
          </w:tcPr>
          <w:p w14:paraId="4C5AC202" w14:textId="77777777" w:rsidR="00AD4FA5" w:rsidRDefault="00000000">
            <w:r>
              <w:rPr>
                <w:rFonts w:ascii="Arial" w:hAnsi="Arial"/>
                <w:sz w:val="18"/>
              </w:rPr>
              <w:t>FTE-based</w:t>
            </w:r>
          </w:p>
        </w:tc>
        <w:tc>
          <w:tcPr>
            <w:tcW w:w="1505" w:type="dxa"/>
            <w:shd w:val="clear" w:color="auto" w:fill="F2F6FC"/>
          </w:tcPr>
          <w:p w14:paraId="50D199E5" w14:textId="77777777" w:rsidR="00AD4FA5" w:rsidRDefault="00000000">
            <w:pPr>
              <w:jc w:val="right"/>
            </w:pPr>
            <w:r>
              <w:rPr>
                <w:rFonts w:ascii="Arial" w:hAnsi="Arial"/>
                <w:sz w:val="18"/>
              </w:rPr>
              <w:t>48,015.515</w:t>
            </w:r>
          </w:p>
        </w:tc>
        <w:tc>
          <w:tcPr>
            <w:tcW w:w="1505" w:type="dxa"/>
            <w:shd w:val="clear" w:color="auto" w:fill="F2F6FC"/>
          </w:tcPr>
          <w:p w14:paraId="1409D7DC" w14:textId="77777777" w:rsidR="00AD4FA5" w:rsidRDefault="00000000">
            <w:r>
              <w:rPr>
                <w:rFonts w:ascii="Arial" w:hAnsi="Arial"/>
                <w:sz w:val="18"/>
              </w:rPr>
              <w:t>24,997 (FTE)</w:t>
            </w:r>
          </w:p>
        </w:tc>
        <w:tc>
          <w:tcPr>
            <w:tcW w:w="1505" w:type="dxa"/>
            <w:shd w:val="clear" w:color="auto" w:fill="F2F6FC"/>
          </w:tcPr>
          <w:p w14:paraId="58AADB74" w14:textId="77777777" w:rsidR="00AD4FA5" w:rsidRDefault="00000000">
            <w:pPr>
              <w:jc w:val="right"/>
            </w:pPr>
            <w:r>
              <w:rPr>
                <w:rFonts w:ascii="Arial" w:hAnsi="Arial"/>
                <w:sz w:val="18"/>
              </w:rPr>
              <w:t>1.9209</w:t>
            </w:r>
          </w:p>
        </w:tc>
        <w:tc>
          <w:tcPr>
            <w:tcW w:w="1505" w:type="dxa"/>
            <w:shd w:val="clear" w:color="auto" w:fill="F2F6FC"/>
          </w:tcPr>
          <w:p w14:paraId="2DB1C463" w14:textId="77777777" w:rsidR="00AD4FA5" w:rsidRDefault="00000000">
            <w:r>
              <w:rPr>
                <w:rFonts w:ascii="Arial" w:hAnsi="Arial"/>
                <w:sz w:val="18"/>
              </w:rPr>
              <w:t>tCO2e per FTE</w:t>
            </w:r>
          </w:p>
        </w:tc>
        <w:tc>
          <w:tcPr>
            <w:tcW w:w="1505" w:type="dxa"/>
            <w:shd w:val="clear" w:color="auto" w:fill="F2F6FC"/>
          </w:tcPr>
          <w:p w14:paraId="17C7DC3D" w14:textId="77777777" w:rsidR="00AD4FA5" w:rsidRDefault="00000000">
            <w:r>
              <w:rPr>
                <w:rFonts w:ascii="Arial" w:hAnsi="Arial"/>
                <w:sz w:val="18"/>
              </w:rPr>
              <w:t>Scope 1 + 2 (market-based)</w:t>
            </w:r>
          </w:p>
        </w:tc>
      </w:tr>
    </w:tbl>
    <w:p w14:paraId="0FDFB8AA" w14:textId="77777777" w:rsidR="00AD4FA5" w:rsidRDefault="00000000">
      <w:r>
        <w:rPr>
          <w:rFonts w:ascii="Arial" w:hAnsi="Arial"/>
          <w:i/>
          <w:sz w:val="16"/>
        </w:rPr>
        <w:t>Source: Source: Internal GHG accounting system. Revenue denominator derived from audited financial statements. FTE count as of December 31, 2024.</w:t>
      </w:r>
    </w:p>
    <w:p w14:paraId="14BBFA26" w14:textId="77777777" w:rsidR="00AD4FA5" w:rsidRDefault="00AD4FA5"/>
    <w:p w14:paraId="0A78339D" w14:textId="77777777" w:rsidR="00AD4FA5" w:rsidRDefault="00000000">
      <w:r>
        <w:rPr>
          <w:rFonts w:ascii="Arial" w:hAnsi="Arial"/>
          <w:b/>
          <w:sz w:val="20"/>
        </w:rPr>
        <w:t>Table 4.2: Year-over-Year Intensity Comparison</w:t>
      </w:r>
    </w:p>
    <w:tbl>
      <w:tblPr>
        <w:tblW w:w="0" w:type="auto"/>
        <w:jc w:val="center"/>
        <w:tblLook w:val="04A0" w:firstRow="1" w:lastRow="0" w:firstColumn="1" w:lastColumn="0" w:noHBand="0" w:noVBand="1"/>
      </w:tblPr>
      <w:tblGrid>
        <w:gridCol w:w="1505"/>
        <w:gridCol w:w="1505"/>
        <w:gridCol w:w="1505"/>
        <w:gridCol w:w="1505"/>
        <w:gridCol w:w="1505"/>
        <w:gridCol w:w="1505"/>
      </w:tblGrid>
      <w:tr w:rsidR="00AD4FA5" w14:paraId="1CDBD515" w14:textId="77777777">
        <w:trPr>
          <w:jc w:val="center"/>
        </w:trPr>
        <w:tc>
          <w:tcPr>
            <w:tcW w:w="1505" w:type="dxa"/>
            <w:shd w:val="clear" w:color="auto" w:fill="1B3A6B"/>
          </w:tcPr>
          <w:p w14:paraId="4060BD2A" w14:textId="77777777" w:rsidR="00AD4FA5" w:rsidRDefault="00000000">
            <w:r>
              <w:rPr>
                <w:rFonts w:ascii="Arial" w:hAnsi="Arial"/>
                <w:b/>
                <w:color w:val="FFFFFF"/>
                <w:sz w:val="18"/>
              </w:rPr>
              <w:t>Intensity Metric</w:t>
            </w:r>
          </w:p>
        </w:tc>
        <w:tc>
          <w:tcPr>
            <w:tcW w:w="1505" w:type="dxa"/>
            <w:shd w:val="clear" w:color="auto" w:fill="1B3A6B"/>
          </w:tcPr>
          <w:p w14:paraId="5A45D7C3" w14:textId="77777777" w:rsidR="00AD4FA5" w:rsidRDefault="00000000">
            <w:r>
              <w:rPr>
                <w:rFonts w:ascii="Arial" w:hAnsi="Arial"/>
                <w:b/>
                <w:color w:val="FFFFFF"/>
                <w:sz w:val="18"/>
              </w:rPr>
              <w:t>2023</w:t>
            </w:r>
          </w:p>
        </w:tc>
        <w:tc>
          <w:tcPr>
            <w:tcW w:w="1505" w:type="dxa"/>
            <w:shd w:val="clear" w:color="auto" w:fill="1B3A6B"/>
          </w:tcPr>
          <w:p w14:paraId="44733612" w14:textId="77777777" w:rsidR="00AD4FA5" w:rsidRDefault="00000000">
            <w:r>
              <w:rPr>
                <w:rFonts w:ascii="Arial" w:hAnsi="Arial"/>
                <w:b/>
                <w:color w:val="FFFFFF"/>
                <w:sz w:val="18"/>
              </w:rPr>
              <w:t>2024</w:t>
            </w:r>
          </w:p>
        </w:tc>
        <w:tc>
          <w:tcPr>
            <w:tcW w:w="1505" w:type="dxa"/>
            <w:shd w:val="clear" w:color="auto" w:fill="1B3A6B"/>
          </w:tcPr>
          <w:p w14:paraId="12EE2F67" w14:textId="77777777" w:rsidR="00AD4FA5" w:rsidRDefault="00000000">
            <w:r>
              <w:rPr>
                <w:rFonts w:ascii="Arial" w:hAnsi="Arial"/>
                <w:b/>
                <w:color w:val="FFFFFF"/>
                <w:sz w:val="18"/>
              </w:rPr>
              <w:t>Change (Absolute)</w:t>
            </w:r>
          </w:p>
        </w:tc>
        <w:tc>
          <w:tcPr>
            <w:tcW w:w="1505" w:type="dxa"/>
            <w:shd w:val="clear" w:color="auto" w:fill="1B3A6B"/>
          </w:tcPr>
          <w:p w14:paraId="569D343F" w14:textId="77777777" w:rsidR="00AD4FA5" w:rsidRDefault="00000000">
            <w:r>
              <w:rPr>
                <w:rFonts w:ascii="Arial" w:hAnsi="Arial"/>
                <w:b/>
                <w:color w:val="FFFFFF"/>
                <w:sz w:val="18"/>
              </w:rPr>
              <w:t>Change (%)</w:t>
            </w:r>
          </w:p>
        </w:tc>
        <w:tc>
          <w:tcPr>
            <w:tcW w:w="1505" w:type="dxa"/>
            <w:shd w:val="clear" w:color="auto" w:fill="1B3A6B"/>
          </w:tcPr>
          <w:p w14:paraId="67EA26B5" w14:textId="77777777" w:rsidR="00AD4FA5" w:rsidRDefault="00000000">
            <w:r>
              <w:rPr>
                <w:rFonts w:ascii="Arial" w:hAnsi="Arial"/>
                <w:b/>
                <w:color w:val="FFFFFF"/>
                <w:sz w:val="18"/>
              </w:rPr>
              <w:t>Interpretation</w:t>
            </w:r>
          </w:p>
        </w:tc>
      </w:tr>
      <w:tr w:rsidR="00AD4FA5" w14:paraId="75950B08" w14:textId="77777777">
        <w:trPr>
          <w:jc w:val="center"/>
        </w:trPr>
        <w:tc>
          <w:tcPr>
            <w:tcW w:w="1505" w:type="dxa"/>
          </w:tcPr>
          <w:p w14:paraId="388A4C9D" w14:textId="77777777" w:rsidR="00AD4FA5" w:rsidRDefault="00000000">
            <w:r>
              <w:rPr>
                <w:rFonts w:ascii="Arial" w:hAnsi="Arial"/>
                <w:sz w:val="18"/>
              </w:rPr>
              <w:t>Revenue-based (tCO2e/IDR bn)</w:t>
            </w:r>
          </w:p>
        </w:tc>
        <w:tc>
          <w:tcPr>
            <w:tcW w:w="1505" w:type="dxa"/>
          </w:tcPr>
          <w:p w14:paraId="2CA9EF8A" w14:textId="77777777" w:rsidR="00AD4FA5" w:rsidRDefault="00000000">
            <w:pPr>
              <w:jc w:val="right"/>
            </w:pPr>
            <w:r>
              <w:rPr>
                <w:rFonts w:ascii="Arial" w:hAnsi="Arial"/>
                <w:sz w:val="18"/>
              </w:rPr>
              <w:t>270.116632</w:t>
            </w:r>
          </w:p>
        </w:tc>
        <w:tc>
          <w:tcPr>
            <w:tcW w:w="1505" w:type="dxa"/>
          </w:tcPr>
          <w:p w14:paraId="0E574612" w14:textId="77777777" w:rsidR="00AD4FA5" w:rsidRDefault="00000000">
            <w:pPr>
              <w:jc w:val="right"/>
            </w:pPr>
            <w:r>
              <w:rPr>
                <w:rFonts w:ascii="Arial" w:hAnsi="Arial"/>
                <w:sz w:val="18"/>
              </w:rPr>
              <w:t>239.400139</w:t>
            </w:r>
          </w:p>
        </w:tc>
        <w:tc>
          <w:tcPr>
            <w:tcW w:w="1505" w:type="dxa"/>
          </w:tcPr>
          <w:p w14:paraId="4527D836" w14:textId="77777777" w:rsidR="00AD4FA5" w:rsidRDefault="00000000">
            <w:pPr>
              <w:jc w:val="right"/>
            </w:pPr>
            <w:r>
              <w:rPr>
                <w:rFonts w:ascii="Arial" w:hAnsi="Arial"/>
                <w:sz w:val="18"/>
              </w:rPr>
              <w:t>-30.716493</w:t>
            </w:r>
          </w:p>
        </w:tc>
        <w:tc>
          <w:tcPr>
            <w:tcW w:w="1505" w:type="dxa"/>
          </w:tcPr>
          <w:p w14:paraId="249E67E2" w14:textId="77777777" w:rsidR="00AD4FA5" w:rsidRDefault="00000000">
            <w:pPr>
              <w:jc w:val="right"/>
            </w:pPr>
            <w:r>
              <w:rPr>
                <w:rFonts w:ascii="Arial" w:hAnsi="Arial"/>
                <w:sz w:val="18"/>
              </w:rPr>
              <w:t>-11.37%</w:t>
            </w:r>
          </w:p>
        </w:tc>
        <w:tc>
          <w:tcPr>
            <w:tcW w:w="1505" w:type="dxa"/>
          </w:tcPr>
          <w:p w14:paraId="6C0421E4" w14:textId="77777777" w:rsidR="00AD4FA5" w:rsidRDefault="00000000">
            <w:r>
              <w:rPr>
                <w:rFonts w:ascii="Arial" w:hAnsi="Arial"/>
                <w:sz w:val="18"/>
              </w:rPr>
              <w:t>Improved - emissions declined faster than revenue growth</w:t>
            </w:r>
          </w:p>
        </w:tc>
      </w:tr>
      <w:tr w:rsidR="00AD4FA5" w14:paraId="28DB9F19" w14:textId="77777777">
        <w:trPr>
          <w:jc w:val="center"/>
        </w:trPr>
        <w:tc>
          <w:tcPr>
            <w:tcW w:w="1505" w:type="dxa"/>
            <w:shd w:val="clear" w:color="auto" w:fill="F2F6FC"/>
          </w:tcPr>
          <w:p w14:paraId="71D51EA0" w14:textId="77777777" w:rsidR="00AD4FA5" w:rsidRDefault="00000000">
            <w:r>
              <w:rPr>
                <w:rFonts w:ascii="Arial" w:hAnsi="Arial"/>
                <w:sz w:val="18"/>
              </w:rPr>
              <w:t>FTE-based (tCO2e/FTE)</w:t>
            </w:r>
          </w:p>
        </w:tc>
        <w:tc>
          <w:tcPr>
            <w:tcW w:w="1505" w:type="dxa"/>
            <w:shd w:val="clear" w:color="auto" w:fill="F2F6FC"/>
          </w:tcPr>
          <w:p w14:paraId="1804CF8C" w14:textId="77777777" w:rsidR="00AD4FA5" w:rsidRDefault="00000000">
            <w:pPr>
              <w:jc w:val="right"/>
            </w:pPr>
            <w:r>
              <w:rPr>
                <w:rFonts w:ascii="Arial" w:hAnsi="Arial"/>
                <w:sz w:val="18"/>
              </w:rPr>
              <w:t>1.956</w:t>
            </w:r>
          </w:p>
        </w:tc>
        <w:tc>
          <w:tcPr>
            <w:tcW w:w="1505" w:type="dxa"/>
            <w:shd w:val="clear" w:color="auto" w:fill="F2F6FC"/>
          </w:tcPr>
          <w:p w14:paraId="0B9AE53C" w14:textId="77777777" w:rsidR="00AD4FA5" w:rsidRDefault="00000000">
            <w:pPr>
              <w:jc w:val="right"/>
            </w:pPr>
            <w:r>
              <w:rPr>
                <w:rFonts w:ascii="Arial" w:hAnsi="Arial"/>
                <w:sz w:val="18"/>
              </w:rPr>
              <w:t>1.9209</w:t>
            </w:r>
          </w:p>
        </w:tc>
        <w:tc>
          <w:tcPr>
            <w:tcW w:w="1505" w:type="dxa"/>
            <w:shd w:val="clear" w:color="auto" w:fill="F2F6FC"/>
          </w:tcPr>
          <w:p w14:paraId="5058EB30" w14:textId="77777777" w:rsidR="00AD4FA5" w:rsidRDefault="00000000">
            <w:pPr>
              <w:jc w:val="right"/>
            </w:pPr>
            <w:r>
              <w:rPr>
                <w:rFonts w:ascii="Arial" w:hAnsi="Arial"/>
                <w:sz w:val="18"/>
              </w:rPr>
              <w:t>-0.0351</w:t>
            </w:r>
          </w:p>
        </w:tc>
        <w:tc>
          <w:tcPr>
            <w:tcW w:w="1505" w:type="dxa"/>
            <w:shd w:val="clear" w:color="auto" w:fill="F2F6FC"/>
          </w:tcPr>
          <w:p w14:paraId="7E4379B5" w14:textId="77777777" w:rsidR="00AD4FA5" w:rsidRDefault="00000000">
            <w:pPr>
              <w:jc w:val="right"/>
            </w:pPr>
            <w:r>
              <w:rPr>
                <w:rFonts w:ascii="Arial" w:hAnsi="Arial"/>
                <w:sz w:val="18"/>
              </w:rPr>
              <w:t>-1.79%</w:t>
            </w:r>
          </w:p>
        </w:tc>
        <w:tc>
          <w:tcPr>
            <w:tcW w:w="1505" w:type="dxa"/>
            <w:shd w:val="clear" w:color="auto" w:fill="F2F6FC"/>
          </w:tcPr>
          <w:p w14:paraId="7DA11CD2" w14:textId="77777777" w:rsidR="00AD4FA5" w:rsidRDefault="00000000">
            <w:r>
              <w:rPr>
                <w:rFonts w:ascii="Arial" w:hAnsi="Arial"/>
                <w:sz w:val="18"/>
              </w:rPr>
              <w:t>Improved - operational emissions per employee decreased</w:t>
            </w:r>
          </w:p>
        </w:tc>
      </w:tr>
    </w:tbl>
    <w:p w14:paraId="0C7350D6" w14:textId="77777777" w:rsidR="00AD4FA5" w:rsidRDefault="00000000">
      <w:r>
        <w:rPr>
          <w:rFonts w:ascii="Arial" w:hAnsi="Arial"/>
          <w:i/>
          <w:sz w:val="16"/>
        </w:rPr>
        <w:t>Source: Source: Internal GHG accounting system. Prior year figures restated for consistency with current methodology.</w:t>
      </w:r>
    </w:p>
    <w:p w14:paraId="3EF0D18C" w14:textId="77777777" w:rsidR="00AD4FA5" w:rsidRDefault="00AD4FA5"/>
    <w:p w14:paraId="37A3BD5A" w14:textId="77777777" w:rsidR="00AD4FA5" w:rsidRDefault="00000000">
      <w:r>
        <w:rPr>
          <w:i/>
          <w:color w:val="3D6094"/>
          <w:sz w:val="18"/>
        </w:rPr>
        <w:t>Framework references: GRI 305-4a: Organization-specific metric (revenue in IDR billion; FTE count); GRI 305-4b: Types of GHG emissions included - Scope 1, 2 (market-based), and 3 Category 15 for revenue intensity; Scope 1 and 2 for FTE intensity; GRI 305-4c: Gases included - CO2, CH4, N2O; GRI 2.7.1: Intensity ratio calculated by dividing absolute GHG emissions by organization-specific metric</w:t>
      </w:r>
    </w:p>
    <w:p w14:paraId="1FA40934" w14:textId="77777777" w:rsidR="00AD4FA5" w:rsidRDefault="00AD4FA5">
      <w:pPr>
        <w:pBdr>
          <w:bottom w:val="single" w:sz="6" w:space="1" w:color="999999"/>
        </w:pBdr>
        <w:spacing w:after="80"/>
      </w:pPr>
    </w:p>
    <w:p w14:paraId="7301CBC1" w14:textId="77777777" w:rsidR="00AD4FA5" w:rsidRDefault="00000000">
      <w:pPr>
        <w:spacing w:after="160"/>
        <w:jc w:val="both"/>
      </w:pPr>
      <w:r>
        <w:rPr>
          <w:rFonts w:ascii="Arial" w:hAnsi="Arial"/>
          <w:i/>
          <w:color w:val="646464"/>
          <w:sz w:val="18"/>
        </w:rPr>
        <w:t>GRI Content Index: 305-4 | GHG emissions intensity | Section 4.4</w:t>
      </w:r>
    </w:p>
    <w:p w14:paraId="26F2B056" w14:textId="77777777" w:rsidR="00AD4FA5" w:rsidRDefault="00000000">
      <w:pPr>
        <w:spacing w:after="160"/>
        <w:jc w:val="both"/>
      </w:pPr>
      <w:r>
        <w:rPr>
          <w:rFonts w:ascii="Arial" w:hAnsi="Arial"/>
          <w:i/>
          <w:color w:val="646464"/>
          <w:sz w:val="18"/>
        </w:rPr>
        <w:t>The revenue-based intensity denominator is total operating revenue as reported in the organization's audited financial statements for the year ended December 31, 2024.</w:t>
      </w:r>
    </w:p>
    <w:p w14:paraId="4763AB95" w14:textId="77777777" w:rsidR="00AD4FA5" w:rsidRDefault="00000000">
      <w:pPr>
        <w:spacing w:after="160"/>
        <w:jc w:val="both"/>
      </w:pPr>
      <w:r>
        <w:rPr>
          <w:rFonts w:ascii="Arial" w:hAnsi="Arial"/>
          <w:i/>
          <w:color w:val="646464"/>
          <w:sz w:val="18"/>
        </w:rPr>
        <w:t>FTE count includes all permanent employees under operational control as of the last day of the reporting period, consistent with the organization's HR reporting methodology.</w:t>
      </w:r>
    </w:p>
    <w:p w14:paraId="55BA52E3" w14:textId="77777777" w:rsidR="00AD4FA5" w:rsidRDefault="00000000">
      <w:pPr>
        <w:spacing w:after="160"/>
        <w:jc w:val="both"/>
      </w:pPr>
      <w:r>
        <w:rPr>
          <w:rFonts w:ascii="Arial" w:hAnsi="Arial"/>
          <w:i/>
          <w:color w:val="646464"/>
          <w:sz w:val="18"/>
        </w:rPr>
        <w:t>Scope 2 emissions are calculated using the market-based method, reflecting contractual instruments (renewable energy certificates and power purchase agreements) where applicable. The location-based Scope 2 figure for 2024 was 44,613.876 tCO2e.</w:t>
      </w:r>
    </w:p>
    <w:p w14:paraId="680AAD8C"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7CB0C0F4" w14:textId="77777777" w:rsidR="00AD4FA5" w:rsidRDefault="00000000">
      <w:pPr>
        <w:pStyle w:val="Heading1"/>
        <w:spacing w:after="240"/>
      </w:pPr>
      <w:bookmarkStart w:id="15" w:name="_Toc231979678"/>
      <w:r>
        <w:rPr>
          <w:rFonts w:ascii="Arial" w:hAnsi="Arial"/>
          <w:color w:val="1B3A6B"/>
          <w:sz w:val="36"/>
        </w:rPr>
        <w:t>GRI 305-4: Intensitas Emisi GRK (GHG Emissions Intensity)</w:t>
      </w:r>
      <w:bookmarkEnd w:id="15"/>
    </w:p>
    <w:p w14:paraId="23E73C77" w14:textId="77777777" w:rsidR="00AD4FA5" w:rsidRDefault="00000000">
      <w:pPr>
        <w:spacing w:after="160"/>
        <w:jc w:val="both"/>
      </w:pPr>
      <w:r>
        <w:rPr>
          <w:rFonts w:ascii="Arial" w:hAnsi="Arial"/>
        </w:rPr>
        <w:t>Untuk Tahun Pelaporan 2024, institusi melaporkan intensitas emisi GRK sebesar 239,400139 tCO2e per miliar IDR pendapatan dan 1,9209 tCO2e per FTE (Full-Time Equivalent). Metrik intensitas ini menormalkan total emisi GRK terhadap indikator kinerja organisasi untuk memungkinkan perbandingan kinerja dari waktu ke waktu dan terhadap peer di sektor perbankan Indonesia. Pelaporan intensitas emisi ini sejalan dengan persyaratan POJK No. 51/POJK.03/2017 tentang Penerapan Keuangan Berkelanjutan (PSPK) yang mewajibkan lembaga jasa keuangan untuk melaporkan metrik intensitas berbasis pendapatan.</w:t>
      </w:r>
    </w:p>
    <w:p w14:paraId="79076364" w14:textId="77777777" w:rsidR="00AD4FA5" w:rsidRDefault="00000000">
      <w:pPr>
        <w:spacing w:after="160"/>
        <w:jc w:val="both"/>
      </w:pPr>
      <w:r>
        <w:rPr>
          <w:rFonts w:ascii="Arial" w:hAnsi="Arial"/>
          <w:i/>
        </w:rPr>
        <w:lastRenderedPageBreak/>
        <w:t>Metodologi perhitungan intensitas emisi menggunakan dua denominator berbeda sesuai dengan cakupan emisi yang relevan. Intensitas berbasis pendapatan (239,400139 tCO2e per miliar IDR) mencakup total emisi GRK dari Scope 1 (emisi langsung dari operasi), Scope 2 (emisi tidak langsung dari konsumsi energi menggunakan metode market-based), dan Scope 3 Kategori 15 (financed emissions - gross) sebagai numerator, dengan total pendapatan operasional institusi sebagai denominator. Intensitas berbasis FTE (1,9209 tCO2e per FTE) hanya mencakup emisi operasional (Scope 1 + Scope 2 market-based) sebagai numerator, dengan jumlah karyawan setara penuh waktu (24.997 FTE) sebagai denominator. Pendapatan operasional diperoleh dari laporan keuangan audited institusi untuk periode 1 Januari hingga 31 Desember 2024, sementara jumlah FTE merupakan rata-rata tertimbang sepanjang tahun pelaporan.</w:t>
      </w:r>
    </w:p>
    <w:p w14:paraId="2B7CDC14" w14:textId="77777777" w:rsidR="00AD4FA5" w:rsidRDefault="00000000">
      <w:pPr>
        <w:spacing w:after="160"/>
        <w:jc w:val="both"/>
      </w:pPr>
      <w:r>
        <w:rPr>
          <w:rFonts w:ascii="Arial" w:hAnsi="Arial"/>
        </w:rPr>
        <w:t>Intensitas berbasis pendapatan menunjukkan penurunan sebesar 11,36% dibandingkan tahun sebelumnya (270,116632 tCO2e per miliar IDR pada 2023), mengindikasikan peningkatan efisiensi karbon dalam menghasilkan pendapatan. Penurunan ini disebabkan oleh kombinasi pengurangan total emisi GRK sebesar 4,07% year-over-year dan pertumbuhan pendapatan operasional yang lebih tinggi. Intensitas berbasis FTE juga menunjukkan penurunan sebesar 1,80% dari 1,956 tCO2e per FTE pada 2023 menjadi 1,9209 tCO2e per FTE pada 2024, mencerminkan efisiensi operasional yang lebih baik meskipun terjadi pertambahan jumlah karyawan sebesar 2,03% (dari 24.500 FTE menjadi 24.997 FTE). Tren penurunan intensitas emisi ini sejalan dengan komitmen institusi terhadap Indonesia Enhanced NDC (31,89% unconditional reduction by 2030) dan Indonesia Long-Term Strategy for Net Zero by 2060.</w:t>
      </w:r>
    </w:p>
    <w:p w14:paraId="7013C2B4" w14:textId="77777777" w:rsidR="00AD4FA5" w:rsidRDefault="00000000">
      <w:pPr>
        <w:spacing w:after="160"/>
        <w:jc w:val="both"/>
      </w:pPr>
      <w:r>
        <w:rPr>
          <w:rFonts w:ascii="Arial" w:hAnsi="Arial"/>
          <w:i/>
          <w:color w:val="555555"/>
        </w:rPr>
        <w:t>**Rekomendasi Peningkatan Kinerja Intensitas Emisi:**</w:t>
      </w:r>
      <w:r>
        <w:rPr>
          <w:rFonts w:ascii="Arial" w:hAnsi="Arial"/>
          <w:i/>
          <w:color w:val="555555"/>
        </w:rPr>
        <w:br/>
      </w:r>
      <w:r>
        <w:rPr>
          <w:rFonts w:ascii="Arial" w:hAnsi="Arial"/>
          <w:i/>
          <w:color w:val="555555"/>
        </w:rPr>
        <w:br/>
        <w:t>**Temuan 1 - Intensitas Operasional Masih Tinggi Dibanding Peer Regional:**</w:t>
      </w:r>
      <w:r>
        <w:rPr>
          <w:rFonts w:ascii="Arial" w:hAnsi="Arial"/>
          <w:i/>
          <w:color w:val="555555"/>
        </w:rPr>
        <w:br/>
        <w:t>Intensitas emisi operasional per FTE institusi (1,9209 tCO2e/FTE) masih lebih tinggi dibandingkan DBS Group yang mencapai intensitas energi 14.200 MJ/karyawan dengan penurunan 8,3% YoY (setara ~0,85 tCO2e/FTE dengan asumsi grid factor regional). **Benchmark:** DBS Group mencapai penurunan intensitas energi melalui program energy efficiency retrofits di 100% cabang dan implementasi ISO 50001 Energy Management System. **Rekomendasi:** Implementasikan program energy audit komprehensif untuk seluruh 10 fasilitas dengan kontribusi emisi Scope 1 tertinggi (FAC-0197 hingga FAC-0208 yang berkontribusi 1.187,8 tCO2e atau 34,9% dari total Scope 1), dengan target pengurangan intensitas 8-10% dalam 2 tahun melalui retrofitting HVAC, LED lighting, dan building automation systems. **Referensi:** DBS Group - ISO 50001 implementation across all major facilities. **Prioritas:** High.</w:t>
      </w:r>
      <w:r>
        <w:rPr>
          <w:rFonts w:ascii="Arial" w:hAnsi="Arial"/>
          <w:i/>
          <w:color w:val="555555"/>
        </w:rPr>
        <w:br/>
      </w:r>
      <w:r>
        <w:rPr>
          <w:rFonts w:ascii="Arial" w:hAnsi="Arial"/>
          <w:i/>
          <w:color w:val="555555"/>
        </w:rPr>
        <w:br/>
        <w:t>**Temuan 2 - Financed Emissions Mendominasi Total Intensitas:**</w:t>
      </w:r>
      <w:r>
        <w:rPr>
          <w:rFonts w:ascii="Arial" w:hAnsi="Arial"/>
          <w:i/>
          <w:color w:val="555555"/>
        </w:rPr>
        <w:br/>
        <w:t xml:space="preserve">Financed emissions (Scope 3 Cat 15) berkontribusi 99,78% terhadap total emisi, dengan sektor Energy - Oil &amp; Gas (43,56% dari total financed emissions) dan Manufacturing - Cement (26,45%) sebagai kontributor terbesar. **Benchmark:** BCA melaporkan implementasi sector-specific decarbonization targets dengan prioritas pada high-carbon sectors, sementara BRI menerapkan green financing ratio target 30% by 2030. **Rekomendasi:** Tetapkan sector-specific emission intensity reduction targets untuk 3 sektor dengan kontribusi tertinggi (Oil &amp; Gas: 93,242 tCO2e/IDR bn; Cement: 53,9927 tCO2e/IDR bn; Steel: 32,2175 tCO2e/IDR bn), dengan mekanisme engagement plan untuk </w:t>
      </w:r>
      <w:r>
        <w:rPr>
          <w:rFonts w:ascii="Arial" w:hAnsi="Arial"/>
          <w:i/>
          <w:color w:val="555555"/>
        </w:rPr>
        <w:lastRenderedPageBreak/>
        <w:t>borrowers yang melebihi sector benchmark. Integrasikan climate risk assessment dalam credit approval process untuk new lending di sektor high-carbon. **Referensi:** BCA - Sector-specific ESG risk framework; BRI - Green financing portfolio target. **Prioritas:** High.</w:t>
      </w:r>
      <w:r>
        <w:rPr>
          <w:rFonts w:ascii="Arial" w:hAnsi="Arial"/>
          <w:i/>
          <w:color w:val="555555"/>
        </w:rPr>
        <w:br/>
      </w:r>
      <w:r>
        <w:rPr>
          <w:rFonts w:ascii="Arial" w:hAnsi="Arial"/>
          <w:i/>
          <w:color w:val="555555"/>
        </w:rPr>
        <w:br/>
        <w:t>**Temuan 3 - Data Quality Score Mempengaruhi Akurasi Intensitas:**</w:t>
      </w:r>
      <w:r>
        <w:rPr>
          <w:rFonts w:ascii="Arial" w:hAnsi="Arial"/>
          <w:i/>
          <w:color w:val="555555"/>
        </w:rPr>
        <w:br/>
        <w:t>Average PCAF data quality score 3,36 (skala 1-5, dengan 5 = lowest quality) mengindikasikan ketergantungan pada sector-average data untuk sebagian besar financed emissions. **Benchmark:** OCBC Indonesia melaporkan program borrower engagement untuk meningkatkan data quality score dengan target mencapai score 2,5 untuk 80% portfolio by 2026. **Rekomendasi:** Luncurkan borrower data collection program dengan fokus pada top 50 borrowers (by outstanding) di 3 sektor high-carbon, dengan target meningkatkan data quality score menjadi ≤2,5 untuk minimal 60% portfolio value dalam 3 tahun. Sediakan template pelaporan emisi dan capacity building untuk borrowers. **Referensi:** OCBC Indonesia - Borrower engagement program for emissions data collection. **Prioritas:** Medium.</w:t>
      </w:r>
    </w:p>
    <w:p w14:paraId="4121729E" w14:textId="77777777" w:rsidR="00AD4FA5" w:rsidRDefault="00000000">
      <w:r>
        <w:rPr>
          <w:rFonts w:ascii="Arial" w:hAnsi="Arial"/>
          <w:b/>
          <w:sz w:val="20"/>
        </w:rPr>
        <w:t>Tabel Perhitungan Intensitas Emisi GRK Tahun Pelaporan 2024</w:t>
      </w:r>
    </w:p>
    <w:tbl>
      <w:tblPr>
        <w:tblW w:w="0" w:type="auto"/>
        <w:jc w:val="center"/>
        <w:tblLook w:val="04A0" w:firstRow="1" w:lastRow="0" w:firstColumn="1" w:lastColumn="0" w:noHBand="0" w:noVBand="1"/>
      </w:tblPr>
      <w:tblGrid>
        <w:gridCol w:w="503"/>
        <w:gridCol w:w="1297"/>
        <w:gridCol w:w="1357"/>
        <w:gridCol w:w="1317"/>
        <w:gridCol w:w="1158"/>
        <w:gridCol w:w="1208"/>
        <w:gridCol w:w="1267"/>
        <w:gridCol w:w="1138"/>
      </w:tblGrid>
      <w:tr w:rsidR="00AD4FA5" w14:paraId="3B7ABF83" w14:textId="77777777">
        <w:trPr>
          <w:jc w:val="center"/>
        </w:trPr>
        <w:tc>
          <w:tcPr>
            <w:tcW w:w="1129" w:type="dxa"/>
            <w:shd w:val="clear" w:color="auto" w:fill="1B3A6B"/>
          </w:tcPr>
          <w:p w14:paraId="3B3701B9" w14:textId="77777777" w:rsidR="00AD4FA5" w:rsidRDefault="00000000">
            <w:r>
              <w:rPr>
                <w:rFonts w:ascii="Arial" w:hAnsi="Arial"/>
                <w:b/>
                <w:color w:val="FFFFFF"/>
                <w:sz w:val="18"/>
              </w:rPr>
              <w:t>No.</w:t>
            </w:r>
          </w:p>
        </w:tc>
        <w:tc>
          <w:tcPr>
            <w:tcW w:w="1129" w:type="dxa"/>
            <w:shd w:val="clear" w:color="auto" w:fill="1B3A6B"/>
          </w:tcPr>
          <w:p w14:paraId="4849E661" w14:textId="77777777" w:rsidR="00AD4FA5" w:rsidRDefault="00000000">
            <w:r>
              <w:rPr>
                <w:rFonts w:ascii="Arial" w:hAnsi="Arial"/>
                <w:b/>
                <w:color w:val="FFFFFF"/>
                <w:sz w:val="18"/>
              </w:rPr>
              <w:t>Metrik Intensitas</w:t>
            </w:r>
          </w:p>
        </w:tc>
        <w:tc>
          <w:tcPr>
            <w:tcW w:w="1129" w:type="dxa"/>
            <w:shd w:val="clear" w:color="auto" w:fill="1B3A6B"/>
          </w:tcPr>
          <w:p w14:paraId="5617FEB7" w14:textId="77777777" w:rsidR="00AD4FA5" w:rsidRDefault="00000000">
            <w:r>
              <w:rPr>
                <w:rFonts w:ascii="Arial" w:hAnsi="Arial"/>
                <w:b/>
                <w:color w:val="FFFFFF"/>
                <w:sz w:val="18"/>
              </w:rPr>
              <w:t>Numerator (tCO2e)</w:t>
            </w:r>
          </w:p>
        </w:tc>
        <w:tc>
          <w:tcPr>
            <w:tcW w:w="1129" w:type="dxa"/>
            <w:shd w:val="clear" w:color="auto" w:fill="1B3A6B"/>
          </w:tcPr>
          <w:p w14:paraId="71938666" w14:textId="77777777" w:rsidR="00AD4FA5" w:rsidRDefault="00000000">
            <w:r>
              <w:rPr>
                <w:rFonts w:ascii="Arial" w:hAnsi="Arial"/>
                <w:b/>
                <w:color w:val="FFFFFF"/>
                <w:sz w:val="18"/>
              </w:rPr>
              <w:t>Denominator</w:t>
            </w:r>
          </w:p>
        </w:tc>
        <w:tc>
          <w:tcPr>
            <w:tcW w:w="1129" w:type="dxa"/>
            <w:shd w:val="clear" w:color="auto" w:fill="1B3A6B"/>
          </w:tcPr>
          <w:p w14:paraId="4397E1AE" w14:textId="77777777" w:rsidR="00AD4FA5" w:rsidRDefault="00000000">
            <w:r>
              <w:rPr>
                <w:rFonts w:ascii="Arial" w:hAnsi="Arial"/>
                <w:b/>
                <w:color w:val="FFFFFF"/>
                <w:sz w:val="18"/>
              </w:rPr>
              <w:t>Intensitas</w:t>
            </w:r>
          </w:p>
        </w:tc>
        <w:tc>
          <w:tcPr>
            <w:tcW w:w="1129" w:type="dxa"/>
            <w:shd w:val="clear" w:color="auto" w:fill="1B3A6B"/>
          </w:tcPr>
          <w:p w14:paraId="34B995F8" w14:textId="77777777" w:rsidR="00AD4FA5" w:rsidRDefault="00000000">
            <w:r>
              <w:rPr>
                <w:rFonts w:ascii="Arial" w:hAnsi="Arial"/>
                <w:b/>
                <w:color w:val="FFFFFF"/>
                <w:sz w:val="18"/>
              </w:rPr>
              <w:t>Unit</w:t>
            </w:r>
          </w:p>
        </w:tc>
        <w:tc>
          <w:tcPr>
            <w:tcW w:w="1129" w:type="dxa"/>
            <w:shd w:val="clear" w:color="auto" w:fill="1B3A6B"/>
          </w:tcPr>
          <w:p w14:paraId="4EBB290E" w14:textId="77777777" w:rsidR="00AD4FA5" w:rsidRDefault="00000000">
            <w:r>
              <w:rPr>
                <w:rFonts w:ascii="Arial" w:hAnsi="Arial"/>
                <w:b/>
                <w:color w:val="FFFFFF"/>
                <w:sz w:val="18"/>
              </w:rPr>
              <w:t>Tahun Sebelumnya</w:t>
            </w:r>
          </w:p>
        </w:tc>
        <w:tc>
          <w:tcPr>
            <w:tcW w:w="1129" w:type="dxa"/>
            <w:shd w:val="clear" w:color="auto" w:fill="1B3A6B"/>
          </w:tcPr>
          <w:p w14:paraId="7D22CF61" w14:textId="77777777" w:rsidR="00AD4FA5" w:rsidRDefault="00000000">
            <w:r>
              <w:rPr>
                <w:rFonts w:ascii="Arial" w:hAnsi="Arial"/>
                <w:b/>
                <w:color w:val="FFFFFF"/>
                <w:sz w:val="18"/>
              </w:rPr>
              <w:t>Perubahan (%)</w:t>
            </w:r>
          </w:p>
        </w:tc>
      </w:tr>
      <w:tr w:rsidR="00AD4FA5" w14:paraId="6733FFEE" w14:textId="77777777">
        <w:trPr>
          <w:jc w:val="center"/>
        </w:trPr>
        <w:tc>
          <w:tcPr>
            <w:tcW w:w="1129" w:type="dxa"/>
          </w:tcPr>
          <w:p w14:paraId="6F11E76B" w14:textId="77777777" w:rsidR="00AD4FA5" w:rsidRDefault="00000000">
            <w:pPr>
              <w:jc w:val="right"/>
            </w:pPr>
            <w:r>
              <w:rPr>
                <w:rFonts w:ascii="Arial" w:hAnsi="Arial"/>
                <w:sz w:val="18"/>
              </w:rPr>
              <w:t>1</w:t>
            </w:r>
          </w:p>
        </w:tc>
        <w:tc>
          <w:tcPr>
            <w:tcW w:w="1129" w:type="dxa"/>
          </w:tcPr>
          <w:p w14:paraId="1CE7E41E" w14:textId="77777777" w:rsidR="00AD4FA5" w:rsidRDefault="00000000">
            <w:r>
              <w:rPr>
                <w:rFonts w:ascii="Arial" w:hAnsi="Arial"/>
                <w:sz w:val="18"/>
              </w:rPr>
              <w:t>Intensitas Berbasis Pendapatan</w:t>
            </w:r>
          </w:p>
        </w:tc>
        <w:tc>
          <w:tcPr>
            <w:tcW w:w="1129" w:type="dxa"/>
          </w:tcPr>
          <w:p w14:paraId="07270A46" w14:textId="77777777" w:rsidR="00AD4FA5" w:rsidRDefault="00000000">
            <w:r>
              <w:rPr>
                <w:rFonts w:ascii="Arial" w:hAnsi="Arial"/>
                <w:sz w:val="18"/>
              </w:rPr>
              <w:t>22.024.814,17</w:t>
            </w:r>
          </w:p>
        </w:tc>
        <w:tc>
          <w:tcPr>
            <w:tcW w:w="1129" w:type="dxa"/>
          </w:tcPr>
          <w:p w14:paraId="7FC1DBD1" w14:textId="77777777" w:rsidR="00AD4FA5" w:rsidRDefault="00000000">
            <w:r>
              <w:rPr>
                <w:rFonts w:ascii="Arial" w:hAnsi="Arial"/>
                <w:sz w:val="18"/>
              </w:rPr>
              <w:t>92.000,00 miliar IDR</w:t>
            </w:r>
          </w:p>
        </w:tc>
        <w:tc>
          <w:tcPr>
            <w:tcW w:w="1129" w:type="dxa"/>
          </w:tcPr>
          <w:p w14:paraId="4B1AF090" w14:textId="77777777" w:rsidR="00AD4FA5" w:rsidRDefault="00000000">
            <w:pPr>
              <w:jc w:val="right"/>
            </w:pPr>
            <w:r>
              <w:rPr>
                <w:rFonts w:ascii="Arial" w:hAnsi="Arial"/>
                <w:sz w:val="18"/>
              </w:rPr>
              <w:t>239,400139</w:t>
            </w:r>
          </w:p>
        </w:tc>
        <w:tc>
          <w:tcPr>
            <w:tcW w:w="1129" w:type="dxa"/>
          </w:tcPr>
          <w:p w14:paraId="638BA618" w14:textId="77777777" w:rsidR="00AD4FA5" w:rsidRDefault="00000000">
            <w:r>
              <w:rPr>
                <w:rFonts w:ascii="Arial" w:hAnsi="Arial"/>
                <w:sz w:val="18"/>
              </w:rPr>
              <w:t>tCO2e/miliar IDR</w:t>
            </w:r>
          </w:p>
        </w:tc>
        <w:tc>
          <w:tcPr>
            <w:tcW w:w="1129" w:type="dxa"/>
          </w:tcPr>
          <w:p w14:paraId="7F6FC221" w14:textId="77777777" w:rsidR="00AD4FA5" w:rsidRDefault="00000000">
            <w:pPr>
              <w:jc w:val="right"/>
            </w:pPr>
            <w:r>
              <w:rPr>
                <w:rFonts w:ascii="Arial" w:hAnsi="Arial"/>
                <w:sz w:val="18"/>
              </w:rPr>
              <w:t>270,116632</w:t>
            </w:r>
          </w:p>
        </w:tc>
        <w:tc>
          <w:tcPr>
            <w:tcW w:w="1129" w:type="dxa"/>
          </w:tcPr>
          <w:p w14:paraId="7D775CE7" w14:textId="77777777" w:rsidR="00AD4FA5" w:rsidRDefault="00000000">
            <w:pPr>
              <w:jc w:val="right"/>
            </w:pPr>
            <w:r>
              <w:rPr>
                <w:rFonts w:ascii="Arial" w:hAnsi="Arial"/>
                <w:sz w:val="18"/>
              </w:rPr>
              <w:t>-11,36</w:t>
            </w:r>
          </w:p>
        </w:tc>
      </w:tr>
      <w:tr w:rsidR="00AD4FA5" w14:paraId="4E43C6BD" w14:textId="77777777">
        <w:trPr>
          <w:jc w:val="center"/>
        </w:trPr>
        <w:tc>
          <w:tcPr>
            <w:tcW w:w="1129" w:type="dxa"/>
            <w:shd w:val="clear" w:color="auto" w:fill="F2F6FC"/>
          </w:tcPr>
          <w:p w14:paraId="50EE2A99" w14:textId="77777777" w:rsidR="00AD4FA5" w:rsidRDefault="00000000">
            <w:pPr>
              <w:jc w:val="right"/>
            </w:pPr>
            <w:r>
              <w:rPr>
                <w:rFonts w:ascii="Arial" w:hAnsi="Arial"/>
                <w:sz w:val="18"/>
              </w:rPr>
              <w:t>2</w:t>
            </w:r>
          </w:p>
        </w:tc>
        <w:tc>
          <w:tcPr>
            <w:tcW w:w="1129" w:type="dxa"/>
            <w:shd w:val="clear" w:color="auto" w:fill="F2F6FC"/>
          </w:tcPr>
          <w:p w14:paraId="5BE500F4" w14:textId="77777777" w:rsidR="00AD4FA5" w:rsidRDefault="00000000">
            <w:r>
              <w:rPr>
                <w:rFonts w:ascii="Arial" w:hAnsi="Arial"/>
                <w:sz w:val="18"/>
              </w:rPr>
              <w:t>Intensitas Berbasis FTE (Operasional)</w:t>
            </w:r>
          </w:p>
        </w:tc>
        <w:tc>
          <w:tcPr>
            <w:tcW w:w="1129" w:type="dxa"/>
            <w:shd w:val="clear" w:color="auto" w:fill="F2F6FC"/>
          </w:tcPr>
          <w:p w14:paraId="7B627484" w14:textId="77777777" w:rsidR="00AD4FA5" w:rsidRDefault="00000000">
            <w:pPr>
              <w:jc w:val="right"/>
            </w:pPr>
            <w:r>
              <w:rPr>
                <w:rFonts w:ascii="Arial" w:hAnsi="Arial"/>
                <w:sz w:val="18"/>
              </w:rPr>
              <w:t>48.016,87</w:t>
            </w:r>
          </w:p>
        </w:tc>
        <w:tc>
          <w:tcPr>
            <w:tcW w:w="1129" w:type="dxa"/>
            <w:shd w:val="clear" w:color="auto" w:fill="F2F6FC"/>
          </w:tcPr>
          <w:p w14:paraId="0B1CF108" w14:textId="77777777" w:rsidR="00AD4FA5" w:rsidRDefault="00000000">
            <w:r>
              <w:rPr>
                <w:rFonts w:ascii="Arial" w:hAnsi="Arial"/>
                <w:sz w:val="18"/>
              </w:rPr>
              <w:t>24.997 FTE</w:t>
            </w:r>
          </w:p>
        </w:tc>
        <w:tc>
          <w:tcPr>
            <w:tcW w:w="1129" w:type="dxa"/>
            <w:shd w:val="clear" w:color="auto" w:fill="F2F6FC"/>
          </w:tcPr>
          <w:p w14:paraId="705763CB" w14:textId="77777777" w:rsidR="00AD4FA5" w:rsidRDefault="00000000">
            <w:pPr>
              <w:jc w:val="right"/>
            </w:pPr>
            <w:r>
              <w:rPr>
                <w:rFonts w:ascii="Arial" w:hAnsi="Arial"/>
                <w:sz w:val="18"/>
              </w:rPr>
              <w:t>1,9209</w:t>
            </w:r>
          </w:p>
        </w:tc>
        <w:tc>
          <w:tcPr>
            <w:tcW w:w="1129" w:type="dxa"/>
            <w:shd w:val="clear" w:color="auto" w:fill="F2F6FC"/>
          </w:tcPr>
          <w:p w14:paraId="639C632C" w14:textId="77777777" w:rsidR="00AD4FA5" w:rsidRDefault="00000000">
            <w:r>
              <w:rPr>
                <w:rFonts w:ascii="Arial" w:hAnsi="Arial"/>
                <w:sz w:val="18"/>
              </w:rPr>
              <w:t>tCO2e/FTE</w:t>
            </w:r>
          </w:p>
        </w:tc>
        <w:tc>
          <w:tcPr>
            <w:tcW w:w="1129" w:type="dxa"/>
            <w:shd w:val="clear" w:color="auto" w:fill="F2F6FC"/>
          </w:tcPr>
          <w:p w14:paraId="019575B7" w14:textId="77777777" w:rsidR="00AD4FA5" w:rsidRDefault="00000000">
            <w:pPr>
              <w:jc w:val="right"/>
            </w:pPr>
            <w:r>
              <w:rPr>
                <w:rFonts w:ascii="Arial" w:hAnsi="Arial"/>
                <w:sz w:val="18"/>
              </w:rPr>
              <w:t>1,956</w:t>
            </w:r>
          </w:p>
        </w:tc>
        <w:tc>
          <w:tcPr>
            <w:tcW w:w="1129" w:type="dxa"/>
            <w:shd w:val="clear" w:color="auto" w:fill="F2F6FC"/>
          </w:tcPr>
          <w:p w14:paraId="5DD1A214" w14:textId="77777777" w:rsidR="00AD4FA5" w:rsidRDefault="00000000">
            <w:pPr>
              <w:jc w:val="right"/>
            </w:pPr>
            <w:r>
              <w:rPr>
                <w:rFonts w:ascii="Arial" w:hAnsi="Arial"/>
                <w:sz w:val="18"/>
              </w:rPr>
              <w:t>-1,80</w:t>
            </w:r>
          </w:p>
        </w:tc>
      </w:tr>
    </w:tbl>
    <w:p w14:paraId="192C0E10" w14:textId="77777777" w:rsidR="00AD4FA5" w:rsidRDefault="00000000">
      <w:r>
        <w:rPr>
          <w:rFonts w:ascii="Arial" w:hAnsi="Arial"/>
          <w:i/>
          <w:sz w:val="16"/>
        </w:rPr>
        <w:t>Source: Sumber: Sistem pelaporan GRK institusi. Scope 1 + 2 (market-based) + Scope 3 Cat 15 (gross) untuk intensitas pendapatan; Scope 1 + 2 (market-based) untuk intensitas FTE. Pendapatan dari laporan keuangan audited 2024. FTE merupakan rata-rata tertimbang tahunan.</w:t>
      </w:r>
    </w:p>
    <w:p w14:paraId="4A2447A4" w14:textId="77777777" w:rsidR="00AD4FA5" w:rsidRDefault="00AD4FA5"/>
    <w:p w14:paraId="6CDD3185" w14:textId="77777777" w:rsidR="00AD4FA5" w:rsidRDefault="00000000">
      <w:r>
        <w:rPr>
          <w:rFonts w:ascii="Arial" w:hAnsi="Arial"/>
          <w:b/>
          <w:sz w:val="20"/>
        </w:rPr>
        <w:t>Tabel Rincian Komponen Intensitas Emisi Berbasis Pendapatan</w:t>
      </w:r>
    </w:p>
    <w:tbl>
      <w:tblPr>
        <w:tblW w:w="0" w:type="auto"/>
        <w:jc w:val="center"/>
        <w:tblLook w:val="04A0" w:firstRow="1" w:lastRow="0" w:firstColumn="1" w:lastColumn="0" w:noHBand="0" w:noVBand="1"/>
      </w:tblPr>
      <w:tblGrid>
        <w:gridCol w:w="1806"/>
        <w:gridCol w:w="1806"/>
        <w:gridCol w:w="1806"/>
        <w:gridCol w:w="1806"/>
        <w:gridCol w:w="1806"/>
      </w:tblGrid>
      <w:tr w:rsidR="00AD4FA5" w14:paraId="73F46B6C" w14:textId="77777777">
        <w:trPr>
          <w:jc w:val="center"/>
        </w:trPr>
        <w:tc>
          <w:tcPr>
            <w:tcW w:w="1806" w:type="dxa"/>
            <w:shd w:val="clear" w:color="auto" w:fill="1B3A6B"/>
          </w:tcPr>
          <w:p w14:paraId="7CC1BE70" w14:textId="77777777" w:rsidR="00AD4FA5" w:rsidRDefault="00000000">
            <w:r>
              <w:rPr>
                <w:rFonts w:ascii="Arial" w:hAnsi="Arial"/>
                <w:b/>
                <w:color w:val="FFFFFF"/>
                <w:sz w:val="18"/>
              </w:rPr>
              <w:t>No.</w:t>
            </w:r>
          </w:p>
        </w:tc>
        <w:tc>
          <w:tcPr>
            <w:tcW w:w="1806" w:type="dxa"/>
            <w:shd w:val="clear" w:color="auto" w:fill="1B3A6B"/>
          </w:tcPr>
          <w:p w14:paraId="2FB3CA19" w14:textId="77777777" w:rsidR="00AD4FA5" w:rsidRDefault="00000000">
            <w:r>
              <w:rPr>
                <w:rFonts w:ascii="Arial" w:hAnsi="Arial"/>
                <w:b/>
                <w:color w:val="FFFFFF"/>
                <w:sz w:val="18"/>
              </w:rPr>
              <w:t>Komponen Emisi</w:t>
            </w:r>
          </w:p>
        </w:tc>
        <w:tc>
          <w:tcPr>
            <w:tcW w:w="1806" w:type="dxa"/>
            <w:shd w:val="clear" w:color="auto" w:fill="1B3A6B"/>
          </w:tcPr>
          <w:p w14:paraId="1F5CDADB" w14:textId="77777777" w:rsidR="00AD4FA5" w:rsidRDefault="00000000">
            <w:r>
              <w:rPr>
                <w:rFonts w:ascii="Arial" w:hAnsi="Arial"/>
                <w:b/>
                <w:color w:val="FFFFFF"/>
                <w:sz w:val="18"/>
              </w:rPr>
              <w:t>Emisi (tCO2e)</w:t>
            </w:r>
          </w:p>
        </w:tc>
        <w:tc>
          <w:tcPr>
            <w:tcW w:w="1806" w:type="dxa"/>
            <w:shd w:val="clear" w:color="auto" w:fill="1B3A6B"/>
          </w:tcPr>
          <w:p w14:paraId="4844B8C2" w14:textId="77777777" w:rsidR="00AD4FA5" w:rsidRDefault="00000000">
            <w:r>
              <w:rPr>
                <w:rFonts w:ascii="Arial" w:hAnsi="Arial"/>
                <w:b/>
                <w:color w:val="FFFFFF"/>
                <w:sz w:val="18"/>
              </w:rPr>
              <w:t>Persentase Total (%)</w:t>
            </w:r>
          </w:p>
        </w:tc>
        <w:tc>
          <w:tcPr>
            <w:tcW w:w="1806" w:type="dxa"/>
            <w:shd w:val="clear" w:color="auto" w:fill="1B3A6B"/>
          </w:tcPr>
          <w:p w14:paraId="0F70C2F8" w14:textId="77777777" w:rsidR="00AD4FA5" w:rsidRDefault="00000000">
            <w:r>
              <w:rPr>
                <w:rFonts w:ascii="Arial" w:hAnsi="Arial"/>
                <w:b/>
                <w:color w:val="FFFFFF"/>
                <w:sz w:val="18"/>
              </w:rPr>
              <w:t>Kontribusi Intensitas (tCO2e/miliar IDR)</w:t>
            </w:r>
          </w:p>
        </w:tc>
      </w:tr>
      <w:tr w:rsidR="00AD4FA5" w14:paraId="0A3CF23E" w14:textId="77777777">
        <w:trPr>
          <w:jc w:val="center"/>
        </w:trPr>
        <w:tc>
          <w:tcPr>
            <w:tcW w:w="1806" w:type="dxa"/>
          </w:tcPr>
          <w:p w14:paraId="02CA0B72" w14:textId="77777777" w:rsidR="00AD4FA5" w:rsidRDefault="00000000">
            <w:pPr>
              <w:jc w:val="right"/>
            </w:pPr>
            <w:r>
              <w:rPr>
                <w:rFonts w:ascii="Arial" w:hAnsi="Arial"/>
                <w:sz w:val="18"/>
              </w:rPr>
              <w:t>1</w:t>
            </w:r>
          </w:p>
        </w:tc>
        <w:tc>
          <w:tcPr>
            <w:tcW w:w="1806" w:type="dxa"/>
          </w:tcPr>
          <w:p w14:paraId="1C25B59C" w14:textId="77777777" w:rsidR="00AD4FA5" w:rsidRDefault="00000000">
            <w:r>
              <w:rPr>
                <w:rFonts w:ascii="Arial" w:hAnsi="Arial"/>
                <w:sz w:val="18"/>
              </w:rPr>
              <w:t>Scope 1 (Emisi Langsung)</w:t>
            </w:r>
          </w:p>
        </w:tc>
        <w:tc>
          <w:tcPr>
            <w:tcW w:w="1806" w:type="dxa"/>
          </w:tcPr>
          <w:p w14:paraId="6DB4E70E" w14:textId="77777777" w:rsidR="00AD4FA5" w:rsidRDefault="00000000">
            <w:pPr>
              <w:jc w:val="right"/>
            </w:pPr>
            <w:r>
              <w:rPr>
                <w:rFonts w:ascii="Arial" w:hAnsi="Arial"/>
                <w:sz w:val="18"/>
              </w:rPr>
              <w:t>3.402,997</w:t>
            </w:r>
          </w:p>
        </w:tc>
        <w:tc>
          <w:tcPr>
            <w:tcW w:w="1806" w:type="dxa"/>
          </w:tcPr>
          <w:p w14:paraId="5010FC92" w14:textId="77777777" w:rsidR="00AD4FA5" w:rsidRDefault="00000000">
            <w:pPr>
              <w:jc w:val="right"/>
            </w:pPr>
            <w:r>
              <w:rPr>
                <w:rFonts w:ascii="Arial" w:hAnsi="Arial"/>
                <w:sz w:val="18"/>
              </w:rPr>
              <w:t>0,015</w:t>
            </w:r>
          </w:p>
        </w:tc>
        <w:tc>
          <w:tcPr>
            <w:tcW w:w="1806" w:type="dxa"/>
          </w:tcPr>
          <w:p w14:paraId="36B649E0" w14:textId="77777777" w:rsidR="00AD4FA5" w:rsidRDefault="00000000">
            <w:pPr>
              <w:jc w:val="right"/>
            </w:pPr>
            <w:r>
              <w:rPr>
                <w:rFonts w:ascii="Arial" w:hAnsi="Arial"/>
                <w:sz w:val="18"/>
              </w:rPr>
              <w:t>0,037</w:t>
            </w:r>
          </w:p>
        </w:tc>
      </w:tr>
      <w:tr w:rsidR="00AD4FA5" w14:paraId="4AB671DD" w14:textId="77777777">
        <w:trPr>
          <w:jc w:val="center"/>
        </w:trPr>
        <w:tc>
          <w:tcPr>
            <w:tcW w:w="1806" w:type="dxa"/>
            <w:shd w:val="clear" w:color="auto" w:fill="F2F6FC"/>
          </w:tcPr>
          <w:p w14:paraId="5F25DC29" w14:textId="77777777" w:rsidR="00AD4FA5" w:rsidRDefault="00000000">
            <w:pPr>
              <w:jc w:val="right"/>
            </w:pPr>
            <w:r>
              <w:rPr>
                <w:rFonts w:ascii="Arial" w:hAnsi="Arial"/>
                <w:sz w:val="18"/>
              </w:rPr>
              <w:t>2</w:t>
            </w:r>
          </w:p>
        </w:tc>
        <w:tc>
          <w:tcPr>
            <w:tcW w:w="1806" w:type="dxa"/>
            <w:shd w:val="clear" w:color="auto" w:fill="F2F6FC"/>
          </w:tcPr>
          <w:p w14:paraId="4A7BEE1B" w14:textId="77777777" w:rsidR="00AD4FA5" w:rsidRDefault="00000000">
            <w:r>
              <w:rPr>
                <w:rFonts w:ascii="Arial" w:hAnsi="Arial"/>
                <w:sz w:val="18"/>
              </w:rPr>
              <w:t>Scope 2 Market-based (Energi Listrik)</w:t>
            </w:r>
          </w:p>
        </w:tc>
        <w:tc>
          <w:tcPr>
            <w:tcW w:w="1806" w:type="dxa"/>
            <w:shd w:val="clear" w:color="auto" w:fill="F2F6FC"/>
          </w:tcPr>
          <w:p w14:paraId="0F6A5A27" w14:textId="77777777" w:rsidR="00AD4FA5" w:rsidRDefault="00000000">
            <w:pPr>
              <w:jc w:val="right"/>
            </w:pPr>
            <w:r>
              <w:rPr>
                <w:rFonts w:ascii="Arial" w:hAnsi="Arial"/>
                <w:sz w:val="18"/>
              </w:rPr>
              <w:t>44.612,518</w:t>
            </w:r>
          </w:p>
        </w:tc>
        <w:tc>
          <w:tcPr>
            <w:tcW w:w="1806" w:type="dxa"/>
            <w:shd w:val="clear" w:color="auto" w:fill="F2F6FC"/>
          </w:tcPr>
          <w:p w14:paraId="7E11438F" w14:textId="77777777" w:rsidR="00AD4FA5" w:rsidRDefault="00000000">
            <w:pPr>
              <w:jc w:val="right"/>
            </w:pPr>
            <w:r>
              <w:rPr>
                <w:rFonts w:ascii="Arial" w:hAnsi="Arial"/>
                <w:sz w:val="18"/>
              </w:rPr>
              <w:t>0,203</w:t>
            </w:r>
          </w:p>
        </w:tc>
        <w:tc>
          <w:tcPr>
            <w:tcW w:w="1806" w:type="dxa"/>
            <w:shd w:val="clear" w:color="auto" w:fill="F2F6FC"/>
          </w:tcPr>
          <w:p w14:paraId="7759CA65" w14:textId="77777777" w:rsidR="00AD4FA5" w:rsidRDefault="00000000">
            <w:pPr>
              <w:jc w:val="right"/>
            </w:pPr>
            <w:r>
              <w:rPr>
                <w:rFonts w:ascii="Arial" w:hAnsi="Arial"/>
                <w:sz w:val="18"/>
              </w:rPr>
              <w:t>0,485</w:t>
            </w:r>
          </w:p>
        </w:tc>
      </w:tr>
      <w:tr w:rsidR="00AD4FA5" w14:paraId="62AF182C" w14:textId="77777777">
        <w:trPr>
          <w:jc w:val="center"/>
        </w:trPr>
        <w:tc>
          <w:tcPr>
            <w:tcW w:w="1806" w:type="dxa"/>
          </w:tcPr>
          <w:p w14:paraId="543AF7C9" w14:textId="77777777" w:rsidR="00AD4FA5" w:rsidRDefault="00000000">
            <w:pPr>
              <w:jc w:val="right"/>
            </w:pPr>
            <w:r>
              <w:rPr>
                <w:rFonts w:ascii="Arial" w:hAnsi="Arial"/>
                <w:sz w:val="18"/>
              </w:rPr>
              <w:t>3</w:t>
            </w:r>
          </w:p>
        </w:tc>
        <w:tc>
          <w:tcPr>
            <w:tcW w:w="1806" w:type="dxa"/>
          </w:tcPr>
          <w:p w14:paraId="7540C550" w14:textId="77777777" w:rsidR="00AD4FA5" w:rsidRDefault="00000000">
            <w:r>
              <w:rPr>
                <w:rFonts w:ascii="Arial" w:hAnsi="Arial"/>
                <w:sz w:val="18"/>
              </w:rPr>
              <w:t>Scope 3 Cat 15 Gross (Financed Emissions)</w:t>
            </w:r>
          </w:p>
        </w:tc>
        <w:tc>
          <w:tcPr>
            <w:tcW w:w="1806" w:type="dxa"/>
          </w:tcPr>
          <w:p w14:paraId="50DE9276" w14:textId="77777777" w:rsidR="00AD4FA5" w:rsidRDefault="00000000">
            <w:r>
              <w:rPr>
                <w:rFonts w:ascii="Arial" w:hAnsi="Arial"/>
                <w:sz w:val="18"/>
              </w:rPr>
              <w:t>21.976.797,30</w:t>
            </w:r>
          </w:p>
        </w:tc>
        <w:tc>
          <w:tcPr>
            <w:tcW w:w="1806" w:type="dxa"/>
          </w:tcPr>
          <w:p w14:paraId="05A59136" w14:textId="77777777" w:rsidR="00AD4FA5" w:rsidRDefault="00000000">
            <w:pPr>
              <w:jc w:val="right"/>
            </w:pPr>
            <w:r>
              <w:rPr>
                <w:rFonts w:ascii="Arial" w:hAnsi="Arial"/>
                <w:sz w:val="18"/>
              </w:rPr>
              <w:t>99,782</w:t>
            </w:r>
          </w:p>
        </w:tc>
        <w:tc>
          <w:tcPr>
            <w:tcW w:w="1806" w:type="dxa"/>
          </w:tcPr>
          <w:p w14:paraId="3BC07E03" w14:textId="77777777" w:rsidR="00AD4FA5" w:rsidRDefault="00000000">
            <w:pPr>
              <w:jc w:val="right"/>
            </w:pPr>
            <w:r>
              <w:rPr>
                <w:rFonts w:ascii="Arial" w:hAnsi="Arial"/>
                <w:sz w:val="18"/>
              </w:rPr>
              <w:t>238,878</w:t>
            </w:r>
          </w:p>
        </w:tc>
      </w:tr>
      <w:tr w:rsidR="00AD4FA5" w14:paraId="25328665" w14:textId="77777777">
        <w:trPr>
          <w:jc w:val="center"/>
        </w:trPr>
        <w:tc>
          <w:tcPr>
            <w:tcW w:w="1806" w:type="dxa"/>
            <w:shd w:val="clear" w:color="auto" w:fill="F2F6FC"/>
          </w:tcPr>
          <w:p w14:paraId="723F3D14" w14:textId="77777777" w:rsidR="00AD4FA5" w:rsidRDefault="00000000">
            <w:pPr>
              <w:jc w:val="right"/>
            </w:pPr>
            <w:r>
              <w:rPr>
                <w:rFonts w:ascii="Arial" w:hAnsi="Arial"/>
                <w:sz w:val="18"/>
              </w:rPr>
              <w:lastRenderedPageBreak/>
              <w:t>4</w:t>
            </w:r>
          </w:p>
        </w:tc>
        <w:tc>
          <w:tcPr>
            <w:tcW w:w="1806" w:type="dxa"/>
            <w:shd w:val="clear" w:color="auto" w:fill="F2F6FC"/>
          </w:tcPr>
          <w:p w14:paraId="7F171415" w14:textId="77777777" w:rsidR="00AD4FA5" w:rsidRDefault="00000000">
            <w:r>
              <w:rPr>
                <w:rFonts w:ascii="Arial" w:hAnsi="Arial"/>
                <w:sz w:val="18"/>
              </w:rPr>
              <w:t>Total Emisi GRK</w:t>
            </w:r>
          </w:p>
        </w:tc>
        <w:tc>
          <w:tcPr>
            <w:tcW w:w="1806" w:type="dxa"/>
            <w:shd w:val="clear" w:color="auto" w:fill="F2F6FC"/>
          </w:tcPr>
          <w:p w14:paraId="336A7885" w14:textId="77777777" w:rsidR="00AD4FA5" w:rsidRDefault="00000000">
            <w:r>
              <w:rPr>
                <w:rFonts w:ascii="Arial" w:hAnsi="Arial"/>
                <w:sz w:val="18"/>
              </w:rPr>
              <w:t>22.024.814,17</w:t>
            </w:r>
          </w:p>
        </w:tc>
        <w:tc>
          <w:tcPr>
            <w:tcW w:w="1806" w:type="dxa"/>
            <w:shd w:val="clear" w:color="auto" w:fill="F2F6FC"/>
          </w:tcPr>
          <w:p w14:paraId="169E48C8" w14:textId="77777777" w:rsidR="00AD4FA5" w:rsidRDefault="00000000">
            <w:pPr>
              <w:jc w:val="right"/>
            </w:pPr>
            <w:r>
              <w:rPr>
                <w:rFonts w:ascii="Arial" w:hAnsi="Arial"/>
                <w:sz w:val="18"/>
              </w:rPr>
              <w:t>100,00</w:t>
            </w:r>
          </w:p>
        </w:tc>
        <w:tc>
          <w:tcPr>
            <w:tcW w:w="1806" w:type="dxa"/>
            <w:shd w:val="clear" w:color="auto" w:fill="F2F6FC"/>
          </w:tcPr>
          <w:p w14:paraId="515AD88D" w14:textId="77777777" w:rsidR="00AD4FA5" w:rsidRDefault="00000000">
            <w:pPr>
              <w:jc w:val="right"/>
            </w:pPr>
            <w:r>
              <w:rPr>
                <w:rFonts w:ascii="Arial" w:hAnsi="Arial"/>
                <w:sz w:val="18"/>
              </w:rPr>
              <w:t>239,400</w:t>
            </w:r>
          </w:p>
        </w:tc>
      </w:tr>
    </w:tbl>
    <w:p w14:paraId="1E5A9D1F" w14:textId="77777777" w:rsidR="00AD4FA5" w:rsidRDefault="00000000">
      <w:r>
        <w:rPr>
          <w:rFonts w:ascii="Arial" w:hAnsi="Arial"/>
          <w:i/>
          <w:sz w:val="16"/>
        </w:rPr>
        <w:t>Source: Sumber: Sistem pelaporan GRK institusi. Financed emissions dihitung menggunakan PCAF Standard (gross method) untuk seluruh portfolio corporate lending. Intensitas kontribusi dihitung sebagai (emisi komponen / total pendapatan).</w:t>
      </w:r>
    </w:p>
    <w:p w14:paraId="154A6C3B" w14:textId="77777777" w:rsidR="00AD4FA5" w:rsidRDefault="00AD4FA5"/>
    <w:p w14:paraId="6326CF39" w14:textId="77777777" w:rsidR="00AD4FA5" w:rsidRDefault="00000000">
      <w:r>
        <w:rPr>
          <w:i/>
          <w:color w:val="3D6094"/>
          <w:sz w:val="18"/>
        </w:rPr>
        <w:t>Framework references: GRI 305-4: GHG emissions intensity; POJK No. 51/POJK.03/2017 tentang Penerapan Keuangan Berkelanjutan; SE OJK tentang Pelaporan Keuangan Berkelanjutan - Metrik Intensitas Emisi; PCAF Standard (2022) - Financed Emissions Calculation Methodology; Indonesia Enhanced NDC - 31,89% unconditional reduction target by 2030; Indonesia Long-Term Strategy for Low Carbon and Climate Resilience 2050 (LTS-LCCR) - Net Zero by 2060</w:t>
      </w:r>
    </w:p>
    <w:p w14:paraId="62E8BBF6" w14:textId="77777777" w:rsidR="00AD4FA5" w:rsidRDefault="00AD4FA5">
      <w:pPr>
        <w:pBdr>
          <w:bottom w:val="single" w:sz="6" w:space="1" w:color="999999"/>
        </w:pBdr>
        <w:spacing w:after="80"/>
      </w:pPr>
    </w:p>
    <w:p w14:paraId="157FA8AF" w14:textId="77777777" w:rsidR="00AD4FA5" w:rsidRDefault="00000000">
      <w:pPr>
        <w:spacing w:after="160"/>
        <w:jc w:val="both"/>
      </w:pPr>
      <w:r>
        <w:rPr>
          <w:rFonts w:ascii="Arial" w:hAnsi="Arial"/>
          <w:i/>
          <w:color w:val="646464"/>
          <w:sz w:val="18"/>
        </w:rPr>
        <w:t>Intensitas emisi berbasis pendapatan mencakup Scope 1 + 2 (market-based) + Scope 3 Kategori 15 (financed emissions - gross method per PCAF Standard). Intensitas emisi berbasis FTE hanya mencakup emisi operasional (Scope 1 + 2 market-based).</w:t>
      </w:r>
    </w:p>
    <w:p w14:paraId="5D76ECA8" w14:textId="77777777" w:rsidR="00AD4FA5" w:rsidRDefault="00000000">
      <w:pPr>
        <w:spacing w:after="160"/>
        <w:jc w:val="both"/>
      </w:pPr>
      <w:r>
        <w:rPr>
          <w:rFonts w:ascii="Arial" w:hAnsi="Arial"/>
          <w:i/>
          <w:color w:val="646464"/>
          <w:sz w:val="18"/>
        </w:rPr>
        <w:t>Metode market-based untuk Scope 2 menggunakan faktor emisi PLN National Grid 2023: 0,7886 kg CO2/kWh sesuai dengan Keputusan Menteri ESDM tentang Faktor Emisi Gas Rumah Kaca Sistem Ketenagalistrikan.</w:t>
      </w:r>
    </w:p>
    <w:p w14:paraId="3661D3E1" w14:textId="77777777" w:rsidR="00AD4FA5" w:rsidRDefault="00000000">
      <w:pPr>
        <w:spacing w:after="160"/>
        <w:jc w:val="both"/>
      </w:pPr>
      <w:r>
        <w:rPr>
          <w:rFonts w:ascii="Arial" w:hAnsi="Arial"/>
          <w:i/>
          <w:color w:val="646464"/>
          <w:sz w:val="18"/>
        </w:rPr>
        <w:t>Financed emissions dihitung menggunakan Partnership for Carbon Accounting Financials (PCAF) Standard dengan average data quality score 3,36 (skala 1-5). Gross method digunakan untuk pelaporan intensitas sesuai dengan SE OJK tentang Pelaporan Keuangan Berkelanjutan.</w:t>
      </w:r>
    </w:p>
    <w:p w14:paraId="620A3953" w14:textId="77777777" w:rsidR="00AD4FA5" w:rsidRDefault="00000000">
      <w:pPr>
        <w:spacing w:after="160"/>
        <w:jc w:val="both"/>
      </w:pPr>
      <w:r>
        <w:rPr>
          <w:rFonts w:ascii="Arial" w:hAnsi="Arial"/>
          <w:i/>
          <w:color w:val="646464"/>
          <w:sz w:val="18"/>
        </w:rPr>
        <w:t>Pendapatan operasional diperoleh dari laporan keuangan audited institusi untuk periode 1 Januari hingga 31 Desember 2024. FTE merupakan rata-rata tertimbang sepanjang tahun pelaporan, termasuk karyawan tetap dan kontrak.</w:t>
      </w:r>
    </w:p>
    <w:p w14:paraId="3D461625" w14:textId="77777777" w:rsidR="00AD4FA5" w:rsidRDefault="00000000">
      <w:pPr>
        <w:spacing w:after="160"/>
        <w:jc w:val="both"/>
      </w:pPr>
      <w:r>
        <w:rPr>
          <w:rFonts w:ascii="Arial" w:hAnsi="Arial"/>
          <w:i/>
          <w:color w:val="646464"/>
          <w:sz w:val="18"/>
        </w:rPr>
        <w:t>Angka-angka dalam laporan ini belum diaudit oleh pihak eksternal untuk periode pelaporan saat ini (assurance_level: none). Institusi berencana untuk melakukan limited assurance untuk Scope 1 dan 2 pada periode pelaporan berikutnya.</w:t>
      </w:r>
    </w:p>
    <w:p w14:paraId="44CC5FFC" w14:textId="77777777" w:rsidR="00AD4FA5" w:rsidRDefault="00000000">
      <w:pPr>
        <w:spacing w:after="160"/>
        <w:jc w:val="both"/>
      </w:pPr>
      <w:r>
        <w:rPr>
          <w:rFonts w:ascii="Arial" w:hAnsi="Arial"/>
          <w:i/>
          <w:color w:val="646464"/>
          <w:sz w:val="18"/>
        </w:rPr>
        <w:t>Perbandingan year-over-year dihitung berdasarkan data tahun sebelumnya (2023) dengan metodologi yang konsisten. Penurunan intensitas berbasis pendapatan sebesar 11,36% mencerminkan kombinasi pengurangan emisi absolut (-4,07%) dan pertumbuhan pendapatan operasional.</w:t>
      </w:r>
    </w:p>
    <w:p w14:paraId="6F8B1884" w14:textId="77777777" w:rsidR="00AD4FA5" w:rsidRDefault="00000000">
      <w:pPr>
        <w:spacing w:after="160"/>
        <w:jc w:val="both"/>
      </w:pPr>
      <w:r>
        <w:rPr>
          <w:rFonts w:ascii="Arial" w:hAnsi="Arial"/>
          <w:i/>
          <w:color w:val="646464"/>
          <w:sz w:val="18"/>
        </w:rPr>
        <w:t>Pelaporan intensitas emisi ini sejalan dengan POJK No. 51/POJK.03/2017 tentang Penerapan Keuangan Berkelanjutan bagi Lembaga Jasa Keuangan, Emiten, dan Perusahaan Publik, yang mewajibkan pelaporan metrik intensitas untuk lembaga jasa keuangan dengan klasifikasi KBMI 3.</w:t>
      </w:r>
    </w:p>
    <w:p w14:paraId="46387537" w14:textId="77777777" w:rsidR="00AD4FA5" w:rsidRDefault="00000000">
      <w:r>
        <w:br w:type="page"/>
      </w:r>
    </w:p>
    <w:p w14:paraId="7EF5A328" w14:textId="77777777" w:rsidR="00AD4FA5" w:rsidRDefault="00000000">
      <w:pPr>
        <w:pStyle w:val="Heading1"/>
        <w:spacing w:after="240"/>
      </w:pPr>
      <w:bookmarkStart w:id="16" w:name="_Toc231979679"/>
      <w:r>
        <w:rPr>
          <w:rFonts w:ascii="Arial" w:hAnsi="Arial"/>
          <w:color w:val="1B3A6B"/>
          <w:sz w:val="36"/>
        </w:rPr>
        <w:lastRenderedPageBreak/>
        <w:t>Social: Workforce &amp; Human Capital Disclosures</w:t>
      </w:r>
      <w:bookmarkEnd w:id="16"/>
    </w:p>
    <w:p w14:paraId="3081301D" w14:textId="77777777" w:rsidR="00AD4FA5" w:rsidRDefault="00000000">
      <w:pPr>
        <w:spacing w:after="160"/>
        <w:jc w:val="both"/>
      </w:pPr>
      <w:r>
        <w:rPr>
          <w:rFonts w:ascii="Arial" w:hAnsi="Arial"/>
        </w:rPr>
        <w:t>## Workforce Overview</w:t>
      </w:r>
      <w:r>
        <w:rPr>
          <w:rFonts w:ascii="Arial" w:hAnsi="Arial"/>
        </w:rPr>
        <w:br/>
      </w:r>
      <w:r>
        <w:rPr>
          <w:rFonts w:ascii="Arial" w:hAnsi="Arial"/>
        </w:rPr>
        <w:br/>
        <w:t>As of 31 December 2024, the organization employed 24997 full-time equivalent (FTE) employees, comprising 10579 female employees and 14418 male employees. This represented a 2.03% increase in total headcount compared to the prior year's 24500 FTE. Female employees constituted 42.32% of the total workforce in 2024, a decrease of 3.88 percentage points from the prior year's 46.2%.</w:t>
      </w:r>
    </w:p>
    <w:p w14:paraId="671FA8AB" w14:textId="77777777" w:rsidR="00AD4FA5" w:rsidRDefault="00000000">
      <w:pPr>
        <w:spacing w:after="160"/>
        <w:jc w:val="both"/>
      </w:pPr>
      <w:r>
        <w:rPr>
          <w:rFonts w:ascii="Arial" w:hAnsi="Arial"/>
        </w:rPr>
        <w:t>The year-over-year headcount growth reflected the organization's continued operational expansion and strategic hiring initiatives. However, the decline in female workforce representation indicated a shift in workforce composition that warrants attention in future talent acquisition strategies.</w:t>
      </w:r>
    </w:p>
    <w:p w14:paraId="449683AF" w14:textId="77777777" w:rsidR="00AD4FA5" w:rsidRDefault="00000000">
      <w:pPr>
        <w:spacing w:after="160"/>
        <w:jc w:val="both"/>
      </w:pPr>
      <w:r>
        <w:rPr>
          <w:rFonts w:ascii="Arial" w:hAnsi="Arial"/>
        </w:rPr>
        <w:t>## Employment Practices</w:t>
      </w:r>
      <w:r>
        <w:rPr>
          <w:rFonts w:ascii="Arial" w:hAnsi="Arial"/>
        </w:rPr>
        <w:br/>
      </w:r>
      <w:r>
        <w:rPr>
          <w:rFonts w:ascii="Arial" w:hAnsi="Arial"/>
        </w:rPr>
        <w:br/>
        <w:t>During the 2024 reporting period, the organization recruited 2595 new employees, representing a hiring rate of 10.38%. This compared to 3169 new hires and a 12.93% hiring rate in the prior year. The voluntary turnover rate for 2024 was 8.45%, representing a substantial improvement of 40.66% compared to the prior year's 14.24% voluntary turnover rate.</w:t>
      </w:r>
    </w:p>
    <w:p w14:paraId="5D46A910" w14:textId="77777777" w:rsidR="00AD4FA5" w:rsidRDefault="00000000">
      <w:pPr>
        <w:spacing w:after="160"/>
        <w:jc w:val="both"/>
      </w:pPr>
      <w:r>
        <w:rPr>
          <w:rFonts w:ascii="Arial" w:hAnsi="Arial"/>
        </w:rPr>
        <w:t>The significant reduction in voluntary turnover indicated improved employee retention and satisfaction. The organization's retention strategies, including competitive compensation structures and career development programs, contributed to workforce stability during the reporting period.</w:t>
      </w:r>
    </w:p>
    <w:p w14:paraId="7AD0B881" w14:textId="77777777" w:rsidR="00AD4FA5" w:rsidRDefault="00000000">
      <w:pPr>
        <w:spacing w:after="160"/>
        <w:jc w:val="both"/>
      </w:pPr>
      <w:r>
        <w:rPr>
          <w:rFonts w:ascii="Arial" w:hAnsi="Arial"/>
        </w:rPr>
        <w:t>## Training and Education</w:t>
      </w:r>
      <w:r>
        <w:rPr>
          <w:rFonts w:ascii="Arial" w:hAnsi="Arial"/>
        </w:rPr>
        <w:br/>
      </w:r>
      <w:r>
        <w:rPr>
          <w:rFonts w:ascii="Arial" w:hAnsi="Arial"/>
        </w:rPr>
        <w:br/>
        <w:t>The organization invested an average of 49.3 training hours per FTE during 2024, representing a 23.14% decrease from the prior year's 64.14 hours per FTE. This reduction reflected a strategic shift toward more targeted, efficiency-focused training delivery methods rather than a reduction in training investment commitment.</w:t>
      </w:r>
    </w:p>
    <w:p w14:paraId="34432A12" w14:textId="77777777" w:rsidR="00AD4FA5" w:rsidRDefault="00000000">
      <w:pPr>
        <w:spacing w:after="160"/>
        <w:jc w:val="both"/>
      </w:pPr>
      <w:r>
        <w:rPr>
          <w:rFonts w:ascii="Arial" w:hAnsi="Arial"/>
        </w:rPr>
        <w:t>Training programs during the reporting period focused on digital competencies, regulatory compliance, risk management, and leadership development. The organization continued to prioritize employee capability building as a core component of its human capital strategy.</w:t>
      </w:r>
    </w:p>
    <w:p w14:paraId="0FB1BC19" w14:textId="77777777" w:rsidR="00AD4FA5" w:rsidRDefault="00000000">
      <w:pPr>
        <w:spacing w:after="160"/>
        <w:jc w:val="both"/>
      </w:pPr>
      <w:r>
        <w:rPr>
          <w:rFonts w:ascii="Arial" w:hAnsi="Arial"/>
        </w:rPr>
        <w:t>## Diversity and Equal Opportunity</w:t>
      </w:r>
      <w:r>
        <w:rPr>
          <w:rFonts w:ascii="Arial" w:hAnsi="Arial"/>
        </w:rPr>
        <w:br/>
      </w:r>
      <w:r>
        <w:rPr>
          <w:rFonts w:ascii="Arial" w:hAnsi="Arial"/>
        </w:rPr>
        <w:br/>
        <w:t>Women represented 42.32% of the organization's total workforce in 2024, compared to 46.2% in the prior year, a decrease of 3.88 percentage points. Women in management positions constituted 26.67% of the management workforce, compared to 28.45% in the prior year, representing a decrease of 1.78 percentage points.</w:t>
      </w:r>
    </w:p>
    <w:p w14:paraId="3089D078" w14:textId="77777777" w:rsidR="00AD4FA5" w:rsidRDefault="00000000">
      <w:pPr>
        <w:spacing w:after="160"/>
        <w:jc w:val="both"/>
      </w:pPr>
      <w:r>
        <w:rPr>
          <w:rFonts w:ascii="Arial" w:hAnsi="Arial"/>
        </w:rPr>
        <w:t>The organization remained committed to advancing gender diversity across all organizational levels. The decline in female representation percentages was primarily attributable to sector-specific hiring patterns and retirement demographics rather than systematic barriers to female employment or advancement.</w:t>
      </w:r>
    </w:p>
    <w:p w14:paraId="320F46B7" w14:textId="77777777" w:rsidR="00AD4FA5" w:rsidRDefault="00000000">
      <w:pPr>
        <w:spacing w:after="160"/>
        <w:jc w:val="both"/>
      </w:pPr>
      <w:r>
        <w:rPr>
          <w:rFonts w:ascii="Arial" w:hAnsi="Arial"/>
        </w:rPr>
        <w:lastRenderedPageBreak/>
        <w:t>## Non-Discrimination</w:t>
      </w:r>
      <w:r>
        <w:rPr>
          <w:rFonts w:ascii="Arial" w:hAnsi="Arial"/>
        </w:rPr>
        <w:br/>
      </w:r>
      <w:r>
        <w:rPr>
          <w:rFonts w:ascii="Arial" w:hAnsi="Arial"/>
        </w:rPr>
        <w:br/>
        <w:t>During the 2024 reporting period, the organization recorded 2 discrimination cases, compared to 3 cases in the prior year. All reported cases were investigated in accordance with the organization's grievance mechanism procedures. Remediation actions were implemented, including policy reinforcement training for relevant personnel and strengthened monitoring protocols to prevent recurrence.</w:t>
      </w:r>
    </w:p>
    <w:p w14:paraId="0F189A06" w14:textId="77777777" w:rsidR="00AD4FA5" w:rsidRDefault="00000000">
      <w:pPr>
        <w:spacing w:after="160"/>
        <w:jc w:val="both"/>
      </w:pPr>
      <w:r>
        <w:rPr>
          <w:rFonts w:ascii="Arial" w:hAnsi="Arial"/>
        </w:rPr>
        <w:t>The organization maintained zero tolerance for discrimination based on gender, age, ethnicity, religion, disability, or any other protected characteristic. All employees had access to confidential reporting channels, and the organization ensured that no retaliation occurred against individuals who reported concerns in good faith.</w:t>
      </w:r>
    </w:p>
    <w:p w14:paraId="3DD98CDB" w14:textId="77777777" w:rsidR="00AD4FA5" w:rsidRDefault="00000000">
      <w:r>
        <w:rPr>
          <w:rFonts w:ascii="Arial" w:hAnsi="Arial"/>
          <w:b/>
          <w:sz w:val="20"/>
        </w:rPr>
        <w:t>Table 1: Workforce Composition</w:t>
      </w:r>
    </w:p>
    <w:tbl>
      <w:tblPr>
        <w:tblW w:w="0" w:type="auto"/>
        <w:jc w:val="center"/>
        <w:tblLook w:val="04A0" w:firstRow="1" w:lastRow="0" w:firstColumn="1" w:lastColumn="0" w:noHBand="0" w:noVBand="1"/>
      </w:tblPr>
      <w:tblGrid>
        <w:gridCol w:w="2257"/>
        <w:gridCol w:w="2257"/>
        <w:gridCol w:w="2257"/>
        <w:gridCol w:w="2257"/>
      </w:tblGrid>
      <w:tr w:rsidR="00AD4FA5" w14:paraId="7CE5CE09" w14:textId="77777777">
        <w:trPr>
          <w:jc w:val="center"/>
        </w:trPr>
        <w:tc>
          <w:tcPr>
            <w:tcW w:w="2257" w:type="dxa"/>
            <w:shd w:val="clear" w:color="auto" w:fill="1B3A6B"/>
          </w:tcPr>
          <w:p w14:paraId="5DFD7BA2" w14:textId="77777777" w:rsidR="00AD4FA5" w:rsidRDefault="00000000">
            <w:r>
              <w:rPr>
                <w:rFonts w:ascii="Arial" w:hAnsi="Arial"/>
                <w:b/>
                <w:color w:val="FFFFFF"/>
                <w:sz w:val="18"/>
              </w:rPr>
              <w:t>Metric</w:t>
            </w:r>
          </w:p>
        </w:tc>
        <w:tc>
          <w:tcPr>
            <w:tcW w:w="2257" w:type="dxa"/>
            <w:shd w:val="clear" w:color="auto" w:fill="1B3A6B"/>
          </w:tcPr>
          <w:p w14:paraId="607CDA07" w14:textId="77777777" w:rsidR="00AD4FA5" w:rsidRDefault="00000000">
            <w:r>
              <w:rPr>
                <w:rFonts w:ascii="Arial" w:hAnsi="Arial"/>
                <w:b/>
                <w:color w:val="FFFFFF"/>
                <w:sz w:val="18"/>
              </w:rPr>
              <w:t>2024</w:t>
            </w:r>
          </w:p>
        </w:tc>
        <w:tc>
          <w:tcPr>
            <w:tcW w:w="2257" w:type="dxa"/>
            <w:shd w:val="clear" w:color="auto" w:fill="1B3A6B"/>
          </w:tcPr>
          <w:p w14:paraId="30C53920" w14:textId="77777777" w:rsidR="00AD4FA5" w:rsidRDefault="00000000">
            <w:r>
              <w:rPr>
                <w:rFonts w:ascii="Arial" w:hAnsi="Arial"/>
                <w:b/>
                <w:color w:val="FFFFFF"/>
                <w:sz w:val="18"/>
              </w:rPr>
              <w:t>2023</w:t>
            </w:r>
          </w:p>
        </w:tc>
        <w:tc>
          <w:tcPr>
            <w:tcW w:w="2257" w:type="dxa"/>
            <w:shd w:val="clear" w:color="auto" w:fill="1B3A6B"/>
          </w:tcPr>
          <w:p w14:paraId="192D60C3" w14:textId="77777777" w:rsidR="00AD4FA5" w:rsidRDefault="00000000">
            <w:r>
              <w:rPr>
                <w:rFonts w:ascii="Arial" w:hAnsi="Arial"/>
                <w:b/>
                <w:color w:val="FFFFFF"/>
                <w:sz w:val="18"/>
              </w:rPr>
              <w:t>Change</w:t>
            </w:r>
          </w:p>
        </w:tc>
      </w:tr>
      <w:tr w:rsidR="00AD4FA5" w14:paraId="34AFEB0B" w14:textId="77777777">
        <w:trPr>
          <w:jc w:val="center"/>
        </w:trPr>
        <w:tc>
          <w:tcPr>
            <w:tcW w:w="2257" w:type="dxa"/>
          </w:tcPr>
          <w:p w14:paraId="171E2E20" w14:textId="77777777" w:rsidR="00AD4FA5" w:rsidRDefault="00000000">
            <w:r>
              <w:rPr>
                <w:rFonts w:ascii="Arial" w:hAnsi="Arial"/>
                <w:sz w:val="18"/>
              </w:rPr>
              <w:t>Total FTE</w:t>
            </w:r>
          </w:p>
        </w:tc>
        <w:tc>
          <w:tcPr>
            <w:tcW w:w="2257" w:type="dxa"/>
          </w:tcPr>
          <w:p w14:paraId="7BDC4907" w14:textId="77777777" w:rsidR="00AD4FA5" w:rsidRDefault="00000000">
            <w:pPr>
              <w:jc w:val="right"/>
            </w:pPr>
            <w:r>
              <w:rPr>
                <w:rFonts w:ascii="Arial" w:hAnsi="Arial"/>
                <w:sz w:val="18"/>
              </w:rPr>
              <w:t>24997</w:t>
            </w:r>
          </w:p>
        </w:tc>
        <w:tc>
          <w:tcPr>
            <w:tcW w:w="2257" w:type="dxa"/>
          </w:tcPr>
          <w:p w14:paraId="4CEA95B7" w14:textId="77777777" w:rsidR="00AD4FA5" w:rsidRDefault="00000000">
            <w:pPr>
              <w:jc w:val="right"/>
            </w:pPr>
            <w:r>
              <w:rPr>
                <w:rFonts w:ascii="Arial" w:hAnsi="Arial"/>
                <w:sz w:val="18"/>
              </w:rPr>
              <w:t>24500</w:t>
            </w:r>
          </w:p>
        </w:tc>
        <w:tc>
          <w:tcPr>
            <w:tcW w:w="2257" w:type="dxa"/>
          </w:tcPr>
          <w:p w14:paraId="5E7E7734" w14:textId="77777777" w:rsidR="00AD4FA5" w:rsidRDefault="00000000">
            <w:pPr>
              <w:jc w:val="right"/>
            </w:pPr>
            <w:r>
              <w:rPr>
                <w:rFonts w:ascii="Arial" w:hAnsi="Arial"/>
                <w:sz w:val="18"/>
              </w:rPr>
              <w:t>2.03%</w:t>
            </w:r>
          </w:p>
        </w:tc>
      </w:tr>
      <w:tr w:rsidR="00AD4FA5" w14:paraId="0CE6E000" w14:textId="77777777">
        <w:trPr>
          <w:jc w:val="center"/>
        </w:trPr>
        <w:tc>
          <w:tcPr>
            <w:tcW w:w="2257" w:type="dxa"/>
            <w:shd w:val="clear" w:color="auto" w:fill="F2F6FC"/>
          </w:tcPr>
          <w:p w14:paraId="5BD8E713" w14:textId="77777777" w:rsidR="00AD4FA5" w:rsidRDefault="00000000">
            <w:r>
              <w:rPr>
                <w:rFonts w:ascii="Arial" w:hAnsi="Arial"/>
                <w:sz w:val="18"/>
              </w:rPr>
              <w:t>Female Employees</w:t>
            </w:r>
          </w:p>
        </w:tc>
        <w:tc>
          <w:tcPr>
            <w:tcW w:w="2257" w:type="dxa"/>
            <w:shd w:val="clear" w:color="auto" w:fill="F2F6FC"/>
          </w:tcPr>
          <w:p w14:paraId="2B25BB31" w14:textId="77777777" w:rsidR="00AD4FA5" w:rsidRDefault="00000000">
            <w:pPr>
              <w:jc w:val="right"/>
            </w:pPr>
            <w:r>
              <w:rPr>
                <w:rFonts w:ascii="Arial" w:hAnsi="Arial"/>
                <w:sz w:val="18"/>
              </w:rPr>
              <w:t>10579</w:t>
            </w:r>
          </w:p>
        </w:tc>
        <w:tc>
          <w:tcPr>
            <w:tcW w:w="2257" w:type="dxa"/>
            <w:shd w:val="clear" w:color="auto" w:fill="F2F6FC"/>
          </w:tcPr>
          <w:p w14:paraId="618B00DE" w14:textId="77777777" w:rsidR="00AD4FA5" w:rsidRDefault="00000000">
            <w:pPr>
              <w:jc w:val="right"/>
            </w:pPr>
            <w:r>
              <w:rPr>
                <w:rFonts w:ascii="Arial" w:hAnsi="Arial"/>
                <w:sz w:val="18"/>
              </w:rPr>
              <w:t>11319</w:t>
            </w:r>
          </w:p>
        </w:tc>
        <w:tc>
          <w:tcPr>
            <w:tcW w:w="2257" w:type="dxa"/>
            <w:shd w:val="clear" w:color="auto" w:fill="F2F6FC"/>
          </w:tcPr>
          <w:p w14:paraId="2CAD3C16" w14:textId="77777777" w:rsidR="00AD4FA5" w:rsidRDefault="00000000">
            <w:r>
              <w:rPr>
                <w:rFonts w:ascii="Arial" w:hAnsi="Arial"/>
                <w:sz w:val="18"/>
              </w:rPr>
              <w:t>—</w:t>
            </w:r>
          </w:p>
        </w:tc>
      </w:tr>
      <w:tr w:rsidR="00AD4FA5" w14:paraId="0D760F77" w14:textId="77777777">
        <w:trPr>
          <w:jc w:val="center"/>
        </w:trPr>
        <w:tc>
          <w:tcPr>
            <w:tcW w:w="2257" w:type="dxa"/>
          </w:tcPr>
          <w:p w14:paraId="102C28D5" w14:textId="77777777" w:rsidR="00AD4FA5" w:rsidRDefault="00000000">
            <w:r>
              <w:rPr>
                <w:rFonts w:ascii="Arial" w:hAnsi="Arial"/>
                <w:sz w:val="18"/>
              </w:rPr>
              <w:t>Male Employees</w:t>
            </w:r>
          </w:p>
        </w:tc>
        <w:tc>
          <w:tcPr>
            <w:tcW w:w="2257" w:type="dxa"/>
          </w:tcPr>
          <w:p w14:paraId="09273C23" w14:textId="77777777" w:rsidR="00AD4FA5" w:rsidRDefault="00000000">
            <w:pPr>
              <w:jc w:val="right"/>
            </w:pPr>
            <w:r>
              <w:rPr>
                <w:rFonts w:ascii="Arial" w:hAnsi="Arial"/>
                <w:sz w:val="18"/>
              </w:rPr>
              <w:t>14418</w:t>
            </w:r>
          </w:p>
        </w:tc>
        <w:tc>
          <w:tcPr>
            <w:tcW w:w="2257" w:type="dxa"/>
          </w:tcPr>
          <w:p w14:paraId="413ACC81" w14:textId="77777777" w:rsidR="00AD4FA5" w:rsidRDefault="00000000">
            <w:pPr>
              <w:jc w:val="right"/>
            </w:pPr>
            <w:r>
              <w:rPr>
                <w:rFonts w:ascii="Arial" w:hAnsi="Arial"/>
                <w:sz w:val="18"/>
              </w:rPr>
              <w:t>13181</w:t>
            </w:r>
          </w:p>
        </w:tc>
        <w:tc>
          <w:tcPr>
            <w:tcW w:w="2257" w:type="dxa"/>
          </w:tcPr>
          <w:p w14:paraId="07C436C6" w14:textId="77777777" w:rsidR="00AD4FA5" w:rsidRDefault="00000000">
            <w:r>
              <w:rPr>
                <w:rFonts w:ascii="Arial" w:hAnsi="Arial"/>
                <w:sz w:val="18"/>
              </w:rPr>
              <w:t>—</w:t>
            </w:r>
          </w:p>
        </w:tc>
      </w:tr>
      <w:tr w:rsidR="00AD4FA5" w14:paraId="46A7CA9C" w14:textId="77777777">
        <w:trPr>
          <w:jc w:val="center"/>
        </w:trPr>
        <w:tc>
          <w:tcPr>
            <w:tcW w:w="2257" w:type="dxa"/>
            <w:shd w:val="clear" w:color="auto" w:fill="F2F6FC"/>
          </w:tcPr>
          <w:p w14:paraId="053C114A" w14:textId="77777777" w:rsidR="00AD4FA5" w:rsidRDefault="00000000">
            <w:r>
              <w:rPr>
                <w:rFonts w:ascii="Arial" w:hAnsi="Arial"/>
                <w:sz w:val="18"/>
              </w:rPr>
              <w:t>Female Percentage</w:t>
            </w:r>
          </w:p>
        </w:tc>
        <w:tc>
          <w:tcPr>
            <w:tcW w:w="2257" w:type="dxa"/>
            <w:shd w:val="clear" w:color="auto" w:fill="F2F6FC"/>
          </w:tcPr>
          <w:p w14:paraId="6C6FFB2D" w14:textId="77777777" w:rsidR="00AD4FA5" w:rsidRDefault="00000000">
            <w:pPr>
              <w:jc w:val="right"/>
            </w:pPr>
            <w:r>
              <w:rPr>
                <w:rFonts w:ascii="Arial" w:hAnsi="Arial"/>
                <w:sz w:val="18"/>
              </w:rPr>
              <w:t>42.32%</w:t>
            </w:r>
          </w:p>
        </w:tc>
        <w:tc>
          <w:tcPr>
            <w:tcW w:w="2257" w:type="dxa"/>
            <w:shd w:val="clear" w:color="auto" w:fill="F2F6FC"/>
          </w:tcPr>
          <w:p w14:paraId="1F03EF80" w14:textId="77777777" w:rsidR="00AD4FA5" w:rsidRDefault="00000000">
            <w:pPr>
              <w:jc w:val="right"/>
            </w:pPr>
            <w:r>
              <w:rPr>
                <w:rFonts w:ascii="Arial" w:hAnsi="Arial"/>
                <w:sz w:val="18"/>
              </w:rPr>
              <w:t>46.2%</w:t>
            </w:r>
          </w:p>
        </w:tc>
        <w:tc>
          <w:tcPr>
            <w:tcW w:w="2257" w:type="dxa"/>
            <w:shd w:val="clear" w:color="auto" w:fill="F2F6FC"/>
          </w:tcPr>
          <w:p w14:paraId="7507C89B" w14:textId="77777777" w:rsidR="00AD4FA5" w:rsidRDefault="00000000">
            <w:r>
              <w:rPr>
                <w:rFonts w:ascii="Arial" w:hAnsi="Arial"/>
                <w:sz w:val="18"/>
              </w:rPr>
              <w:t>-3.88 pp</w:t>
            </w:r>
          </w:p>
        </w:tc>
      </w:tr>
    </w:tbl>
    <w:p w14:paraId="2E149685" w14:textId="77777777" w:rsidR="00AD4FA5" w:rsidRDefault="00000000">
      <w:r>
        <w:rPr>
          <w:rFonts w:ascii="Arial" w:hAnsi="Arial"/>
          <w:i/>
          <w:sz w:val="16"/>
        </w:rPr>
        <w:t>Source: Source: Organization HR management system. Consolidation approach: operational control. Reporting boundary: all wholly-owned operations.</w:t>
      </w:r>
    </w:p>
    <w:p w14:paraId="66DF299B" w14:textId="77777777" w:rsidR="00AD4FA5" w:rsidRDefault="00AD4FA5"/>
    <w:p w14:paraId="1A4C0F7B" w14:textId="77777777" w:rsidR="00AD4FA5" w:rsidRDefault="00000000">
      <w:r>
        <w:rPr>
          <w:rFonts w:ascii="Arial" w:hAnsi="Arial"/>
          <w:b/>
          <w:sz w:val="20"/>
        </w:rPr>
        <w:t>Table 2: Employment Indicators</w:t>
      </w:r>
    </w:p>
    <w:tbl>
      <w:tblPr>
        <w:tblW w:w="0" w:type="auto"/>
        <w:jc w:val="center"/>
        <w:tblLook w:val="04A0" w:firstRow="1" w:lastRow="0" w:firstColumn="1" w:lastColumn="0" w:noHBand="0" w:noVBand="1"/>
      </w:tblPr>
      <w:tblGrid>
        <w:gridCol w:w="2257"/>
        <w:gridCol w:w="2257"/>
        <w:gridCol w:w="2257"/>
        <w:gridCol w:w="2257"/>
      </w:tblGrid>
      <w:tr w:rsidR="00AD4FA5" w14:paraId="33CDD132" w14:textId="77777777">
        <w:trPr>
          <w:jc w:val="center"/>
        </w:trPr>
        <w:tc>
          <w:tcPr>
            <w:tcW w:w="2257" w:type="dxa"/>
            <w:shd w:val="clear" w:color="auto" w:fill="1B3A6B"/>
          </w:tcPr>
          <w:p w14:paraId="72FA91EF" w14:textId="77777777" w:rsidR="00AD4FA5" w:rsidRDefault="00000000">
            <w:r>
              <w:rPr>
                <w:rFonts w:ascii="Arial" w:hAnsi="Arial"/>
                <w:b/>
                <w:color w:val="FFFFFF"/>
                <w:sz w:val="18"/>
              </w:rPr>
              <w:t>Metric</w:t>
            </w:r>
          </w:p>
        </w:tc>
        <w:tc>
          <w:tcPr>
            <w:tcW w:w="2257" w:type="dxa"/>
            <w:shd w:val="clear" w:color="auto" w:fill="1B3A6B"/>
          </w:tcPr>
          <w:p w14:paraId="11BD7D21" w14:textId="77777777" w:rsidR="00AD4FA5" w:rsidRDefault="00000000">
            <w:r>
              <w:rPr>
                <w:rFonts w:ascii="Arial" w:hAnsi="Arial"/>
                <w:b/>
                <w:color w:val="FFFFFF"/>
                <w:sz w:val="18"/>
              </w:rPr>
              <w:t>2024</w:t>
            </w:r>
          </w:p>
        </w:tc>
        <w:tc>
          <w:tcPr>
            <w:tcW w:w="2257" w:type="dxa"/>
            <w:shd w:val="clear" w:color="auto" w:fill="1B3A6B"/>
          </w:tcPr>
          <w:p w14:paraId="2D7625D8" w14:textId="77777777" w:rsidR="00AD4FA5" w:rsidRDefault="00000000">
            <w:r>
              <w:rPr>
                <w:rFonts w:ascii="Arial" w:hAnsi="Arial"/>
                <w:b/>
                <w:color w:val="FFFFFF"/>
                <w:sz w:val="18"/>
              </w:rPr>
              <w:t>2023</w:t>
            </w:r>
          </w:p>
        </w:tc>
        <w:tc>
          <w:tcPr>
            <w:tcW w:w="2257" w:type="dxa"/>
            <w:shd w:val="clear" w:color="auto" w:fill="1B3A6B"/>
          </w:tcPr>
          <w:p w14:paraId="2896948E" w14:textId="77777777" w:rsidR="00AD4FA5" w:rsidRDefault="00000000">
            <w:r>
              <w:rPr>
                <w:rFonts w:ascii="Arial" w:hAnsi="Arial"/>
                <w:b/>
                <w:color w:val="FFFFFF"/>
                <w:sz w:val="18"/>
              </w:rPr>
              <w:t>YoY Change</w:t>
            </w:r>
          </w:p>
        </w:tc>
      </w:tr>
      <w:tr w:rsidR="00AD4FA5" w14:paraId="36F74038" w14:textId="77777777">
        <w:trPr>
          <w:jc w:val="center"/>
        </w:trPr>
        <w:tc>
          <w:tcPr>
            <w:tcW w:w="2257" w:type="dxa"/>
          </w:tcPr>
          <w:p w14:paraId="79DF3B2F" w14:textId="77777777" w:rsidR="00AD4FA5" w:rsidRDefault="00000000">
            <w:r>
              <w:rPr>
                <w:rFonts w:ascii="Arial" w:hAnsi="Arial"/>
                <w:sz w:val="18"/>
              </w:rPr>
              <w:t>New Hires</w:t>
            </w:r>
          </w:p>
        </w:tc>
        <w:tc>
          <w:tcPr>
            <w:tcW w:w="2257" w:type="dxa"/>
          </w:tcPr>
          <w:p w14:paraId="03EE79FB" w14:textId="77777777" w:rsidR="00AD4FA5" w:rsidRDefault="00000000">
            <w:pPr>
              <w:jc w:val="right"/>
            </w:pPr>
            <w:r>
              <w:rPr>
                <w:rFonts w:ascii="Arial" w:hAnsi="Arial"/>
                <w:sz w:val="18"/>
              </w:rPr>
              <w:t>2595</w:t>
            </w:r>
          </w:p>
        </w:tc>
        <w:tc>
          <w:tcPr>
            <w:tcW w:w="2257" w:type="dxa"/>
          </w:tcPr>
          <w:p w14:paraId="6ECA480E" w14:textId="77777777" w:rsidR="00AD4FA5" w:rsidRDefault="00000000">
            <w:pPr>
              <w:jc w:val="right"/>
            </w:pPr>
            <w:r>
              <w:rPr>
                <w:rFonts w:ascii="Arial" w:hAnsi="Arial"/>
                <w:sz w:val="18"/>
              </w:rPr>
              <w:t>3169</w:t>
            </w:r>
          </w:p>
        </w:tc>
        <w:tc>
          <w:tcPr>
            <w:tcW w:w="2257" w:type="dxa"/>
          </w:tcPr>
          <w:p w14:paraId="613B31ED" w14:textId="77777777" w:rsidR="00AD4FA5" w:rsidRDefault="00000000">
            <w:r>
              <w:rPr>
                <w:rFonts w:ascii="Arial" w:hAnsi="Arial"/>
                <w:sz w:val="18"/>
              </w:rPr>
              <w:t>—</w:t>
            </w:r>
          </w:p>
        </w:tc>
      </w:tr>
      <w:tr w:rsidR="00AD4FA5" w14:paraId="34492E9F" w14:textId="77777777">
        <w:trPr>
          <w:jc w:val="center"/>
        </w:trPr>
        <w:tc>
          <w:tcPr>
            <w:tcW w:w="2257" w:type="dxa"/>
            <w:shd w:val="clear" w:color="auto" w:fill="F2F6FC"/>
          </w:tcPr>
          <w:p w14:paraId="46676621" w14:textId="77777777" w:rsidR="00AD4FA5" w:rsidRDefault="00000000">
            <w:r>
              <w:rPr>
                <w:rFonts w:ascii="Arial" w:hAnsi="Arial"/>
                <w:sz w:val="18"/>
              </w:rPr>
              <w:t>Hiring Rate</w:t>
            </w:r>
          </w:p>
        </w:tc>
        <w:tc>
          <w:tcPr>
            <w:tcW w:w="2257" w:type="dxa"/>
            <w:shd w:val="clear" w:color="auto" w:fill="F2F6FC"/>
          </w:tcPr>
          <w:p w14:paraId="07C5EC43" w14:textId="77777777" w:rsidR="00AD4FA5" w:rsidRDefault="00000000">
            <w:pPr>
              <w:jc w:val="right"/>
            </w:pPr>
            <w:r>
              <w:rPr>
                <w:rFonts w:ascii="Arial" w:hAnsi="Arial"/>
                <w:sz w:val="18"/>
              </w:rPr>
              <w:t>10.38%</w:t>
            </w:r>
          </w:p>
        </w:tc>
        <w:tc>
          <w:tcPr>
            <w:tcW w:w="2257" w:type="dxa"/>
            <w:shd w:val="clear" w:color="auto" w:fill="F2F6FC"/>
          </w:tcPr>
          <w:p w14:paraId="4F058BDF" w14:textId="77777777" w:rsidR="00AD4FA5" w:rsidRDefault="00000000">
            <w:pPr>
              <w:jc w:val="right"/>
            </w:pPr>
            <w:r>
              <w:rPr>
                <w:rFonts w:ascii="Arial" w:hAnsi="Arial"/>
                <w:sz w:val="18"/>
              </w:rPr>
              <w:t>12.93%</w:t>
            </w:r>
          </w:p>
        </w:tc>
        <w:tc>
          <w:tcPr>
            <w:tcW w:w="2257" w:type="dxa"/>
            <w:shd w:val="clear" w:color="auto" w:fill="F2F6FC"/>
          </w:tcPr>
          <w:p w14:paraId="22D3D96F" w14:textId="77777777" w:rsidR="00AD4FA5" w:rsidRDefault="00000000">
            <w:r>
              <w:rPr>
                <w:rFonts w:ascii="Arial" w:hAnsi="Arial"/>
                <w:sz w:val="18"/>
              </w:rPr>
              <w:t>—</w:t>
            </w:r>
          </w:p>
        </w:tc>
      </w:tr>
      <w:tr w:rsidR="00AD4FA5" w14:paraId="113C7505" w14:textId="77777777">
        <w:trPr>
          <w:jc w:val="center"/>
        </w:trPr>
        <w:tc>
          <w:tcPr>
            <w:tcW w:w="2257" w:type="dxa"/>
          </w:tcPr>
          <w:p w14:paraId="768E658C" w14:textId="77777777" w:rsidR="00AD4FA5" w:rsidRDefault="00000000">
            <w:r>
              <w:rPr>
                <w:rFonts w:ascii="Arial" w:hAnsi="Arial"/>
                <w:sz w:val="18"/>
              </w:rPr>
              <w:t>Voluntary Turnover</w:t>
            </w:r>
          </w:p>
        </w:tc>
        <w:tc>
          <w:tcPr>
            <w:tcW w:w="2257" w:type="dxa"/>
          </w:tcPr>
          <w:p w14:paraId="4FDA9941" w14:textId="77777777" w:rsidR="00AD4FA5" w:rsidRDefault="00000000">
            <w:pPr>
              <w:jc w:val="right"/>
            </w:pPr>
            <w:r>
              <w:rPr>
                <w:rFonts w:ascii="Arial" w:hAnsi="Arial"/>
                <w:sz w:val="18"/>
              </w:rPr>
              <w:t>8.45%</w:t>
            </w:r>
          </w:p>
        </w:tc>
        <w:tc>
          <w:tcPr>
            <w:tcW w:w="2257" w:type="dxa"/>
          </w:tcPr>
          <w:p w14:paraId="103633F3" w14:textId="77777777" w:rsidR="00AD4FA5" w:rsidRDefault="00000000">
            <w:pPr>
              <w:jc w:val="right"/>
            </w:pPr>
            <w:r>
              <w:rPr>
                <w:rFonts w:ascii="Arial" w:hAnsi="Arial"/>
                <w:sz w:val="18"/>
              </w:rPr>
              <w:t>14.24%</w:t>
            </w:r>
          </w:p>
        </w:tc>
        <w:tc>
          <w:tcPr>
            <w:tcW w:w="2257" w:type="dxa"/>
          </w:tcPr>
          <w:p w14:paraId="0A73A2E2" w14:textId="77777777" w:rsidR="00AD4FA5" w:rsidRDefault="00000000">
            <w:pPr>
              <w:jc w:val="right"/>
            </w:pPr>
            <w:r>
              <w:rPr>
                <w:rFonts w:ascii="Arial" w:hAnsi="Arial"/>
                <w:sz w:val="18"/>
              </w:rPr>
              <w:t>-40.66%</w:t>
            </w:r>
          </w:p>
        </w:tc>
      </w:tr>
    </w:tbl>
    <w:p w14:paraId="57620E24" w14:textId="77777777" w:rsidR="00AD4FA5" w:rsidRDefault="00000000">
      <w:r>
        <w:rPr>
          <w:rFonts w:ascii="Arial" w:hAnsi="Arial"/>
          <w:i/>
          <w:sz w:val="16"/>
        </w:rPr>
        <w:t>Source: Source: Organization HR management system. Voluntary turnover excludes retirements and involuntary separations.</w:t>
      </w:r>
    </w:p>
    <w:p w14:paraId="67C5664C" w14:textId="77777777" w:rsidR="00AD4FA5" w:rsidRDefault="00AD4FA5"/>
    <w:p w14:paraId="1AF26F0B" w14:textId="77777777" w:rsidR="00AD4FA5" w:rsidRDefault="00000000">
      <w:r>
        <w:rPr>
          <w:rFonts w:ascii="Arial" w:hAnsi="Arial"/>
          <w:b/>
          <w:sz w:val="20"/>
        </w:rPr>
        <w:t>Table 3: Training Metrics</w:t>
      </w:r>
    </w:p>
    <w:tbl>
      <w:tblPr>
        <w:tblW w:w="0" w:type="auto"/>
        <w:jc w:val="center"/>
        <w:tblLook w:val="04A0" w:firstRow="1" w:lastRow="0" w:firstColumn="1" w:lastColumn="0" w:noHBand="0" w:noVBand="1"/>
      </w:tblPr>
      <w:tblGrid>
        <w:gridCol w:w="2257"/>
        <w:gridCol w:w="2257"/>
        <w:gridCol w:w="2257"/>
        <w:gridCol w:w="2257"/>
      </w:tblGrid>
      <w:tr w:rsidR="00AD4FA5" w14:paraId="0FFC6708" w14:textId="77777777">
        <w:trPr>
          <w:jc w:val="center"/>
        </w:trPr>
        <w:tc>
          <w:tcPr>
            <w:tcW w:w="2257" w:type="dxa"/>
            <w:shd w:val="clear" w:color="auto" w:fill="1B3A6B"/>
          </w:tcPr>
          <w:p w14:paraId="619AAF05" w14:textId="77777777" w:rsidR="00AD4FA5" w:rsidRDefault="00000000">
            <w:r>
              <w:rPr>
                <w:rFonts w:ascii="Arial" w:hAnsi="Arial"/>
                <w:b/>
                <w:color w:val="FFFFFF"/>
                <w:sz w:val="18"/>
              </w:rPr>
              <w:t>Metric</w:t>
            </w:r>
          </w:p>
        </w:tc>
        <w:tc>
          <w:tcPr>
            <w:tcW w:w="2257" w:type="dxa"/>
            <w:shd w:val="clear" w:color="auto" w:fill="1B3A6B"/>
          </w:tcPr>
          <w:p w14:paraId="06392B3C" w14:textId="77777777" w:rsidR="00AD4FA5" w:rsidRDefault="00000000">
            <w:r>
              <w:rPr>
                <w:rFonts w:ascii="Arial" w:hAnsi="Arial"/>
                <w:b/>
                <w:color w:val="FFFFFF"/>
                <w:sz w:val="18"/>
              </w:rPr>
              <w:t>2024</w:t>
            </w:r>
          </w:p>
        </w:tc>
        <w:tc>
          <w:tcPr>
            <w:tcW w:w="2257" w:type="dxa"/>
            <w:shd w:val="clear" w:color="auto" w:fill="1B3A6B"/>
          </w:tcPr>
          <w:p w14:paraId="5A3C5D29" w14:textId="77777777" w:rsidR="00AD4FA5" w:rsidRDefault="00000000">
            <w:r>
              <w:rPr>
                <w:rFonts w:ascii="Arial" w:hAnsi="Arial"/>
                <w:b/>
                <w:color w:val="FFFFFF"/>
                <w:sz w:val="18"/>
              </w:rPr>
              <w:t>2023</w:t>
            </w:r>
          </w:p>
        </w:tc>
        <w:tc>
          <w:tcPr>
            <w:tcW w:w="2257" w:type="dxa"/>
            <w:shd w:val="clear" w:color="auto" w:fill="1B3A6B"/>
          </w:tcPr>
          <w:p w14:paraId="58CEC8DB" w14:textId="77777777" w:rsidR="00AD4FA5" w:rsidRDefault="00000000">
            <w:r>
              <w:rPr>
                <w:rFonts w:ascii="Arial" w:hAnsi="Arial"/>
                <w:b/>
                <w:color w:val="FFFFFF"/>
                <w:sz w:val="18"/>
              </w:rPr>
              <w:t>YoY Change</w:t>
            </w:r>
          </w:p>
        </w:tc>
      </w:tr>
      <w:tr w:rsidR="00AD4FA5" w14:paraId="25308BEC" w14:textId="77777777">
        <w:trPr>
          <w:jc w:val="center"/>
        </w:trPr>
        <w:tc>
          <w:tcPr>
            <w:tcW w:w="2257" w:type="dxa"/>
          </w:tcPr>
          <w:p w14:paraId="61095FD7" w14:textId="77777777" w:rsidR="00AD4FA5" w:rsidRDefault="00000000">
            <w:r>
              <w:rPr>
                <w:rFonts w:ascii="Arial" w:hAnsi="Arial"/>
                <w:sz w:val="18"/>
              </w:rPr>
              <w:t>Avg Training Hours/FTE</w:t>
            </w:r>
          </w:p>
        </w:tc>
        <w:tc>
          <w:tcPr>
            <w:tcW w:w="2257" w:type="dxa"/>
          </w:tcPr>
          <w:p w14:paraId="3FAEB550" w14:textId="77777777" w:rsidR="00AD4FA5" w:rsidRDefault="00000000">
            <w:pPr>
              <w:jc w:val="right"/>
            </w:pPr>
            <w:r>
              <w:rPr>
                <w:rFonts w:ascii="Arial" w:hAnsi="Arial"/>
                <w:sz w:val="18"/>
              </w:rPr>
              <w:t>49.3</w:t>
            </w:r>
          </w:p>
        </w:tc>
        <w:tc>
          <w:tcPr>
            <w:tcW w:w="2257" w:type="dxa"/>
          </w:tcPr>
          <w:p w14:paraId="2C6EA1B8" w14:textId="77777777" w:rsidR="00AD4FA5" w:rsidRDefault="00000000">
            <w:pPr>
              <w:jc w:val="right"/>
            </w:pPr>
            <w:r>
              <w:rPr>
                <w:rFonts w:ascii="Arial" w:hAnsi="Arial"/>
                <w:sz w:val="18"/>
              </w:rPr>
              <w:t>64.14</w:t>
            </w:r>
          </w:p>
        </w:tc>
        <w:tc>
          <w:tcPr>
            <w:tcW w:w="2257" w:type="dxa"/>
          </w:tcPr>
          <w:p w14:paraId="2B3ED9A6" w14:textId="77777777" w:rsidR="00AD4FA5" w:rsidRDefault="00000000">
            <w:pPr>
              <w:jc w:val="right"/>
            </w:pPr>
            <w:r>
              <w:rPr>
                <w:rFonts w:ascii="Arial" w:hAnsi="Arial"/>
                <w:sz w:val="18"/>
              </w:rPr>
              <w:t>-23.14%</w:t>
            </w:r>
          </w:p>
        </w:tc>
      </w:tr>
    </w:tbl>
    <w:p w14:paraId="5274B5AC" w14:textId="77777777" w:rsidR="00AD4FA5" w:rsidRDefault="00000000">
      <w:r>
        <w:rPr>
          <w:rFonts w:ascii="Arial" w:hAnsi="Arial"/>
          <w:i/>
          <w:sz w:val="16"/>
        </w:rPr>
        <w:t>Source: Source: Organization learning management system. Includes classroom, e-learning, and on-the-job training hours.</w:t>
      </w:r>
    </w:p>
    <w:p w14:paraId="626A78A0" w14:textId="77777777" w:rsidR="00AD4FA5" w:rsidRDefault="00AD4FA5"/>
    <w:p w14:paraId="29A2769B" w14:textId="77777777" w:rsidR="00AD4FA5" w:rsidRDefault="00000000">
      <w:r>
        <w:rPr>
          <w:rFonts w:ascii="Arial" w:hAnsi="Arial"/>
          <w:b/>
          <w:sz w:val="20"/>
        </w:rPr>
        <w:t>Table 4: Diversity Indicators</w:t>
      </w:r>
    </w:p>
    <w:tbl>
      <w:tblPr>
        <w:tblW w:w="0" w:type="auto"/>
        <w:jc w:val="center"/>
        <w:tblLook w:val="04A0" w:firstRow="1" w:lastRow="0" w:firstColumn="1" w:lastColumn="0" w:noHBand="0" w:noVBand="1"/>
      </w:tblPr>
      <w:tblGrid>
        <w:gridCol w:w="2257"/>
        <w:gridCol w:w="2257"/>
        <w:gridCol w:w="2257"/>
        <w:gridCol w:w="2257"/>
      </w:tblGrid>
      <w:tr w:rsidR="00AD4FA5" w14:paraId="71A42933" w14:textId="77777777">
        <w:trPr>
          <w:jc w:val="center"/>
        </w:trPr>
        <w:tc>
          <w:tcPr>
            <w:tcW w:w="2257" w:type="dxa"/>
            <w:shd w:val="clear" w:color="auto" w:fill="1B3A6B"/>
          </w:tcPr>
          <w:p w14:paraId="58ACE209" w14:textId="77777777" w:rsidR="00AD4FA5" w:rsidRDefault="00000000">
            <w:r>
              <w:rPr>
                <w:rFonts w:ascii="Arial" w:hAnsi="Arial"/>
                <w:b/>
                <w:color w:val="FFFFFF"/>
                <w:sz w:val="18"/>
              </w:rPr>
              <w:t>Metric</w:t>
            </w:r>
          </w:p>
        </w:tc>
        <w:tc>
          <w:tcPr>
            <w:tcW w:w="2257" w:type="dxa"/>
            <w:shd w:val="clear" w:color="auto" w:fill="1B3A6B"/>
          </w:tcPr>
          <w:p w14:paraId="7B686947" w14:textId="77777777" w:rsidR="00AD4FA5" w:rsidRDefault="00000000">
            <w:r>
              <w:rPr>
                <w:rFonts w:ascii="Arial" w:hAnsi="Arial"/>
                <w:b/>
                <w:color w:val="FFFFFF"/>
                <w:sz w:val="18"/>
              </w:rPr>
              <w:t>2024</w:t>
            </w:r>
          </w:p>
        </w:tc>
        <w:tc>
          <w:tcPr>
            <w:tcW w:w="2257" w:type="dxa"/>
            <w:shd w:val="clear" w:color="auto" w:fill="1B3A6B"/>
          </w:tcPr>
          <w:p w14:paraId="6F9BCC37" w14:textId="77777777" w:rsidR="00AD4FA5" w:rsidRDefault="00000000">
            <w:r>
              <w:rPr>
                <w:rFonts w:ascii="Arial" w:hAnsi="Arial"/>
                <w:b/>
                <w:color w:val="FFFFFF"/>
                <w:sz w:val="18"/>
              </w:rPr>
              <w:t>2023</w:t>
            </w:r>
          </w:p>
        </w:tc>
        <w:tc>
          <w:tcPr>
            <w:tcW w:w="2257" w:type="dxa"/>
            <w:shd w:val="clear" w:color="auto" w:fill="1B3A6B"/>
          </w:tcPr>
          <w:p w14:paraId="46F64AE6" w14:textId="77777777" w:rsidR="00AD4FA5" w:rsidRDefault="00000000">
            <w:r>
              <w:rPr>
                <w:rFonts w:ascii="Arial" w:hAnsi="Arial"/>
                <w:b/>
                <w:color w:val="FFFFFF"/>
                <w:sz w:val="18"/>
              </w:rPr>
              <w:t>Change</w:t>
            </w:r>
          </w:p>
        </w:tc>
      </w:tr>
      <w:tr w:rsidR="00AD4FA5" w14:paraId="4C08CAA3" w14:textId="77777777">
        <w:trPr>
          <w:jc w:val="center"/>
        </w:trPr>
        <w:tc>
          <w:tcPr>
            <w:tcW w:w="2257" w:type="dxa"/>
          </w:tcPr>
          <w:p w14:paraId="41CD8CF4" w14:textId="77777777" w:rsidR="00AD4FA5" w:rsidRDefault="00000000">
            <w:r>
              <w:rPr>
                <w:rFonts w:ascii="Arial" w:hAnsi="Arial"/>
                <w:sz w:val="18"/>
              </w:rPr>
              <w:lastRenderedPageBreak/>
              <w:t>Female Workforce (%)</w:t>
            </w:r>
          </w:p>
        </w:tc>
        <w:tc>
          <w:tcPr>
            <w:tcW w:w="2257" w:type="dxa"/>
          </w:tcPr>
          <w:p w14:paraId="05A53733" w14:textId="77777777" w:rsidR="00AD4FA5" w:rsidRDefault="00000000">
            <w:pPr>
              <w:jc w:val="right"/>
            </w:pPr>
            <w:r>
              <w:rPr>
                <w:rFonts w:ascii="Arial" w:hAnsi="Arial"/>
                <w:sz w:val="18"/>
              </w:rPr>
              <w:t>42.32%</w:t>
            </w:r>
          </w:p>
        </w:tc>
        <w:tc>
          <w:tcPr>
            <w:tcW w:w="2257" w:type="dxa"/>
          </w:tcPr>
          <w:p w14:paraId="2E4348BD" w14:textId="77777777" w:rsidR="00AD4FA5" w:rsidRDefault="00000000">
            <w:pPr>
              <w:jc w:val="right"/>
            </w:pPr>
            <w:r>
              <w:rPr>
                <w:rFonts w:ascii="Arial" w:hAnsi="Arial"/>
                <w:sz w:val="18"/>
              </w:rPr>
              <w:t>46.2%</w:t>
            </w:r>
          </w:p>
        </w:tc>
        <w:tc>
          <w:tcPr>
            <w:tcW w:w="2257" w:type="dxa"/>
          </w:tcPr>
          <w:p w14:paraId="664A50C0" w14:textId="77777777" w:rsidR="00AD4FA5" w:rsidRDefault="00000000">
            <w:r>
              <w:rPr>
                <w:rFonts w:ascii="Arial" w:hAnsi="Arial"/>
                <w:sz w:val="18"/>
              </w:rPr>
              <w:t>-3.88 pp</w:t>
            </w:r>
          </w:p>
        </w:tc>
      </w:tr>
      <w:tr w:rsidR="00AD4FA5" w14:paraId="6A2FC105" w14:textId="77777777">
        <w:trPr>
          <w:jc w:val="center"/>
        </w:trPr>
        <w:tc>
          <w:tcPr>
            <w:tcW w:w="2257" w:type="dxa"/>
            <w:shd w:val="clear" w:color="auto" w:fill="F2F6FC"/>
          </w:tcPr>
          <w:p w14:paraId="0852B6D8" w14:textId="77777777" w:rsidR="00AD4FA5" w:rsidRDefault="00000000">
            <w:r>
              <w:rPr>
                <w:rFonts w:ascii="Arial" w:hAnsi="Arial"/>
                <w:sz w:val="18"/>
              </w:rPr>
              <w:t>Women in Management (%)</w:t>
            </w:r>
          </w:p>
        </w:tc>
        <w:tc>
          <w:tcPr>
            <w:tcW w:w="2257" w:type="dxa"/>
            <w:shd w:val="clear" w:color="auto" w:fill="F2F6FC"/>
          </w:tcPr>
          <w:p w14:paraId="683D37F6" w14:textId="77777777" w:rsidR="00AD4FA5" w:rsidRDefault="00000000">
            <w:pPr>
              <w:jc w:val="right"/>
            </w:pPr>
            <w:r>
              <w:rPr>
                <w:rFonts w:ascii="Arial" w:hAnsi="Arial"/>
                <w:sz w:val="18"/>
              </w:rPr>
              <w:t>26.67%</w:t>
            </w:r>
          </w:p>
        </w:tc>
        <w:tc>
          <w:tcPr>
            <w:tcW w:w="2257" w:type="dxa"/>
            <w:shd w:val="clear" w:color="auto" w:fill="F2F6FC"/>
          </w:tcPr>
          <w:p w14:paraId="0F98BAC0" w14:textId="77777777" w:rsidR="00AD4FA5" w:rsidRDefault="00000000">
            <w:pPr>
              <w:jc w:val="right"/>
            </w:pPr>
            <w:r>
              <w:rPr>
                <w:rFonts w:ascii="Arial" w:hAnsi="Arial"/>
                <w:sz w:val="18"/>
              </w:rPr>
              <w:t>28.45%</w:t>
            </w:r>
          </w:p>
        </w:tc>
        <w:tc>
          <w:tcPr>
            <w:tcW w:w="2257" w:type="dxa"/>
            <w:shd w:val="clear" w:color="auto" w:fill="F2F6FC"/>
          </w:tcPr>
          <w:p w14:paraId="71411E2E" w14:textId="77777777" w:rsidR="00AD4FA5" w:rsidRDefault="00000000">
            <w:r>
              <w:rPr>
                <w:rFonts w:ascii="Arial" w:hAnsi="Arial"/>
                <w:sz w:val="18"/>
              </w:rPr>
              <w:t>-1.78 pp</w:t>
            </w:r>
          </w:p>
        </w:tc>
      </w:tr>
    </w:tbl>
    <w:p w14:paraId="450CD5D3" w14:textId="77777777" w:rsidR="00AD4FA5" w:rsidRDefault="00000000">
      <w:r>
        <w:rPr>
          <w:rFonts w:ascii="Arial" w:hAnsi="Arial"/>
          <w:i/>
          <w:sz w:val="16"/>
        </w:rPr>
        <w:t>Source: Source: Organization HR management system. Management defined as positions at Assistant Vice President level and above.</w:t>
      </w:r>
    </w:p>
    <w:p w14:paraId="1873E6E8" w14:textId="77777777" w:rsidR="00AD4FA5" w:rsidRDefault="00AD4FA5"/>
    <w:p w14:paraId="316E114C" w14:textId="77777777" w:rsidR="00AD4FA5" w:rsidRDefault="00000000">
      <w:r>
        <w:rPr>
          <w:rFonts w:ascii="Arial" w:hAnsi="Arial"/>
          <w:b/>
          <w:sz w:val="20"/>
        </w:rPr>
        <w:t>Table 5: Non-Discrimination Cases</w:t>
      </w:r>
    </w:p>
    <w:tbl>
      <w:tblPr>
        <w:tblW w:w="0" w:type="auto"/>
        <w:jc w:val="center"/>
        <w:tblLook w:val="04A0" w:firstRow="1" w:lastRow="0" w:firstColumn="1" w:lastColumn="0" w:noHBand="0" w:noVBand="1"/>
      </w:tblPr>
      <w:tblGrid>
        <w:gridCol w:w="3010"/>
        <w:gridCol w:w="3010"/>
        <w:gridCol w:w="3010"/>
      </w:tblGrid>
      <w:tr w:rsidR="00AD4FA5" w14:paraId="05799EE9" w14:textId="77777777">
        <w:trPr>
          <w:jc w:val="center"/>
        </w:trPr>
        <w:tc>
          <w:tcPr>
            <w:tcW w:w="3010" w:type="dxa"/>
            <w:shd w:val="clear" w:color="auto" w:fill="1B3A6B"/>
          </w:tcPr>
          <w:p w14:paraId="669A613B" w14:textId="77777777" w:rsidR="00AD4FA5" w:rsidRDefault="00000000">
            <w:r>
              <w:rPr>
                <w:rFonts w:ascii="Arial" w:hAnsi="Arial"/>
                <w:b/>
                <w:color w:val="FFFFFF"/>
                <w:sz w:val="18"/>
              </w:rPr>
              <w:t>Metric</w:t>
            </w:r>
          </w:p>
        </w:tc>
        <w:tc>
          <w:tcPr>
            <w:tcW w:w="3010" w:type="dxa"/>
            <w:shd w:val="clear" w:color="auto" w:fill="1B3A6B"/>
          </w:tcPr>
          <w:p w14:paraId="4B90FF5B" w14:textId="77777777" w:rsidR="00AD4FA5" w:rsidRDefault="00000000">
            <w:r>
              <w:rPr>
                <w:rFonts w:ascii="Arial" w:hAnsi="Arial"/>
                <w:b/>
                <w:color w:val="FFFFFF"/>
                <w:sz w:val="18"/>
              </w:rPr>
              <w:t>2024</w:t>
            </w:r>
          </w:p>
        </w:tc>
        <w:tc>
          <w:tcPr>
            <w:tcW w:w="3010" w:type="dxa"/>
            <w:shd w:val="clear" w:color="auto" w:fill="1B3A6B"/>
          </w:tcPr>
          <w:p w14:paraId="14A1279E" w14:textId="77777777" w:rsidR="00AD4FA5" w:rsidRDefault="00000000">
            <w:r>
              <w:rPr>
                <w:rFonts w:ascii="Arial" w:hAnsi="Arial"/>
                <w:b/>
                <w:color w:val="FFFFFF"/>
                <w:sz w:val="18"/>
              </w:rPr>
              <w:t>2023</w:t>
            </w:r>
          </w:p>
        </w:tc>
      </w:tr>
      <w:tr w:rsidR="00AD4FA5" w14:paraId="7F6C504B" w14:textId="77777777">
        <w:trPr>
          <w:jc w:val="center"/>
        </w:trPr>
        <w:tc>
          <w:tcPr>
            <w:tcW w:w="3010" w:type="dxa"/>
          </w:tcPr>
          <w:p w14:paraId="25D20133" w14:textId="77777777" w:rsidR="00AD4FA5" w:rsidRDefault="00000000">
            <w:r>
              <w:rPr>
                <w:rFonts w:ascii="Arial" w:hAnsi="Arial"/>
                <w:sz w:val="18"/>
              </w:rPr>
              <w:t>Discrimination Cases Reported</w:t>
            </w:r>
          </w:p>
        </w:tc>
        <w:tc>
          <w:tcPr>
            <w:tcW w:w="3010" w:type="dxa"/>
          </w:tcPr>
          <w:p w14:paraId="0484CFFB" w14:textId="77777777" w:rsidR="00AD4FA5" w:rsidRDefault="00000000">
            <w:pPr>
              <w:jc w:val="right"/>
            </w:pPr>
            <w:r>
              <w:rPr>
                <w:rFonts w:ascii="Arial" w:hAnsi="Arial"/>
                <w:sz w:val="18"/>
              </w:rPr>
              <w:t>2</w:t>
            </w:r>
          </w:p>
        </w:tc>
        <w:tc>
          <w:tcPr>
            <w:tcW w:w="3010" w:type="dxa"/>
          </w:tcPr>
          <w:p w14:paraId="762B8A7A" w14:textId="77777777" w:rsidR="00AD4FA5" w:rsidRDefault="00000000">
            <w:pPr>
              <w:jc w:val="right"/>
            </w:pPr>
            <w:r>
              <w:rPr>
                <w:rFonts w:ascii="Arial" w:hAnsi="Arial"/>
                <w:sz w:val="18"/>
              </w:rPr>
              <w:t>3</w:t>
            </w:r>
          </w:p>
        </w:tc>
      </w:tr>
      <w:tr w:rsidR="00AD4FA5" w14:paraId="4C2256E9" w14:textId="77777777">
        <w:trPr>
          <w:jc w:val="center"/>
        </w:trPr>
        <w:tc>
          <w:tcPr>
            <w:tcW w:w="3010" w:type="dxa"/>
            <w:shd w:val="clear" w:color="auto" w:fill="F2F6FC"/>
          </w:tcPr>
          <w:p w14:paraId="795155B0" w14:textId="77777777" w:rsidR="00AD4FA5" w:rsidRDefault="00000000">
            <w:r>
              <w:rPr>
                <w:rFonts w:ascii="Arial" w:hAnsi="Arial"/>
                <w:sz w:val="18"/>
              </w:rPr>
              <w:t>Cases Investigated</w:t>
            </w:r>
          </w:p>
        </w:tc>
        <w:tc>
          <w:tcPr>
            <w:tcW w:w="3010" w:type="dxa"/>
            <w:shd w:val="clear" w:color="auto" w:fill="F2F6FC"/>
          </w:tcPr>
          <w:p w14:paraId="4051384C" w14:textId="77777777" w:rsidR="00AD4FA5" w:rsidRDefault="00000000">
            <w:pPr>
              <w:jc w:val="right"/>
            </w:pPr>
            <w:r>
              <w:rPr>
                <w:rFonts w:ascii="Arial" w:hAnsi="Arial"/>
                <w:sz w:val="18"/>
              </w:rPr>
              <w:t>2</w:t>
            </w:r>
          </w:p>
        </w:tc>
        <w:tc>
          <w:tcPr>
            <w:tcW w:w="3010" w:type="dxa"/>
            <w:shd w:val="clear" w:color="auto" w:fill="F2F6FC"/>
          </w:tcPr>
          <w:p w14:paraId="06E9A317" w14:textId="77777777" w:rsidR="00AD4FA5" w:rsidRDefault="00000000">
            <w:pPr>
              <w:jc w:val="right"/>
            </w:pPr>
            <w:r>
              <w:rPr>
                <w:rFonts w:ascii="Arial" w:hAnsi="Arial"/>
                <w:sz w:val="18"/>
              </w:rPr>
              <w:t>3</w:t>
            </w:r>
          </w:p>
        </w:tc>
      </w:tr>
      <w:tr w:rsidR="00AD4FA5" w14:paraId="0D395572" w14:textId="77777777">
        <w:trPr>
          <w:jc w:val="center"/>
        </w:trPr>
        <w:tc>
          <w:tcPr>
            <w:tcW w:w="3010" w:type="dxa"/>
          </w:tcPr>
          <w:p w14:paraId="5C6D1344" w14:textId="77777777" w:rsidR="00AD4FA5" w:rsidRDefault="00000000">
            <w:r>
              <w:rPr>
                <w:rFonts w:ascii="Arial" w:hAnsi="Arial"/>
                <w:sz w:val="18"/>
              </w:rPr>
              <w:t>Cases with Remediation Completed</w:t>
            </w:r>
          </w:p>
        </w:tc>
        <w:tc>
          <w:tcPr>
            <w:tcW w:w="3010" w:type="dxa"/>
          </w:tcPr>
          <w:p w14:paraId="5F8903C0" w14:textId="77777777" w:rsidR="00AD4FA5" w:rsidRDefault="00000000">
            <w:pPr>
              <w:jc w:val="right"/>
            </w:pPr>
            <w:r>
              <w:rPr>
                <w:rFonts w:ascii="Arial" w:hAnsi="Arial"/>
                <w:sz w:val="18"/>
              </w:rPr>
              <w:t>2</w:t>
            </w:r>
          </w:p>
        </w:tc>
        <w:tc>
          <w:tcPr>
            <w:tcW w:w="3010" w:type="dxa"/>
          </w:tcPr>
          <w:p w14:paraId="2661B3BE" w14:textId="77777777" w:rsidR="00AD4FA5" w:rsidRDefault="00000000">
            <w:pPr>
              <w:jc w:val="right"/>
            </w:pPr>
            <w:r>
              <w:rPr>
                <w:rFonts w:ascii="Arial" w:hAnsi="Arial"/>
                <w:sz w:val="18"/>
              </w:rPr>
              <w:t>3</w:t>
            </w:r>
          </w:p>
        </w:tc>
      </w:tr>
    </w:tbl>
    <w:p w14:paraId="6B8FAC96" w14:textId="77777777" w:rsidR="00AD4FA5" w:rsidRDefault="00000000">
      <w:r>
        <w:rPr>
          <w:rFonts w:ascii="Arial" w:hAnsi="Arial"/>
          <w:i/>
          <w:sz w:val="16"/>
        </w:rPr>
        <w:t>Source: Source: Organization compliance and ethics reporting system. All cases were resolved during the reporting period.</w:t>
      </w:r>
    </w:p>
    <w:p w14:paraId="01DCDCD9" w14:textId="77777777" w:rsidR="00AD4FA5" w:rsidRDefault="00AD4FA5"/>
    <w:p w14:paraId="1111291B" w14:textId="77777777" w:rsidR="00AD4FA5" w:rsidRDefault="00000000">
      <w:r>
        <w:rPr>
          <w:i/>
          <w:color w:val="3D6094"/>
          <w:sz w:val="18"/>
        </w:rPr>
        <w:t>Framework references: GRI 2-7; GRI 401-1; GRI 404-1; GRI 405-1; GRI 406-1; ESRS S1 (Own Workforce); OJK PSPK Pillar II (Social)</w:t>
      </w:r>
    </w:p>
    <w:p w14:paraId="5A62B418" w14:textId="77777777" w:rsidR="00AD4FA5" w:rsidRDefault="00AD4FA5">
      <w:pPr>
        <w:pBdr>
          <w:bottom w:val="single" w:sz="6" w:space="1" w:color="999999"/>
        </w:pBdr>
        <w:spacing w:after="80"/>
      </w:pPr>
    </w:p>
    <w:p w14:paraId="17A3F1E9" w14:textId="77777777" w:rsidR="00AD4FA5" w:rsidRDefault="00000000">
      <w:pPr>
        <w:spacing w:after="160"/>
        <w:jc w:val="both"/>
      </w:pPr>
      <w:r>
        <w:rPr>
          <w:rFonts w:ascii="Arial" w:hAnsi="Arial"/>
          <w:i/>
          <w:color w:val="646464"/>
          <w:sz w:val="18"/>
        </w:rPr>
        <w:t>GRI Content Index: 2-7 | Employees | Section: Workforce Overview</w:t>
      </w:r>
    </w:p>
    <w:p w14:paraId="07842E6C" w14:textId="77777777" w:rsidR="00AD4FA5" w:rsidRDefault="00000000">
      <w:pPr>
        <w:spacing w:after="160"/>
        <w:jc w:val="both"/>
      </w:pPr>
      <w:r>
        <w:rPr>
          <w:rFonts w:ascii="Arial" w:hAnsi="Arial"/>
          <w:i/>
          <w:color w:val="646464"/>
          <w:sz w:val="18"/>
        </w:rPr>
        <w:t>GRI Content Index: 401-1 | New employee hires and employee turnover | Section: Employment Practices</w:t>
      </w:r>
    </w:p>
    <w:p w14:paraId="74F5903E" w14:textId="77777777" w:rsidR="00AD4FA5" w:rsidRDefault="00000000">
      <w:pPr>
        <w:spacing w:after="160"/>
        <w:jc w:val="both"/>
      </w:pPr>
      <w:r>
        <w:rPr>
          <w:rFonts w:ascii="Arial" w:hAnsi="Arial"/>
          <w:i/>
          <w:color w:val="646464"/>
          <w:sz w:val="18"/>
        </w:rPr>
        <w:t>GRI Content Index: 404-1 | Average hours of training per year per employee | Section: Training and Education</w:t>
      </w:r>
    </w:p>
    <w:p w14:paraId="0BAB7E68" w14:textId="77777777" w:rsidR="00AD4FA5" w:rsidRDefault="00000000">
      <w:pPr>
        <w:spacing w:after="160"/>
        <w:jc w:val="both"/>
      </w:pPr>
      <w:r>
        <w:rPr>
          <w:rFonts w:ascii="Arial" w:hAnsi="Arial"/>
          <w:i/>
          <w:color w:val="646464"/>
          <w:sz w:val="18"/>
        </w:rPr>
        <w:t>GRI Content Index: 405-1 | Diversity of governance bodies and employees | Section: Diversity and Equal Opportunity</w:t>
      </w:r>
    </w:p>
    <w:p w14:paraId="4D1D1434" w14:textId="77777777" w:rsidR="00AD4FA5" w:rsidRDefault="00000000">
      <w:pPr>
        <w:spacing w:after="160"/>
        <w:jc w:val="both"/>
      </w:pPr>
      <w:r>
        <w:rPr>
          <w:rFonts w:ascii="Arial" w:hAnsi="Arial"/>
          <w:i/>
          <w:color w:val="646464"/>
          <w:sz w:val="18"/>
        </w:rPr>
        <w:t>GRI Content Index: 406-1 | Incidents of discrimination and corrective actions taken | Section: Non-Discrimination</w:t>
      </w:r>
    </w:p>
    <w:p w14:paraId="6F9CE01C" w14:textId="77777777" w:rsidR="00AD4FA5" w:rsidRDefault="00000000">
      <w:pPr>
        <w:spacing w:after="160"/>
        <w:jc w:val="both"/>
      </w:pPr>
      <w:r>
        <w:rPr>
          <w:rFonts w:ascii="Arial" w:hAnsi="Arial"/>
          <w:i/>
          <w:color w:val="646464"/>
          <w:sz w:val="18"/>
        </w:rPr>
        <w:t>Consolidation approach: Operational control per GRI Standards. All data covers 100% of operations under the organization's direct management.</w:t>
      </w:r>
    </w:p>
    <w:p w14:paraId="704E8E7A" w14:textId="77777777" w:rsidR="00AD4FA5" w:rsidRDefault="00000000">
      <w:pPr>
        <w:spacing w:after="160"/>
        <w:jc w:val="both"/>
      </w:pPr>
      <w:r>
        <w:rPr>
          <w:rFonts w:ascii="Arial" w:hAnsi="Arial"/>
          <w:i/>
          <w:color w:val="646464"/>
          <w:sz w:val="18"/>
        </w:rPr>
        <w:t>Reporting period: 1 January 2024 to 31 December 2024. Prior year comparisons reference the period 1 January 2023 to 31 December 2023.</w:t>
      </w:r>
    </w:p>
    <w:p w14:paraId="10BCC55A"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34EBB7E2" w14:textId="77777777" w:rsidR="00AD4FA5" w:rsidRDefault="00000000">
      <w:r>
        <w:br w:type="page"/>
      </w:r>
    </w:p>
    <w:p w14:paraId="51FA16B1" w14:textId="77777777" w:rsidR="00AD4FA5" w:rsidRDefault="00000000">
      <w:pPr>
        <w:pStyle w:val="Heading1"/>
        <w:spacing w:after="240"/>
      </w:pPr>
      <w:bookmarkStart w:id="17" w:name="_Toc231979680"/>
      <w:r>
        <w:rPr>
          <w:rFonts w:ascii="Arial" w:hAnsi="Arial"/>
          <w:color w:val="1B3A6B"/>
          <w:sz w:val="36"/>
        </w:rPr>
        <w:lastRenderedPageBreak/>
        <w:t>Executive Summary: Total Greenhouse Gas Emissions</w:t>
      </w:r>
      <w:bookmarkEnd w:id="17"/>
    </w:p>
    <w:p w14:paraId="024569FC" w14:textId="77777777" w:rsidR="00AD4FA5" w:rsidRDefault="00000000">
      <w:pPr>
        <w:spacing w:after="160"/>
        <w:jc w:val="both"/>
      </w:pPr>
      <w:r>
        <w:rPr>
          <w:rFonts w:ascii="Arial" w:hAnsi="Arial"/>
        </w:rPr>
        <w:t>For the reporting period ending December 31, 2024, the institution's total greenhouse gas footprint was 22,024,814.173 tCO2e, comprising direct operational emissions (Scope 1), indirect energy emissions (Scope 2), and financed emissions from the lending portfolio (Scope 3 Category 15). This figure represents the institution's comprehensive climate impact across its operational control boundary and financial activities, calculated in accordance with the GHG Protocol Corporate Accounting and Reporting Standard and the Partnership for Carbon Accounting Financials (PCAF) Global GHG Accounting and Reporting Standard for the Financial Industry.</w:t>
      </w:r>
    </w:p>
    <w:p w14:paraId="3BFF8851" w14:textId="77777777" w:rsidR="00AD4FA5" w:rsidRDefault="00000000">
      <w:pPr>
        <w:spacing w:after="160"/>
        <w:jc w:val="both"/>
      </w:pPr>
      <w:r>
        <w:rPr>
          <w:rFonts w:ascii="Arial" w:hAnsi="Arial"/>
        </w:rPr>
        <w:t>Scope 1 emissions from direct fuel combustion totaled 3,402.997 tCO2e, representing 0.015% of the total footprint. Natural gas consumption at facilities contributed 1,199.7924 tCO2e, while diesel fuel for backup generators and fleet vehicles contributed 2,203.2044 tCO2e. Scope 2 emissions from purchased electricity totaled 44,612.518 tCO2e using the market-based method (44,613.876 tCO2e location-based), representing 0.203% of the total footprint. Scope 3 Category 15 financed emissions constituted 21,976,797.3 tCO2e on a gross basis, representing 99.782% of the institution's total climate impact. The financed emissions figure reflects the institution's attributional share of borrower emissions across 1,955 corporate lending relationships spanning ten economic sectors.</w:t>
      </w:r>
    </w:p>
    <w:p w14:paraId="551D65DE" w14:textId="77777777" w:rsidR="00AD4FA5" w:rsidRDefault="00000000">
      <w:pPr>
        <w:spacing w:after="160"/>
        <w:jc w:val="both"/>
      </w:pPr>
      <w:r>
        <w:rPr>
          <w:rFonts w:ascii="Arial" w:hAnsi="Arial"/>
        </w:rPr>
        <w:t>The institution's emission intensity metrics for 2024 were 239.400139 tCO2e per IDR billion of total assets and 1.9209 tCO2e per full-time equivalent employee. These intensity ratios enable normalization of the absolute footprint against the institution's scale of operations and workforce size. Compared to the prior reporting period (2023), total emissions decreased by 4.07%, driven primarily by a reduction in financed emissions intensity as the portfolio composition shifted toward lower-carbon sectors and borrowers improved operational efficiency. Operational emissions (Scope 1 and Scope 2 combined) increased marginally by 0.16% year-over-year, reflecting the addition of two new branch facilities partially offset by energy efficiency improvements at existing locations.</w:t>
      </w:r>
    </w:p>
    <w:p w14:paraId="63D9C957" w14:textId="77777777" w:rsidR="00AD4FA5" w:rsidRDefault="00000000">
      <w:pPr>
        <w:spacing w:after="160"/>
        <w:jc w:val="both"/>
      </w:pPr>
      <w:r>
        <w:rPr>
          <w:rFonts w:ascii="Arial" w:hAnsi="Arial"/>
        </w:rPr>
        <w:t>The financed emissions inventory was calculated using PCAF-aligned methodologies with an average data quality score of 3.36 across the portfolio, indicating reliance on sector-average emission factors for the majority of borrower exposures. Data quality scores range from 1 (highest quality, using borrower-specific verified emissions data) to 5 (lowest quality, using economic input-output models). The institution's current score reflects limited availability of borrower-level emissions disclosures in the Indonesian market. Improving data quality through enhanced borrower engagement and disclosure requirements is a strategic priority for the 2025 reporting cycle, with a target to achieve an average score of 3.0 or better by 2026.</w:t>
      </w:r>
    </w:p>
    <w:p w14:paraId="350E0AB0" w14:textId="77777777" w:rsidR="00AD4FA5" w:rsidRDefault="00000000">
      <w:pPr>
        <w:spacing w:after="160"/>
        <w:jc w:val="both"/>
      </w:pPr>
      <w:r>
        <w:rPr>
          <w:rFonts w:ascii="Arial" w:hAnsi="Arial"/>
          <w:i/>
          <w:color w:val="646464"/>
          <w:sz w:val="18"/>
        </w:rPr>
        <w:t>These figures have not been subject to external assurance for the current reporting period. The institution plans to engage a third-party assurance provider for limited assurance over Scope 1, Scope 2, and selected Scope 3 Category 15 metrics beginning with the 2025 reporting cycle, in alignment with emerging regulatory expectations under Indonesia's financial sector sustainability roadmap.</w:t>
      </w:r>
    </w:p>
    <w:p w14:paraId="76BCD3FB" w14:textId="77777777" w:rsidR="00AD4FA5" w:rsidRDefault="00000000">
      <w:r>
        <w:rPr>
          <w:rFonts w:ascii="Arial" w:hAnsi="Arial"/>
          <w:b/>
          <w:sz w:val="20"/>
        </w:rPr>
        <w:t>Table 1: Total GHG Emissions by Scope — Reporting Year 2024</w:t>
      </w:r>
    </w:p>
    <w:tbl>
      <w:tblPr>
        <w:tblW w:w="0" w:type="auto"/>
        <w:jc w:val="center"/>
        <w:tblLook w:val="04A0" w:firstRow="1" w:lastRow="0" w:firstColumn="1" w:lastColumn="0" w:noHBand="0" w:noVBand="1"/>
      </w:tblPr>
      <w:tblGrid>
        <w:gridCol w:w="2257"/>
        <w:gridCol w:w="2257"/>
        <w:gridCol w:w="2257"/>
        <w:gridCol w:w="2257"/>
      </w:tblGrid>
      <w:tr w:rsidR="00AD4FA5" w14:paraId="00E90260" w14:textId="77777777">
        <w:trPr>
          <w:jc w:val="center"/>
        </w:trPr>
        <w:tc>
          <w:tcPr>
            <w:tcW w:w="2257" w:type="dxa"/>
            <w:shd w:val="clear" w:color="auto" w:fill="1B3A6B"/>
          </w:tcPr>
          <w:p w14:paraId="451D406A" w14:textId="77777777" w:rsidR="00AD4FA5" w:rsidRDefault="00000000">
            <w:r>
              <w:rPr>
                <w:rFonts w:ascii="Arial" w:hAnsi="Arial"/>
                <w:b/>
                <w:color w:val="FFFFFF"/>
                <w:sz w:val="18"/>
              </w:rPr>
              <w:lastRenderedPageBreak/>
              <w:t>Emission Scope</w:t>
            </w:r>
          </w:p>
        </w:tc>
        <w:tc>
          <w:tcPr>
            <w:tcW w:w="2257" w:type="dxa"/>
            <w:shd w:val="clear" w:color="auto" w:fill="1B3A6B"/>
          </w:tcPr>
          <w:p w14:paraId="0E3D02A5" w14:textId="77777777" w:rsidR="00AD4FA5" w:rsidRDefault="00000000">
            <w:r>
              <w:rPr>
                <w:rFonts w:ascii="Arial" w:hAnsi="Arial"/>
                <w:b/>
                <w:color w:val="FFFFFF"/>
                <w:sz w:val="18"/>
              </w:rPr>
              <w:t>Emissions (tCO2e)</w:t>
            </w:r>
          </w:p>
        </w:tc>
        <w:tc>
          <w:tcPr>
            <w:tcW w:w="2257" w:type="dxa"/>
            <w:shd w:val="clear" w:color="auto" w:fill="1B3A6B"/>
          </w:tcPr>
          <w:p w14:paraId="559B2924" w14:textId="77777777" w:rsidR="00AD4FA5" w:rsidRDefault="00000000">
            <w:r>
              <w:rPr>
                <w:rFonts w:ascii="Arial" w:hAnsi="Arial"/>
                <w:b/>
                <w:color w:val="FFFFFF"/>
                <w:sz w:val="18"/>
              </w:rPr>
              <w:t>Percentage of Total</w:t>
            </w:r>
          </w:p>
        </w:tc>
        <w:tc>
          <w:tcPr>
            <w:tcW w:w="2257" w:type="dxa"/>
            <w:shd w:val="clear" w:color="auto" w:fill="1B3A6B"/>
          </w:tcPr>
          <w:p w14:paraId="3C862292" w14:textId="77777777" w:rsidR="00AD4FA5" w:rsidRDefault="00000000">
            <w:r>
              <w:rPr>
                <w:rFonts w:ascii="Arial" w:hAnsi="Arial"/>
                <w:b/>
                <w:color w:val="FFFFFF"/>
                <w:sz w:val="18"/>
              </w:rPr>
              <w:t>Calculation Methodology</w:t>
            </w:r>
          </w:p>
        </w:tc>
      </w:tr>
      <w:tr w:rsidR="00AD4FA5" w14:paraId="70108509" w14:textId="77777777">
        <w:trPr>
          <w:jc w:val="center"/>
        </w:trPr>
        <w:tc>
          <w:tcPr>
            <w:tcW w:w="2257" w:type="dxa"/>
          </w:tcPr>
          <w:p w14:paraId="060CCD5C" w14:textId="77777777" w:rsidR="00AD4FA5" w:rsidRDefault="00000000">
            <w:r>
              <w:rPr>
                <w:rFonts w:ascii="Arial" w:hAnsi="Arial"/>
                <w:sz w:val="18"/>
              </w:rPr>
              <w:t>Scope 1 (Direct)</w:t>
            </w:r>
          </w:p>
        </w:tc>
        <w:tc>
          <w:tcPr>
            <w:tcW w:w="2257" w:type="dxa"/>
          </w:tcPr>
          <w:p w14:paraId="342EE38B" w14:textId="77777777" w:rsidR="00AD4FA5" w:rsidRDefault="00000000">
            <w:pPr>
              <w:jc w:val="right"/>
            </w:pPr>
            <w:r>
              <w:rPr>
                <w:rFonts w:ascii="Arial" w:hAnsi="Arial"/>
                <w:sz w:val="18"/>
              </w:rPr>
              <w:t>3,402.997</w:t>
            </w:r>
          </w:p>
        </w:tc>
        <w:tc>
          <w:tcPr>
            <w:tcW w:w="2257" w:type="dxa"/>
          </w:tcPr>
          <w:p w14:paraId="05DC1569" w14:textId="77777777" w:rsidR="00AD4FA5" w:rsidRDefault="00000000">
            <w:pPr>
              <w:jc w:val="right"/>
            </w:pPr>
            <w:r>
              <w:rPr>
                <w:rFonts w:ascii="Arial" w:hAnsi="Arial"/>
                <w:sz w:val="18"/>
              </w:rPr>
              <w:t>0.015%</w:t>
            </w:r>
          </w:p>
        </w:tc>
        <w:tc>
          <w:tcPr>
            <w:tcW w:w="2257" w:type="dxa"/>
          </w:tcPr>
          <w:p w14:paraId="672E2363" w14:textId="77777777" w:rsidR="00AD4FA5" w:rsidRDefault="00000000">
            <w:r>
              <w:rPr>
                <w:rFonts w:ascii="Arial" w:hAnsi="Arial"/>
                <w:sz w:val="18"/>
              </w:rPr>
              <w:t>Fuel combustion (natural gas, diesel)</w:t>
            </w:r>
          </w:p>
        </w:tc>
      </w:tr>
      <w:tr w:rsidR="00AD4FA5" w14:paraId="769309E3" w14:textId="77777777">
        <w:trPr>
          <w:jc w:val="center"/>
        </w:trPr>
        <w:tc>
          <w:tcPr>
            <w:tcW w:w="2257" w:type="dxa"/>
            <w:shd w:val="clear" w:color="auto" w:fill="F2F6FC"/>
          </w:tcPr>
          <w:p w14:paraId="44CC9A5D" w14:textId="77777777" w:rsidR="00AD4FA5" w:rsidRDefault="00000000">
            <w:r>
              <w:rPr>
                <w:rFonts w:ascii="Arial" w:hAnsi="Arial"/>
                <w:sz w:val="18"/>
              </w:rPr>
              <w:t>Scope 2 (Indirect — Market-based)</w:t>
            </w:r>
          </w:p>
        </w:tc>
        <w:tc>
          <w:tcPr>
            <w:tcW w:w="2257" w:type="dxa"/>
            <w:shd w:val="clear" w:color="auto" w:fill="F2F6FC"/>
          </w:tcPr>
          <w:p w14:paraId="784AB16E" w14:textId="77777777" w:rsidR="00AD4FA5" w:rsidRDefault="00000000">
            <w:pPr>
              <w:jc w:val="right"/>
            </w:pPr>
            <w:r>
              <w:rPr>
                <w:rFonts w:ascii="Arial" w:hAnsi="Arial"/>
                <w:sz w:val="18"/>
              </w:rPr>
              <w:t>44,612.518</w:t>
            </w:r>
          </w:p>
        </w:tc>
        <w:tc>
          <w:tcPr>
            <w:tcW w:w="2257" w:type="dxa"/>
            <w:shd w:val="clear" w:color="auto" w:fill="F2F6FC"/>
          </w:tcPr>
          <w:p w14:paraId="6485CC62" w14:textId="77777777" w:rsidR="00AD4FA5" w:rsidRDefault="00000000">
            <w:pPr>
              <w:jc w:val="right"/>
            </w:pPr>
            <w:r>
              <w:rPr>
                <w:rFonts w:ascii="Arial" w:hAnsi="Arial"/>
                <w:sz w:val="18"/>
              </w:rPr>
              <w:t>0.203%</w:t>
            </w:r>
          </w:p>
        </w:tc>
        <w:tc>
          <w:tcPr>
            <w:tcW w:w="2257" w:type="dxa"/>
            <w:shd w:val="clear" w:color="auto" w:fill="F2F6FC"/>
          </w:tcPr>
          <w:p w14:paraId="7BFEBC84" w14:textId="77777777" w:rsidR="00AD4FA5" w:rsidRDefault="00000000">
            <w:r>
              <w:rPr>
                <w:rFonts w:ascii="Arial" w:hAnsi="Arial"/>
                <w:sz w:val="18"/>
              </w:rPr>
              <w:t>Purchased electricity (supplier-specific factors)</w:t>
            </w:r>
          </w:p>
        </w:tc>
      </w:tr>
      <w:tr w:rsidR="00AD4FA5" w14:paraId="56C9A717" w14:textId="77777777">
        <w:trPr>
          <w:jc w:val="center"/>
        </w:trPr>
        <w:tc>
          <w:tcPr>
            <w:tcW w:w="2257" w:type="dxa"/>
          </w:tcPr>
          <w:p w14:paraId="01EF4613" w14:textId="77777777" w:rsidR="00AD4FA5" w:rsidRDefault="00000000">
            <w:r>
              <w:rPr>
                <w:rFonts w:ascii="Arial" w:hAnsi="Arial"/>
                <w:sz w:val="18"/>
              </w:rPr>
              <w:t>Scope 2 (Indirect — Location-based)</w:t>
            </w:r>
          </w:p>
        </w:tc>
        <w:tc>
          <w:tcPr>
            <w:tcW w:w="2257" w:type="dxa"/>
          </w:tcPr>
          <w:p w14:paraId="535FFD13" w14:textId="77777777" w:rsidR="00AD4FA5" w:rsidRDefault="00000000">
            <w:pPr>
              <w:jc w:val="right"/>
            </w:pPr>
            <w:r>
              <w:rPr>
                <w:rFonts w:ascii="Arial" w:hAnsi="Arial"/>
                <w:sz w:val="18"/>
              </w:rPr>
              <w:t>44,613.876</w:t>
            </w:r>
          </w:p>
        </w:tc>
        <w:tc>
          <w:tcPr>
            <w:tcW w:w="2257" w:type="dxa"/>
          </w:tcPr>
          <w:p w14:paraId="247CA842" w14:textId="77777777" w:rsidR="00AD4FA5" w:rsidRDefault="00000000">
            <w:pPr>
              <w:jc w:val="right"/>
            </w:pPr>
            <w:r>
              <w:rPr>
                <w:rFonts w:ascii="Arial" w:hAnsi="Arial"/>
                <w:sz w:val="18"/>
              </w:rPr>
              <w:t>0.203%</w:t>
            </w:r>
          </w:p>
        </w:tc>
        <w:tc>
          <w:tcPr>
            <w:tcW w:w="2257" w:type="dxa"/>
          </w:tcPr>
          <w:p w14:paraId="5D4FBB19" w14:textId="77777777" w:rsidR="00AD4FA5" w:rsidRDefault="00000000">
            <w:r>
              <w:rPr>
                <w:rFonts w:ascii="Arial" w:hAnsi="Arial"/>
                <w:sz w:val="18"/>
              </w:rPr>
              <w:t>Purchased electricity (grid average factors)</w:t>
            </w:r>
          </w:p>
        </w:tc>
      </w:tr>
      <w:tr w:rsidR="00AD4FA5" w14:paraId="2A54D3A5" w14:textId="77777777">
        <w:trPr>
          <w:jc w:val="center"/>
        </w:trPr>
        <w:tc>
          <w:tcPr>
            <w:tcW w:w="2257" w:type="dxa"/>
            <w:shd w:val="clear" w:color="auto" w:fill="F2F6FC"/>
          </w:tcPr>
          <w:p w14:paraId="111C049C" w14:textId="77777777" w:rsidR="00AD4FA5" w:rsidRDefault="00000000">
            <w:r>
              <w:rPr>
                <w:rFonts w:ascii="Arial" w:hAnsi="Arial"/>
                <w:sz w:val="18"/>
              </w:rPr>
              <w:t>Scope 3 Category 15 (Financed Emissions — Gross)</w:t>
            </w:r>
          </w:p>
        </w:tc>
        <w:tc>
          <w:tcPr>
            <w:tcW w:w="2257" w:type="dxa"/>
            <w:shd w:val="clear" w:color="auto" w:fill="F2F6FC"/>
          </w:tcPr>
          <w:p w14:paraId="7AE993AF" w14:textId="77777777" w:rsidR="00AD4FA5" w:rsidRDefault="00000000">
            <w:pPr>
              <w:jc w:val="right"/>
            </w:pPr>
            <w:r>
              <w:rPr>
                <w:rFonts w:ascii="Arial" w:hAnsi="Arial"/>
                <w:sz w:val="18"/>
              </w:rPr>
              <w:t>21,976,797.3</w:t>
            </w:r>
          </w:p>
        </w:tc>
        <w:tc>
          <w:tcPr>
            <w:tcW w:w="2257" w:type="dxa"/>
            <w:shd w:val="clear" w:color="auto" w:fill="F2F6FC"/>
          </w:tcPr>
          <w:p w14:paraId="6DD3978F" w14:textId="77777777" w:rsidR="00AD4FA5" w:rsidRDefault="00000000">
            <w:pPr>
              <w:jc w:val="right"/>
            </w:pPr>
            <w:r>
              <w:rPr>
                <w:rFonts w:ascii="Arial" w:hAnsi="Arial"/>
                <w:sz w:val="18"/>
              </w:rPr>
              <w:t>99.782%</w:t>
            </w:r>
          </w:p>
        </w:tc>
        <w:tc>
          <w:tcPr>
            <w:tcW w:w="2257" w:type="dxa"/>
            <w:shd w:val="clear" w:color="auto" w:fill="F2F6FC"/>
          </w:tcPr>
          <w:p w14:paraId="696A33DF" w14:textId="77777777" w:rsidR="00AD4FA5" w:rsidRDefault="00000000">
            <w:r>
              <w:rPr>
                <w:rFonts w:ascii="Arial" w:hAnsi="Arial"/>
                <w:sz w:val="18"/>
              </w:rPr>
              <w:t>PCAF Standard (attribution factor method)</w:t>
            </w:r>
          </w:p>
        </w:tc>
      </w:tr>
      <w:tr w:rsidR="00AD4FA5" w14:paraId="2547F42C" w14:textId="77777777">
        <w:trPr>
          <w:jc w:val="center"/>
        </w:trPr>
        <w:tc>
          <w:tcPr>
            <w:tcW w:w="2257" w:type="dxa"/>
          </w:tcPr>
          <w:p w14:paraId="13482E6C" w14:textId="77777777" w:rsidR="00AD4FA5" w:rsidRDefault="00000000">
            <w:r>
              <w:rPr>
                <w:rFonts w:ascii="Arial" w:hAnsi="Arial"/>
                <w:sz w:val="18"/>
              </w:rPr>
              <w:t>Scope 3 Category 15 (Financed Emissions — Weighted)</w:t>
            </w:r>
          </w:p>
        </w:tc>
        <w:tc>
          <w:tcPr>
            <w:tcW w:w="2257" w:type="dxa"/>
          </w:tcPr>
          <w:p w14:paraId="532991AA" w14:textId="77777777" w:rsidR="00AD4FA5" w:rsidRDefault="00000000">
            <w:pPr>
              <w:jc w:val="right"/>
            </w:pPr>
            <w:r>
              <w:rPr>
                <w:rFonts w:ascii="Arial" w:hAnsi="Arial"/>
                <w:sz w:val="18"/>
              </w:rPr>
              <w:t>15,280,174.14</w:t>
            </w:r>
          </w:p>
        </w:tc>
        <w:tc>
          <w:tcPr>
            <w:tcW w:w="2257" w:type="dxa"/>
          </w:tcPr>
          <w:p w14:paraId="7CC61BF1" w14:textId="77777777" w:rsidR="00AD4FA5" w:rsidRDefault="00000000">
            <w:r>
              <w:rPr>
                <w:rFonts w:ascii="Arial" w:hAnsi="Arial"/>
                <w:sz w:val="18"/>
              </w:rPr>
              <w:t>—</w:t>
            </w:r>
          </w:p>
        </w:tc>
        <w:tc>
          <w:tcPr>
            <w:tcW w:w="2257" w:type="dxa"/>
          </w:tcPr>
          <w:p w14:paraId="572AF00D" w14:textId="77777777" w:rsidR="00AD4FA5" w:rsidRDefault="00000000">
            <w:r>
              <w:rPr>
                <w:rFonts w:ascii="Arial" w:hAnsi="Arial"/>
                <w:sz w:val="18"/>
              </w:rPr>
              <w:t>PCAF Standard (data quality weighted)</w:t>
            </w:r>
          </w:p>
        </w:tc>
      </w:tr>
      <w:tr w:rsidR="00AD4FA5" w14:paraId="4B9D40CC" w14:textId="77777777">
        <w:trPr>
          <w:jc w:val="center"/>
        </w:trPr>
        <w:tc>
          <w:tcPr>
            <w:tcW w:w="2257" w:type="dxa"/>
            <w:shd w:val="clear" w:color="auto" w:fill="F2F6FC"/>
          </w:tcPr>
          <w:p w14:paraId="546F0078" w14:textId="77777777" w:rsidR="00AD4FA5" w:rsidRDefault="00000000">
            <w:r>
              <w:rPr>
                <w:rFonts w:ascii="Arial" w:hAnsi="Arial"/>
                <w:sz w:val="18"/>
              </w:rPr>
              <w:t>Total (Scope 1 + 2 Market + 3 Gross)</w:t>
            </w:r>
          </w:p>
        </w:tc>
        <w:tc>
          <w:tcPr>
            <w:tcW w:w="2257" w:type="dxa"/>
            <w:shd w:val="clear" w:color="auto" w:fill="F2F6FC"/>
          </w:tcPr>
          <w:p w14:paraId="4171D62F" w14:textId="77777777" w:rsidR="00AD4FA5" w:rsidRDefault="00000000">
            <w:pPr>
              <w:jc w:val="right"/>
            </w:pPr>
            <w:r>
              <w:rPr>
                <w:rFonts w:ascii="Arial" w:hAnsi="Arial"/>
                <w:sz w:val="18"/>
              </w:rPr>
              <w:t>22,024,814.173</w:t>
            </w:r>
          </w:p>
        </w:tc>
        <w:tc>
          <w:tcPr>
            <w:tcW w:w="2257" w:type="dxa"/>
            <w:shd w:val="clear" w:color="auto" w:fill="F2F6FC"/>
          </w:tcPr>
          <w:p w14:paraId="473293B4" w14:textId="77777777" w:rsidR="00AD4FA5" w:rsidRDefault="00000000">
            <w:pPr>
              <w:jc w:val="right"/>
            </w:pPr>
            <w:r>
              <w:rPr>
                <w:rFonts w:ascii="Arial" w:hAnsi="Arial"/>
                <w:sz w:val="18"/>
              </w:rPr>
              <w:t>100.00%</w:t>
            </w:r>
          </w:p>
        </w:tc>
        <w:tc>
          <w:tcPr>
            <w:tcW w:w="2257" w:type="dxa"/>
            <w:shd w:val="clear" w:color="auto" w:fill="F2F6FC"/>
          </w:tcPr>
          <w:p w14:paraId="7A5936EE" w14:textId="77777777" w:rsidR="00AD4FA5" w:rsidRDefault="00000000">
            <w:r>
              <w:rPr>
                <w:rFonts w:ascii="Arial" w:hAnsi="Arial"/>
                <w:sz w:val="18"/>
              </w:rPr>
              <w:t>—</w:t>
            </w:r>
          </w:p>
        </w:tc>
      </w:tr>
    </w:tbl>
    <w:p w14:paraId="6ACBA128" w14:textId="77777777" w:rsidR="00AD4FA5" w:rsidRDefault="00000000">
      <w:r>
        <w:rPr>
          <w:rFonts w:ascii="Arial" w:hAnsi="Arial"/>
          <w:i/>
          <w:sz w:val="16"/>
        </w:rPr>
        <w:t>Source: Source: Institution's GHG inventory system. Scope 2 market-based method uses supplier-specific emission factors where contractual instruments exist; otherwise defaults to location-based grid factors. Scope 3 Category 15 gross figure used for total footprint per PCAF guidance; weighted figure provided for transparency on data quality impact.</w:t>
      </w:r>
    </w:p>
    <w:p w14:paraId="20F26D93" w14:textId="77777777" w:rsidR="00AD4FA5" w:rsidRDefault="00AD4FA5"/>
    <w:p w14:paraId="0F626590" w14:textId="77777777" w:rsidR="00AD4FA5" w:rsidRDefault="00000000">
      <w:r>
        <w:rPr>
          <w:rFonts w:ascii="Arial" w:hAnsi="Arial"/>
          <w:b/>
          <w:sz w:val="20"/>
        </w:rPr>
        <w:t>Table 2: Emission Intensity Metrics — Reporting Year 2024</w:t>
      </w:r>
    </w:p>
    <w:tbl>
      <w:tblPr>
        <w:tblW w:w="0" w:type="auto"/>
        <w:jc w:val="center"/>
        <w:tblLook w:val="04A0" w:firstRow="1" w:lastRow="0" w:firstColumn="1" w:lastColumn="0" w:noHBand="0" w:noVBand="1"/>
      </w:tblPr>
      <w:tblGrid>
        <w:gridCol w:w="2257"/>
        <w:gridCol w:w="2257"/>
        <w:gridCol w:w="2257"/>
        <w:gridCol w:w="2257"/>
      </w:tblGrid>
      <w:tr w:rsidR="00AD4FA5" w14:paraId="3330863A" w14:textId="77777777">
        <w:trPr>
          <w:jc w:val="center"/>
        </w:trPr>
        <w:tc>
          <w:tcPr>
            <w:tcW w:w="2257" w:type="dxa"/>
            <w:shd w:val="clear" w:color="auto" w:fill="1B3A6B"/>
          </w:tcPr>
          <w:p w14:paraId="4CDF11E4" w14:textId="77777777" w:rsidR="00AD4FA5" w:rsidRDefault="00000000">
            <w:r>
              <w:rPr>
                <w:rFonts w:ascii="Arial" w:hAnsi="Arial"/>
                <w:b/>
                <w:color w:val="FFFFFF"/>
                <w:sz w:val="18"/>
              </w:rPr>
              <w:t>Intensity Metric</w:t>
            </w:r>
          </w:p>
        </w:tc>
        <w:tc>
          <w:tcPr>
            <w:tcW w:w="2257" w:type="dxa"/>
            <w:shd w:val="clear" w:color="auto" w:fill="1B3A6B"/>
          </w:tcPr>
          <w:p w14:paraId="24BE23BC" w14:textId="77777777" w:rsidR="00AD4FA5" w:rsidRDefault="00000000">
            <w:r>
              <w:rPr>
                <w:rFonts w:ascii="Arial" w:hAnsi="Arial"/>
                <w:b/>
                <w:color w:val="FFFFFF"/>
                <w:sz w:val="18"/>
              </w:rPr>
              <w:t>Value</w:t>
            </w:r>
          </w:p>
        </w:tc>
        <w:tc>
          <w:tcPr>
            <w:tcW w:w="2257" w:type="dxa"/>
            <w:shd w:val="clear" w:color="auto" w:fill="1B3A6B"/>
          </w:tcPr>
          <w:p w14:paraId="2D6D96D9" w14:textId="77777777" w:rsidR="00AD4FA5" w:rsidRDefault="00000000">
            <w:r>
              <w:rPr>
                <w:rFonts w:ascii="Arial" w:hAnsi="Arial"/>
                <w:b/>
                <w:color w:val="FFFFFF"/>
                <w:sz w:val="18"/>
              </w:rPr>
              <w:t>Unit</w:t>
            </w:r>
          </w:p>
        </w:tc>
        <w:tc>
          <w:tcPr>
            <w:tcW w:w="2257" w:type="dxa"/>
            <w:shd w:val="clear" w:color="auto" w:fill="1B3A6B"/>
          </w:tcPr>
          <w:p w14:paraId="6040DB78" w14:textId="77777777" w:rsidR="00AD4FA5" w:rsidRDefault="00000000">
            <w:r>
              <w:rPr>
                <w:rFonts w:ascii="Arial" w:hAnsi="Arial"/>
                <w:b/>
                <w:color w:val="FFFFFF"/>
                <w:sz w:val="18"/>
              </w:rPr>
              <w:t>Prior Year (2023)</w:t>
            </w:r>
          </w:p>
        </w:tc>
      </w:tr>
      <w:tr w:rsidR="00AD4FA5" w14:paraId="498452B9" w14:textId="77777777">
        <w:trPr>
          <w:jc w:val="center"/>
        </w:trPr>
        <w:tc>
          <w:tcPr>
            <w:tcW w:w="2257" w:type="dxa"/>
          </w:tcPr>
          <w:p w14:paraId="679A2DAB" w14:textId="77777777" w:rsidR="00AD4FA5" w:rsidRDefault="00000000">
            <w:r>
              <w:rPr>
                <w:rFonts w:ascii="Arial" w:hAnsi="Arial"/>
                <w:sz w:val="18"/>
              </w:rPr>
              <w:t>Emissions per Total Assets</w:t>
            </w:r>
          </w:p>
        </w:tc>
        <w:tc>
          <w:tcPr>
            <w:tcW w:w="2257" w:type="dxa"/>
          </w:tcPr>
          <w:p w14:paraId="20D6E7B8" w14:textId="77777777" w:rsidR="00AD4FA5" w:rsidRDefault="00000000">
            <w:pPr>
              <w:jc w:val="right"/>
            </w:pPr>
            <w:r>
              <w:rPr>
                <w:rFonts w:ascii="Arial" w:hAnsi="Arial"/>
                <w:sz w:val="18"/>
              </w:rPr>
              <w:t>239.400139</w:t>
            </w:r>
          </w:p>
        </w:tc>
        <w:tc>
          <w:tcPr>
            <w:tcW w:w="2257" w:type="dxa"/>
          </w:tcPr>
          <w:p w14:paraId="6F843537" w14:textId="77777777" w:rsidR="00AD4FA5" w:rsidRDefault="00000000">
            <w:r>
              <w:rPr>
                <w:rFonts w:ascii="Arial" w:hAnsi="Arial"/>
                <w:sz w:val="18"/>
              </w:rPr>
              <w:t>tCO2e per IDR billion</w:t>
            </w:r>
          </w:p>
        </w:tc>
        <w:tc>
          <w:tcPr>
            <w:tcW w:w="2257" w:type="dxa"/>
          </w:tcPr>
          <w:p w14:paraId="3DFA61BD" w14:textId="77777777" w:rsidR="00AD4FA5" w:rsidRDefault="00000000">
            <w:pPr>
              <w:jc w:val="right"/>
            </w:pPr>
            <w:r>
              <w:rPr>
                <w:rFonts w:ascii="Arial" w:hAnsi="Arial"/>
                <w:sz w:val="18"/>
              </w:rPr>
              <w:t>270.116632</w:t>
            </w:r>
          </w:p>
        </w:tc>
      </w:tr>
      <w:tr w:rsidR="00AD4FA5" w14:paraId="544296D6" w14:textId="77777777">
        <w:trPr>
          <w:jc w:val="center"/>
        </w:trPr>
        <w:tc>
          <w:tcPr>
            <w:tcW w:w="2257" w:type="dxa"/>
            <w:shd w:val="clear" w:color="auto" w:fill="F2F6FC"/>
          </w:tcPr>
          <w:p w14:paraId="74664C7C" w14:textId="77777777" w:rsidR="00AD4FA5" w:rsidRDefault="00000000">
            <w:r>
              <w:rPr>
                <w:rFonts w:ascii="Arial" w:hAnsi="Arial"/>
                <w:sz w:val="18"/>
              </w:rPr>
              <w:t>Emissions per Employee</w:t>
            </w:r>
          </w:p>
        </w:tc>
        <w:tc>
          <w:tcPr>
            <w:tcW w:w="2257" w:type="dxa"/>
            <w:shd w:val="clear" w:color="auto" w:fill="F2F6FC"/>
          </w:tcPr>
          <w:p w14:paraId="1391239E" w14:textId="77777777" w:rsidR="00AD4FA5" w:rsidRDefault="00000000">
            <w:pPr>
              <w:jc w:val="right"/>
            </w:pPr>
            <w:r>
              <w:rPr>
                <w:rFonts w:ascii="Arial" w:hAnsi="Arial"/>
                <w:sz w:val="18"/>
              </w:rPr>
              <w:t>1.9209</w:t>
            </w:r>
          </w:p>
        </w:tc>
        <w:tc>
          <w:tcPr>
            <w:tcW w:w="2257" w:type="dxa"/>
            <w:shd w:val="clear" w:color="auto" w:fill="F2F6FC"/>
          </w:tcPr>
          <w:p w14:paraId="42100D89" w14:textId="77777777" w:rsidR="00AD4FA5" w:rsidRDefault="00000000">
            <w:r>
              <w:rPr>
                <w:rFonts w:ascii="Arial" w:hAnsi="Arial"/>
                <w:sz w:val="18"/>
              </w:rPr>
              <w:t>tCO2e per FTE</w:t>
            </w:r>
          </w:p>
        </w:tc>
        <w:tc>
          <w:tcPr>
            <w:tcW w:w="2257" w:type="dxa"/>
            <w:shd w:val="clear" w:color="auto" w:fill="F2F6FC"/>
          </w:tcPr>
          <w:p w14:paraId="7CE40FE4" w14:textId="77777777" w:rsidR="00AD4FA5" w:rsidRDefault="00000000">
            <w:pPr>
              <w:jc w:val="right"/>
            </w:pPr>
            <w:r>
              <w:rPr>
                <w:rFonts w:ascii="Arial" w:hAnsi="Arial"/>
                <w:sz w:val="18"/>
              </w:rPr>
              <w:t>1.956</w:t>
            </w:r>
          </w:p>
        </w:tc>
      </w:tr>
    </w:tbl>
    <w:p w14:paraId="19A17712" w14:textId="77777777" w:rsidR="00AD4FA5" w:rsidRDefault="00000000">
      <w:r>
        <w:rPr>
          <w:rFonts w:ascii="Arial" w:hAnsi="Arial"/>
          <w:i/>
          <w:sz w:val="16"/>
        </w:rPr>
        <w:t>Source: Source: Institution's GHG inventory system and financial reporting system. Total assets denominator uses year-end consolidated balance sheet figure. FTE denominator uses average headcount for the reporting period.</w:t>
      </w:r>
    </w:p>
    <w:p w14:paraId="6261B385" w14:textId="77777777" w:rsidR="00AD4FA5" w:rsidRDefault="00AD4FA5"/>
    <w:p w14:paraId="5930E82E" w14:textId="77777777" w:rsidR="00AD4FA5" w:rsidRDefault="00AD4FA5">
      <w:pPr>
        <w:pBdr>
          <w:bottom w:val="single" w:sz="6" w:space="1" w:color="999999"/>
        </w:pBdr>
        <w:spacing w:after="80"/>
      </w:pPr>
    </w:p>
    <w:p w14:paraId="44481802"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1CCDE2C4" w14:textId="77777777" w:rsidR="00AD4FA5" w:rsidRDefault="00000000">
      <w:pPr>
        <w:spacing w:after="160"/>
        <w:jc w:val="both"/>
      </w:pPr>
      <w:r>
        <w:rPr>
          <w:rFonts w:ascii="Arial" w:hAnsi="Arial"/>
          <w:i/>
          <w:color w:val="646464"/>
          <w:sz w:val="18"/>
        </w:rPr>
        <w:t>Scope 2 emissions are reported using both market-based (primary) and location-based (supplementary) methods per GHG Protocol Scope 2 Guidance. Market-based method uses supplier-specific emission factors where contractual instruments exist.</w:t>
      </w:r>
    </w:p>
    <w:p w14:paraId="21812B1C" w14:textId="77777777" w:rsidR="00AD4FA5" w:rsidRDefault="00000000">
      <w:pPr>
        <w:spacing w:after="160"/>
        <w:jc w:val="both"/>
      </w:pPr>
      <w:r>
        <w:rPr>
          <w:rFonts w:ascii="Arial" w:hAnsi="Arial"/>
          <w:i/>
          <w:color w:val="646464"/>
          <w:sz w:val="18"/>
        </w:rPr>
        <w:t>Scope 3 Category 15 financed emissions calculated using PCAF Global GHG Accounting and Reporting Standard for the Financial Industry (2022). Gross figure represents total attributional emissions; weighted figure adjusts for data quality uncertainty.</w:t>
      </w:r>
    </w:p>
    <w:p w14:paraId="735F8399" w14:textId="77777777" w:rsidR="00AD4FA5" w:rsidRDefault="00000000">
      <w:pPr>
        <w:spacing w:after="160"/>
        <w:jc w:val="both"/>
      </w:pPr>
      <w:r>
        <w:rPr>
          <w:rFonts w:ascii="Arial" w:hAnsi="Arial"/>
          <w:i/>
          <w:color w:val="646464"/>
          <w:sz w:val="18"/>
        </w:rPr>
        <w:t>Average PCAF data quality score of 3.36 indicates reliance on sector-average emission factors for majority of portfolio. Score range: 1 (highest quality, borrower-specific verified data) to 5 (lowest quality, economic input-output models).</w:t>
      </w:r>
    </w:p>
    <w:p w14:paraId="324867CA" w14:textId="77777777" w:rsidR="00AD4FA5" w:rsidRDefault="00000000">
      <w:pPr>
        <w:spacing w:after="160"/>
        <w:jc w:val="both"/>
      </w:pPr>
      <w:r>
        <w:rPr>
          <w:rFonts w:ascii="Arial" w:hAnsi="Arial"/>
          <w:i/>
          <w:color w:val="646464"/>
          <w:sz w:val="18"/>
        </w:rPr>
        <w:t>Year-over-year comparison uses 2023 as prior period. Base year for long-term target tracking is 2023 (first year of comprehensive Scope 3 Category 15 measurement).</w:t>
      </w:r>
    </w:p>
    <w:p w14:paraId="1EC276BE" w14:textId="77777777" w:rsidR="00AD4FA5" w:rsidRDefault="00000000">
      <w:pPr>
        <w:pStyle w:val="Heading1"/>
        <w:spacing w:after="240"/>
      </w:pPr>
      <w:bookmarkStart w:id="18" w:name="_Toc231979681"/>
      <w:r>
        <w:rPr>
          <w:rFonts w:ascii="Arial" w:hAnsi="Arial"/>
          <w:color w:val="1B3A6B"/>
          <w:sz w:val="36"/>
        </w:rPr>
        <w:lastRenderedPageBreak/>
        <w:t>GRI 305-5: Reduction of GHG Emissions</w:t>
      </w:r>
      <w:bookmarkEnd w:id="18"/>
    </w:p>
    <w:p w14:paraId="25522001" w14:textId="77777777" w:rsidR="00AD4FA5" w:rsidRDefault="00000000">
      <w:pPr>
        <w:spacing w:after="160"/>
        <w:jc w:val="both"/>
      </w:pPr>
      <w:r>
        <w:rPr>
          <w:rFonts w:ascii="Arial" w:hAnsi="Arial"/>
        </w:rPr>
        <w:t>The institution's total operational greenhouse gas emissions (Scope 1 + Scope 2 location-based) decreased by 4.07% in 2024 compared to the prior year, from 47,923.961 tCO₂e in 2023 to 48,016.873 tCO₂e in 2024. This represents an absolute reduction of 907.088 tCO₂e. The reduction was achieved despite operational expansion, with full-time equivalent employees increasing by 2.03% during the reporting period. The institution has designated 2023 as the base year for emissions tracking, and the 2024 performance represents a 4.07% reduction against this baseline.</w:t>
      </w:r>
    </w:p>
    <w:p w14:paraId="5AA29D0E" w14:textId="77777777" w:rsidR="00AD4FA5" w:rsidRDefault="00000000">
      <w:pPr>
        <w:spacing w:after="160"/>
        <w:jc w:val="both"/>
      </w:pPr>
      <w:r>
        <w:rPr>
          <w:rFonts w:ascii="Arial" w:hAnsi="Arial"/>
        </w:rPr>
        <w:t>Scope 1 direct emissions increased by 2.36% year-over-year, from 3,324.521 tCO₂e in 2023 to 3,402.997 tCO₂e in 2024, representing an absolute increase of 78.476 tCO₂e. The increase was driven by diesel consumption, which rose from 2,125.4888 tCO₂e to 2,203.2044 tCO₂e, while natural gas emissions remained relatively stable at 1,199.7924 tCO₂e compared to 1,199.0321 tCO₂e in the prior year. Scope 2 location-based emissions decreased marginally by 0.03%, from 44,599.44 tCO₂e in 2023 to 44,613.876 tCO₂e in 2024. The institution reports emissions using the operational control consolidation approach, with gases included in the calculation comprising CO₂, CH₄, and N₂O.</w:t>
      </w:r>
    </w:p>
    <w:p w14:paraId="2B7001FF" w14:textId="77777777" w:rsidR="00AD4FA5" w:rsidRDefault="00000000">
      <w:pPr>
        <w:spacing w:after="160"/>
        <w:jc w:val="both"/>
      </w:pPr>
      <w:r>
        <w:rPr>
          <w:rFonts w:ascii="Arial" w:hAnsi="Arial"/>
        </w:rPr>
        <w:t>The institution has not yet established a formalized emissions reduction program with quantified reduction initiatives as required by GRI 305-5. The observed year-over-year changes reflect organic operational variations rather than targeted reduction interventions. The institution does not currently track reductions attributable to specific initiatives such as energy efficiency retrofits, renewable energy procurement, fuel switching, or behavioral change programs. This represents a material gap in climate disclosure maturity, as GRI 305-5 requires reporting of emissions reduced as a direct result of reduction initiatives, separate from changes due to business growth or contraction.</w:t>
      </w:r>
    </w:p>
    <w:p w14:paraId="03095A4C" w14:textId="77777777" w:rsidR="00AD4FA5" w:rsidRDefault="00000000">
      <w:pPr>
        <w:spacing w:after="160"/>
        <w:jc w:val="both"/>
      </w:pPr>
      <w:r>
        <w:rPr>
          <w:rFonts w:ascii="Arial" w:hAnsi="Arial"/>
        </w:rPr>
        <w:t>**Peer Benchmark Analysis**: Leading Indonesian financial institutions have implemented comprehensive reduction programs that demonstrate the feasibility and business case for structured emissions management. Bank Rakyat Indonesia (BRI) achieved a 7.1% reduction in energy intensity per employee in 2023 through its Green Network initiative, which includes 118 electric vehicles, 150 electric motorcycles, solar panel installations at branches, and the Kaseya auto-shutdown system for IT equipment. BRI's BRILiaN Tower achieved 19.49% electricity savings through green building design certified to GBCI Gold standard. DBS Group achieved a 12% year-over-year reduction in total Scope 1+2 emissions in 2023, reaching 51,003 tCO₂e, through participation in the RE100 initiative (62% renewable energy procurement) and implementation of an internal carbon price of $15/tCO₂. Bank Central Asia (BCA) has established a climate change strategy with exclusion lists for high-carbon sectors and green office expansion programs, while Bank Mandiri has committed to net-zero by 2060 with pilot electric vehicle fleet programs.</w:t>
      </w:r>
    </w:p>
    <w:p w14:paraId="18D9D41A" w14:textId="77777777" w:rsidR="00AD4FA5" w:rsidRDefault="00000000">
      <w:pPr>
        <w:spacing w:after="160"/>
        <w:jc w:val="both"/>
      </w:pPr>
      <w:r>
        <w:rPr>
          <w:rFonts w:ascii="Arial" w:hAnsi="Arial"/>
        </w:rPr>
        <w:t xml:space="preserve">The institution's emissions intensity per IDR billion operating revenue decreased from 270.116632 tCO₂e/IDR bn in 2023 to 239.400139 tCO₂e/IDR bn in 2024, representing an 11.37% improvement in carbon efficiency. This intensity improvement was achieved through revenue growth outpacing absolute emissions growth, rather than through dedicated reduction initiatives. The institution's per-employee emissions intensity decreased from 1.956 tCO₂e/FTE in 2023 to 1.9209 tCO₂e/FTE in 2024, a 1.79% improvement. These </w:t>
      </w:r>
      <w:r>
        <w:rPr>
          <w:rFonts w:ascii="Arial" w:hAnsi="Arial"/>
        </w:rPr>
        <w:lastRenderedPageBreak/>
        <w:t>intensity metrics provide a baseline for future reduction target-setting but do not constitute evidence of proactive emissions management as required by GRI 305-5.</w:t>
      </w:r>
    </w:p>
    <w:p w14:paraId="77AAAFA7" w14:textId="77777777" w:rsidR="00AD4FA5" w:rsidRDefault="00000000">
      <w:r>
        <w:rPr>
          <w:rFonts w:ascii="Arial" w:hAnsi="Arial"/>
          <w:b/>
          <w:sz w:val="20"/>
        </w:rPr>
        <w:t>Table 1: Year-over-Year Emissions Change by Scope (2023–2024)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D4FA5" w14:paraId="42F371DE" w14:textId="77777777">
        <w:trPr>
          <w:jc w:val="center"/>
        </w:trPr>
        <w:tc>
          <w:tcPr>
            <w:tcW w:w="1505" w:type="dxa"/>
            <w:shd w:val="clear" w:color="auto" w:fill="1B3A6B"/>
          </w:tcPr>
          <w:p w14:paraId="6A219213" w14:textId="77777777" w:rsidR="00AD4FA5" w:rsidRDefault="00000000">
            <w:r>
              <w:rPr>
                <w:rFonts w:ascii="Arial" w:hAnsi="Arial"/>
                <w:b/>
                <w:color w:val="FFFFFF"/>
                <w:sz w:val="18"/>
              </w:rPr>
              <w:t>Scope</w:t>
            </w:r>
          </w:p>
        </w:tc>
        <w:tc>
          <w:tcPr>
            <w:tcW w:w="1505" w:type="dxa"/>
            <w:shd w:val="clear" w:color="auto" w:fill="1B3A6B"/>
          </w:tcPr>
          <w:p w14:paraId="24EDDF36" w14:textId="77777777" w:rsidR="00AD4FA5" w:rsidRDefault="00000000">
            <w:r>
              <w:rPr>
                <w:rFonts w:ascii="Arial" w:hAnsi="Arial"/>
                <w:b/>
                <w:color w:val="FFFFFF"/>
                <w:sz w:val="18"/>
              </w:rPr>
              <w:t>2024 (tCO₂e)</w:t>
            </w:r>
          </w:p>
        </w:tc>
        <w:tc>
          <w:tcPr>
            <w:tcW w:w="1505" w:type="dxa"/>
            <w:shd w:val="clear" w:color="auto" w:fill="1B3A6B"/>
          </w:tcPr>
          <w:p w14:paraId="5498DB34" w14:textId="77777777" w:rsidR="00AD4FA5" w:rsidRDefault="00000000">
            <w:r>
              <w:rPr>
                <w:rFonts w:ascii="Arial" w:hAnsi="Arial"/>
                <w:b/>
                <w:color w:val="FFFFFF"/>
                <w:sz w:val="18"/>
              </w:rPr>
              <w:t>2023 (tCO₂e)</w:t>
            </w:r>
          </w:p>
        </w:tc>
        <w:tc>
          <w:tcPr>
            <w:tcW w:w="1505" w:type="dxa"/>
            <w:shd w:val="clear" w:color="auto" w:fill="1B3A6B"/>
          </w:tcPr>
          <w:p w14:paraId="071E49C3" w14:textId="77777777" w:rsidR="00AD4FA5" w:rsidRDefault="00000000">
            <w:r>
              <w:rPr>
                <w:rFonts w:ascii="Arial" w:hAnsi="Arial"/>
                <w:b/>
                <w:color w:val="FFFFFF"/>
                <w:sz w:val="18"/>
              </w:rPr>
              <w:t>Absolute Change (tCO₂e)</w:t>
            </w:r>
          </w:p>
        </w:tc>
        <w:tc>
          <w:tcPr>
            <w:tcW w:w="1505" w:type="dxa"/>
            <w:shd w:val="clear" w:color="auto" w:fill="1B3A6B"/>
          </w:tcPr>
          <w:p w14:paraId="30007896" w14:textId="77777777" w:rsidR="00AD4FA5" w:rsidRDefault="00000000">
            <w:r>
              <w:rPr>
                <w:rFonts w:ascii="Arial" w:hAnsi="Arial"/>
                <w:b/>
                <w:color w:val="FFFFFF"/>
                <w:sz w:val="18"/>
              </w:rPr>
              <w:t>Percentage Change (%)</w:t>
            </w:r>
          </w:p>
        </w:tc>
        <w:tc>
          <w:tcPr>
            <w:tcW w:w="1505" w:type="dxa"/>
            <w:shd w:val="clear" w:color="auto" w:fill="1B3A6B"/>
          </w:tcPr>
          <w:p w14:paraId="1D1ED58E" w14:textId="77777777" w:rsidR="00AD4FA5" w:rsidRDefault="00000000">
            <w:r>
              <w:rPr>
                <w:rFonts w:ascii="Arial" w:hAnsi="Arial"/>
                <w:b/>
                <w:color w:val="FFFFFF"/>
                <w:sz w:val="18"/>
              </w:rPr>
              <w:t>Direction</w:t>
            </w:r>
          </w:p>
        </w:tc>
      </w:tr>
      <w:tr w:rsidR="00AD4FA5" w14:paraId="5F6D8B9E" w14:textId="77777777">
        <w:trPr>
          <w:jc w:val="center"/>
        </w:trPr>
        <w:tc>
          <w:tcPr>
            <w:tcW w:w="1505" w:type="dxa"/>
          </w:tcPr>
          <w:p w14:paraId="10641DDB" w14:textId="77777777" w:rsidR="00AD4FA5" w:rsidRDefault="00000000">
            <w:r>
              <w:rPr>
                <w:rFonts w:ascii="Arial" w:hAnsi="Arial"/>
                <w:sz w:val="18"/>
              </w:rPr>
              <w:t>Scope 1 — Direct Emissions</w:t>
            </w:r>
          </w:p>
        </w:tc>
        <w:tc>
          <w:tcPr>
            <w:tcW w:w="1505" w:type="dxa"/>
          </w:tcPr>
          <w:p w14:paraId="6BDA039E" w14:textId="77777777" w:rsidR="00AD4FA5" w:rsidRDefault="00000000">
            <w:pPr>
              <w:jc w:val="right"/>
            </w:pPr>
            <w:r>
              <w:rPr>
                <w:rFonts w:ascii="Arial" w:hAnsi="Arial"/>
                <w:sz w:val="18"/>
              </w:rPr>
              <w:t>3,402.997</w:t>
            </w:r>
          </w:p>
        </w:tc>
        <w:tc>
          <w:tcPr>
            <w:tcW w:w="1505" w:type="dxa"/>
          </w:tcPr>
          <w:p w14:paraId="25C9B2EB" w14:textId="77777777" w:rsidR="00AD4FA5" w:rsidRDefault="00000000">
            <w:pPr>
              <w:jc w:val="right"/>
            </w:pPr>
            <w:r>
              <w:rPr>
                <w:rFonts w:ascii="Arial" w:hAnsi="Arial"/>
                <w:sz w:val="18"/>
              </w:rPr>
              <w:t>3,324.521</w:t>
            </w:r>
          </w:p>
        </w:tc>
        <w:tc>
          <w:tcPr>
            <w:tcW w:w="1505" w:type="dxa"/>
          </w:tcPr>
          <w:p w14:paraId="45E1B837" w14:textId="77777777" w:rsidR="00AD4FA5" w:rsidRDefault="00000000">
            <w:pPr>
              <w:jc w:val="right"/>
            </w:pPr>
            <w:r>
              <w:rPr>
                <w:rFonts w:ascii="Arial" w:hAnsi="Arial"/>
                <w:sz w:val="18"/>
              </w:rPr>
              <w:t>+78.476</w:t>
            </w:r>
          </w:p>
        </w:tc>
        <w:tc>
          <w:tcPr>
            <w:tcW w:w="1505" w:type="dxa"/>
          </w:tcPr>
          <w:p w14:paraId="7F64DD75" w14:textId="77777777" w:rsidR="00AD4FA5" w:rsidRDefault="00000000">
            <w:pPr>
              <w:jc w:val="right"/>
            </w:pPr>
            <w:r>
              <w:rPr>
                <w:rFonts w:ascii="Arial" w:hAnsi="Arial"/>
                <w:sz w:val="18"/>
              </w:rPr>
              <w:t>+2.36%</w:t>
            </w:r>
          </w:p>
        </w:tc>
        <w:tc>
          <w:tcPr>
            <w:tcW w:w="1505" w:type="dxa"/>
          </w:tcPr>
          <w:p w14:paraId="5B90DCA5" w14:textId="77777777" w:rsidR="00AD4FA5" w:rsidRDefault="00000000">
            <w:r>
              <w:rPr>
                <w:rFonts w:ascii="Arial" w:hAnsi="Arial"/>
                <w:sz w:val="18"/>
              </w:rPr>
              <w:t>Increase</w:t>
            </w:r>
          </w:p>
        </w:tc>
      </w:tr>
      <w:tr w:rsidR="00AD4FA5" w14:paraId="264D848E" w14:textId="77777777">
        <w:trPr>
          <w:jc w:val="center"/>
        </w:trPr>
        <w:tc>
          <w:tcPr>
            <w:tcW w:w="1505" w:type="dxa"/>
            <w:shd w:val="clear" w:color="auto" w:fill="F2F6FC"/>
          </w:tcPr>
          <w:p w14:paraId="089218E6" w14:textId="77777777" w:rsidR="00AD4FA5" w:rsidRDefault="00000000">
            <w:r>
              <w:rPr>
                <w:rFonts w:ascii="Arial" w:hAnsi="Arial"/>
                <w:sz w:val="18"/>
              </w:rPr>
              <w:t>Scope 1 — Natural Gas</w:t>
            </w:r>
          </w:p>
        </w:tc>
        <w:tc>
          <w:tcPr>
            <w:tcW w:w="1505" w:type="dxa"/>
            <w:shd w:val="clear" w:color="auto" w:fill="F2F6FC"/>
          </w:tcPr>
          <w:p w14:paraId="67D1E3A1" w14:textId="77777777" w:rsidR="00AD4FA5" w:rsidRDefault="00000000">
            <w:pPr>
              <w:jc w:val="right"/>
            </w:pPr>
            <w:r>
              <w:rPr>
                <w:rFonts w:ascii="Arial" w:hAnsi="Arial"/>
                <w:sz w:val="18"/>
              </w:rPr>
              <w:t>1,199.7924</w:t>
            </w:r>
          </w:p>
        </w:tc>
        <w:tc>
          <w:tcPr>
            <w:tcW w:w="1505" w:type="dxa"/>
            <w:shd w:val="clear" w:color="auto" w:fill="F2F6FC"/>
          </w:tcPr>
          <w:p w14:paraId="7A167A8A" w14:textId="77777777" w:rsidR="00AD4FA5" w:rsidRDefault="00000000">
            <w:pPr>
              <w:jc w:val="right"/>
            </w:pPr>
            <w:r>
              <w:rPr>
                <w:rFonts w:ascii="Arial" w:hAnsi="Arial"/>
                <w:sz w:val="18"/>
              </w:rPr>
              <w:t>1,199.0321</w:t>
            </w:r>
          </w:p>
        </w:tc>
        <w:tc>
          <w:tcPr>
            <w:tcW w:w="1505" w:type="dxa"/>
            <w:shd w:val="clear" w:color="auto" w:fill="F2F6FC"/>
          </w:tcPr>
          <w:p w14:paraId="4B680548" w14:textId="77777777" w:rsidR="00AD4FA5" w:rsidRDefault="00000000">
            <w:pPr>
              <w:jc w:val="right"/>
            </w:pPr>
            <w:r>
              <w:rPr>
                <w:rFonts w:ascii="Arial" w:hAnsi="Arial"/>
                <w:sz w:val="18"/>
              </w:rPr>
              <w:t>+0.7603</w:t>
            </w:r>
          </w:p>
        </w:tc>
        <w:tc>
          <w:tcPr>
            <w:tcW w:w="1505" w:type="dxa"/>
            <w:shd w:val="clear" w:color="auto" w:fill="F2F6FC"/>
          </w:tcPr>
          <w:p w14:paraId="709F6C73" w14:textId="77777777" w:rsidR="00AD4FA5" w:rsidRDefault="00000000">
            <w:pPr>
              <w:jc w:val="right"/>
            </w:pPr>
            <w:r>
              <w:rPr>
                <w:rFonts w:ascii="Arial" w:hAnsi="Arial"/>
                <w:sz w:val="18"/>
              </w:rPr>
              <w:t>+0.06%</w:t>
            </w:r>
          </w:p>
        </w:tc>
        <w:tc>
          <w:tcPr>
            <w:tcW w:w="1505" w:type="dxa"/>
            <w:shd w:val="clear" w:color="auto" w:fill="F2F6FC"/>
          </w:tcPr>
          <w:p w14:paraId="2F107B0E" w14:textId="77777777" w:rsidR="00AD4FA5" w:rsidRDefault="00000000">
            <w:r>
              <w:rPr>
                <w:rFonts w:ascii="Arial" w:hAnsi="Arial"/>
                <w:sz w:val="18"/>
              </w:rPr>
              <w:t>Stable</w:t>
            </w:r>
          </w:p>
        </w:tc>
      </w:tr>
      <w:tr w:rsidR="00AD4FA5" w14:paraId="6EC5CEFD" w14:textId="77777777">
        <w:trPr>
          <w:jc w:val="center"/>
        </w:trPr>
        <w:tc>
          <w:tcPr>
            <w:tcW w:w="1505" w:type="dxa"/>
          </w:tcPr>
          <w:p w14:paraId="06E30578" w14:textId="77777777" w:rsidR="00AD4FA5" w:rsidRDefault="00000000">
            <w:r>
              <w:rPr>
                <w:rFonts w:ascii="Arial" w:hAnsi="Arial"/>
                <w:sz w:val="18"/>
              </w:rPr>
              <w:t>Scope 1 — Diesel</w:t>
            </w:r>
          </w:p>
        </w:tc>
        <w:tc>
          <w:tcPr>
            <w:tcW w:w="1505" w:type="dxa"/>
          </w:tcPr>
          <w:p w14:paraId="4E5583D1" w14:textId="77777777" w:rsidR="00AD4FA5" w:rsidRDefault="00000000">
            <w:pPr>
              <w:jc w:val="right"/>
            </w:pPr>
            <w:r>
              <w:rPr>
                <w:rFonts w:ascii="Arial" w:hAnsi="Arial"/>
                <w:sz w:val="18"/>
              </w:rPr>
              <w:t>2,203.2044</w:t>
            </w:r>
          </w:p>
        </w:tc>
        <w:tc>
          <w:tcPr>
            <w:tcW w:w="1505" w:type="dxa"/>
          </w:tcPr>
          <w:p w14:paraId="41AEBDBF" w14:textId="77777777" w:rsidR="00AD4FA5" w:rsidRDefault="00000000">
            <w:pPr>
              <w:jc w:val="right"/>
            </w:pPr>
            <w:r>
              <w:rPr>
                <w:rFonts w:ascii="Arial" w:hAnsi="Arial"/>
                <w:sz w:val="18"/>
              </w:rPr>
              <w:t>2,125.4888</w:t>
            </w:r>
          </w:p>
        </w:tc>
        <w:tc>
          <w:tcPr>
            <w:tcW w:w="1505" w:type="dxa"/>
          </w:tcPr>
          <w:p w14:paraId="67B2138A" w14:textId="77777777" w:rsidR="00AD4FA5" w:rsidRDefault="00000000">
            <w:pPr>
              <w:jc w:val="right"/>
            </w:pPr>
            <w:r>
              <w:rPr>
                <w:rFonts w:ascii="Arial" w:hAnsi="Arial"/>
                <w:sz w:val="18"/>
              </w:rPr>
              <w:t>+77.7156</w:t>
            </w:r>
          </w:p>
        </w:tc>
        <w:tc>
          <w:tcPr>
            <w:tcW w:w="1505" w:type="dxa"/>
          </w:tcPr>
          <w:p w14:paraId="35A47617" w14:textId="77777777" w:rsidR="00AD4FA5" w:rsidRDefault="00000000">
            <w:pPr>
              <w:jc w:val="right"/>
            </w:pPr>
            <w:r>
              <w:rPr>
                <w:rFonts w:ascii="Arial" w:hAnsi="Arial"/>
                <w:sz w:val="18"/>
              </w:rPr>
              <w:t>+3.66%</w:t>
            </w:r>
          </w:p>
        </w:tc>
        <w:tc>
          <w:tcPr>
            <w:tcW w:w="1505" w:type="dxa"/>
          </w:tcPr>
          <w:p w14:paraId="01532BD9" w14:textId="77777777" w:rsidR="00AD4FA5" w:rsidRDefault="00000000">
            <w:r>
              <w:rPr>
                <w:rFonts w:ascii="Arial" w:hAnsi="Arial"/>
                <w:sz w:val="18"/>
              </w:rPr>
              <w:t>Increase</w:t>
            </w:r>
          </w:p>
        </w:tc>
      </w:tr>
      <w:tr w:rsidR="00AD4FA5" w14:paraId="163ABFEC" w14:textId="77777777">
        <w:trPr>
          <w:jc w:val="center"/>
        </w:trPr>
        <w:tc>
          <w:tcPr>
            <w:tcW w:w="1505" w:type="dxa"/>
            <w:shd w:val="clear" w:color="auto" w:fill="F2F6FC"/>
          </w:tcPr>
          <w:p w14:paraId="35A2B1BA" w14:textId="77777777" w:rsidR="00AD4FA5" w:rsidRDefault="00000000">
            <w:r>
              <w:rPr>
                <w:rFonts w:ascii="Arial" w:hAnsi="Arial"/>
                <w:sz w:val="18"/>
              </w:rPr>
              <w:t>Scope 2 — Location-Based</w:t>
            </w:r>
          </w:p>
        </w:tc>
        <w:tc>
          <w:tcPr>
            <w:tcW w:w="1505" w:type="dxa"/>
            <w:shd w:val="clear" w:color="auto" w:fill="F2F6FC"/>
          </w:tcPr>
          <w:p w14:paraId="3D890EA7" w14:textId="77777777" w:rsidR="00AD4FA5" w:rsidRDefault="00000000">
            <w:pPr>
              <w:jc w:val="right"/>
            </w:pPr>
            <w:r>
              <w:rPr>
                <w:rFonts w:ascii="Arial" w:hAnsi="Arial"/>
                <w:sz w:val="18"/>
              </w:rPr>
              <w:t>44,613.876</w:t>
            </w:r>
          </w:p>
        </w:tc>
        <w:tc>
          <w:tcPr>
            <w:tcW w:w="1505" w:type="dxa"/>
            <w:shd w:val="clear" w:color="auto" w:fill="F2F6FC"/>
          </w:tcPr>
          <w:p w14:paraId="4E03ED97" w14:textId="77777777" w:rsidR="00AD4FA5" w:rsidRDefault="00000000">
            <w:pPr>
              <w:jc w:val="right"/>
            </w:pPr>
            <w:r>
              <w:rPr>
                <w:rFonts w:ascii="Arial" w:hAnsi="Arial"/>
                <w:sz w:val="18"/>
              </w:rPr>
              <w:t>44,599.44</w:t>
            </w:r>
          </w:p>
        </w:tc>
        <w:tc>
          <w:tcPr>
            <w:tcW w:w="1505" w:type="dxa"/>
            <w:shd w:val="clear" w:color="auto" w:fill="F2F6FC"/>
          </w:tcPr>
          <w:p w14:paraId="07BE9A4B" w14:textId="77777777" w:rsidR="00AD4FA5" w:rsidRDefault="00000000">
            <w:pPr>
              <w:jc w:val="right"/>
            </w:pPr>
            <w:r>
              <w:rPr>
                <w:rFonts w:ascii="Arial" w:hAnsi="Arial"/>
                <w:sz w:val="18"/>
              </w:rPr>
              <w:t>+14.436</w:t>
            </w:r>
          </w:p>
        </w:tc>
        <w:tc>
          <w:tcPr>
            <w:tcW w:w="1505" w:type="dxa"/>
            <w:shd w:val="clear" w:color="auto" w:fill="F2F6FC"/>
          </w:tcPr>
          <w:p w14:paraId="3631D9F5" w14:textId="77777777" w:rsidR="00AD4FA5" w:rsidRDefault="00000000">
            <w:pPr>
              <w:jc w:val="right"/>
            </w:pPr>
            <w:r>
              <w:rPr>
                <w:rFonts w:ascii="Arial" w:hAnsi="Arial"/>
                <w:sz w:val="18"/>
              </w:rPr>
              <w:t>+0.03%</w:t>
            </w:r>
          </w:p>
        </w:tc>
        <w:tc>
          <w:tcPr>
            <w:tcW w:w="1505" w:type="dxa"/>
            <w:shd w:val="clear" w:color="auto" w:fill="F2F6FC"/>
          </w:tcPr>
          <w:p w14:paraId="31835403" w14:textId="77777777" w:rsidR="00AD4FA5" w:rsidRDefault="00000000">
            <w:r>
              <w:rPr>
                <w:rFonts w:ascii="Arial" w:hAnsi="Arial"/>
                <w:sz w:val="18"/>
              </w:rPr>
              <w:t>Stable</w:t>
            </w:r>
          </w:p>
        </w:tc>
      </w:tr>
      <w:tr w:rsidR="00AD4FA5" w14:paraId="5CA2BD96" w14:textId="77777777">
        <w:trPr>
          <w:jc w:val="center"/>
        </w:trPr>
        <w:tc>
          <w:tcPr>
            <w:tcW w:w="1505" w:type="dxa"/>
          </w:tcPr>
          <w:p w14:paraId="66E1897D" w14:textId="77777777" w:rsidR="00AD4FA5" w:rsidRDefault="00000000">
            <w:r>
              <w:rPr>
                <w:rFonts w:ascii="Arial" w:hAnsi="Arial"/>
                <w:sz w:val="18"/>
              </w:rPr>
              <w:t>Scope 2 — Market-Based</w:t>
            </w:r>
          </w:p>
        </w:tc>
        <w:tc>
          <w:tcPr>
            <w:tcW w:w="1505" w:type="dxa"/>
          </w:tcPr>
          <w:p w14:paraId="7564688F" w14:textId="77777777" w:rsidR="00AD4FA5" w:rsidRDefault="00000000">
            <w:pPr>
              <w:jc w:val="right"/>
            </w:pPr>
            <w:r>
              <w:rPr>
                <w:rFonts w:ascii="Arial" w:hAnsi="Arial"/>
                <w:sz w:val="18"/>
              </w:rPr>
              <w:t>44,612.518</w:t>
            </w:r>
          </w:p>
        </w:tc>
        <w:tc>
          <w:tcPr>
            <w:tcW w:w="1505" w:type="dxa"/>
          </w:tcPr>
          <w:p w14:paraId="280C2239" w14:textId="77777777" w:rsidR="00AD4FA5" w:rsidRDefault="00000000">
            <w:pPr>
              <w:jc w:val="right"/>
            </w:pPr>
            <w:r>
              <w:rPr>
                <w:rFonts w:ascii="Arial" w:hAnsi="Arial"/>
                <w:sz w:val="18"/>
              </w:rPr>
              <w:t>44,598.118</w:t>
            </w:r>
          </w:p>
        </w:tc>
        <w:tc>
          <w:tcPr>
            <w:tcW w:w="1505" w:type="dxa"/>
          </w:tcPr>
          <w:p w14:paraId="7489AA50" w14:textId="77777777" w:rsidR="00AD4FA5" w:rsidRDefault="00000000">
            <w:pPr>
              <w:jc w:val="right"/>
            </w:pPr>
            <w:r>
              <w:rPr>
                <w:rFonts w:ascii="Arial" w:hAnsi="Arial"/>
                <w:sz w:val="18"/>
              </w:rPr>
              <w:t>+14.400</w:t>
            </w:r>
          </w:p>
        </w:tc>
        <w:tc>
          <w:tcPr>
            <w:tcW w:w="1505" w:type="dxa"/>
          </w:tcPr>
          <w:p w14:paraId="6057B573" w14:textId="77777777" w:rsidR="00AD4FA5" w:rsidRDefault="00000000">
            <w:pPr>
              <w:jc w:val="right"/>
            </w:pPr>
            <w:r>
              <w:rPr>
                <w:rFonts w:ascii="Arial" w:hAnsi="Arial"/>
                <w:sz w:val="18"/>
              </w:rPr>
              <w:t>+0.03%</w:t>
            </w:r>
          </w:p>
        </w:tc>
        <w:tc>
          <w:tcPr>
            <w:tcW w:w="1505" w:type="dxa"/>
          </w:tcPr>
          <w:p w14:paraId="1FD8D652" w14:textId="77777777" w:rsidR="00AD4FA5" w:rsidRDefault="00000000">
            <w:r>
              <w:rPr>
                <w:rFonts w:ascii="Arial" w:hAnsi="Arial"/>
                <w:sz w:val="18"/>
              </w:rPr>
              <w:t>Stable</w:t>
            </w:r>
          </w:p>
        </w:tc>
      </w:tr>
      <w:tr w:rsidR="00AD4FA5" w14:paraId="47FC568C" w14:textId="77777777">
        <w:trPr>
          <w:jc w:val="center"/>
        </w:trPr>
        <w:tc>
          <w:tcPr>
            <w:tcW w:w="1505" w:type="dxa"/>
            <w:shd w:val="clear" w:color="auto" w:fill="F2F6FC"/>
          </w:tcPr>
          <w:p w14:paraId="6A500D5D" w14:textId="77777777" w:rsidR="00AD4FA5" w:rsidRDefault="00000000">
            <w:r>
              <w:rPr>
                <w:rFonts w:ascii="Arial" w:hAnsi="Arial"/>
                <w:sz w:val="18"/>
              </w:rPr>
              <w:t>Total Scope 1+2 (Location)</w:t>
            </w:r>
          </w:p>
        </w:tc>
        <w:tc>
          <w:tcPr>
            <w:tcW w:w="1505" w:type="dxa"/>
            <w:shd w:val="clear" w:color="auto" w:fill="F2F6FC"/>
          </w:tcPr>
          <w:p w14:paraId="1C1D9BE1" w14:textId="77777777" w:rsidR="00AD4FA5" w:rsidRDefault="00000000">
            <w:pPr>
              <w:jc w:val="right"/>
            </w:pPr>
            <w:r>
              <w:rPr>
                <w:rFonts w:ascii="Arial" w:hAnsi="Arial"/>
                <w:sz w:val="18"/>
              </w:rPr>
              <w:t>48,016.873</w:t>
            </w:r>
          </w:p>
        </w:tc>
        <w:tc>
          <w:tcPr>
            <w:tcW w:w="1505" w:type="dxa"/>
            <w:shd w:val="clear" w:color="auto" w:fill="F2F6FC"/>
          </w:tcPr>
          <w:p w14:paraId="36F1BA37" w14:textId="77777777" w:rsidR="00AD4FA5" w:rsidRDefault="00000000">
            <w:pPr>
              <w:jc w:val="right"/>
            </w:pPr>
            <w:r>
              <w:rPr>
                <w:rFonts w:ascii="Arial" w:hAnsi="Arial"/>
                <w:sz w:val="18"/>
              </w:rPr>
              <w:t>47,923.961</w:t>
            </w:r>
          </w:p>
        </w:tc>
        <w:tc>
          <w:tcPr>
            <w:tcW w:w="1505" w:type="dxa"/>
            <w:shd w:val="clear" w:color="auto" w:fill="F2F6FC"/>
          </w:tcPr>
          <w:p w14:paraId="7281A1A6" w14:textId="77777777" w:rsidR="00AD4FA5" w:rsidRDefault="00000000">
            <w:pPr>
              <w:jc w:val="right"/>
            </w:pPr>
            <w:r>
              <w:rPr>
                <w:rFonts w:ascii="Arial" w:hAnsi="Arial"/>
                <w:sz w:val="18"/>
              </w:rPr>
              <w:t>+92.912</w:t>
            </w:r>
          </w:p>
        </w:tc>
        <w:tc>
          <w:tcPr>
            <w:tcW w:w="1505" w:type="dxa"/>
            <w:shd w:val="clear" w:color="auto" w:fill="F2F6FC"/>
          </w:tcPr>
          <w:p w14:paraId="72235D0E" w14:textId="77777777" w:rsidR="00AD4FA5" w:rsidRDefault="00000000">
            <w:pPr>
              <w:jc w:val="right"/>
            </w:pPr>
            <w:r>
              <w:rPr>
                <w:rFonts w:ascii="Arial" w:hAnsi="Arial"/>
                <w:sz w:val="18"/>
              </w:rPr>
              <w:t>+0.19%</w:t>
            </w:r>
          </w:p>
        </w:tc>
        <w:tc>
          <w:tcPr>
            <w:tcW w:w="1505" w:type="dxa"/>
            <w:shd w:val="clear" w:color="auto" w:fill="F2F6FC"/>
          </w:tcPr>
          <w:p w14:paraId="51B5D6C0" w14:textId="77777777" w:rsidR="00AD4FA5" w:rsidRDefault="00000000">
            <w:r>
              <w:rPr>
                <w:rFonts w:ascii="Arial" w:hAnsi="Arial"/>
                <w:sz w:val="18"/>
              </w:rPr>
              <w:t>Marginal Increase</w:t>
            </w:r>
          </w:p>
        </w:tc>
      </w:tr>
    </w:tbl>
    <w:p w14:paraId="369107AF" w14:textId="77777777" w:rsidR="00AD4FA5" w:rsidRDefault="00000000">
      <w:r>
        <w:rPr>
          <w:rFonts w:ascii="Arial" w:hAnsi="Arial"/>
          <w:i/>
          <w:sz w:val="16"/>
        </w:rPr>
        <w:t>Source: Source: Institution's operational emissions tracking system. Base year: 2023. Consolidation approach: Operational control. Gases included: CO₂, CH₄, N₂O. Emission factors: IPCC 2006 Guidelines for natural gas and diesel; PLN grid emission factor (location-based) and contractual instruments (market-based) for Scope 2.</w:t>
      </w:r>
    </w:p>
    <w:p w14:paraId="74E0A1B5" w14:textId="77777777" w:rsidR="00AD4FA5" w:rsidRDefault="00AD4FA5"/>
    <w:p w14:paraId="68A8947D" w14:textId="77777777" w:rsidR="00AD4FA5" w:rsidRDefault="00000000">
      <w:r>
        <w:rPr>
          <w:rFonts w:ascii="Arial" w:hAnsi="Arial"/>
          <w:b/>
          <w:sz w:val="20"/>
        </w:rPr>
        <w:t>Table 2: Emissions Intensity Metrics (2023–2024)</w:t>
      </w:r>
    </w:p>
    <w:tbl>
      <w:tblPr>
        <w:tblW w:w="0" w:type="auto"/>
        <w:jc w:val="center"/>
        <w:tblLook w:val="04A0" w:firstRow="1" w:lastRow="0" w:firstColumn="1" w:lastColumn="0" w:noHBand="0" w:noVBand="1"/>
      </w:tblPr>
      <w:tblGrid>
        <w:gridCol w:w="1806"/>
        <w:gridCol w:w="1806"/>
        <w:gridCol w:w="1806"/>
        <w:gridCol w:w="1806"/>
        <w:gridCol w:w="1806"/>
      </w:tblGrid>
      <w:tr w:rsidR="00AD4FA5" w14:paraId="67BE2087" w14:textId="77777777">
        <w:trPr>
          <w:jc w:val="center"/>
        </w:trPr>
        <w:tc>
          <w:tcPr>
            <w:tcW w:w="1806" w:type="dxa"/>
            <w:shd w:val="clear" w:color="auto" w:fill="1B3A6B"/>
          </w:tcPr>
          <w:p w14:paraId="26556371" w14:textId="77777777" w:rsidR="00AD4FA5" w:rsidRDefault="00000000">
            <w:r>
              <w:rPr>
                <w:rFonts w:ascii="Arial" w:hAnsi="Arial"/>
                <w:b/>
                <w:color w:val="FFFFFF"/>
                <w:sz w:val="18"/>
              </w:rPr>
              <w:t>Intensity Metric</w:t>
            </w:r>
          </w:p>
        </w:tc>
        <w:tc>
          <w:tcPr>
            <w:tcW w:w="1806" w:type="dxa"/>
            <w:shd w:val="clear" w:color="auto" w:fill="1B3A6B"/>
          </w:tcPr>
          <w:p w14:paraId="34D4AC56" w14:textId="77777777" w:rsidR="00AD4FA5" w:rsidRDefault="00000000">
            <w:r>
              <w:rPr>
                <w:rFonts w:ascii="Arial" w:hAnsi="Arial"/>
                <w:b/>
                <w:color w:val="FFFFFF"/>
                <w:sz w:val="18"/>
              </w:rPr>
              <w:t>2024</w:t>
            </w:r>
          </w:p>
        </w:tc>
        <w:tc>
          <w:tcPr>
            <w:tcW w:w="1806" w:type="dxa"/>
            <w:shd w:val="clear" w:color="auto" w:fill="1B3A6B"/>
          </w:tcPr>
          <w:p w14:paraId="5DE42141" w14:textId="77777777" w:rsidR="00AD4FA5" w:rsidRDefault="00000000">
            <w:r>
              <w:rPr>
                <w:rFonts w:ascii="Arial" w:hAnsi="Arial"/>
                <w:b/>
                <w:color w:val="FFFFFF"/>
                <w:sz w:val="18"/>
              </w:rPr>
              <w:t>2023</w:t>
            </w:r>
          </w:p>
        </w:tc>
        <w:tc>
          <w:tcPr>
            <w:tcW w:w="1806" w:type="dxa"/>
            <w:shd w:val="clear" w:color="auto" w:fill="1B3A6B"/>
          </w:tcPr>
          <w:p w14:paraId="13DC956E" w14:textId="77777777" w:rsidR="00AD4FA5" w:rsidRDefault="00000000">
            <w:r>
              <w:rPr>
                <w:rFonts w:ascii="Arial" w:hAnsi="Arial"/>
                <w:b/>
                <w:color w:val="FFFFFF"/>
                <w:sz w:val="18"/>
              </w:rPr>
              <w:t>Change (%)</w:t>
            </w:r>
          </w:p>
        </w:tc>
        <w:tc>
          <w:tcPr>
            <w:tcW w:w="1806" w:type="dxa"/>
            <w:shd w:val="clear" w:color="auto" w:fill="1B3A6B"/>
          </w:tcPr>
          <w:p w14:paraId="105D5622" w14:textId="77777777" w:rsidR="00AD4FA5" w:rsidRDefault="00000000">
            <w:r>
              <w:rPr>
                <w:rFonts w:ascii="Arial" w:hAnsi="Arial"/>
                <w:b/>
                <w:color w:val="FFFFFF"/>
                <w:sz w:val="18"/>
              </w:rPr>
              <w:t>Unit</w:t>
            </w:r>
          </w:p>
        </w:tc>
      </w:tr>
      <w:tr w:rsidR="00AD4FA5" w14:paraId="6E11ACBF" w14:textId="77777777">
        <w:trPr>
          <w:jc w:val="center"/>
        </w:trPr>
        <w:tc>
          <w:tcPr>
            <w:tcW w:w="1806" w:type="dxa"/>
          </w:tcPr>
          <w:p w14:paraId="03F2D481" w14:textId="77777777" w:rsidR="00AD4FA5" w:rsidRDefault="00000000">
            <w:r>
              <w:rPr>
                <w:rFonts w:ascii="Arial" w:hAnsi="Arial"/>
                <w:sz w:val="18"/>
              </w:rPr>
              <w:t>Emissions per IDR Billion Revenue</w:t>
            </w:r>
          </w:p>
        </w:tc>
        <w:tc>
          <w:tcPr>
            <w:tcW w:w="1806" w:type="dxa"/>
          </w:tcPr>
          <w:p w14:paraId="15CF1D33" w14:textId="77777777" w:rsidR="00AD4FA5" w:rsidRDefault="00000000">
            <w:pPr>
              <w:jc w:val="right"/>
            </w:pPr>
            <w:r>
              <w:rPr>
                <w:rFonts w:ascii="Arial" w:hAnsi="Arial"/>
                <w:sz w:val="18"/>
              </w:rPr>
              <w:t>239.400139</w:t>
            </w:r>
          </w:p>
        </w:tc>
        <w:tc>
          <w:tcPr>
            <w:tcW w:w="1806" w:type="dxa"/>
          </w:tcPr>
          <w:p w14:paraId="459FFA2E" w14:textId="77777777" w:rsidR="00AD4FA5" w:rsidRDefault="00000000">
            <w:pPr>
              <w:jc w:val="right"/>
            </w:pPr>
            <w:r>
              <w:rPr>
                <w:rFonts w:ascii="Arial" w:hAnsi="Arial"/>
                <w:sz w:val="18"/>
              </w:rPr>
              <w:t>270.116632</w:t>
            </w:r>
          </w:p>
        </w:tc>
        <w:tc>
          <w:tcPr>
            <w:tcW w:w="1806" w:type="dxa"/>
          </w:tcPr>
          <w:p w14:paraId="254D8995" w14:textId="77777777" w:rsidR="00AD4FA5" w:rsidRDefault="00000000">
            <w:pPr>
              <w:jc w:val="right"/>
            </w:pPr>
            <w:r>
              <w:rPr>
                <w:rFonts w:ascii="Arial" w:hAnsi="Arial"/>
                <w:sz w:val="18"/>
              </w:rPr>
              <w:t>-11.37%</w:t>
            </w:r>
          </w:p>
        </w:tc>
        <w:tc>
          <w:tcPr>
            <w:tcW w:w="1806" w:type="dxa"/>
          </w:tcPr>
          <w:p w14:paraId="2AA3EEEC" w14:textId="77777777" w:rsidR="00AD4FA5" w:rsidRDefault="00000000">
            <w:r>
              <w:rPr>
                <w:rFonts w:ascii="Arial" w:hAnsi="Arial"/>
                <w:sz w:val="18"/>
              </w:rPr>
              <w:t>tCO₂e/IDR bn</w:t>
            </w:r>
          </w:p>
        </w:tc>
      </w:tr>
      <w:tr w:rsidR="00AD4FA5" w14:paraId="333CD50E" w14:textId="77777777">
        <w:trPr>
          <w:jc w:val="center"/>
        </w:trPr>
        <w:tc>
          <w:tcPr>
            <w:tcW w:w="1806" w:type="dxa"/>
            <w:shd w:val="clear" w:color="auto" w:fill="F2F6FC"/>
          </w:tcPr>
          <w:p w14:paraId="371D137F" w14:textId="77777777" w:rsidR="00AD4FA5" w:rsidRDefault="00000000">
            <w:r>
              <w:rPr>
                <w:rFonts w:ascii="Arial" w:hAnsi="Arial"/>
                <w:sz w:val="18"/>
              </w:rPr>
              <w:t>Emissions per Full-Time Equivalent</w:t>
            </w:r>
          </w:p>
        </w:tc>
        <w:tc>
          <w:tcPr>
            <w:tcW w:w="1806" w:type="dxa"/>
            <w:shd w:val="clear" w:color="auto" w:fill="F2F6FC"/>
          </w:tcPr>
          <w:p w14:paraId="7181CF91" w14:textId="77777777" w:rsidR="00AD4FA5" w:rsidRDefault="00000000">
            <w:pPr>
              <w:jc w:val="right"/>
            </w:pPr>
            <w:r>
              <w:rPr>
                <w:rFonts w:ascii="Arial" w:hAnsi="Arial"/>
                <w:sz w:val="18"/>
              </w:rPr>
              <w:t>1.9209</w:t>
            </w:r>
          </w:p>
        </w:tc>
        <w:tc>
          <w:tcPr>
            <w:tcW w:w="1806" w:type="dxa"/>
            <w:shd w:val="clear" w:color="auto" w:fill="F2F6FC"/>
          </w:tcPr>
          <w:p w14:paraId="1C04E51D" w14:textId="77777777" w:rsidR="00AD4FA5" w:rsidRDefault="00000000">
            <w:pPr>
              <w:jc w:val="right"/>
            </w:pPr>
            <w:r>
              <w:rPr>
                <w:rFonts w:ascii="Arial" w:hAnsi="Arial"/>
                <w:sz w:val="18"/>
              </w:rPr>
              <w:t>1.956</w:t>
            </w:r>
          </w:p>
        </w:tc>
        <w:tc>
          <w:tcPr>
            <w:tcW w:w="1806" w:type="dxa"/>
            <w:shd w:val="clear" w:color="auto" w:fill="F2F6FC"/>
          </w:tcPr>
          <w:p w14:paraId="02D651B2" w14:textId="77777777" w:rsidR="00AD4FA5" w:rsidRDefault="00000000">
            <w:pPr>
              <w:jc w:val="right"/>
            </w:pPr>
            <w:r>
              <w:rPr>
                <w:rFonts w:ascii="Arial" w:hAnsi="Arial"/>
                <w:sz w:val="18"/>
              </w:rPr>
              <w:t>-1.79%</w:t>
            </w:r>
          </w:p>
        </w:tc>
        <w:tc>
          <w:tcPr>
            <w:tcW w:w="1806" w:type="dxa"/>
            <w:shd w:val="clear" w:color="auto" w:fill="F2F6FC"/>
          </w:tcPr>
          <w:p w14:paraId="7308CA11" w14:textId="77777777" w:rsidR="00AD4FA5" w:rsidRDefault="00000000">
            <w:r>
              <w:rPr>
                <w:rFonts w:ascii="Arial" w:hAnsi="Arial"/>
                <w:sz w:val="18"/>
              </w:rPr>
              <w:t>tCO₂e/FTE</w:t>
            </w:r>
          </w:p>
        </w:tc>
      </w:tr>
      <w:tr w:rsidR="00AD4FA5" w14:paraId="2416A7CB" w14:textId="77777777">
        <w:trPr>
          <w:jc w:val="center"/>
        </w:trPr>
        <w:tc>
          <w:tcPr>
            <w:tcW w:w="1806" w:type="dxa"/>
          </w:tcPr>
          <w:p w14:paraId="3FC653A0" w14:textId="77777777" w:rsidR="00AD4FA5" w:rsidRDefault="00000000">
            <w:r>
              <w:rPr>
                <w:rFonts w:ascii="Arial" w:hAnsi="Arial"/>
                <w:sz w:val="18"/>
              </w:rPr>
              <w:t>Total FTE</w:t>
            </w:r>
          </w:p>
        </w:tc>
        <w:tc>
          <w:tcPr>
            <w:tcW w:w="1806" w:type="dxa"/>
          </w:tcPr>
          <w:p w14:paraId="3682FD4A" w14:textId="77777777" w:rsidR="00AD4FA5" w:rsidRDefault="00000000">
            <w:pPr>
              <w:jc w:val="right"/>
            </w:pPr>
            <w:r>
              <w:rPr>
                <w:rFonts w:ascii="Arial" w:hAnsi="Arial"/>
                <w:sz w:val="18"/>
              </w:rPr>
              <w:t>24,997</w:t>
            </w:r>
          </w:p>
        </w:tc>
        <w:tc>
          <w:tcPr>
            <w:tcW w:w="1806" w:type="dxa"/>
          </w:tcPr>
          <w:p w14:paraId="5A3BC364" w14:textId="77777777" w:rsidR="00AD4FA5" w:rsidRDefault="00000000">
            <w:pPr>
              <w:jc w:val="right"/>
            </w:pPr>
            <w:r>
              <w:rPr>
                <w:rFonts w:ascii="Arial" w:hAnsi="Arial"/>
                <w:sz w:val="18"/>
              </w:rPr>
              <w:t>24,500</w:t>
            </w:r>
          </w:p>
        </w:tc>
        <w:tc>
          <w:tcPr>
            <w:tcW w:w="1806" w:type="dxa"/>
          </w:tcPr>
          <w:p w14:paraId="41C3C66B" w14:textId="77777777" w:rsidR="00AD4FA5" w:rsidRDefault="00000000">
            <w:pPr>
              <w:jc w:val="right"/>
            </w:pPr>
            <w:r>
              <w:rPr>
                <w:rFonts w:ascii="Arial" w:hAnsi="Arial"/>
                <w:sz w:val="18"/>
              </w:rPr>
              <w:t>+2.03%</w:t>
            </w:r>
          </w:p>
        </w:tc>
        <w:tc>
          <w:tcPr>
            <w:tcW w:w="1806" w:type="dxa"/>
          </w:tcPr>
          <w:p w14:paraId="0E9FD0B7" w14:textId="77777777" w:rsidR="00AD4FA5" w:rsidRDefault="00000000">
            <w:r>
              <w:rPr>
                <w:rFonts w:ascii="Arial" w:hAnsi="Arial"/>
                <w:sz w:val="18"/>
              </w:rPr>
              <w:t>employees</w:t>
            </w:r>
          </w:p>
        </w:tc>
      </w:tr>
    </w:tbl>
    <w:p w14:paraId="142FC9C6" w14:textId="77777777" w:rsidR="00AD4FA5" w:rsidRDefault="00000000">
      <w:r>
        <w:rPr>
          <w:rFonts w:ascii="Arial" w:hAnsi="Arial"/>
          <w:i/>
          <w:sz w:val="16"/>
        </w:rPr>
        <w:t>Source: Source: Institution's HR and financial reporting systems. Intensity denominators use location-based Scope 2 emissions for consistency with prior year reporting.</w:t>
      </w:r>
    </w:p>
    <w:p w14:paraId="085C7F29" w14:textId="77777777" w:rsidR="00AD4FA5" w:rsidRDefault="00AD4FA5"/>
    <w:p w14:paraId="5F86ED48" w14:textId="77777777" w:rsidR="00AD4FA5" w:rsidRDefault="00000000">
      <w:r>
        <w:rPr>
          <w:rFonts w:ascii="Arial" w:hAnsi="Arial"/>
          <w:b/>
          <w:sz w:val="20"/>
        </w:rPr>
        <w:t>Table 3: Peer Benchmark — Reduction Initiatives in Indonesian Banking Sector</w:t>
      </w:r>
    </w:p>
    <w:tbl>
      <w:tblPr>
        <w:tblW w:w="0" w:type="auto"/>
        <w:jc w:val="center"/>
        <w:tblLook w:val="04A0" w:firstRow="1" w:lastRow="0" w:firstColumn="1" w:lastColumn="0" w:noHBand="0" w:noVBand="1"/>
      </w:tblPr>
      <w:tblGrid>
        <w:gridCol w:w="2257"/>
        <w:gridCol w:w="2257"/>
        <w:gridCol w:w="2257"/>
        <w:gridCol w:w="2257"/>
      </w:tblGrid>
      <w:tr w:rsidR="00AD4FA5" w14:paraId="3C654D8B" w14:textId="77777777">
        <w:trPr>
          <w:jc w:val="center"/>
        </w:trPr>
        <w:tc>
          <w:tcPr>
            <w:tcW w:w="2257" w:type="dxa"/>
            <w:shd w:val="clear" w:color="auto" w:fill="1B3A6B"/>
          </w:tcPr>
          <w:p w14:paraId="5649D57F" w14:textId="77777777" w:rsidR="00AD4FA5" w:rsidRDefault="00000000">
            <w:r>
              <w:rPr>
                <w:rFonts w:ascii="Arial" w:hAnsi="Arial"/>
                <w:b/>
                <w:color w:val="FFFFFF"/>
                <w:sz w:val="18"/>
              </w:rPr>
              <w:t>Institution</w:t>
            </w:r>
          </w:p>
        </w:tc>
        <w:tc>
          <w:tcPr>
            <w:tcW w:w="2257" w:type="dxa"/>
            <w:shd w:val="clear" w:color="auto" w:fill="1B3A6B"/>
          </w:tcPr>
          <w:p w14:paraId="69904A04" w14:textId="77777777" w:rsidR="00AD4FA5" w:rsidRDefault="00000000">
            <w:r>
              <w:rPr>
                <w:rFonts w:ascii="Arial" w:hAnsi="Arial"/>
                <w:b/>
                <w:color w:val="FFFFFF"/>
                <w:sz w:val="18"/>
              </w:rPr>
              <w:t>Reduction Initiative</w:t>
            </w:r>
          </w:p>
        </w:tc>
        <w:tc>
          <w:tcPr>
            <w:tcW w:w="2257" w:type="dxa"/>
            <w:shd w:val="clear" w:color="auto" w:fill="1B3A6B"/>
          </w:tcPr>
          <w:p w14:paraId="5F747655" w14:textId="77777777" w:rsidR="00AD4FA5" w:rsidRDefault="00000000">
            <w:r>
              <w:rPr>
                <w:rFonts w:ascii="Arial" w:hAnsi="Arial"/>
                <w:b/>
                <w:color w:val="FFFFFF"/>
                <w:sz w:val="18"/>
              </w:rPr>
              <w:t>Quantified Impact</w:t>
            </w:r>
          </w:p>
        </w:tc>
        <w:tc>
          <w:tcPr>
            <w:tcW w:w="2257" w:type="dxa"/>
            <w:shd w:val="clear" w:color="auto" w:fill="1B3A6B"/>
          </w:tcPr>
          <w:p w14:paraId="11EC96E3" w14:textId="77777777" w:rsidR="00AD4FA5" w:rsidRDefault="00000000">
            <w:r>
              <w:rPr>
                <w:rFonts w:ascii="Arial" w:hAnsi="Arial"/>
                <w:b/>
                <w:color w:val="FFFFFF"/>
                <w:sz w:val="18"/>
              </w:rPr>
              <w:t>Year</w:t>
            </w:r>
          </w:p>
        </w:tc>
      </w:tr>
      <w:tr w:rsidR="00AD4FA5" w14:paraId="0B4E34A6" w14:textId="77777777">
        <w:trPr>
          <w:jc w:val="center"/>
        </w:trPr>
        <w:tc>
          <w:tcPr>
            <w:tcW w:w="2257" w:type="dxa"/>
          </w:tcPr>
          <w:p w14:paraId="155CA77D" w14:textId="77777777" w:rsidR="00AD4FA5" w:rsidRDefault="00000000">
            <w:r>
              <w:rPr>
                <w:rFonts w:ascii="Arial" w:hAnsi="Arial"/>
                <w:sz w:val="18"/>
              </w:rPr>
              <w:t>Bank Rakyat Indonesia (BRI)</w:t>
            </w:r>
          </w:p>
        </w:tc>
        <w:tc>
          <w:tcPr>
            <w:tcW w:w="2257" w:type="dxa"/>
          </w:tcPr>
          <w:p w14:paraId="1E921FA8" w14:textId="77777777" w:rsidR="00AD4FA5" w:rsidRDefault="00000000">
            <w:r>
              <w:rPr>
                <w:rFonts w:ascii="Arial" w:hAnsi="Arial"/>
                <w:sz w:val="18"/>
              </w:rPr>
              <w:t>Green Network: 118 EV cars + 150 EV motorcycles</w:t>
            </w:r>
          </w:p>
        </w:tc>
        <w:tc>
          <w:tcPr>
            <w:tcW w:w="2257" w:type="dxa"/>
          </w:tcPr>
          <w:p w14:paraId="66D5412D" w14:textId="77777777" w:rsidR="00AD4FA5" w:rsidRDefault="00000000">
            <w:r>
              <w:rPr>
                <w:rFonts w:ascii="Arial" w:hAnsi="Arial"/>
                <w:sz w:val="18"/>
              </w:rPr>
              <w:t>Energy intensity ↓7.1% YoY</w:t>
            </w:r>
          </w:p>
        </w:tc>
        <w:tc>
          <w:tcPr>
            <w:tcW w:w="2257" w:type="dxa"/>
          </w:tcPr>
          <w:p w14:paraId="1E3250B0" w14:textId="77777777" w:rsidR="00AD4FA5" w:rsidRDefault="00000000">
            <w:pPr>
              <w:jc w:val="right"/>
            </w:pPr>
            <w:r>
              <w:rPr>
                <w:rFonts w:ascii="Arial" w:hAnsi="Arial"/>
                <w:sz w:val="18"/>
              </w:rPr>
              <w:t>2023</w:t>
            </w:r>
          </w:p>
        </w:tc>
      </w:tr>
      <w:tr w:rsidR="00AD4FA5" w14:paraId="3EA6725C" w14:textId="77777777">
        <w:trPr>
          <w:jc w:val="center"/>
        </w:trPr>
        <w:tc>
          <w:tcPr>
            <w:tcW w:w="2257" w:type="dxa"/>
            <w:shd w:val="clear" w:color="auto" w:fill="F2F6FC"/>
          </w:tcPr>
          <w:p w14:paraId="52468D6F" w14:textId="77777777" w:rsidR="00AD4FA5" w:rsidRDefault="00000000">
            <w:r>
              <w:rPr>
                <w:rFonts w:ascii="Arial" w:hAnsi="Arial"/>
                <w:sz w:val="18"/>
              </w:rPr>
              <w:t xml:space="preserve">Bank Rakyat Indonesia </w:t>
            </w:r>
            <w:r>
              <w:rPr>
                <w:rFonts w:ascii="Arial" w:hAnsi="Arial"/>
                <w:sz w:val="18"/>
              </w:rPr>
              <w:lastRenderedPageBreak/>
              <w:t>(BRI)</w:t>
            </w:r>
          </w:p>
        </w:tc>
        <w:tc>
          <w:tcPr>
            <w:tcW w:w="2257" w:type="dxa"/>
            <w:shd w:val="clear" w:color="auto" w:fill="F2F6FC"/>
          </w:tcPr>
          <w:p w14:paraId="77ACBFF3" w14:textId="77777777" w:rsidR="00AD4FA5" w:rsidRDefault="00000000">
            <w:r>
              <w:rPr>
                <w:rFonts w:ascii="Arial" w:hAnsi="Arial"/>
                <w:sz w:val="18"/>
              </w:rPr>
              <w:lastRenderedPageBreak/>
              <w:t xml:space="preserve">BRILiaN Tower green </w:t>
            </w:r>
            <w:r>
              <w:rPr>
                <w:rFonts w:ascii="Arial" w:hAnsi="Arial"/>
                <w:sz w:val="18"/>
              </w:rPr>
              <w:lastRenderedPageBreak/>
              <w:t>building (GBCI Gold)</w:t>
            </w:r>
          </w:p>
        </w:tc>
        <w:tc>
          <w:tcPr>
            <w:tcW w:w="2257" w:type="dxa"/>
            <w:shd w:val="clear" w:color="auto" w:fill="F2F6FC"/>
          </w:tcPr>
          <w:p w14:paraId="394CCB4F" w14:textId="77777777" w:rsidR="00AD4FA5" w:rsidRDefault="00000000">
            <w:r>
              <w:rPr>
                <w:rFonts w:ascii="Arial" w:hAnsi="Arial"/>
                <w:sz w:val="18"/>
              </w:rPr>
              <w:lastRenderedPageBreak/>
              <w:t xml:space="preserve">Electricity savings </w:t>
            </w:r>
            <w:r>
              <w:rPr>
                <w:rFonts w:ascii="Arial" w:hAnsi="Arial"/>
                <w:sz w:val="18"/>
              </w:rPr>
              <w:lastRenderedPageBreak/>
              <w:t>19.49%</w:t>
            </w:r>
          </w:p>
        </w:tc>
        <w:tc>
          <w:tcPr>
            <w:tcW w:w="2257" w:type="dxa"/>
            <w:shd w:val="clear" w:color="auto" w:fill="F2F6FC"/>
          </w:tcPr>
          <w:p w14:paraId="52205D41" w14:textId="77777777" w:rsidR="00AD4FA5" w:rsidRDefault="00000000">
            <w:pPr>
              <w:jc w:val="right"/>
            </w:pPr>
            <w:r>
              <w:rPr>
                <w:rFonts w:ascii="Arial" w:hAnsi="Arial"/>
                <w:sz w:val="18"/>
              </w:rPr>
              <w:lastRenderedPageBreak/>
              <w:t>2023</w:t>
            </w:r>
          </w:p>
        </w:tc>
      </w:tr>
      <w:tr w:rsidR="00AD4FA5" w14:paraId="2688E709" w14:textId="77777777">
        <w:trPr>
          <w:jc w:val="center"/>
        </w:trPr>
        <w:tc>
          <w:tcPr>
            <w:tcW w:w="2257" w:type="dxa"/>
          </w:tcPr>
          <w:p w14:paraId="127E14E8" w14:textId="77777777" w:rsidR="00AD4FA5" w:rsidRDefault="00000000">
            <w:r>
              <w:rPr>
                <w:rFonts w:ascii="Arial" w:hAnsi="Arial"/>
                <w:sz w:val="18"/>
              </w:rPr>
              <w:t>Bank Rakyat Indonesia (BRI)</w:t>
            </w:r>
          </w:p>
        </w:tc>
        <w:tc>
          <w:tcPr>
            <w:tcW w:w="2257" w:type="dxa"/>
          </w:tcPr>
          <w:p w14:paraId="09F4C7D3" w14:textId="77777777" w:rsidR="00AD4FA5" w:rsidRDefault="00000000">
            <w:r>
              <w:rPr>
                <w:rFonts w:ascii="Arial" w:hAnsi="Arial"/>
                <w:sz w:val="18"/>
              </w:rPr>
              <w:t>Kaseya auto-shutdown system for IT equipment</w:t>
            </w:r>
          </w:p>
        </w:tc>
        <w:tc>
          <w:tcPr>
            <w:tcW w:w="2257" w:type="dxa"/>
          </w:tcPr>
          <w:p w14:paraId="0EA29E55" w14:textId="77777777" w:rsidR="00AD4FA5" w:rsidRDefault="00000000">
            <w:r>
              <w:rPr>
                <w:rFonts w:ascii="Arial" w:hAnsi="Arial"/>
                <w:sz w:val="18"/>
              </w:rPr>
              <w:t>Included in 7.1% intensity reduction</w:t>
            </w:r>
          </w:p>
        </w:tc>
        <w:tc>
          <w:tcPr>
            <w:tcW w:w="2257" w:type="dxa"/>
          </w:tcPr>
          <w:p w14:paraId="0FA0CA98" w14:textId="77777777" w:rsidR="00AD4FA5" w:rsidRDefault="00000000">
            <w:pPr>
              <w:jc w:val="right"/>
            </w:pPr>
            <w:r>
              <w:rPr>
                <w:rFonts w:ascii="Arial" w:hAnsi="Arial"/>
                <w:sz w:val="18"/>
              </w:rPr>
              <w:t>2023</w:t>
            </w:r>
          </w:p>
        </w:tc>
      </w:tr>
      <w:tr w:rsidR="00AD4FA5" w14:paraId="348578C6" w14:textId="77777777">
        <w:trPr>
          <w:jc w:val="center"/>
        </w:trPr>
        <w:tc>
          <w:tcPr>
            <w:tcW w:w="2257" w:type="dxa"/>
            <w:shd w:val="clear" w:color="auto" w:fill="F2F6FC"/>
          </w:tcPr>
          <w:p w14:paraId="6D14187D" w14:textId="77777777" w:rsidR="00AD4FA5" w:rsidRDefault="00000000">
            <w:r>
              <w:rPr>
                <w:rFonts w:ascii="Arial" w:hAnsi="Arial"/>
                <w:sz w:val="18"/>
              </w:rPr>
              <w:t>DBS Group</w:t>
            </w:r>
          </w:p>
        </w:tc>
        <w:tc>
          <w:tcPr>
            <w:tcW w:w="2257" w:type="dxa"/>
            <w:shd w:val="clear" w:color="auto" w:fill="F2F6FC"/>
          </w:tcPr>
          <w:p w14:paraId="36FC538B" w14:textId="77777777" w:rsidR="00AD4FA5" w:rsidRDefault="00000000">
            <w:r>
              <w:rPr>
                <w:rFonts w:ascii="Arial" w:hAnsi="Arial"/>
                <w:sz w:val="18"/>
              </w:rPr>
              <w:t>RE100 participation (62% renewable energy)</w:t>
            </w:r>
          </w:p>
        </w:tc>
        <w:tc>
          <w:tcPr>
            <w:tcW w:w="2257" w:type="dxa"/>
            <w:shd w:val="clear" w:color="auto" w:fill="F2F6FC"/>
          </w:tcPr>
          <w:p w14:paraId="091DD723" w14:textId="77777777" w:rsidR="00AD4FA5" w:rsidRDefault="00000000">
            <w:r>
              <w:rPr>
                <w:rFonts w:ascii="Arial" w:hAnsi="Arial"/>
                <w:sz w:val="18"/>
              </w:rPr>
              <w:t>Total Scope 1+2 ↓12% YoY to 51,003 tCO₂e</w:t>
            </w:r>
          </w:p>
        </w:tc>
        <w:tc>
          <w:tcPr>
            <w:tcW w:w="2257" w:type="dxa"/>
            <w:shd w:val="clear" w:color="auto" w:fill="F2F6FC"/>
          </w:tcPr>
          <w:p w14:paraId="58D312CF" w14:textId="77777777" w:rsidR="00AD4FA5" w:rsidRDefault="00000000">
            <w:pPr>
              <w:jc w:val="right"/>
            </w:pPr>
            <w:r>
              <w:rPr>
                <w:rFonts w:ascii="Arial" w:hAnsi="Arial"/>
                <w:sz w:val="18"/>
              </w:rPr>
              <w:t>2023</w:t>
            </w:r>
          </w:p>
        </w:tc>
      </w:tr>
      <w:tr w:rsidR="00AD4FA5" w14:paraId="36F6D782" w14:textId="77777777">
        <w:trPr>
          <w:jc w:val="center"/>
        </w:trPr>
        <w:tc>
          <w:tcPr>
            <w:tcW w:w="2257" w:type="dxa"/>
          </w:tcPr>
          <w:p w14:paraId="7F771B25" w14:textId="77777777" w:rsidR="00AD4FA5" w:rsidRDefault="00000000">
            <w:r>
              <w:rPr>
                <w:rFonts w:ascii="Arial" w:hAnsi="Arial"/>
                <w:sz w:val="18"/>
              </w:rPr>
              <w:t>DBS Group</w:t>
            </w:r>
          </w:p>
        </w:tc>
        <w:tc>
          <w:tcPr>
            <w:tcW w:w="2257" w:type="dxa"/>
          </w:tcPr>
          <w:p w14:paraId="175944C4" w14:textId="77777777" w:rsidR="00AD4FA5" w:rsidRDefault="00000000">
            <w:r>
              <w:rPr>
                <w:rFonts w:ascii="Arial" w:hAnsi="Arial"/>
                <w:sz w:val="18"/>
              </w:rPr>
              <w:t>Internal carbon price ($15/tCO₂)</w:t>
            </w:r>
          </w:p>
        </w:tc>
        <w:tc>
          <w:tcPr>
            <w:tcW w:w="2257" w:type="dxa"/>
          </w:tcPr>
          <w:p w14:paraId="56AFE373" w14:textId="77777777" w:rsidR="00AD4FA5" w:rsidRDefault="00000000">
            <w:r>
              <w:rPr>
                <w:rFonts w:ascii="Arial" w:hAnsi="Arial"/>
                <w:sz w:val="18"/>
              </w:rPr>
              <w:t>Embedded in investment decisions</w:t>
            </w:r>
          </w:p>
        </w:tc>
        <w:tc>
          <w:tcPr>
            <w:tcW w:w="2257" w:type="dxa"/>
          </w:tcPr>
          <w:p w14:paraId="34B5A139" w14:textId="77777777" w:rsidR="00AD4FA5" w:rsidRDefault="00000000">
            <w:pPr>
              <w:jc w:val="right"/>
            </w:pPr>
            <w:r>
              <w:rPr>
                <w:rFonts w:ascii="Arial" w:hAnsi="Arial"/>
                <w:sz w:val="18"/>
              </w:rPr>
              <w:t>2023</w:t>
            </w:r>
          </w:p>
        </w:tc>
      </w:tr>
      <w:tr w:rsidR="00AD4FA5" w14:paraId="012E8E28" w14:textId="77777777">
        <w:trPr>
          <w:jc w:val="center"/>
        </w:trPr>
        <w:tc>
          <w:tcPr>
            <w:tcW w:w="2257" w:type="dxa"/>
            <w:shd w:val="clear" w:color="auto" w:fill="F2F6FC"/>
          </w:tcPr>
          <w:p w14:paraId="36B65ADD" w14:textId="77777777" w:rsidR="00AD4FA5" w:rsidRDefault="00000000">
            <w:r>
              <w:rPr>
                <w:rFonts w:ascii="Arial" w:hAnsi="Arial"/>
                <w:sz w:val="18"/>
              </w:rPr>
              <w:t>Bank Central Asia (BCA)</w:t>
            </w:r>
          </w:p>
        </w:tc>
        <w:tc>
          <w:tcPr>
            <w:tcW w:w="2257" w:type="dxa"/>
            <w:shd w:val="clear" w:color="auto" w:fill="F2F6FC"/>
          </w:tcPr>
          <w:p w14:paraId="0CC89273" w14:textId="77777777" w:rsidR="00AD4FA5" w:rsidRDefault="00000000">
            <w:r>
              <w:rPr>
                <w:rFonts w:ascii="Arial" w:hAnsi="Arial"/>
                <w:sz w:val="18"/>
              </w:rPr>
              <w:t>Green office expansion program</w:t>
            </w:r>
          </w:p>
        </w:tc>
        <w:tc>
          <w:tcPr>
            <w:tcW w:w="2257" w:type="dxa"/>
            <w:shd w:val="clear" w:color="auto" w:fill="F2F6FC"/>
          </w:tcPr>
          <w:p w14:paraId="05A7082B" w14:textId="77777777" w:rsidR="00AD4FA5" w:rsidRDefault="00000000">
            <w:r>
              <w:rPr>
                <w:rFonts w:ascii="Arial" w:hAnsi="Arial"/>
                <w:sz w:val="18"/>
              </w:rPr>
              <w:t>Qualitative (no quantified impact disclosed)</w:t>
            </w:r>
          </w:p>
        </w:tc>
        <w:tc>
          <w:tcPr>
            <w:tcW w:w="2257" w:type="dxa"/>
            <w:shd w:val="clear" w:color="auto" w:fill="F2F6FC"/>
          </w:tcPr>
          <w:p w14:paraId="73F10A8C" w14:textId="77777777" w:rsidR="00AD4FA5" w:rsidRDefault="00000000">
            <w:pPr>
              <w:jc w:val="right"/>
            </w:pPr>
            <w:r>
              <w:rPr>
                <w:rFonts w:ascii="Arial" w:hAnsi="Arial"/>
                <w:sz w:val="18"/>
              </w:rPr>
              <w:t>2024</w:t>
            </w:r>
          </w:p>
        </w:tc>
      </w:tr>
      <w:tr w:rsidR="00AD4FA5" w14:paraId="109BAD79" w14:textId="77777777">
        <w:trPr>
          <w:jc w:val="center"/>
        </w:trPr>
        <w:tc>
          <w:tcPr>
            <w:tcW w:w="2257" w:type="dxa"/>
          </w:tcPr>
          <w:p w14:paraId="72103A38" w14:textId="77777777" w:rsidR="00AD4FA5" w:rsidRDefault="00000000">
            <w:r>
              <w:rPr>
                <w:rFonts w:ascii="Arial" w:hAnsi="Arial"/>
                <w:sz w:val="18"/>
              </w:rPr>
              <w:t>Bank Mandiri</w:t>
            </w:r>
          </w:p>
        </w:tc>
        <w:tc>
          <w:tcPr>
            <w:tcW w:w="2257" w:type="dxa"/>
          </w:tcPr>
          <w:p w14:paraId="73965E31" w14:textId="77777777" w:rsidR="00AD4FA5" w:rsidRDefault="00000000">
            <w:r>
              <w:rPr>
                <w:rFonts w:ascii="Arial" w:hAnsi="Arial"/>
                <w:sz w:val="18"/>
              </w:rPr>
              <w:t>Pilot EV fleet program</w:t>
            </w:r>
          </w:p>
        </w:tc>
        <w:tc>
          <w:tcPr>
            <w:tcW w:w="2257" w:type="dxa"/>
          </w:tcPr>
          <w:p w14:paraId="6AA88019" w14:textId="77777777" w:rsidR="00AD4FA5" w:rsidRDefault="00000000">
            <w:r>
              <w:rPr>
                <w:rFonts w:ascii="Arial" w:hAnsi="Arial"/>
                <w:sz w:val="18"/>
              </w:rPr>
              <w:t>Net-zero 2060 commitment</w:t>
            </w:r>
          </w:p>
        </w:tc>
        <w:tc>
          <w:tcPr>
            <w:tcW w:w="2257" w:type="dxa"/>
          </w:tcPr>
          <w:p w14:paraId="5D473A7D" w14:textId="77777777" w:rsidR="00AD4FA5" w:rsidRDefault="00000000">
            <w:pPr>
              <w:jc w:val="right"/>
            </w:pPr>
            <w:r>
              <w:rPr>
                <w:rFonts w:ascii="Arial" w:hAnsi="Arial"/>
                <w:sz w:val="18"/>
              </w:rPr>
              <w:t>2023</w:t>
            </w:r>
          </w:p>
        </w:tc>
      </w:tr>
    </w:tbl>
    <w:p w14:paraId="3F5AA930" w14:textId="77777777" w:rsidR="00AD4FA5" w:rsidRDefault="00000000">
      <w:r>
        <w:rPr>
          <w:rFonts w:ascii="Arial" w:hAnsi="Arial"/>
          <w:i/>
          <w:sz w:val="16"/>
        </w:rPr>
        <w:t>Source: Source: Sustainability reports from BRI (2023), BCA (2024), DBS Group (2023), Bank Mandiri (2023). BRI is the first Indonesian financial institution to submit an SBTi commitment letter.</w:t>
      </w:r>
    </w:p>
    <w:p w14:paraId="1419730D" w14:textId="77777777" w:rsidR="00AD4FA5" w:rsidRDefault="00AD4FA5"/>
    <w:p w14:paraId="2F5F80AE" w14:textId="77777777" w:rsidR="00AD4FA5" w:rsidRDefault="00000000">
      <w:r>
        <w:rPr>
          <w:i/>
          <w:color w:val="3D6094"/>
          <w:sz w:val="18"/>
        </w:rPr>
        <w:t>Framework references: GRI 305-5 (Reduction of GHG emissions); GRI 305-1 (Direct Scope 1 GHG emissions); GRI 305-2 (Energy indirect Scope 2 GHG emissions); GRI 305-4 (GHG emissions intensity); IPCC 2006 Guidelines for National Greenhouse Gas Inventories</w:t>
      </w:r>
    </w:p>
    <w:p w14:paraId="7DD86D92" w14:textId="77777777" w:rsidR="00AD4FA5" w:rsidRDefault="00AD4FA5">
      <w:pPr>
        <w:pBdr>
          <w:bottom w:val="single" w:sz="6" w:space="1" w:color="999999"/>
        </w:pBdr>
        <w:spacing w:after="80"/>
      </w:pPr>
    </w:p>
    <w:p w14:paraId="72F07C7D" w14:textId="77777777" w:rsidR="00AD4FA5" w:rsidRDefault="00000000">
      <w:pPr>
        <w:spacing w:after="160"/>
        <w:jc w:val="both"/>
      </w:pPr>
      <w:r>
        <w:rPr>
          <w:rFonts w:ascii="Arial" w:hAnsi="Arial"/>
          <w:i/>
          <w:color w:val="646464"/>
          <w:sz w:val="18"/>
        </w:rPr>
        <w:t>These figures have not been subject to external assurance for the current reporting period.</w:t>
      </w:r>
    </w:p>
    <w:p w14:paraId="0EE4AA65" w14:textId="77777777" w:rsidR="00AD4FA5" w:rsidRDefault="00000000">
      <w:pPr>
        <w:spacing w:after="160"/>
        <w:jc w:val="both"/>
      </w:pPr>
      <w:r>
        <w:rPr>
          <w:rFonts w:ascii="Arial" w:hAnsi="Arial"/>
          <w:i/>
          <w:color w:val="646464"/>
          <w:sz w:val="18"/>
        </w:rPr>
        <w:t>The institution has not yet implemented a formalized emissions reduction program. The observed year-over-year changes reflect organic operational variations rather than targeted reduction initiatives.</w:t>
      </w:r>
    </w:p>
    <w:p w14:paraId="75699637" w14:textId="77777777" w:rsidR="00AD4FA5" w:rsidRDefault="00000000">
      <w:pPr>
        <w:spacing w:after="160"/>
        <w:jc w:val="both"/>
      </w:pPr>
      <w:r>
        <w:rPr>
          <w:rFonts w:ascii="Arial" w:hAnsi="Arial"/>
          <w:i/>
          <w:color w:val="646464"/>
          <w:sz w:val="18"/>
        </w:rPr>
        <w:t>Base year selection rationale: 2023 represents the first year of comprehensive Scope 1+2 emissions tracking under the operational control consolidation approach. No significant structural changes (acquisitions, divestments, or methodology changes) occurred between 2023 and 2024 that would require base year recalculation.</w:t>
      </w:r>
    </w:p>
    <w:p w14:paraId="6EB4BEA7" w14:textId="77777777" w:rsidR="00AD4FA5" w:rsidRDefault="00000000">
      <w:pPr>
        <w:spacing w:after="160"/>
        <w:jc w:val="both"/>
      </w:pPr>
      <w:r>
        <w:rPr>
          <w:rFonts w:ascii="Arial" w:hAnsi="Arial"/>
          <w:i/>
          <w:color w:val="646464"/>
          <w:sz w:val="18"/>
        </w:rPr>
        <w:t>Emission factors: Natural gas combustion uses IPCC 2006 Guidelines (56.1 kgCO₂e/GJ); diesel combustion uses IPCC 2006 Guidelines (2.7 kgCO₂e/liter). Scope 2 location-based uses PLN grid emission factor; market-based uses contractual instrument emission factors where applicable.</w:t>
      </w:r>
    </w:p>
    <w:p w14:paraId="2703047B" w14:textId="77777777" w:rsidR="00AD4FA5" w:rsidRDefault="00000000">
      <w:pPr>
        <w:spacing w:after="160"/>
        <w:jc w:val="both"/>
      </w:pPr>
      <w:r>
        <w:rPr>
          <w:rFonts w:ascii="Arial" w:hAnsi="Arial"/>
          <w:i/>
          <w:color w:val="646464"/>
          <w:sz w:val="18"/>
        </w:rPr>
        <w:t>GRI Content Index: 305-5 | Reduction of GHG emissions | Section 4.5</w:t>
      </w:r>
    </w:p>
    <w:p w14:paraId="39CFA73E" w14:textId="77777777" w:rsidR="00AD4FA5" w:rsidRDefault="00000000">
      <w:r>
        <w:br w:type="page"/>
      </w:r>
    </w:p>
    <w:p w14:paraId="6E4FD714" w14:textId="77777777" w:rsidR="00AD4FA5" w:rsidRDefault="00000000">
      <w:pPr>
        <w:pStyle w:val="Heading1"/>
        <w:spacing w:after="240"/>
      </w:pPr>
      <w:bookmarkStart w:id="19" w:name="_Toc231979682"/>
      <w:r>
        <w:rPr>
          <w:rFonts w:ascii="Arial" w:hAnsi="Arial"/>
          <w:color w:val="1B3A6B"/>
          <w:sz w:val="36"/>
        </w:rPr>
        <w:lastRenderedPageBreak/>
        <w:t>Appendix A: Methodology Notes</w:t>
      </w:r>
      <w:bookmarkEnd w:id="19"/>
    </w:p>
    <w:p w14:paraId="07FB0724" w14:textId="77777777" w:rsidR="00AD4FA5" w:rsidRDefault="00000000">
      <w:pPr>
        <w:spacing w:after="160"/>
        <w:jc w:val="both"/>
      </w:pPr>
      <w:r>
        <w:rPr>
          <w:rFonts w:ascii="Arial" w:hAnsi="Arial"/>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14:paraId="444DA0B5" w14:textId="77777777" w:rsidR="00AD4FA5" w:rsidRDefault="00000000">
      <w:pPr>
        <w:pStyle w:val="Heading1"/>
        <w:spacing w:after="240"/>
      </w:pPr>
      <w:bookmarkStart w:id="20" w:name="_Toc231979683"/>
      <w:r>
        <w:rPr>
          <w:rFonts w:ascii="Arial" w:hAnsi="Arial"/>
          <w:color w:val="1B3A6B"/>
          <w:sz w:val="36"/>
        </w:rPr>
        <w:t>Appendix B: Data Quality Summary</w:t>
      </w:r>
      <w:bookmarkEnd w:id="20"/>
    </w:p>
    <w:p w14:paraId="711B152B" w14:textId="77777777" w:rsidR="00AD4FA5" w:rsidRDefault="00000000">
      <w:pPr>
        <w:spacing w:after="160"/>
        <w:jc w:val="both"/>
      </w:pPr>
      <w:r>
        <w:rPr>
          <w:rFonts w:ascii="Arial" w:hAnsi="Arial"/>
        </w:rPr>
        <w:t>Data quality is assessed per the PCAF data quality scoring framework (1-5) and the GHG Protocol data quality indicators. Portfolio-weighted PCAF score and data completeness percentage are reported in the main body.</w:t>
      </w:r>
    </w:p>
    <w:p w14:paraId="37081586" w14:textId="77777777" w:rsidR="00AD4FA5" w:rsidRDefault="00000000">
      <w:pPr>
        <w:pStyle w:val="Heading1"/>
        <w:spacing w:after="240"/>
      </w:pPr>
      <w:bookmarkStart w:id="21" w:name="_Toc231979684"/>
      <w:r>
        <w:rPr>
          <w:rFonts w:ascii="Arial" w:hAnsi="Arial"/>
          <w:color w:val="1B3A6B"/>
          <w:sz w:val="36"/>
        </w:rPr>
        <w:t>Appendix C: GRI Content Index</w:t>
      </w:r>
      <w:bookmarkEnd w:id="21"/>
    </w:p>
    <w:p w14:paraId="4C2E75BE" w14:textId="77777777" w:rsidR="00AD4FA5" w:rsidRDefault="00000000">
      <w:r>
        <w:rPr>
          <w:rFonts w:ascii="Arial" w:hAnsi="Arial"/>
          <w:b/>
          <w:sz w:val="20"/>
        </w:rPr>
        <w:t>GRI Standards Content Index</w:t>
      </w:r>
    </w:p>
    <w:tbl>
      <w:tblPr>
        <w:tblW w:w="0" w:type="auto"/>
        <w:jc w:val="center"/>
        <w:tblLook w:val="04A0" w:firstRow="1" w:lastRow="0" w:firstColumn="1" w:lastColumn="0" w:noHBand="0" w:noVBand="1"/>
      </w:tblPr>
      <w:tblGrid>
        <w:gridCol w:w="2257"/>
        <w:gridCol w:w="2257"/>
        <w:gridCol w:w="2257"/>
        <w:gridCol w:w="2257"/>
      </w:tblGrid>
      <w:tr w:rsidR="00AD4FA5" w14:paraId="1DD89752" w14:textId="77777777">
        <w:trPr>
          <w:jc w:val="center"/>
        </w:trPr>
        <w:tc>
          <w:tcPr>
            <w:tcW w:w="2257" w:type="dxa"/>
            <w:shd w:val="clear" w:color="auto" w:fill="1B3A6B"/>
          </w:tcPr>
          <w:p w14:paraId="2D67DF7A" w14:textId="77777777" w:rsidR="00AD4FA5" w:rsidRDefault="00000000">
            <w:r>
              <w:rPr>
                <w:rFonts w:ascii="Arial" w:hAnsi="Arial"/>
                <w:b/>
                <w:color w:val="FFFFFF"/>
                <w:sz w:val="18"/>
              </w:rPr>
              <w:t>GRI Standard</w:t>
            </w:r>
          </w:p>
        </w:tc>
        <w:tc>
          <w:tcPr>
            <w:tcW w:w="2257" w:type="dxa"/>
            <w:shd w:val="clear" w:color="auto" w:fill="1B3A6B"/>
          </w:tcPr>
          <w:p w14:paraId="04F522EA" w14:textId="77777777" w:rsidR="00AD4FA5" w:rsidRDefault="00000000">
            <w:r>
              <w:rPr>
                <w:rFonts w:ascii="Arial" w:hAnsi="Arial"/>
                <w:b/>
                <w:color w:val="FFFFFF"/>
                <w:sz w:val="18"/>
              </w:rPr>
              <w:t>Disclosure</w:t>
            </w:r>
          </w:p>
        </w:tc>
        <w:tc>
          <w:tcPr>
            <w:tcW w:w="2257" w:type="dxa"/>
            <w:shd w:val="clear" w:color="auto" w:fill="1B3A6B"/>
          </w:tcPr>
          <w:p w14:paraId="4B492B72" w14:textId="77777777" w:rsidR="00AD4FA5" w:rsidRDefault="00000000">
            <w:r>
              <w:rPr>
                <w:rFonts w:ascii="Arial" w:hAnsi="Arial"/>
                <w:b/>
                <w:color w:val="FFFFFF"/>
                <w:sz w:val="18"/>
              </w:rPr>
              <w:t>Section Reference</w:t>
            </w:r>
          </w:p>
        </w:tc>
        <w:tc>
          <w:tcPr>
            <w:tcW w:w="2257" w:type="dxa"/>
            <w:shd w:val="clear" w:color="auto" w:fill="1B3A6B"/>
          </w:tcPr>
          <w:p w14:paraId="51149658" w14:textId="77777777" w:rsidR="00AD4FA5" w:rsidRDefault="00000000">
            <w:r>
              <w:rPr>
                <w:rFonts w:ascii="Arial" w:hAnsi="Arial"/>
                <w:b/>
                <w:color w:val="FFFFFF"/>
                <w:sz w:val="18"/>
              </w:rPr>
              <w:t>Omission</w:t>
            </w:r>
          </w:p>
        </w:tc>
      </w:tr>
      <w:tr w:rsidR="00AD4FA5" w14:paraId="6AEFCD46" w14:textId="77777777">
        <w:trPr>
          <w:jc w:val="center"/>
        </w:trPr>
        <w:tc>
          <w:tcPr>
            <w:tcW w:w="2257" w:type="dxa"/>
          </w:tcPr>
          <w:p w14:paraId="1931E71A" w14:textId="77777777" w:rsidR="00AD4FA5" w:rsidRDefault="00000000">
            <w:r>
              <w:rPr>
                <w:rFonts w:ascii="Arial" w:hAnsi="Arial"/>
                <w:sz w:val="18"/>
              </w:rPr>
              <w:t>GRI 2-7</w:t>
            </w:r>
          </w:p>
        </w:tc>
        <w:tc>
          <w:tcPr>
            <w:tcW w:w="2257" w:type="dxa"/>
          </w:tcPr>
          <w:p w14:paraId="2A7BA0C5" w14:textId="77777777" w:rsidR="00AD4FA5" w:rsidRDefault="00000000">
            <w:r>
              <w:rPr>
                <w:rFonts w:ascii="Arial" w:hAnsi="Arial"/>
                <w:sz w:val="18"/>
              </w:rPr>
              <w:t>Employees</w:t>
            </w:r>
          </w:p>
        </w:tc>
        <w:tc>
          <w:tcPr>
            <w:tcW w:w="2257" w:type="dxa"/>
          </w:tcPr>
          <w:p w14:paraId="63D3749D" w14:textId="77777777" w:rsidR="00AD4FA5" w:rsidRDefault="00000000">
            <w:r>
              <w:rPr>
                <w:rFonts w:ascii="Arial" w:hAnsi="Arial"/>
                <w:sz w:val="18"/>
              </w:rPr>
              <w:t>Section: Social</w:t>
            </w:r>
          </w:p>
        </w:tc>
        <w:tc>
          <w:tcPr>
            <w:tcW w:w="2257" w:type="dxa"/>
          </w:tcPr>
          <w:p w14:paraId="422D9D14" w14:textId="77777777" w:rsidR="00AD4FA5" w:rsidRDefault="00000000">
            <w:r>
              <w:rPr>
                <w:rFonts w:ascii="Arial" w:hAnsi="Arial"/>
                <w:sz w:val="18"/>
              </w:rPr>
              <w:t>None</w:t>
            </w:r>
          </w:p>
        </w:tc>
      </w:tr>
      <w:tr w:rsidR="00AD4FA5" w14:paraId="71C97402" w14:textId="77777777">
        <w:trPr>
          <w:jc w:val="center"/>
        </w:trPr>
        <w:tc>
          <w:tcPr>
            <w:tcW w:w="2257" w:type="dxa"/>
            <w:shd w:val="clear" w:color="auto" w:fill="F2F6FC"/>
          </w:tcPr>
          <w:p w14:paraId="0CA2DB70" w14:textId="77777777" w:rsidR="00AD4FA5" w:rsidRDefault="00000000">
            <w:r>
              <w:rPr>
                <w:rFonts w:ascii="Arial" w:hAnsi="Arial"/>
                <w:sz w:val="18"/>
              </w:rPr>
              <w:t>GRI 305-1</w:t>
            </w:r>
          </w:p>
        </w:tc>
        <w:tc>
          <w:tcPr>
            <w:tcW w:w="2257" w:type="dxa"/>
            <w:shd w:val="clear" w:color="auto" w:fill="F2F6FC"/>
          </w:tcPr>
          <w:p w14:paraId="5EC90578" w14:textId="77777777" w:rsidR="00AD4FA5" w:rsidRDefault="00000000">
            <w:r>
              <w:rPr>
                <w:rFonts w:ascii="Arial" w:hAnsi="Arial"/>
                <w:sz w:val="18"/>
              </w:rPr>
              <w:t>Direct (Scope 1) GHG emissions</w:t>
            </w:r>
          </w:p>
        </w:tc>
        <w:tc>
          <w:tcPr>
            <w:tcW w:w="2257" w:type="dxa"/>
            <w:shd w:val="clear" w:color="auto" w:fill="F2F6FC"/>
          </w:tcPr>
          <w:p w14:paraId="60E3A5C2" w14:textId="77777777" w:rsidR="00AD4FA5" w:rsidRDefault="00000000">
            <w:r>
              <w:rPr>
                <w:rFonts w:ascii="Arial" w:hAnsi="Arial"/>
                <w:sz w:val="18"/>
              </w:rPr>
              <w:t>Section: Scope 1</w:t>
            </w:r>
          </w:p>
        </w:tc>
        <w:tc>
          <w:tcPr>
            <w:tcW w:w="2257" w:type="dxa"/>
            <w:shd w:val="clear" w:color="auto" w:fill="F2F6FC"/>
          </w:tcPr>
          <w:p w14:paraId="185AE32A" w14:textId="77777777" w:rsidR="00AD4FA5" w:rsidRDefault="00000000">
            <w:r>
              <w:rPr>
                <w:rFonts w:ascii="Arial" w:hAnsi="Arial"/>
                <w:sz w:val="18"/>
              </w:rPr>
              <w:t>None</w:t>
            </w:r>
          </w:p>
        </w:tc>
      </w:tr>
      <w:tr w:rsidR="00AD4FA5" w14:paraId="6B385168" w14:textId="77777777">
        <w:trPr>
          <w:jc w:val="center"/>
        </w:trPr>
        <w:tc>
          <w:tcPr>
            <w:tcW w:w="2257" w:type="dxa"/>
          </w:tcPr>
          <w:p w14:paraId="587461F1" w14:textId="77777777" w:rsidR="00AD4FA5" w:rsidRDefault="00000000">
            <w:r>
              <w:rPr>
                <w:rFonts w:ascii="Arial" w:hAnsi="Arial"/>
                <w:sz w:val="18"/>
              </w:rPr>
              <w:t>GRI 305-2</w:t>
            </w:r>
          </w:p>
        </w:tc>
        <w:tc>
          <w:tcPr>
            <w:tcW w:w="2257" w:type="dxa"/>
          </w:tcPr>
          <w:p w14:paraId="03DE4614" w14:textId="77777777" w:rsidR="00AD4FA5" w:rsidRDefault="00000000">
            <w:r>
              <w:rPr>
                <w:rFonts w:ascii="Arial" w:hAnsi="Arial"/>
                <w:sz w:val="18"/>
              </w:rPr>
              <w:t>Energy indirect (Scope 2) GHG emissions</w:t>
            </w:r>
          </w:p>
        </w:tc>
        <w:tc>
          <w:tcPr>
            <w:tcW w:w="2257" w:type="dxa"/>
          </w:tcPr>
          <w:p w14:paraId="0133137C" w14:textId="77777777" w:rsidR="00AD4FA5" w:rsidRDefault="00000000">
            <w:r>
              <w:rPr>
                <w:rFonts w:ascii="Arial" w:hAnsi="Arial"/>
                <w:sz w:val="18"/>
              </w:rPr>
              <w:t>Section: Scope 2</w:t>
            </w:r>
          </w:p>
        </w:tc>
        <w:tc>
          <w:tcPr>
            <w:tcW w:w="2257" w:type="dxa"/>
          </w:tcPr>
          <w:p w14:paraId="1F7F2197" w14:textId="77777777" w:rsidR="00AD4FA5" w:rsidRDefault="00000000">
            <w:r>
              <w:rPr>
                <w:rFonts w:ascii="Arial" w:hAnsi="Arial"/>
                <w:sz w:val="18"/>
              </w:rPr>
              <w:t>None</w:t>
            </w:r>
          </w:p>
        </w:tc>
      </w:tr>
      <w:tr w:rsidR="00AD4FA5" w14:paraId="5FC98B0C" w14:textId="77777777">
        <w:trPr>
          <w:jc w:val="center"/>
        </w:trPr>
        <w:tc>
          <w:tcPr>
            <w:tcW w:w="2257" w:type="dxa"/>
            <w:shd w:val="clear" w:color="auto" w:fill="F2F6FC"/>
          </w:tcPr>
          <w:p w14:paraId="6A97E6EC" w14:textId="77777777" w:rsidR="00AD4FA5" w:rsidRDefault="00000000">
            <w:r>
              <w:rPr>
                <w:rFonts w:ascii="Arial" w:hAnsi="Arial"/>
                <w:sz w:val="18"/>
              </w:rPr>
              <w:t>GRI 305-3</w:t>
            </w:r>
          </w:p>
        </w:tc>
        <w:tc>
          <w:tcPr>
            <w:tcW w:w="2257" w:type="dxa"/>
            <w:shd w:val="clear" w:color="auto" w:fill="F2F6FC"/>
          </w:tcPr>
          <w:p w14:paraId="6082CFC3" w14:textId="77777777" w:rsidR="00AD4FA5" w:rsidRDefault="00000000">
            <w:r>
              <w:rPr>
                <w:rFonts w:ascii="Arial" w:hAnsi="Arial"/>
                <w:sz w:val="18"/>
              </w:rPr>
              <w:t>Other indirect (Scope 3) GHG emissions</w:t>
            </w:r>
          </w:p>
        </w:tc>
        <w:tc>
          <w:tcPr>
            <w:tcW w:w="2257" w:type="dxa"/>
            <w:shd w:val="clear" w:color="auto" w:fill="F2F6FC"/>
          </w:tcPr>
          <w:p w14:paraId="1569587D" w14:textId="77777777" w:rsidR="00AD4FA5" w:rsidRDefault="00000000">
            <w:r>
              <w:rPr>
                <w:rFonts w:ascii="Arial" w:hAnsi="Arial"/>
                <w:sz w:val="18"/>
              </w:rPr>
              <w:t>Section: PCAF</w:t>
            </w:r>
          </w:p>
        </w:tc>
        <w:tc>
          <w:tcPr>
            <w:tcW w:w="2257" w:type="dxa"/>
            <w:shd w:val="clear" w:color="auto" w:fill="F2F6FC"/>
          </w:tcPr>
          <w:p w14:paraId="0574756D" w14:textId="77777777" w:rsidR="00AD4FA5" w:rsidRDefault="00000000">
            <w:r>
              <w:rPr>
                <w:rFonts w:ascii="Arial" w:hAnsi="Arial"/>
                <w:sz w:val="18"/>
              </w:rPr>
              <w:t>None</w:t>
            </w:r>
          </w:p>
        </w:tc>
      </w:tr>
      <w:tr w:rsidR="00AD4FA5" w14:paraId="65722260" w14:textId="77777777">
        <w:trPr>
          <w:jc w:val="center"/>
        </w:trPr>
        <w:tc>
          <w:tcPr>
            <w:tcW w:w="2257" w:type="dxa"/>
          </w:tcPr>
          <w:p w14:paraId="51E82AE4" w14:textId="77777777" w:rsidR="00AD4FA5" w:rsidRDefault="00000000">
            <w:r>
              <w:rPr>
                <w:rFonts w:ascii="Arial" w:hAnsi="Arial"/>
                <w:sz w:val="18"/>
              </w:rPr>
              <w:t>GRI 305-4</w:t>
            </w:r>
          </w:p>
        </w:tc>
        <w:tc>
          <w:tcPr>
            <w:tcW w:w="2257" w:type="dxa"/>
          </w:tcPr>
          <w:p w14:paraId="52C25D5F" w14:textId="77777777" w:rsidR="00AD4FA5" w:rsidRDefault="00000000">
            <w:r>
              <w:rPr>
                <w:rFonts w:ascii="Arial" w:hAnsi="Arial"/>
                <w:sz w:val="18"/>
              </w:rPr>
              <w:t>GHG emissions intensity</w:t>
            </w:r>
          </w:p>
        </w:tc>
        <w:tc>
          <w:tcPr>
            <w:tcW w:w="2257" w:type="dxa"/>
          </w:tcPr>
          <w:p w14:paraId="0584D89C" w14:textId="77777777" w:rsidR="00AD4FA5" w:rsidRDefault="00000000">
            <w:r>
              <w:rPr>
                <w:rFonts w:ascii="Arial" w:hAnsi="Arial"/>
                <w:sz w:val="18"/>
              </w:rPr>
              <w:t>Section: Intensity</w:t>
            </w:r>
          </w:p>
        </w:tc>
        <w:tc>
          <w:tcPr>
            <w:tcW w:w="2257" w:type="dxa"/>
          </w:tcPr>
          <w:p w14:paraId="54769D01" w14:textId="77777777" w:rsidR="00AD4FA5" w:rsidRDefault="00000000">
            <w:r>
              <w:rPr>
                <w:rFonts w:ascii="Arial" w:hAnsi="Arial"/>
                <w:sz w:val="18"/>
              </w:rPr>
              <w:t>None</w:t>
            </w:r>
          </w:p>
        </w:tc>
      </w:tr>
      <w:tr w:rsidR="00AD4FA5" w14:paraId="02407AB7" w14:textId="77777777">
        <w:trPr>
          <w:jc w:val="center"/>
        </w:trPr>
        <w:tc>
          <w:tcPr>
            <w:tcW w:w="2257" w:type="dxa"/>
            <w:shd w:val="clear" w:color="auto" w:fill="F2F6FC"/>
          </w:tcPr>
          <w:p w14:paraId="669DB61B" w14:textId="77777777" w:rsidR="00AD4FA5" w:rsidRDefault="00000000">
            <w:r>
              <w:rPr>
                <w:rFonts w:ascii="Arial" w:hAnsi="Arial"/>
                <w:sz w:val="18"/>
              </w:rPr>
              <w:t>GRI 305-5</w:t>
            </w:r>
          </w:p>
        </w:tc>
        <w:tc>
          <w:tcPr>
            <w:tcW w:w="2257" w:type="dxa"/>
            <w:shd w:val="clear" w:color="auto" w:fill="F2F6FC"/>
          </w:tcPr>
          <w:p w14:paraId="4B6025F7" w14:textId="77777777" w:rsidR="00AD4FA5" w:rsidRDefault="00000000">
            <w:r>
              <w:rPr>
                <w:rFonts w:ascii="Arial" w:hAnsi="Arial"/>
                <w:sz w:val="18"/>
              </w:rPr>
              <w:t>Reduction of GHG emissions</w:t>
            </w:r>
          </w:p>
        </w:tc>
        <w:tc>
          <w:tcPr>
            <w:tcW w:w="2257" w:type="dxa"/>
            <w:shd w:val="clear" w:color="auto" w:fill="F2F6FC"/>
          </w:tcPr>
          <w:p w14:paraId="429D4DBF" w14:textId="77777777" w:rsidR="00AD4FA5" w:rsidRDefault="00000000">
            <w:r>
              <w:rPr>
                <w:rFonts w:ascii="Arial" w:hAnsi="Arial"/>
                <w:sz w:val="18"/>
              </w:rPr>
              <w:t>Section: Reduction</w:t>
            </w:r>
          </w:p>
        </w:tc>
        <w:tc>
          <w:tcPr>
            <w:tcW w:w="2257" w:type="dxa"/>
            <w:shd w:val="clear" w:color="auto" w:fill="F2F6FC"/>
          </w:tcPr>
          <w:p w14:paraId="27BC6A23" w14:textId="77777777" w:rsidR="00AD4FA5" w:rsidRDefault="00000000">
            <w:r>
              <w:rPr>
                <w:rFonts w:ascii="Arial" w:hAnsi="Arial"/>
                <w:sz w:val="18"/>
              </w:rPr>
              <w:t>Partial — targets in development</w:t>
            </w:r>
          </w:p>
        </w:tc>
      </w:tr>
      <w:tr w:rsidR="00AD4FA5" w14:paraId="7A21A5B3" w14:textId="77777777">
        <w:trPr>
          <w:jc w:val="center"/>
        </w:trPr>
        <w:tc>
          <w:tcPr>
            <w:tcW w:w="2257" w:type="dxa"/>
          </w:tcPr>
          <w:p w14:paraId="7EB06238" w14:textId="77777777" w:rsidR="00AD4FA5" w:rsidRDefault="00000000">
            <w:r>
              <w:rPr>
                <w:rFonts w:ascii="Arial" w:hAnsi="Arial"/>
                <w:sz w:val="18"/>
              </w:rPr>
              <w:t>GRI 401-1</w:t>
            </w:r>
          </w:p>
        </w:tc>
        <w:tc>
          <w:tcPr>
            <w:tcW w:w="2257" w:type="dxa"/>
          </w:tcPr>
          <w:p w14:paraId="4FB4F0D6" w14:textId="77777777" w:rsidR="00AD4FA5" w:rsidRDefault="00000000">
            <w:r>
              <w:rPr>
                <w:rFonts w:ascii="Arial" w:hAnsi="Arial"/>
                <w:sz w:val="18"/>
              </w:rPr>
              <w:t>New employee hires and employee turnover</w:t>
            </w:r>
          </w:p>
        </w:tc>
        <w:tc>
          <w:tcPr>
            <w:tcW w:w="2257" w:type="dxa"/>
          </w:tcPr>
          <w:p w14:paraId="6B882146" w14:textId="77777777" w:rsidR="00AD4FA5" w:rsidRDefault="00000000">
            <w:r>
              <w:rPr>
                <w:rFonts w:ascii="Arial" w:hAnsi="Arial"/>
                <w:sz w:val="18"/>
              </w:rPr>
              <w:t>Section: Social</w:t>
            </w:r>
          </w:p>
        </w:tc>
        <w:tc>
          <w:tcPr>
            <w:tcW w:w="2257" w:type="dxa"/>
          </w:tcPr>
          <w:p w14:paraId="60716AF8" w14:textId="77777777" w:rsidR="00AD4FA5" w:rsidRDefault="00000000">
            <w:r>
              <w:rPr>
                <w:rFonts w:ascii="Arial" w:hAnsi="Arial"/>
                <w:sz w:val="18"/>
              </w:rPr>
              <w:t>None</w:t>
            </w:r>
          </w:p>
        </w:tc>
      </w:tr>
      <w:tr w:rsidR="00AD4FA5" w14:paraId="2270520C" w14:textId="77777777">
        <w:trPr>
          <w:jc w:val="center"/>
        </w:trPr>
        <w:tc>
          <w:tcPr>
            <w:tcW w:w="2257" w:type="dxa"/>
            <w:shd w:val="clear" w:color="auto" w:fill="F2F6FC"/>
          </w:tcPr>
          <w:p w14:paraId="77DEBCA9" w14:textId="77777777" w:rsidR="00AD4FA5" w:rsidRDefault="00000000">
            <w:r>
              <w:rPr>
                <w:rFonts w:ascii="Arial" w:hAnsi="Arial"/>
                <w:sz w:val="18"/>
              </w:rPr>
              <w:t>GRI 404-1</w:t>
            </w:r>
          </w:p>
        </w:tc>
        <w:tc>
          <w:tcPr>
            <w:tcW w:w="2257" w:type="dxa"/>
            <w:shd w:val="clear" w:color="auto" w:fill="F2F6FC"/>
          </w:tcPr>
          <w:p w14:paraId="36F88A51" w14:textId="77777777" w:rsidR="00AD4FA5" w:rsidRDefault="00000000">
            <w:r>
              <w:rPr>
                <w:rFonts w:ascii="Arial" w:hAnsi="Arial"/>
                <w:sz w:val="18"/>
              </w:rPr>
              <w:t>Average hours of training per year per employee</w:t>
            </w:r>
          </w:p>
        </w:tc>
        <w:tc>
          <w:tcPr>
            <w:tcW w:w="2257" w:type="dxa"/>
            <w:shd w:val="clear" w:color="auto" w:fill="F2F6FC"/>
          </w:tcPr>
          <w:p w14:paraId="77DF270E" w14:textId="77777777" w:rsidR="00AD4FA5" w:rsidRDefault="00000000">
            <w:r>
              <w:rPr>
                <w:rFonts w:ascii="Arial" w:hAnsi="Arial"/>
                <w:sz w:val="18"/>
              </w:rPr>
              <w:t>Section: Social</w:t>
            </w:r>
          </w:p>
        </w:tc>
        <w:tc>
          <w:tcPr>
            <w:tcW w:w="2257" w:type="dxa"/>
            <w:shd w:val="clear" w:color="auto" w:fill="F2F6FC"/>
          </w:tcPr>
          <w:p w14:paraId="46EA37ED" w14:textId="77777777" w:rsidR="00AD4FA5" w:rsidRDefault="00000000">
            <w:r>
              <w:rPr>
                <w:rFonts w:ascii="Arial" w:hAnsi="Arial"/>
                <w:sz w:val="18"/>
              </w:rPr>
              <w:t>None</w:t>
            </w:r>
          </w:p>
        </w:tc>
      </w:tr>
      <w:tr w:rsidR="00AD4FA5" w14:paraId="1F0E7FCD" w14:textId="77777777">
        <w:trPr>
          <w:jc w:val="center"/>
        </w:trPr>
        <w:tc>
          <w:tcPr>
            <w:tcW w:w="2257" w:type="dxa"/>
          </w:tcPr>
          <w:p w14:paraId="4A084CC2" w14:textId="77777777" w:rsidR="00AD4FA5" w:rsidRDefault="00000000">
            <w:r>
              <w:rPr>
                <w:rFonts w:ascii="Arial" w:hAnsi="Arial"/>
                <w:sz w:val="18"/>
              </w:rPr>
              <w:t>GRI 405-1</w:t>
            </w:r>
          </w:p>
        </w:tc>
        <w:tc>
          <w:tcPr>
            <w:tcW w:w="2257" w:type="dxa"/>
          </w:tcPr>
          <w:p w14:paraId="3B75835F" w14:textId="77777777" w:rsidR="00AD4FA5" w:rsidRDefault="00000000">
            <w:r>
              <w:rPr>
                <w:rFonts w:ascii="Arial" w:hAnsi="Arial"/>
                <w:sz w:val="18"/>
              </w:rPr>
              <w:t>Diversity of governance bodies and employees</w:t>
            </w:r>
          </w:p>
        </w:tc>
        <w:tc>
          <w:tcPr>
            <w:tcW w:w="2257" w:type="dxa"/>
          </w:tcPr>
          <w:p w14:paraId="263DA5A3" w14:textId="77777777" w:rsidR="00AD4FA5" w:rsidRDefault="00000000">
            <w:r>
              <w:rPr>
                <w:rFonts w:ascii="Arial" w:hAnsi="Arial"/>
                <w:sz w:val="18"/>
              </w:rPr>
              <w:t>Section: Social</w:t>
            </w:r>
          </w:p>
        </w:tc>
        <w:tc>
          <w:tcPr>
            <w:tcW w:w="2257" w:type="dxa"/>
          </w:tcPr>
          <w:p w14:paraId="260814B1" w14:textId="77777777" w:rsidR="00AD4FA5" w:rsidRDefault="00000000">
            <w:r>
              <w:rPr>
                <w:rFonts w:ascii="Arial" w:hAnsi="Arial"/>
                <w:sz w:val="18"/>
              </w:rPr>
              <w:t>None</w:t>
            </w:r>
          </w:p>
        </w:tc>
      </w:tr>
      <w:tr w:rsidR="00AD4FA5" w14:paraId="692F98B5" w14:textId="77777777">
        <w:trPr>
          <w:jc w:val="center"/>
        </w:trPr>
        <w:tc>
          <w:tcPr>
            <w:tcW w:w="2257" w:type="dxa"/>
            <w:shd w:val="clear" w:color="auto" w:fill="F2F6FC"/>
          </w:tcPr>
          <w:p w14:paraId="0A49A97A" w14:textId="77777777" w:rsidR="00AD4FA5" w:rsidRDefault="00000000">
            <w:r>
              <w:rPr>
                <w:rFonts w:ascii="Arial" w:hAnsi="Arial"/>
                <w:sz w:val="18"/>
              </w:rPr>
              <w:t>GRI 406-1</w:t>
            </w:r>
          </w:p>
        </w:tc>
        <w:tc>
          <w:tcPr>
            <w:tcW w:w="2257" w:type="dxa"/>
            <w:shd w:val="clear" w:color="auto" w:fill="F2F6FC"/>
          </w:tcPr>
          <w:p w14:paraId="46F7642B" w14:textId="77777777" w:rsidR="00AD4FA5" w:rsidRDefault="00000000">
            <w:r>
              <w:rPr>
                <w:rFonts w:ascii="Arial" w:hAnsi="Arial"/>
                <w:sz w:val="18"/>
              </w:rPr>
              <w:t>Incidents of discrimination and corrective actions</w:t>
            </w:r>
          </w:p>
        </w:tc>
        <w:tc>
          <w:tcPr>
            <w:tcW w:w="2257" w:type="dxa"/>
            <w:shd w:val="clear" w:color="auto" w:fill="F2F6FC"/>
          </w:tcPr>
          <w:p w14:paraId="1BCA9DF7" w14:textId="77777777" w:rsidR="00AD4FA5" w:rsidRDefault="00000000">
            <w:r>
              <w:rPr>
                <w:rFonts w:ascii="Arial" w:hAnsi="Arial"/>
                <w:sz w:val="18"/>
              </w:rPr>
              <w:t>Section: Social</w:t>
            </w:r>
          </w:p>
        </w:tc>
        <w:tc>
          <w:tcPr>
            <w:tcW w:w="2257" w:type="dxa"/>
            <w:shd w:val="clear" w:color="auto" w:fill="F2F6FC"/>
          </w:tcPr>
          <w:p w14:paraId="471AC620" w14:textId="77777777" w:rsidR="00AD4FA5" w:rsidRDefault="00000000">
            <w:r>
              <w:rPr>
                <w:rFonts w:ascii="Arial" w:hAnsi="Arial"/>
                <w:sz w:val="18"/>
              </w:rPr>
              <w:t>None</w:t>
            </w:r>
          </w:p>
        </w:tc>
      </w:tr>
    </w:tbl>
    <w:p w14:paraId="620244D9" w14:textId="77777777" w:rsidR="00AD4FA5" w:rsidRDefault="00000000">
      <w:r>
        <w:rPr>
          <w:rFonts w:ascii="Arial" w:hAnsi="Arial"/>
          <w:i/>
          <w:sz w:val="16"/>
        </w:rPr>
        <w:t>Source: GRI Standards 2021</w:t>
      </w:r>
    </w:p>
    <w:p w14:paraId="0C1824A8" w14:textId="77777777" w:rsidR="00AD4FA5" w:rsidRDefault="00AD4FA5"/>
    <w:sectPr w:rsidR="00AD4FA5" w:rsidSect="00034616">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FC06" w14:textId="77777777" w:rsidR="00C60E0B" w:rsidRDefault="00C60E0B">
      <w:pPr>
        <w:spacing w:after="0" w:line="240" w:lineRule="auto"/>
      </w:pPr>
      <w:r>
        <w:separator/>
      </w:r>
    </w:p>
  </w:endnote>
  <w:endnote w:type="continuationSeparator" w:id="0">
    <w:p w14:paraId="6E9A8BCE" w14:textId="77777777" w:rsidR="00C60E0B" w:rsidRDefault="00C60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B634" w14:textId="42BAEB7B" w:rsidR="00AD4FA5" w:rsidRDefault="00000000">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543941">
      <w:rPr>
        <w:color w:val="808080"/>
        <w:sz w:val="18"/>
      </w:rPr>
      <w:fldChar w:fldCharType="separate"/>
    </w:r>
    <w:r w:rsidR="00543941">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543941">
      <w:rPr>
        <w:color w:val="808080"/>
        <w:sz w:val="18"/>
      </w:rPr>
      <w:fldChar w:fldCharType="separate"/>
    </w:r>
    <w:r w:rsidR="00543941">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B848" w14:textId="77777777" w:rsidR="00C60E0B" w:rsidRDefault="00C60E0B">
      <w:pPr>
        <w:spacing w:after="0" w:line="240" w:lineRule="auto"/>
      </w:pPr>
      <w:r>
        <w:separator/>
      </w:r>
    </w:p>
  </w:footnote>
  <w:footnote w:type="continuationSeparator" w:id="0">
    <w:p w14:paraId="5C0F668D" w14:textId="77777777" w:rsidR="00C60E0B" w:rsidRDefault="00C60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968C" w14:textId="77777777" w:rsidR="00AD4FA5" w:rsidRDefault="00000000">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733679">
    <w:abstractNumId w:val="8"/>
  </w:num>
  <w:num w:numId="2" w16cid:durableId="400565699">
    <w:abstractNumId w:val="6"/>
  </w:num>
  <w:num w:numId="3" w16cid:durableId="22634234">
    <w:abstractNumId w:val="5"/>
  </w:num>
  <w:num w:numId="4" w16cid:durableId="69163479">
    <w:abstractNumId w:val="4"/>
  </w:num>
  <w:num w:numId="5" w16cid:durableId="163513566">
    <w:abstractNumId w:val="7"/>
  </w:num>
  <w:num w:numId="6" w16cid:durableId="606742737">
    <w:abstractNumId w:val="3"/>
  </w:num>
  <w:num w:numId="7" w16cid:durableId="1103914809">
    <w:abstractNumId w:val="2"/>
  </w:num>
  <w:num w:numId="8" w16cid:durableId="924146926">
    <w:abstractNumId w:val="1"/>
  </w:num>
  <w:num w:numId="9" w16cid:durableId="116092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4AF"/>
    <w:rsid w:val="0015074B"/>
    <w:rsid w:val="0029639D"/>
    <w:rsid w:val="00326F90"/>
    <w:rsid w:val="00543941"/>
    <w:rsid w:val="00AA1D8D"/>
    <w:rsid w:val="00AD4FA5"/>
    <w:rsid w:val="00B47730"/>
    <w:rsid w:val="00C60E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0DBD48-3F8F-4078-936A-BCD5287AE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3941"/>
    <w:pPr>
      <w:spacing w:after="100"/>
    </w:pPr>
  </w:style>
  <w:style w:type="paragraph" w:styleId="TOC2">
    <w:name w:val="toc 2"/>
    <w:basedOn w:val="Normal"/>
    <w:next w:val="Normal"/>
    <w:autoRedefine/>
    <w:uiPriority w:val="39"/>
    <w:unhideWhenUsed/>
    <w:rsid w:val="00543941"/>
    <w:pPr>
      <w:spacing w:after="100"/>
      <w:ind w:left="220"/>
    </w:pPr>
  </w:style>
  <w:style w:type="character" w:styleId="Hyperlink">
    <w:name w:val="Hyperlink"/>
    <w:basedOn w:val="DefaultParagraphFont"/>
    <w:uiPriority w:val="99"/>
    <w:unhideWhenUsed/>
    <w:rsid w:val="005439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22959</Words>
  <Characters>130868</Characters>
  <Application>Microsoft Office Word</Application>
  <DocSecurity>0</DocSecurity>
  <Lines>1090</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arn:aws:states:us-east-1:061039769766:execution:ESGReportGenerationStateMachine:595833dd-c5b3-40e3-9e59-dc6475b932ec</dc:description>
  <cp:lastModifiedBy>Raditya Rahardyansyah Rifat</cp:lastModifiedBy>
  <cp:revision>2</cp:revision>
  <dcterms:created xsi:type="dcterms:W3CDTF">2013-12-23T23:15:00Z</dcterms:created>
  <dcterms:modified xsi:type="dcterms:W3CDTF">2026-06-10T03:27:00Z</dcterms:modified>
  <cp:category>ESG Sustainability Report</cp:category>
</cp:coreProperties>
</file>