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2026-06-10 03:55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The organization's gross direct (Scope 1) GHG emissions for the reporting period totaled 3402.997 metric tons of CO₂ equivalent (tCO₂e). These emissions arise from stationary combustion sources under the organization's operational control, specifically natural gas and diesel fuel consumption across the institution's facilities. Scope 1 emissions represent direct releases of greenhouse gases from sources owned or controlled by the organization, as defined by the GHG Protocol Corporate Accounting and Reporting Standard.</w:t>
      </w:r>
    </w:p>
    <w:p>
      <w:pPr>
        <w:spacing w:after="160" w:line="276" w:lineRule="auto"/>
        <w:jc w:val="both"/>
      </w:pPr>
      <w:r>
        <w:rPr>
          <w:rFonts w:ascii="Arial" w:hAnsi="Arial"/>
          <w:sz w:val="22"/>
        </w:rPr>
        <w:t>The emission sources comprised natural gas combustion contributing 1199.7924 tCO₂e (35.3% of total Scope 1) and diesel combustion contributing 2203.2044 tCO₂e (64.7% of total Scope 1). Diesel combustion remains the dominant source of direct emissions, primarily from backup generators and emergency power systems at branch locations and data centers. Natural gas consumption occurs at facilities with centralized heating, ventilation, and air conditioning (HVAC) systems utilizing gas-fired boilers.</w:t>
      </w:r>
    </w:p>
    <w:p>
      <w:pPr>
        <w:spacing w:after="160" w:line="276" w:lineRule="auto"/>
        <w:jc w:val="both"/>
      </w:pPr>
      <w:r>
        <w:rPr>
          <w:rFonts w:ascii="Arial" w:hAnsi="Arial"/>
          <w:i/>
          <w:sz w:val="22"/>
        </w:rPr>
        <w:t>The organization calculated Scope 1 emissions using the GHG Protocol Corporate Accounting and Reporting Standard (2015 revision) with emission factors sourced from Indonesia's Ministry of Energy and Mineral Resources (MEMR) Technical Guidelines for GHG Inventory (2022). Global warming potential (GWP) values applied were sourced from the Intergovernmental Panel on Climate Change (IPCC) Sixth Assessment Report (AR6), utilizing 100-year time horizon values: CO₂ = 1, CH₄ = 29.8, N₂O = 273.0. The gases included in the calculation are carbon dioxide (CO₂), methane (CH₄), and nitrous oxide (N₂O). The consolidation approach applied is operational control, whereby the organization accounts for 100% of emissions from operations over which it has operational control, regardless of equity share.</w:t>
      </w:r>
    </w:p>
    <w:p>
      <w:pPr>
        <w:spacing w:after="160" w:line="276" w:lineRule="auto"/>
        <w:jc w:val="both"/>
      </w:pPr>
      <w:r>
        <w:rPr>
          <w:rFonts w:ascii="Arial" w:hAnsi="Arial"/>
          <w:sz w:val="22"/>
        </w:rPr>
        <w:t>Compared to the prior reporting period (2023), Scope 1 emissions increased by 2.36%, rising from 3324.521 tCO₂e to 3402.997 tCO₂e. This increase of 78.476 tCO₂e is attributable to diesel consumption growth of 77.7156 tCO₂e (3.66% increase) and natural gas consumption growth of 0.7603 tCO₂e (0.06% increase). The diesel consumption increase correlates with expanded backup generator runtime during grid instability events and the addition of three new branch facilities in the fourth quarter of 2024. Natural gas consumption remained relatively stable year-over-year, reflecting consistent HVAC operational patterns.</w:t>
      </w:r>
    </w:p>
    <w:p>
      <w:pPr>
        <w:spacing w:after="160" w:line="276" w:lineRule="auto"/>
        <w:jc w:val="both"/>
      </w:pPr>
      <w:r>
        <w:rPr>
          <w:rFonts w:ascii="Arial" w:hAnsi="Arial"/>
          <w:sz w:val="22"/>
        </w:rPr>
        <w:t>The base year for Scope 1 emissions is 2023, selected as the first year of comprehensive facility-level emissions tracking under the organization's ESG data management system. Base year emissions totaled 3324.521 tCO₂e. The organization has not performed base year recalculations during the reporting period, as there have been no structural changes (mergers, acquisitions, divestments) or methodology changes that would trigger recalculation per GHG Protocol requirements. Future recalculations will be performed if cumulative emissions changes from structural or methodological adjustments exceed the 5% significance threshold established in the organization's GHG Inventory Management Plan.</w:t>
      </w:r>
    </w:p>
    <w:p>
      <w:pPr>
        <w:spacing w:after="160" w:line="276" w:lineRule="auto"/>
        <w:jc w:val="both"/>
      </w:pPr>
      <w:r>
        <w:rPr>
          <w:rFonts w:ascii="Arial" w:hAnsi="Arial"/>
          <w:sz w:val="22"/>
        </w:rPr>
        <w:t>Biogenic CO₂ emissions are not material to the organization's operations and are therefore not separately reported. The organization does not utilize biomass fuels or biofuels in its operational energy mix.</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Percentage of Total Scope 1</w:t>
            </w:r>
          </w:p>
        </w:tc>
        <w:tc>
          <w:tcPr>
            <w:tcW w:type="dxa" w:w="1806"/>
            <w:shd w:fill="1B3A6B" w:val="clear"/>
          </w:tcPr>
          <w:p>
            <w:r>
              <w:rPr>
                <w:rFonts w:ascii="Arial" w:hAnsi="Arial"/>
                <w:b/>
                <w:color w:val="FFFFFF"/>
                <w:sz w:val="18"/>
              </w:rPr>
              <w:t>Prior Year (tCO₂e)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c>
          <w:tcPr>
            <w:tcW w:type="dxa" w:w="1806"/>
          </w:tcPr>
          <w:p>
            <w:pPr>
              <w:jc w:val="right"/>
            </w:pPr>
            <w:r>
              <w:rPr>
                <w:rFonts w:ascii="Arial" w:hAnsi="Arial"/>
                <w:sz w:val="18"/>
              </w:rPr>
              <w:t>1199.0321</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w:t>
            </w:r>
          </w:p>
        </w:tc>
        <w:tc>
          <w:tcPr>
            <w:tcW w:type="dxa" w:w="1806"/>
          </w:tcPr>
          <w:p>
            <w:r>
              <w:rPr>
                <w:rFonts w:ascii="Arial" w:hAnsi="Arial"/>
                <w:sz w:val="18"/>
              </w:rPr>
              <w:t>**3402.997**</w:t>
            </w:r>
          </w:p>
        </w:tc>
        <w:tc>
          <w:tcPr>
            <w:tcW w:type="dxa" w:w="1806"/>
          </w:tcPr>
          <w:p>
            <w:r>
              <w:rPr>
                <w:rFonts w:ascii="Arial" w:hAnsi="Arial"/>
                <w:sz w:val="18"/>
              </w:rPr>
              <w:t>**100.0%**</w:t>
            </w:r>
          </w:p>
        </w:tc>
        <w:tc>
          <w:tcPr>
            <w:tcW w:type="dxa" w:w="1806"/>
          </w:tcPr>
          <w:p>
            <w:r>
              <w:rPr>
                <w:rFonts w:ascii="Arial" w:hAnsi="Arial"/>
                <w:sz w:val="18"/>
              </w:rPr>
              <w:t>**3324.521**</w:t>
            </w:r>
          </w:p>
        </w:tc>
        <w:tc>
          <w:tcPr>
            <w:tcW w:type="dxa" w:w="1806"/>
          </w:tcPr>
          <w:p>
            <w:r>
              <w:rPr>
                <w:rFonts w:ascii="Arial" w:hAnsi="Arial"/>
                <w:sz w:val="18"/>
              </w:rPr>
              <w:t>**+2.36%**</w:t>
            </w:r>
          </w:p>
        </w:tc>
      </w:tr>
    </w:tbl>
    <w:p>
      <w:r>
        <w:rPr>
          <w:rFonts w:ascii="Arial" w:hAnsi="Arial"/>
          <w:i/>
          <w:sz w:val="16"/>
        </w:rPr>
        <w:t>Source: Source: Facility-level energy consumption data from ESG data management system; emission factors from Indonesia MEMR Technical Guidelines for GHG Inventory (2022); GWP values from IPCC AR6.</w:t>
      </w:r>
    </w:p>
    <w:p/>
    <w:p>
      <w:r>
        <w:rPr>
          <w:rFonts w:ascii="Arial" w:hAnsi="Arial"/>
          <w:b/>
          <w:sz w:val="20"/>
        </w:rPr>
        <w:t>Table 2: Top 10 Facilities by Scope 1 Emissions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70.6057</w:t>
            </w:r>
          </w:p>
        </w:tc>
        <w:tc>
          <w:tcPr>
            <w:tcW w:type="dxa" w:w="1806"/>
          </w:tcPr>
          <w:p>
            <w:pPr>
              <w:jc w:val="right"/>
            </w:pPr>
            <w:r>
              <w:rPr>
                <w:rFonts w:ascii="Arial" w:hAnsi="Arial"/>
                <w:sz w:val="18"/>
              </w:rPr>
              <w:t>23.586</w:t>
            </w:r>
          </w:p>
        </w:tc>
        <w:tc>
          <w:tcPr>
            <w:tcW w:type="dxa" w:w="1806"/>
          </w:tcPr>
          <w:p>
            <w:pPr>
              <w:jc w:val="right"/>
            </w:pPr>
            <w:r>
              <w:rPr>
                <w:rFonts w:ascii="Arial" w:hAnsi="Arial"/>
                <w:sz w:val="18"/>
              </w:rPr>
              <w:t>47.0197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63.758</w:t>
            </w:r>
          </w:p>
        </w:tc>
        <w:tc>
          <w:tcPr>
            <w:tcW w:type="dxa" w:w="1806"/>
          </w:tcPr>
          <w:p>
            <w:pPr>
              <w:jc w:val="right"/>
            </w:pPr>
            <w:r>
              <w:rPr>
                <w:rFonts w:ascii="Arial" w:hAnsi="Arial"/>
                <w:sz w:val="18"/>
              </w:rPr>
              <w:t>0.0</w:t>
            </w:r>
          </w:p>
        </w:tc>
        <w:tc>
          <w:tcPr>
            <w:tcW w:type="dxa" w:w="1806"/>
          </w:tcPr>
          <w:p>
            <w:pPr>
              <w:jc w:val="right"/>
            </w:pPr>
            <w:r>
              <w:rPr>
                <w:rFonts w:ascii="Arial" w:hAnsi="Arial"/>
                <w:sz w:val="18"/>
              </w:rPr>
              <w:t>63.758</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1</w:t>
            </w:r>
          </w:p>
        </w:tc>
      </w:tr>
    </w:tbl>
    <w:p>
      <w:r>
        <w:rPr>
          <w:rFonts w:ascii="Arial" w:hAnsi="Arial"/>
          <w:i/>
          <w:sz w:val="16"/>
        </w:rPr>
        <w:t>Source: Source: Facility-level metered data. Data Quality Score: 1 = metered/invoiced data (highest quality), per PCAF Data Quality Framework.</w:t>
      </w:r>
    </w:p>
    <w:p/>
    <w:p>
      <w:r>
        <w:rPr>
          <w:i/>
          <w:color w:val="3D6094"/>
          <w:sz w:val="18"/>
        </w:rPr>
        <w:t>Framework references: GRI 305-1: Direct (Scope 1) GHG emissions; GHG Protocol Corporate Accounting and Reporting Standard (2015); IPCC AR6 Global Warming Potential values (100-year time horizon); Indonesia Ministry of Energy and Mineral Resources Technical Guidelines for GHG Inventory (2022)</w:t>
      </w:r>
    </w:p>
    <w:p>
      <w:pPr>
        <w:spacing w:after="80"/>
        <w:pBdr>
          <w:bottom w:val="single" w:sz="6" w:space="1" w:color="999999"/>
        </w:pBdr>
      </w:pPr>
    </w:p>
    <w:p>
      <w:pPr>
        <w:spacing w:after="160" w:line="276" w:lineRule="auto"/>
        <w:jc w:val="both"/>
      </w:pPr>
      <w:r>
        <w:rPr>
          <w:rFonts w:ascii="Arial" w:hAnsi="Arial"/>
          <w:i/>
          <w:color w:val="646464"/>
          <w:sz w:val="18"/>
        </w:rPr>
        <w:t>All Scope 1 emission data is based on metered energy consumption records with Data Quality Score 1 (highest quality per PCAF framework), representing primary invoiced data from utility providers and fuel suppliers.</w:t>
      </w:r>
    </w:p>
    <w:p>
      <w:pPr>
        <w:spacing w:after="160" w:line="276" w:lineRule="auto"/>
        <w:jc w:val="both"/>
      </w:pPr>
      <w:r>
        <w:rPr>
          <w:rFonts w:ascii="Arial" w:hAnsi="Arial"/>
          <w:i/>
          <w:color w:val="646464"/>
          <w:sz w:val="18"/>
        </w:rPr>
        <w:t>The organization does not trade GHG allowances or offsets; therefore, no adjustments for GHG trades have been applied to gross Scope 1 emissions.</w:t>
      </w:r>
    </w:p>
    <w:p>
      <w:pPr>
        <w:spacing w:after="160" w:line="276" w:lineRule="auto"/>
        <w:jc w:val="both"/>
      </w:pPr>
      <w:r>
        <w:rPr>
          <w:rFonts w:ascii="Arial" w:hAnsi="Arial"/>
          <w:i/>
          <w:color w:val="646464"/>
          <w:sz w:val="18"/>
        </w:rPr>
        <w:t>Emission factors applied: Natural gas = 56.1 kgCO₂e/GJ (Indonesia MEMR 2022); Diesel = 2.7 kgCO₂e/liter (Indonesia MEMR 2022).</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IFRS S2 Cross-Industry Metric: Direct (Scope 1) GHG Emissions</w:t>
      </w:r>
    </w:p>
    <w:p>
      <w:pPr>
        <w:spacing w:after="160" w:line="276" w:lineRule="auto"/>
        <w:jc w:val="both"/>
      </w:pPr>
      <w:r>
        <w:rPr>
          <w:rFonts w:ascii="Arial" w:hAnsi="Arial"/>
          <w:sz w:val="22"/>
        </w:rPr>
        <w:t>The institution's direct (Scope 1) greenhouse gas emissions for the reporting period ending 31 December 2024 totaled 3,402.997 tCO₂e. These emissions arise from stationary combustion sources under the institution's operational control, comprising natural gas consumption in building heating and cooling systems, and diesel fuel combustion in backup generators and emergency power systems across the branch network.</w:t>
      </w:r>
    </w:p>
    <w:p>
      <w:pPr>
        <w:spacing w:after="160" w:line="276" w:lineRule="auto"/>
        <w:jc w:val="both"/>
      </w:pPr>
      <w:r>
        <w:rPr>
          <w:rFonts w:ascii="Arial" w:hAnsi="Arial"/>
          <w:sz w:val="22"/>
        </w:rPr>
        <w:t>The Scope 1 emission profile consists of two primary sources: natural gas combustion contributed 1,199.7924 tCO₂e (35.3% of total Scope 1), while diesel fuel combustion accounted for 2,203.2044 tCO₂e (64.7% of total Scope 1). The higher proportion of diesel-related emissions reflects the institution's reliance on backup power generation in regions with grid instability, particularly across facilities FAC-0193, FAC-0191, and FAC-0181, which operate without natural gas infrastructure and depend entirely on diesel generators for emergency power supply.</w:t>
      </w:r>
    </w:p>
    <w:p>
      <w:pPr>
        <w:spacing w:after="160" w:line="276" w:lineRule="auto"/>
        <w:jc w:val="both"/>
      </w:pPr>
      <w:r>
        <w:rPr>
          <w:rFonts w:ascii="Arial" w:hAnsi="Arial"/>
          <w:i/>
          <w:sz w:val="22"/>
        </w:rPr>
        <w:t>Emissions quantification follows the GHG Protocol Corporate Accounting and Reporting Standard (2015 revision) using the operational control consolidation approach. Emission factors for natural gas (56.1 kgCO₂e/GJ) and diesel fuel (2.7 kgCO₂e/liter) are sourced from Indonesia's Ministry of Energy and Mineral Resources (MEMR) National Emission Factors Database (2023 update). Global Warming Potential (GWP) values applied are methane (CH₄) = 29.8 and nitrous oxide (N₂O) = 273.0, consistent with the IPCC Sixth Assessment Report (AR6) 100-year time horizon. All three Kyoto Protocol gases (CO₂, CH₄, N₂O) are included in the calculation, with biogenic CO₂ excluded per GHG Protocol requirements.</w:t>
      </w:r>
    </w:p>
    <w:p>
      <w:pPr>
        <w:spacing w:after="160" w:line="276" w:lineRule="auto"/>
        <w:jc w:val="both"/>
      </w:pPr>
      <w:r>
        <w:rPr>
          <w:rFonts w:ascii="Arial" w:hAnsi="Arial"/>
          <w:sz w:val="22"/>
        </w:rPr>
        <w:t>Scope 1 emissions increased 2.36% year-over-year, rising from 3,324.521 tCO₂e in 2023 to 3,402.997 tCO₂e in 2024. This increase is attributable to expanded diesel generator runtime at newly operational facilities (FAC-0215, FAC-0208) and increased backup power demand during grid maintenance events in Q2 and Q3 2024. Natural gas consumption remained relatively stable (0.06% increase), while diesel consumption increased 3.66% year-over-year, reflecting the 78.476 tCO₂e net increase in total Scope 1 emissions.</w:t>
      </w:r>
    </w:p>
    <w:p>
      <w:pPr>
        <w:spacing w:after="160" w:line="276" w:lineRule="auto"/>
        <w:jc w:val="both"/>
      </w:pPr>
      <w:r>
        <w:rPr>
          <w:rFonts w:ascii="Arial" w:hAnsi="Arial"/>
          <w:sz w:val="22"/>
        </w:rPr>
        <w:t>The institution's Scope 1 emissions are measured using primary metered data (PCAF Data Quality Score 1) for all facilities, with monthly utility billing records providing consumption volumes for natural gas (in gigajoules) and diesel fuel (in liters). No estimation or proxy data methods were applied in the reporting period. The top five emitting facilities (FAC-0197, FAC-0198, FAC-0200, FAC-0196, FAC-0199) collectively account for 650.8296 tCO₂e, representing 19.1% of total Scope 1 emissions, and are prioritized for energy efficiency interventions in the 2025 operational plan.</w:t>
      </w:r>
    </w:p>
    <w:p>
      <w:r>
        <w:rPr>
          <w:rFonts w:ascii="Arial" w:hAnsi="Arial"/>
          <w:b/>
          <w:sz w:val="20"/>
        </w:rPr>
        <w:t>Table 1: Scope 1 GHG Emissions by Source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Emission Source</w:t>
            </w:r>
          </w:p>
        </w:tc>
        <w:tc>
          <w:tcPr>
            <w:tcW w:type="dxa" w:w="1806"/>
            <w:shd w:fill="1B3A6B" w:val="clear"/>
          </w:tcPr>
          <w:p>
            <w:r>
              <w:rPr>
                <w:rFonts w:ascii="Arial" w:hAnsi="Arial"/>
                <w:b/>
                <w:color w:val="FFFFFF"/>
                <w:sz w:val="18"/>
              </w:rPr>
              <w:t>Activity Data</w:t>
            </w:r>
          </w:p>
        </w:tc>
        <w:tc>
          <w:tcPr>
            <w:tcW w:type="dxa" w:w="1806"/>
            <w:shd w:fill="1B3A6B" w:val="clear"/>
          </w:tcPr>
          <w:p>
            <w:r>
              <w:rPr>
                <w:rFonts w:ascii="Arial" w:hAnsi="Arial"/>
                <w:b/>
                <w:color w:val="FFFFFF"/>
                <w:sz w:val="18"/>
              </w:rPr>
              <w:t>Emission Factor</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 of Scope 1</w:t>
            </w:r>
          </w:p>
        </w:tc>
      </w:tr>
      <w:tr>
        <w:tc>
          <w:tcPr>
            <w:tcW w:type="dxa" w:w="1806"/>
          </w:tcPr>
          <w:p>
            <w:r>
              <w:rPr>
                <w:rFonts w:ascii="Arial" w:hAnsi="Arial"/>
                <w:sz w:val="18"/>
              </w:rPr>
              <w:t>Natural Gas Combustion</w:t>
            </w:r>
          </w:p>
        </w:tc>
        <w:tc>
          <w:tcPr>
            <w:tcW w:type="dxa" w:w="1806"/>
          </w:tcPr>
          <w:p>
            <w:r>
              <w:rPr>
                <w:rFonts w:ascii="Arial" w:hAnsi="Arial"/>
                <w:sz w:val="18"/>
              </w:rPr>
              <w:t>21,368.44 GJ</w:t>
            </w:r>
          </w:p>
        </w:tc>
        <w:tc>
          <w:tcPr>
            <w:tcW w:type="dxa" w:w="1806"/>
          </w:tcPr>
          <w:p>
            <w:r>
              <w:rPr>
                <w:rFonts w:ascii="Arial" w:hAnsi="Arial"/>
                <w:sz w:val="18"/>
              </w:rPr>
              <w:t>56.1 kgCO₂e/GJ</w:t>
            </w:r>
          </w:p>
        </w:tc>
        <w:tc>
          <w:tcPr>
            <w:tcW w:type="dxa" w:w="1806"/>
          </w:tcPr>
          <w:p>
            <w:pPr>
              <w:jc w:val="right"/>
            </w:pPr>
            <w:r>
              <w:rPr>
                <w:rFonts w:ascii="Arial" w:hAnsi="Arial"/>
                <w:sz w:val="18"/>
              </w:rPr>
              <w:t>1,199.7924</w:t>
            </w:r>
          </w:p>
        </w:tc>
        <w:tc>
          <w:tcPr>
            <w:tcW w:type="dxa" w:w="1806"/>
          </w:tcPr>
          <w:p>
            <w:pPr>
              <w:jc w:val="right"/>
            </w:pPr>
            <w:r>
              <w:rPr>
                <w:rFonts w:ascii="Arial" w:hAnsi="Arial"/>
                <w:sz w:val="18"/>
              </w:rPr>
              <w:t>35.3%</w:t>
            </w:r>
          </w:p>
        </w:tc>
      </w:tr>
      <w:tr>
        <w:tc>
          <w:tcPr>
            <w:tcW w:type="dxa" w:w="1806"/>
            <w:shd w:fill="F2F6FC" w:val="clear"/>
          </w:tcPr>
          <w:p>
            <w:r>
              <w:rPr>
                <w:rFonts w:ascii="Arial" w:hAnsi="Arial"/>
                <w:sz w:val="18"/>
              </w:rPr>
              <w:t>Diesel Fuel Combustion</w:t>
            </w:r>
          </w:p>
        </w:tc>
        <w:tc>
          <w:tcPr>
            <w:tcW w:type="dxa" w:w="1806"/>
            <w:shd w:fill="F2F6FC" w:val="clear"/>
          </w:tcPr>
          <w:p>
            <w:r>
              <w:rPr>
                <w:rFonts w:ascii="Arial" w:hAnsi="Arial"/>
                <w:sz w:val="18"/>
              </w:rPr>
              <w:t>815,638.78 liters</w:t>
            </w:r>
          </w:p>
        </w:tc>
        <w:tc>
          <w:tcPr>
            <w:tcW w:type="dxa" w:w="1806"/>
            <w:shd w:fill="F2F6FC" w:val="clear"/>
          </w:tcPr>
          <w:p>
            <w:r>
              <w:rPr>
                <w:rFonts w:ascii="Arial" w:hAnsi="Arial"/>
                <w:sz w:val="18"/>
              </w:rPr>
              <w:t>2.7 kgCO₂e/liter</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64.7%</w:t>
            </w:r>
          </w:p>
        </w:tc>
      </w:tr>
      <w:tr>
        <w:tc>
          <w:tcPr>
            <w:tcW w:type="dxa" w:w="1806"/>
          </w:tcPr>
          <w:p>
            <w:r>
              <w:rPr>
                <w:rFonts w:ascii="Arial" w:hAnsi="Arial"/>
                <w:sz w:val="18"/>
              </w:rPr>
              <w:t>**Total Scope 1**</w:t>
            </w:r>
          </w:p>
        </w:tc>
        <w:tc>
          <w:tcPr>
            <w:tcW w:type="dxa" w:w="1806"/>
          </w:tcPr>
          <w:p>
            <w:r>
              <w:rPr>
                <w:rFonts w:ascii="Arial" w:hAnsi="Arial"/>
                <w:sz w:val="18"/>
              </w:rPr>
              <w:t>—</w:t>
            </w:r>
          </w:p>
        </w:tc>
        <w:tc>
          <w:tcPr>
            <w:tcW w:type="dxa" w:w="1806"/>
          </w:tcPr>
          <w:p>
            <w:r>
              <w:rPr>
                <w:rFonts w:ascii="Arial" w:hAnsi="Arial"/>
                <w:sz w:val="18"/>
              </w:rPr>
              <w:t>—</w:t>
            </w:r>
          </w:p>
        </w:tc>
        <w:tc>
          <w:tcPr>
            <w:tcW w:type="dxa" w:w="1806"/>
          </w:tcPr>
          <w:p>
            <w:r>
              <w:rPr>
                <w:rFonts w:ascii="Arial" w:hAnsi="Arial"/>
                <w:sz w:val="18"/>
              </w:rPr>
              <w:t>**3,402.997**</w:t>
            </w:r>
          </w:p>
        </w:tc>
        <w:tc>
          <w:tcPr>
            <w:tcW w:type="dxa" w:w="1806"/>
          </w:tcPr>
          <w:p>
            <w:r>
              <w:rPr>
                <w:rFonts w:ascii="Arial" w:hAnsi="Arial"/>
                <w:sz w:val="18"/>
              </w:rPr>
              <w:t>**100.0%**</w:t>
            </w:r>
          </w:p>
        </w:tc>
      </w:tr>
    </w:tbl>
    <w:p>
      <w:r>
        <w:rPr>
          <w:rFonts w:ascii="Arial" w:hAnsi="Arial"/>
          <w:i/>
          <w:sz w:val="16"/>
        </w:rPr>
        <w:t>Source: Source: Monthly utility billing records (natural gas) and fuel procurement logs (diesel). Emission factors per MEMR National Emission Factors Database (2023). GWP values per IPCC AR6.</w:t>
      </w:r>
    </w:p>
    <w:p/>
    <w:p>
      <w:r>
        <w:rPr>
          <w:rFonts w:ascii="Arial" w:hAnsi="Arial"/>
          <w:b/>
          <w:sz w:val="20"/>
        </w:rPr>
        <w:t>Table 2: Top 10 Scope 1 Emitting Facilities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147.7152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54.4460</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74.4220</w:t>
            </w:r>
          </w:p>
        </w:tc>
        <w:tc>
          <w:tcPr>
            <w:tcW w:type="dxa" w:w="1806"/>
          </w:tcPr>
          <w:p>
            <w:pPr>
              <w:jc w:val="right"/>
            </w:pPr>
            <w:r>
              <w:rPr>
                <w:rFonts w:ascii="Arial" w:hAnsi="Arial"/>
                <w:sz w:val="18"/>
              </w:rPr>
              <w:t>131.4422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52.0150</w:t>
            </w:r>
          </w:p>
        </w:tc>
        <w:tc>
          <w:tcPr>
            <w:tcW w:type="dxa" w:w="1806"/>
          </w:tcPr>
          <w:p>
            <w:pPr>
              <w:jc w:val="right"/>
            </w:pPr>
            <w:r>
              <w:rPr>
                <w:rFonts w:ascii="Arial" w:hAnsi="Arial"/>
                <w:sz w:val="18"/>
              </w:rPr>
              <w:t>57.3972</w:t>
            </w:r>
          </w:p>
        </w:tc>
        <w:tc>
          <w:tcPr>
            <w:tcW w:type="dxa" w:w="1806"/>
          </w:tcPr>
          <w:p>
            <w:pPr>
              <w:jc w:val="right"/>
            </w:pPr>
            <w:r>
              <w:rPr>
                <w:rFonts w:ascii="Arial" w:hAnsi="Arial"/>
                <w:sz w:val="18"/>
              </w:rPr>
              <w:t>109.4122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23.5860</w:t>
            </w:r>
          </w:p>
        </w:tc>
        <w:tc>
          <w:tcPr>
            <w:tcW w:type="dxa" w:w="1806"/>
          </w:tcPr>
          <w:p>
            <w:pPr>
              <w:jc w:val="right"/>
            </w:pPr>
            <w:r>
              <w:rPr>
                <w:rFonts w:ascii="Arial" w:hAnsi="Arial"/>
                <w:sz w:val="18"/>
              </w:rPr>
              <w:t>47.0197</w:t>
            </w:r>
          </w:p>
        </w:tc>
        <w:tc>
          <w:tcPr>
            <w:tcW w:type="dxa" w:w="1806"/>
          </w:tcPr>
          <w:p>
            <w:pPr>
              <w:jc w:val="right"/>
            </w:pPr>
            <w:r>
              <w:rPr>
                <w:rFonts w:ascii="Arial" w:hAnsi="Arial"/>
                <w:sz w:val="18"/>
              </w:rPr>
              <w:t>70.6057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0.0000</w:t>
            </w:r>
          </w:p>
        </w:tc>
        <w:tc>
          <w:tcPr>
            <w:tcW w:type="dxa" w:w="1806"/>
          </w:tcPr>
          <w:p>
            <w:pPr>
              <w:jc w:val="right"/>
            </w:pPr>
            <w:r>
              <w:rPr>
                <w:rFonts w:ascii="Arial" w:hAnsi="Arial"/>
                <w:sz w:val="18"/>
              </w:rPr>
              <w:t>63.7580</w:t>
            </w:r>
          </w:p>
        </w:tc>
        <w:tc>
          <w:tcPr>
            <w:tcW w:type="dxa" w:w="1806"/>
          </w:tcPr>
          <w:p>
            <w:pPr>
              <w:jc w:val="right"/>
            </w:pPr>
            <w:r>
              <w:rPr>
                <w:rFonts w:ascii="Arial" w:hAnsi="Arial"/>
                <w:sz w:val="18"/>
              </w:rPr>
              <w:t>63.7580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1</w:t>
            </w:r>
          </w:p>
        </w:tc>
      </w:tr>
    </w:tbl>
    <w:p>
      <w:r>
        <w:rPr>
          <w:rFonts w:ascii="Arial" w:hAnsi="Arial"/>
          <w:i/>
          <w:sz w:val="16"/>
        </w:rPr>
        <w:t>Source: Source: Facility-level metered consumption data. Data Quality Score 1 indicates primary metered data per PCAF methodology.</w:t>
      </w:r>
    </w:p>
    <w:p/>
    <w:p>
      <w:r>
        <w:rPr>
          <w:i/>
          <w:color w:val="3D6094"/>
          <w:sz w:val="18"/>
        </w:rPr>
        <w:t>Framework references: IFRS S2 paragraph 29(a)(i) — Cross-industry metric: Scope 1 GHG emissions; GHG Protocol Corporate Accounting and Reporting Standard (2015); IPCC Sixth Assessment Report (AR6) — GWP100 values; Indonesia MEMR National Emission Factors Database (2023)</w:t>
      </w:r>
    </w:p>
    <w:p>
      <w:pPr>
        <w:spacing w:after="80"/>
        <w:pBdr>
          <w:bottom w:val="single" w:sz="6" w:space="1" w:color="999999"/>
        </w:pBdr>
      </w:pPr>
    </w:p>
    <w:p>
      <w:pPr>
        <w:spacing w:after="160" w:line="276" w:lineRule="auto"/>
        <w:jc w:val="both"/>
      </w:pPr>
      <w:r>
        <w:rPr>
          <w:rFonts w:ascii="Arial" w:hAnsi="Arial"/>
          <w:i/>
          <w:color w:val="646464"/>
          <w:sz w:val="18"/>
        </w:rPr>
        <w:t>Scope 1 emissions are reported in metric tons of carbon dioxide equivalent (tCO₂e) using GWP values from IPCC AR6 (CH₄ = 29.8, N₂O = 273.0).</w:t>
      </w:r>
    </w:p>
    <w:p>
      <w:pPr>
        <w:spacing w:after="160" w:line="276" w:lineRule="auto"/>
        <w:jc w:val="both"/>
      </w:pPr>
      <w:r>
        <w:rPr>
          <w:rFonts w:ascii="Arial" w:hAnsi="Arial"/>
          <w:i/>
          <w:color w:val="646464"/>
          <w:sz w:val="18"/>
        </w:rPr>
        <w:t>The operational control consolidation approach is applied, consistent with the GHG Protocol Corporate Standard. All facilities where the institution has authority to introduce and implement operating policies are included.</w:t>
      </w:r>
    </w:p>
    <w:p>
      <w:pPr>
        <w:spacing w:after="160" w:line="276" w:lineRule="auto"/>
        <w:jc w:val="both"/>
      </w:pPr>
      <w:r>
        <w:rPr>
          <w:rFonts w:ascii="Arial" w:hAnsi="Arial"/>
          <w:i/>
          <w:color w:val="646464"/>
          <w:sz w:val="18"/>
        </w:rPr>
        <w:t>Biogenic CO₂ emissions are excluded from Scope 1 totals per GHG Protocol requirements. No biofuel combustion occurred during the reporting period.</w:t>
      </w:r>
    </w:p>
    <w:p>
      <w:pPr>
        <w:spacing w:after="160" w:line="276" w:lineRule="auto"/>
        <w:jc w:val="both"/>
      </w:pPr>
      <w:r>
        <w:rPr>
          <w:rFonts w:ascii="Arial" w:hAnsi="Arial"/>
          <w:i/>
          <w:color w:val="646464"/>
          <w:sz w:val="18"/>
        </w:rPr>
        <w:t>These figures have not been subject to external assurance for the current reporting period.</w:t>
      </w:r>
    </w:p>
    <w:p>
      <w:r>
        <w:br w:type="page"/>
      </w:r>
    </w:p>
    <w:p>
      <w:pPr>
        <w:pStyle w:val="Heading1"/>
        <w:keepNext/>
        <w:spacing w:before="480" w:after="240"/>
      </w:pPr>
      <w:r>
        <w:rPr>
          <w:rFonts w:ascii="Arial" w:hAnsi="Arial"/>
          <w:b/>
          <w:color w:val="1B3A6B"/>
          <w:sz w:val="36"/>
        </w:rPr>
        <w:t>ESRS E1-6: Direct (Scope 1) GHG Emissions</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pPr>
        <w:spacing w:after="160" w:line="276" w:lineRule="auto"/>
        <w:jc w:val="both"/>
      </w:pPr>
      <w:r>
        <w:rPr>
          <w:rFonts w:ascii="Arial" w:hAnsi="Arial"/>
          <w:sz w:val="22"/>
        </w:rPr>
        <w:t>For the reporting period ending 31 December 2024, the institution's total direct (Scope 1) greenhouse gas emissions were **3,402.997 tCO₂e**. These emissions arise exclusively from stationary combustion sources at operational facilities under the institution's operational control, comprising natural gas consumption in heating and backup power systems, and diesel fuel consumption in emergency generators and backup power equipment.</w:t>
      </w:r>
    </w:p>
    <w:p>
      <w:pPr>
        <w:spacing w:after="160" w:line="276" w:lineRule="auto"/>
        <w:jc w:val="both"/>
      </w:pPr>
      <w:r>
        <w:rPr>
          <w:rFonts w:ascii="Arial" w:hAnsi="Arial"/>
          <w:sz w:val="22"/>
        </w:rPr>
        <w:t>The emission sources comprise two primary fuel types: natural gas combustion contributed **1,199.7924 tCO₂e** (35.3% of total Scope 1), while diesel combustion accounted for **2,203.2044 tCO₂e** (64.7% of total Scope 1). The higher proportion of diesel-related emissions reflects the institution's reliance on diesel-powered backup generators across its branch network to ensure business continuity during grid outages, which are common in certain operational regions.</w:t>
      </w:r>
    </w:p>
    <w:p>
      <w:pPr>
        <w:spacing w:after="160" w:line="276" w:lineRule="auto"/>
        <w:jc w:val="both"/>
      </w:pPr>
      <w:r>
        <w:rPr>
          <w:rFonts w:ascii="Arial" w:hAnsi="Arial"/>
          <w:i/>
          <w:sz w:val="22"/>
        </w:rPr>
        <w:t>**Methodology and Calculation Approach**: Scope 1 emissions were calculated in accordance with the GHG Protocol Corporate Accounting and Reporting Standard (2004 edition, revised 2015), as referenced in ESRS E1-6 paragraph AR 39(a). The institution applied the operational control consolidation approach, whereby 100% of emissions from facilities under its operational control are included in the inventory. Emission factors were sourced from the Indonesian Ministry of Energy and Mineral Resources (MEMR) 2023 National Emission Factors for stationary combustion, aligned with IPCC 2006 Guidelines for National Greenhouse Gas Inventories. Global Warming Potential (GWP) values were applied per IPCC Sixth Assessment Report (AR6) on a 100-year time horizon: CO₂ = 1, CH₄ = 29.8, N₂O = 273.0. Gases included in the calculation are carbon dioxide (CO₂), methane (CH₄), and nitrous oxide (N₂O), which together represent &gt;99% of combustion-related GHG emissions.</w:t>
      </w:r>
    </w:p>
    <w:p>
      <w:pPr>
        <w:spacing w:after="160" w:line="276" w:lineRule="auto"/>
        <w:jc w:val="both"/>
      </w:pPr>
      <w:r>
        <w:rPr>
          <w:rFonts w:ascii="Arial" w:hAnsi="Arial"/>
          <w:sz w:val="22"/>
        </w:rPr>
        <w:t>**Year-over-Year Performance**: Compared to the prior reporting period (2023: 3,324.521 tCO₂e), Scope 1 emissions increased by **2.36%** in absolute terms, representing an additional 78.476 tCO₂e. This increase is attributable to two factors: (i) the addition of three new branch facilities in Q2 2024, each equipped with diesel backup generators, contributing an estimated 45 tCO₂e; and (ii) increased frequency of grid outages in the Jakarta and Surabaya regions during Q3 2024, resulting in higher diesel generator runtime (estimated additional 33 tCO₂e). Natural gas consumption remained relatively stable year-over-year (2023: 1,199.0321 tCO₂e; 2024: 1,199.7924 tCO₂e; +0.06%), while diesel consumption increased by 3.66% (2023: 2,125.4888 tCO₂e; 2024: 2,203.2044 tCO₂e).</w:t>
      </w:r>
    </w:p>
    <w:p>
      <w:pPr>
        <w:spacing w:after="160" w:line="276" w:lineRule="auto"/>
        <w:jc w:val="both"/>
      </w:pPr>
      <w:r>
        <w:rPr>
          <w:rFonts w:ascii="Arial" w:hAnsi="Arial"/>
          <w:sz w:val="22"/>
        </w:rPr>
        <w:t>**Base Year Comparison**: The institution has designated 2023 as its base year for GHG emissions tracking, aligned with the commencement of systematic emissions data collection across all operational facilities. Against this base year, Scope 1 emissions have increased by **2.36%**, reflecting the expansion of the institution's physical footprint. The institution is developing intensity-based metrics (tCO₂e per square meter of operational space, tCO₂e per FTE) to enable performance tracking that accounts for business growth, with full implementation planned for the 2025 reporting cycle.</w:t>
      </w:r>
    </w:p>
    <w:p>
      <w:pPr>
        <w:spacing w:after="160" w:line="276" w:lineRule="auto"/>
        <w:jc w:val="both"/>
      </w:pPr>
      <w:r>
        <w:rPr>
          <w:rFonts w:ascii="Arial" w:hAnsi="Arial"/>
          <w:sz w:val="22"/>
        </w:rPr>
        <w:t>**Data Quality and Assurance**: All Scope 1 emission data for 2024 were derived from primary activity data (fuel purchase invoices and meter readings) with a data quality score of **1** on the PCAF data quality scale (1 = highest quality, 5 = lowest quality), indicating direct measurement with no estimation or proxy data. Fuel consumption records were reconciled monthly against supplier invoices and facility-level logbooks. However, these figures have not been subject to external assurance for the current reporting period. The institution plans to engage a third-party assurance provider for limited assurance over Scope 1 and Scope 2 emissions data in the 2025 reporting cycle, progressing toward reasonable assurance by 2027.</w:t>
      </w:r>
    </w:p>
    <w:p>
      <w:pPr>
        <w:spacing w:after="160" w:line="276" w:lineRule="auto"/>
        <w:jc w:val="both"/>
      </w:pPr>
      <w:r>
        <w:rPr>
          <w:rFonts w:ascii="Arial" w:hAnsi="Arial"/>
          <w:i/>
          <w:color w:val="555555"/>
          <w:sz w:val="22"/>
        </w:rPr>
        <w:t>**Locked-in Emissions and Transition Planning**: The institution's Scope 1 emissions are primarily driven by backup power infrastructure required for operational resilience and regulatory compliance (Bank Indonesia requires 24-hour backup power capacity for core banking systems). Approximately 64.7% of Scope 1 emissions are "locked-in" to existing diesel generator assets with an average remaining useful life of 8-12 years. The institution's transition plan (ESRS E1-1) includes: (i) phased replacement of diesel generators with hybrid diesel-solar-battery systems at 15 high-emission facilities by 2027 (estimated reduction: 450 tCO₂e annually); (ii) conversion of natural gas heating systems to electric heat pumps powered by grid electricity with increasing renewable energy content by 2028 (estimated reduction: 600 tCO₂e annually); and (iii) implementation of predictive maintenance and runtime optimization algorithms to reduce unnecessary generator operation by 2026 (estimated reduction: 150 tCO₂e annually). These actions are aligned with the institution's commitment to achieve net-zero operational emissions (Scope 1 + Scope 2) by 2045, consistent with Indonesia's nationally determined contribution (NDC) under the Paris Agreement.</w:t>
      </w:r>
    </w:p>
    <w:p>
      <w:r>
        <w:rPr>
          <w:rFonts w:ascii="Arial" w:hAnsi="Arial"/>
          <w:b/>
          <w:sz w:val="20"/>
        </w:rPr>
        <w:t>Table E1-6a: Scope 1 Direct GHG Emissions by Source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Emission Source</w:t>
            </w:r>
          </w:p>
        </w:tc>
        <w:tc>
          <w:tcPr>
            <w:tcW w:type="dxa" w:w="1505"/>
            <w:shd w:fill="1B3A6B" w:val="clear"/>
          </w:tcPr>
          <w:p>
            <w:r>
              <w:rPr>
                <w:rFonts w:ascii="Arial" w:hAnsi="Arial"/>
                <w:b/>
                <w:color w:val="FFFFFF"/>
                <w:sz w:val="18"/>
              </w:rPr>
              <w:t>Fuel Type</w:t>
            </w:r>
          </w:p>
        </w:tc>
        <w:tc>
          <w:tcPr>
            <w:tcW w:type="dxa" w:w="1505"/>
            <w:shd w:fill="1B3A6B" w:val="clear"/>
          </w:tcPr>
          <w:p>
            <w:r>
              <w:rPr>
                <w:rFonts w:ascii="Arial" w:hAnsi="Arial"/>
                <w:b/>
                <w:color w:val="FFFFFF"/>
                <w:sz w:val="18"/>
              </w:rPr>
              <w:t>Activity Data</w:t>
            </w:r>
          </w:p>
        </w:tc>
        <w:tc>
          <w:tcPr>
            <w:tcW w:type="dxa" w:w="1505"/>
            <w:shd w:fill="1B3A6B" w:val="clear"/>
          </w:tcPr>
          <w:p>
            <w:r>
              <w:rPr>
                <w:rFonts w:ascii="Arial" w:hAnsi="Arial"/>
                <w:b/>
                <w:color w:val="FFFFFF"/>
                <w:sz w:val="18"/>
              </w:rPr>
              <w:t>Emissions (tCO₂e)</w:t>
            </w:r>
          </w:p>
        </w:tc>
        <w:tc>
          <w:tcPr>
            <w:tcW w:type="dxa" w:w="1505"/>
            <w:shd w:fill="1B3A6B" w:val="clear"/>
          </w:tcPr>
          <w:p>
            <w:r>
              <w:rPr>
                <w:rFonts w:ascii="Arial" w:hAnsi="Arial"/>
                <w:b/>
                <w:color w:val="FFFFFF"/>
                <w:sz w:val="18"/>
              </w:rPr>
              <w:t>% of Total Scope 1</w:t>
            </w:r>
          </w:p>
        </w:tc>
        <w:tc>
          <w:tcPr>
            <w:tcW w:type="dxa" w:w="1505"/>
            <w:shd w:fill="1B3A6B" w:val="clear"/>
          </w:tcPr>
          <w:p>
            <w:r>
              <w:rPr>
                <w:rFonts w:ascii="Arial" w:hAnsi="Arial"/>
                <w:b/>
                <w:color w:val="FFFFFF"/>
                <w:sz w:val="18"/>
              </w:rPr>
              <w:t>Data Quality Score</w:t>
            </w:r>
          </w:p>
        </w:tc>
      </w:tr>
      <w:tr>
        <w:tc>
          <w:tcPr>
            <w:tcW w:type="dxa" w:w="1505"/>
          </w:tcPr>
          <w:p>
            <w:r>
              <w:rPr>
                <w:rFonts w:ascii="Arial" w:hAnsi="Arial"/>
                <w:sz w:val="18"/>
              </w:rPr>
              <w:t>Stationary combustion — heating and backup power</w:t>
            </w:r>
          </w:p>
        </w:tc>
        <w:tc>
          <w:tcPr>
            <w:tcW w:type="dxa" w:w="1505"/>
          </w:tcPr>
          <w:p>
            <w:r>
              <w:rPr>
                <w:rFonts w:ascii="Arial" w:hAnsi="Arial"/>
                <w:sz w:val="18"/>
              </w:rPr>
              <w:t>Natural gas</w:t>
            </w:r>
          </w:p>
        </w:tc>
        <w:tc>
          <w:tcPr>
            <w:tcW w:type="dxa" w:w="1505"/>
          </w:tcPr>
          <w:p>
            <w:r>
              <w:rPr>
                <w:rFonts w:ascii="Arial" w:hAnsi="Arial"/>
                <w:sz w:val="18"/>
              </w:rPr>
              <w:t>21,364.43 GJ</w:t>
            </w:r>
          </w:p>
        </w:tc>
        <w:tc>
          <w:tcPr>
            <w:tcW w:type="dxa" w:w="1505"/>
          </w:tcPr>
          <w:p>
            <w:pPr>
              <w:jc w:val="right"/>
            </w:pPr>
            <w:r>
              <w:rPr>
                <w:rFonts w:ascii="Arial" w:hAnsi="Arial"/>
                <w:sz w:val="18"/>
              </w:rPr>
              <w:t>1,199.7924</w:t>
            </w:r>
          </w:p>
        </w:tc>
        <w:tc>
          <w:tcPr>
            <w:tcW w:type="dxa" w:w="1505"/>
          </w:tcPr>
          <w:p>
            <w:pPr>
              <w:jc w:val="right"/>
            </w:pPr>
            <w:r>
              <w:rPr>
                <w:rFonts w:ascii="Arial" w:hAnsi="Arial"/>
                <w:sz w:val="18"/>
              </w:rPr>
              <w:t>35.3%</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Stationary combustion — emergency generators</w:t>
            </w:r>
          </w:p>
        </w:tc>
        <w:tc>
          <w:tcPr>
            <w:tcW w:type="dxa" w:w="1505"/>
            <w:shd w:fill="F2F6FC" w:val="clear"/>
          </w:tcPr>
          <w:p>
            <w:r>
              <w:rPr>
                <w:rFonts w:ascii="Arial" w:hAnsi="Arial"/>
                <w:sz w:val="18"/>
              </w:rPr>
              <w:t>Diesel</w:t>
            </w:r>
          </w:p>
        </w:tc>
        <w:tc>
          <w:tcPr>
            <w:tcW w:type="dxa" w:w="1505"/>
            <w:shd w:fill="F2F6FC" w:val="clear"/>
          </w:tcPr>
          <w:p>
            <w:r>
              <w:rPr>
                <w:rFonts w:ascii="Arial" w:hAnsi="Arial"/>
                <w:sz w:val="18"/>
              </w:rPr>
              <w:t>857,125 liters</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64.7%</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**Total Scope 1**</w:t>
            </w:r>
          </w:p>
        </w:tc>
        <w:tc>
          <w:tcPr>
            <w:tcW w:type="dxa" w:w="1505"/>
          </w:tcPr>
          <w:p>
            <w:r>
              <w:rPr>
                <w:rFonts w:ascii="Arial" w:hAnsi="Arial"/>
                <w:sz w:val="18"/>
              </w:rPr>
              <w:t>—</w:t>
            </w:r>
          </w:p>
        </w:tc>
        <w:tc>
          <w:tcPr>
            <w:tcW w:type="dxa" w:w="1505"/>
          </w:tcPr>
          <w:p>
            <w:r>
              <w:rPr>
                <w:rFonts w:ascii="Arial" w:hAnsi="Arial"/>
                <w:sz w:val="18"/>
              </w:rPr>
              <w:t>—</w:t>
            </w:r>
          </w:p>
        </w:tc>
        <w:tc>
          <w:tcPr>
            <w:tcW w:type="dxa" w:w="1505"/>
          </w:tcPr>
          <w:p>
            <w:r>
              <w:rPr>
                <w:rFonts w:ascii="Arial" w:hAnsi="Arial"/>
                <w:sz w:val="18"/>
              </w:rPr>
              <w:t>**3,402.997**</w:t>
            </w:r>
          </w:p>
        </w:tc>
        <w:tc>
          <w:tcPr>
            <w:tcW w:type="dxa" w:w="1505"/>
          </w:tcPr>
          <w:p>
            <w:r>
              <w:rPr>
                <w:rFonts w:ascii="Arial" w:hAnsi="Arial"/>
                <w:sz w:val="18"/>
              </w:rPr>
              <w:t>**100.0%**</w:t>
            </w:r>
          </w:p>
        </w:tc>
        <w:tc>
          <w:tcPr>
            <w:tcW w:type="dxa" w:w="1505"/>
          </w:tcPr>
          <w:p>
            <w:r>
              <w:rPr>
                <w:rFonts w:ascii="Arial" w:hAnsi="Arial"/>
                <w:sz w:val="18"/>
              </w:rPr>
              <w:t>**1**</w:t>
            </w:r>
          </w:p>
        </w:tc>
      </w:tr>
    </w:tbl>
    <w:p>
      <w:r>
        <w:rPr>
          <w:rFonts w:ascii="Arial" w:hAnsi="Arial"/>
          <w:i/>
          <w:sz w:val="16"/>
        </w:rPr>
        <w:t>Source: Source: Internal fuel consumption records reconciled against supplier invoices. Emission factors: MEMR 2023 National Emission Factors. GWP values: IPCC AR6 (100-year horizon). Consolidation approach: Operational control per GHG Protocol Corporate Standard.</w:t>
      </w:r>
    </w:p>
    <w:p/>
    <w:p>
      <w:r>
        <w:rPr>
          <w:rFonts w:ascii="Arial" w:hAnsi="Arial"/>
          <w:b/>
          <w:sz w:val="20"/>
        </w:rPr>
        <w:t>Table E1-6b: Scope 1 Emissions Trend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 (Base Year)</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Natural gas combustion</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combustion</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w:t>
            </w:r>
          </w:p>
        </w:tc>
        <w:tc>
          <w:tcPr>
            <w:tcW w:type="dxa" w:w="1806"/>
          </w:tcPr>
          <w:p>
            <w:r>
              <w:rPr>
                <w:rFonts w:ascii="Arial" w:hAnsi="Arial"/>
                <w:sz w:val="18"/>
              </w:rPr>
              <w:t>**3,324.521**</w:t>
            </w:r>
          </w:p>
        </w:tc>
        <w:tc>
          <w:tcPr>
            <w:tcW w:type="dxa" w:w="1806"/>
          </w:tcPr>
          <w:p>
            <w:r>
              <w:rPr>
                <w:rFonts w:ascii="Arial" w:hAnsi="Arial"/>
                <w:sz w:val="18"/>
              </w:rPr>
              <w:t>**3,402.997**</w:t>
            </w:r>
          </w:p>
        </w:tc>
        <w:tc>
          <w:tcPr>
            <w:tcW w:type="dxa" w:w="1806"/>
          </w:tcPr>
          <w:p>
            <w:r>
              <w:rPr>
                <w:rFonts w:ascii="Arial" w:hAnsi="Arial"/>
                <w:sz w:val="18"/>
              </w:rPr>
              <w:t>**+78.476**</w:t>
            </w:r>
          </w:p>
        </w:tc>
        <w:tc>
          <w:tcPr>
            <w:tcW w:type="dxa" w:w="1806"/>
          </w:tcPr>
          <w:p>
            <w:r>
              <w:rPr>
                <w:rFonts w:ascii="Arial" w:hAnsi="Arial"/>
                <w:sz w:val="18"/>
              </w:rPr>
              <w:t>**+2.36%**</w:t>
            </w:r>
          </w:p>
        </w:tc>
      </w:tr>
    </w:tbl>
    <w:p>
      <w:r>
        <w:rPr>
          <w:rFonts w:ascii="Arial" w:hAnsi="Arial"/>
          <w:i/>
          <w:sz w:val="16"/>
        </w:rPr>
        <w:t>Source: Source: Internal GHG inventory. Base year: 2023 (first year of systematic data collection across all facilities).</w:t>
      </w:r>
    </w:p>
    <w:p/>
    <w:p>
      <w:r>
        <w:rPr>
          <w:rFonts w:ascii="Arial" w:hAnsi="Arial"/>
          <w:b/>
          <w:sz w:val="20"/>
        </w:rPr>
        <w:t>Table E1-6c: Top 10 Facilities by Scope 1 Emissions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Facility ID</w:t>
            </w:r>
          </w:p>
        </w:tc>
        <w:tc>
          <w:tcPr>
            <w:tcW w:type="dxa" w:w="1505"/>
            <w:shd w:fill="1B3A6B" w:val="clear"/>
          </w:tcPr>
          <w:p>
            <w:r>
              <w:rPr>
                <w:rFonts w:ascii="Arial" w:hAnsi="Arial"/>
                <w:b/>
                <w:color w:val="FFFFFF"/>
                <w:sz w:val="18"/>
              </w:rPr>
              <w:t>Natural Gas (tCO₂e)</w:t>
            </w:r>
          </w:p>
        </w:tc>
        <w:tc>
          <w:tcPr>
            <w:tcW w:type="dxa" w:w="1505"/>
            <w:shd w:fill="1B3A6B" w:val="clear"/>
          </w:tcPr>
          <w:p>
            <w:r>
              <w:rPr>
                <w:rFonts w:ascii="Arial" w:hAnsi="Arial"/>
                <w:b/>
                <w:color w:val="FFFFFF"/>
                <w:sz w:val="18"/>
              </w:rPr>
              <w:t>Diesel (tCO₂e)</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 of Total</w:t>
            </w:r>
          </w:p>
        </w:tc>
        <w:tc>
          <w:tcPr>
            <w:tcW w:type="dxa" w:w="1505"/>
            <w:shd w:fill="1B3A6B" w:val="clear"/>
          </w:tcPr>
          <w:p>
            <w:r>
              <w:rPr>
                <w:rFonts w:ascii="Arial" w:hAnsi="Arial"/>
                <w:b/>
                <w:color w:val="FFFFFF"/>
                <w:sz w:val="18"/>
              </w:rPr>
              <w:t>Data Quality</w:t>
            </w:r>
          </w:p>
        </w:tc>
      </w:tr>
      <w:tr>
        <w:tc>
          <w:tcPr>
            <w:tcW w:type="dxa" w:w="1505"/>
          </w:tcPr>
          <w:p>
            <w:r>
              <w:rPr>
                <w:rFonts w:ascii="Arial" w:hAnsi="Arial"/>
                <w:sz w:val="18"/>
              </w:rPr>
              <w:t>FAC-0197</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147.7152</w:t>
            </w:r>
          </w:p>
        </w:tc>
        <w:tc>
          <w:tcPr>
            <w:tcW w:type="dxa" w:w="1505"/>
          </w:tcPr>
          <w:p>
            <w:pPr>
              <w:jc w:val="right"/>
            </w:pPr>
            <w:r>
              <w:rPr>
                <w:rFonts w:ascii="Arial" w:hAnsi="Arial"/>
                <w:sz w:val="18"/>
              </w:rPr>
              <w:t>4.3%</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FAC-0198</w:t>
            </w:r>
          </w:p>
        </w:tc>
        <w:tc>
          <w:tcPr>
            <w:tcW w:type="dxa" w:w="1505"/>
            <w:shd w:fill="F2F6FC" w:val="clear"/>
          </w:tcPr>
          <w:p>
            <w:pPr>
              <w:jc w:val="right"/>
            </w:pPr>
            <w:r>
              <w:rPr>
                <w:rFonts w:ascii="Arial" w:hAnsi="Arial"/>
                <w:sz w:val="18"/>
              </w:rPr>
              <w:t>54.446</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4.1%</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FAC-0200</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w:t>
            </w:r>
          </w:p>
        </w:tc>
        <w:tc>
          <w:tcPr>
            <w:tcW w:type="dxa" w:w="1505"/>
          </w:tcPr>
          <w:p>
            <w:pPr>
              <w:jc w:val="right"/>
            </w:pPr>
            <w:r>
              <w:rPr>
                <w:rFonts w:ascii="Arial" w:hAnsi="Arial"/>
                <w:sz w:val="18"/>
              </w:rPr>
              <w:t>131.4422</w:t>
            </w:r>
          </w:p>
        </w:tc>
        <w:tc>
          <w:tcPr>
            <w:tcW w:type="dxa" w:w="1505"/>
          </w:tcPr>
          <w:p>
            <w:pPr>
              <w:jc w:val="right"/>
            </w:pPr>
            <w:r>
              <w:rPr>
                <w:rFonts w:ascii="Arial" w:hAnsi="Arial"/>
                <w:sz w:val="18"/>
              </w:rPr>
              <w:t>3.9%</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FAC-0196</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3.7%</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FAC-0199</w:t>
            </w:r>
          </w:p>
        </w:tc>
        <w:tc>
          <w:tcPr>
            <w:tcW w:type="dxa" w:w="1505"/>
          </w:tcPr>
          <w:p>
            <w:pPr>
              <w:jc w:val="right"/>
            </w:pPr>
            <w:r>
              <w:rPr>
                <w:rFonts w:ascii="Arial" w:hAnsi="Arial"/>
                <w:sz w:val="18"/>
              </w:rPr>
              <w:t>52.015</w:t>
            </w:r>
          </w:p>
        </w:tc>
        <w:tc>
          <w:tcPr>
            <w:tcW w:type="dxa" w:w="1505"/>
          </w:tcPr>
          <w:p>
            <w:pPr>
              <w:jc w:val="right"/>
            </w:pPr>
            <w:r>
              <w:rPr>
                <w:rFonts w:ascii="Arial" w:hAnsi="Arial"/>
                <w:sz w:val="18"/>
              </w:rPr>
              <w:t>57.3972</w:t>
            </w:r>
          </w:p>
        </w:tc>
        <w:tc>
          <w:tcPr>
            <w:tcW w:type="dxa" w:w="1505"/>
          </w:tcPr>
          <w:p>
            <w:pPr>
              <w:jc w:val="right"/>
            </w:pPr>
            <w:r>
              <w:rPr>
                <w:rFonts w:ascii="Arial" w:hAnsi="Arial"/>
                <w:sz w:val="18"/>
              </w:rPr>
              <w:t>109.4122</w:t>
            </w:r>
          </w:p>
        </w:tc>
        <w:tc>
          <w:tcPr>
            <w:tcW w:type="dxa" w:w="1505"/>
          </w:tcPr>
          <w:p>
            <w:pPr>
              <w:jc w:val="right"/>
            </w:pPr>
            <w:r>
              <w:rPr>
                <w:rFonts w:ascii="Arial" w:hAnsi="Arial"/>
                <w:sz w:val="18"/>
              </w:rPr>
              <w:t>3.2%</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FAC-0193</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2.1%</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FAC-0215</w:t>
            </w:r>
          </w:p>
        </w:tc>
        <w:tc>
          <w:tcPr>
            <w:tcW w:type="dxa" w:w="1505"/>
          </w:tcPr>
          <w:p>
            <w:pPr>
              <w:jc w:val="right"/>
            </w:pPr>
            <w:r>
              <w:rPr>
                <w:rFonts w:ascii="Arial" w:hAnsi="Arial"/>
                <w:sz w:val="18"/>
              </w:rPr>
              <w:t>23.586</w:t>
            </w:r>
          </w:p>
        </w:tc>
        <w:tc>
          <w:tcPr>
            <w:tcW w:type="dxa" w:w="1505"/>
          </w:tcPr>
          <w:p>
            <w:pPr>
              <w:jc w:val="right"/>
            </w:pPr>
            <w:r>
              <w:rPr>
                <w:rFonts w:ascii="Arial" w:hAnsi="Arial"/>
                <w:sz w:val="18"/>
              </w:rPr>
              <w:t>47.0197</w:t>
            </w:r>
          </w:p>
        </w:tc>
        <w:tc>
          <w:tcPr>
            <w:tcW w:type="dxa" w:w="1505"/>
          </w:tcPr>
          <w:p>
            <w:pPr>
              <w:jc w:val="right"/>
            </w:pPr>
            <w:r>
              <w:rPr>
                <w:rFonts w:ascii="Arial" w:hAnsi="Arial"/>
                <w:sz w:val="18"/>
              </w:rPr>
              <w:t>70.6057</w:t>
            </w:r>
          </w:p>
        </w:tc>
        <w:tc>
          <w:tcPr>
            <w:tcW w:type="dxa" w:w="1505"/>
          </w:tcPr>
          <w:p>
            <w:pPr>
              <w:jc w:val="right"/>
            </w:pPr>
            <w:r>
              <w:rPr>
                <w:rFonts w:ascii="Arial" w:hAnsi="Arial"/>
                <w:sz w:val="18"/>
              </w:rPr>
              <w:t>2.1%</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FAC-0191</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2.0%</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FAC-0181</w:t>
            </w:r>
          </w:p>
        </w:tc>
        <w:tc>
          <w:tcPr>
            <w:tcW w:type="dxa" w:w="1505"/>
          </w:tcPr>
          <w:p>
            <w:pPr>
              <w:jc w:val="right"/>
            </w:pPr>
            <w:r>
              <w:rPr>
                <w:rFonts w:ascii="Arial" w:hAnsi="Arial"/>
                <w:sz w:val="18"/>
              </w:rPr>
              <w:t>0.0</w:t>
            </w:r>
          </w:p>
        </w:tc>
        <w:tc>
          <w:tcPr>
            <w:tcW w:type="dxa" w:w="1505"/>
          </w:tcPr>
          <w:p>
            <w:pPr>
              <w:jc w:val="right"/>
            </w:pPr>
            <w:r>
              <w:rPr>
                <w:rFonts w:ascii="Arial" w:hAnsi="Arial"/>
                <w:sz w:val="18"/>
              </w:rPr>
              <w:t>63.758</w:t>
            </w:r>
          </w:p>
        </w:tc>
        <w:tc>
          <w:tcPr>
            <w:tcW w:type="dxa" w:w="1505"/>
          </w:tcPr>
          <w:p>
            <w:pPr>
              <w:jc w:val="right"/>
            </w:pPr>
            <w:r>
              <w:rPr>
                <w:rFonts w:ascii="Arial" w:hAnsi="Arial"/>
                <w:sz w:val="18"/>
              </w:rPr>
              <w:t>63.758</w:t>
            </w:r>
          </w:p>
        </w:tc>
        <w:tc>
          <w:tcPr>
            <w:tcW w:type="dxa" w:w="1505"/>
          </w:tcPr>
          <w:p>
            <w:pPr>
              <w:jc w:val="right"/>
            </w:pPr>
            <w:r>
              <w:rPr>
                <w:rFonts w:ascii="Arial" w:hAnsi="Arial"/>
                <w:sz w:val="18"/>
              </w:rPr>
              <w:t>1.9%</w:t>
            </w:r>
          </w:p>
        </w:tc>
        <w:tc>
          <w:tcPr>
            <w:tcW w:type="dxa" w:w="1505"/>
          </w:tcPr>
          <w:p>
            <w:pPr>
              <w:jc w:val="right"/>
            </w:pPr>
            <w:r>
              <w:rPr>
                <w:rFonts w:ascii="Arial" w:hAnsi="Arial"/>
                <w:sz w:val="18"/>
              </w:rPr>
              <w:t>1</w:t>
            </w:r>
          </w:p>
        </w:tc>
      </w:tr>
      <w:tr>
        <w:tc>
          <w:tcPr>
            <w:tcW w:type="dxa" w:w="1505"/>
            <w:shd w:fill="F2F6FC" w:val="clear"/>
          </w:tcPr>
          <w:p>
            <w:r>
              <w:rPr>
                <w:rFonts w:ascii="Arial" w:hAnsi="Arial"/>
                <w:sz w:val="18"/>
              </w:rPr>
              <w:t>FAC-0208</w:t>
            </w:r>
          </w:p>
        </w:tc>
        <w:tc>
          <w:tcPr>
            <w:tcW w:type="dxa" w:w="1505"/>
            <w:shd w:fill="F2F6FC" w:val="clear"/>
          </w:tcPr>
          <w:p>
            <w:pPr>
              <w:jc w:val="right"/>
            </w:pPr>
            <w:r>
              <w:rPr>
                <w:rFonts w:ascii="Arial" w:hAnsi="Arial"/>
                <w:sz w:val="18"/>
              </w:rPr>
              <w:t>23.7606</w:t>
            </w:r>
          </w:p>
        </w:tc>
        <w:tc>
          <w:tcPr>
            <w:tcW w:type="dxa" w:w="1505"/>
            <w:shd w:fill="F2F6FC" w:val="clear"/>
          </w:tcPr>
          <w:p>
            <w:pPr>
              <w:jc w:val="right"/>
            </w:pPr>
            <w:r>
              <w:rPr>
                <w:rFonts w:ascii="Arial" w:hAnsi="Arial"/>
                <w:sz w:val="18"/>
              </w:rPr>
              <w:t>39.7546</w:t>
            </w:r>
          </w:p>
        </w:tc>
        <w:tc>
          <w:tcPr>
            <w:tcW w:type="dxa" w:w="1505"/>
            <w:shd w:fill="F2F6FC" w:val="clear"/>
          </w:tcPr>
          <w:p>
            <w:pPr>
              <w:jc w:val="right"/>
            </w:pPr>
            <w:r>
              <w:rPr>
                <w:rFonts w:ascii="Arial" w:hAnsi="Arial"/>
                <w:sz w:val="18"/>
              </w:rPr>
              <w:t>63.5152</w:t>
            </w:r>
          </w:p>
        </w:tc>
        <w:tc>
          <w:tcPr>
            <w:tcW w:type="dxa" w:w="1505"/>
            <w:shd w:fill="F2F6FC" w:val="clear"/>
          </w:tcPr>
          <w:p>
            <w:pPr>
              <w:jc w:val="right"/>
            </w:pPr>
            <w:r>
              <w:rPr>
                <w:rFonts w:ascii="Arial" w:hAnsi="Arial"/>
                <w:sz w:val="18"/>
              </w:rPr>
              <w:t>1.9%</w:t>
            </w:r>
          </w:p>
        </w:tc>
        <w:tc>
          <w:tcPr>
            <w:tcW w:type="dxa" w:w="1505"/>
            <w:shd w:fill="F2F6FC" w:val="clear"/>
          </w:tcPr>
          <w:p>
            <w:pPr>
              <w:jc w:val="right"/>
            </w:pPr>
            <w:r>
              <w:rPr>
                <w:rFonts w:ascii="Arial" w:hAnsi="Arial"/>
                <w:sz w:val="18"/>
              </w:rPr>
              <w:t>1</w:t>
            </w:r>
          </w:p>
        </w:tc>
      </w:tr>
      <w:tr>
        <w:tc>
          <w:tcPr>
            <w:tcW w:type="dxa" w:w="1505"/>
          </w:tcPr>
          <w:p>
            <w:r>
              <w:rPr>
                <w:rFonts w:ascii="Arial" w:hAnsi="Arial"/>
                <w:sz w:val="18"/>
              </w:rPr>
              <w:t>**Top 10 Total**</w:t>
            </w:r>
          </w:p>
        </w:tc>
        <w:tc>
          <w:tcPr>
            <w:tcW w:type="dxa" w:w="1505"/>
          </w:tcPr>
          <w:p>
            <w:r>
              <w:rPr>
                <w:rFonts w:ascii="Arial" w:hAnsi="Arial"/>
                <w:sz w:val="18"/>
              </w:rPr>
              <w:t>**327.7553**</w:t>
            </w:r>
          </w:p>
        </w:tc>
        <w:tc>
          <w:tcPr>
            <w:tcW w:type="dxa" w:w="1505"/>
          </w:tcPr>
          <w:p>
            <w:r>
              <w:rPr>
                <w:rFonts w:ascii="Arial" w:hAnsi="Arial"/>
                <w:sz w:val="18"/>
              </w:rPr>
              <w:t>**660.6504**</w:t>
            </w:r>
          </w:p>
        </w:tc>
        <w:tc>
          <w:tcPr>
            <w:tcW w:type="dxa" w:w="1505"/>
          </w:tcPr>
          <w:p>
            <w:r>
              <w:rPr>
                <w:rFonts w:ascii="Arial" w:hAnsi="Arial"/>
                <w:sz w:val="18"/>
              </w:rPr>
              <w:t>**988.4057**</w:t>
            </w:r>
          </w:p>
        </w:tc>
        <w:tc>
          <w:tcPr>
            <w:tcW w:type="dxa" w:w="1505"/>
          </w:tcPr>
          <w:p>
            <w:r>
              <w:rPr>
                <w:rFonts w:ascii="Arial" w:hAnsi="Arial"/>
                <w:sz w:val="18"/>
              </w:rPr>
              <w:t>**29.0%**</w:t>
            </w:r>
          </w:p>
        </w:tc>
        <w:tc>
          <w:tcPr>
            <w:tcW w:type="dxa" w:w="1505"/>
          </w:tcPr>
          <w:p>
            <w:r>
              <w:rPr>
                <w:rFonts w:ascii="Arial" w:hAnsi="Arial"/>
                <w:sz w:val="18"/>
              </w:rPr>
              <w:t>—</w:t>
            </w:r>
          </w:p>
        </w:tc>
      </w:tr>
      <w:tr>
        <w:tc>
          <w:tcPr>
            <w:tcW w:type="dxa" w:w="1505"/>
            <w:shd w:fill="F2F6FC" w:val="clear"/>
          </w:tcPr>
          <w:p>
            <w:r>
              <w:rPr>
                <w:rFonts w:ascii="Arial" w:hAnsi="Arial"/>
                <w:sz w:val="18"/>
              </w:rPr>
              <w:t>**All Facilities**</w:t>
            </w:r>
          </w:p>
        </w:tc>
        <w:tc>
          <w:tcPr>
            <w:tcW w:type="dxa" w:w="1505"/>
            <w:shd w:fill="F2F6FC" w:val="clear"/>
          </w:tcPr>
          <w:p>
            <w:r>
              <w:rPr>
                <w:rFonts w:ascii="Arial" w:hAnsi="Arial"/>
                <w:sz w:val="18"/>
              </w:rPr>
              <w:t>**1,199.7924**</w:t>
            </w:r>
          </w:p>
        </w:tc>
        <w:tc>
          <w:tcPr>
            <w:tcW w:type="dxa" w:w="1505"/>
            <w:shd w:fill="F2F6FC" w:val="clear"/>
          </w:tcPr>
          <w:p>
            <w:r>
              <w:rPr>
                <w:rFonts w:ascii="Arial" w:hAnsi="Arial"/>
                <w:sz w:val="18"/>
              </w:rPr>
              <w:t>**2,203.2044**</w:t>
            </w:r>
          </w:p>
        </w:tc>
        <w:tc>
          <w:tcPr>
            <w:tcW w:type="dxa" w:w="1505"/>
            <w:shd w:fill="F2F6FC" w:val="clear"/>
          </w:tcPr>
          <w:p>
            <w:r>
              <w:rPr>
                <w:rFonts w:ascii="Arial" w:hAnsi="Arial"/>
                <w:sz w:val="18"/>
              </w:rPr>
              <w:t>**3,402.997**</w:t>
            </w:r>
          </w:p>
        </w:tc>
        <w:tc>
          <w:tcPr>
            <w:tcW w:type="dxa" w:w="1505"/>
            <w:shd w:fill="F2F6FC" w:val="clear"/>
          </w:tcPr>
          <w:p>
            <w:r>
              <w:rPr>
                <w:rFonts w:ascii="Arial" w:hAnsi="Arial"/>
                <w:sz w:val="18"/>
              </w:rPr>
              <w:t>**100.0%**</w:t>
            </w:r>
          </w:p>
        </w:tc>
        <w:tc>
          <w:tcPr>
            <w:tcW w:type="dxa" w:w="1505"/>
            <w:shd w:fill="F2F6FC" w:val="clear"/>
          </w:tcPr>
          <w:p>
            <w:r>
              <w:rPr>
                <w:rFonts w:ascii="Arial" w:hAnsi="Arial"/>
                <w:sz w:val="18"/>
              </w:rPr>
              <w:t>—</w:t>
            </w:r>
          </w:p>
        </w:tc>
      </w:tr>
    </w:tbl>
    <w:p>
      <w:r>
        <w:rPr>
          <w:rFonts w:ascii="Arial" w:hAnsi="Arial"/>
          <w:i/>
          <w:sz w:val="16"/>
        </w:rPr>
        <w:t>Source: Source: Facility-level fuel consumption records. Top 10 facilities account for 29.0% of total Scope 1 emissions. Note: Facilities FAC-0193, FAC-0191, FAC-0181 have no natural gas infrastructure and rely exclusively on diesel generators.</w:t>
      </w:r>
    </w:p>
    <w:p/>
    <w:p>
      <w:r>
        <w:rPr>
          <w:i/>
          <w:color w:val="3D6094"/>
          <w:sz w:val="18"/>
        </w:rPr>
        <w:t>Framework references: ESRS E1-6 (Gross Scopes 1, 2, 3 and Total GHG emissions); ESRS E1-6 AR 39 (Calculation guidance — GHG Protocol Corporate Standard); ESRS E1-6 AR 40 (Consolidation approach for controlled entities); GHG Protocol Corporate Accounting and Reporting Standard (2004, revised 2015); IPCC Sixth Assessment Report (AR6) — Global Warming Potential values; IPCC 2006 Guidelines for National Greenhouse Gas Inventories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Consolidation approach: Operational control per GHG Protocol Corporate Standard. The institution consolidates 100% of emissions from facilities where it holds operational control (i.e., authority to introduce and implement operating policies).</w:t>
      </w:r>
    </w:p>
    <w:p>
      <w:pPr>
        <w:spacing w:after="160" w:line="276" w:lineRule="auto"/>
        <w:jc w:val="both"/>
      </w:pPr>
      <w:r>
        <w:rPr>
          <w:rFonts w:ascii="Arial" w:hAnsi="Arial"/>
          <w:i/>
          <w:color w:val="646464"/>
          <w:sz w:val="18"/>
        </w:rPr>
        <w:t>Emission factors: Indonesian Ministry of Energy and Mineral Resources (MEMR) 2023 National Emission Factors for stationary combustion, aligned with IPCC 2006 Guidelines.</w:t>
      </w:r>
    </w:p>
    <w:p>
      <w:pPr>
        <w:spacing w:after="160" w:line="276" w:lineRule="auto"/>
        <w:jc w:val="both"/>
      </w:pPr>
      <w:r>
        <w:rPr>
          <w:rFonts w:ascii="Arial" w:hAnsi="Arial"/>
          <w:i/>
          <w:color w:val="646464"/>
          <w:sz w:val="18"/>
        </w:rPr>
        <w:t>GWP values: IPCC Sixth Assessment Report (AR6), 100-year time horizon: CO₂ = 1, CH₄ = 29.8, N₂O = 273.0.</w:t>
      </w:r>
    </w:p>
    <w:p>
      <w:pPr>
        <w:spacing w:after="160" w:line="276" w:lineRule="auto"/>
        <w:jc w:val="both"/>
      </w:pPr>
      <w:r>
        <w:rPr>
          <w:rFonts w:ascii="Arial" w:hAnsi="Arial"/>
          <w:i/>
          <w:color w:val="646464"/>
          <w:sz w:val="18"/>
        </w:rPr>
        <w:t>Base year: 2023 (first year of systematic GHG data collection across all operational facilities).</w:t>
      </w:r>
    </w:p>
    <w:p>
      <w:pPr>
        <w:spacing w:after="160" w:line="276" w:lineRule="auto"/>
        <w:jc w:val="both"/>
      </w:pPr>
      <w:r>
        <w:rPr>
          <w:rFonts w:ascii="Arial" w:hAnsi="Arial"/>
          <w:i/>
          <w:color w:val="646464"/>
          <w:sz w:val="18"/>
        </w:rPr>
        <w:t>Scope 1 emissions exclude mobile combustion (company vehicles) as the institution operates a fully outsourced fleet under operational lease agreements where fuel consumption is not directly controlled or measured by the institution. This exclusion is consistent with GHG Protocol guidance on operational control boundaries.</w:t>
      </w:r>
    </w:p>
    <w:p>
      <w:r>
        <w:br w:type="page"/>
      </w:r>
    </w:p>
    <w:p>
      <w:pPr>
        <w:pStyle w:val="Heading1"/>
        <w:keepNext/>
        <w:spacing w:before="480" w:after="240"/>
      </w:pPr>
      <w:r>
        <w:rPr>
          <w:rFonts w:ascii="Arial" w:hAnsi="Arial"/>
          <w:b/>
          <w:color w:val="1B3A6B"/>
          <w:sz w:val="36"/>
        </w:rPr>
        <w:t>GRI 305-1: Direct (Scope 1) GHG Emissions</w:t>
      </w:r>
    </w:p>
    <w:p>
      <w:pPr>
        <w:spacing w:after="160" w:line="276" w:lineRule="auto"/>
        <w:jc w:val="both"/>
      </w:pPr>
      <w:r>
        <w:rPr>
          <w:rFonts w:ascii="Arial" w:hAnsi="Arial"/>
          <w:sz w:val="22"/>
        </w:rPr>
        <w:t>For the reporting year 2024, the institution's total direct (Scope 1) greenhouse gas emissions amounted to 3,402.997 tCO₂e. These emissions arise from stationary combustion sources under the institution's operational control, specifically natural gas and diesel fuel consumption across branch offices, data centers, and administrative facilities. The institution applies the operational control consolidation approach as defined in the GHG Protocol Corporate Accounting and Reporting Standard (2015 Revised Edition), consistent with POJK No. 51/POJK.03/2017 tentang Penerapan Keuangan Berkelanjutan bagi Lembaga Jasa Keuangan, Emiten, dan Perusahaan Publik (POJK 51/2017) requirements for KBMI 3 classification banks.</w:t>
      </w:r>
    </w:p>
    <w:p>
      <w:pPr>
        <w:spacing w:after="160" w:line="276" w:lineRule="auto"/>
        <w:jc w:val="both"/>
      </w:pPr>
      <w:r>
        <w:rPr>
          <w:rFonts w:ascii="Arial" w:hAnsi="Arial"/>
          <w:sz w:val="22"/>
        </w:rPr>
        <w:t>The Scope 1 emission inventory comprises two primary sources: natural gas combustion contributing 1,199.7924 tCO₂e (35.26% of total Scope 1) and diesel combustion contributing 2,203.2044 tCO₂e (64.74% of total Scope 1). Natural gas is utilized primarily for heating, ventilation, and air conditioning (HVAC) systems in larger facilities, while diesel fuel powers backup generators and emergency power systems across the branch network. The higher proportion of diesel-related emissions reflects the institution's reliance on standby power generation to ensure business continuity in regions with grid instability.</w:t>
      </w:r>
    </w:p>
    <w:p>
      <w:pPr>
        <w:spacing w:after="160" w:line="276" w:lineRule="auto"/>
        <w:jc w:val="both"/>
      </w:pPr>
      <w:r>
        <w:rPr>
          <w:rFonts w:ascii="Arial" w:hAnsi="Arial"/>
          <w:i/>
          <w:sz w:val="22"/>
        </w:rPr>
        <w:t>Emission calculations follow the GHG Protocol Corporate Standard methodology, applying fuel-specific emission factors sourced from Indonesia's Ministry of Energy and Mineral Resources (ESDM) 2023 guidelines and IPCC 2006 Guidelines for National Greenhouse Gas Inventories. Global Warming Potential (GWP) values are based on the IPCC Sixth Assessment Report (AR6) 100-year time horizon: CO₂ = 1, CH₄ = 29.8, N₂O = 273.0. All three Kyoto Protocol gases (CO₂, CH₄, N₂O) are included in the inventory. Emission factors applied: natural gas combustion = 56.1 kg CO₂e/GJ (higher heating value basis), diesel combustion = 2.7 kg CO₂e/liter. The consolidation approach captures 100% of emissions from facilities where the institution exercises operational control, regardless of equity share.</w:t>
      </w:r>
    </w:p>
    <w:p>
      <w:pPr>
        <w:spacing w:after="160" w:line="276" w:lineRule="auto"/>
        <w:jc w:val="both"/>
      </w:pPr>
      <w:r>
        <w:rPr>
          <w:rFonts w:ascii="Arial" w:hAnsi="Arial"/>
          <w:sz w:val="22"/>
        </w:rPr>
        <w:t>Compared to the prior reporting year (2023), Scope 1 emissions increased by 2.36%, rising from 3,324.521 tCO₂e to 3,402.997 tCO₂e. This increase of 78.476 tCO₂e is attributed to: (i) natural gas consumption increase of 0.7603 tCO₂e (+0.06%), reflecting stable HVAC operations; and (ii) diesel consumption increase of 77.7156 tCO₂e (+3.66%), driven by higher backup generator runtime due to grid outages in Q2 and Q4 2024 affecting 23 branch locations in East Java and Kalimantan regions. The institution has initiated a diesel reduction program targeting 15% consumption decrease by 2026 through uninterruptible power supply (UPS) system upgrades and solar-diesel hybrid installations at high-consumption sites.</w:t>
      </w:r>
    </w:p>
    <w:p>
      <w:r>
        <w:rPr>
          <w:rFonts w:ascii="Arial" w:hAnsi="Arial"/>
          <w:b/>
          <w:sz w:val="20"/>
        </w:rPr>
        <w:t>Table 1: Scope 1 Direct GHG Emissions by Source — Reporting Year 2024</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No.</w:t>
            </w:r>
          </w:p>
        </w:tc>
        <w:tc>
          <w:tcPr>
            <w:tcW w:type="dxa" w:w="1290"/>
            <w:shd w:fill="1B3A6B" w:val="clear"/>
          </w:tcPr>
          <w:p>
            <w:r>
              <w:rPr>
                <w:rFonts w:ascii="Arial" w:hAnsi="Arial"/>
                <w:b/>
                <w:color w:val="FFFFFF"/>
                <w:sz w:val="18"/>
              </w:rPr>
              <w:t>Emission Source</w:t>
            </w:r>
          </w:p>
        </w:tc>
        <w:tc>
          <w:tcPr>
            <w:tcW w:type="dxa" w:w="1290"/>
            <w:shd w:fill="1B3A6B" w:val="clear"/>
          </w:tcPr>
          <w:p>
            <w:r>
              <w:rPr>
                <w:rFonts w:ascii="Arial" w:hAnsi="Arial"/>
                <w:b/>
                <w:color w:val="FFFFFF"/>
                <w:sz w:val="18"/>
              </w:rPr>
              <w:t>Fuel Type</w:t>
            </w:r>
          </w:p>
        </w:tc>
        <w:tc>
          <w:tcPr>
            <w:tcW w:type="dxa" w:w="1290"/>
            <w:shd w:fill="1B3A6B" w:val="clear"/>
          </w:tcPr>
          <w:p>
            <w:r>
              <w:rPr>
                <w:rFonts w:ascii="Arial" w:hAnsi="Arial"/>
                <w:b/>
                <w:color w:val="FFFFFF"/>
                <w:sz w:val="18"/>
              </w:rPr>
              <w:t>Emissions (tCO₂e)</w:t>
            </w:r>
          </w:p>
        </w:tc>
        <w:tc>
          <w:tcPr>
            <w:tcW w:type="dxa" w:w="1290"/>
            <w:shd w:fill="1B3A6B" w:val="clear"/>
          </w:tcPr>
          <w:p>
            <w:r>
              <w:rPr>
                <w:rFonts w:ascii="Arial" w:hAnsi="Arial"/>
                <w:b/>
                <w:color w:val="FFFFFF"/>
                <w:sz w:val="18"/>
              </w:rPr>
              <w:t>Percentage of Total Scope 1</w:t>
            </w:r>
          </w:p>
        </w:tc>
        <w:tc>
          <w:tcPr>
            <w:tcW w:type="dxa" w:w="1290"/>
            <w:shd w:fill="1B3A6B" w:val="clear"/>
          </w:tcPr>
          <w:p>
            <w:r>
              <w:rPr>
                <w:rFonts w:ascii="Arial" w:hAnsi="Arial"/>
                <w:b/>
                <w:color w:val="FFFFFF"/>
                <w:sz w:val="18"/>
              </w:rPr>
              <w:t>Prior Year 2023 (tCO₂e)</w:t>
            </w:r>
          </w:p>
        </w:tc>
        <w:tc>
          <w:tcPr>
            <w:tcW w:type="dxa" w:w="1290"/>
            <w:shd w:fill="1B3A6B" w:val="clear"/>
          </w:tcPr>
          <w:p>
            <w:r>
              <w:rPr>
                <w:rFonts w:ascii="Arial" w:hAnsi="Arial"/>
                <w:b/>
                <w:color w:val="FFFFFF"/>
                <w:sz w:val="18"/>
              </w:rPr>
              <w:t>Change (%)</w:t>
            </w:r>
          </w:p>
        </w:tc>
      </w:tr>
      <w:tr>
        <w:tc>
          <w:tcPr>
            <w:tcW w:type="dxa" w:w="1290"/>
          </w:tcPr>
          <w:p>
            <w:pPr>
              <w:jc w:val="right"/>
            </w:pPr>
            <w:r>
              <w:rPr>
                <w:rFonts w:ascii="Arial" w:hAnsi="Arial"/>
                <w:sz w:val="18"/>
              </w:rPr>
              <w:t>1</w:t>
            </w:r>
          </w:p>
        </w:tc>
        <w:tc>
          <w:tcPr>
            <w:tcW w:type="dxa" w:w="1290"/>
          </w:tcPr>
          <w:p>
            <w:r>
              <w:rPr>
                <w:rFonts w:ascii="Arial" w:hAnsi="Arial"/>
                <w:sz w:val="18"/>
              </w:rPr>
              <w:t>Stationary Combustion — HVAC Systems</w:t>
            </w:r>
          </w:p>
        </w:tc>
        <w:tc>
          <w:tcPr>
            <w:tcW w:type="dxa" w:w="1290"/>
          </w:tcPr>
          <w:p>
            <w:r>
              <w:rPr>
                <w:rFonts w:ascii="Arial" w:hAnsi="Arial"/>
                <w:sz w:val="18"/>
              </w:rPr>
              <w:t>Natural Gas</w:t>
            </w:r>
          </w:p>
        </w:tc>
        <w:tc>
          <w:tcPr>
            <w:tcW w:type="dxa" w:w="1290"/>
          </w:tcPr>
          <w:p>
            <w:pPr>
              <w:jc w:val="right"/>
            </w:pPr>
            <w:r>
              <w:rPr>
                <w:rFonts w:ascii="Arial" w:hAnsi="Arial"/>
                <w:sz w:val="18"/>
              </w:rPr>
              <w:t>1,199.7924</w:t>
            </w:r>
          </w:p>
        </w:tc>
        <w:tc>
          <w:tcPr>
            <w:tcW w:type="dxa" w:w="1290"/>
          </w:tcPr>
          <w:p>
            <w:pPr>
              <w:jc w:val="right"/>
            </w:pPr>
            <w:r>
              <w:rPr>
                <w:rFonts w:ascii="Arial" w:hAnsi="Arial"/>
                <w:sz w:val="18"/>
              </w:rPr>
              <w:t>35.26%</w:t>
            </w:r>
          </w:p>
        </w:tc>
        <w:tc>
          <w:tcPr>
            <w:tcW w:type="dxa" w:w="1290"/>
          </w:tcPr>
          <w:p>
            <w:pPr>
              <w:jc w:val="right"/>
            </w:pPr>
            <w:r>
              <w:rPr>
                <w:rFonts w:ascii="Arial" w:hAnsi="Arial"/>
                <w:sz w:val="18"/>
              </w:rPr>
              <w:t>1,199.0321</w:t>
            </w:r>
          </w:p>
        </w:tc>
        <w:tc>
          <w:tcPr>
            <w:tcW w:type="dxa" w:w="1290"/>
          </w:tcPr>
          <w:p>
            <w:pPr>
              <w:jc w:val="right"/>
            </w:pPr>
            <w:r>
              <w:rPr>
                <w:rFonts w:ascii="Arial" w:hAnsi="Arial"/>
                <w:sz w:val="18"/>
              </w:rPr>
              <w:t>+0.06%</w:t>
            </w:r>
          </w:p>
        </w:tc>
      </w:tr>
      <w:tr>
        <w:tc>
          <w:tcPr>
            <w:tcW w:type="dxa" w:w="1290"/>
            <w:shd w:fill="F2F6FC" w:val="clear"/>
          </w:tcPr>
          <w:p>
            <w:pPr>
              <w:jc w:val="right"/>
            </w:pPr>
            <w:r>
              <w:rPr>
                <w:rFonts w:ascii="Arial" w:hAnsi="Arial"/>
                <w:sz w:val="18"/>
              </w:rPr>
              <w:t>2</w:t>
            </w:r>
          </w:p>
        </w:tc>
        <w:tc>
          <w:tcPr>
            <w:tcW w:type="dxa" w:w="1290"/>
            <w:shd w:fill="F2F6FC" w:val="clear"/>
          </w:tcPr>
          <w:p>
            <w:r>
              <w:rPr>
                <w:rFonts w:ascii="Arial" w:hAnsi="Arial"/>
                <w:sz w:val="18"/>
              </w:rPr>
              <w:t>Stationary Combustion — Backup Generators</w:t>
            </w:r>
          </w:p>
        </w:tc>
        <w:tc>
          <w:tcPr>
            <w:tcW w:type="dxa" w:w="1290"/>
            <w:shd w:fill="F2F6FC" w:val="clear"/>
          </w:tcPr>
          <w:p>
            <w:r>
              <w:rPr>
                <w:rFonts w:ascii="Arial" w:hAnsi="Arial"/>
                <w:sz w:val="18"/>
              </w:rPr>
              <w:t>Diesel</w:t>
            </w:r>
          </w:p>
        </w:tc>
        <w:tc>
          <w:tcPr>
            <w:tcW w:type="dxa" w:w="1290"/>
            <w:shd w:fill="F2F6FC" w:val="clear"/>
          </w:tcPr>
          <w:p>
            <w:pPr>
              <w:jc w:val="right"/>
            </w:pPr>
            <w:r>
              <w:rPr>
                <w:rFonts w:ascii="Arial" w:hAnsi="Arial"/>
                <w:sz w:val="18"/>
              </w:rPr>
              <w:t>2,203.2044</w:t>
            </w:r>
          </w:p>
        </w:tc>
        <w:tc>
          <w:tcPr>
            <w:tcW w:type="dxa" w:w="1290"/>
            <w:shd w:fill="F2F6FC" w:val="clear"/>
          </w:tcPr>
          <w:p>
            <w:pPr>
              <w:jc w:val="right"/>
            </w:pPr>
            <w:r>
              <w:rPr>
                <w:rFonts w:ascii="Arial" w:hAnsi="Arial"/>
                <w:sz w:val="18"/>
              </w:rPr>
              <w:t>64.74%</w:t>
            </w:r>
          </w:p>
        </w:tc>
        <w:tc>
          <w:tcPr>
            <w:tcW w:type="dxa" w:w="1290"/>
            <w:shd w:fill="F2F6FC" w:val="clear"/>
          </w:tcPr>
          <w:p>
            <w:pPr>
              <w:jc w:val="right"/>
            </w:pPr>
            <w:r>
              <w:rPr>
                <w:rFonts w:ascii="Arial" w:hAnsi="Arial"/>
                <w:sz w:val="18"/>
              </w:rPr>
              <w:t>2,125.4888</w:t>
            </w:r>
          </w:p>
        </w:tc>
        <w:tc>
          <w:tcPr>
            <w:tcW w:type="dxa" w:w="1290"/>
            <w:shd w:fill="F2F6FC" w:val="clear"/>
          </w:tcPr>
          <w:p>
            <w:pPr>
              <w:jc w:val="right"/>
            </w:pPr>
            <w:r>
              <w:rPr>
                <w:rFonts w:ascii="Arial" w:hAnsi="Arial"/>
                <w:sz w:val="18"/>
              </w:rPr>
              <w:t>+3.66%</w:t>
            </w:r>
          </w:p>
        </w:tc>
      </w:tr>
      <w:tr>
        <w:tc>
          <w:tcPr>
            <w:tcW w:type="dxa" w:w="1290"/>
          </w:tcPr>
          <w:p>
            <w:pPr>
              <w:jc w:val="right"/>
            </w:pPr>
            <w:r>
              <w:rPr>
                <w:rFonts w:ascii="Arial" w:hAnsi="Arial"/>
                <w:sz w:val="18"/>
              </w:rPr>
              <w:t>3</w:t>
            </w:r>
          </w:p>
        </w:tc>
        <w:tc>
          <w:tcPr>
            <w:tcW w:type="dxa" w:w="1290"/>
          </w:tcPr>
          <w:p>
            <w:r>
              <w:rPr>
                <w:rFonts w:ascii="Arial" w:hAnsi="Arial"/>
                <w:sz w:val="18"/>
              </w:rPr>
              <w:t>**Total Scope 1 Emissions**</w:t>
            </w:r>
          </w:p>
        </w:tc>
        <w:tc>
          <w:tcPr>
            <w:tcW w:type="dxa" w:w="1290"/>
          </w:tcPr>
          <w:p>
            <w:r>
              <w:rPr>
                <w:rFonts w:ascii="Arial" w:hAnsi="Arial"/>
                <w:sz w:val="18"/>
              </w:rPr>
              <w:t>—</w:t>
            </w:r>
          </w:p>
        </w:tc>
        <w:tc>
          <w:tcPr>
            <w:tcW w:type="dxa" w:w="1290"/>
          </w:tcPr>
          <w:p>
            <w:r>
              <w:rPr>
                <w:rFonts w:ascii="Arial" w:hAnsi="Arial"/>
                <w:sz w:val="18"/>
              </w:rPr>
              <w:t>**3,402.997**</w:t>
            </w:r>
          </w:p>
        </w:tc>
        <w:tc>
          <w:tcPr>
            <w:tcW w:type="dxa" w:w="1290"/>
          </w:tcPr>
          <w:p>
            <w:r>
              <w:rPr>
                <w:rFonts w:ascii="Arial" w:hAnsi="Arial"/>
                <w:sz w:val="18"/>
              </w:rPr>
              <w:t>**100.00%**</w:t>
            </w:r>
          </w:p>
        </w:tc>
        <w:tc>
          <w:tcPr>
            <w:tcW w:type="dxa" w:w="1290"/>
          </w:tcPr>
          <w:p>
            <w:r>
              <w:rPr>
                <w:rFonts w:ascii="Arial" w:hAnsi="Arial"/>
                <w:sz w:val="18"/>
              </w:rPr>
              <w:t>**3,324.521**</w:t>
            </w:r>
          </w:p>
        </w:tc>
        <w:tc>
          <w:tcPr>
            <w:tcW w:type="dxa" w:w="1290"/>
          </w:tcPr>
          <w:p>
            <w:r>
              <w:rPr>
                <w:rFonts w:ascii="Arial" w:hAnsi="Arial"/>
                <w:sz w:val="18"/>
              </w:rPr>
              <w:t>**+2.36%**</w:t>
            </w:r>
          </w:p>
        </w:tc>
      </w:tr>
    </w:tbl>
    <w:p>
      <w:r>
        <w:rPr>
          <w:rFonts w:ascii="Arial" w:hAnsi="Arial"/>
          <w:i/>
          <w:sz w:val="16"/>
        </w:rPr>
        <w:t>Source: Source: Internal GHG inventory system. Emission factors: ESDM 2023, IPCC 2006 Guidelines. GWP values: IPCC AR6. Consolidation: Operational control per GHG Protocol Corporate Standard (2015).</w:t>
      </w:r>
    </w:p>
    <w:p/>
    <w:p>
      <w:r>
        <w:rPr>
          <w:rFonts w:ascii="Arial" w:hAnsi="Arial"/>
          <w:b/>
          <w:sz w:val="20"/>
        </w:rPr>
        <w:t>Table 2: Top 10 Facilities by Scope 1 Emissions — Reporting Year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No.</w:t>
            </w:r>
          </w:p>
        </w:tc>
        <w:tc>
          <w:tcPr>
            <w:tcW w:type="dxa" w:w="1505"/>
            <w:shd w:fill="1B3A6B" w:val="clear"/>
          </w:tcPr>
          <w:p>
            <w:r>
              <w:rPr>
                <w:rFonts w:ascii="Arial" w:hAnsi="Arial"/>
                <w:b/>
                <w:color w:val="FFFFFF"/>
                <w:sz w:val="18"/>
              </w:rPr>
              <w:t>Facility ID</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Natural Gas (tCO₂e)</w:t>
            </w:r>
          </w:p>
        </w:tc>
        <w:tc>
          <w:tcPr>
            <w:tcW w:type="dxa" w:w="1505"/>
            <w:shd w:fill="1B3A6B" w:val="clear"/>
          </w:tcPr>
          <w:p>
            <w:r>
              <w:rPr>
                <w:rFonts w:ascii="Arial" w:hAnsi="Arial"/>
                <w:b/>
                <w:color w:val="FFFFFF"/>
                <w:sz w:val="18"/>
              </w:rPr>
              <w:t>Diesel (tCO₂e)</w:t>
            </w:r>
          </w:p>
        </w:tc>
        <w:tc>
          <w:tcPr>
            <w:tcW w:type="dxa" w:w="1505"/>
            <w:shd w:fill="1B3A6B" w:val="clear"/>
          </w:tcPr>
          <w:p>
            <w:r>
              <w:rPr>
                <w:rFonts w:ascii="Arial" w:hAnsi="Arial"/>
                <w:b/>
                <w:color w:val="FFFFFF"/>
                <w:sz w:val="18"/>
              </w:rPr>
              <w:t>Data Quality Score</w:t>
            </w:r>
          </w:p>
        </w:tc>
      </w:tr>
      <w:tr>
        <w:tc>
          <w:tcPr>
            <w:tcW w:type="dxa" w:w="1505"/>
          </w:tcPr>
          <w:p>
            <w:pPr>
              <w:jc w:val="right"/>
            </w:pPr>
            <w:r>
              <w:rPr>
                <w:rFonts w:ascii="Arial" w:hAnsi="Arial"/>
                <w:sz w:val="18"/>
              </w:rPr>
              <w:t>1</w:t>
            </w:r>
          </w:p>
        </w:tc>
        <w:tc>
          <w:tcPr>
            <w:tcW w:type="dxa" w:w="1505"/>
          </w:tcPr>
          <w:p>
            <w:r>
              <w:rPr>
                <w:rFonts w:ascii="Arial" w:hAnsi="Arial"/>
                <w:sz w:val="18"/>
              </w:rPr>
              <w:t>FAC-0197</w:t>
            </w:r>
          </w:p>
        </w:tc>
        <w:tc>
          <w:tcPr>
            <w:tcW w:type="dxa" w:w="1505"/>
          </w:tcPr>
          <w:p>
            <w:pPr>
              <w:jc w:val="right"/>
            </w:pPr>
            <w:r>
              <w:rPr>
                <w:rFonts w:ascii="Arial" w:hAnsi="Arial"/>
                <w:sz w:val="18"/>
              </w:rPr>
              <w:t>147.7152</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2</w:t>
            </w:r>
          </w:p>
        </w:tc>
        <w:tc>
          <w:tcPr>
            <w:tcW w:type="dxa" w:w="1505"/>
            <w:shd w:fill="F2F6FC" w:val="clear"/>
          </w:tcPr>
          <w:p>
            <w:r>
              <w:rPr>
                <w:rFonts w:ascii="Arial" w:hAnsi="Arial"/>
                <w:sz w:val="18"/>
              </w:rPr>
              <w:t>FAC-0198</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54.446</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3</w:t>
            </w:r>
          </w:p>
        </w:tc>
        <w:tc>
          <w:tcPr>
            <w:tcW w:type="dxa" w:w="1505"/>
          </w:tcPr>
          <w:p>
            <w:r>
              <w:rPr>
                <w:rFonts w:ascii="Arial" w:hAnsi="Arial"/>
                <w:sz w:val="18"/>
              </w:rPr>
              <w:t>FAC-0200</w:t>
            </w:r>
          </w:p>
        </w:tc>
        <w:tc>
          <w:tcPr>
            <w:tcW w:type="dxa" w:w="1505"/>
          </w:tcPr>
          <w:p>
            <w:pPr>
              <w:jc w:val="right"/>
            </w:pPr>
            <w:r>
              <w:rPr>
                <w:rFonts w:ascii="Arial" w:hAnsi="Arial"/>
                <w:sz w:val="18"/>
              </w:rPr>
              <w:t>131.4422</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4</w:t>
            </w:r>
          </w:p>
        </w:tc>
        <w:tc>
          <w:tcPr>
            <w:tcW w:type="dxa" w:w="1505"/>
            <w:shd w:fill="F2F6FC" w:val="clear"/>
          </w:tcPr>
          <w:p>
            <w:r>
              <w:rPr>
                <w:rFonts w:ascii="Arial" w:hAnsi="Arial"/>
                <w:sz w:val="18"/>
              </w:rPr>
              <w:t>FAC-0196</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5</w:t>
            </w:r>
          </w:p>
        </w:tc>
        <w:tc>
          <w:tcPr>
            <w:tcW w:type="dxa" w:w="1505"/>
          </w:tcPr>
          <w:p>
            <w:r>
              <w:rPr>
                <w:rFonts w:ascii="Arial" w:hAnsi="Arial"/>
                <w:sz w:val="18"/>
              </w:rPr>
              <w:t>FAC-0199</w:t>
            </w:r>
          </w:p>
        </w:tc>
        <w:tc>
          <w:tcPr>
            <w:tcW w:type="dxa" w:w="1505"/>
          </w:tcPr>
          <w:p>
            <w:pPr>
              <w:jc w:val="right"/>
            </w:pPr>
            <w:r>
              <w:rPr>
                <w:rFonts w:ascii="Arial" w:hAnsi="Arial"/>
                <w:sz w:val="18"/>
              </w:rPr>
              <w:t>109.4122</w:t>
            </w:r>
          </w:p>
        </w:tc>
        <w:tc>
          <w:tcPr>
            <w:tcW w:type="dxa" w:w="1505"/>
          </w:tcPr>
          <w:p>
            <w:pPr>
              <w:jc w:val="right"/>
            </w:pPr>
            <w:r>
              <w:rPr>
                <w:rFonts w:ascii="Arial" w:hAnsi="Arial"/>
                <w:sz w:val="18"/>
              </w:rPr>
              <w:t>52.015</w:t>
            </w:r>
          </w:p>
        </w:tc>
        <w:tc>
          <w:tcPr>
            <w:tcW w:type="dxa" w:w="1505"/>
          </w:tcPr>
          <w:p>
            <w:pPr>
              <w:jc w:val="right"/>
            </w:pPr>
            <w:r>
              <w:rPr>
                <w:rFonts w:ascii="Arial" w:hAnsi="Arial"/>
                <w:sz w:val="18"/>
              </w:rPr>
              <w:t>57.3972</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6</w:t>
            </w:r>
          </w:p>
        </w:tc>
        <w:tc>
          <w:tcPr>
            <w:tcW w:type="dxa" w:w="1505"/>
            <w:shd w:fill="F2F6FC" w:val="clear"/>
          </w:tcPr>
          <w:p>
            <w:r>
              <w:rPr>
                <w:rFonts w:ascii="Arial" w:hAnsi="Arial"/>
                <w:sz w:val="18"/>
              </w:rPr>
              <w:t>FAC-0193</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72.3228</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7</w:t>
            </w:r>
          </w:p>
        </w:tc>
        <w:tc>
          <w:tcPr>
            <w:tcW w:type="dxa" w:w="1505"/>
          </w:tcPr>
          <w:p>
            <w:r>
              <w:rPr>
                <w:rFonts w:ascii="Arial" w:hAnsi="Arial"/>
                <w:sz w:val="18"/>
              </w:rPr>
              <w:t>FAC-0215</w:t>
            </w:r>
          </w:p>
        </w:tc>
        <w:tc>
          <w:tcPr>
            <w:tcW w:type="dxa" w:w="1505"/>
          </w:tcPr>
          <w:p>
            <w:pPr>
              <w:jc w:val="right"/>
            </w:pPr>
            <w:r>
              <w:rPr>
                <w:rFonts w:ascii="Arial" w:hAnsi="Arial"/>
                <w:sz w:val="18"/>
              </w:rPr>
              <w:t>70.6057</w:t>
            </w:r>
          </w:p>
        </w:tc>
        <w:tc>
          <w:tcPr>
            <w:tcW w:type="dxa" w:w="1505"/>
          </w:tcPr>
          <w:p>
            <w:pPr>
              <w:jc w:val="right"/>
            </w:pPr>
            <w:r>
              <w:rPr>
                <w:rFonts w:ascii="Arial" w:hAnsi="Arial"/>
                <w:sz w:val="18"/>
              </w:rPr>
              <w:t>23.586</w:t>
            </w:r>
          </w:p>
        </w:tc>
        <w:tc>
          <w:tcPr>
            <w:tcW w:type="dxa" w:w="1505"/>
          </w:tcPr>
          <w:p>
            <w:pPr>
              <w:jc w:val="right"/>
            </w:pPr>
            <w:r>
              <w:rPr>
                <w:rFonts w:ascii="Arial" w:hAnsi="Arial"/>
                <w:sz w:val="18"/>
              </w:rPr>
              <w:t>47.0197</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8</w:t>
            </w:r>
          </w:p>
        </w:tc>
        <w:tc>
          <w:tcPr>
            <w:tcW w:type="dxa" w:w="1505"/>
            <w:shd w:fill="F2F6FC" w:val="clear"/>
          </w:tcPr>
          <w:p>
            <w:r>
              <w:rPr>
                <w:rFonts w:ascii="Arial" w:hAnsi="Arial"/>
                <w:sz w:val="18"/>
              </w:rPr>
              <w:t>FAC-0191</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0.0</w:t>
            </w:r>
          </w:p>
        </w:tc>
        <w:tc>
          <w:tcPr>
            <w:tcW w:type="dxa" w:w="1505"/>
            <w:shd w:fill="F2F6FC" w:val="clear"/>
          </w:tcPr>
          <w:p>
            <w:pPr>
              <w:jc w:val="right"/>
            </w:pPr>
            <w:r>
              <w:rPr>
                <w:rFonts w:ascii="Arial" w:hAnsi="Arial"/>
                <w:sz w:val="18"/>
              </w:rPr>
              <w:t>67.3744</w:t>
            </w:r>
          </w:p>
        </w:tc>
        <w:tc>
          <w:tcPr>
            <w:tcW w:type="dxa" w:w="1505"/>
            <w:shd w:fill="F2F6FC" w:val="clear"/>
          </w:tcPr>
          <w:p>
            <w:pPr>
              <w:jc w:val="right"/>
            </w:pPr>
            <w:r>
              <w:rPr>
                <w:rFonts w:ascii="Arial" w:hAnsi="Arial"/>
                <w:sz w:val="18"/>
              </w:rPr>
              <w:t>1</w:t>
            </w:r>
          </w:p>
        </w:tc>
      </w:tr>
      <w:tr>
        <w:tc>
          <w:tcPr>
            <w:tcW w:type="dxa" w:w="1505"/>
          </w:tcPr>
          <w:p>
            <w:pPr>
              <w:jc w:val="right"/>
            </w:pPr>
            <w:r>
              <w:rPr>
                <w:rFonts w:ascii="Arial" w:hAnsi="Arial"/>
                <w:sz w:val="18"/>
              </w:rPr>
              <w:t>9</w:t>
            </w:r>
          </w:p>
        </w:tc>
        <w:tc>
          <w:tcPr>
            <w:tcW w:type="dxa" w:w="1505"/>
          </w:tcPr>
          <w:p>
            <w:r>
              <w:rPr>
                <w:rFonts w:ascii="Arial" w:hAnsi="Arial"/>
                <w:sz w:val="18"/>
              </w:rPr>
              <w:t>FAC-0181</w:t>
            </w:r>
          </w:p>
        </w:tc>
        <w:tc>
          <w:tcPr>
            <w:tcW w:type="dxa" w:w="1505"/>
          </w:tcPr>
          <w:p>
            <w:pPr>
              <w:jc w:val="right"/>
            </w:pPr>
            <w:r>
              <w:rPr>
                <w:rFonts w:ascii="Arial" w:hAnsi="Arial"/>
                <w:sz w:val="18"/>
              </w:rPr>
              <w:t>63.758</w:t>
            </w:r>
          </w:p>
        </w:tc>
        <w:tc>
          <w:tcPr>
            <w:tcW w:type="dxa" w:w="1505"/>
          </w:tcPr>
          <w:p>
            <w:pPr>
              <w:jc w:val="right"/>
            </w:pPr>
            <w:r>
              <w:rPr>
                <w:rFonts w:ascii="Arial" w:hAnsi="Arial"/>
                <w:sz w:val="18"/>
              </w:rPr>
              <w:t>0.0</w:t>
            </w:r>
          </w:p>
        </w:tc>
        <w:tc>
          <w:tcPr>
            <w:tcW w:type="dxa" w:w="1505"/>
          </w:tcPr>
          <w:p>
            <w:pPr>
              <w:jc w:val="right"/>
            </w:pPr>
            <w:r>
              <w:rPr>
                <w:rFonts w:ascii="Arial" w:hAnsi="Arial"/>
                <w:sz w:val="18"/>
              </w:rPr>
              <w:t>63.758</w:t>
            </w:r>
          </w:p>
        </w:tc>
        <w:tc>
          <w:tcPr>
            <w:tcW w:type="dxa" w:w="1505"/>
          </w:tcPr>
          <w:p>
            <w:pPr>
              <w:jc w:val="right"/>
            </w:pPr>
            <w:r>
              <w:rPr>
                <w:rFonts w:ascii="Arial" w:hAnsi="Arial"/>
                <w:sz w:val="18"/>
              </w:rPr>
              <w:t>1</w:t>
            </w:r>
          </w:p>
        </w:tc>
      </w:tr>
      <w:tr>
        <w:tc>
          <w:tcPr>
            <w:tcW w:type="dxa" w:w="1505"/>
            <w:shd w:fill="F2F6FC" w:val="clear"/>
          </w:tcPr>
          <w:p>
            <w:pPr>
              <w:jc w:val="right"/>
            </w:pPr>
            <w:r>
              <w:rPr>
                <w:rFonts w:ascii="Arial" w:hAnsi="Arial"/>
                <w:sz w:val="18"/>
              </w:rPr>
              <w:t>10</w:t>
            </w:r>
          </w:p>
        </w:tc>
        <w:tc>
          <w:tcPr>
            <w:tcW w:type="dxa" w:w="1505"/>
            <w:shd w:fill="F2F6FC" w:val="clear"/>
          </w:tcPr>
          <w:p>
            <w:r>
              <w:rPr>
                <w:rFonts w:ascii="Arial" w:hAnsi="Arial"/>
                <w:sz w:val="18"/>
              </w:rPr>
              <w:t>FAC-0208</w:t>
            </w:r>
          </w:p>
        </w:tc>
        <w:tc>
          <w:tcPr>
            <w:tcW w:type="dxa" w:w="1505"/>
            <w:shd w:fill="F2F6FC" w:val="clear"/>
          </w:tcPr>
          <w:p>
            <w:pPr>
              <w:jc w:val="right"/>
            </w:pPr>
            <w:r>
              <w:rPr>
                <w:rFonts w:ascii="Arial" w:hAnsi="Arial"/>
                <w:sz w:val="18"/>
              </w:rPr>
              <w:t>63.5152</w:t>
            </w:r>
          </w:p>
        </w:tc>
        <w:tc>
          <w:tcPr>
            <w:tcW w:type="dxa" w:w="1505"/>
            <w:shd w:fill="F2F6FC" w:val="clear"/>
          </w:tcPr>
          <w:p>
            <w:pPr>
              <w:jc w:val="right"/>
            </w:pPr>
            <w:r>
              <w:rPr>
                <w:rFonts w:ascii="Arial" w:hAnsi="Arial"/>
                <w:sz w:val="18"/>
              </w:rPr>
              <w:t>23.7606</w:t>
            </w:r>
          </w:p>
        </w:tc>
        <w:tc>
          <w:tcPr>
            <w:tcW w:type="dxa" w:w="1505"/>
            <w:shd w:fill="F2F6FC" w:val="clear"/>
          </w:tcPr>
          <w:p>
            <w:pPr>
              <w:jc w:val="right"/>
            </w:pPr>
            <w:r>
              <w:rPr>
                <w:rFonts w:ascii="Arial" w:hAnsi="Arial"/>
                <w:sz w:val="18"/>
              </w:rPr>
              <w:t>39.7546</w:t>
            </w:r>
          </w:p>
        </w:tc>
        <w:tc>
          <w:tcPr>
            <w:tcW w:type="dxa" w:w="1505"/>
            <w:shd w:fill="F2F6FC" w:val="clear"/>
          </w:tcPr>
          <w:p>
            <w:pPr>
              <w:jc w:val="right"/>
            </w:pPr>
            <w:r>
              <w:rPr>
                <w:rFonts w:ascii="Arial" w:hAnsi="Arial"/>
                <w:sz w:val="18"/>
              </w:rPr>
              <w:t>1</w:t>
            </w:r>
          </w:p>
        </w:tc>
      </w:tr>
    </w:tbl>
    <w:p>
      <w:r>
        <w:rPr>
          <w:rFonts w:ascii="Arial" w:hAnsi="Arial"/>
          <w:i/>
          <w:sz w:val="16"/>
        </w:rPr>
        <w:t>Source: Data Quality Score: 1 = Primary metered data (highest quality), per PCAF Data Quality Framework. Facilities FAC-0193, FAC-0191, FAC-0181 operate diesel-only backup systems without natural gas infrastructure.</w:t>
      </w:r>
    </w:p>
    <w:p/>
    <w:p>
      <w:r>
        <w:rPr>
          <w:i/>
          <w:color w:val="3D6094"/>
          <w:sz w:val="18"/>
        </w:rPr>
        <w:t>Framework references: GRI 305-1 (Direct GHG Emissions); POJK No. 51/POJK.03/2017 Article 13 (Climate Risk Management); GHG Protocol Corporate Accounting and Reporting Standard (2015 Revised Edition); IPCC Sixth Assessment Report (AR6) — Global Warming Potentials; Indonesia Enhanced NDC (Nationally Determined Contribution): 31.89% unconditional reduction by 2030</w:t>
      </w:r>
    </w:p>
    <w:p>
      <w:pPr>
        <w:spacing w:after="80"/>
        <w:pBdr>
          <w:bottom w:val="single" w:sz="6" w:space="1" w:color="999999"/>
        </w:pBdr>
      </w:pPr>
    </w:p>
    <w:p>
      <w:pPr>
        <w:spacing w:after="160" w:line="276" w:lineRule="auto"/>
        <w:jc w:val="both"/>
      </w:pPr>
      <w:r>
        <w:rPr>
          <w:rFonts w:ascii="Arial" w:hAnsi="Arial"/>
          <w:i/>
          <w:color w:val="646464"/>
          <w:sz w:val="18"/>
        </w:rPr>
        <w:t>Base year for emissions tracking: 2023. The institution has not restated base year emissions as there have been no significant structural changes, methodology updates, or data quality improvements that would trigger recalculation per GHG Protocol requirements.</w:t>
      </w:r>
    </w:p>
    <w:p>
      <w:pPr>
        <w:spacing w:after="160" w:line="276" w:lineRule="auto"/>
        <w:jc w:val="both"/>
      </w:pPr>
      <w:r>
        <w:rPr>
          <w:rFonts w:ascii="Arial" w:hAnsi="Arial"/>
          <w:i/>
          <w:color w:val="646464"/>
          <w:sz w:val="18"/>
        </w:rPr>
        <w:t>Consolidation approach: Operational control. The institution accounts for 100% of GHG emissions from operations over which it has operational control, consistent with POJK 51/2017 Article 13 requirements for climate risk assessment in lending portfolios.</w:t>
      </w:r>
    </w:p>
    <w:p>
      <w:pPr>
        <w:spacing w:after="160" w:line="276" w:lineRule="auto"/>
        <w:jc w:val="both"/>
      </w:pPr>
      <w:r>
        <w:rPr>
          <w:rFonts w:ascii="Arial" w:hAnsi="Arial"/>
          <w:i/>
          <w:color w:val="646464"/>
          <w:sz w:val="18"/>
        </w:rPr>
        <w:t>Gases included: Carbon dioxide (CO₂), methane (CH₄), and nitrous oxide (N₂O). Biogenic CO₂ emissions are not applicable as the institution does not utilize biomass fuels.</w:t>
      </w:r>
    </w:p>
    <w:p>
      <w:pPr>
        <w:spacing w:after="160" w:line="276" w:lineRule="auto"/>
        <w:jc w:val="both"/>
      </w:pPr>
      <w:r>
        <w:rPr>
          <w:rFonts w:ascii="Arial" w:hAnsi="Arial"/>
          <w:i/>
          <w:color w:val="646464"/>
          <w:sz w:val="18"/>
        </w:rPr>
        <w:t>Grid emission factor for Scope 2 calculations (reference): PLN National Grid 2023 = 0.7886 kg CO₂/kWh, per Ministry of Energy and Mineral Resources Decree No. 2023/ESDM.</w:t>
      </w:r>
    </w:p>
    <w:p>
      <w:r>
        <w:br w:type="page"/>
      </w:r>
    </w:p>
    <w:p>
      <w:pPr>
        <w:pStyle w:val="Heading1"/>
        <w:keepNext/>
        <w:spacing w:before="480" w:after="240"/>
      </w:pPr>
      <w:r>
        <w:rPr>
          <w:rFonts w:ascii="Arial" w:hAnsi="Arial"/>
          <w:b/>
          <w:color w:val="1B3A6B"/>
          <w:sz w:val="36"/>
        </w:rPr>
        <w:t>GRI 305-2: Energy Indirect (Scope 2) GHG Emissions</w:t>
      </w:r>
    </w:p>
    <w:p>
      <w:pPr>
        <w:spacing w:after="160" w:line="276" w:lineRule="auto"/>
        <w:jc w:val="both"/>
      </w:pPr>
      <w:r>
        <w:rPr>
          <w:rFonts w:ascii="Arial" w:hAnsi="Arial"/>
          <w:sz w:val="22"/>
        </w:rPr>
        <w:t>The organization's energy indirect (Scope 2) greenhouse gas emissions for the reporting period totaled 44,613.876 tCO2e using the location-based method and 44,612.518 tCO2e using the market-based method. These emissions result from the consumption of purchased electricity across the institution's operational facilities, including headquarters, branch offices, data centers, and automated teller machine (ATM) networks. The minimal difference of 1.358 tCO2e between the two methods reflects limited deployment of contractual instruments for renewable energy procurement during the reporting period.</w:t>
      </w:r>
    </w:p>
    <w:p>
      <w:pPr>
        <w:spacing w:after="160" w:line="276" w:lineRule="auto"/>
        <w:jc w:val="both"/>
      </w:pPr>
      <w:r>
        <w:rPr>
          <w:rFonts w:ascii="Arial" w:hAnsi="Arial"/>
          <w:i/>
          <w:sz w:val="22"/>
        </w:rPr>
        <w:t>The location-based method applies the average emission factor for the Indonesian electricity grid, sourced from PT PLN (Persero) 2023 grid emission factor data at 0.850 kgCO2e/kWh for the Java-Bali interconnected system, where 87% of the institution's facilities are located. The market-based method reflects emissions from electricity that the organization has purposefully chosen through contractual instruments. For the reporting period, the organization applied renewable energy certificates (RECs) covering 0.003% of total electricity consumption, resulting in a marginal reduction in market-based emissions. The residual mix emission factor for non-contracted electricity remains aligned with the grid average due to limited availability of Indonesia-specific residual mix data.</w:t>
      </w:r>
    </w:p>
    <w:p>
      <w:pPr>
        <w:spacing w:after="160" w:line="276" w:lineRule="auto"/>
        <w:jc w:val="both"/>
      </w:pPr>
      <w:r>
        <w:rPr>
          <w:rFonts w:ascii="Arial" w:hAnsi="Arial"/>
          <w:sz w:val="22"/>
        </w:rPr>
        <w:t>Contractual instruments applied during the reporting period consisted of unbundled renewable energy certificates (RECs) sourced from certified hydroelectric generation facilities in Sumatra. These RECs covered 1.598 MWh of the organization's total electricity consumption of 52,487.501 MWh, representing 0.003% renewable energy procurement. The organization has not yet entered into power purchase agreements (PPAs) or subscribed to utility green tariff programs. The market-based calculation methodology follows the GHG Protocol Scope 2 Guidance (2015), applying contractual instrument emission factors where available and grid-average factors for residual consumption.</w:t>
      </w:r>
    </w:p>
    <w:p>
      <w:pPr>
        <w:spacing w:after="160" w:line="276" w:lineRule="auto"/>
        <w:jc w:val="both"/>
      </w:pPr>
      <w:r>
        <w:rPr>
          <w:rFonts w:ascii="Arial" w:hAnsi="Arial"/>
          <w:sz w:val="22"/>
        </w:rPr>
        <w:t>Compared to the prior reporting period, location-based Scope 2 emissions increased by 0.032% from 44,599.440 tCO2e in 2023 to 44,613.876 tCO2e in 2024, representing an absolute increase of 14.436 tCO2e. Market-based emissions similarly increased by 0.032% from 44,598.118 tCO2e to 44,612.518 tCO2e. This marginal increase occurred despite a 2.03% increase in full-time equivalent employees, indicating improved energy efficiency per employee. The organization attributes this performance to energy management initiatives including LED retrofitting at 47 branch locations and implementation of automated shutdown systems for non-critical equipment during non-business hours.</w:t>
      </w:r>
    </w:p>
    <w:p>
      <w:pPr>
        <w:spacing w:after="160" w:line="276" w:lineRule="auto"/>
        <w:jc w:val="both"/>
      </w:pPr>
      <w:r>
        <w:rPr>
          <w:rFonts w:ascii="Arial" w:hAnsi="Arial"/>
          <w:i/>
          <w:sz w:val="22"/>
        </w:rPr>
        <w:t>The organization consolidates Scope 2 emissions using the operational control approach, consistent with its Scope 1 consolidation methodology. All facilities where the organization has operational control are included in the inventory boundary, regardless of ownership structure. Emissions from leased facilities where the organization does not control energy procurement decisions are excluded from the Scope 2 inventory and would be reported under Scope 3 Category 8 (Upstream Leased Assets) if material. The base year for Scope 2 emissions is 2023, established as the first year of comprehensive electricity consumption data collection across all facility types.</w:t>
      </w:r>
    </w:p>
    <w:p>
      <w:pPr>
        <w:spacing w:after="160" w:line="276" w:lineRule="auto"/>
        <w:jc w:val="both"/>
      </w:pPr>
      <w:r>
        <w:rPr>
          <w:rFonts w:ascii="Arial" w:hAnsi="Arial"/>
          <w:i/>
          <w:color w:val="555555"/>
          <w:sz w:val="22"/>
        </w:rPr>
        <w:t>**Advisory Recommendations for Scope 2 Emissions Reduction:**</w:t>
        <w:br/>
        <w:br/>
        <w:t>**Finding 1 — Minimal Renewable Energy Procurement**: The organization's renewable energy procurement of 0.003% significantly lags peer institutions. Bank Rakyat Indonesia (BRI) achieved 19.49% electricity savings through green building initiatives and solar panel installations across its branch network. DBS Bank sources 62% of its electricity from renewable sources as an RE100 member, achieving a 12% year-over-year reduction in absolute Scope 2 emissions.</w:t>
        <w:br/>
        <w:br/>
        <w:t>**Benchmark**: DBS Bank (Singapore, regional operations including Indonesia) — 62% renewable electricity, RE100 commitment, 12% YoY Scope 2 reduction.</w:t>
        <w:br/>
        <w:br/>
        <w:t>**Recommendation**: Establish a three-phase renewable energy procurement roadmap: (1) Short-term (6-12 months): Install solar photovoltaic systems at 20 high-consumption branches, targeting 500 kWp total capacity; (2) Medium-term (12-24 months): Execute corporate power purchase agreement (PPA) with renewable energy provider for 15% of total consumption; (3) Long-term (24-36 months): Submit RE100 commitment with target of 50% renewable electricity by 2030. Prioritize facilities in Java-Bali grid where solar irradiation averages 4.5-5.5 kWh/m²/day.</w:t>
        <w:br/>
        <w:br/>
        <w:t>**Reference**: BRI Green Network program — solar panel installations at branches, green building certification (Gold GBCI), 19.49% electricity savings achieved.</w:t>
        <w:br/>
        <w:br/>
        <w:t>**Priority**: High — Scope 2 represents 92.9% of operational emissions (Scope 1+2), making renewable procurement the highest-impact decarbonization lever.</w:t>
        <w:br/>
        <w:br/>
        <w:t>**Finding 2 — Grid Emission Factor Dependency**: The organization's Scope 2 emissions are entirely dependent on the Indonesian grid emission factor (0.850 kgCO2e/kWh), which is among the highest in Southeast Asia due to coal-fired generation dominance (65% of grid mix). Without contractual instruments, the organization has no mechanism to differentiate its electricity sourcing from the grid average.</w:t>
        <w:br/>
        <w:br/>
        <w:t>**Benchmark**: Bank Central Asia (BCA) — implemented sectoral credit policies for carbon-intensive sectors and enhanced ESRM screening, demonstrating integrated climate risk management across operational and financed emissions.</w:t>
        <w:br/>
        <w:br/>
        <w:t>**Recommendation**: Develop a dual-track approach: (1) Operational decarbonization through on-site renewable generation and PPAs to reduce absolute Scope 2 emissions; (2) Advocacy engagement with PLN and Ministry of Energy and Mineral Resources (ESDM) for accelerated grid decarbonization, leveraging the institution's position as a major commercial electricity consumer. Join the Indonesia Business Council for Sustainable Development (IBCSD) renewable energy working group to amplify collective voice for corporate renewable energy access.</w:t>
        <w:br/>
        <w:br/>
        <w:t>**Reference**: DBS Bank — active participation in regional renewable energy advocacy, RE100 membership driving policy dialogue in operating markets.</w:t>
        <w:br/>
        <w:br/>
        <w:t>**Priority**: Medium — Grid decarbonization is a long-term structural change, but early engagement positions the organization as a climate leader in the Indonesian financial sector.</w:t>
      </w:r>
    </w:p>
    <w:p>
      <w:r>
        <w:rPr>
          <w:rFonts w:ascii="Arial" w:hAnsi="Arial"/>
          <w:b/>
          <w:sz w:val="20"/>
        </w:rPr>
        <w:t>Table 4.2: Scope 2 Energy Indirect GHG Emissions — Dual Reporting (tCO2e)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Reporting Method</w:t>
            </w:r>
          </w:p>
        </w:tc>
        <w:tc>
          <w:tcPr>
            <w:tcW w:type="dxa" w:w="1806"/>
            <w:shd w:fill="1B3A6B" w:val="clear"/>
          </w:tcPr>
          <w:p>
            <w:r>
              <w:rPr>
                <w:rFonts w:ascii="Arial" w:hAnsi="Arial"/>
                <w:b/>
                <w:color w:val="FFFFFF"/>
                <w:sz w:val="18"/>
              </w:rPr>
              <w:t>2024 Emissions (tCO2e)</w:t>
            </w:r>
          </w:p>
        </w:tc>
        <w:tc>
          <w:tcPr>
            <w:tcW w:type="dxa" w:w="1806"/>
            <w:shd w:fill="1B3A6B" w:val="clear"/>
          </w:tcPr>
          <w:p>
            <w:r>
              <w:rPr>
                <w:rFonts w:ascii="Arial" w:hAnsi="Arial"/>
                <w:b/>
                <w:color w:val="FFFFFF"/>
                <w:sz w:val="18"/>
              </w:rPr>
              <w:t>2023 Emissions (tCO2e)</w:t>
            </w:r>
          </w:p>
        </w:tc>
        <w:tc>
          <w:tcPr>
            <w:tcW w:type="dxa" w:w="1806"/>
            <w:shd w:fill="1B3A6B" w:val="clear"/>
          </w:tcPr>
          <w:p>
            <w:r>
              <w:rPr>
                <w:rFonts w:ascii="Arial" w:hAnsi="Arial"/>
                <w:b/>
                <w:color w:val="FFFFFF"/>
                <w:sz w:val="18"/>
              </w:rPr>
              <w:t>YoY Change (%)</w:t>
            </w:r>
          </w:p>
        </w:tc>
        <w:tc>
          <w:tcPr>
            <w:tcW w:type="dxa" w:w="1806"/>
            <w:shd w:fill="1B3A6B" w:val="clear"/>
          </w:tcPr>
          <w:p>
            <w:r>
              <w:rPr>
                <w:rFonts w:ascii="Arial" w:hAnsi="Arial"/>
                <w:b/>
                <w:color w:val="FFFFFF"/>
                <w:sz w:val="18"/>
              </w:rPr>
              <w:t>Methodology Reference</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+0.032</w:t>
            </w:r>
          </w:p>
        </w:tc>
        <w:tc>
          <w:tcPr>
            <w:tcW w:type="dxa" w:w="1806"/>
          </w:tcPr>
          <w:p>
            <w:r>
              <w:rPr>
                <w:rFonts w:ascii="Arial" w:hAnsi="Arial"/>
                <w:sz w:val="18"/>
              </w:rPr>
              <w:t>Grid average EF (PLN 2023)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+0.032</w:t>
            </w:r>
          </w:p>
        </w:tc>
        <w:tc>
          <w:tcPr>
            <w:tcW w:type="dxa" w:w="1806"/>
            <w:shd w:fill="F2F6FC" w:val="clear"/>
          </w:tcPr>
          <w:p>
            <w:r>
              <w:rPr>
                <w:rFonts w:ascii="Arial" w:hAnsi="Arial"/>
                <w:sz w:val="18"/>
              </w:rPr>
              <w:t>Contractual instruments + residual mix</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+2.72</w:t>
            </w:r>
          </w:p>
        </w:tc>
        <w:tc>
          <w:tcPr>
            <w:tcW w:type="dxa" w:w="1806"/>
          </w:tcPr>
          <w:p>
            <w:r>
              <w:rPr>
                <w:rFonts w:ascii="Arial" w:hAnsi="Arial"/>
                <w:sz w:val="18"/>
              </w:rPr>
              <w:t>REC application impact</w:t>
            </w:r>
          </w:p>
        </w:tc>
      </w:tr>
    </w:tbl>
    <w:p>
      <w:r>
        <w:rPr>
          <w:rFonts w:ascii="Arial" w:hAnsi="Arial"/>
          <w:i/>
          <w:sz w:val="16"/>
        </w:rPr>
        <w:t>Source: Source: Internal energy consumption data; PLN grid emission factor 0.850 kgCO2e/kWh (Java-Bali system, 2023); REC certificates from certified hydroelectric facilities. Consolidation approach: Operational control. Gases included: CO2, CH4, N2O (expressed as CO2 equivalents per IPCC AR5 GWP values).</w:t>
      </w:r>
    </w:p>
    <w:p/>
    <w:p>
      <w:r>
        <w:rPr>
          <w:rFonts w:ascii="Arial" w:hAnsi="Arial"/>
          <w:b/>
          <w:sz w:val="20"/>
        </w:rPr>
        <w:t>Table 4.3: Electricity Consumption and Renewable Energy Procurement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 Value</w:t>
            </w:r>
          </w:p>
        </w:tc>
        <w:tc>
          <w:tcPr>
            <w:tcW w:type="dxa" w:w="1806"/>
            <w:shd w:fill="1B3A6B" w:val="clear"/>
          </w:tcPr>
          <w:p>
            <w:r>
              <w:rPr>
                <w:rFonts w:ascii="Arial" w:hAnsi="Arial"/>
                <w:b/>
                <w:color w:val="FFFFFF"/>
                <w:sz w:val="18"/>
              </w:rPr>
              <w:t>2023 Value</w:t>
            </w:r>
          </w:p>
        </w:tc>
        <w:tc>
          <w:tcPr>
            <w:tcW w:type="dxa" w:w="1806"/>
            <w:shd w:fill="1B3A6B" w:val="clear"/>
          </w:tcPr>
          <w:p>
            <w:r>
              <w:rPr>
                <w:rFonts w:ascii="Arial" w:hAnsi="Arial"/>
                <w:b/>
                <w:color w:val="FFFFFF"/>
                <w:sz w:val="18"/>
              </w:rPr>
              <w:t>Unit</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Total Electricity Consumption</w:t>
            </w:r>
          </w:p>
        </w:tc>
        <w:tc>
          <w:tcPr>
            <w:tcW w:type="dxa" w:w="1806"/>
          </w:tcPr>
          <w:p>
            <w:pPr>
              <w:jc w:val="right"/>
            </w:pPr>
            <w:r>
              <w:rPr>
                <w:rFonts w:ascii="Arial" w:hAnsi="Arial"/>
                <w:sz w:val="18"/>
              </w:rPr>
              <w:t>52,487.501</w:t>
            </w:r>
          </w:p>
        </w:tc>
        <w:tc>
          <w:tcPr>
            <w:tcW w:type="dxa" w:w="1806"/>
          </w:tcPr>
          <w:p>
            <w:pPr>
              <w:jc w:val="right"/>
            </w:pPr>
            <w:r>
              <w:rPr>
                <w:rFonts w:ascii="Arial" w:hAnsi="Arial"/>
                <w:sz w:val="18"/>
              </w:rPr>
              <w:t>52,469.930</w:t>
            </w:r>
          </w:p>
        </w:tc>
        <w:tc>
          <w:tcPr>
            <w:tcW w:type="dxa" w:w="1806"/>
          </w:tcPr>
          <w:p>
            <w:r>
              <w:rPr>
                <w:rFonts w:ascii="Arial" w:hAnsi="Arial"/>
                <w:sz w:val="18"/>
              </w:rPr>
              <w:t>MWh</w:t>
            </w:r>
          </w:p>
        </w:tc>
        <w:tc>
          <w:tcPr>
            <w:tcW w:type="dxa" w:w="1806"/>
          </w:tcPr>
          <w:p>
            <w:pPr>
              <w:jc w:val="right"/>
            </w:pPr>
            <w:r>
              <w:rPr>
                <w:rFonts w:ascii="Arial" w:hAnsi="Arial"/>
                <w:sz w:val="18"/>
              </w:rPr>
              <w:t>+0.033</w:t>
            </w:r>
          </w:p>
        </w:tc>
      </w:tr>
      <w:tr>
        <w:tc>
          <w:tcPr>
            <w:tcW w:type="dxa" w:w="1806"/>
            <w:shd w:fill="F2F6FC" w:val="clear"/>
          </w:tcPr>
          <w:p>
            <w:r>
              <w:rPr>
                <w:rFonts w:ascii="Arial" w:hAnsi="Arial"/>
                <w:sz w:val="18"/>
              </w:rPr>
              <w:t>Renewable Energy (RECs)</w:t>
            </w:r>
          </w:p>
        </w:tc>
        <w:tc>
          <w:tcPr>
            <w:tcW w:type="dxa" w:w="1806"/>
            <w:shd w:fill="F2F6FC" w:val="clear"/>
          </w:tcPr>
          <w:p>
            <w:pPr>
              <w:jc w:val="right"/>
            </w:pPr>
            <w:r>
              <w:rPr>
                <w:rFonts w:ascii="Arial" w:hAnsi="Arial"/>
                <w:sz w:val="18"/>
              </w:rPr>
              <w:t>1.598</w:t>
            </w:r>
          </w:p>
        </w:tc>
        <w:tc>
          <w:tcPr>
            <w:tcW w:type="dxa" w:w="1806"/>
            <w:shd w:fill="F2F6FC" w:val="clear"/>
          </w:tcPr>
          <w:p>
            <w:pPr>
              <w:jc w:val="right"/>
            </w:pPr>
            <w:r>
              <w:rPr>
                <w:rFonts w:ascii="Arial" w:hAnsi="Arial"/>
                <w:sz w:val="18"/>
              </w:rPr>
              <w:t>1.555</w:t>
            </w:r>
          </w:p>
        </w:tc>
        <w:tc>
          <w:tcPr>
            <w:tcW w:type="dxa" w:w="1806"/>
            <w:shd w:fill="F2F6FC" w:val="clear"/>
          </w:tcPr>
          <w:p>
            <w:r>
              <w:rPr>
                <w:rFonts w:ascii="Arial" w:hAnsi="Arial"/>
                <w:sz w:val="18"/>
              </w:rPr>
              <w:t>MWh</w:t>
            </w:r>
          </w:p>
        </w:tc>
        <w:tc>
          <w:tcPr>
            <w:tcW w:type="dxa" w:w="1806"/>
            <w:shd w:fill="F2F6FC" w:val="clear"/>
          </w:tcPr>
          <w:p>
            <w:pPr>
              <w:jc w:val="right"/>
            </w:pPr>
            <w:r>
              <w:rPr>
                <w:rFonts w:ascii="Arial" w:hAnsi="Arial"/>
                <w:sz w:val="18"/>
              </w:rPr>
              <w:t>+2.77</w:t>
            </w:r>
          </w:p>
        </w:tc>
      </w:tr>
      <w:tr>
        <w:tc>
          <w:tcPr>
            <w:tcW w:type="dxa" w:w="1806"/>
          </w:tcPr>
          <w:p>
            <w:r>
              <w:rPr>
                <w:rFonts w:ascii="Arial" w:hAnsi="Arial"/>
                <w:sz w:val="18"/>
              </w:rPr>
              <w:t>Renewable Energy Percentage</w:t>
            </w:r>
          </w:p>
        </w:tc>
        <w:tc>
          <w:tcPr>
            <w:tcW w:type="dxa" w:w="1806"/>
          </w:tcPr>
          <w:p>
            <w:pPr>
              <w:jc w:val="right"/>
            </w:pPr>
            <w:r>
              <w:rPr>
                <w:rFonts w:ascii="Arial" w:hAnsi="Arial"/>
                <w:sz w:val="18"/>
              </w:rPr>
              <w:t>0.003</w:t>
            </w:r>
          </w:p>
        </w:tc>
        <w:tc>
          <w:tcPr>
            <w:tcW w:type="dxa" w:w="1806"/>
          </w:tcPr>
          <w:p>
            <w:pPr>
              <w:jc w:val="right"/>
            </w:pPr>
            <w:r>
              <w:rPr>
                <w:rFonts w:ascii="Arial" w:hAnsi="Arial"/>
                <w:sz w:val="18"/>
              </w:rPr>
              <w:t>0.003</w:t>
            </w:r>
          </w:p>
        </w:tc>
        <w:tc>
          <w:tcPr>
            <w:tcW w:type="dxa" w:w="1806"/>
          </w:tcPr>
          <w:p>
            <w:r>
              <w:rPr>
                <w:rFonts w:ascii="Arial" w:hAnsi="Arial"/>
                <w:sz w:val="18"/>
              </w:rPr>
              <w:t>%</w:t>
            </w:r>
          </w:p>
        </w:tc>
        <w:tc>
          <w:tcPr>
            <w:tcW w:type="dxa" w:w="1806"/>
          </w:tcPr>
          <w:p>
            <w:pPr>
              <w:jc w:val="right"/>
            </w:pPr>
            <w:r>
              <w:rPr>
                <w:rFonts w:ascii="Arial" w:hAnsi="Arial"/>
                <w:sz w:val="18"/>
              </w:rPr>
              <w:t>0.00</w:t>
            </w:r>
          </w:p>
        </w:tc>
      </w:tr>
      <w:tr>
        <w:tc>
          <w:tcPr>
            <w:tcW w:type="dxa" w:w="1806"/>
            <w:shd w:fill="F2F6FC" w:val="clear"/>
          </w:tcPr>
          <w:p>
            <w:r>
              <w:rPr>
                <w:rFonts w:ascii="Arial" w:hAnsi="Arial"/>
                <w:sz w:val="18"/>
              </w:rPr>
              <w:t>Grid Emission Factor Applied</w:t>
            </w:r>
          </w:p>
        </w:tc>
        <w:tc>
          <w:tcPr>
            <w:tcW w:type="dxa" w:w="1806"/>
            <w:shd w:fill="F2F6FC" w:val="clear"/>
          </w:tcPr>
          <w:p>
            <w:pPr>
              <w:jc w:val="right"/>
            </w:pPr>
            <w:r>
              <w:rPr>
                <w:rFonts w:ascii="Arial" w:hAnsi="Arial"/>
                <w:sz w:val="18"/>
              </w:rPr>
              <w:t>0.850</w:t>
            </w:r>
          </w:p>
        </w:tc>
        <w:tc>
          <w:tcPr>
            <w:tcW w:type="dxa" w:w="1806"/>
            <w:shd w:fill="F2F6FC" w:val="clear"/>
          </w:tcPr>
          <w:p>
            <w:pPr>
              <w:jc w:val="right"/>
            </w:pPr>
            <w:r>
              <w:rPr>
                <w:rFonts w:ascii="Arial" w:hAnsi="Arial"/>
                <w:sz w:val="18"/>
              </w:rPr>
              <w:t>0.850</w:t>
            </w:r>
          </w:p>
        </w:tc>
        <w:tc>
          <w:tcPr>
            <w:tcW w:type="dxa" w:w="1806"/>
            <w:shd w:fill="F2F6FC" w:val="clear"/>
          </w:tcPr>
          <w:p>
            <w:r>
              <w:rPr>
                <w:rFonts w:ascii="Arial" w:hAnsi="Arial"/>
                <w:sz w:val="18"/>
              </w:rPr>
              <w:t>kgCO2e/kWh</w:t>
            </w:r>
          </w:p>
        </w:tc>
        <w:tc>
          <w:tcPr>
            <w:tcW w:type="dxa" w:w="1806"/>
            <w:shd w:fill="F2F6FC" w:val="clear"/>
          </w:tcPr>
          <w:p>
            <w:pPr>
              <w:jc w:val="right"/>
            </w:pPr>
            <w:r>
              <w:rPr>
                <w:rFonts w:ascii="Arial" w:hAnsi="Arial"/>
                <w:sz w:val="18"/>
              </w:rPr>
              <w:t>0.00</w:t>
            </w:r>
          </w:p>
        </w:tc>
      </w:tr>
      <w:tr>
        <w:tc>
          <w:tcPr>
            <w:tcW w:type="dxa" w:w="1806"/>
          </w:tcPr>
          <w:p>
            <w:r>
              <w:rPr>
                <w:rFonts w:ascii="Arial" w:hAnsi="Arial"/>
                <w:sz w:val="18"/>
              </w:rPr>
              <w:t>Scope 2 Intensity (per FTE)</w:t>
            </w:r>
          </w:p>
        </w:tc>
        <w:tc>
          <w:tcPr>
            <w:tcW w:type="dxa" w:w="1806"/>
          </w:tcPr>
          <w:p>
            <w:pPr>
              <w:jc w:val="right"/>
            </w:pPr>
            <w:r>
              <w:rPr>
                <w:rFonts w:ascii="Arial" w:hAnsi="Arial"/>
                <w:sz w:val="18"/>
              </w:rPr>
              <w:t>1.785</w:t>
            </w:r>
          </w:p>
        </w:tc>
        <w:tc>
          <w:tcPr>
            <w:tcW w:type="dxa" w:w="1806"/>
          </w:tcPr>
          <w:p>
            <w:pPr>
              <w:jc w:val="right"/>
            </w:pPr>
            <w:r>
              <w:rPr>
                <w:rFonts w:ascii="Arial" w:hAnsi="Arial"/>
                <w:sz w:val="18"/>
              </w:rPr>
              <w:t>1.820</w:t>
            </w:r>
          </w:p>
        </w:tc>
        <w:tc>
          <w:tcPr>
            <w:tcW w:type="dxa" w:w="1806"/>
          </w:tcPr>
          <w:p>
            <w:r>
              <w:rPr>
                <w:rFonts w:ascii="Arial" w:hAnsi="Arial"/>
                <w:sz w:val="18"/>
              </w:rPr>
              <w:t>tCO2e/FTE</w:t>
            </w:r>
          </w:p>
        </w:tc>
        <w:tc>
          <w:tcPr>
            <w:tcW w:type="dxa" w:w="1806"/>
          </w:tcPr>
          <w:p>
            <w:pPr>
              <w:jc w:val="right"/>
            </w:pPr>
            <w:r>
              <w:rPr>
                <w:rFonts w:ascii="Arial" w:hAnsi="Arial"/>
                <w:sz w:val="18"/>
              </w:rPr>
              <w:t>-1.92</w:t>
            </w:r>
          </w:p>
        </w:tc>
      </w:tr>
    </w:tbl>
    <w:p>
      <w:r>
        <w:rPr>
          <w:rFonts w:ascii="Arial" w:hAnsi="Arial"/>
          <w:i/>
          <w:sz w:val="16"/>
        </w:rPr>
        <w:t>Source: Source: Facility-level electricity meter data aggregated monthly; REC registry certificates; PLN published emission factors. FTE count: 24,997 (2024), 24,500 (2023). Intensity calculation uses market-based Scope 2 emissions.</w:t>
      </w:r>
    </w:p>
    <w:p/>
    <w:p>
      <w:r>
        <w:rPr>
          <w:i/>
          <w:color w:val="3D6094"/>
          <w:sz w:val="18"/>
        </w:rPr>
        <w:t>Framework references: GRI 305-2 (Energy Indirect Scope 2 GHG Emissions); GHG Protocol Corporate Accounting and Reporting Standard (Revised Edition); GHG Protocol Scope 2 Guidance (2015); GRI 302-1 (Energy consumption within the organization) — referenced for electricity consumption data</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The organization applies the GHG Protocol Scope 2 Guidance (2015) dual reporting requirement. Both location-based and market-based methods are disclosed to provide transparency on contractual instrument usage and grid-average emissions.</w:t>
      </w:r>
    </w:p>
    <w:p>
      <w:pPr>
        <w:spacing w:after="160" w:line="276" w:lineRule="auto"/>
        <w:jc w:val="both"/>
      </w:pPr>
      <w:r>
        <w:rPr>
          <w:rFonts w:ascii="Arial" w:hAnsi="Arial"/>
          <w:i/>
          <w:color w:val="646464"/>
          <w:sz w:val="18"/>
        </w:rPr>
        <w:t>Grid emission factor source: PT PLN (Persero) 2023 published data for Java-Bali interconnected system (0.850 kgCO2e/kWh). Facilities outside Java-Bali (13% of total) apply regional grid factors ranging from 0.720-0.890 kgCO2e/kWh.</w:t>
      </w:r>
    </w:p>
    <w:p>
      <w:pPr>
        <w:spacing w:after="160" w:line="276" w:lineRule="auto"/>
        <w:jc w:val="both"/>
      </w:pPr>
      <w:r>
        <w:rPr>
          <w:rFonts w:ascii="Arial" w:hAnsi="Arial"/>
          <w:i/>
          <w:color w:val="646464"/>
          <w:sz w:val="18"/>
        </w:rPr>
        <w:t>Renewable energy certificates (RECs) are sourced from certified hydroelectric generation facilities and meet the Quality Criteria specified in the GHG Protocol Scope 2 Guidance to convey GHG emission rate claims.</w:t>
      </w:r>
    </w:p>
    <w:p>
      <w:pPr>
        <w:spacing w:after="160" w:line="276" w:lineRule="auto"/>
        <w:jc w:val="both"/>
      </w:pPr>
      <w:r>
        <w:rPr>
          <w:rFonts w:ascii="Arial" w:hAnsi="Arial"/>
          <w:i/>
          <w:color w:val="646464"/>
          <w:sz w:val="18"/>
        </w:rPr>
        <w:t>The minimal difference between location-based and market-based emissions (1.358 tCO2e) reflects the organization's early stage of renewable energy procurement. As contractual instrument coverage increases, this difference is expected to widen significantly.</w:t>
      </w:r>
    </w:p>
    <w:p>
      <w:pPr>
        <w:spacing w:after="160" w:line="276" w:lineRule="auto"/>
        <w:jc w:val="both"/>
      </w:pPr>
      <w:r>
        <w:rPr>
          <w:rFonts w:ascii="Arial" w:hAnsi="Arial"/>
          <w:i/>
          <w:color w:val="646464"/>
          <w:sz w:val="18"/>
        </w:rPr>
        <w:t>GRI Content Index: 305-2 | Energy indirect (Scope 2) GHG emissions | Section 4.2</w:t>
      </w:r>
    </w:p>
    <w:p>
      <w:r>
        <w:br w:type="page"/>
      </w:r>
    </w:p>
    <w:p>
      <w:pPr>
        <w:pStyle w:val="Heading1"/>
        <w:keepNext/>
        <w:spacing w:before="480" w:after="240"/>
      </w:pPr>
      <w:r>
        <w:rPr>
          <w:rFonts w:ascii="Arial" w:hAnsi="Arial"/>
          <w:b/>
          <w:color w:val="1B3A6B"/>
          <w:sz w:val="36"/>
        </w:rPr>
        <w:t>Climate Governance &amp; ESG Oversight</w:t>
      </w:r>
    </w:p>
    <w:p>
      <w:pPr>
        <w:spacing w:after="160" w:line="276" w:lineRule="auto"/>
        <w:jc w:val="both"/>
      </w:pPr>
      <w:r>
        <w:rPr>
          <w:rFonts w:ascii="Arial" w:hAnsi="Arial"/>
          <w:sz w:val="22"/>
        </w:rPr>
        <w:t>This data point is not yet captured in the institution's reporting system. Per IFRS S2 paragraphs 6-7, the institution is required to disclose: (a) the identity of the body(s) or individual(s) responsible for oversight of climate-related risks and opportunities, including how responsibilities are reflected in terms of reference and mandates; (b) how the governing body determines whether appropriate skills and competencies are available to oversee climate strategies; (c) the frequency of climate risk reviews; (d) how climate considerations inform strategy and major transactions; (e) oversight of target-setting and progress monitoring; and (f) management's role in governance processes and controls.</w:t>
      </w:r>
    </w:p>
    <w:p>
      <w:pPr>
        <w:spacing w:after="160" w:line="276" w:lineRule="auto"/>
        <w:jc w:val="both"/>
      </w:pPr>
      <w:r>
        <w:rPr>
          <w:rFonts w:ascii="Arial" w:hAnsi="Arial"/>
          <w:sz w:val="22"/>
        </w:rPr>
        <w:t>The absence of documented governance structures for climate oversight represents a foundational gap in the institution's sustainability reporting framework. Without formal board-level accountability mechanisms, the institution cannot demonstrate compliance with IFRS S2 governance requirements or provide assurance to stakeholders that climate-related risks and opportunities are systematically integrated into strategic decision-making processes.</w:t>
      </w:r>
    </w:p>
    <w:p>
      <w:pPr>
        <w:spacing w:after="160" w:line="276" w:lineRule="auto"/>
        <w:jc w:val="both"/>
      </w:pPr>
      <w:r>
        <w:rPr>
          <w:rFonts w:ascii="Arial" w:hAnsi="Arial"/>
          <w:sz w:val="22"/>
        </w:rPr>
        <w:t>**Peer Benchmark Analysis**: Leading Indonesian financial institutions have established robust climate governance frameworks that provide reference models for implementation. Bank Rakyat Indonesia (BRI) established a dedicated Risk Management &amp; ESG Committee in 2021 via Board Decision NOKEP 872-DIR/PPM/06/2022, with quarterly reporting to the President Director. Bank Central Asia (BCA) conducts ESG reviews at least four times annually at Board level, with oversight integrated into Director of Planning &amp; Finance responsibilities. DBS Bank operates a Board Sustainability Committee with quarterly review cadence and links 20% of executive compensation to climate and sustainability KPIs. Bank Mandiri maintains an ESG Task Force with semi-annual board reviews. All peer institutions have established clear reporting lines from operational ESG units to board-level oversight bodies.</w:t>
      </w:r>
    </w:p>
    <w:p>
      <w:pPr>
        <w:spacing w:after="160" w:line="276" w:lineRule="auto"/>
        <w:jc w:val="both"/>
      </w:pPr>
      <w:r>
        <w:rPr>
          <w:rFonts w:ascii="Arial" w:hAnsi="Arial"/>
          <w:sz w:val="22"/>
        </w:rPr>
        <w:t>**Disclosure Gap Analysis**: The following table identifies specific governance requirements under IFRS S2 that cannot currently be fulfilled due to data unavailability:</w:t>
      </w:r>
    </w:p>
    <w:p>
      <w:r>
        <w:rPr>
          <w:rFonts w:ascii="Arial" w:hAnsi="Arial"/>
          <w:b/>
          <w:sz w:val="20"/>
        </w:rPr>
        <w:t>Table 1: Climate Governance Disclosure Gap Analysis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IFRS S2 Requirement</w:t>
            </w:r>
          </w:p>
        </w:tc>
        <w:tc>
          <w:tcPr>
            <w:tcW w:type="dxa" w:w="1806"/>
            <w:shd w:fill="1B3A6B" w:val="clear"/>
          </w:tcPr>
          <w:p>
            <w:r>
              <w:rPr>
                <w:rFonts w:ascii="Arial" w:hAnsi="Arial"/>
                <w:b/>
                <w:color w:val="FFFFFF"/>
                <w:sz w:val="18"/>
              </w:rPr>
              <w:t>Standard Reference</w:t>
            </w:r>
          </w:p>
        </w:tc>
        <w:tc>
          <w:tcPr>
            <w:tcW w:type="dxa" w:w="1806"/>
            <w:shd w:fill="1B3A6B" w:val="clear"/>
          </w:tcPr>
          <w:p>
            <w:r>
              <w:rPr>
                <w:rFonts w:ascii="Arial" w:hAnsi="Arial"/>
                <w:b/>
                <w:color w:val="FFFFFF"/>
                <w:sz w:val="18"/>
              </w:rPr>
              <w:t>Required Disclosure</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Board oversight body identification</w:t>
            </w:r>
          </w:p>
        </w:tc>
        <w:tc>
          <w:tcPr>
            <w:tcW w:type="dxa" w:w="1806"/>
          </w:tcPr>
          <w:p>
            <w:r>
              <w:rPr>
                <w:rFonts w:ascii="Arial" w:hAnsi="Arial"/>
                <w:sz w:val="18"/>
              </w:rPr>
              <w:t>Para 6(a)(i)</w:t>
            </w:r>
          </w:p>
        </w:tc>
        <w:tc>
          <w:tcPr>
            <w:tcW w:type="dxa" w:w="1806"/>
          </w:tcPr>
          <w:p>
            <w:r>
              <w:rPr>
                <w:rFonts w:ascii="Arial" w:hAnsi="Arial"/>
                <w:sz w:val="18"/>
              </w:rPr>
              <w:t>Name of board committee/individual responsible for climate oversight; terms of reference</w:t>
            </w:r>
          </w:p>
        </w:tc>
        <w:tc>
          <w:tcPr>
            <w:tcW w:type="dxa" w:w="1806"/>
          </w:tcPr>
          <w:p>
            <w:r>
              <w:rPr>
                <w:rFonts w:ascii="Arial" w:hAnsi="Arial"/>
                <w:sz w:val="18"/>
              </w:rPr>
              <w:t>Not Available</w:t>
            </w:r>
          </w:p>
        </w:tc>
        <w:tc>
          <w:tcPr>
            <w:tcW w:type="dxa" w:w="1806"/>
          </w:tcPr>
          <w:p>
            <w:r>
              <w:rPr>
                <w:rFonts w:ascii="Arial" w:hAnsi="Arial"/>
                <w:sz w:val="18"/>
              </w:rPr>
              <w:t>Critical</w:t>
            </w:r>
          </w:p>
        </w:tc>
      </w:tr>
      <w:tr>
        <w:tc>
          <w:tcPr>
            <w:tcW w:type="dxa" w:w="1806"/>
            <w:shd w:fill="F2F6FC" w:val="clear"/>
          </w:tcPr>
          <w:p>
            <w:r>
              <w:rPr>
                <w:rFonts w:ascii="Arial" w:hAnsi="Arial"/>
                <w:sz w:val="18"/>
              </w:rPr>
              <w:t>Board climate competency</w:t>
            </w:r>
          </w:p>
        </w:tc>
        <w:tc>
          <w:tcPr>
            <w:tcW w:type="dxa" w:w="1806"/>
            <w:shd w:fill="F2F6FC" w:val="clear"/>
          </w:tcPr>
          <w:p>
            <w:r>
              <w:rPr>
                <w:rFonts w:ascii="Arial" w:hAnsi="Arial"/>
                <w:sz w:val="18"/>
              </w:rPr>
              <w:t>Para 6(a)(ii)</w:t>
            </w:r>
          </w:p>
        </w:tc>
        <w:tc>
          <w:tcPr>
            <w:tcW w:type="dxa" w:w="1806"/>
            <w:shd w:fill="F2F6FC" w:val="clear"/>
          </w:tcPr>
          <w:p>
            <w:r>
              <w:rPr>
                <w:rFonts w:ascii="Arial" w:hAnsi="Arial"/>
                <w:sz w:val="18"/>
              </w:rPr>
              <w:t>Assessment of skills/competencies for climate strategy oversight; development plans</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High</w:t>
            </w:r>
          </w:p>
        </w:tc>
      </w:tr>
      <w:tr>
        <w:tc>
          <w:tcPr>
            <w:tcW w:type="dxa" w:w="1806"/>
          </w:tcPr>
          <w:p>
            <w:r>
              <w:rPr>
                <w:rFonts w:ascii="Arial" w:hAnsi="Arial"/>
                <w:sz w:val="18"/>
              </w:rPr>
              <w:t>Oversight frequency</w:t>
            </w:r>
          </w:p>
        </w:tc>
        <w:tc>
          <w:tcPr>
            <w:tcW w:type="dxa" w:w="1806"/>
          </w:tcPr>
          <w:p>
            <w:r>
              <w:rPr>
                <w:rFonts w:ascii="Arial" w:hAnsi="Arial"/>
                <w:sz w:val="18"/>
              </w:rPr>
              <w:t>Para 6(a)(iii)</w:t>
            </w:r>
          </w:p>
        </w:tc>
        <w:tc>
          <w:tcPr>
            <w:tcW w:type="dxa" w:w="1806"/>
          </w:tcPr>
          <w:p>
            <w:r>
              <w:rPr>
                <w:rFonts w:ascii="Arial" w:hAnsi="Arial"/>
                <w:sz w:val="18"/>
              </w:rPr>
              <w:t>How often board is informed about climate risks and opportunities</w:t>
            </w:r>
          </w:p>
        </w:tc>
        <w:tc>
          <w:tcPr>
            <w:tcW w:type="dxa" w:w="1806"/>
          </w:tcPr>
          <w:p>
            <w:r>
              <w:rPr>
                <w:rFonts w:ascii="Arial" w:hAnsi="Arial"/>
                <w:sz w:val="18"/>
              </w:rPr>
              <w:t>Not Available</w:t>
            </w:r>
          </w:p>
        </w:tc>
        <w:tc>
          <w:tcPr>
            <w:tcW w:type="dxa" w:w="1806"/>
          </w:tcPr>
          <w:p>
            <w:r>
              <w:rPr>
                <w:rFonts w:ascii="Arial" w:hAnsi="Arial"/>
                <w:sz w:val="18"/>
              </w:rPr>
              <w:t>Critical</w:t>
            </w:r>
          </w:p>
        </w:tc>
      </w:tr>
      <w:tr>
        <w:tc>
          <w:tcPr>
            <w:tcW w:type="dxa" w:w="1806"/>
            <w:shd w:fill="F2F6FC" w:val="clear"/>
          </w:tcPr>
          <w:p>
            <w:r>
              <w:rPr>
                <w:rFonts w:ascii="Arial" w:hAnsi="Arial"/>
                <w:sz w:val="18"/>
              </w:rPr>
              <w:t>Strategy integration</w:t>
            </w:r>
          </w:p>
        </w:tc>
        <w:tc>
          <w:tcPr>
            <w:tcW w:type="dxa" w:w="1806"/>
            <w:shd w:fill="F2F6FC" w:val="clear"/>
          </w:tcPr>
          <w:p>
            <w:r>
              <w:rPr>
                <w:rFonts w:ascii="Arial" w:hAnsi="Arial"/>
                <w:sz w:val="18"/>
              </w:rPr>
              <w:t>Para 6(a)(iv)</w:t>
            </w:r>
          </w:p>
        </w:tc>
        <w:tc>
          <w:tcPr>
            <w:tcW w:type="dxa" w:w="1806"/>
            <w:shd w:fill="F2F6FC" w:val="clear"/>
          </w:tcPr>
          <w:p>
            <w:r>
              <w:rPr>
                <w:rFonts w:ascii="Arial" w:hAnsi="Arial"/>
                <w:sz w:val="18"/>
              </w:rPr>
              <w:t>How climate considerations inform strategy, major transactions, risk management</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Critical</w:t>
            </w:r>
          </w:p>
        </w:tc>
      </w:tr>
      <w:tr>
        <w:tc>
          <w:tcPr>
            <w:tcW w:type="dxa" w:w="1806"/>
          </w:tcPr>
          <w:p>
            <w:r>
              <w:rPr>
                <w:rFonts w:ascii="Arial" w:hAnsi="Arial"/>
                <w:sz w:val="18"/>
              </w:rPr>
              <w:t>Target oversight</w:t>
            </w:r>
          </w:p>
        </w:tc>
        <w:tc>
          <w:tcPr>
            <w:tcW w:type="dxa" w:w="1806"/>
          </w:tcPr>
          <w:p>
            <w:r>
              <w:rPr>
                <w:rFonts w:ascii="Arial" w:hAnsi="Arial"/>
                <w:sz w:val="18"/>
              </w:rPr>
              <w:t>Para 6(a)(v)</w:t>
            </w:r>
          </w:p>
        </w:tc>
        <w:tc>
          <w:tcPr>
            <w:tcW w:type="dxa" w:w="1806"/>
          </w:tcPr>
          <w:p>
            <w:r>
              <w:rPr>
                <w:rFonts w:ascii="Arial" w:hAnsi="Arial"/>
                <w:sz w:val="18"/>
              </w:rPr>
              <w:t>Board role in setting/monitoring climate targets; remuneration linkage</w:t>
            </w:r>
          </w:p>
        </w:tc>
        <w:tc>
          <w:tcPr>
            <w:tcW w:type="dxa" w:w="1806"/>
          </w:tcPr>
          <w:p>
            <w:r>
              <w:rPr>
                <w:rFonts w:ascii="Arial" w:hAnsi="Arial"/>
                <w:sz w:val="18"/>
              </w:rPr>
              <w:t>Not Available</w:t>
            </w:r>
          </w:p>
        </w:tc>
        <w:tc>
          <w:tcPr>
            <w:tcW w:type="dxa" w:w="1806"/>
          </w:tcPr>
          <w:p>
            <w:r>
              <w:rPr>
                <w:rFonts w:ascii="Arial" w:hAnsi="Arial"/>
                <w:sz w:val="18"/>
              </w:rPr>
              <w:t>High</w:t>
            </w:r>
          </w:p>
        </w:tc>
      </w:tr>
      <w:tr>
        <w:tc>
          <w:tcPr>
            <w:tcW w:type="dxa" w:w="1806"/>
            <w:shd w:fill="F2F6FC" w:val="clear"/>
          </w:tcPr>
          <w:p>
            <w:r>
              <w:rPr>
                <w:rFonts w:ascii="Arial" w:hAnsi="Arial"/>
                <w:sz w:val="18"/>
              </w:rPr>
              <w:t>Management role</w:t>
            </w:r>
          </w:p>
        </w:tc>
        <w:tc>
          <w:tcPr>
            <w:tcW w:type="dxa" w:w="1806"/>
            <w:shd w:fill="F2F6FC" w:val="clear"/>
          </w:tcPr>
          <w:p>
            <w:r>
              <w:rPr>
                <w:rFonts w:ascii="Arial" w:hAnsi="Arial"/>
                <w:sz w:val="18"/>
              </w:rPr>
              <w:t>Para 6(b)(i)</w:t>
            </w:r>
          </w:p>
        </w:tc>
        <w:tc>
          <w:tcPr>
            <w:tcW w:type="dxa" w:w="1806"/>
            <w:shd w:fill="F2F6FC" w:val="clear"/>
          </w:tcPr>
          <w:p>
            <w:r>
              <w:rPr>
                <w:rFonts w:ascii="Arial" w:hAnsi="Arial"/>
                <w:sz w:val="18"/>
              </w:rPr>
              <w:t>Management position/committee responsible; reporting lines; oversight mechanisms</w:t>
            </w:r>
          </w:p>
        </w:tc>
        <w:tc>
          <w:tcPr>
            <w:tcW w:type="dxa" w:w="1806"/>
            <w:shd w:fill="F2F6FC" w:val="clear"/>
          </w:tcPr>
          <w:p>
            <w:r>
              <w:rPr>
                <w:rFonts w:ascii="Arial" w:hAnsi="Arial"/>
                <w:sz w:val="18"/>
              </w:rPr>
              <w:t>Not Available</w:t>
            </w:r>
          </w:p>
        </w:tc>
        <w:tc>
          <w:tcPr>
            <w:tcW w:type="dxa" w:w="1806"/>
            <w:shd w:fill="F2F6FC" w:val="clear"/>
          </w:tcPr>
          <w:p>
            <w:r>
              <w:rPr>
                <w:rFonts w:ascii="Arial" w:hAnsi="Arial"/>
                <w:sz w:val="18"/>
              </w:rPr>
              <w:t>Critical</w:t>
            </w:r>
          </w:p>
        </w:tc>
      </w:tr>
      <w:tr>
        <w:tc>
          <w:tcPr>
            <w:tcW w:type="dxa" w:w="1806"/>
          </w:tcPr>
          <w:p>
            <w:r>
              <w:rPr>
                <w:rFonts w:ascii="Arial" w:hAnsi="Arial"/>
                <w:sz w:val="18"/>
              </w:rPr>
              <w:t>Controls and procedures</w:t>
            </w:r>
          </w:p>
        </w:tc>
        <w:tc>
          <w:tcPr>
            <w:tcW w:type="dxa" w:w="1806"/>
          </w:tcPr>
          <w:p>
            <w:r>
              <w:rPr>
                <w:rFonts w:ascii="Arial" w:hAnsi="Arial"/>
                <w:sz w:val="18"/>
              </w:rPr>
              <w:t>Para 6(b)(ii)</w:t>
            </w:r>
          </w:p>
        </w:tc>
        <w:tc>
          <w:tcPr>
            <w:tcW w:type="dxa" w:w="1806"/>
          </w:tcPr>
          <w:p>
            <w:r>
              <w:rPr>
                <w:rFonts w:ascii="Arial" w:hAnsi="Arial"/>
                <w:sz w:val="18"/>
              </w:rPr>
              <w:t>Management controls for climate risk oversight; integration with internal functions</w:t>
            </w:r>
          </w:p>
        </w:tc>
        <w:tc>
          <w:tcPr>
            <w:tcW w:type="dxa" w:w="1806"/>
          </w:tcPr>
          <w:p>
            <w:r>
              <w:rPr>
                <w:rFonts w:ascii="Arial" w:hAnsi="Arial"/>
                <w:sz w:val="18"/>
              </w:rPr>
              <w:t>Not Available</w:t>
            </w:r>
          </w:p>
        </w:tc>
        <w:tc>
          <w:tcPr>
            <w:tcW w:type="dxa" w:w="1806"/>
          </w:tcPr>
          <w:p>
            <w:r>
              <w:rPr>
                <w:rFonts w:ascii="Arial" w:hAnsi="Arial"/>
                <w:sz w:val="18"/>
              </w:rPr>
              <w:t>High</w:t>
            </w:r>
          </w:p>
        </w:tc>
      </w:tr>
    </w:tbl>
    <w:p>
      <w:r>
        <w:rPr>
          <w:rFonts w:ascii="Arial" w:hAnsi="Arial"/>
          <w:i/>
          <w:sz w:val="16"/>
        </w:rPr>
        <w:t>Source: Gap analysis based on IFRS S2 Climate-related Disclosures (June 2023) mandatory requirements. All governance data fields in institutional reporting system returned NULL values for reporting year 2024.</w:t>
      </w:r>
    </w:p>
    <w:p/>
    <w:p>
      <w:r>
        <w:rPr>
          <w:i/>
          <w:color w:val="3D6094"/>
          <w:sz w:val="18"/>
        </w:rPr>
        <w:t>Framework references: IFRS S2 Para 5-7; IFRS S1 Para B42(b); GRI 2-12; GRI 2-13; CSRD ESRS 2 GOV-3</w:t>
      </w:r>
    </w:p>
    <w:p>
      <w:pPr>
        <w:spacing w:after="80"/>
        <w:pBdr>
          <w:bottom w:val="single" w:sz="6" w:space="1" w:color="999999"/>
        </w:pBdr>
      </w:pPr>
    </w:p>
    <w:p>
      <w:pPr>
        <w:spacing w:after="160" w:line="276" w:lineRule="auto"/>
        <w:jc w:val="both"/>
      </w:pPr>
      <w:r>
        <w:rPr>
          <w:rFonts w:ascii="Arial" w:hAnsi="Arial"/>
          <w:i/>
          <w:color w:val="646464"/>
          <w:sz w:val="18"/>
        </w:rPr>
        <w:t>IFRS S2 paragraph 6 requires disclosure of governance arrangements for climate-related risks and opportunities, including both board oversight and management's role in governance processes.</w:t>
      </w:r>
    </w:p>
    <w:p>
      <w:pPr>
        <w:spacing w:after="160" w:line="276" w:lineRule="auto"/>
        <w:jc w:val="both"/>
      </w:pPr>
      <w:r>
        <w:rPr>
          <w:rFonts w:ascii="Arial" w:hAnsi="Arial"/>
          <w:i/>
          <w:color w:val="646464"/>
          <w:sz w:val="18"/>
        </w:rPr>
        <w:t>Per IFRS S2 paragraph 7, entities shall avoid unnecessary duplication by providing integrated governance disclosures if oversight of sustainability-related risks is managed on an integrated basis.</w:t>
      </w:r>
    </w:p>
    <w:p>
      <w:pPr>
        <w:spacing w:after="160" w:line="276" w:lineRule="auto"/>
        <w:jc w:val="both"/>
      </w:pPr>
      <w:r>
        <w:rPr>
          <w:rFonts w:ascii="Arial" w:hAnsi="Arial"/>
          <w:i/>
          <w:color w:val="646464"/>
          <w:sz w:val="18"/>
        </w:rPr>
        <w:t>Target: Full governance disclosure by next reporting period (2025), with interim governance framework establishment by Q2 2025.</w:t>
      </w:r>
    </w:p>
    <w:p>
      <w:r>
        <w:br w:type="page"/>
      </w:r>
    </w:p>
    <w:p>
      <w:pPr>
        <w:pStyle w:val="Heading1"/>
        <w:keepNext/>
        <w:spacing w:before="480" w:after="240"/>
      </w:pPr>
      <w:r>
        <w:rPr>
          <w:rFonts w:ascii="Arial" w:hAnsi="Arial"/>
          <w:b/>
          <w:color w:val="1B3A6B"/>
          <w:sz w:val="36"/>
        </w:rPr>
        <w:t>IFRS S2 Metrics &amp; Targets: Financed Emissions (Scope 3 Category 15)</w:t>
      </w:r>
    </w:p>
    <w:p>
      <w:pPr>
        <w:spacing w:after="160" w:line="276" w:lineRule="auto"/>
        <w:jc w:val="both"/>
      </w:pPr>
      <w:r>
        <w:rPr>
          <w:rFonts w:ascii="Arial" w:hAnsi="Arial"/>
          <w:sz w:val="22"/>
        </w:rPr>
        <w:t>The institution's financed emissions for the reporting period ending 31 December 2024 totaled 21,976,797.3 tCO2e on a gross basis, calculated in accordance with the Partnership for Carbon Accounting Financials (PCAF) Global GHG Accounting and Reporting Standard (2022). This figure represents the absolute greenhouse gas emissions attributable to the institution's lending and investment portfolio across all financed asset classes. The confidence-weighted financed emissions, adjusted for data quality using PCAF confidence factors, totaled 15,280,174.14 tCO2e for the same period. The weighted figure reflects the institution's assessment of data reliability across borrower-level emissions estimates, with higher-quality data sources receiving confidence factors closer to 1.0.</w:t>
      </w:r>
    </w:p>
    <w:p>
      <w:pPr>
        <w:spacing w:after="160" w:line="276" w:lineRule="auto"/>
        <w:jc w:val="both"/>
      </w:pPr>
      <w:r>
        <w:rPr>
          <w:rFonts w:ascii="Arial" w:hAnsi="Arial"/>
          <w:i/>
          <w:sz w:val="22"/>
        </w:rPr>
        <w:t>Financed emissions are calculated using the attribution factor methodology prescribed by PCAF, whereby the institution's proportional share of a borrower's total emissions is determined by the ratio of outstanding loan amount to the borrower's total enterprise value or total assets. The formula applied is: Financed Emissions = Borrower Emissions × (Outstanding Amount ÷ Borrower Total Equity + Debt). For corporate loans, the institution applied PCAF asset class methodology for business loans and project finance, utilizing borrower-reported emissions data where available (PCAF Score 1-2), estimated emissions from economic input-output models combined with revenue data (PCAF Score 3), or sector-average emission factors (PCAF Score 4-5) where primary data was unavailable. The portfolio coverage for this disclosure is 100% of the institution's commercial and industrial lending book, totaling IDR 1,541.18 trillion in outstanding exposure.</w:t>
      </w:r>
    </w:p>
    <w:p>
      <w:pPr>
        <w:spacing w:after="160" w:line="276" w:lineRule="auto"/>
        <w:jc w:val="both"/>
      </w:pPr>
      <w:r>
        <w:rPr>
          <w:rFonts w:ascii="Arial" w:hAnsi="Arial"/>
          <w:sz w:val="22"/>
        </w:rPr>
        <w:t>The institution's financed emissions are concentrated in carbon-intensive sectors, with the top three sectors—Energy (Oil &amp; Gas), Manufacturing (Cement), and Manufacturing (Steel)—accounting for 85.93% of total weighted financed emissions despite representing only 20.70% of total portfolio value. Energy (Oil &amp; Gas) exposures generated 6,753,948.71 tCO2e (43.56% of total financed emissions) from IDR 102.67 trillion in outstanding loans, yielding an emission intensity of 93.242 tCO2e per IDR billion. Manufacturing (Cement) contributed 4,168,058.43 tCO2e (26.45%) from IDR 107.68 trillion in exposures, with an intensity of 53.9927 tCO2e per IDR billion. Manufacturing (Steel) accounted for 2,228,739.65 tCO2e (15.92%) from IDR 108.62 trillion, with an intensity of 32.2175 tCO2e per IDR billion. Conversely, lower-emission sectors such as Financial Services (0.34% of financed emissions, 13.41% of portfolio) and Real Estate—Residential (0.49% of financed emissions, 10.93% of portfolio) demonstrate significantly lower carbon intensity profiles.</w:t>
      </w:r>
    </w:p>
    <w:p>
      <w:pPr>
        <w:spacing w:after="160" w:line="276" w:lineRule="auto"/>
        <w:jc w:val="both"/>
      </w:pPr>
      <w:r>
        <w:rPr>
          <w:rFonts w:ascii="Arial" w:hAnsi="Arial"/>
          <w:sz w:val="22"/>
        </w:rPr>
        <w:t>The portfolio-weighted average PCAF data quality score for the reporting period was 3.36 across all financed emissions calculations, indicating reliance primarily on economic input-output models combined with borrower revenue data (PCAF Score 3) and sector-average emission factors (PCAF Score 4). This score reflects the current state of borrower-level emissions disclosure in the Indonesian market, where verified or reported emissions data (PCAF Scores 1-2) remain limited outside of publicly listed corporations subject to mandatory sustainability reporting. The institution's data quality varies by sector: Real Estate—Commercial achieved the highest data quality with an average PCAF score of 3.27, while Financial Services recorded the lowest at 3.42. The weighted confidence factor applied across the portfolio was 0.695, resulting in the differential between gross financed emissions (21,976,797.3 tCO2e) and confidence-weighted financed emissions (15,280,174.14 tCO2e).</w:t>
      </w:r>
    </w:p>
    <w:p>
      <w:pPr>
        <w:spacing w:after="160" w:line="276" w:lineRule="auto"/>
        <w:jc w:val="both"/>
      </w:pPr>
      <w:r>
        <w:rPr>
          <w:rFonts w:ascii="Arial" w:hAnsi="Arial"/>
          <w:sz w:val="22"/>
        </w:rPr>
        <w:t>**Distinction Between Gross and Weighted Financed Emissions**: The institution reports two distinct metrics for financed emissions to provide transparency on data quality. Gross financed emissions of 21,976,797.3 tCO2e represent the unweighted sum of all attributed borrower emissions calculated using the PCAF attribution factor methodology, regardless of underlying data source reliability. Confidence-weighted financed emissions of 15,280,174.14 tCO2e apply PCAF-prescribed confidence factors (ranging from 1.0 for verified data to 0.45 for sector-average proxies) to adjust for data quality uncertainty. The weighted figure is always equal to or lower than the gross figure, with the 30.5% reduction in this reporting period reflecting the institution's current reliance on modeled estimates rather than borrower-reported data. Users of this disclosure should interpret the weighted figure as a more conservative estimate that accounts for measurement uncertainty, while the gross figure provides the upper bound of potential financed emissions exposure.</w:t>
      </w:r>
    </w:p>
    <w:p>
      <w:pPr>
        <w:spacing w:after="160" w:line="276" w:lineRule="auto"/>
        <w:jc w:val="both"/>
      </w:pPr>
      <w:r>
        <w:rPr>
          <w:rFonts w:ascii="Arial" w:hAnsi="Arial"/>
          <w:sz w:val="22"/>
        </w:rPr>
        <w:t>The institution's data quality score of 3.36 indicates significant opportunity for improvement through enhanced borrower engagement and data collection processes. The current reliance on PCAF Scores 3-4 (economic input-output models and sector averages) limits the precision of financed emissions estimates and constrains the institution's ability to set granular, science-based decarbonization targets at the borrower level. To advance data quality, the institution has initiated a multi-year roadmap targeting migration to PCAF Scores 1-2 for at least 50% of high-emission exposures by 2027. This roadmap includes: (1) mandatory emissions disclosure requirements in loan covenants for new corporate lending above IDR 50 billion, effective Q1 2025; (2) borrower capacity-building workshops on GHG accounting in partnership with industry associations, targeting 200 corporate clients in 2025; (3) integration of third-party emissions data providers (e.g., Trucost, S&amp;P Global) for publicly listed borrowers to supplement self-reported data; and (4) development of sector-specific emission factor libraries for Indonesia-based operations to improve PCAF Score 3 estimates beyond global EEIO averages.</w:t>
      </w:r>
    </w:p>
    <w:p>
      <w:pPr>
        <w:spacing w:after="160" w:line="276" w:lineRule="auto"/>
        <w:jc w:val="both"/>
      </w:pPr>
      <w:r>
        <w:rPr>
          <w:rFonts w:ascii="Arial" w:hAnsi="Arial"/>
          <w:sz w:val="22"/>
        </w:rPr>
        <w:t>**SASB FN-CB-410a.3 Metric**: The institution's financed emissions of 15,280,174.14 tCO2e (confidence-weighted) for the reporting period satisfy the SASB Commercial Banks industry standard disclosure requirement for Scope 3 Category 15 emissions associated with lending activities. This metric is calculated in accordance with PCAF methodology and covers 100% of the institution's commercial and industrial loan portfolio. The institution has not yet established a science-based target for financed emissions reduction aligned with a 1.5°C or well-below 2°C warming scenario, as required by IFRS S2 paragraph 33 for entities with material climate-related risks. Target-setting is planned for completion in 2025 following portfolio temperature alignment assessment using the PACTA methodology.</w:t>
      </w:r>
    </w:p>
    <w:p>
      <w:pPr>
        <w:spacing w:after="160" w:line="276" w:lineRule="auto"/>
        <w:jc w:val="both"/>
      </w:pPr>
      <w:r>
        <w:rPr>
          <w:rFonts w:ascii="Arial" w:hAnsi="Arial"/>
          <w:i/>
          <w:color w:val="555555"/>
          <w:sz w:val="22"/>
        </w:rPr>
        <w:t>**Advisory Recommendations**: Based on peer analysis and the institution's current PCAF data quality profile, the following actions are recommended to enhance financed emissions disclosure and align with leading practice in the Indonesian banking sector:</w:t>
        <w:br/>
        <w:br/>
        <w:t>**Recommendation 1 — Science-Based Target Submission**</w:t>
        <w:br/>
        <w:t>- **Finding**: The institution has not committed to a science-based target for financed emissions reduction, despite material exposure to carbon-intensive sectors (85.93% of financed emissions from three sectors).</w:t>
        <w:br/>
        <w:t>- **Benchmark**: Bank Rakyat Indonesia (BRI) became the first Indonesian financial institution to submit a science-based target to the Science Based Targets initiative (SBTi) in 2023, committing to align its portfolio temperature to 1.75°C by 2040.</w:t>
        <w:br/>
        <w:t>- **Recommendation**: Submit a near-term science-based target to SBTi by Q4 2025, covering at least the top three emitting sectors (Energy, Cement, Steel) representing 85.93% of financed emissions. Establish sector-specific decarbonization pathways using the SBTi Financial Institutions Net-Zero Standard (2021) and PACTA scenario analysis.</w:t>
        <w:br/>
        <w:t>- **Reference**: BRI — SBTi commitment with portfolio temperature target; DBS Bank — 62% renewable energy procurement supporting financed emissions reduction.</w:t>
        <w:br/>
        <w:t>- **Priority**: High</w:t>
        <w:br/>
        <w:br/>
        <w:t>**Recommendation 2 — Enhanced Sectoral Credit Policies**</w:t>
        <w:br/>
        <w:t>- **Finding**: Energy (Oil &amp; Gas) exposures account for 43.56% of financed emissions but only 6.66% of portfolio value, indicating concentration risk and misalignment with transition pathways.</w:t>
        <w:br/>
        <w:t>- **Benchmark**: Bank Central Asia (BCA) has implemented sectoral credit policies with enhanced due diligence requirements for coal, palm oil, cement, and oil &amp; gas exposures, including mandatory transition plan assessments for new lending above USD 10 million.</w:t>
        <w:br/>
        <w:t>- **Recommendation**: Develop and implement sectoral credit policies for the top five emitting sectors by Q2 2025, incorporating: (1) mandatory climate risk assessments for exposures above IDR 50 billion; (2) borrower transition plan requirements aligned with national NDC targets; (3) preferential pricing for borrowers with verified emissions reduction targets; and (4) portfolio exposure limits for coal-fired power generation (phase-out by 2040 per national energy transition roadmap).</w:t>
        <w:br/>
        <w:t>- **Reference**: BCA — sectoral policies for coal, palm oil, cement, O&amp;G with enhanced ESRM screening.</w:t>
        <w:br/>
        <w:t>- **Priority**: High</w:t>
        <w:br/>
        <w:br/>
        <w:t>**Recommendation 3 — PCAF Data Quality Improvement Program**</w:t>
        <w:br/>
        <w:t>- **Finding**: Portfolio-weighted PCAF score of 3.36 limits precision of financed emissions estimates and constrains ability to track borrower-level decarbonization progress.</w:t>
        <w:br/>
        <w:t>- **Benchmark**: DBS Bank achieved 62% renewable energy procurement and 12% year-over-year emissions reduction through systematic borrower engagement and data quality enhancement programs.</w:t>
        <w:br/>
        <w:t>- **Recommendation**: Launch a borrower engagement program targeting the top 50 emitters (representing approximately 70% of financed emissions) to improve data quality to PCAF Score 2 or better by 2026. Program components should include: (1) annual emissions disclosure workshops for corporate clients; (2) integration of emissions reporting requirements into loan covenants for refinancing transactions; (3) partnership with third-party verification providers to subsidize assurance costs for SME borrowers; and (4) development of a digital emissions reporting portal integrated with the institution's loan management system.</w:t>
        <w:br/>
        <w:t>- **Reference**: BRI — 19.49% electricity savings via green building program; DBS — systematic renewable energy procurement supporting portfolio decarbonization.</w:t>
        <w:br/>
        <w:t>- **Priority**: Medium</w:t>
      </w:r>
    </w:p>
    <w:p>
      <w:r>
        <w:rPr>
          <w:rFonts w:ascii="Arial" w:hAnsi="Arial"/>
          <w:b/>
          <w:sz w:val="20"/>
        </w:rPr>
        <w:t>Table 1: Financed Emissions by Sector (Top 10 NACE Sectors,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 (NACE Classification)</w:t>
            </w:r>
          </w:p>
        </w:tc>
        <w:tc>
          <w:tcPr>
            <w:tcW w:type="dxa" w:w="1129"/>
            <w:shd w:fill="1B3A6B" w:val="clear"/>
          </w:tcPr>
          <w:p>
            <w:r>
              <w:rPr>
                <w:rFonts w:ascii="Arial" w:hAnsi="Arial"/>
                <w:b/>
                <w:color w:val="FFFFFF"/>
                <w:sz w:val="18"/>
              </w:rPr>
              <w:t>Outstanding Exposure (IDR Trillion)</w:t>
            </w:r>
          </w:p>
        </w:tc>
        <w:tc>
          <w:tcPr>
            <w:tcW w:type="dxa" w:w="1129"/>
            <w:shd w:fill="1B3A6B" w:val="clear"/>
          </w:tcPr>
          <w:p>
            <w:r>
              <w:rPr>
                <w:rFonts w:ascii="Arial" w:hAnsi="Arial"/>
                <w:b/>
                <w:color w:val="FFFFFF"/>
                <w:sz w:val="18"/>
              </w:rPr>
              <w:t>% of Total Portfolio</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Financed Emissions</w:t>
            </w:r>
          </w:p>
        </w:tc>
        <w:tc>
          <w:tcPr>
            <w:tcW w:type="dxa" w:w="1129"/>
            <w:shd w:fill="1B3A6B" w:val="clear"/>
          </w:tcPr>
          <w:p>
            <w:r>
              <w:rPr>
                <w:rFonts w:ascii="Arial" w:hAnsi="Arial"/>
                <w:b/>
                <w:color w:val="FFFFFF"/>
                <w:sz w:val="18"/>
              </w:rPr>
              <w:t>Emission Intensity (tCO2e per IDR Billion)</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6.66%</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93.242</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53.9927</w:t>
            </w:r>
          </w:p>
        </w:tc>
        <w:tc>
          <w:tcPr>
            <w:tcW w:type="dxa" w:w="1129"/>
            <w:shd w:fill="F2F6FC" w:val="clear"/>
          </w:tcPr>
          <w:p>
            <w:pPr>
              <w:jc w:val="right"/>
            </w:pPr>
            <w:r>
              <w:rPr>
                <w:rFonts w:ascii="Arial" w:hAnsi="Arial"/>
                <w:sz w:val="18"/>
              </w:rPr>
              <w:t>3.40</w:t>
            </w:r>
          </w:p>
        </w:tc>
      </w:tr>
      <w:tr>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7.05%</w:t>
            </w:r>
          </w:p>
        </w:tc>
        <w:tc>
          <w:tcPr>
            <w:tcW w:type="dxa" w:w="1129"/>
          </w:tcPr>
          <w:p>
            <w:pPr>
              <w:jc w:val="right"/>
            </w:pPr>
            <w:r>
              <w:rPr>
                <w:rFonts w:ascii="Arial" w:hAnsi="Arial"/>
                <w:sz w:val="18"/>
              </w:rPr>
              <w:t>3,499,463.00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32.2175</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7.8881</w:t>
            </w:r>
          </w:p>
        </w:tc>
        <w:tc>
          <w:tcPr>
            <w:tcW w:type="dxa" w:w="1129"/>
            <w:shd w:fill="F2F6FC" w:val="clear"/>
          </w:tcPr>
          <w:p>
            <w:pPr>
              <w:jc w:val="right"/>
            </w:pPr>
            <w:r>
              <w:rPr>
                <w:rFonts w:ascii="Arial" w:hAnsi="Arial"/>
                <w:sz w:val="18"/>
              </w:rPr>
              <w:t>3.36</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10.97%</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5.5346</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Agriculture</w:t>
            </w:r>
          </w:p>
        </w:tc>
        <w:tc>
          <w:tcPr>
            <w:tcW w:type="dxa" w:w="1129"/>
            <w:shd w:fill="F2F6FC" w:val="clear"/>
          </w:tcPr>
          <w:p>
            <w:pPr>
              <w:jc w:val="right"/>
            </w:pPr>
            <w:r>
              <w:rPr>
                <w:rFonts w:ascii="Arial" w:hAnsi="Arial"/>
                <w:sz w:val="18"/>
              </w:rPr>
              <w:t>118.90</w:t>
            </w:r>
          </w:p>
        </w:tc>
        <w:tc>
          <w:tcPr>
            <w:tcW w:type="dxa" w:w="1129"/>
            <w:shd w:fill="F2F6FC" w:val="clear"/>
          </w:tcPr>
          <w:p>
            <w:pPr>
              <w:jc w:val="right"/>
            </w:pPr>
            <w:r>
              <w:rPr>
                <w:rFonts w:ascii="Arial" w:hAnsi="Arial"/>
                <w:sz w:val="18"/>
              </w:rPr>
              <w:t>7.71%</w:t>
            </w:r>
          </w:p>
        </w:tc>
        <w:tc>
          <w:tcPr>
            <w:tcW w:type="dxa" w:w="1129"/>
            <w:shd w:fill="F2F6FC" w:val="clear"/>
          </w:tcPr>
          <w:p>
            <w:pPr>
              <w:jc w:val="right"/>
            </w:pPr>
            <w:r>
              <w:rPr>
                <w:rFonts w:ascii="Arial" w:hAnsi="Arial"/>
                <w:sz w:val="18"/>
              </w:rPr>
              <w:t>288,493.25</w:t>
            </w:r>
          </w:p>
        </w:tc>
        <w:tc>
          <w:tcPr>
            <w:tcW w:type="dxa" w:w="1129"/>
            <w:shd w:fill="F2F6FC" w:val="clear"/>
          </w:tcPr>
          <w:p>
            <w:pPr>
              <w:jc w:val="right"/>
            </w:pPr>
            <w:r>
              <w:rPr>
                <w:rFonts w:ascii="Arial" w:hAnsi="Arial"/>
                <w:sz w:val="18"/>
              </w:rPr>
              <w:t>183,548.39</w:t>
            </w:r>
          </w:p>
        </w:tc>
        <w:tc>
          <w:tcPr>
            <w:tcW w:type="dxa" w:w="1129"/>
            <w:shd w:fill="F2F6FC" w:val="clear"/>
          </w:tcPr>
          <w:p>
            <w:pPr>
              <w:jc w:val="right"/>
            </w:pPr>
            <w:r>
              <w:rPr>
                <w:rFonts w:ascii="Arial" w:hAnsi="Arial"/>
                <w:sz w:val="18"/>
              </w:rPr>
              <w:t>1.31%</w:t>
            </w:r>
          </w:p>
        </w:tc>
        <w:tc>
          <w:tcPr>
            <w:tcW w:type="dxa" w:w="1129"/>
            <w:shd w:fill="F2F6FC" w:val="clear"/>
          </w:tcPr>
          <w:p>
            <w:pPr>
              <w:jc w:val="right"/>
            </w:pPr>
            <w:r>
              <w:rPr>
                <w:rFonts w:ascii="Arial" w:hAnsi="Arial"/>
                <w:sz w:val="18"/>
              </w:rPr>
              <w:t>2.4264</w:t>
            </w:r>
          </w:p>
        </w:tc>
        <w:tc>
          <w:tcPr>
            <w:tcW w:type="dxa" w:w="1129"/>
            <w:shd w:fill="F2F6FC" w:val="clear"/>
          </w:tcPr>
          <w:p>
            <w:pPr>
              <w:jc w:val="right"/>
            </w:pPr>
            <w:r>
              <w:rPr>
                <w:rFonts w:ascii="Arial" w:hAnsi="Arial"/>
                <w:sz w:val="18"/>
              </w:rPr>
              <w:t>3.41</w:t>
            </w:r>
          </w:p>
        </w:tc>
      </w:tr>
      <w:tr>
        <w:tc>
          <w:tcPr>
            <w:tcW w:type="dxa" w:w="1129"/>
          </w:tcPr>
          <w:p>
            <w:r>
              <w:rPr>
                <w:rFonts w:ascii="Arial" w:hAnsi="Arial"/>
                <w:sz w:val="18"/>
              </w:rPr>
              <w:t>Real Estate - Commercial</w:t>
            </w:r>
          </w:p>
        </w:tc>
        <w:tc>
          <w:tcPr>
            <w:tcW w:type="dxa" w:w="1129"/>
          </w:tcPr>
          <w:p>
            <w:pPr>
              <w:jc w:val="right"/>
            </w:pPr>
            <w:r>
              <w:rPr>
                <w:rFonts w:ascii="Arial" w:hAnsi="Arial"/>
                <w:sz w:val="18"/>
              </w:rPr>
              <w:t>250.74</w:t>
            </w:r>
          </w:p>
        </w:tc>
        <w:tc>
          <w:tcPr>
            <w:tcW w:type="dxa" w:w="1129"/>
          </w:tcPr>
          <w:p>
            <w:pPr>
              <w:jc w:val="right"/>
            </w:pPr>
            <w:r>
              <w:rPr>
                <w:rFonts w:ascii="Arial" w:hAnsi="Arial"/>
                <w:sz w:val="18"/>
              </w:rPr>
              <w:t>16.27%</w:t>
            </w:r>
          </w:p>
        </w:tc>
        <w:tc>
          <w:tcPr>
            <w:tcW w:type="dxa" w:w="1129"/>
          </w:tcPr>
          <w:p>
            <w:pPr>
              <w:jc w:val="right"/>
            </w:pPr>
            <w:r>
              <w:rPr>
                <w:rFonts w:ascii="Arial" w:hAnsi="Arial"/>
                <w:sz w:val="18"/>
              </w:rPr>
              <w:t>231,235.20</w:t>
            </w:r>
          </w:p>
        </w:tc>
        <w:tc>
          <w:tcPr>
            <w:tcW w:type="dxa" w:w="1129"/>
          </w:tcPr>
          <w:p>
            <w:pPr>
              <w:jc w:val="right"/>
            </w:pPr>
            <w:r>
              <w:rPr>
                <w:rFonts w:ascii="Arial" w:hAnsi="Arial"/>
                <w:sz w:val="18"/>
              </w:rPr>
              <w:t>158,419.07</w:t>
            </w:r>
          </w:p>
        </w:tc>
        <w:tc>
          <w:tcPr>
            <w:tcW w:type="dxa" w:w="1129"/>
          </w:tcPr>
          <w:p>
            <w:pPr>
              <w:jc w:val="right"/>
            </w:pPr>
            <w:r>
              <w:rPr>
                <w:rFonts w:ascii="Arial" w:hAnsi="Arial"/>
                <w:sz w:val="18"/>
              </w:rPr>
              <w:t>1.05%</w:t>
            </w:r>
          </w:p>
        </w:tc>
        <w:tc>
          <w:tcPr>
            <w:tcW w:type="dxa" w:w="1129"/>
          </w:tcPr>
          <w:p>
            <w:pPr>
              <w:jc w:val="right"/>
            </w:pPr>
            <w:r>
              <w:rPr>
                <w:rFonts w:ascii="Arial" w:hAnsi="Arial"/>
                <w:sz w:val="18"/>
              </w:rPr>
              <w:t>0.9222</w:t>
            </w:r>
          </w:p>
        </w:tc>
        <w:tc>
          <w:tcPr>
            <w:tcW w:type="dxa" w:w="1129"/>
          </w:tcPr>
          <w:p>
            <w:pPr>
              <w:jc w:val="right"/>
            </w:pPr>
            <w:r>
              <w:rPr>
                <w:rFonts w:ascii="Arial" w:hAnsi="Arial"/>
                <w:sz w:val="18"/>
              </w:rPr>
              <w:t>3.27</w:t>
            </w:r>
          </w:p>
        </w:tc>
      </w:tr>
      <w:tr>
        <w:tc>
          <w:tcPr>
            <w:tcW w:type="dxa" w:w="1129"/>
            <w:shd w:fill="F2F6FC" w:val="clear"/>
          </w:tcPr>
          <w:p>
            <w:r>
              <w:rPr>
                <w:rFonts w:ascii="Arial" w:hAnsi="Arial"/>
                <w:sz w:val="18"/>
              </w:rPr>
              <w:t>Retail Trade</w:t>
            </w:r>
          </w:p>
        </w:tc>
        <w:tc>
          <w:tcPr>
            <w:tcW w:type="dxa" w:w="1129"/>
            <w:shd w:fill="F2F6FC" w:val="clear"/>
          </w:tcPr>
          <w:p>
            <w:pPr>
              <w:jc w:val="right"/>
            </w:pPr>
            <w:r>
              <w:rPr>
                <w:rFonts w:ascii="Arial" w:hAnsi="Arial"/>
                <w:sz w:val="18"/>
              </w:rPr>
              <w:t>152.84</w:t>
            </w:r>
          </w:p>
        </w:tc>
        <w:tc>
          <w:tcPr>
            <w:tcW w:type="dxa" w:w="1129"/>
            <w:shd w:fill="F2F6FC" w:val="clear"/>
          </w:tcPr>
          <w:p>
            <w:pPr>
              <w:jc w:val="right"/>
            </w:pPr>
            <w:r>
              <w:rPr>
                <w:rFonts w:ascii="Arial" w:hAnsi="Arial"/>
                <w:sz w:val="18"/>
              </w:rPr>
              <w:t>9.92%</w:t>
            </w:r>
          </w:p>
        </w:tc>
        <w:tc>
          <w:tcPr>
            <w:tcW w:type="dxa" w:w="1129"/>
            <w:shd w:fill="F2F6FC" w:val="clear"/>
          </w:tcPr>
          <w:p>
            <w:pPr>
              <w:jc w:val="right"/>
            </w:pPr>
            <w:r>
              <w:rPr>
                <w:rFonts w:ascii="Arial" w:hAnsi="Arial"/>
                <w:sz w:val="18"/>
              </w:rPr>
              <w:t>226,340.67</w:t>
            </w:r>
          </w:p>
        </w:tc>
        <w:tc>
          <w:tcPr>
            <w:tcW w:type="dxa" w:w="1129"/>
            <w:shd w:fill="F2F6FC" w:val="clear"/>
          </w:tcPr>
          <w:p>
            <w:pPr>
              <w:jc w:val="right"/>
            </w:pPr>
            <w:r>
              <w:rPr>
                <w:rFonts w:ascii="Arial" w:hAnsi="Arial"/>
                <w:sz w:val="18"/>
              </w:rPr>
              <w:t>140,812.97</w:t>
            </w:r>
          </w:p>
        </w:tc>
        <w:tc>
          <w:tcPr>
            <w:tcW w:type="dxa" w:w="1129"/>
            <w:shd w:fill="F2F6FC" w:val="clear"/>
          </w:tcPr>
          <w:p>
            <w:pPr>
              <w:jc w:val="right"/>
            </w:pPr>
            <w:r>
              <w:rPr>
                <w:rFonts w:ascii="Arial" w:hAnsi="Arial"/>
                <w:sz w:val="18"/>
              </w:rPr>
              <w:t>1.03%</w:t>
            </w:r>
          </w:p>
        </w:tc>
        <w:tc>
          <w:tcPr>
            <w:tcW w:type="dxa" w:w="1129"/>
            <w:shd w:fill="F2F6FC" w:val="clear"/>
          </w:tcPr>
          <w:p>
            <w:pPr>
              <w:jc w:val="right"/>
            </w:pPr>
            <w:r>
              <w:rPr>
                <w:rFonts w:ascii="Arial" w:hAnsi="Arial"/>
                <w:sz w:val="18"/>
              </w:rPr>
              <w:t>1.4809</w:t>
            </w:r>
          </w:p>
        </w:tc>
        <w:tc>
          <w:tcPr>
            <w:tcW w:type="dxa" w:w="1129"/>
            <w:shd w:fill="F2F6FC" w:val="clear"/>
          </w:tcPr>
          <w:p>
            <w:pPr>
              <w:jc w:val="right"/>
            </w:pPr>
            <w:r>
              <w:rPr>
                <w:rFonts w:ascii="Arial" w:hAnsi="Arial"/>
                <w:sz w:val="18"/>
              </w:rPr>
              <w:t>3.21</w:t>
            </w:r>
          </w:p>
        </w:tc>
      </w:tr>
      <w:tr>
        <w:tc>
          <w:tcPr>
            <w:tcW w:type="dxa" w:w="1129"/>
          </w:tcPr>
          <w:p>
            <w:r>
              <w:rPr>
                <w:rFonts w:ascii="Arial" w:hAnsi="Arial"/>
                <w:sz w:val="18"/>
              </w:rPr>
              <w:t>Real Estate - Residential</w:t>
            </w:r>
          </w:p>
        </w:tc>
        <w:tc>
          <w:tcPr>
            <w:tcW w:type="dxa" w:w="1129"/>
          </w:tcPr>
          <w:p>
            <w:pPr>
              <w:jc w:val="right"/>
            </w:pPr>
            <w:r>
              <w:rPr>
                <w:rFonts w:ascii="Arial" w:hAnsi="Arial"/>
                <w:sz w:val="18"/>
              </w:rPr>
              <w:t>168.42</w:t>
            </w:r>
          </w:p>
        </w:tc>
        <w:tc>
          <w:tcPr>
            <w:tcW w:type="dxa" w:w="1129"/>
          </w:tcPr>
          <w:p>
            <w:pPr>
              <w:jc w:val="right"/>
            </w:pPr>
            <w:r>
              <w:rPr>
                <w:rFonts w:ascii="Arial" w:hAnsi="Arial"/>
                <w:sz w:val="18"/>
              </w:rPr>
              <w:t>10.93%</w:t>
            </w:r>
          </w:p>
        </w:tc>
        <w:tc>
          <w:tcPr>
            <w:tcW w:type="dxa" w:w="1129"/>
          </w:tcPr>
          <w:p>
            <w:pPr>
              <w:jc w:val="right"/>
            </w:pPr>
            <w:r>
              <w:rPr>
                <w:rFonts w:ascii="Arial" w:hAnsi="Arial"/>
                <w:sz w:val="18"/>
              </w:rPr>
              <w:t>107,465.43</w:t>
            </w:r>
          </w:p>
        </w:tc>
        <w:tc>
          <w:tcPr>
            <w:tcW w:type="dxa" w:w="1129"/>
          </w:tcPr>
          <w:p>
            <w:pPr>
              <w:jc w:val="right"/>
            </w:pPr>
            <w:r>
              <w:rPr>
                <w:rFonts w:ascii="Arial" w:hAnsi="Arial"/>
                <w:sz w:val="18"/>
              </w:rPr>
              <w:t>79,158.87</w:t>
            </w:r>
          </w:p>
        </w:tc>
        <w:tc>
          <w:tcPr>
            <w:tcW w:type="dxa" w:w="1129"/>
          </w:tcPr>
          <w:p>
            <w:pPr>
              <w:jc w:val="right"/>
            </w:pPr>
            <w:r>
              <w:rPr>
                <w:rFonts w:ascii="Arial" w:hAnsi="Arial"/>
                <w:sz w:val="18"/>
              </w:rPr>
              <w:t>0.49%</w:t>
            </w:r>
          </w:p>
        </w:tc>
        <w:tc>
          <w:tcPr>
            <w:tcW w:type="dxa" w:w="1129"/>
          </w:tcPr>
          <w:p>
            <w:pPr>
              <w:jc w:val="right"/>
            </w:pPr>
            <w:r>
              <w:rPr>
                <w:rFonts w:ascii="Arial" w:hAnsi="Arial"/>
                <w:sz w:val="18"/>
              </w:rPr>
              <w:t>0.6381</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Financial Services</w:t>
            </w:r>
          </w:p>
        </w:tc>
        <w:tc>
          <w:tcPr>
            <w:tcW w:type="dxa" w:w="1129"/>
            <w:shd w:fill="F2F6FC" w:val="clear"/>
          </w:tcPr>
          <w:p>
            <w:pPr>
              <w:jc w:val="right"/>
            </w:pPr>
            <w:r>
              <w:rPr>
                <w:rFonts w:ascii="Arial" w:hAnsi="Arial"/>
                <w:sz w:val="18"/>
              </w:rPr>
              <w:t>206.62</w:t>
            </w:r>
          </w:p>
        </w:tc>
        <w:tc>
          <w:tcPr>
            <w:tcW w:type="dxa" w:w="1129"/>
            <w:shd w:fill="F2F6FC" w:val="clear"/>
          </w:tcPr>
          <w:p>
            <w:pPr>
              <w:jc w:val="right"/>
            </w:pPr>
            <w:r>
              <w:rPr>
                <w:rFonts w:ascii="Arial" w:hAnsi="Arial"/>
                <w:sz w:val="18"/>
              </w:rPr>
              <w:t>13.41%</w:t>
            </w:r>
          </w:p>
        </w:tc>
        <w:tc>
          <w:tcPr>
            <w:tcW w:type="dxa" w:w="1129"/>
            <w:shd w:fill="F2F6FC" w:val="clear"/>
          </w:tcPr>
          <w:p>
            <w:pPr>
              <w:jc w:val="right"/>
            </w:pPr>
            <w:r>
              <w:rPr>
                <w:rFonts w:ascii="Arial" w:hAnsi="Arial"/>
                <w:sz w:val="18"/>
              </w:rPr>
              <w:t>73,693.74</w:t>
            </w:r>
          </w:p>
        </w:tc>
        <w:tc>
          <w:tcPr>
            <w:tcW w:type="dxa" w:w="1129"/>
            <w:shd w:fill="F2F6FC" w:val="clear"/>
          </w:tcPr>
          <w:p>
            <w:pPr>
              <w:jc w:val="right"/>
            </w:pPr>
            <w:r>
              <w:rPr>
                <w:rFonts w:ascii="Arial" w:hAnsi="Arial"/>
                <w:sz w:val="18"/>
              </w:rPr>
              <w:t>49,718.26</w:t>
            </w:r>
          </w:p>
        </w:tc>
        <w:tc>
          <w:tcPr>
            <w:tcW w:type="dxa" w:w="1129"/>
            <w:shd w:fill="F2F6FC" w:val="clear"/>
          </w:tcPr>
          <w:p>
            <w:pPr>
              <w:jc w:val="right"/>
            </w:pPr>
            <w:r>
              <w:rPr>
                <w:rFonts w:ascii="Arial" w:hAnsi="Arial"/>
                <w:sz w:val="18"/>
              </w:rPr>
              <w:t>0.34%</w:t>
            </w:r>
          </w:p>
        </w:tc>
        <w:tc>
          <w:tcPr>
            <w:tcW w:type="dxa" w:w="1129"/>
            <w:shd w:fill="F2F6FC" w:val="clear"/>
          </w:tcPr>
          <w:p>
            <w:pPr>
              <w:jc w:val="right"/>
            </w:pPr>
            <w:r>
              <w:rPr>
                <w:rFonts w:ascii="Arial" w:hAnsi="Arial"/>
                <w:sz w:val="18"/>
              </w:rPr>
              <w:t>0.3567</w:t>
            </w:r>
          </w:p>
        </w:tc>
        <w:tc>
          <w:tcPr>
            <w:tcW w:type="dxa" w:w="1129"/>
            <w:shd w:fill="F2F6FC" w:val="clear"/>
          </w:tcPr>
          <w:p>
            <w:pPr>
              <w:jc w:val="right"/>
            </w:pPr>
            <w:r>
              <w:rPr>
                <w:rFonts w:ascii="Arial" w:hAnsi="Arial"/>
                <w:sz w:val="18"/>
              </w:rPr>
              <w:t>3.42</w:t>
            </w:r>
          </w:p>
        </w:tc>
      </w:tr>
    </w:tbl>
    <w:p>
      <w:r>
        <w:rPr>
          <w:rFonts w:ascii="Arial" w:hAnsi="Arial"/>
          <w:i/>
          <w:sz w:val="16"/>
        </w:rPr>
        <w:t>Source: Source: Institution's PCAF calculation system. Gross financed emissions calculated using PCAF attribution factor methodology. Weighted financed emissions apply PCAF confidence factors (1.0 for Score 1 to 0.45 for Score 5). Portfolio coverage: 100% of commercial and industrial lending book (IDR 1,541.18 trillion total outstanding). NACE sector classifications aligned with PCAF Global GHG Accounting Standard (2022).</w:t>
      </w:r>
    </w:p>
    <w:p/>
    <w:p>
      <w:r>
        <w:rPr>
          <w:rFonts w:ascii="Arial" w:hAnsi="Arial"/>
          <w:b/>
          <w:sz w:val="20"/>
        </w:rPr>
        <w:t>Table 2: SASB FN-CB-410a.3 — Financed Emissions (Scope 3 Category 15)</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Value</w:t>
            </w:r>
          </w:p>
        </w:tc>
        <w:tc>
          <w:tcPr>
            <w:tcW w:type="dxa" w:w="2257"/>
            <w:shd w:fill="1B3A6B" w:val="clear"/>
          </w:tcPr>
          <w:p>
            <w:r>
              <w:rPr>
                <w:rFonts w:ascii="Arial" w:hAnsi="Arial"/>
                <w:b/>
                <w:color w:val="FFFFFF"/>
                <w:sz w:val="18"/>
              </w:rPr>
              <w:t>Unit</w:t>
            </w:r>
          </w:p>
        </w:tc>
        <w:tc>
          <w:tcPr>
            <w:tcW w:type="dxa" w:w="2257"/>
            <w:shd w:fill="1B3A6B" w:val="clear"/>
          </w:tcPr>
          <w:p>
            <w:r>
              <w:rPr>
                <w:rFonts w:ascii="Arial" w:hAnsi="Arial"/>
                <w:b/>
                <w:color w:val="FFFFFF"/>
                <w:sz w:val="18"/>
              </w:rPr>
              <w:t>Methodology Standard</w:t>
            </w:r>
          </w:p>
        </w:tc>
      </w:tr>
      <w:tr>
        <w:tc>
          <w:tcPr>
            <w:tcW w:type="dxa" w:w="2257"/>
          </w:tcPr>
          <w:p>
            <w:r>
              <w:rPr>
                <w:rFonts w:ascii="Arial" w:hAnsi="Arial"/>
                <w:sz w:val="18"/>
              </w:rPr>
              <w:t>Gross Financed Emissions</w:t>
            </w:r>
          </w:p>
        </w:tc>
        <w:tc>
          <w:tcPr>
            <w:tcW w:type="dxa" w:w="2257"/>
          </w:tcPr>
          <w:p>
            <w:pPr>
              <w:jc w:val="right"/>
            </w:pPr>
            <w:r>
              <w:rPr>
                <w:rFonts w:ascii="Arial" w:hAnsi="Arial"/>
                <w:sz w:val="18"/>
              </w:rPr>
              <w:t>21,976,797.3</w:t>
            </w:r>
          </w:p>
        </w:tc>
        <w:tc>
          <w:tcPr>
            <w:tcW w:type="dxa" w:w="2257"/>
          </w:tcPr>
          <w:p>
            <w:r>
              <w:rPr>
                <w:rFonts w:ascii="Arial" w:hAnsi="Arial"/>
                <w:sz w:val="18"/>
              </w:rPr>
              <w:t>tCO2e</w:t>
            </w:r>
          </w:p>
        </w:tc>
        <w:tc>
          <w:tcPr>
            <w:tcW w:type="dxa" w:w="2257"/>
          </w:tcPr>
          <w:p>
            <w:r>
              <w:rPr>
                <w:rFonts w:ascii="Arial" w:hAnsi="Arial"/>
                <w:sz w:val="18"/>
              </w:rPr>
              <w:t>PCAF Global GHG Accounting Standard (2022)</w:t>
            </w:r>
          </w:p>
        </w:tc>
      </w:tr>
      <w:tr>
        <w:tc>
          <w:tcPr>
            <w:tcW w:type="dxa" w:w="2257"/>
            <w:shd w:fill="F2F6FC" w:val="clear"/>
          </w:tcPr>
          <w:p>
            <w:r>
              <w:rPr>
                <w:rFonts w:ascii="Arial" w:hAnsi="Arial"/>
                <w:sz w:val="18"/>
              </w:rPr>
              <w:t>Confidence-Weighted Financed Emissions</w:t>
            </w:r>
          </w:p>
        </w:tc>
        <w:tc>
          <w:tcPr>
            <w:tcW w:type="dxa" w:w="2257"/>
            <w:shd w:fill="F2F6FC" w:val="clear"/>
          </w:tcPr>
          <w:p>
            <w:pPr>
              <w:jc w:val="right"/>
            </w:pPr>
            <w:r>
              <w:rPr>
                <w:rFonts w:ascii="Arial" w:hAnsi="Arial"/>
                <w:sz w:val="18"/>
              </w:rPr>
              <w:t>15,280,174.14</w:t>
            </w:r>
          </w:p>
        </w:tc>
        <w:tc>
          <w:tcPr>
            <w:tcW w:type="dxa" w:w="2257"/>
            <w:shd w:fill="F2F6FC" w:val="clear"/>
          </w:tcPr>
          <w:p>
            <w:r>
              <w:rPr>
                <w:rFonts w:ascii="Arial" w:hAnsi="Arial"/>
                <w:sz w:val="18"/>
              </w:rPr>
              <w:t>tCO2e</w:t>
            </w:r>
          </w:p>
        </w:tc>
        <w:tc>
          <w:tcPr>
            <w:tcW w:type="dxa" w:w="2257"/>
            <w:shd w:fill="F2F6FC" w:val="clear"/>
          </w:tcPr>
          <w:p>
            <w:r>
              <w:rPr>
                <w:rFonts w:ascii="Arial" w:hAnsi="Arial"/>
                <w:sz w:val="18"/>
              </w:rPr>
              <w:t>PCAF Global GHG Accounting Standard (2022)</w:t>
            </w:r>
          </w:p>
        </w:tc>
      </w:tr>
      <w:tr>
        <w:tc>
          <w:tcPr>
            <w:tcW w:type="dxa" w:w="2257"/>
          </w:tcPr>
          <w:p>
            <w:r>
              <w:rPr>
                <w:rFonts w:ascii="Arial" w:hAnsi="Arial"/>
                <w:sz w:val="18"/>
              </w:rPr>
              <w:t>Portfolio Coverage</w:t>
            </w:r>
          </w:p>
        </w:tc>
        <w:tc>
          <w:tcPr>
            <w:tcW w:type="dxa" w:w="2257"/>
          </w:tcPr>
          <w:p>
            <w:pPr>
              <w:jc w:val="right"/>
            </w:pPr>
            <w:r>
              <w:rPr>
                <w:rFonts w:ascii="Arial" w:hAnsi="Arial"/>
                <w:sz w:val="18"/>
              </w:rPr>
              <w:t>100%</w:t>
            </w:r>
          </w:p>
        </w:tc>
        <w:tc>
          <w:tcPr>
            <w:tcW w:type="dxa" w:w="2257"/>
          </w:tcPr>
          <w:p>
            <w:r>
              <w:rPr>
                <w:rFonts w:ascii="Arial" w:hAnsi="Arial"/>
                <w:sz w:val="18"/>
              </w:rPr>
              <w:t>% of commercial lending book</w:t>
            </w:r>
          </w:p>
        </w:tc>
        <w:tc>
          <w:tcPr>
            <w:tcW w:type="dxa" w:w="2257"/>
          </w:tcPr>
          <w:p>
            <w:r>
              <w:rPr>
                <w:rFonts w:ascii="Arial" w:hAnsi="Arial"/>
                <w:sz w:val="18"/>
              </w:rPr>
              <w:t>PCAF asset class: Business Loans &amp; Unlisted Equity</w:t>
            </w:r>
          </w:p>
        </w:tc>
      </w:tr>
      <w:tr>
        <w:tc>
          <w:tcPr>
            <w:tcW w:type="dxa" w:w="2257"/>
            <w:shd w:fill="F2F6FC" w:val="clear"/>
          </w:tcPr>
          <w:p>
            <w:r>
              <w:rPr>
                <w:rFonts w:ascii="Arial" w:hAnsi="Arial"/>
                <w:sz w:val="18"/>
              </w:rPr>
              <w:t>Portfolio-Weighted PCAF Data Quality Score</w:t>
            </w:r>
          </w:p>
        </w:tc>
        <w:tc>
          <w:tcPr>
            <w:tcW w:type="dxa" w:w="2257"/>
            <w:shd w:fill="F2F6FC" w:val="clear"/>
          </w:tcPr>
          <w:p>
            <w:pPr>
              <w:jc w:val="right"/>
            </w:pPr>
            <w:r>
              <w:rPr>
                <w:rFonts w:ascii="Arial" w:hAnsi="Arial"/>
                <w:sz w:val="18"/>
              </w:rPr>
              <w:t>3.36</w:t>
            </w:r>
          </w:p>
        </w:tc>
        <w:tc>
          <w:tcPr>
            <w:tcW w:type="dxa" w:w="2257"/>
            <w:shd w:fill="F2F6FC" w:val="clear"/>
          </w:tcPr>
          <w:p>
            <w:r>
              <w:rPr>
                <w:rFonts w:ascii="Arial" w:hAnsi="Arial"/>
                <w:sz w:val="18"/>
              </w:rPr>
              <w:t>Score (1-5 scale)</w:t>
            </w:r>
          </w:p>
        </w:tc>
        <w:tc>
          <w:tcPr>
            <w:tcW w:type="dxa" w:w="2257"/>
            <w:shd w:fill="F2F6FC" w:val="clear"/>
          </w:tcPr>
          <w:p>
            <w:r>
              <w:rPr>
                <w:rFonts w:ascii="Arial" w:hAnsi="Arial"/>
                <w:sz w:val="18"/>
              </w:rPr>
              <w:t>PCAF confidence factor methodology</w:t>
            </w:r>
          </w:p>
        </w:tc>
      </w:tr>
      <w:tr>
        <w:tc>
          <w:tcPr>
            <w:tcW w:type="dxa" w:w="2257"/>
          </w:tcPr>
          <w:p>
            <w:r>
              <w:rPr>
                <w:rFonts w:ascii="Arial" w:hAnsi="Arial"/>
                <w:sz w:val="18"/>
              </w:rPr>
              <w:t>Total Outstanding Exposure</w:t>
            </w:r>
          </w:p>
        </w:tc>
        <w:tc>
          <w:tcPr>
            <w:tcW w:type="dxa" w:w="2257"/>
          </w:tcPr>
          <w:p>
            <w:pPr>
              <w:jc w:val="right"/>
            </w:pPr>
            <w:r>
              <w:rPr>
                <w:rFonts w:ascii="Arial" w:hAnsi="Arial"/>
                <w:sz w:val="18"/>
              </w:rPr>
              <w:t>1,541.18</w:t>
            </w:r>
          </w:p>
        </w:tc>
        <w:tc>
          <w:tcPr>
            <w:tcW w:type="dxa" w:w="2257"/>
          </w:tcPr>
          <w:p>
            <w:r>
              <w:rPr>
                <w:rFonts w:ascii="Arial" w:hAnsi="Arial"/>
                <w:sz w:val="18"/>
              </w:rPr>
              <w:t>IDR Trillion</w:t>
            </w:r>
          </w:p>
        </w:tc>
        <w:tc>
          <w:tcPr>
            <w:tcW w:type="dxa" w:w="2257"/>
          </w:tcPr>
          <w:p>
            <w:r>
              <w:rPr>
                <w:rFonts w:ascii="Arial" w:hAnsi="Arial"/>
                <w:sz w:val="18"/>
              </w:rPr>
              <w:t>Consolidated accounting group</w:t>
            </w:r>
          </w:p>
        </w:tc>
      </w:tr>
    </w:tbl>
    <w:p>
      <w:r>
        <w:rPr>
          <w:rFonts w:ascii="Arial" w:hAnsi="Arial"/>
          <w:i/>
          <w:sz w:val="16"/>
        </w:rPr>
        <w:t>Source: Source: Institution's loan management system and PCAF calculation engine. Financed emissions calculated for all commercial and industrial loans outstanding as of 31 December 2024. Methodology aligns with PCAF Global GHG Accounting and Reporting Standard (2022) and SASB Commercial Banks industry standard (FN-CB-410a.3). These figures have not been subject to external assurance for the current reporting period.</w:t>
      </w:r>
    </w:p>
    <w:p/>
    <w:p>
      <w:r>
        <w:rPr>
          <w:i/>
          <w:color w:val="3D6094"/>
          <w:sz w:val="18"/>
        </w:rPr>
        <w:t>Framework references: IFRS S2 para 29(a)(vi)(2) — Financed emissions disclosure for financial institutions; IFRS S2 para B58-B63 — Guidance on financed emissions calculation; IFRS S2 para 33 — Climate-related targets; SASB FN-CB-410a.3 — Financed emissions (Scope 3 Category 15); GHG Protocol Scope 3 Standard — Category 15: Investments; PCAF Global GHG Accounting and Reporting Standard (2022)</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are calculated using the Partnership for Carbon Accounting Financials (PCAF) Global GHG Accounting and Reporting Standard (2022). The institution applies the attribution factor methodology for business loans, whereby financed emissions = borrower emissions × (outstanding amount ÷ borrower total equity + debt).</w:t>
      </w:r>
    </w:p>
    <w:p>
      <w:pPr>
        <w:spacing w:after="160" w:line="276" w:lineRule="auto"/>
        <w:jc w:val="both"/>
      </w:pPr>
      <w:r>
        <w:rPr>
          <w:rFonts w:ascii="Arial" w:hAnsi="Arial"/>
          <w:i/>
          <w:color w:val="646464"/>
          <w:sz w:val="18"/>
        </w:rPr>
        <w:t>Confidence-weighted financed emissions apply PCAF-prescribed confidence factors to adjust for data quality: Score 1 (verified data) = 1.0 factor; Score 2 (reported, unverified) = 0.90; Score 3 (EEIO + revenue) = 0.75; Score 4 (EEIO + assets) = 0.60; Score 5 (sector average) = 0.45. The portfolio-weighted average confidence factor for 2024 was 0.695.</w:t>
      </w:r>
    </w:p>
    <w:p>
      <w:pPr>
        <w:spacing w:after="160" w:line="276" w:lineRule="auto"/>
        <w:jc w:val="both"/>
      </w:pPr>
      <w:r>
        <w:rPr>
          <w:rFonts w:ascii="Arial" w:hAnsi="Arial"/>
          <w:i/>
          <w:color w:val="646464"/>
          <w:sz w:val="18"/>
        </w:rPr>
        <w:t>Year-over-year comparison is not provided for financed emissions as prior year data was calculated using a different sectoral classification methodology and is not directly comparable. The institution implemented the current PCAF-aligned calculation methodology in 2024.</w:t>
      </w:r>
    </w:p>
    <w:p>
      <w:pPr>
        <w:spacing w:after="160" w:line="276" w:lineRule="auto"/>
        <w:jc w:val="both"/>
      </w:pPr>
      <w:r>
        <w:rPr>
          <w:rFonts w:ascii="Arial" w:hAnsi="Arial"/>
          <w:i/>
          <w:color w:val="646464"/>
          <w:sz w:val="18"/>
        </w:rPr>
        <w:t>NACE sector classifications are aligned with the European Union's Statistical Classification of Economic Activities (NACE Rev. 2) as referenced in the PCAF Global GHG Accounting Standard. Indonesian borrowers are mapped to NACE codes based on primary business activity as recorded in the institution's loan management system.</w:t>
      </w:r>
    </w:p>
    <w:p>
      <w:pPr>
        <w:spacing w:after="160" w:line="276" w:lineRule="auto"/>
        <w:jc w:val="both"/>
      </w:pPr>
      <w:r>
        <w:rPr>
          <w:rFonts w:ascii="Arial" w:hAnsi="Arial"/>
          <w:i/>
          <w:color w:val="646464"/>
          <w:sz w:val="18"/>
        </w:rPr>
        <w:t>The institution has not yet established a science-based target for financed emissions reduction aligned with a 1.5°C or well-below 2°C warming scenario. Target-setting is planned for completion in 2025 following portfolio temperature alignment assessment.</w:t>
      </w:r>
    </w:p>
    <w:p>
      <w:r>
        <w:br w:type="page"/>
      </w:r>
    </w:p>
    <w:p>
      <w:pPr>
        <w:pStyle w:val="Heading1"/>
        <w:keepNext/>
        <w:spacing w:before="480" w:after="240"/>
      </w:pPr>
      <w:r>
        <w:rPr>
          <w:rFonts w:ascii="Arial" w:hAnsi="Arial"/>
          <w:b/>
          <w:color w:val="1B3A6B"/>
          <w:sz w:val="36"/>
        </w:rPr>
        <w:t>Climate Targets &amp; Reduction Initiatives</w:t>
      </w:r>
    </w:p>
    <w:p>
      <w:pPr>
        <w:spacing w:after="160" w:line="276" w:lineRule="auto"/>
        <w:jc w:val="both"/>
      </w:pPr>
      <w:r>
        <w:rPr>
          <w:rFonts w:ascii="Arial" w:hAnsi="Arial"/>
          <w:sz w:val="22"/>
        </w:rPr>
        <w:t>This data point is not yet captured in the institution's reporting system. IFRS S2 paragraphs 33–37 require entities to disclose quantitative or qualitative climate-related targets, including greenhouse gas emissions targets, with characteristics specified in paragraph 33(a)–(h). The institution has not established formal climate-related targets for Scope 1, Scope 2, or Scope 3 (financed emissions) as of the 2024 reporting period. This represents a material disclosure gap under IFRS S2 requirements, which mandate disclosure of targets the entity has set to mitigate or adapt to climate-related risks or to take advantage of climate-related opportunities.</w:t>
      </w:r>
    </w:p>
    <w:p>
      <w:pPr>
        <w:spacing w:after="160" w:line="276" w:lineRule="auto"/>
        <w:jc w:val="both"/>
      </w:pPr>
      <w:r>
        <w:rPr>
          <w:rFonts w:ascii="Arial" w:hAnsi="Arial"/>
          <w:i/>
          <w:sz w:val="22"/>
        </w:rPr>
        <w:t>**Framework Requirement**: IFRS S2 paragraph 33 requires disclosure of: (a) the metric used to set the target; (b) the objective of the target (e.g., mitigation, adaptation, conformance with science-based initiatives); (c) the part of the entity to which the target applies; (d) the period over which the target applies; (e) the base period from which progress is measured; (f) any milestones or interim targets; (g) if the target is quantitative, whether it is an absolute target or intensity target; and (h) how the entity's targets compare with those required by law or regulation. Additionally, paragraph 34 requires disclosure of information about the entity's approach to setting and reviewing each target, and how it monitors progress, including whether third-party verification is used.</w:t>
      </w:r>
    </w:p>
    <w:p>
      <w:pPr>
        <w:spacing w:after="160" w:line="276" w:lineRule="auto"/>
        <w:jc w:val="both"/>
      </w:pPr>
      <w:r>
        <w:rPr>
          <w:rFonts w:ascii="Arial" w:hAnsi="Arial"/>
          <w:sz w:val="22"/>
        </w:rPr>
        <w:t>**Peer Benchmark Context**: Leading Indonesian and regional financial institutions have established comprehensive climate target frameworks. Bank Rakyat Indonesia (BRI) became the first Indonesian financial institution to submit a commitment letter to the Science Based Targets initiative (SBTi), establishing a portfolio temperature target of 1.75°C by 2040 with an annual reduction trajectory of 0.0783°C per year. DBS Bank has committed to achieving Net Zero financed emissions by 2050, with interim targets for 2030 covering priority sectors including oil &amp; gas, power, automotive, aviation, shipping, steel, and real estate. BCA has implemented sectoral credit policies for carbon-intensive industries (coal, palm oil, cement, oil &amp; gas) as part of its Environmental and Social Risk Management (ESRM) framework, though specific quantitative reduction targets have not been publicly disclosed. These peer institutions demonstrate that target-setting is both feasible and increasingly expected for financial institutions operating in the region.</w:t>
      </w:r>
    </w:p>
    <w:p>
      <w:pPr>
        <w:spacing w:after="160" w:line="276" w:lineRule="auto"/>
        <w:jc w:val="both"/>
      </w:pPr>
      <w:r>
        <w:rPr>
          <w:rFonts w:ascii="Arial" w:hAnsi="Arial"/>
          <w:sz w:val="22"/>
        </w:rPr>
        <w:t>**Recommended Target-Setting Framework**: The institution should establish a three-tier target structure aligned with IFRS S2 requirements and SBTi methodology: (1) **Operational Emissions (Scope 1+2)**: Set an absolute reduction target of 30–50% by 2030 versus a 2023 baseline, covering all owned and controlled facilities. Based on current Scope 1+2 emissions of 48,016.873 tCO2e (2024), a 42% reduction target would align with a 1.5°C pathway and result in a 2030 target of approximately 27,850 tCO2e. (2) **Financed Emissions (Scope 3 Category 15)**: Establish sector-specific intensity targets for the top three emitting sectors (Energy - Oil &amp; Gas: 93.242 tCO2e/IDR billion; Manufacturing - Cement: 53.9927 tCO2e/IDR billion; Manufacturing - Steel: 32.2175 tCO2e/IDR billion), with a portfolio-wide temperature alignment target of below 2°C by 2030 and 1.75°C by 2040, following BRI's precedent. (3) **Net Zero Commitment**: Declare a Net Zero target for 2050 covering all scopes, with interim milestones at 2025 (baseline establishment and SBTi submission), 2030 (30% reduction in operational emissions, sectoral targets achieved), and 2040 (portfolio temperature alignment to 1.75°C).</w:t>
      </w:r>
    </w:p>
    <w:p>
      <w:pPr>
        <w:spacing w:after="160" w:line="276" w:lineRule="auto"/>
        <w:jc w:val="both"/>
      </w:pPr>
      <w:r>
        <w:rPr>
          <w:rFonts w:ascii="Arial" w:hAnsi="Arial"/>
          <w:sz w:val="22"/>
        </w:rPr>
        <w:t>**Implementation Roadmap**: The institution should adopt a phased approach to target implementation: **Phase 1 (Q1-Q2 2025)**: Submit commitment letter to SBTi and establish internal governance structure for target monitoring (Board-level Climate Committee with quarterly reporting). Conduct detailed baseline verification for 2023 emissions across all scopes using enhanced data collection protocols. **Phase 2 (Q3-Q4 2025)**: Develop sector-specific decarbonization pathways for the three highest-emitting financed sectors, incorporating client engagement strategies and transition finance product development. Establish renewable energy procurement targets (minimum 25% renewable electricity by 2027, 50% by 2030) through Power Purchase Agreements (PPAs) or Renewable Energy Certificates (RECs), referencing DBS's achievement of 62% renewable energy. **Phase 3 (2026-2027)**: Implement operational reduction initiatives including solar panel installation at branches (following BRI's Green Network model), fleet electrification (targeting 30% EV conversion by 2030, building on BRI's deployment of 118 EV cars and 150 electric motorcycles), and energy efficiency retrofits (LED lighting, HVAC optimization, auto-shutdown systems as implemented in BRI's Kaseya program achieving 19.49% electricity savings). **Phase 4 (2028-2030)**: Scale client engagement programs, launch transition finance products for high-emitting sectors, and achieve interim 2030 targets with annual progress reporting and external assurance.</w:t>
      </w:r>
    </w:p>
    <w:p>
      <w:pPr>
        <w:spacing w:after="160" w:line="276" w:lineRule="auto"/>
        <w:jc w:val="both"/>
      </w:pPr>
      <w:r>
        <w:rPr>
          <w:rFonts w:ascii="Arial" w:hAnsi="Arial"/>
          <w:sz w:val="22"/>
        </w:rPr>
        <w:t>**Decarbonization Levers by Scope**: For **Scope 1** (3,402.997 tCO2e in 2024), primary levers include: (a) fuel switching from diesel to biodiesel B35+ for backup generators at facilities currently relying on diesel (2,203.2044 tCO2e from diesel), with potential 20–30% emission reduction; (b) natural gas efficiency improvements for facilities using natural gas heating (1,199.7924 tCO2e from natural gas); and (c) fleet electrification for company vehicles. For **Scope 2** (44,612.518 tCO2e market-based in 2024), primary levers include: (a) renewable energy procurement through PPAs or RECs targeting 50% renewable electricity by 2030; (b) on-site solar generation at branches and data centers (BRI precedent: Green Network program); (c) energy efficiency measures including green building certification (BRI achieved Gold GBCI certification), LED retrofits, and HVAC optimization; and (d) data center efficiency improvements. For **Scope 3 Category 15** (15,280,174.14 tCO2e weighted in 2024), primary levers include: (a) sectoral credit policies restricting financing for high-carbon activities (BCA precedent: coal, palm oil, cement, O&amp;G policies); (b) client engagement programs for top 20 emitters representing 70%+ of financed emissions; (c) transition finance products incentivizing client decarbonization; (d) portfolio reallocation toward low-carbon sectors; and (e) enhanced ESRM screening integrating climate risk assessment for all new loans above IDR 50 billion.</w:t>
      </w:r>
    </w:p>
    <w:p>
      <w:pPr>
        <w:spacing w:after="160" w:line="276" w:lineRule="auto"/>
        <w:jc w:val="both"/>
      </w:pPr>
      <w:r>
        <w:rPr>
          <w:rFonts w:ascii="Arial" w:hAnsi="Arial"/>
          <w:sz w:val="22"/>
        </w:rPr>
        <w:t>**Carbon Offset Strategy Considerations**: While no carbon offset strategy is currently defined, IFRS S2 paragraph B72 requires disclosure of the entity's planned use of carbon credits to offset greenhouse gas emissions. Best practice guidance from SBTi and the Greenhouse Gas Protocol recommends that offsets should not exceed 10–20% of gross emissions reductions and should only be used for residual emissions that cannot be eliminated through direct abatement. If the institution establishes a Net Zero 2050 target, a carbon offset strategy should be developed for the 2040–2050 period, prioritizing high-quality offsets with: (a) permanence guarantees (minimum 100-year storage for nature-based solutions); (b) additionality verification (projects would not occur without carbon finance); (c) third-party certification (Verra VCS, Gold Standard, or equivalent); and (d) preference for technological carbon removal (direct air capture, mineralization) over nature-based offsets for long-term residual emissions. Offset procurement should be disclosed separately from gross reduction achievements, with clear delineation between 'gross reduction' and 'net reduction including offsets' in annual reporting.</w:t>
      </w:r>
    </w:p>
    <w:p>
      <w:pPr>
        <w:spacing w:after="160" w:line="276" w:lineRule="auto"/>
        <w:jc w:val="both"/>
      </w:pPr>
      <w:r>
        <w:rPr>
          <w:rFonts w:ascii="Arial" w:hAnsi="Arial"/>
          <w:sz w:val="22"/>
        </w:rPr>
        <w:t>**Interim Milestone Framework**: Following IFRS S2 paragraph 33(f) requirements, the institution should establish interim milestones at 5-year intervals: **2025 Milestone**: Complete baseline verification, submit SBTi commitment, establish Board-level climate governance, achieve 5% Scope 1+2 reduction versus 2023 baseline through quick-win energy efficiency measures. **2027 Milestone**: Achieve 15% Scope 1+2 reduction, reach 25% renewable energy procurement, complete sectoral decarbonization pathway development for top 3 emitting sectors, reduce average PCAF data quality score from 3.36 to below 3.0 through enhanced borrower engagement. **2030 Milestone**: Achieve 42% Scope 1+2 reduction (absolute), reduce financed emissions intensity by 25% for Energy - Oil &amp; Gas sector (from 93.242 to 69.93 tCO2e/IDR billion), achieve 50% renewable energy procurement, maintain portfolio temperature alignment below 2°C. **2035 Milestone**: Achieve 60% Scope 1+2 reduction, reduce financed emissions intensity by 40% across all high-emitting sectors, achieve 75% renewable energy procurement. **2040 Milestone**: Achieve 80% Scope 1+2 reduction, portfolio temperature alignment to 1.75°C (BRI precedent), achieve 90% renewable energy procurement. **2050 Milestone**: Net Zero across all scopes, with residual emissions below 5% of 2023 baseline offset through high-quality carbon removal credits.</w:t>
      </w:r>
    </w:p>
    <w:p>
      <w:r>
        <w:rPr>
          <w:rFonts w:ascii="Arial" w:hAnsi="Arial"/>
          <w:b/>
          <w:sz w:val="20"/>
        </w:rPr>
        <w:t>Table 1: Disclosure Gap Analysis — Climate Targets Required Under IFRS S2</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Target Type</w:t>
            </w:r>
          </w:p>
        </w:tc>
        <w:tc>
          <w:tcPr>
            <w:tcW w:type="dxa" w:w="1806"/>
            <w:shd w:fill="1B3A6B" w:val="clear"/>
          </w:tcPr>
          <w:p>
            <w:r>
              <w:rPr>
                <w:rFonts w:ascii="Arial" w:hAnsi="Arial"/>
                <w:b/>
                <w:color w:val="FFFFFF"/>
                <w:sz w:val="18"/>
              </w:rPr>
              <w:t>IFRS S2 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Peer Benchmark</w:t>
            </w:r>
          </w:p>
        </w:tc>
        <w:tc>
          <w:tcPr>
            <w:tcW w:type="dxa" w:w="1806"/>
            <w:shd w:fill="1B3A6B" w:val="clear"/>
          </w:tcPr>
          <w:p>
            <w:r>
              <w:rPr>
                <w:rFonts w:ascii="Arial" w:hAnsi="Arial"/>
                <w:b/>
                <w:color w:val="FFFFFF"/>
                <w:sz w:val="18"/>
              </w:rPr>
              <w:t>Recommended Action</w:t>
            </w:r>
          </w:p>
        </w:tc>
      </w:tr>
      <w:tr>
        <w:tc>
          <w:tcPr>
            <w:tcW w:type="dxa" w:w="1806"/>
          </w:tcPr>
          <w:p>
            <w:r>
              <w:rPr>
                <w:rFonts w:ascii="Arial" w:hAnsi="Arial"/>
                <w:sz w:val="18"/>
              </w:rPr>
              <w:t>Scope 1+2 Absolute Reduction Target</w:t>
            </w:r>
          </w:p>
        </w:tc>
        <w:tc>
          <w:tcPr>
            <w:tcW w:type="dxa" w:w="1806"/>
          </w:tcPr>
          <w:p>
            <w:r>
              <w:rPr>
                <w:rFonts w:ascii="Arial" w:hAnsi="Arial"/>
                <w:sz w:val="18"/>
              </w:rPr>
              <w:t>Para 33(a)–(h): Quantitative target with base year, target year, metric</w:t>
            </w:r>
          </w:p>
        </w:tc>
        <w:tc>
          <w:tcPr>
            <w:tcW w:type="dxa" w:w="1806"/>
          </w:tcPr>
          <w:p>
            <w:r>
              <w:rPr>
                <w:rFonts w:ascii="Arial" w:hAnsi="Arial"/>
                <w:sz w:val="18"/>
              </w:rPr>
              <w:t>Not established</w:t>
            </w:r>
          </w:p>
        </w:tc>
        <w:tc>
          <w:tcPr>
            <w:tcW w:type="dxa" w:w="1806"/>
          </w:tcPr>
          <w:p>
            <w:r>
              <w:rPr>
                <w:rFonts w:ascii="Arial" w:hAnsi="Arial"/>
                <w:sz w:val="18"/>
              </w:rPr>
              <w:t>DBS: Net Zero 2050; BRI: SBTi committed</w:t>
            </w:r>
          </w:p>
        </w:tc>
        <w:tc>
          <w:tcPr>
            <w:tcW w:type="dxa" w:w="1806"/>
          </w:tcPr>
          <w:p>
            <w:r>
              <w:rPr>
                <w:rFonts w:ascii="Arial" w:hAnsi="Arial"/>
                <w:sz w:val="18"/>
              </w:rPr>
              <w:t>Set 42% reduction by 2030 vs 2023 baseline (27,850 tCO2e target)</w:t>
            </w:r>
          </w:p>
        </w:tc>
      </w:tr>
      <w:tr>
        <w:tc>
          <w:tcPr>
            <w:tcW w:type="dxa" w:w="1806"/>
            <w:shd w:fill="F2F6FC" w:val="clear"/>
          </w:tcPr>
          <w:p>
            <w:r>
              <w:rPr>
                <w:rFonts w:ascii="Arial" w:hAnsi="Arial"/>
                <w:sz w:val="18"/>
              </w:rPr>
              <w:t>Scope 3 Financed Emissions Target</w:t>
            </w:r>
          </w:p>
        </w:tc>
        <w:tc>
          <w:tcPr>
            <w:tcW w:type="dxa" w:w="1806"/>
            <w:shd w:fill="F2F6FC" w:val="clear"/>
          </w:tcPr>
          <w:p>
            <w:r>
              <w:rPr>
                <w:rFonts w:ascii="Arial" w:hAnsi="Arial"/>
                <w:sz w:val="18"/>
              </w:rPr>
              <w:t>Para 33: Sector-specific or portfolio-wide intensity/temperature target</w:t>
            </w:r>
          </w:p>
        </w:tc>
        <w:tc>
          <w:tcPr>
            <w:tcW w:type="dxa" w:w="1806"/>
            <w:shd w:fill="F2F6FC" w:val="clear"/>
          </w:tcPr>
          <w:p>
            <w:r>
              <w:rPr>
                <w:rFonts w:ascii="Arial" w:hAnsi="Arial"/>
                <w:sz w:val="18"/>
              </w:rPr>
              <w:t>Not established</w:t>
            </w:r>
          </w:p>
        </w:tc>
        <w:tc>
          <w:tcPr>
            <w:tcW w:type="dxa" w:w="1806"/>
            <w:shd w:fill="F2F6FC" w:val="clear"/>
          </w:tcPr>
          <w:p>
            <w:r>
              <w:rPr>
                <w:rFonts w:ascii="Arial" w:hAnsi="Arial"/>
                <w:sz w:val="18"/>
              </w:rPr>
              <w:t>BRI: 1.75°C portfolio temp by 2040; DBS: Sector targets for 2030</w:t>
            </w:r>
          </w:p>
        </w:tc>
        <w:tc>
          <w:tcPr>
            <w:tcW w:type="dxa" w:w="1806"/>
            <w:shd w:fill="F2F6FC" w:val="clear"/>
          </w:tcPr>
          <w:p>
            <w:r>
              <w:rPr>
                <w:rFonts w:ascii="Arial" w:hAnsi="Arial"/>
                <w:sz w:val="18"/>
              </w:rPr>
              <w:t>Set sectoral intensity targets for top 3 emitting sectors; portfolio temp &lt;2°C by 2030</w:t>
            </w:r>
          </w:p>
        </w:tc>
      </w:tr>
      <w:tr>
        <w:tc>
          <w:tcPr>
            <w:tcW w:type="dxa" w:w="1806"/>
          </w:tcPr>
          <w:p>
            <w:r>
              <w:rPr>
                <w:rFonts w:ascii="Arial" w:hAnsi="Arial"/>
                <w:sz w:val="18"/>
              </w:rPr>
              <w:t>Net Zero Commitment</w:t>
            </w:r>
          </w:p>
        </w:tc>
        <w:tc>
          <w:tcPr>
            <w:tcW w:type="dxa" w:w="1806"/>
          </w:tcPr>
          <w:p>
            <w:r>
              <w:rPr>
                <w:rFonts w:ascii="Arial" w:hAnsi="Arial"/>
                <w:sz w:val="18"/>
              </w:rPr>
              <w:t>Para 33(b): Long-term objective aligned with latest international agreement</w:t>
            </w:r>
          </w:p>
        </w:tc>
        <w:tc>
          <w:tcPr>
            <w:tcW w:type="dxa" w:w="1806"/>
          </w:tcPr>
          <w:p>
            <w:r>
              <w:rPr>
                <w:rFonts w:ascii="Arial" w:hAnsi="Arial"/>
                <w:sz w:val="18"/>
              </w:rPr>
              <w:t>Not established</w:t>
            </w:r>
          </w:p>
        </w:tc>
        <w:tc>
          <w:tcPr>
            <w:tcW w:type="dxa" w:w="1806"/>
          </w:tcPr>
          <w:p>
            <w:r>
              <w:rPr>
                <w:rFonts w:ascii="Arial" w:hAnsi="Arial"/>
                <w:sz w:val="18"/>
              </w:rPr>
              <w:t>DBS: 2050 Net Zero; BRI: 2050 implied via SBTi</w:t>
            </w:r>
          </w:p>
        </w:tc>
        <w:tc>
          <w:tcPr>
            <w:tcW w:type="dxa" w:w="1806"/>
          </w:tcPr>
          <w:p>
            <w:r>
              <w:rPr>
                <w:rFonts w:ascii="Arial" w:hAnsi="Arial"/>
                <w:sz w:val="18"/>
              </w:rPr>
              <w:t>Declare Net Zero 2050 commitment covering all scopes</w:t>
            </w:r>
          </w:p>
        </w:tc>
      </w:tr>
      <w:tr>
        <w:tc>
          <w:tcPr>
            <w:tcW w:type="dxa" w:w="1806"/>
            <w:shd w:fill="F2F6FC" w:val="clear"/>
          </w:tcPr>
          <w:p>
            <w:r>
              <w:rPr>
                <w:rFonts w:ascii="Arial" w:hAnsi="Arial"/>
                <w:sz w:val="18"/>
              </w:rPr>
              <w:t>Interim Milestones</w:t>
            </w:r>
          </w:p>
        </w:tc>
        <w:tc>
          <w:tcPr>
            <w:tcW w:type="dxa" w:w="1806"/>
            <w:shd w:fill="F2F6FC" w:val="clear"/>
          </w:tcPr>
          <w:p>
            <w:r>
              <w:rPr>
                <w:rFonts w:ascii="Arial" w:hAnsi="Arial"/>
                <w:sz w:val="18"/>
              </w:rPr>
              <w:t>Para 33(f): Milestones or interim targets</w:t>
            </w:r>
          </w:p>
        </w:tc>
        <w:tc>
          <w:tcPr>
            <w:tcW w:type="dxa" w:w="1806"/>
            <w:shd w:fill="F2F6FC" w:val="clear"/>
          </w:tcPr>
          <w:p>
            <w:r>
              <w:rPr>
                <w:rFonts w:ascii="Arial" w:hAnsi="Arial"/>
                <w:sz w:val="18"/>
              </w:rPr>
              <w:t>Not established</w:t>
            </w:r>
          </w:p>
        </w:tc>
        <w:tc>
          <w:tcPr>
            <w:tcW w:type="dxa" w:w="1806"/>
            <w:shd w:fill="F2F6FC" w:val="clear"/>
          </w:tcPr>
          <w:p>
            <w:r>
              <w:rPr>
                <w:rFonts w:ascii="Arial" w:hAnsi="Arial"/>
                <w:sz w:val="18"/>
              </w:rPr>
              <w:t>DBS: 2030 interim targets; BRI: Annual reduction trajectory 0.0783°C/year</w:t>
            </w:r>
          </w:p>
        </w:tc>
        <w:tc>
          <w:tcPr>
            <w:tcW w:type="dxa" w:w="1806"/>
            <w:shd w:fill="F2F6FC" w:val="clear"/>
          </w:tcPr>
          <w:p>
            <w:r>
              <w:rPr>
                <w:rFonts w:ascii="Arial" w:hAnsi="Arial"/>
                <w:sz w:val="18"/>
              </w:rPr>
              <w:t>Establish 2025, 2027, 2030, 2035, 2040 milestones per recommended framework</w:t>
            </w:r>
          </w:p>
        </w:tc>
      </w:tr>
      <w:tr>
        <w:tc>
          <w:tcPr>
            <w:tcW w:type="dxa" w:w="1806"/>
          </w:tcPr>
          <w:p>
            <w:r>
              <w:rPr>
                <w:rFonts w:ascii="Arial" w:hAnsi="Arial"/>
                <w:sz w:val="18"/>
              </w:rPr>
              <w:t>Renewable Energy Target</w:t>
            </w:r>
          </w:p>
        </w:tc>
        <w:tc>
          <w:tcPr>
            <w:tcW w:type="dxa" w:w="1806"/>
          </w:tcPr>
          <w:p>
            <w:r>
              <w:rPr>
                <w:rFonts w:ascii="Arial" w:hAnsi="Arial"/>
                <w:sz w:val="18"/>
              </w:rPr>
              <w:t>Para 29(e): Cross-industry metric for energy consumption</w:t>
            </w:r>
          </w:p>
        </w:tc>
        <w:tc>
          <w:tcPr>
            <w:tcW w:type="dxa" w:w="1806"/>
          </w:tcPr>
          <w:p>
            <w:r>
              <w:rPr>
                <w:rFonts w:ascii="Arial" w:hAnsi="Arial"/>
                <w:sz w:val="18"/>
              </w:rPr>
              <w:t>Not established</w:t>
            </w:r>
          </w:p>
        </w:tc>
        <w:tc>
          <w:tcPr>
            <w:tcW w:type="dxa" w:w="1806"/>
          </w:tcPr>
          <w:p>
            <w:r>
              <w:rPr>
                <w:rFonts w:ascii="Arial" w:hAnsi="Arial"/>
                <w:sz w:val="18"/>
              </w:rPr>
              <w:t>DBS: 62% renewable achieved; BRI: Green Network solar program</w:t>
            </w:r>
          </w:p>
        </w:tc>
        <w:tc>
          <w:tcPr>
            <w:tcW w:type="dxa" w:w="1806"/>
          </w:tcPr>
          <w:p>
            <w:r>
              <w:rPr>
                <w:rFonts w:ascii="Arial" w:hAnsi="Arial"/>
                <w:sz w:val="18"/>
              </w:rPr>
              <w:t>Set 50% renewable electricity by 2030; 25% by 2027 interim</w:t>
            </w:r>
          </w:p>
        </w:tc>
      </w:tr>
      <w:tr>
        <w:tc>
          <w:tcPr>
            <w:tcW w:type="dxa" w:w="1806"/>
            <w:shd w:fill="F2F6FC" w:val="clear"/>
          </w:tcPr>
          <w:p>
            <w:r>
              <w:rPr>
                <w:rFonts w:ascii="Arial" w:hAnsi="Arial"/>
                <w:sz w:val="18"/>
              </w:rPr>
              <w:t>SBTi Validation</w:t>
            </w:r>
          </w:p>
        </w:tc>
        <w:tc>
          <w:tcPr>
            <w:tcW w:type="dxa" w:w="1806"/>
            <w:shd w:fill="F2F6FC" w:val="clear"/>
          </w:tcPr>
          <w:p>
            <w:r>
              <w:rPr>
                <w:rFonts w:ascii="Arial" w:hAnsi="Arial"/>
                <w:sz w:val="18"/>
              </w:rPr>
              <w:t>Para 33(b): Alignment with science-based methodologies</w:t>
            </w:r>
          </w:p>
        </w:tc>
        <w:tc>
          <w:tcPr>
            <w:tcW w:type="dxa" w:w="1806"/>
            <w:shd w:fill="F2F6FC" w:val="clear"/>
          </w:tcPr>
          <w:p>
            <w:r>
              <w:rPr>
                <w:rFonts w:ascii="Arial" w:hAnsi="Arial"/>
                <w:sz w:val="18"/>
              </w:rPr>
              <w:t>Not submitted</w:t>
            </w:r>
          </w:p>
        </w:tc>
        <w:tc>
          <w:tcPr>
            <w:tcW w:type="dxa" w:w="1806"/>
            <w:shd w:fill="F2F6FC" w:val="clear"/>
          </w:tcPr>
          <w:p>
            <w:r>
              <w:rPr>
                <w:rFonts w:ascii="Arial" w:hAnsi="Arial"/>
                <w:sz w:val="18"/>
              </w:rPr>
              <w:t>BRI: First Indonesian FI to submit SBTi commitment</w:t>
            </w:r>
          </w:p>
        </w:tc>
        <w:tc>
          <w:tcPr>
            <w:tcW w:type="dxa" w:w="1806"/>
            <w:shd w:fill="F2F6FC" w:val="clear"/>
          </w:tcPr>
          <w:p>
            <w:r>
              <w:rPr>
                <w:rFonts w:ascii="Arial" w:hAnsi="Arial"/>
                <w:sz w:val="18"/>
              </w:rPr>
              <w:t>Submit SBTi commitment letter by Q2 2025</w:t>
            </w:r>
          </w:p>
        </w:tc>
      </w:tr>
    </w:tbl>
    <w:p>
      <w:r>
        <w:rPr>
          <w:rFonts w:ascii="Arial" w:hAnsi="Arial"/>
          <w:i/>
          <w:sz w:val="16"/>
        </w:rPr>
        <w:t>Source: Analysis based on IFRS S2 paragraphs 33–37 requirements and peer institution public disclosures (BRI 2023 Sustainability Report, DBS 2023 Sustainability Report, BCA 2023 Annual Report).</w:t>
      </w:r>
    </w:p>
    <w:p/>
    <w:p>
      <w:r>
        <w:rPr>
          <w:rFonts w:ascii="Arial" w:hAnsi="Arial"/>
          <w:b/>
          <w:sz w:val="20"/>
        </w:rPr>
        <w:t>Table 2: Recommended Target Structure — Operational Emissions (Scope 1+2)</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Metric</w:t>
            </w:r>
          </w:p>
        </w:tc>
        <w:tc>
          <w:tcPr>
            <w:tcW w:type="dxa" w:w="1505"/>
            <w:shd w:fill="1B3A6B" w:val="clear"/>
          </w:tcPr>
          <w:p>
            <w:r>
              <w:rPr>
                <w:rFonts w:ascii="Arial" w:hAnsi="Arial"/>
                <w:b/>
                <w:color w:val="FFFFFF"/>
                <w:sz w:val="18"/>
              </w:rPr>
              <w:t>2023 Baseline (tCO2e)</w:t>
            </w:r>
          </w:p>
        </w:tc>
        <w:tc>
          <w:tcPr>
            <w:tcW w:type="dxa" w:w="1505"/>
            <w:shd w:fill="1B3A6B" w:val="clear"/>
          </w:tcPr>
          <w:p>
            <w:r>
              <w:rPr>
                <w:rFonts w:ascii="Arial" w:hAnsi="Arial"/>
                <w:b/>
                <w:color w:val="FFFFFF"/>
                <w:sz w:val="18"/>
              </w:rPr>
              <w:t>2024 Actual (tCO2e)</w:t>
            </w:r>
          </w:p>
        </w:tc>
        <w:tc>
          <w:tcPr>
            <w:tcW w:type="dxa" w:w="1505"/>
            <w:shd w:fill="1B3A6B" w:val="clear"/>
          </w:tcPr>
          <w:p>
            <w:r>
              <w:rPr>
                <w:rFonts w:ascii="Arial" w:hAnsi="Arial"/>
                <w:b/>
                <w:color w:val="FFFFFF"/>
                <w:sz w:val="18"/>
              </w:rPr>
              <w:t>2027 Interim Target (tCO2e)</w:t>
            </w:r>
          </w:p>
        </w:tc>
        <w:tc>
          <w:tcPr>
            <w:tcW w:type="dxa" w:w="1505"/>
            <w:shd w:fill="1B3A6B" w:val="clear"/>
          </w:tcPr>
          <w:p>
            <w:r>
              <w:rPr>
                <w:rFonts w:ascii="Arial" w:hAnsi="Arial"/>
                <w:b/>
                <w:color w:val="FFFFFF"/>
                <w:sz w:val="18"/>
              </w:rPr>
              <w:t>2030 Target (tCO2e)</w:t>
            </w:r>
          </w:p>
        </w:tc>
        <w:tc>
          <w:tcPr>
            <w:tcW w:type="dxa" w:w="1505"/>
            <w:shd w:fill="1B3A6B" w:val="clear"/>
          </w:tcPr>
          <w:p>
            <w:r>
              <w:rPr>
                <w:rFonts w:ascii="Arial" w:hAnsi="Arial"/>
                <w:b/>
                <w:color w:val="FFFFFF"/>
                <w:sz w:val="18"/>
              </w:rPr>
              <w:t>Reduction vs Baseline (%)</w:t>
            </w:r>
          </w:p>
        </w:tc>
      </w:tr>
      <w:tr>
        <w:tc>
          <w:tcPr>
            <w:tcW w:type="dxa" w:w="1505"/>
          </w:tcPr>
          <w:p>
            <w:r>
              <w:rPr>
                <w:rFonts w:ascii="Arial" w:hAnsi="Arial"/>
                <w:sz w:val="18"/>
              </w:rPr>
              <w:t>Scope 1 (Natural Gas + Diesel)</w:t>
            </w:r>
          </w:p>
        </w:tc>
        <w:tc>
          <w:tcPr>
            <w:tcW w:type="dxa" w:w="1505"/>
          </w:tcPr>
          <w:p>
            <w:pPr>
              <w:jc w:val="right"/>
            </w:pPr>
            <w:r>
              <w:rPr>
                <w:rFonts w:ascii="Arial" w:hAnsi="Arial"/>
                <w:sz w:val="18"/>
              </w:rPr>
              <w:t>3,324.521</w:t>
            </w:r>
          </w:p>
        </w:tc>
        <w:tc>
          <w:tcPr>
            <w:tcW w:type="dxa" w:w="1505"/>
          </w:tcPr>
          <w:p>
            <w:pPr>
              <w:jc w:val="right"/>
            </w:pPr>
            <w:r>
              <w:rPr>
                <w:rFonts w:ascii="Arial" w:hAnsi="Arial"/>
                <w:sz w:val="18"/>
              </w:rPr>
              <w:t>3,402.997</w:t>
            </w:r>
          </w:p>
        </w:tc>
        <w:tc>
          <w:tcPr>
            <w:tcW w:type="dxa" w:w="1505"/>
          </w:tcPr>
          <w:p>
            <w:pPr>
              <w:jc w:val="right"/>
            </w:pPr>
            <w:r>
              <w:rPr>
                <w:rFonts w:ascii="Arial" w:hAnsi="Arial"/>
                <w:sz w:val="18"/>
              </w:rPr>
              <w:t>2,827</w:t>
            </w:r>
          </w:p>
        </w:tc>
        <w:tc>
          <w:tcPr>
            <w:tcW w:type="dxa" w:w="1505"/>
          </w:tcPr>
          <w:p>
            <w:pPr>
              <w:jc w:val="right"/>
            </w:pPr>
            <w:r>
              <w:rPr>
                <w:rFonts w:ascii="Arial" w:hAnsi="Arial"/>
                <w:sz w:val="18"/>
              </w:rPr>
              <w:t>2,415</w:t>
            </w:r>
          </w:p>
        </w:tc>
        <w:tc>
          <w:tcPr>
            <w:tcW w:type="dxa" w:w="1505"/>
          </w:tcPr>
          <w:p>
            <w:pPr>
              <w:jc w:val="right"/>
            </w:pPr>
            <w:r>
              <w:rPr>
                <w:rFonts w:ascii="Arial" w:hAnsi="Arial"/>
                <w:sz w:val="18"/>
              </w:rPr>
              <w:t>-27.4%</w:t>
            </w:r>
          </w:p>
        </w:tc>
      </w:tr>
      <w:tr>
        <w:tc>
          <w:tcPr>
            <w:tcW w:type="dxa" w:w="1505"/>
            <w:shd w:fill="F2F6FC" w:val="clear"/>
          </w:tcPr>
          <w:p>
            <w:r>
              <w:rPr>
                <w:rFonts w:ascii="Arial" w:hAnsi="Arial"/>
                <w:sz w:val="18"/>
              </w:rPr>
              <w:t>Scope 2 (Market-based)</w:t>
            </w:r>
          </w:p>
        </w:tc>
        <w:tc>
          <w:tcPr>
            <w:tcW w:type="dxa" w:w="1505"/>
            <w:shd w:fill="F2F6FC" w:val="clear"/>
          </w:tcPr>
          <w:p>
            <w:pPr>
              <w:jc w:val="right"/>
            </w:pPr>
            <w:r>
              <w:rPr>
                <w:rFonts w:ascii="Arial" w:hAnsi="Arial"/>
                <w:sz w:val="18"/>
              </w:rPr>
              <w:t>44,598.118</w:t>
            </w:r>
          </w:p>
        </w:tc>
        <w:tc>
          <w:tcPr>
            <w:tcW w:type="dxa" w:w="1505"/>
            <w:shd w:fill="F2F6FC" w:val="clear"/>
          </w:tcPr>
          <w:p>
            <w:pPr>
              <w:jc w:val="right"/>
            </w:pPr>
            <w:r>
              <w:rPr>
                <w:rFonts w:ascii="Arial" w:hAnsi="Arial"/>
                <w:sz w:val="18"/>
              </w:rPr>
              <w:t>44,612.518</w:t>
            </w:r>
          </w:p>
        </w:tc>
        <w:tc>
          <w:tcPr>
            <w:tcW w:type="dxa" w:w="1505"/>
            <w:shd w:fill="F2F6FC" w:val="clear"/>
          </w:tcPr>
          <w:p>
            <w:pPr>
              <w:jc w:val="right"/>
            </w:pPr>
            <w:r>
              <w:rPr>
                <w:rFonts w:ascii="Arial" w:hAnsi="Arial"/>
                <w:sz w:val="18"/>
              </w:rPr>
              <w:t>37,908</w:t>
            </w:r>
          </w:p>
        </w:tc>
        <w:tc>
          <w:tcPr>
            <w:tcW w:type="dxa" w:w="1505"/>
            <w:shd w:fill="F2F6FC" w:val="clear"/>
          </w:tcPr>
          <w:p>
            <w:pPr>
              <w:jc w:val="right"/>
            </w:pPr>
            <w:r>
              <w:rPr>
                <w:rFonts w:ascii="Arial" w:hAnsi="Arial"/>
                <w:sz w:val="18"/>
              </w:rPr>
              <w:t>25,435</w:t>
            </w:r>
          </w:p>
        </w:tc>
        <w:tc>
          <w:tcPr>
            <w:tcW w:type="dxa" w:w="1505"/>
            <w:shd w:fill="F2F6FC" w:val="clear"/>
          </w:tcPr>
          <w:p>
            <w:pPr>
              <w:jc w:val="right"/>
            </w:pPr>
            <w:r>
              <w:rPr>
                <w:rFonts w:ascii="Arial" w:hAnsi="Arial"/>
                <w:sz w:val="18"/>
              </w:rPr>
              <w:t>-43.0%</w:t>
            </w:r>
          </w:p>
        </w:tc>
      </w:tr>
      <w:tr>
        <w:tc>
          <w:tcPr>
            <w:tcW w:type="dxa" w:w="1505"/>
          </w:tcPr>
          <w:p>
            <w:r>
              <w:rPr>
                <w:rFonts w:ascii="Arial" w:hAnsi="Arial"/>
                <w:sz w:val="18"/>
              </w:rPr>
              <w:t>Total Scope 1+2</w:t>
            </w:r>
          </w:p>
        </w:tc>
        <w:tc>
          <w:tcPr>
            <w:tcW w:type="dxa" w:w="1505"/>
          </w:tcPr>
          <w:p>
            <w:pPr>
              <w:jc w:val="right"/>
            </w:pPr>
            <w:r>
              <w:rPr>
                <w:rFonts w:ascii="Arial" w:hAnsi="Arial"/>
                <w:sz w:val="18"/>
              </w:rPr>
              <w:t>47,922.639</w:t>
            </w:r>
          </w:p>
        </w:tc>
        <w:tc>
          <w:tcPr>
            <w:tcW w:type="dxa" w:w="1505"/>
          </w:tcPr>
          <w:p>
            <w:pPr>
              <w:jc w:val="right"/>
            </w:pPr>
            <w:r>
              <w:rPr>
                <w:rFonts w:ascii="Arial" w:hAnsi="Arial"/>
                <w:sz w:val="18"/>
              </w:rPr>
              <w:t>48,015.515</w:t>
            </w:r>
          </w:p>
        </w:tc>
        <w:tc>
          <w:tcPr>
            <w:tcW w:type="dxa" w:w="1505"/>
          </w:tcPr>
          <w:p>
            <w:pPr>
              <w:jc w:val="right"/>
            </w:pPr>
            <w:r>
              <w:rPr>
                <w:rFonts w:ascii="Arial" w:hAnsi="Arial"/>
                <w:sz w:val="18"/>
              </w:rPr>
              <w:t>40,735</w:t>
            </w:r>
          </w:p>
        </w:tc>
        <w:tc>
          <w:tcPr>
            <w:tcW w:type="dxa" w:w="1505"/>
          </w:tcPr>
          <w:p>
            <w:pPr>
              <w:jc w:val="right"/>
            </w:pPr>
            <w:r>
              <w:rPr>
                <w:rFonts w:ascii="Arial" w:hAnsi="Arial"/>
                <w:sz w:val="18"/>
              </w:rPr>
              <w:t>27,850</w:t>
            </w:r>
          </w:p>
        </w:tc>
        <w:tc>
          <w:tcPr>
            <w:tcW w:type="dxa" w:w="1505"/>
          </w:tcPr>
          <w:p>
            <w:pPr>
              <w:jc w:val="right"/>
            </w:pPr>
            <w:r>
              <w:rPr>
                <w:rFonts w:ascii="Arial" w:hAnsi="Arial"/>
                <w:sz w:val="18"/>
              </w:rPr>
              <w:t>-41.9%</w:t>
            </w:r>
          </w:p>
        </w:tc>
      </w:tr>
    </w:tbl>
    <w:p>
      <w:r>
        <w:rPr>
          <w:rFonts w:ascii="Arial" w:hAnsi="Arial"/>
          <w:i/>
          <w:sz w:val="16"/>
        </w:rPr>
        <w:t>Source: Recommended targets aligned with SBTi 1.5°C pathway requiring 42% absolute reduction by 2030 for Scope 1+2. Baseline year 2023 selected per IFRS S2 para 33(e) requirement for base period disclosure.</w:t>
      </w:r>
    </w:p>
    <w:p/>
    <w:p>
      <w:r>
        <w:rPr>
          <w:rFonts w:ascii="Arial" w:hAnsi="Arial"/>
          <w:b/>
          <w:sz w:val="20"/>
        </w:rPr>
        <w:t>Table 3: Recommended Sectoral Intensity Targets — Financed Emissions (Scope 3 Cat 15)</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Sector</w:t>
            </w:r>
          </w:p>
        </w:tc>
        <w:tc>
          <w:tcPr>
            <w:tcW w:type="dxa" w:w="1505"/>
            <w:shd w:fill="1B3A6B" w:val="clear"/>
          </w:tcPr>
          <w:p>
            <w:r>
              <w:rPr>
                <w:rFonts w:ascii="Arial" w:hAnsi="Arial"/>
                <w:b/>
                <w:color w:val="FFFFFF"/>
                <w:sz w:val="18"/>
              </w:rPr>
              <w:t>2024 Baseline Intensity (tCO2e/IDR bn)</w:t>
            </w:r>
          </w:p>
        </w:tc>
        <w:tc>
          <w:tcPr>
            <w:tcW w:type="dxa" w:w="1505"/>
            <w:shd w:fill="1B3A6B" w:val="clear"/>
          </w:tcPr>
          <w:p>
            <w:r>
              <w:rPr>
                <w:rFonts w:ascii="Arial" w:hAnsi="Arial"/>
                <w:b/>
                <w:color w:val="FFFFFF"/>
                <w:sz w:val="18"/>
              </w:rPr>
              <w:t>2024 Financed Emissions (tCO2e weighted)</w:t>
            </w:r>
          </w:p>
        </w:tc>
        <w:tc>
          <w:tcPr>
            <w:tcW w:type="dxa" w:w="1505"/>
            <w:shd w:fill="1B3A6B" w:val="clear"/>
          </w:tcPr>
          <w:p>
            <w:r>
              <w:rPr>
                <w:rFonts w:ascii="Arial" w:hAnsi="Arial"/>
                <w:b/>
                <w:color w:val="FFFFFF"/>
                <w:sz w:val="18"/>
              </w:rPr>
              <w:t>2030 Target Intensity (tCO2e/IDR bn)</w:t>
            </w:r>
          </w:p>
        </w:tc>
        <w:tc>
          <w:tcPr>
            <w:tcW w:type="dxa" w:w="1505"/>
            <w:shd w:fill="1B3A6B" w:val="clear"/>
          </w:tcPr>
          <w:p>
            <w:r>
              <w:rPr>
                <w:rFonts w:ascii="Arial" w:hAnsi="Arial"/>
                <w:b/>
                <w:color w:val="FFFFFF"/>
                <w:sz w:val="18"/>
              </w:rPr>
              <w:t>Reduction (%)</w:t>
            </w:r>
          </w:p>
        </w:tc>
        <w:tc>
          <w:tcPr>
            <w:tcW w:type="dxa" w:w="1505"/>
            <w:shd w:fill="1B3A6B" w:val="clear"/>
          </w:tcPr>
          <w:p>
            <w:r>
              <w:rPr>
                <w:rFonts w:ascii="Arial" w:hAnsi="Arial"/>
                <w:b/>
                <w:color w:val="FFFFFF"/>
                <w:sz w:val="18"/>
              </w:rPr>
              <w:t>Primary Decarbonization Lever</w:t>
            </w:r>
          </w:p>
        </w:tc>
      </w:tr>
      <w:tr>
        <w:tc>
          <w:tcPr>
            <w:tcW w:type="dxa" w:w="1505"/>
          </w:tcPr>
          <w:p>
            <w:r>
              <w:rPr>
                <w:rFonts w:ascii="Arial" w:hAnsi="Arial"/>
                <w:sz w:val="18"/>
              </w:rPr>
              <w:t>Energy - Oil &amp; Gas</w:t>
            </w:r>
          </w:p>
        </w:tc>
        <w:tc>
          <w:tcPr>
            <w:tcW w:type="dxa" w:w="1505"/>
          </w:tcPr>
          <w:p>
            <w:pPr>
              <w:jc w:val="right"/>
            </w:pPr>
            <w:r>
              <w:rPr>
                <w:rFonts w:ascii="Arial" w:hAnsi="Arial"/>
                <w:sz w:val="18"/>
              </w:rPr>
              <w:t>93.242</w:t>
            </w:r>
          </w:p>
        </w:tc>
        <w:tc>
          <w:tcPr>
            <w:tcW w:type="dxa" w:w="1505"/>
          </w:tcPr>
          <w:p>
            <w:pPr>
              <w:jc w:val="right"/>
            </w:pPr>
            <w:r>
              <w:rPr>
                <w:rFonts w:ascii="Arial" w:hAnsi="Arial"/>
                <w:sz w:val="18"/>
              </w:rPr>
              <w:t>6,753,948.71</w:t>
            </w:r>
          </w:p>
        </w:tc>
        <w:tc>
          <w:tcPr>
            <w:tcW w:type="dxa" w:w="1505"/>
          </w:tcPr>
          <w:p>
            <w:pPr>
              <w:jc w:val="right"/>
            </w:pPr>
            <w:r>
              <w:rPr>
                <w:rFonts w:ascii="Arial" w:hAnsi="Arial"/>
                <w:sz w:val="18"/>
              </w:rPr>
              <w:t>69.93</w:t>
            </w:r>
          </w:p>
        </w:tc>
        <w:tc>
          <w:tcPr>
            <w:tcW w:type="dxa" w:w="1505"/>
          </w:tcPr>
          <w:p>
            <w:pPr>
              <w:jc w:val="right"/>
            </w:pPr>
            <w:r>
              <w:rPr>
                <w:rFonts w:ascii="Arial" w:hAnsi="Arial"/>
                <w:sz w:val="18"/>
              </w:rPr>
              <w:t>-25%</w:t>
            </w:r>
          </w:p>
        </w:tc>
        <w:tc>
          <w:tcPr>
            <w:tcW w:type="dxa" w:w="1505"/>
          </w:tcPr>
          <w:p>
            <w:r>
              <w:rPr>
                <w:rFonts w:ascii="Arial" w:hAnsi="Arial"/>
                <w:sz w:val="18"/>
              </w:rPr>
              <w:t>Sectoral credit policy + client engagement for renewable transition</w:t>
            </w:r>
          </w:p>
        </w:tc>
      </w:tr>
      <w:tr>
        <w:tc>
          <w:tcPr>
            <w:tcW w:type="dxa" w:w="1505"/>
            <w:shd w:fill="F2F6FC" w:val="clear"/>
          </w:tcPr>
          <w:p>
            <w:r>
              <w:rPr>
                <w:rFonts w:ascii="Arial" w:hAnsi="Arial"/>
                <w:sz w:val="18"/>
              </w:rPr>
              <w:t>Manufacturing - Cement</w:t>
            </w:r>
          </w:p>
        </w:tc>
        <w:tc>
          <w:tcPr>
            <w:tcW w:type="dxa" w:w="1505"/>
            <w:shd w:fill="F2F6FC" w:val="clear"/>
          </w:tcPr>
          <w:p>
            <w:pPr>
              <w:jc w:val="right"/>
            </w:pPr>
            <w:r>
              <w:rPr>
                <w:rFonts w:ascii="Arial" w:hAnsi="Arial"/>
                <w:sz w:val="18"/>
              </w:rPr>
              <w:t>53.9927</w:t>
            </w:r>
          </w:p>
        </w:tc>
        <w:tc>
          <w:tcPr>
            <w:tcW w:type="dxa" w:w="1505"/>
            <w:shd w:fill="F2F6FC" w:val="clear"/>
          </w:tcPr>
          <w:p>
            <w:pPr>
              <w:jc w:val="right"/>
            </w:pPr>
            <w:r>
              <w:rPr>
                <w:rFonts w:ascii="Arial" w:hAnsi="Arial"/>
                <w:sz w:val="18"/>
              </w:rPr>
              <w:t>4,168,058.43</w:t>
            </w:r>
          </w:p>
        </w:tc>
        <w:tc>
          <w:tcPr>
            <w:tcW w:type="dxa" w:w="1505"/>
            <w:shd w:fill="F2F6FC" w:val="clear"/>
          </w:tcPr>
          <w:p>
            <w:pPr>
              <w:jc w:val="right"/>
            </w:pPr>
            <w:r>
              <w:rPr>
                <w:rFonts w:ascii="Arial" w:hAnsi="Arial"/>
                <w:sz w:val="18"/>
              </w:rPr>
              <w:t>40.49</w:t>
            </w:r>
          </w:p>
        </w:tc>
        <w:tc>
          <w:tcPr>
            <w:tcW w:type="dxa" w:w="1505"/>
            <w:shd w:fill="F2F6FC" w:val="clear"/>
          </w:tcPr>
          <w:p>
            <w:pPr>
              <w:jc w:val="right"/>
            </w:pPr>
            <w:r>
              <w:rPr>
                <w:rFonts w:ascii="Arial" w:hAnsi="Arial"/>
                <w:sz w:val="18"/>
              </w:rPr>
              <w:t>-25%</w:t>
            </w:r>
          </w:p>
        </w:tc>
        <w:tc>
          <w:tcPr>
            <w:tcW w:type="dxa" w:w="1505"/>
            <w:shd w:fill="F2F6FC" w:val="clear"/>
          </w:tcPr>
          <w:p>
            <w:r>
              <w:rPr>
                <w:rFonts w:ascii="Arial" w:hAnsi="Arial"/>
                <w:sz w:val="18"/>
              </w:rPr>
              <w:t>Transition finance for alternative fuels + carbon capture technology</w:t>
            </w:r>
          </w:p>
        </w:tc>
      </w:tr>
      <w:tr>
        <w:tc>
          <w:tcPr>
            <w:tcW w:type="dxa" w:w="1505"/>
          </w:tcPr>
          <w:p>
            <w:r>
              <w:rPr>
                <w:rFonts w:ascii="Arial" w:hAnsi="Arial"/>
                <w:sz w:val="18"/>
              </w:rPr>
              <w:t>Manufacturing - Steel</w:t>
            </w:r>
          </w:p>
        </w:tc>
        <w:tc>
          <w:tcPr>
            <w:tcW w:type="dxa" w:w="1505"/>
          </w:tcPr>
          <w:p>
            <w:pPr>
              <w:jc w:val="right"/>
            </w:pPr>
            <w:r>
              <w:rPr>
                <w:rFonts w:ascii="Arial" w:hAnsi="Arial"/>
                <w:sz w:val="18"/>
              </w:rPr>
              <w:t>32.2175</w:t>
            </w:r>
          </w:p>
        </w:tc>
        <w:tc>
          <w:tcPr>
            <w:tcW w:type="dxa" w:w="1505"/>
          </w:tcPr>
          <w:p>
            <w:pPr>
              <w:jc w:val="right"/>
            </w:pPr>
            <w:r>
              <w:rPr>
                <w:rFonts w:ascii="Arial" w:hAnsi="Arial"/>
                <w:sz w:val="18"/>
              </w:rPr>
              <w:t>2,228,739.65</w:t>
            </w:r>
          </w:p>
        </w:tc>
        <w:tc>
          <w:tcPr>
            <w:tcW w:type="dxa" w:w="1505"/>
          </w:tcPr>
          <w:p>
            <w:pPr>
              <w:jc w:val="right"/>
            </w:pPr>
            <w:r>
              <w:rPr>
                <w:rFonts w:ascii="Arial" w:hAnsi="Arial"/>
                <w:sz w:val="18"/>
              </w:rPr>
              <w:t>24.16</w:t>
            </w:r>
          </w:p>
        </w:tc>
        <w:tc>
          <w:tcPr>
            <w:tcW w:type="dxa" w:w="1505"/>
          </w:tcPr>
          <w:p>
            <w:pPr>
              <w:jc w:val="right"/>
            </w:pPr>
            <w:r>
              <w:rPr>
                <w:rFonts w:ascii="Arial" w:hAnsi="Arial"/>
                <w:sz w:val="18"/>
              </w:rPr>
              <w:t>-25%</w:t>
            </w:r>
          </w:p>
        </w:tc>
        <w:tc>
          <w:tcPr>
            <w:tcW w:type="dxa" w:w="1505"/>
          </w:tcPr>
          <w:p>
            <w:r>
              <w:rPr>
                <w:rFonts w:ascii="Arial" w:hAnsi="Arial"/>
                <w:sz w:val="18"/>
              </w:rPr>
              <w:t>Client engagement for electric arc furnace adoption + scrap steel use</w:t>
            </w:r>
          </w:p>
        </w:tc>
      </w:tr>
      <w:tr>
        <w:tc>
          <w:tcPr>
            <w:tcW w:type="dxa" w:w="1505"/>
            <w:shd w:fill="F2F6FC" w:val="clear"/>
          </w:tcPr>
          <w:p>
            <w:r>
              <w:rPr>
                <w:rFonts w:ascii="Arial" w:hAnsi="Arial"/>
                <w:sz w:val="18"/>
              </w:rPr>
              <w:t>Portfolio-wide (all sectors)</w:t>
            </w:r>
          </w:p>
        </w:tc>
        <w:tc>
          <w:tcPr>
            <w:tcW w:type="dxa" w:w="1505"/>
            <w:shd w:fill="F2F6FC" w:val="clear"/>
          </w:tcPr>
          <w:p>
            <w:pPr>
              <w:jc w:val="right"/>
            </w:pPr>
            <w:r>
              <w:rPr>
                <w:rFonts w:ascii="Arial" w:hAnsi="Arial"/>
                <w:sz w:val="18"/>
              </w:rPr>
              <w:t>239.400139</w:t>
            </w:r>
          </w:p>
        </w:tc>
        <w:tc>
          <w:tcPr>
            <w:tcW w:type="dxa" w:w="1505"/>
            <w:shd w:fill="F2F6FC" w:val="clear"/>
          </w:tcPr>
          <w:p>
            <w:pPr>
              <w:jc w:val="right"/>
            </w:pPr>
            <w:r>
              <w:rPr>
                <w:rFonts w:ascii="Arial" w:hAnsi="Arial"/>
                <w:sz w:val="18"/>
              </w:rPr>
              <w:t>15,280,174.14</w:t>
            </w:r>
          </w:p>
        </w:tc>
        <w:tc>
          <w:tcPr>
            <w:tcW w:type="dxa" w:w="1505"/>
            <w:shd w:fill="F2F6FC" w:val="clear"/>
          </w:tcPr>
          <w:p>
            <w:pPr>
              <w:jc w:val="right"/>
            </w:pPr>
            <w:r>
              <w:rPr>
                <w:rFonts w:ascii="Arial" w:hAnsi="Arial"/>
                <w:sz w:val="18"/>
              </w:rPr>
              <w:t>191.52</w:t>
            </w:r>
          </w:p>
        </w:tc>
        <w:tc>
          <w:tcPr>
            <w:tcW w:type="dxa" w:w="1505"/>
            <w:shd w:fill="F2F6FC" w:val="clear"/>
          </w:tcPr>
          <w:p>
            <w:pPr>
              <w:jc w:val="right"/>
            </w:pPr>
            <w:r>
              <w:rPr>
                <w:rFonts w:ascii="Arial" w:hAnsi="Arial"/>
                <w:sz w:val="18"/>
              </w:rPr>
              <w:t>-20%</w:t>
            </w:r>
          </w:p>
        </w:tc>
        <w:tc>
          <w:tcPr>
            <w:tcW w:type="dxa" w:w="1505"/>
            <w:shd w:fill="F2F6FC" w:val="clear"/>
          </w:tcPr>
          <w:p>
            <w:r>
              <w:rPr>
                <w:rFonts w:ascii="Arial" w:hAnsi="Arial"/>
                <w:sz w:val="18"/>
              </w:rPr>
              <w:t>Portfolio reallocation + enhanced ESRM screening</w:t>
            </w:r>
          </w:p>
        </w:tc>
      </w:tr>
    </w:tbl>
    <w:p>
      <w:r>
        <w:rPr>
          <w:rFonts w:ascii="Arial" w:hAnsi="Arial"/>
          <w:i/>
          <w:sz w:val="16"/>
        </w:rPr>
        <w:t>Source: Sectoral targets based on 2024 baseline data. 25% intensity reduction for top 3 emitting sectors aligns with SBTi Sectoral Decarbonization Approach (SDA) for 1.5°C pathway. Portfolio-wide target reflects weighted average across all 10 sectors.</w:t>
      </w:r>
    </w:p>
    <w:p/>
    <w:p>
      <w:r>
        <w:rPr>
          <w:rFonts w:ascii="Arial" w:hAnsi="Arial"/>
          <w:b/>
          <w:sz w:val="20"/>
        </w:rPr>
        <w:t>Table 4: Decarbonization Initiatives — Operational Emissions Reduction Roadmap</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Initiative</w:t>
            </w:r>
          </w:p>
        </w:tc>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Implementation Timeline</w:t>
            </w:r>
          </w:p>
        </w:tc>
        <w:tc>
          <w:tcPr>
            <w:tcW w:type="dxa" w:w="1505"/>
            <w:shd w:fill="1B3A6B" w:val="clear"/>
          </w:tcPr>
          <w:p>
            <w:r>
              <w:rPr>
                <w:rFonts w:ascii="Arial" w:hAnsi="Arial"/>
                <w:b/>
                <w:color w:val="FFFFFF"/>
                <w:sz w:val="18"/>
              </w:rPr>
              <w:t>Expected Reduction (tCO2e/year)</w:t>
            </w:r>
          </w:p>
        </w:tc>
        <w:tc>
          <w:tcPr>
            <w:tcW w:type="dxa" w:w="1505"/>
            <w:shd w:fill="1B3A6B" w:val="clear"/>
          </w:tcPr>
          <w:p>
            <w:r>
              <w:rPr>
                <w:rFonts w:ascii="Arial" w:hAnsi="Arial"/>
                <w:b/>
                <w:color w:val="FFFFFF"/>
                <w:sz w:val="18"/>
              </w:rPr>
              <w:t>Capital Investment Required</w:t>
            </w:r>
          </w:p>
        </w:tc>
        <w:tc>
          <w:tcPr>
            <w:tcW w:type="dxa" w:w="1505"/>
            <w:shd w:fill="1B3A6B" w:val="clear"/>
          </w:tcPr>
          <w:p>
            <w:r>
              <w:rPr>
                <w:rFonts w:ascii="Arial" w:hAnsi="Arial"/>
                <w:b/>
                <w:color w:val="FFFFFF"/>
                <w:sz w:val="18"/>
              </w:rPr>
              <w:t>Peer Reference</w:t>
            </w:r>
          </w:p>
        </w:tc>
      </w:tr>
      <w:tr>
        <w:tc>
          <w:tcPr>
            <w:tcW w:type="dxa" w:w="1505"/>
          </w:tcPr>
          <w:p>
            <w:r>
              <w:rPr>
                <w:rFonts w:ascii="Arial" w:hAnsi="Arial"/>
                <w:sz w:val="18"/>
              </w:rPr>
              <w:t>Solar panel installation at 50 branches</w:t>
            </w:r>
          </w:p>
        </w:tc>
        <w:tc>
          <w:tcPr>
            <w:tcW w:type="dxa" w:w="1505"/>
          </w:tcPr>
          <w:p>
            <w:r>
              <w:rPr>
                <w:rFonts w:ascii="Arial" w:hAnsi="Arial"/>
                <w:sz w:val="18"/>
              </w:rPr>
              <w:t>Scope 2</w:t>
            </w:r>
          </w:p>
        </w:tc>
        <w:tc>
          <w:tcPr>
            <w:tcW w:type="dxa" w:w="1505"/>
          </w:tcPr>
          <w:p>
            <w:r>
              <w:rPr>
                <w:rFonts w:ascii="Arial" w:hAnsi="Arial"/>
                <w:sz w:val="18"/>
              </w:rPr>
              <w:t>2025-2027</w:t>
            </w:r>
          </w:p>
        </w:tc>
        <w:tc>
          <w:tcPr>
            <w:tcW w:type="dxa" w:w="1505"/>
          </w:tcPr>
          <w:p>
            <w:pPr>
              <w:jc w:val="right"/>
            </w:pPr>
            <w:r>
              <w:rPr>
                <w:rFonts w:ascii="Arial" w:hAnsi="Arial"/>
                <w:sz w:val="18"/>
              </w:rPr>
              <w:t>8,900</w:t>
            </w:r>
          </w:p>
        </w:tc>
        <w:tc>
          <w:tcPr>
            <w:tcW w:type="dxa" w:w="1505"/>
          </w:tcPr>
          <w:p>
            <w:r>
              <w:rPr>
                <w:rFonts w:ascii="Arial" w:hAnsi="Arial"/>
                <w:sz w:val="18"/>
              </w:rPr>
              <w:t>IDR 75 billion</w:t>
            </w:r>
          </w:p>
        </w:tc>
        <w:tc>
          <w:tcPr>
            <w:tcW w:type="dxa" w:w="1505"/>
          </w:tcPr>
          <w:p>
            <w:r>
              <w:rPr>
                <w:rFonts w:ascii="Arial" w:hAnsi="Arial"/>
                <w:sz w:val="18"/>
              </w:rPr>
              <w:t>BRI Green Network program</w:t>
            </w:r>
          </w:p>
        </w:tc>
      </w:tr>
      <w:tr>
        <w:tc>
          <w:tcPr>
            <w:tcW w:type="dxa" w:w="1505"/>
            <w:shd w:fill="F2F6FC" w:val="clear"/>
          </w:tcPr>
          <w:p>
            <w:r>
              <w:rPr>
                <w:rFonts w:ascii="Arial" w:hAnsi="Arial"/>
                <w:sz w:val="18"/>
              </w:rPr>
              <w:t>Renewable energy PPA (25% of consumption)</w:t>
            </w:r>
          </w:p>
        </w:tc>
        <w:tc>
          <w:tcPr>
            <w:tcW w:type="dxa" w:w="1505"/>
            <w:shd w:fill="F2F6FC" w:val="clear"/>
          </w:tcPr>
          <w:p>
            <w:r>
              <w:rPr>
                <w:rFonts w:ascii="Arial" w:hAnsi="Arial"/>
                <w:sz w:val="18"/>
              </w:rPr>
              <w:t>Scope 2</w:t>
            </w:r>
          </w:p>
        </w:tc>
        <w:tc>
          <w:tcPr>
            <w:tcW w:type="dxa" w:w="1505"/>
            <w:shd w:fill="F2F6FC" w:val="clear"/>
          </w:tcPr>
          <w:p>
            <w:r>
              <w:rPr>
                <w:rFonts w:ascii="Arial" w:hAnsi="Arial"/>
                <w:sz w:val="18"/>
              </w:rPr>
              <w:t>2026-2027</w:t>
            </w:r>
          </w:p>
        </w:tc>
        <w:tc>
          <w:tcPr>
            <w:tcW w:type="dxa" w:w="1505"/>
            <w:shd w:fill="F2F6FC" w:val="clear"/>
          </w:tcPr>
          <w:p>
            <w:pPr>
              <w:jc w:val="right"/>
            </w:pPr>
            <w:r>
              <w:rPr>
                <w:rFonts w:ascii="Arial" w:hAnsi="Arial"/>
                <w:sz w:val="18"/>
              </w:rPr>
              <w:t>11,150</w:t>
            </w:r>
          </w:p>
        </w:tc>
        <w:tc>
          <w:tcPr>
            <w:tcW w:type="dxa" w:w="1505"/>
            <w:shd w:fill="F2F6FC" w:val="clear"/>
          </w:tcPr>
          <w:p>
            <w:r>
              <w:rPr>
                <w:rFonts w:ascii="Arial" w:hAnsi="Arial"/>
                <w:sz w:val="18"/>
              </w:rPr>
              <w:t>IDR 0 (operational cost shift)</w:t>
            </w:r>
          </w:p>
        </w:tc>
        <w:tc>
          <w:tcPr>
            <w:tcW w:type="dxa" w:w="1505"/>
            <w:shd w:fill="F2F6FC" w:val="clear"/>
          </w:tcPr>
          <w:p>
            <w:r>
              <w:rPr>
                <w:rFonts w:ascii="Arial" w:hAnsi="Arial"/>
                <w:sz w:val="18"/>
              </w:rPr>
              <w:t>DBS 62% renewable achievement</w:t>
            </w:r>
          </w:p>
        </w:tc>
      </w:tr>
      <w:tr>
        <w:tc>
          <w:tcPr>
            <w:tcW w:type="dxa" w:w="1505"/>
          </w:tcPr>
          <w:p>
            <w:r>
              <w:rPr>
                <w:rFonts w:ascii="Arial" w:hAnsi="Arial"/>
                <w:sz w:val="18"/>
              </w:rPr>
              <w:t>LED retrofit + HVAC optimization (all facilities)</w:t>
            </w:r>
          </w:p>
        </w:tc>
        <w:tc>
          <w:tcPr>
            <w:tcW w:type="dxa" w:w="1505"/>
          </w:tcPr>
          <w:p>
            <w:r>
              <w:rPr>
                <w:rFonts w:ascii="Arial" w:hAnsi="Arial"/>
                <w:sz w:val="18"/>
              </w:rPr>
              <w:t>Scope 2</w:t>
            </w:r>
          </w:p>
        </w:tc>
        <w:tc>
          <w:tcPr>
            <w:tcW w:type="dxa" w:w="1505"/>
          </w:tcPr>
          <w:p>
            <w:r>
              <w:rPr>
                <w:rFonts w:ascii="Arial" w:hAnsi="Arial"/>
                <w:sz w:val="18"/>
              </w:rPr>
              <w:t>2025-2026</w:t>
            </w:r>
          </w:p>
        </w:tc>
        <w:tc>
          <w:tcPr>
            <w:tcW w:type="dxa" w:w="1505"/>
          </w:tcPr>
          <w:p>
            <w:pPr>
              <w:jc w:val="right"/>
            </w:pPr>
            <w:r>
              <w:rPr>
                <w:rFonts w:ascii="Arial" w:hAnsi="Arial"/>
                <w:sz w:val="18"/>
              </w:rPr>
              <w:t>6,700</w:t>
            </w:r>
          </w:p>
        </w:tc>
        <w:tc>
          <w:tcPr>
            <w:tcW w:type="dxa" w:w="1505"/>
          </w:tcPr>
          <w:p>
            <w:r>
              <w:rPr>
                <w:rFonts w:ascii="Arial" w:hAnsi="Arial"/>
                <w:sz w:val="18"/>
              </w:rPr>
              <w:t>IDR 45 billion</w:t>
            </w:r>
          </w:p>
        </w:tc>
        <w:tc>
          <w:tcPr>
            <w:tcW w:type="dxa" w:w="1505"/>
          </w:tcPr>
          <w:p>
            <w:r>
              <w:rPr>
                <w:rFonts w:ascii="Arial" w:hAnsi="Arial"/>
                <w:sz w:val="18"/>
              </w:rPr>
              <w:t>BRI Kaseya program (19.49% savings)</w:t>
            </w:r>
          </w:p>
        </w:tc>
      </w:tr>
      <w:tr>
        <w:tc>
          <w:tcPr>
            <w:tcW w:type="dxa" w:w="1505"/>
            <w:shd w:fill="F2F6FC" w:val="clear"/>
          </w:tcPr>
          <w:p>
            <w:r>
              <w:rPr>
                <w:rFonts w:ascii="Arial" w:hAnsi="Arial"/>
                <w:sz w:val="18"/>
              </w:rPr>
              <w:t>Fleet electrification (30% of vehicles)</w:t>
            </w:r>
          </w:p>
        </w:tc>
        <w:tc>
          <w:tcPr>
            <w:tcW w:type="dxa" w:w="1505"/>
            <w:shd w:fill="F2F6FC" w:val="clear"/>
          </w:tcPr>
          <w:p>
            <w:r>
              <w:rPr>
                <w:rFonts w:ascii="Arial" w:hAnsi="Arial"/>
                <w:sz w:val="18"/>
              </w:rPr>
              <w:t>Scope 1</w:t>
            </w:r>
          </w:p>
        </w:tc>
        <w:tc>
          <w:tcPr>
            <w:tcW w:type="dxa" w:w="1505"/>
            <w:shd w:fill="F2F6FC" w:val="clear"/>
          </w:tcPr>
          <w:p>
            <w:r>
              <w:rPr>
                <w:rFonts w:ascii="Arial" w:hAnsi="Arial"/>
                <w:sz w:val="18"/>
              </w:rPr>
              <w:t>2026-2030</w:t>
            </w:r>
          </w:p>
        </w:tc>
        <w:tc>
          <w:tcPr>
            <w:tcW w:type="dxa" w:w="1505"/>
            <w:shd w:fill="F2F6FC" w:val="clear"/>
          </w:tcPr>
          <w:p>
            <w:pPr>
              <w:jc w:val="right"/>
            </w:pPr>
            <w:r>
              <w:rPr>
                <w:rFonts w:ascii="Arial" w:hAnsi="Arial"/>
                <w:sz w:val="18"/>
              </w:rPr>
              <w:t>660</w:t>
            </w:r>
          </w:p>
        </w:tc>
        <w:tc>
          <w:tcPr>
            <w:tcW w:type="dxa" w:w="1505"/>
            <w:shd w:fill="F2F6FC" w:val="clear"/>
          </w:tcPr>
          <w:p>
            <w:r>
              <w:rPr>
                <w:rFonts w:ascii="Arial" w:hAnsi="Arial"/>
                <w:sz w:val="18"/>
              </w:rPr>
              <w:t>IDR 120 billion</w:t>
            </w:r>
          </w:p>
        </w:tc>
        <w:tc>
          <w:tcPr>
            <w:tcW w:type="dxa" w:w="1505"/>
            <w:shd w:fill="F2F6FC" w:val="clear"/>
          </w:tcPr>
          <w:p>
            <w:r>
              <w:rPr>
                <w:rFonts w:ascii="Arial" w:hAnsi="Arial"/>
                <w:sz w:val="18"/>
              </w:rPr>
              <w:t>BRI 118 EV cars + 150 e-motorcycles</w:t>
            </w:r>
          </w:p>
        </w:tc>
      </w:tr>
      <w:tr>
        <w:tc>
          <w:tcPr>
            <w:tcW w:type="dxa" w:w="1505"/>
          </w:tcPr>
          <w:p>
            <w:r>
              <w:rPr>
                <w:rFonts w:ascii="Arial" w:hAnsi="Arial"/>
                <w:sz w:val="18"/>
              </w:rPr>
              <w:t>Biodiesel B35+ for backup generators</w:t>
            </w:r>
          </w:p>
        </w:tc>
        <w:tc>
          <w:tcPr>
            <w:tcW w:type="dxa" w:w="1505"/>
          </w:tcPr>
          <w:p>
            <w:r>
              <w:rPr>
                <w:rFonts w:ascii="Arial" w:hAnsi="Arial"/>
                <w:sz w:val="18"/>
              </w:rPr>
              <w:t>Scope 1</w:t>
            </w:r>
          </w:p>
        </w:tc>
        <w:tc>
          <w:tcPr>
            <w:tcW w:type="dxa" w:w="1505"/>
          </w:tcPr>
          <w:p>
            <w:r>
              <w:rPr>
                <w:rFonts w:ascii="Arial" w:hAnsi="Arial"/>
                <w:sz w:val="18"/>
              </w:rPr>
              <w:t>2025-2026</w:t>
            </w:r>
          </w:p>
        </w:tc>
        <w:tc>
          <w:tcPr>
            <w:tcW w:type="dxa" w:w="1505"/>
          </w:tcPr>
          <w:p>
            <w:pPr>
              <w:jc w:val="right"/>
            </w:pPr>
            <w:r>
              <w:rPr>
                <w:rFonts w:ascii="Arial" w:hAnsi="Arial"/>
                <w:sz w:val="18"/>
              </w:rPr>
              <w:t>440</w:t>
            </w:r>
          </w:p>
        </w:tc>
        <w:tc>
          <w:tcPr>
            <w:tcW w:type="dxa" w:w="1505"/>
          </w:tcPr>
          <w:p>
            <w:r>
              <w:rPr>
                <w:rFonts w:ascii="Arial" w:hAnsi="Arial"/>
                <w:sz w:val="18"/>
              </w:rPr>
              <w:t>IDR 5 billion (fuel premium)</w:t>
            </w:r>
          </w:p>
        </w:tc>
        <w:tc>
          <w:tcPr>
            <w:tcW w:type="dxa" w:w="1505"/>
          </w:tcPr>
          <w:p>
            <w:r>
              <w:rPr>
                <w:rFonts w:ascii="Arial" w:hAnsi="Arial"/>
                <w:sz w:val="18"/>
              </w:rPr>
              <w:t>Indonesian government B35 mandate</w:t>
            </w:r>
          </w:p>
        </w:tc>
      </w:tr>
      <w:tr>
        <w:tc>
          <w:tcPr>
            <w:tcW w:type="dxa" w:w="1505"/>
            <w:shd w:fill="F2F6FC" w:val="clear"/>
          </w:tcPr>
          <w:p>
            <w:r>
              <w:rPr>
                <w:rFonts w:ascii="Arial" w:hAnsi="Arial"/>
                <w:sz w:val="18"/>
              </w:rPr>
              <w:t>Green building certification (10 facilities)</w:t>
            </w:r>
          </w:p>
        </w:tc>
        <w:tc>
          <w:tcPr>
            <w:tcW w:type="dxa" w:w="1505"/>
            <w:shd w:fill="F2F6FC" w:val="clear"/>
          </w:tcPr>
          <w:p>
            <w:r>
              <w:rPr>
                <w:rFonts w:ascii="Arial" w:hAnsi="Arial"/>
                <w:sz w:val="18"/>
              </w:rPr>
              <w:t>Scope 1+2</w:t>
            </w:r>
          </w:p>
        </w:tc>
        <w:tc>
          <w:tcPr>
            <w:tcW w:type="dxa" w:w="1505"/>
            <w:shd w:fill="F2F6FC" w:val="clear"/>
          </w:tcPr>
          <w:p>
            <w:r>
              <w:rPr>
                <w:rFonts w:ascii="Arial" w:hAnsi="Arial"/>
                <w:sz w:val="18"/>
              </w:rPr>
              <w:t>2025-2028</w:t>
            </w:r>
          </w:p>
        </w:tc>
        <w:tc>
          <w:tcPr>
            <w:tcW w:type="dxa" w:w="1505"/>
            <w:shd w:fill="F2F6FC" w:val="clear"/>
          </w:tcPr>
          <w:p>
            <w:pPr>
              <w:jc w:val="right"/>
            </w:pPr>
            <w:r>
              <w:rPr>
                <w:rFonts w:ascii="Arial" w:hAnsi="Arial"/>
                <w:sz w:val="18"/>
              </w:rPr>
              <w:t>1,200</w:t>
            </w:r>
          </w:p>
        </w:tc>
        <w:tc>
          <w:tcPr>
            <w:tcW w:type="dxa" w:w="1505"/>
            <w:shd w:fill="F2F6FC" w:val="clear"/>
          </w:tcPr>
          <w:p>
            <w:r>
              <w:rPr>
                <w:rFonts w:ascii="Arial" w:hAnsi="Arial"/>
                <w:sz w:val="18"/>
              </w:rPr>
              <w:t>IDR 30 billion</w:t>
            </w:r>
          </w:p>
        </w:tc>
        <w:tc>
          <w:tcPr>
            <w:tcW w:type="dxa" w:w="1505"/>
            <w:shd w:fill="F2F6FC" w:val="clear"/>
          </w:tcPr>
          <w:p>
            <w:r>
              <w:rPr>
                <w:rFonts w:ascii="Arial" w:hAnsi="Arial"/>
                <w:sz w:val="18"/>
              </w:rPr>
              <w:t>BRI Gold GBCI certification</w:t>
            </w:r>
          </w:p>
        </w:tc>
      </w:tr>
    </w:tbl>
    <w:p>
      <w:r>
        <w:rPr>
          <w:rFonts w:ascii="Arial" w:hAnsi="Arial"/>
          <w:i/>
          <w:sz w:val="16"/>
        </w:rPr>
        <w:t>Source: Expected reductions calculated using facility-level energy consumption data and emission factors from 2024 baseline. Capital investment estimates based on 2024 market rates for renewable energy and efficiency technologies in Indonesia.</w:t>
      </w:r>
    </w:p>
    <w:p/>
    <w:p>
      <w:r>
        <w:rPr>
          <w:i/>
          <w:color w:val="3D6094"/>
          <w:sz w:val="18"/>
        </w:rPr>
        <w:t>Framework references: IFRS S2 Para 33: Climate-related targets disclosure requirements; IFRS S2 Para 34: Approach to setting and reviewing targets; IFRS S2 Para 35: Information about performance against targets; IFRS S2 Para 36: Target revisions and reasons; IFRS S2 Para 37: Metrics used to set targets; IFRS S2 Para B66–B67: Characteristics of climate-related targets (absolute vs intensity); IFRS S2 Para B72: Planned use of carbon credits; IFRS S2 Para 29: Cross-industry metrics including GHG emissions; IFRS S2 Para 15–21: Climate-related scenario analysis requirements; SBTi Financial Sector Science-Based Targets Guidance (Version 1.1, April 2022); GHG Protocol Corporate Value Chain (Scope 3) Accounting and Reporting Standard; PCAF Global GHG Accounting and Reporting Standard for the Financial Industry (2022)</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Target recommendations are based on Science Based Targets initiative (SBTi) methodology for financial institutions, requiring 42% absolute reduction in Scope 1+2 emissions by 2030 versus a near-term baseline to align with a 1.5°C pathway.</w:t>
      </w:r>
    </w:p>
    <w:p>
      <w:pPr>
        <w:spacing w:after="160" w:line="276" w:lineRule="auto"/>
        <w:jc w:val="both"/>
      </w:pPr>
      <w:r>
        <w:rPr>
          <w:rFonts w:ascii="Arial" w:hAnsi="Arial"/>
          <w:i/>
          <w:color w:val="646464"/>
          <w:sz w:val="18"/>
        </w:rPr>
        <w:t>Financed emissions targets follow the SBTi Sectoral Decarbonization Approach (SDA), which establishes sector-specific intensity reduction pathways aligned with climate science.</w:t>
      </w:r>
    </w:p>
    <w:p>
      <w:pPr>
        <w:spacing w:after="160" w:line="276" w:lineRule="auto"/>
        <w:jc w:val="both"/>
      </w:pPr>
      <w:r>
        <w:rPr>
          <w:rFonts w:ascii="Arial" w:hAnsi="Arial"/>
          <w:i/>
          <w:color w:val="646464"/>
          <w:sz w:val="18"/>
        </w:rPr>
        <w:t>Peer benchmark data sourced from publicly available sustainability reports: BRI 2023 Sustainability Report, DBS 2023 Sustainability Report, BCA 2023 Annual Report.</w:t>
      </w:r>
    </w:p>
    <w:p>
      <w:pPr>
        <w:spacing w:after="160" w:line="276" w:lineRule="auto"/>
        <w:jc w:val="both"/>
      </w:pPr>
      <w:r>
        <w:rPr>
          <w:rFonts w:ascii="Arial" w:hAnsi="Arial"/>
          <w:i/>
          <w:color w:val="646464"/>
          <w:sz w:val="18"/>
        </w:rPr>
        <w:t>Recommended interim milestones (2025, 2027, 2030, 2035, 2040) follow IFRS S2 paragraph 33(f) requirement to disclose milestones or interim targets.</w:t>
      </w:r>
    </w:p>
    <w:p>
      <w:pPr>
        <w:spacing w:after="160" w:line="276" w:lineRule="auto"/>
        <w:jc w:val="both"/>
      </w:pPr>
      <w:r>
        <w:rPr>
          <w:rFonts w:ascii="Arial" w:hAnsi="Arial"/>
          <w:i/>
          <w:color w:val="646464"/>
          <w:sz w:val="18"/>
        </w:rPr>
        <w:t>Carbon offset strategy recommendations align with SBTi guidance that offsets should not exceed 10–20% of gross reductions and should only address residual emissions post-2040.</w:t>
      </w:r>
    </w:p>
    <w:p>
      <w:pPr>
        <w:spacing w:after="160" w:line="276" w:lineRule="auto"/>
        <w:jc w:val="both"/>
      </w:pPr>
      <w:r>
        <w:rPr>
          <w:rFonts w:ascii="Arial" w:hAnsi="Arial"/>
          <w:i/>
          <w:color w:val="646464"/>
          <w:sz w:val="18"/>
        </w:rPr>
        <w:t>Renewable energy procurement targets (25% by 2027, 50% by 2030) are conservative relative to DBS's achievement of 62% renewable energy, reflecting Indonesia's grid constraints and renewable energy availability.</w:t>
      </w:r>
    </w:p>
    <w:p>
      <w:pPr>
        <w:spacing w:after="160" w:line="276" w:lineRule="auto"/>
        <w:jc w:val="both"/>
      </w:pPr>
      <w:r>
        <w:rPr>
          <w:rFonts w:ascii="Arial" w:hAnsi="Arial"/>
          <w:i/>
          <w:color w:val="646464"/>
          <w:sz w:val="18"/>
        </w:rPr>
        <w:t>Capital investment estimates for decarbonization initiatives are preliminary and subject to detailed feasibility studies and vendor quotations.</w:t>
      </w:r>
    </w:p>
    <w:p>
      <w:pPr>
        <w:spacing w:after="160" w:line="276" w:lineRule="auto"/>
        <w:jc w:val="both"/>
      </w:pPr>
      <w:r>
        <w:rPr>
          <w:rFonts w:ascii="Arial" w:hAnsi="Arial"/>
          <w:i/>
          <w:color w:val="646464"/>
          <w:sz w:val="18"/>
        </w:rPr>
        <w:t>The institution should conduct climate scenario analysis per IFRS S2 paragraphs 15–21 to validate target ambition against 1.5°C and 2°C pathways, including assessment of transition risks and physical risks across the portfolio.</w:t>
      </w:r>
    </w:p>
    <w:p>
      <w:r>
        <w:br w:type="page"/>
      </w:r>
    </w:p>
    <w:p>
      <w:pPr>
        <w:pStyle w:val="Heading1"/>
        <w:keepNext/>
        <w:spacing w:before="480" w:after="240"/>
      </w:pPr>
      <w:r>
        <w:rPr>
          <w:rFonts w:ascii="Arial" w:hAnsi="Arial"/>
          <w:b/>
          <w:color w:val="1B3A6B"/>
          <w:sz w:val="36"/>
        </w:rPr>
        <w:t>GRI 305-3: Other Indirect (Scope 3) GHG Emissions — PCAF Financed Emissions</w:t>
      </w:r>
    </w:p>
    <w:p>
      <w:pPr>
        <w:spacing w:after="160" w:line="276" w:lineRule="auto"/>
        <w:jc w:val="both"/>
      </w:pPr>
      <w:r>
        <w:rPr>
          <w:rFonts w:ascii="Arial" w:hAnsi="Arial"/>
          <w:sz w:val="22"/>
        </w:rPr>
        <w:t>The organization's financed emissions for the 2024 reporting period totaled 21,976,797.3 tCO2e on a gross basis, representing the absolute greenhouse gas emissions attributable to the institution's lending and investment portfolio under the Partnership for Carbon Accounting Financials (PCAF) Global GHG Accounting Standard. This figure encompasses emissions from borrowers across ten economic sectors, with a total portfolio outstanding of IDR 1,541.18 trillion. Financed emissions constitute the organization's material Scope 3 Category 15 disclosure and represent the most significant component of the institution's total carbon footprint, exceeding operational emissions (Scope 1 and 2 combined) by a factor of approximately 457.</w:t>
      </w:r>
    </w:p>
    <w:p>
      <w:pPr>
        <w:spacing w:after="160" w:line="276" w:lineRule="auto"/>
        <w:jc w:val="both"/>
      </w:pPr>
      <w:r>
        <w:rPr>
          <w:rFonts w:ascii="Arial" w:hAnsi="Arial"/>
          <w:i/>
          <w:sz w:val="22"/>
        </w:rPr>
        <w:t>The PCAF methodology applies an attribution factor to allocate a proportional share of each borrower's total emissions to the institution based on the outstanding loan amount relative to the borrower's total equity plus debt. The formula applied is: Financed Emissions = Borrower Emissions × (Outstanding Amount ÷ [Borrower Equity + Borrower Debt]). The organization calculated financed emissions for corporate loans (PCAF Asset Class: Business Loans and Unlisted Equity), covering 1,955 borrower relationships across ten NACE-classified sectors. Borrower emissions data were sourced through a tiered approach: verified disclosures (PCAF Score 1-2), economic input-output models combined with revenue data (Score 3), asset-based proxies (Score 4), and sector-average intensities (Score 5). The consolidation approach follows operational control boundaries consistent with the organization's Scope 1 and 2 reporting.</w:t>
      </w:r>
    </w:p>
    <w:p>
      <w:pPr>
        <w:spacing w:after="160" w:line="276" w:lineRule="auto"/>
        <w:jc w:val="both"/>
      </w:pPr>
      <w:r>
        <w:rPr>
          <w:rFonts w:ascii="Arial" w:hAnsi="Arial"/>
          <w:sz w:val="22"/>
        </w:rPr>
        <w:t>The confidence-weighted financed emissions for 2024 totaled 15,280,174.14 tCO2e, representing a 69.52% confidence adjustment applied to the gross figure. This weighted metric incorporates PCAF data quality scores to reflect the reliability of underlying emissions data, with higher-quality data sources (verified disclosures, reported data) receiving confidence factors approaching 1.0, while lower-quality proxies (sector averages) receive factors as low as 0.45. The 30.48 percentage point differential between gross and weighted emissions indicates significant reliance on estimated or proxy data, highlighting an opportunity for data quality enhancement through direct borrower engagement. The organization reports both metrics in accordance with PCAF guidance to provide transparency on data uncertainty and to establish a baseline for quality improvement initiatives.</w:t>
      </w:r>
    </w:p>
    <w:p>
      <w:pPr>
        <w:spacing w:after="160" w:line="276" w:lineRule="auto"/>
        <w:jc w:val="both"/>
      </w:pPr>
      <w:r>
        <w:rPr>
          <w:rFonts w:ascii="Arial" w:hAnsi="Arial"/>
          <w:sz w:val="22"/>
        </w:rPr>
        <w:t>Sector concentration analysis reveals that three carbon-intensive industries account for 85.93% of total gross financed emissions despite representing only 20.70% of portfolio value. The Energy - Oil &amp; Gas sector contributed 9,573,144.27 tCO2e (43.56% of total financed emissions) from IDR 102.67 trillion in outstanding loans, yielding an emission intensity of 93.242 tCO2e per IDR billion. Manufacturing - Cement generated 5,813,830.91 tCO2e (26.45%) from IDR 107.68 trillion in exposure, with an intensity of 53.9927 tCO2e per IDR billion. Manufacturing - Steel accounted for 3,499,463.0 tCO2e (15.92%) from IDR 108.62 trillion, at an intensity of 32.2175 tCO2e per IDR billion. Conversely, lower-emission sectors such as Financial Services (0.34% of emissions, 13.41% of portfolio) and Real Estate - Residential (0.49% of emissions, 10.93% of portfolio) demonstrate significantly lower carbon intensity profiles, with emission intensities of 0.3567 and 0.6381 tCO2e per IDR billion respectively.</w:t>
      </w:r>
    </w:p>
    <w:p>
      <w:pPr>
        <w:spacing w:after="160" w:line="276" w:lineRule="auto"/>
        <w:jc w:val="both"/>
      </w:pPr>
      <w:r>
        <w:rPr>
          <w:rFonts w:ascii="Arial" w:hAnsi="Arial"/>
          <w:sz w:val="22"/>
        </w:rPr>
        <w:t>The portfolio-weighted average PCAF data quality score for 2024 was 3.36 on a scale of 1 (highest quality) to 5 (lowest quality), indicating predominant reliance on economic input-output models combined with revenue or asset data. Sector-level data quality varied from 3.21 (Retail Trade) to 3.42 (Financial Services), with no sector achieving an average score below 3.0. This quality profile indicates that the organization has not yet obtained verified emissions disclosures or direct reported data from the majority of borrowers. The percentage of portfolio covered by high-quality data (PCAF Scores 1-2) was not disclosed in the current reporting system, representing a gap in transparency regarding the proportion of financed emissions calculated from primary versus proxy data sources.</w:t>
      </w:r>
    </w:p>
    <w:p>
      <w:pPr>
        <w:spacing w:after="160" w:line="276" w:lineRule="auto"/>
        <w:jc w:val="both"/>
      </w:pPr>
      <w:r>
        <w:rPr>
          <w:rFonts w:ascii="Arial" w:hAnsi="Arial"/>
          <w:sz w:val="22"/>
        </w:rPr>
        <w:t>Year-over-year comparison shows that gross financed emissions decreased by 4.07% from 22,911,991.05 tCO2e in 2023 to 21,976,797.3 tCO2e in 2024, representing an absolute reduction of 935,193.75 tCO2e. Confidence-weighted financed emissions declined by 1.90% from 15,576,239.57 tCO2e to 15,280,174.14 tCO2e, a reduction of 296,065.43 tCO2e. The differential reduction rates (4.07% gross versus 1.90% weighted) suggest that the decrease in absolute emissions was partially offset by a shift toward lower-quality data sources or changes in portfolio composition toward sectors with less transparent emissions reporting. The organization attributes the gross emissions reduction to portfolio rebalancing activities and macroeconomic factors affecting lending volumes in carbon-intensive sectors, rather than to verified emissions reductions by existing borrowers.</w:t>
      </w:r>
    </w:p>
    <w:p>
      <w:pPr>
        <w:spacing w:after="160" w:line="276" w:lineRule="auto"/>
        <w:jc w:val="both"/>
      </w:pPr>
      <w:r>
        <w:rPr>
          <w:rFonts w:ascii="Arial" w:hAnsi="Arial"/>
          <w:sz w:val="22"/>
        </w:rPr>
        <w:t>The organization achieved 100% portfolio coverage for financed emissions calculation across all corporate lending exposures within the ten reported sectors, meeting the PCAF requirement for comprehensive Scope 3 Category 15 disclosure. However, the current methodology excludes other PCAF asset classes that may be material to the institution's balance sheet, including: listed equity and bonds (Asset Class: Listed Equity and Corporate Bonds), project finance (Asset Class: Project Finance), commercial real estate mortgages reported separately from general corporate lending (Asset Class: Commercial Real Estate), residential mortgages (Asset Class: Mortgages), and motor vehicle loans (Asset Class: Motor Vehicle Loans). Expansion of financed emissions calculation to these additional asset classes would provide a more complete representation of the organization's portfolio carbon footprint and align with best practices observed among PCAF signatories in the Indonesian banking sector.</w:t>
      </w:r>
    </w:p>
    <w:p>
      <w:pPr>
        <w:spacing w:after="160" w:line="276" w:lineRule="auto"/>
        <w:jc w:val="both"/>
      </w:pPr>
      <w:r>
        <w:rPr>
          <w:rFonts w:ascii="Arial" w:hAnsi="Arial"/>
          <w:i/>
          <w:color w:val="555555"/>
          <w:sz w:val="22"/>
        </w:rPr>
        <w:t>**Data Quality Improvement Roadmap**: Given the portfolio-weighted average PCAF score of 3.36, the organization has identified data quality enhancement as a strategic priority for the 2025-2027 reporting cycles. The roadmap includes three phases: (1) Immediate (2025): Implement borrower engagement program targeting the top 50 emitters by absolute financed emissions, requesting CDP disclosures or equivalent verified emissions data to achieve PCAF Score 1-2 for at least 30% of high-emission exposures; (2) Medium-term (2026): Integrate emissions data requests into annual credit review processes for all borrowers in carbon-intensive sectors (Energy, Manufacturing - Cement/Steel, Transportation), with contractual clauses requiring emissions disclosure as a condition of loan renewal; (3) Long-term (2027): Establish sector-specific emissions benchmarking databases using primary data collected from borrowers, enabling transition from EEIO proxies (Score 3-4) to peer-comparison validation (Score 2) for borrowers unable to provide verified disclosures. The target is to achieve a portfolio-weighted average PCAF score of ≤2.5 by 2027, representing a 25.6% improvement in data quality.</w:t>
      </w:r>
    </w:p>
    <w:p>
      <w:pPr>
        <w:spacing w:after="160" w:line="276" w:lineRule="auto"/>
        <w:jc w:val="both"/>
      </w:pPr>
      <w:r>
        <w:rPr>
          <w:rFonts w:ascii="Arial" w:hAnsi="Arial"/>
          <w:sz w:val="22"/>
        </w:rPr>
        <w:t>**Advisory Recommendations**: (1) **Finding**: The organization's average PCAF data quality score of 3.36 indicates heavy reliance on proxy data, with no sector achieving scores below 3.0. **Benchmark**: BRI, Indonesia's first financial institution to commit to Science-Based Targets initiative (SBTi), has implemented borrower engagement protocols covering six PCAF asset classes and established a portfolio temperature alignment target of 1.75°C by 2040. **Recommendation**: Initiate a phased borrower engagement program beginning with the top 20 emitters in Energy - Oil &amp; Gas and Manufacturing - Cement sectors (representing 70.01% of financed emissions), requiring annual emissions disclosures as a covenant in credit agreements for new loans exceeding IDR 50 billion. **Reference**: BRI's SBTi commitment framework and sectoral credit policies for coal, palm oil, cement, and oil &amp; gas. **Priority**: High. (2) **Finding**: Three carbon-intensive sectors (Energy, Cement, Steel) account for 85.93% of financed emissions but only 20.70% of portfolio value, indicating significant concentration risk under potential carbon pricing scenarios. **Benchmark**: BCA has implemented sectoral credit policies with explicit exposure limits and transition financing requirements for coal, palm oil, cement, and oil &amp; gas sectors. **Recommendation**: Develop sector-specific decarbonization engagement strategies for the top 50 borrowers in high-emission sectors, offering preferential pricing (25-50 basis points reduction) for borrowers demonstrating year-over-year emissions intensity improvements of ≥5% or achieving third-party verification (CDP, ISO 14064). **Reference**: BCA's enhanced ESRM screening and sectoral policy framework. **Priority**: High. (3) **Finding**: Current PCAF methodology covers only corporate loans (one asset class), excluding residential mortgages, motor vehicle loans, and listed securities that may represent material portfolio components. **Benchmark**: DBS Bank reports financed emissions across multiple PCAF asset classes and has achieved 62% renewable energy usage with 12% year-over-year operational emissions reduction. **Recommendation**: Expand financed emissions calculation to include residential real estate (Asset Class: Mortgages) and motor vehicle loans (Asset Class: Motor Vehicle Loans) by Q4 2025, using PCAF-compliant methodologies and publicly available building energy performance data or vehicle fuel efficiency standards. **Reference**: DBS's comprehensive PCAF asset class coverage and RE100 commitment. **Priority**: Medium.</w:t>
      </w:r>
    </w:p>
    <w:p>
      <w:r>
        <w:rPr>
          <w:rFonts w:ascii="Arial" w:hAnsi="Arial"/>
          <w:b/>
          <w:sz w:val="20"/>
        </w:rPr>
        <w:t>Table 1: Financed Emissions by Sector (Top 5 Emitting Sectors) — 2024</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Sector (NACE Classification)</w:t>
            </w:r>
          </w:p>
        </w:tc>
        <w:tc>
          <w:tcPr>
            <w:tcW w:type="dxa" w:w="1129"/>
            <w:shd w:fill="1B3A6B" w:val="clear"/>
          </w:tcPr>
          <w:p>
            <w:r>
              <w:rPr>
                <w:rFonts w:ascii="Arial" w:hAnsi="Arial"/>
                <w:b/>
                <w:color w:val="FFFFFF"/>
                <w:sz w:val="18"/>
              </w:rPr>
              <w:t>Outstanding Loans (IDR Trillion)</w:t>
            </w:r>
          </w:p>
        </w:tc>
        <w:tc>
          <w:tcPr>
            <w:tcW w:type="dxa" w:w="1129"/>
            <w:shd w:fill="1B3A6B" w:val="clear"/>
          </w:tcPr>
          <w:p>
            <w:r>
              <w:rPr>
                <w:rFonts w:ascii="Arial" w:hAnsi="Arial"/>
                <w:b/>
                <w:color w:val="FFFFFF"/>
                <w:sz w:val="18"/>
              </w:rPr>
              <w:t>% of Portfolio</w:t>
            </w:r>
          </w:p>
        </w:tc>
        <w:tc>
          <w:tcPr>
            <w:tcW w:type="dxa" w:w="1129"/>
            <w:shd w:fill="1B3A6B" w:val="clear"/>
          </w:tcPr>
          <w:p>
            <w:r>
              <w:rPr>
                <w:rFonts w:ascii="Arial" w:hAnsi="Arial"/>
                <w:b/>
                <w:color w:val="FFFFFF"/>
                <w:sz w:val="18"/>
              </w:rPr>
              <w:t>Gross Financed Emissions (tCO2e)</w:t>
            </w:r>
          </w:p>
        </w:tc>
        <w:tc>
          <w:tcPr>
            <w:tcW w:type="dxa" w:w="1129"/>
            <w:shd w:fill="1B3A6B" w:val="clear"/>
          </w:tcPr>
          <w:p>
            <w:r>
              <w:rPr>
                <w:rFonts w:ascii="Arial" w:hAnsi="Arial"/>
                <w:b/>
                <w:color w:val="FFFFFF"/>
                <w:sz w:val="18"/>
              </w:rPr>
              <w:t>Weighted Financed Emissions (tCO2e)</w:t>
            </w:r>
          </w:p>
        </w:tc>
        <w:tc>
          <w:tcPr>
            <w:tcW w:type="dxa" w:w="1129"/>
            <w:shd w:fill="1B3A6B" w:val="clear"/>
          </w:tcPr>
          <w:p>
            <w:r>
              <w:rPr>
                <w:rFonts w:ascii="Arial" w:hAnsi="Arial"/>
                <w:b/>
                <w:color w:val="FFFFFF"/>
                <w:sz w:val="18"/>
              </w:rPr>
              <w:t>% of Total Emissions</w:t>
            </w:r>
          </w:p>
        </w:tc>
        <w:tc>
          <w:tcPr>
            <w:tcW w:type="dxa" w:w="1129"/>
            <w:shd w:fill="1B3A6B" w:val="clear"/>
          </w:tcPr>
          <w:p>
            <w:r>
              <w:rPr>
                <w:rFonts w:ascii="Arial" w:hAnsi="Arial"/>
                <w:b/>
                <w:color w:val="FFFFFF"/>
                <w:sz w:val="18"/>
              </w:rPr>
              <w:t>Emission Intensity (tCO2e/IDR Bn)</w:t>
            </w:r>
          </w:p>
        </w:tc>
        <w:tc>
          <w:tcPr>
            <w:tcW w:type="dxa" w:w="1129"/>
            <w:shd w:fill="1B3A6B" w:val="clear"/>
          </w:tcPr>
          <w:p>
            <w:r>
              <w:rPr>
                <w:rFonts w:ascii="Arial" w:hAnsi="Arial"/>
                <w:b/>
                <w:color w:val="FFFFFF"/>
                <w:sz w:val="18"/>
              </w:rPr>
              <w:t>Avg PCAF Score</w:t>
            </w:r>
          </w:p>
        </w:tc>
      </w:tr>
      <w:tr>
        <w:tc>
          <w:tcPr>
            <w:tcW w:type="dxa" w:w="1129"/>
          </w:tcPr>
          <w:p>
            <w:r>
              <w:rPr>
                <w:rFonts w:ascii="Arial" w:hAnsi="Arial"/>
                <w:sz w:val="18"/>
              </w:rPr>
              <w:t>Energy - Oil &amp; Gas</w:t>
            </w:r>
          </w:p>
        </w:tc>
        <w:tc>
          <w:tcPr>
            <w:tcW w:type="dxa" w:w="1129"/>
          </w:tcPr>
          <w:p>
            <w:pPr>
              <w:jc w:val="right"/>
            </w:pPr>
            <w:r>
              <w:rPr>
                <w:rFonts w:ascii="Arial" w:hAnsi="Arial"/>
                <w:sz w:val="18"/>
              </w:rPr>
              <w:t>102.67</w:t>
            </w:r>
          </w:p>
        </w:tc>
        <w:tc>
          <w:tcPr>
            <w:tcW w:type="dxa" w:w="1129"/>
          </w:tcPr>
          <w:p>
            <w:pPr>
              <w:jc w:val="right"/>
            </w:pPr>
            <w:r>
              <w:rPr>
                <w:rFonts w:ascii="Arial" w:hAnsi="Arial"/>
                <w:sz w:val="18"/>
              </w:rPr>
              <w:t>6.66%</w:t>
            </w:r>
          </w:p>
        </w:tc>
        <w:tc>
          <w:tcPr>
            <w:tcW w:type="dxa" w:w="1129"/>
          </w:tcPr>
          <w:p>
            <w:pPr>
              <w:jc w:val="right"/>
            </w:pPr>
            <w:r>
              <w:rPr>
                <w:rFonts w:ascii="Arial" w:hAnsi="Arial"/>
                <w:sz w:val="18"/>
              </w:rPr>
              <w:t>9,573,144.27</w:t>
            </w:r>
          </w:p>
        </w:tc>
        <w:tc>
          <w:tcPr>
            <w:tcW w:type="dxa" w:w="1129"/>
          </w:tcPr>
          <w:p>
            <w:pPr>
              <w:jc w:val="right"/>
            </w:pPr>
            <w:r>
              <w:rPr>
                <w:rFonts w:ascii="Arial" w:hAnsi="Arial"/>
                <w:sz w:val="18"/>
              </w:rPr>
              <w:t>6,753,948.71</w:t>
            </w:r>
          </w:p>
        </w:tc>
        <w:tc>
          <w:tcPr>
            <w:tcW w:type="dxa" w:w="1129"/>
          </w:tcPr>
          <w:p>
            <w:pPr>
              <w:jc w:val="right"/>
            </w:pPr>
            <w:r>
              <w:rPr>
                <w:rFonts w:ascii="Arial" w:hAnsi="Arial"/>
                <w:sz w:val="18"/>
              </w:rPr>
              <w:t>43.56%</w:t>
            </w:r>
          </w:p>
        </w:tc>
        <w:tc>
          <w:tcPr>
            <w:tcW w:type="dxa" w:w="1129"/>
          </w:tcPr>
          <w:p>
            <w:pPr>
              <w:jc w:val="right"/>
            </w:pPr>
            <w:r>
              <w:rPr>
                <w:rFonts w:ascii="Arial" w:hAnsi="Arial"/>
                <w:sz w:val="18"/>
              </w:rPr>
              <w:t>93.242</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Manufacturing - Cement</w:t>
            </w:r>
          </w:p>
        </w:tc>
        <w:tc>
          <w:tcPr>
            <w:tcW w:type="dxa" w:w="1129"/>
            <w:shd w:fill="F2F6FC" w:val="clear"/>
          </w:tcPr>
          <w:p>
            <w:pPr>
              <w:jc w:val="right"/>
            </w:pPr>
            <w:r>
              <w:rPr>
                <w:rFonts w:ascii="Arial" w:hAnsi="Arial"/>
                <w:sz w:val="18"/>
              </w:rPr>
              <w:t>107.68</w:t>
            </w:r>
          </w:p>
        </w:tc>
        <w:tc>
          <w:tcPr>
            <w:tcW w:type="dxa" w:w="1129"/>
            <w:shd w:fill="F2F6FC" w:val="clear"/>
          </w:tcPr>
          <w:p>
            <w:pPr>
              <w:jc w:val="right"/>
            </w:pPr>
            <w:r>
              <w:rPr>
                <w:rFonts w:ascii="Arial" w:hAnsi="Arial"/>
                <w:sz w:val="18"/>
              </w:rPr>
              <w:t>6.99%</w:t>
            </w:r>
          </w:p>
        </w:tc>
        <w:tc>
          <w:tcPr>
            <w:tcW w:type="dxa" w:w="1129"/>
            <w:shd w:fill="F2F6FC" w:val="clear"/>
          </w:tcPr>
          <w:p>
            <w:pPr>
              <w:jc w:val="right"/>
            </w:pPr>
            <w:r>
              <w:rPr>
                <w:rFonts w:ascii="Arial" w:hAnsi="Arial"/>
                <w:sz w:val="18"/>
              </w:rPr>
              <w:t>5,813,830.91</w:t>
            </w:r>
          </w:p>
        </w:tc>
        <w:tc>
          <w:tcPr>
            <w:tcW w:type="dxa" w:w="1129"/>
            <w:shd w:fill="F2F6FC" w:val="clear"/>
          </w:tcPr>
          <w:p>
            <w:pPr>
              <w:jc w:val="right"/>
            </w:pPr>
            <w:r>
              <w:rPr>
                <w:rFonts w:ascii="Arial" w:hAnsi="Arial"/>
                <w:sz w:val="18"/>
              </w:rPr>
              <w:t>4,168,058.43</w:t>
            </w:r>
          </w:p>
        </w:tc>
        <w:tc>
          <w:tcPr>
            <w:tcW w:type="dxa" w:w="1129"/>
            <w:shd w:fill="F2F6FC" w:val="clear"/>
          </w:tcPr>
          <w:p>
            <w:pPr>
              <w:jc w:val="right"/>
            </w:pPr>
            <w:r>
              <w:rPr>
                <w:rFonts w:ascii="Arial" w:hAnsi="Arial"/>
                <w:sz w:val="18"/>
              </w:rPr>
              <w:t>26.45%</w:t>
            </w:r>
          </w:p>
        </w:tc>
        <w:tc>
          <w:tcPr>
            <w:tcW w:type="dxa" w:w="1129"/>
            <w:shd w:fill="F2F6FC" w:val="clear"/>
          </w:tcPr>
          <w:p>
            <w:pPr>
              <w:jc w:val="right"/>
            </w:pPr>
            <w:r>
              <w:rPr>
                <w:rFonts w:ascii="Arial" w:hAnsi="Arial"/>
                <w:sz w:val="18"/>
              </w:rPr>
              <w:t>53.9927</w:t>
            </w:r>
          </w:p>
        </w:tc>
        <w:tc>
          <w:tcPr>
            <w:tcW w:type="dxa" w:w="1129"/>
            <w:shd w:fill="F2F6FC" w:val="clear"/>
          </w:tcPr>
          <w:p>
            <w:pPr>
              <w:jc w:val="right"/>
            </w:pPr>
            <w:r>
              <w:rPr>
                <w:rFonts w:ascii="Arial" w:hAnsi="Arial"/>
                <w:sz w:val="18"/>
              </w:rPr>
              <w:t>3.40</w:t>
            </w:r>
          </w:p>
        </w:tc>
      </w:tr>
      <w:tr>
        <w:tc>
          <w:tcPr>
            <w:tcW w:type="dxa" w:w="1129"/>
          </w:tcPr>
          <w:p>
            <w:r>
              <w:rPr>
                <w:rFonts w:ascii="Arial" w:hAnsi="Arial"/>
                <w:sz w:val="18"/>
              </w:rPr>
              <w:t>Manufacturing - Steel</w:t>
            </w:r>
          </w:p>
        </w:tc>
        <w:tc>
          <w:tcPr>
            <w:tcW w:type="dxa" w:w="1129"/>
          </w:tcPr>
          <w:p>
            <w:pPr>
              <w:jc w:val="right"/>
            </w:pPr>
            <w:r>
              <w:rPr>
                <w:rFonts w:ascii="Arial" w:hAnsi="Arial"/>
                <w:sz w:val="18"/>
              </w:rPr>
              <w:t>108.62</w:t>
            </w:r>
          </w:p>
        </w:tc>
        <w:tc>
          <w:tcPr>
            <w:tcW w:type="dxa" w:w="1129"/>
          </w:tcPr>
          <w:p>
            <w:pPr>
              <w:jc w:val="right"/>
            </w:pPr>
            <w:r>
              <w:rPr>
                <w:rFonts w:ascii="Arial" w:hAnsi="Arial"/>
                <w:sz w:val="18"/>
              </w:rPr>
              <w:t>7.05%</w:t>
            </w:r>
          </w:p>
        </w:tc>
        <w:tc>
          <w:tcPr>
            <w:tcW w:type="dxa" w:w="1129"/>
          </w:tcPr>
          <w:p>
            <w:pPr>
              <w:jc w:val="right"/>
            </w:pPr>
            <w:r>
              <w:rPr>
                <w:rFonts w:ascii="Arial" w:hAnsi="Arial"/>
                <w:sz w:val="18"/>
              </w:rPr>
              <w:t>3,499,463.0</w:t>
            </w:r>
          </w:p>
        </w:tc>
        <w:tc>
          <w:tcPr>
            <w:tcW w:type="dxa" w:w="1129"/>
          </w:tcPr>
          <w:p>
            <w:pPr>
              <w:jc w:val="right"/>
            </w:pPr>
            <w:r>
              <w:rPr>
                <w:rFonts w:ascii="Arial" w:hAnsi="Arial"/>
                <w:sz w:val="18"/>
              </w:rPr>
              <w:t>2,228,739.65</w:t>
            </w:r>
          </w:p>
        </w:tc>
        <w:tc>
          <w:tcPr>
            <w:tcW w:type="dxa" w:w="1129"/>
          </w:tcPr>
          <w:p>
            <w:pPr>
              <w:jc w:val="right"/>
            </w:pPr>
            <w:r>
              <w:rPr>
                <w:rFonts w:ascii="Arial" w:hAnsi="Arial"/>
                <w:sz w:val="18"/>
              </w:rPr>
              <w:t>15.92%</w:t>
            </w:r>
          </w:p>
        </w:tc>
        <w:tc>
          <w:tcPr>
            <w:tcW w:type="dxa" w:w="1129"/>
          </w:tcPr>
          <w:p>
            <w:pPr>
              <w:jc w:val="right"/>
            </w:pPr>
            <w:r>
              <w:rPr>
                <w:rFonts w:ascii="Arial" w:hAnsi="Arial"/>
                <w:sz w:val="18"/>
              </w:rPr>
              <w:t>32.2175</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Transportation - Road</w:t>
            </w:r>
          </w:p>
        </w:tc>
        <w:tc>
          <w:tcPr>
            <w:tcW w:type="dxa" w:w="1129"/>
            <w:shd w:fill="F2F6FC" w:val="clear"/>
          </w:tcPr>
          <w:p>
            <w:pPr>
              <w:jc w:val="right"/>
            </w:pPr>
            <w:r>
              <w:rPr>
                <w:rFonts w:ascii="Arial" w:hAnsi="Arial"/>
                <w:sz w:val="18"/>
              </w:rPr>
              <w:t>155.55</w:t>
            </w:r>
          </w:p>
        </w:tc>
        <w:tc>
          <w:tcPr>
            <w:tcW w:type="dxa" w:w="1129"/>
            <w:shd w:fill="F2F6FC" w:val="clear"/>
          </w:tcPr>
          <w:p>
            <w:pPr>
              <w:jc w:val="right"/>
            </w:pPr>
            <w:r>
              <w:rPr>
                <w:rFonts w:ascii="Arial" w:hAnsi="Arial"/>
                <w:sz w:val="18"/>
              </w:rPr>
              <w:t>10.09%</w:t>
            </w:r>
          </w:p>
        </w:tc>
        <w:tc>
          <w:tcPr>
            <w:tcW w:type="dxa" w:w="1129"/>
            <w:shd w:fill="F2F6FC" w:val="clear"/>
          </w:tcPr>
          <w:p>
            <w:pPr>
              <w:jc w:val="right"/>
            </w:pPr>
            <w:r>
              <w:rPr>
                <w:rFonts w:ascii="Arial" w:hAnsi="Arial"/>
                <w:sz w:val="18"/>
              </w:rPr>
              <w:t>1,227,019.62</w:t>
            </w:r>
          </w:p>
        </w:tc>
        <w:tc>
          <w:tcPr>
            <w:tcW w:type="dxa" w:w="1129"/>
            <w:shd w:fill="F2F6FC" w:val="clear"/>
          </w:tcPr>
          <w:p>
            <w:pPr>
              <w:jc w:val="right"/>
            </w:pPr>
            <w:r>
              <w:rPr>
                <w:rFonts w:ascii="Arial" w:hAnsi="Arial"/>
                <w:sz w:val="18"/>
              </w:rPr>
              <w:t>864,356.23</w:t>
            </w:r>
          </w:p>
        </w:tc>
        <w:tc>
          <w:tcPr>
            <w:tcW w:type="dxa" w:w="1129"/>
            <w:shd w:fill="F2F6FC" w:val="clear"/>
          </w:tcPr>
          <w:p>
            <w:pPr>
              <w:jc w:val="right"/>
            </w:pPr>
            <w:r>
              <w:rPr>
                <w:rFonts w:ascii="Arial" w:hAnsi="Arial"/>
                <w:sz w:val="18"/>
              </w:rPr>
              <w:t>5.58%</w:t>
            </w:r>
          </w:p>
        </w:tc>
        <w:tc>
          <w:tcPr>
            <w:tcW w:type="dxa" w:w="1129"/>
            <w:shd w:fill="F2F6FC" w:val="clear"/>
          </w:tcPr>
          <w:p>
            <w:pPr>
              <w:jc w:val="right"/>
            </w:pPr>
            <w:r>
              <w:rPr>
                <w:rFonts w:ascii="Arial" w:hAnsi="Arial"/>
                <w:sz w:val="18"/>
              </w:rPr>
              <w:t>7.8881</w:t>
            </w:r>
          </w:p>
        </w:tc>
        <w:tc>
          <w:tcPr>
            <w:tcW w:type="dxa" w:w="1129"/>
            <w:shd w:fill="F2F6FC" w:val="clear"/>
          </w:tcPr>
          <w:p>
            <w:pPr>
              <w:jc w:val="right"/>
            </w:pPr>
            <w:r>
              <w:rPr>
                <w:rFonts w:ascii="Arial" w:hAnsi="Arial"/>
                <w:sz w:val="18"/>
              </w:rPr>
              <w:t>3.36</w:t>
            </w:r>
          </w:p>
        </w:tc>
      </w:tr>
      <w:tr>
        <w:tc>
          <w:tcPr>
            <w:tcW w:type="dxa" w:w="1129"/>
          </w:tcPr>
          <w:p>
            <w:r>
              <w:rPr>
                <w:rFonts w:ascii="Arial" w:hAnsi="Arial"/>
                <w:sz w:val="18"/>
              </w:rPr>
              <w:t>Manufacturing - Food &amp; Beverage</w:t>
            </w:r>
          </w:p>
        </w:tc>
        <w:tc>
          <w:tcPr>
            <w:tcW w:type="dxa" w:w="1129"/>
          </w:tcPr>
          <w:p>
            <w:pPr>
              <w:jc w:val="right"/>
            </w:pPr>
            <w:r>
              <w:rPr>
                <w:rFonts w:ascii="Arial" w:hAnsi="Arial"/>
                <w:sz w:val="18"/>
              </w:rPr>
              <w:t>169.14</w:t>
            </w:r>
          </w:p>
        </w:tc>
        <w:tc>
          <w:tcPr>
            <w:tcW w:type="dxa" w:w="1129"/>
          </w:tcPr>
          <w:p>
            <w:pPr>
              <w:jc w:val="right"/>
            </w:pPr>
            <w:r>
              <w:rPr>
                <w:rFonts w:ascii="Arial" w:hAnsi="Arial"/>
                <w:sz w:val="18"/>
              </w:rPr>
              <w:t>10.97%</w:t>
            </w:r>
          </w:p>
        </w:tc>
        <w:tc>
          <w:tcPr>
            <w:tcW w:type="dxa" w:w="1129"/>
          </w:tcPr>
          <w:p>
            <w:pPr>
              <w:jc w:val="right"/>
            </w:pPr>
            <w:r>
              <w:rPr>
                <w:rFonts w:ascii="Arial" w:hAnsi="Arial"/>
                <w:sz w:val="18"/>
              </w:rPr>
              <w:t>936,111.21</w:t>
            </w:r>
          </w:p>
        </w:tc>
        <w:tc>
          <w:tcPr>
            <w:tcW w:type="dxa" w:w="1129"/>
          </w:tcPr>
          <w:p>
            <w:pPr>
              <w:jc w:val="right"/>
            </w:pPr>
            <w:r>
              <w:rPr>
                <w:rFonts w:ascii="Arial" w:hAnsi="Arial"/>
                <w:sz w:val="18"/>
              </w:rPr>
              <w:t>653,413.56</w:t>
            </w:r>
          </w:p>
        </w:tc>
        <w:tc>
          <w:tcPr>
            <w:tcW w:type="dxa" w:w="1129"/>
          </w:tcPr>
          <w:p>
            <w:pPr>
              <w:jc w:val="right"/>
            </w:pPr>
            <w:r>
              <w:rPr>
                <w:rFonts w:ascii="Arial" w:hAnsi="Arial"/>
                <w:sz w:val="18"/>
              </w:rPr>
              <w:t>4.26%</w:t>
            </w:r>
          </w:p>
        </w:tc>
        <w:tc>
          <w:tcPr>
            <w:tcW w:type="dxa" w:w="1129"/>
          </w:tcPr>
          <w:p>
            <w:pPr>
              <w:jc w:val="right"/>
            </w:pPr>
            <w:r>
              <w:rPr>
                <w:rFonts w:ascii="Arial" w:hAnsi="Arial"/>
                <w:sz w:val="18"/>
              </w:rPr>
              <w:t>5.5346</w:t>
            </w:r>
          </w:p>
        </w:tc>
        <w:tc>
          <w:tcPr>
            <w:tcW w:type="dxa" w:w="1129"/>
          </w:tcPr>
          <w:p>
            <w:pPr>
              <w:jc w:val="right"/>
            </w:pPr>
            <w:r>
              <w:rPr>
                <w:rFonts w:ascii="Arial" w:hAnsi="Arial"/>
                <w:sz w:val="18"/>
              </w:rPr>
              <w:t>3.35</w:t>
            </w:r>
          </w:p>
        </w:tc>
      </w:tr>
      <w:tr>
        <w:tc>
          <w:tcPr>
            <w:tcW w:type="dxa" w:w="1129"/>
            <w:shd w:fill="F2F6FC" w:val="clear"/>
          </w:tcPr>
          <w:p>
            <w:r>
              <w:rPr>
                <w:rFonts w:ascii="Arial" w:hAnsi="Arial"/>
                <w:sz w:val="18"/>
              </w:rPr>
              <w:t>**Top 5 Subtotal**</w:t>
            </w:r>
          </w:p>
        </w:tc>
        <w:tc>
          <w:tcPr>
            <w:tcW w:type="dxa" w:w="1129"/>
            <w:shd w:fill="F2F6FC" w:val="clear"/>
          </w:tcPr>
          <w:p>
            <w:r>
              <w:rPr>
                <w:rFonts w:ascii="Arial" w:hAnsi="Arial"/>
                <w:sz w:val="18"/>
              </w:rPr>
              <w:t>**643.66**</w:t>
            </w:r>
          </w:p>
        </w:tc>
        <w:tc>
          <w:tcPr>
            <w:tcW w:type="dxa" w:w="1129"/>
            <w:shd w:fill="F2F6FC" w:val="clear"/>
          </w:tcPr>
          <w:p>
            <w:r>
              <w:rPr>
                <w:rFonts w:ascii="Arial" w:hAnsi="Arial"/>
                <w:sz w:val="18"/>
              </w:rPr>
              <w:t>**41.76%**</w:t>
            </w:r>
          </w:p>
        </w:tc>
        <w:tc>
          <w:tcPr>
            <w:tcW w:type="dxa" w:w="1129"/>
            <w:shd w:fill="F2F6FC" w:val="clear"/>
          </w:tcPr>
          <w:p>
            <w:r>
              <w:rPr>
                <w:rFonts w:ascii="Arial" w:hAnsi="Arial"/>
                <w:sz w:val="18"/>
              </w:rPr>
              <w:t>**21,049,569.01**</w:t>
            </w:r>
          </w:p>
        </w:tc>
        <w:tc>
          <w:tcPr>
            <w:tcW w:type="dxa" w:w="1129"/>
            <w:shd w:fill="F2F6FC" w:val="clear"/>
          </w:tcPr>
          <w:p>
            <w:r>
              <w:rPr>
                <w:rFonts w:ascii="Arial" w:hAnsi="Arial"/>
                <w:sz w:val="18"/>
              </w:rPr>
              <w:t>**14,668,516.58**</w:t>
            </w:r>
          </w:p>
        </w:tc>
        <w:tc>
          <w:tcPr>
            <w:tcW w:type="dxa" w:w="1129"/>
            <w:shd w:fill="F2F6FC" w:val="clear"/>
          </w:tcPr>
          <w:p>
            <w:r>
              <w:rPr>
                <w:rFonts w:ascii="Arial" w:hAnsi="Arial"/>
                <w:sz w:val="18"/>
              </w:rPr>
              <w:t>**95.78%**</w:t>
            </w:r>
          </w:p>
        </w:tc>
        <w:tc>
          <w:tcPr>
            <w:tcW w:type="dxa" w:w="1129"/>
            <w:shd w:fill="F2F6FC" w:val="clear"/>
          </w:tcPr>
          <w:p>
            <w:r>
              <w:rPr>
                <w:rFonts w:ascii="Arial" w:hAnsi="Arial"/>
                <w:sz w:val="18"/>
              </w:rPr>
              <w:t>**—**</w:t>
            </w:r>
          </w:p>
        </w:tc>
        <w:tc>
          <w:tcPr>
            <w:tcW w:type="dxa" w:w="1129"/>
            <w:shd w:fill="F2F6FC" w:val="clear"/>
          </w:tcPr>
          <w:p>
            <w:r>
              <w:rPr>
                <w:rFonts w:ascii="Arial" w:hAnsi="Arial"/>
                <w:sz w:val="18"/>
              </w:rPr>
              <w:t>**3.36**</w:t>
            </w:r>
          </w:p>
        </w:tc>
      </w:tr>
      <w:tr>
        <w:tc>
          <w:tcPr>
            <w:tcW w:type="dxa" w:w="1129"/>
          </w:tcPr>
          <w:p>
            <w:r>
              <w:rPr>
                <w:rFonts w:ascii="Arial" w:hAnsi="Arial"/>
                <w:sz w:val="18"/>
              </w:rPr>
              <w:t>Other Sectors (5 sectors)</w:t>
            </w:r>
          </w:p>
        </w:tc>
        <w:tc>
          <w:tcPr>
            <w:tcW w:type="dxa" w:w="1129"/>
          </w:tcPr>
          <w:p>
            <w:pPr>
              <w:jc w:val="right"/>
            </w:pPr>
            <w:r>
              <w:rPr>
                <w:rFonts w:ascii="Arial" w:hAnsi="Arial"/>
                <w:sz w:val="18"/>
              </w:rPr>
              <w:t>897.52</w:t>
            </w:r>
          </w:p>
        </w:tc>
        <w:tc>
          <w:tcPr>
            <w:tcW w:type="dxa" w:w="1129"/>
          </w:tcPr>
          <w:p>
            <w:pPr>
              <w:jc w:val="right"/>
            </w:pPr>
            <w:r>
              <w:rPr>
                <w:rFonts w:ascii="Arial" w:hAnsi="Arial"/>
                <w:sz w:val="18"/>
              </w:rPr>
              <w:t>58.24%</w:t>
            </w:r>
          </w:p>
        </w:tc>
        <w:tc>
          <w:tcPr>
            <w:tcW w:type="dxa" w:w="1129"/>
          </w:tcPr>
          <w:p>
            <w:pPr>
              <w:jc w:val="right"/>
            </w:pPr>
            <w:r>
              <w:rPr>
                <w:rFonts w:ascii="Arial" w:hAnsi="Arial"/>
                <w:sz w:val="18"/>
              </w:rPr>
              <w:t>927,228.29</w:t>
            </w:r>
          </w:p>
        </w:tc>
        <w:tc>
          <w:tcPr>
            <w:tcW w:type="dxa" w:w="1129"/>
          </w:tcPr>
          <w:p>
            <w:pPr>
              <w:jc w:val="right"/>
            </w:pPr>
            <w:r>
              <w:rPr>
                <w:rFonts w:ascii="Arial" w:hAnsi="Arial"/>
                <w:sz w:val="18"/>
              </w:rPr>
              <w:t>611,657.56</w:t>
            </w:r>
          </w:p>
        </w:tc>
        <w:tc>
          <w:tcPr>
            <w:tcW w:type="dxa" w:w="1129"/>
          </w:tcPr>
          <w:p>
            <w:pPr>
              <w:jc w:val="right"/>
            </w:pPr>
            <w:r>
              <w:rPr>
                <w:rFonts w:ascii="Arial" w:hAnsi="Arial"/>
                <w:sz w:val="18"/>
              </w:rPr>
              <w:t>4.22%</w:t>
            </w:r>
          </w:p>
        </w:tc>
        <w:tc>
          <w:tcPr>
            <w:tcW w:type="dxa" w:w="1129"/>
          </w:tcPr>
          <w:p>
            <w:r>
              <w:rPr>
                <w:rFonts w:ascii="Arial" w:hAnsi="Arial"/>
                <w:sz w:val="18"/>
              </w:rPr>
              <w:t>—</w:t>
            </w:r>
          </w:p>
        </w:tc>
        <w:tc>
          <w:tcPr>
            <w:tcW w:type="dxa" w:w="1129"/>
          </w:tcPr>
          <w:p>
            <w:pPr>
              <w:jc w:val="right"/>
            </w:pPr>
            <w:r>
              <w:rPr>
                <w:rFonts w:ascii="Arial" w:hAnsi="Arial"/>
                <w:sz w:val="18"/>
              </w:rPr>
              <w:t>3.32</w:t>
            </w:r>
          </w:p>
        </w:tc>
      </w:tr>
      <w:tr>
        <w:tc>
          <w:tcPr>
            <w:tcW w:type="dxa" w:w="1129"/>
            <w:shd w:fill="F2F6FC" w:val="clear"/>
          </w:tcPr>
          <w:p>
            <w:r>
              <w:rPr>
                <w:rFonts w:ascii="Arial" w:hAnsi="Arial"/>
                <w:sz w:val="18"/>
              </w:rPr>
              <w:t>**Total Portfolio**</w:t>
            </w:r>
          </w:p>
        </w:tc>
        <w:tc>
          <w:tcPr>
            <w:tcW w:type="dxa" w:w="1129"/>
            <w:shd w:fill="F2F6FC" w:val="clear"/>
          </w:tcPr>
          <w:p>
            <w:r>
              <w:rPr>
                <w:rFonts w:ascii="Arial" w:hAnsi="Arial"/>
                <w:sz w:val="18"/>
              </w:rPr>
              <w:t>**1,541.18**</w:t>
            </w:r>
          </w:p>
        </w:tc>
        <w:tc>
          <w:tcPr>
            <w:tcW w:type="dxa" w:w="1129"/>
            <w:shd w:fill="F2F6FC" w:val="clear"/>
          </w:tcPr>
          <w:p>
            <w:r>
              <w:rPr>
                <w:rFonts w:ascii="Arial" w:hAnsi="Arial"/>
                <w:sz w:val="18"/>
              </w:rPr>
              <w:t>**100.00%**</w:t>
            </w:r>
          </w:p>
        </w:tc>
        <w:tc>
          <w:tcPr>
            <w:tcW w:type="dxa" w:w="1129"/>
            <w:shd w:fill="F2F6FC" w:val="clear"/>
          </w:tcPr>
          <w:p>
            <w:r>
              <w:rPr>
                <w:rFonts w:ascii="Arial" w:hAnsi="Arial"/>
                <w:sz w:val="18"/>
              </w:rPr>
              <w:t>**21,976,797.3**</w:t>
            </w:r>
          </w:p>
        </w:tc>
        <w:tc>
          <w:tcPr>
            <w:tcW w:type="dxa" w:w="1129"/>
            <w:shd w:fill="F2F6FC" w:val="clear"/>
          </w:tcPr>
          <w:p>
            <w:r>
              <w:rPr>
                <w:rFonts w:ascii="Arial" w:hAnsi="Arial"/>
                <w:sz w:val="18"/>
              </w:rPr>
              <w:t>**15,280,174.14**</w:t>
            </w:r>
          </w:p>
        </w:tc>
        <w:tc>
          <w:tcPr>
            <w:tcW w:type="dxa" w:w="1129"/>
            <w:shd w:fill="F2F6FC" w:val="clear"/>
          </w:tcPr>
          <w:p>
            <w:r>
              <w:rPr>
                <w:rFonts w:ascii="Arial" w:hAnsi="Arial"/>
                <w:sz w:val="18"/>
              </w:rPr>
              <w:t>**100.00%**</w:t>
            </w:r>
          </w:p>
        </w:tc>
        <w:tc>
          <w:tcPr>
            <w:tcW w:type="dxa" w:w="1129"/>
            <w:shd w:fill="F2F6FC" w:val="clear"/>
          </w:tcPr>
          <w:p>
            <w:r>
              <w:rPr>
                <w:rFonts w:ascii="Arial" w:hAnsi="Arial"/>
                <w:sz w:val="18"/>
              </w:rPr>
              <w:t>**—**</w:t>
            </w:r>
          </w:p>
        </w:tc>
        <w:tc>
          <w:tcPr>
            <w:tcW w:type="dxa" w:w="1129"/>
            <w:shd w:fill="F2F6FC" w:val="clear"/>
          </w:tcPr>
          <w:p>
            <w:r>
              <w:rPr>
                <w:rFonts w:ascii="Arial" w:hAnsi="Arial"/>
                <w:sz w:val="18"/>
              </w:rPr>
              <w:t>**3.36**</w:t>
            </w:r>
          </w:p>
        </w:tc>
      </w:tr>
    </w:tbl>
    <w:p>
      <w:r>
        <w:rPr>
          <w:rFonts w:ascii="Arial" w:hAnsi="Arial"/>
          <w:i/>
          <w:sz w:val="16"/>
        </w:rPr>
        <w:t>Source: Source: Internal PCAF calculation system. Gross financed emissions represent absolute attribution; weighted financed emissions incorporate PCAF confidence factors. PCAF scores range from 1 (verified data) to 5 (sector-average proxy).</w:t>
      </w:r>
    </w:p>
    <w:p/>
    <w:p>
      <w:r>
        <w:rPr>
          <w:rFonts w:ascii="Arial" w:hAnsi="Arial"/>
          <w:b/>
          <w:sz w:val="20"/>
        </w:rPr>
        <w:t>Table 2: PCAF Data Quality Distribution by Sector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Sector</w:t>
            </w:r>
          </w:p>
        </w:tc>
        <w:tc>
          <w:tcPr>
            <w:tcW w:type="dxa" w:w="1806"/>
            <w:shd w:fill="1B3A6B" w:val="clear"/>
          </w:tcPr>
          <w:p>
            <w:r>
              <w:rPr>
                <w:rFonts w:ascii="Arial" w:hAnsi="Arial"/>
                <w:b/>
                <w:color w:val="FFFFFF"/>
                <w:sz w:val="18"/>
              </w:rPr>
              <w:t>Borrower Count</w:t>
            </w:r>
          </w:p>
        </w:tc>
        <w:tc>
          <w:tcPr>
            <w:tcW w:type="dxa" w:w="1806"/>
            <w:shd w:fill="1B3A6B" w:val="clear"/>
          </w:tcPr>
          <w:p>
            <w:r>
              <w:rPr>
                <w:rFonts w:ascii="Arial" w:hAnsi="Arial"/>
                <w:b/>
                <w:color w:val="FFFFFF"/>
                <w:sz w:val="18"/>
              </w:rPr>
              <w:t>Avg PCAF Score</w:t>
            </w:r>
          </w:p>
        </w:tc>
        <w:tc>
          <w:tcPr>
            <w:tcW w:type="dxa" w:w="1806"/>
            <w:shd w:fill="1B3A6B" w:val="clear"/>
          </w:tcPr>
          <w:p>
            <w:r>
              <w:rPr>
                <w:rFonts w:ascii="Arial" w:hAnsi="Arial"/>
                <w:b/>
                <w:color w:val="FFFFFF"/>
                <w:sz w:val="18"/>
              </w:rPr>
              <w:t>Data Quality Tier</w:t>
            </w:r>
          </w:p>
        </w:tc>
        <w:tc>
          <w:tcPr>
            <w:tcW w:type="dxa" w:w="1806"/>
            <w:shd w:fill="1B3A6B" w:val="clear"/>
          </w:tcPr>
          <w:p>
            <w:r>
              <w:rPr>
                <w:rFonts w:ascii="Arial" w:hAnsi="Arial"/>
                <w:b/>
                <w:color w:val="FFFFFF"/>
                <w:sz w:val="18"/>
              </w:rPr>
              <w:t>Primary Data Source</w:t>
            </w:r>
          </w:p>
        </w:tc>
      </w:tr>
      <w:tr>
        <w:tc>
          <w:tcPr>
            <w:tcW w:type="dxa" w:w="1806"/>
          </w:tcPr>
          <w:p>
            <w:r>
              <w:rPr>
                <w:rFonts w:ascii="Arial" w:hAnsi="Arial"/>
                <w:sz w:val="18"/>
              </w:rPr>
              <w:t>Retail Trade</w:t>
            </w:r>
          </w:p>
        </w:tc>
        <w:tc>
          <w:tcPr>
            <w:tcW w:type="dxa" w:w="1806"/>
          </w:tcPr>
          <w:p>
            <w:pPr>
              <w:jc w:val="right"/>
            </w:pPr>
            <w:r>
              <w:rPr>
                <w:rFonts w:ascii="Arial" w:hAnsi="Arial"/>
                <w:sz w:val="18"/>
              </w:rPr>
              <w:t>209</w:t>
            </w:r>
          </w:p>
        </w:tc>
        <w:tc>
          <w:tcPr>
            <w:tcW w:type="dxa" w:w="1806"/>
          </w:tcPr>
          <w:p>
            <w:pPr>
              <w:jc w:val="right"/>
            </w:pPr>
            <w:r>
              <w:rPr>
                <w:rFonts w:ascii="Arial" w:hAnsi="Arial"/>
                <w:sz w:val="18"/>
              </w:rPr>
              <w:t>3.21</w:t>
            </w:r>
          </w:p>
        </w:tc>
        <w:tc>
          <w:tcPr>
            <w:tcW w:type="dxa" w:w="1806"/>
          </w:tcPr>
          <w:p>
            <w:r>
              <w:rPr>
                <w:rFonts w:ascii="Arial" w:hAnsi="Arial"/>
                <w:sz w:val="18"/>
              </w:rPr>
              <w:t>Tier 3-4</w:t>
            </w:r>
          </w:p>
        </w:tc>
        <w:tc>
          <w:tcPr>
            <w:tcW w:type="dxa" w:w="1806"/>
          </w:tcPr>
          <w:p>
            <w:r>
              <w:rPr>
                <w:rFonts w:ascii="Arial" w:hAnsi="Arial"/>
                <w:sz w:val="18"/>
              </w:rPr>
              <w:t>EEIO + Revenue/Assets</w:t>
            </w:r>
          </w:p>
        </w:tc>
      </w:tr>
      <w:tr>
        <w:tc>
          <w:tcPr>
            <w:tcW w:type="dxa" w:w="1806"/>
            <w:shd w:fill="F2F6FC" w:val="clear"/>
          </w:tcPr>
          <w:p>
            <w:r>
              <w:rPr>
                <w:rFonts w:ascii="Arial" w:hAnsi="Arial"/>
                <w:sz w:val="18"/>
              </w:rPr>
              <w:t>Real Estate - Commercial</w:t>
            </w:r>
          </w:p>
        </w:tc>
        <w:tc>
          <w:tcPr>
            <w:tcW w:type="dxa" w:w="1806"/>
            <w:shd w:fill="F2F6FC" w:val="clear"/>
          </w:tcPr>
          <w:p>
            <w:pPr>
              <w:jc w:val="right"/>
            </w:pPr>
            <w:r>
              <w:rPr>
                <w:rFonts w:ascii="Arial" w:hAnsi="Arial"/>
                <w:sz w:val="18"/>
              </w:rPr>
              <w:t>290</w:t>
            </w:r>
          </w:p>
        </w:tc>
        <w:tc>
          <w:tcPr>
            <w:tcW w:type="dxa" w:w="1806"/>
            <w:shd w:fill="F2F6FC" w:val="clear"/>
          </w:tcPr>
          <w:p>
            <w:pPr>
              <w:jc w:val="right"/>
            </w:pPr>
            <w:r>
              <w:rPr>
                <w:rFonts w:ascii="Arial" w:hAnsi="Arial"/>
                <w:sz w:val="18"/>
              </w:rPr>
              <w:t>3.27</w:t>
            </w:r>
          </w:p>
        </w:tc>
        <w:tc>
          <w:tcPr>
            <w:tcW w:type="dxa" w:w="1806"/>
            <w:shd w:fill="F2F6FC" w:val="clear"/>
          </w:tcPr>
          <w:p>
            <w:r>
              <w:rPr>
                <w:rFonts w:ascii="Arial" w:hAnsi="Arial"/>
                <w:sz w:val="18"/>
              </w:rPr>
              <w:t>Tier 3-4</w:t>
            </w:r>
          </w:p>
        </w:tc>
        <w:tc>
          <w:tcPr>
            <w:tcW w:type="dxa" w:w="1806"/>
            <w:shd w:fill="F2F6FC" w:val="clear"/>
          </w:tcPr>
          <w:p>
            <w:r>
              <w:rPr>
                <w:rFonts w:ascii="Arial" w:hAnsi="Arial"/>
                <w:sz w:val="18"/>
              </w:rPr>
              <w:t>EEIO + Revenue/Assets</w:t>
            </w:r>
          </w:p>
        </w:tc>
      </w:tr>
      <w:tr>
        <w:tc>
          <w:tcPr>
            <w:tcW w:type="dxa" w:w="1806"/>
          </w:tcPr>
          <w:p>
            <w:r>
              <w:rPr>
                <w:rFonts w:ascii="Arial" w:hAnsi="Arial"/>
                <w:sz w:val="18"/>
              </w:rPr>
              <w:t>Energy - Oil &amp; Gas</w:t>
            </w:r>
          </w:p>
        </w:tc>
        <w:tc>
          <w:tcPr>
            <w:tcW w:type="dxa" w:w="1806"/>
          </w:tcPr>
          <w:p>
            <w:pPr>
              <w:jc w:val="right"/>
            </w:pPr>
            <w:r>
              <w:rPr>
                <w:rFonts w:ascii="Arial" w:hAnsi="Arial"/>
                <w:sz w:val="18"/>
              </w:rPr>
              <w:t>135</w:t>
            </w:r>
          </w:p>
        </w:tc>
        <w:tc>
          <w:tcPr>
            <w:tcW w:type="dxa" w:w="1806"/>
          </w:tcPr>
          <w:p>
            <w:pPr>
              <w:jc w:val="right"/>
            </w:pPr>
            <w:r>
              <w:rPr>
                <w:rFonts w:ascii="Arial" w:hAnsi="Arial"/>
                <w:sz w:val="18"/>
              </w:rPr>
              <w:t>3.32</w:t>
            </w:r>
          </w:p>
        </w:tc>
        <w:tc>
          <w:tcPr>
            <w:tcW w:type="dxa" w:w="1806"/>
          </w:tcPr>
          <w:p>
            <w:r>
              <w:rPr>
                <w:rFonts w:ascii="Arial" w:hAnsi="Arial"/>
                <w:sz w:val="18"/>
              </w:rPr>
              <w:t>Tier 3-4</w:t>
            </w:r>
          </w:p>
        </w:tc>
        <w:tc>
          <w:tcPr>
            <w:tcW w:type="dxa" w:w="1806"/>
          </w:tcPr>
          <w:p>
            <w:r>
              <w:rPr>
                <w:rFonts w:ascii="Arial" w:hAnsi="Arial"/>
                <w:sz w:val="18"/>
              </w:rPr>
              <w:t>EEIO + Revenue/Assets</w:t>
            </w:r>
          </w:p>
        </w:tc>
      </w:tr>
      <w:tr>
        <w:tc>
          <w:tcPr>
            <w:tcW w:type="dxa" w:w="1806"/>
            <w:shd w:fill="F2F6FC" w:val="clear"/>
          </w:tcPr>
          <w:p>
            <w:r>
              <w:rPr>
                <w:rFonts w:ascii="Arial" w:hAnsi="Arial"/>
                <w:sz w:val="18"/>
              </w:rPr>
              <w:t>Real Estate - Residential</w:t>
            </w:r>
          </w:p>
        </w:tc>
        <w:tc>
          <w:tcPr>
            <w:tcW w:type="dxa" w:w="1806"/>
            <w:shd w:fill="F2F6FC" w:val="clear"/>
          </w:tcPr>
          <w:p>
            <w:pPr>
              <w:jc w:val="right"/>
            </w:pPr>
            <w:r>
              <w:rPr>
                <w:rFonts w:ascii="Arial" w:hAnsi="Arial"/>
                <w:sz w:val="18"/>
              </w:rPr>
              <w:t>223</w:t>
            </w:r>
          </w:p>
        </w:tc>
        <w:tc>
          <w:tcPr>
            <w:tcW w:type="dxa" w:w="1806"/>
            <w:shd w:fill="F2F6FC" w:val="clear"/>
          </w:tcPr>
          <w:p>
            <w:pPr>
              <w:jc w:val="right"/>
            </w:pPr>
            <w:r>
              <w:rPr>
                <w:rFonts w:ascii="Arial" w:hAnsi="Arial"/>
                <w:sz w:val="18"/>
              </w:rPr>
              <w:t>3.32</w:t>
            </w:r>
          </w:p>
        </w:tc>
        <w:tc>
          <w:tcPr>
            <w:tcW w:type="dxa" w:w="1806"/>
            <w:shd w:fill="F2F6FC" w:val="clear"/>
          </w:tcPr>
          <w:p>
            <w:r>
              <w:rPr>
                <w:rFonts w:ascii="Arial" w:hAnsi="Arial"/>
                <w:sz w:val="18"/>
              </w:rPr>
              <w:t>Tier 3-4</w:t>
            </w:r>
          </w:p>
        </w:tc>
        <w:tc>
          <w:tcPr>
            <w:tcW w:type="dxa" w:w="1806"/>
            <w:shd w:fill="F2F6FC" w:val="clear"/>
          </w:tcPr>
          <w:p>
            <w:r>
              <w:rPr>
                <w:rFonts w:ascii="Arial" w:hAnsi="Arial"/>
                <w:sz w:val="18"/>
              </w:rPr>
              <w:t>EEIO + Revenue/Assets</w:t>
            </w:r>
          </w:p>
        </w:tc>
      </w:tr>
      <w:tr>
        <w:tc>
          <w:tcPr>
            <w:tcW w:type="dxa" w:w="1806"/>
          </w:tcPr>
          <w:p>
            <w:r>
              <w:rPr>
                <w:rFonts w:ascii="Arial" w:hAnsi="Arial"/>
                <w:sz w:val="18"/>
              </w:rPr>
              <w:t>Manufacturing - Food &amp; Beverage</w:t>
            </w:r>
          </w:p>
        </w:tc>
        <w:tc>
          <w:tcPr>
            <w:tcW w:type="dxa" w:w="1806"/>
          </w:tcPr>
          <w:p>
            <w:pPr>
              <w:jc w:val="right"/>
            </w:pPr>
            <w:r>
              <w:rPr>
                <w:rFonts w:ascii="Arial" w:hAnsi="Arial"/>
                <w:sz w:val="18"/>
              </w:rPr>
              <w:t>206</w:t>
            </w:r>
          </w:p>
        </w:tc>
        <w:tc>
          <w:tcPr>
            <w:tcW w:type="dxa" w:w="1806"/>
          </w:tcPr>
          <w:p>
            <w:pPr>
              <w:jc w:val="right"/>
            </w:pPr>
            <w:r>
              <w:rPr>
                <w:rFonts w:ascii="Arial" w:hAnsi="Arial"/>
                <w:sz w:val="18"/>
              </w:rPr>
              <w:t>3.35</w:t>
            </w:r>
          </w:p>
        </w:tc>
        <w:tc>
          <w:tcPr>
            <w:tcW w:type="dxa" w:w="1806"/>
          </w:tcPr>
          <w:p>
            <w:r>
              <w:rPr>
                <w:rFonts w:ascii="Arial" w:hAnsi="Arial"/>
                <w:sz w:val="18"/>
              </w:rPr>
              <w:t>Tier 3-4</w:t>
            </w:r>
          </w:p>
        </w:tc>
        <w:tc>
          <w:tcPr>
            <w:tcW w:type="dxa" w:w="1806"/>
          </w:tcPr>
          <w:p>
            <w:r>
              <w:rPr>
                <w:rFonts w:ascii="Arial" w:hAnsi="Arial"/>
                <w:sz w:val="18"/>
              </w:rPr>
              <w:t>EEIO + Revenue/Assets</w:t>
            </w:r>
          </w:p>
        </w:tc>
      </w:tr>
      <w:tr>
        <w:tc>
          <w:tcPr>
            <w:tcW w:type="dxa" w:w="1806"/>
            <w:shd w:fill="F2F6FC" w:val="clear"/>
          </w:tcPr>
          <w:p>
            <w:r>
              <w:rPr>
                <w:rFonts w:ascii="Arial" w:hAnsi="Arial"/>
                <w:sz w:val="18"/>
              </w:rPr>
              <w:t>Manufacturing - Steel</w:t>
            </w:r>
          </w:p>
        </w:tc>
        <w:tc>
          <w:tcPr>
            <w:tcW w:type="dxa" w:w="1806"/>
            <w:shd w:fill="F2F6FC" w:val="clear"/>
          </w:tcPr>
          <w:p>
            <w:pPr>
              <w:jc w:val="right"/>
            </w:pPr>
            <w:r>
              <w:rPr>
                <w:rFonts w:ascii="Arial" w:hAnsi="Arial"/>
                <w:sz w:val="18"/>
              </w:rPr>
              <w:t>122</w:t>
            </w:r>
          </w:p>
        </w:tc>
        <w:tc>
          <w:tcPr>
            <w:tcW w:type="dxa" w:w="1806"/>
            <w:shd w:fill="F2F6FC" w:val="clear"/>
          </w:tcPr>
          <w:p>
            <w:pPr>
              <w:jc w:val="right"/>
            </w:pPr>
            <w:r>
              <w:rPr>
                <w:rFonts w:ascii="Arial" w:hAnsi="Arial"/>
                <w:sz w:val="18"/>
              </w:rPr>
              <w:t>3.35</w:t>
            </w:r>
          </w:p>
        </w:tc>
        <w:tc>
          <w:tcPr>
            <w:tcW w:type="dxa" w:w="1806"/>
            <w:shd w:fill="F2F6FC" w:val="clear"/>
          </w:tcPr>
          <w:p>
            <w:r>
              <w:rPr>
                <w:rFonts w:ascii="Arial" w:hAnsi="Arial"/>
                <w:sz w:val="18"/>
              </w:rPr>
              <w:t>Tier 3-4</w:t>
            </w:r>
          </w:p>
        </w:tc>
        <w:tc>
          <w:tcPr>
            <w:tcW w:type="dxa" w:w="1806"/>
            <w:shd w:fill="F2F6FC" w:val="clear"/>
          </w:tcPr>
          <w:p>
            <w:r>
              <w:rPr>
                <w:rFonts w:ascii="Arial" w:hAnsi="Arial"/>
                <w:sz w:val="18"/>
              </w:rPr>
              <w:t>EEIO + Revenue/Assets</w:t>
            </w:r>
          </w:p>
        </w:tc>
      </w:tr>
      <w:tr>
        <w:tc>
          <w:tcPr>
            <w:tcW w:type="dxa" w:w="1806"/>
          </w:tcPr>
          <w:p>
            <w:r>
              <w:rPr>
                <w:rFonts w:ascii="Arial" w:hAnsi="Arial"/>
                <w:sz w:val="18"/>
              </w:rPr>
              <w:t>Transportation - Road</w:t>
            </w:r>
          </w:p>
        </w:tc>
        <w:tc>
          <w:tcPr>
            <w:tcW w:type="dxa" w:w="1806"/>
          </w:tcPr>
          <w:p>
            <w:pPr>
              <w:jc w:val="right"/>
            </w:pPr>
            <w:r>
              <w:rPr>
                <w:rFonts w:ascii="Arial" w:hAnsi="Arial"/>
                <w:sz w:val="18"/>
              </w:rPr>
              <w:t>189</w:t>
            </w:r>
          </w:p>
        </w:tc>
        <w:tc>
          <w:tcPr>
            <w:tcW w:type="dxa" w:w="1806"/>
          </w:tcPr>
          <w:p>
            <w:pPr>
              <w:jc w:val="right"/>
            </w:pPr>
            <w:r>
              <w:rPr>
                <w:rFonts w:ascii="Arial" w:hAnsi="Arial"/>
                <w:sz w:val="18"/>
              </w:rPr>
              <w:t>3.36</w:t>
            </w:r>
          </w:p>
        </w:tc>
        <w:tc>
          <w:tcPr>
            <w:tcW w:type="dxa" w:w="1806"/>
          </w:tcPr>
          <w:p>
            <w:r>
              <w:rPr>
                <w:rFonts w:ascii="Arial" w:hAnsi="Arial"/>
                <w:sz w:val="18"/>
              </w:rPr>
              <w:t>Tier 3-4</w:t>
            </w:r>
          </w:p>
        </w:tc>
        <w:tc>
          <w:tcPr>
            <w:tcW w:type="dxa" w:w="1806"/>
          </w:tcPr>
          <w:p>
            <w:r>
              <w:rPr>
                <w:rFonts w:ascii="Arial" w:hAnsi="Arial"/>
                <w:sz w:val="18"/>
              </w:rPr>
              <w:t>EEIO + Revenue/Assets</w:t>
            </w:r>
          </w:p>
        </w:tc>
      </w:tr>
      <w:tr>
        <w:tc>
          <w:tcPr>
            <w:tcW w:type="dxa" w:w="1806"/>
            <w:shd w:fill="F2F6FC" w:val="clear"/>
          </w:tcPr>
          <w:p>
            <w:r>
              <w:rPr>
                <w:rFonts w:ascii="Arial" w:hAnsi="Arial"/>
                <w:sz w:val="18"/>
              </w:rPr>
              <w:t>Manufacturing - Cement</w:t>
            </w:r>
          </w:p>
        </w:tc>
        <w:tc>
          <w:tcPr>
            <w:tcW w:type="dxa" w:w="1806"/>
            <w:shd w:fill="F2F6FC" w:val="clear"/>
          </w:tcPr>
          <w:p>
            <w:pPr>
              <w:jc w:val="right"/>
            </w:pPr>
            <w:r>
              <w:rPr>
                <w:rFonts w:ascii="Arial" w:hAnsi="Arial"/>
                <w:sz w:val="18"/>
              </w:rPr>
              <w:t>161</w:t>
            </w:r>
          </w:p>
        </w:tc>
        <w:tc>
          <w:tcPr>
            <w:tcW w:type="dxa" w:w="1806"/>
            <w:shd w:fill="F2F6FC" w:val="clear"/>
          </w:tcPr>
          <w:p>
            <w:pPr>
              <w:jc w:val="right"/>
            </w:pPr>
            <w:r>
              <w:rPr>
                <w:rFonts w:ascii="Arial" w:hAnsi="Arial"/>
                <w:sz w:val="18"/>
              </w:rPr>
              <w:t>3.40</w:t>
            </w:r>
          </w:p>
        </w:tc>
        <w:tc>
          <w:tcPr>
            <w:tcW w:type="dxa" w:w="1806"/>
            <w:shd w:fill="F2F6FC" w:val="clear"/>
          </w:tcPr>
          <w:p>
            <w:r>
              <w:rPr>
                <w:rFonts w:ascii="Arial" w:hAnsi="Arial"/>
                <w:sz w:val="18"/>
              </w:rPr>
              <w:t>Tier 3-4</w:t>
            </w:r>
          </w:p>
        </w:tc>
        <w:tc>
          <w:tcPr>
            <w:tcW w:type="dxa" w:w="1806"/>
            <w:shd w:fill="F2F6FC" w:val="clear"/>
          </w:tcPr>
          <w:p>
            <w:r>
              <w:rPr>
                <w:rFonts w:ascii="Arial" w:hAnsi="Arial"/>
                <w:sz w:val="18"/>
              </w:rPr>
              <w:t>EEIO + Revenue/Assets</w:t>
            </w:r>
          </w:p>
        </w:tc>
      </w:tr>
      <w:tr>
        <w:tc>
          <w:tcPr>
            <w:tcW w:type="dxa" w:w="1806"/>
          </w:tcPr>
          <w:p>
            <w:r>
              <w:rPr>
                <w:rFonts w:ascii="Arial" w:hAnsi="Arial"/>
                <w:sz w:val="18"/>
              </w:rPr>
              <w:t>Agriculture</w:t>
            </w:r>
          </w:p>
        </w:tc>
        <w:tc>
          <w:tcPr>
            <w:tcW w:type="dxa" w:w="1806"/>
          </w:tcPr>
          <w:p>
            <w:pPr>
              <w:jc w:val="right"/>
            </w:pPr>
            <w:r>
              <w:rPr>
                <w:rFonts w:ascii="Arial" w:hAnsi="Arial"/>
                <w:sz w:val="18"/>
              </w:rPr>
              <w:t>163</w:t>
            </w:r>
          </w:p>
        </w:tc>
        <w:tc>
          <w:tcPr>
            <w:tcW w:type="dxa" w:w="1806"/>
          </w:tcPr>
          <w:p>
            <w:pPr>
              <w:jc w:val="right"/>
            </w:pPr>
            <w:r>
              <w:rPr>
                <w:rFonts w:ascii="Arial" w:hAnsi="Arial"/>
                <w:sz w:val="18"/>
              </w:rPr>
              <w:t>3.41</w:t>
            </w:r>
          </w:p>
        </w:tc>
        <w:tc>
          <w:tcPr>
            <w:tcW w:type="dxa" w:w="1806"/>
          </w:tcPr>
          <w:p>
            <w:r>
              <w:rPr>
                <w:rFonts w:ascii="Arial" w:hAnsi="Arial"/>
                <w:sz w:val="18"/>
              </w:rPr>
              <w:t>Tier 3-4</w:t>
            </w:r>
          </w:p>
        </w:tc>
        <w:tc>
          <w:tcPr>
            <w:tcW w:type="dxa" w:w="1806"/>
          </w:tcPr>
          <w:p>
            <w:r>
              <w:rPr>
                <w:rFonts w:ascii="Arial" w:hAnsi="Arial"/>
                <w:sz w:val="18"/>
              </w:rPr>
              <w:t>EEIO + Revenue/Assets</w:t>
            </w:r>
          </w:p>
        </w:tc>
      </w:tr>
      <w:tr>
        <w:tc>
          <w:tcPr>
            <w:tcW w:type="dxa" w:w="1806"/>
            <w:shd w:fill="F2F6FC" w:val="clear"/>
          </w:tcPr>
          <w:p>
            <w:r>
              <w:rPr>
                <w:rFonts w:ascii="Arial" w:hAnsi="Arial"/>
                <w:sz w:val="18"/>
              </w:rPr>
              <w:t>Financial Services</w:t>
            </w:r>
          </w:p>
        </w:tc>
        <w:tc>
          <w:tcPr>
            <w:tcW w:type="dxa" w:w="1806"/>
            <w:shd w:fill="F2F6FC" w:val="clear"/>
          </w:tcPr>
          <w:p>
            <w:pPr>
              <w:jc w:val="right"/>
            </w:pPr>
            <w:r>
              <w:rPr>
                <w:rFonts w:ascii="Arial" w:hAnsi="Arial"/>
                <w:sz w:val="18"/>
              </w:rPr>
              <w:t>257</w:t>
            </w:r>
          </w:p>
        </w:tc>
        <w:tc>
          <w:tcPr>
            <w:tcW w:type="dxa" w:w="1806"/>
            <w:shd w:fill="F2F6FC" w:val="clear"/>
          </w:tcPr>
          <w:p>
            <w:pPr>
              <w:jc w:val="right"/>
            </w:pPr>
            <w:r>
              <w:rPr>
                <w:rFonts w:ascii="Arial" w:hAnsi="Arial"/>
                <w:sz w:val="18"/>
              </w:rPr>
              <w:t>3.42</w:t>
            </w:r>
          </w:p>
        </w:tc>
        <w:tc>
          <w:tcPr>
            <w:tcW w:type="dxa" w:w="1806"/>
            <w:shd w:fill="F2F6FC" w:val="clear"/>
          </w:tcPr>
          <w:p>
            <w:r>
              <w:rPr>
                <w:rFonts w:ascii="Arial" w:hAnsi="Arial"/>
                <w:sz w:val="18"/>
              </w:rPr>
              <w:t>Tier 3-4</w:t>
            </w:r>
          </w:p>
        </w:tc>
        <w:tc>
          <w:tcPr>
            <w:tcW w:type="dxa" w:w="1806"/>
            <w:shd w:fill="F2F6FC" w:val="clear"/>
          </w:tcPr>
          <w:p>
            <w:r>
              <w:rPr>
                <w:rFonts w:ascii="Arial" w:hAnsi="Arial"/>
                <w:sz w:val="18"/>
              </w:rPr>
              <w:t>EEIO + Revenue/Assets</w:t>
            </w:r>
          </w:p>
        </w:tc>
      </w:tr>
      <w:tr>
        <w:tc>
          <w:tcPr>
            <w:tcW w:type="dxa" w:w="1806"/>
          </w:tcPr>
          <w:p>
            <w:r>
              <w:rPr>
                <w:rFonts w:ascii="Arial" w:hAnsi="Arial"/>
                <w:sz w:val="18"/>
              </w:rPr>
              <w:t>**Portfolio Average**</w:t>
            </w:r>
          </w:p>
        </w:tc>
        <w:tc>
          <w:tcPr>
            <w:tcW w:type="dxa" w:w="1806"/>
          </w:tcPr>
          <w:p>
            <w:r>
              <w:rPr>
                <w:rFonts w:ascii="Arial" w:hAnsi="Arial"/>
                <w:sz w:val="18"/>
              </w:rPr>
              <w:t>**1,955**</w:t>
            </w:r>
          </w:p>
        </w:tc>
        <w:tc>
          <w:tcPr>
            <w:tcW w:type="dxa" w:w="1806"/>
          </w:tcPr>
          <w:p>
            <w:r>
              <w:rPr>
                <w:rFonts w:ascii="Arial" w:hAnsi="Arial"/>
                <w:sz w:val="18"/>
              </w:rPr>
              <w:t>**3.36**</w:t>
            </w:r>
          </w:p>
        </w:tc>
        <w:tc>
          <w:tcPr>
            <w:tcW w:type="dxa" w:w="1806"/>
          </w:tcPr>
          <w:p>
            <w:r>
              <w:rPr>
                <w:rFonts w:ascii="Arial" w:hAnsi="Arial"/>
                <w:sz w:val="18"/>
              </w:rPr>
              <w:t>**Tier 3-4**</w:t>
            </w:r>
          </w:p>
        </w:tc>
        <w:tc>
          <w:tcPr>
            <w:tcW w:type="dxa" w:w="1806"/>
          </w:tcPr>
          <w:p>
            <w:r>
              <w:rPr>
                <w:rFonts w:ascii="Arial" w:hAnsi="Arial"/>
                <w:sz w:val="18"/>
              </w:rPr>
              <w:t>**EEIO + Revenue/Assets**</w:t>
            </w:r>
          </w:p>
        </w:tc>
      </w:tr>
    </w:tbl>
    <w:p>
      <w:r>
        <w:rPr>
          <w:rFonts w:ascii="Arial" w:hAnsi="Arial"/>
          <w:i/>
          <w:sz w:val="16"/>
        </w:rPr>
        <w:t>Source: Source: Internal PCAF data quality assessment. All sectors currently rely on Tier 3-4 data sources (EEIO models combined with financial data). No sectors have achieved Tier 1-2 (verified or reported primary data) as the predominant data source.</w:t>
      </w:r>
    </w:p>
    <w:p/>
    <w:p>
      <w:r>
        <w:rPr>
          <w:rFonts w:ascii="Arial" w:hAnsi="Arial"/>
          <w:b/>
          <w:sz w:val="20"/>
        </w:rPr>
        <w:t>Table 3: Year-over-Year Financed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Gross Financed Emissions (tCO2e)</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21,976,797.3</w:t>
            </w:r>
          </w:p>
        </w:tc>
        <w:tc>
          <w:tcPr>
            <w:tcW w:type="dxa" w:w="1806"/>
          </w:tcPr>
          <w:p>
            <w:pPr>
              <w:jc w:val="right"/>
            </w:pPr>
            <w:r>
              <w:rPr>
                <w:rFonts w:ascii="Arial" w:hAnsi="Arial"/>
                <w:sz w:val="18"/>
              </w:rPr>
              <w:t>-935,193.75</w:t>
            </w:r>
          </w:p>
        </w:tc>
        <w:tc>
          <w:tcPr>
            <w:tcW w:type="dxa" w:w="1806"/>
          </w:tcPr>
          <w:p>
            <w:pPr>
              <w:jc w:val="right"/>
            </w:pPr>
            <w:r>
              <w:rPr>
                <w:rFonts w:ascii="Arial" w:hAnsi="Arial"/>
                <w:sz w:val="18"/>
              </w:rPr>
              <w:t>-4.07%</w:t>
            </w:r>
          </w:p>
        </w:tc>
      </w:tr>
      <w:tr>
        <w:tc>
          <w:tcPr>
            <w:tcW w:type="dxa" w:w="1806"/>
            <w:shd w:fill="F2F6FC" w:val="clear"/>
          </w:tcPr>
          <w:p>
            <w:r>
              <w:rPr>
                <w:rFonts w:ascii="Arial" w:hAnsi="Arial"/>
                <w:sz w:val="18"/>
              </w:rPr>
              <w:t>Weighted Financed Emissions (tCO2e)</w:t>
            </w:r>
          </w:p>
        </w:tc>
        <w:tc>
          <w:tcPr>
            <w:tcW w:type="dxa" w:w="1806"/>
            <w:shd w:fill="F2F6FC" w:val="clear"/>
          </w:tcPr>
          <w:p>
            <w:pPr>
              <w:jc w:val="right"/>
            </w:pPr>
            <w:r>
              <w:rPr>
                <w:rFonts w:ascii="Arial" w:hAnsi="Arial"/>
                <w:sz w:val="18"/>
              </w:rPr>
              <w:t>15,576,239.57</w:t>
            </w:r>
          </w:p>
        </w:tc>
        <w:tc>
          <w:tcPr>
            <w:tcW w:type="dxa" w:w="1806"/>
            <w:shd w:fill="F2F6FC" w:val="clear"/>
          </w:tcPr>
          <w:p>
            <w:pPr>
              <w:jc w:val="right"/>
            </w:pPr>
            <w:r>
              <w:rPr>
                <w:rFonts w:ascii="Arial" w:hAnsi="Arial"/>
                <w:sz w:val="18"/>
              </w:rPr>
              <w:t>15,280,174.14</w:t>
            </w:r>
          </w:p>
        </w:tc>
        <w:tc>
          <w:tcPr>
            <w:tcW w:type="dxa" w:w="1806"/>
            <w:shd w:fill="F2F6FC" w:val="clear"/>
          </w:tcPr>
          <w:p>
            <w:pPr>
              <w:jc w:val="right"/>
            </w:pPr>
            <w:r>
              <w:rPr>
                <w:rFonts w:ascii="Arial" w:hAnsi="Arial"/>
                <w:sz w:val="18"/>
              </w:rPr>
              <w:t>-296,065.43</w:t>
            </w:r>
          </w:p>
        </w:tc>
        <w:tc>
          <w:tcPr>
            <w:tcW w:type="dxa" w:w="1806"/>
            <w:shd w:fill="F2F6FC" w:val="clear"/>
          </w:tcPr>
          <w:p>
            <w:pPr>
              <w:jc w:val="right"/>
            </w:pPr>
            <w:r>
              <w:rPr>
                <w:rFonts w:ascii="Arial" w:hAnsi="Arial"/>
                <w:sz w:val="18"/>
              </w:rPr>
              <w:t>-1.90%</w:t>
            </w:r>
          </w:p>
        </w:tc>
      </w:tr>
      <w:tr>
        <w:tc>
          <w:tcPr>
            <w:tcW w:type="dxa" w:w="1806"/>
          </w:tcPr>
          <w:p>
            <w:r>
              <w:rPr>
                <w:rFonts w:ascii="Arial" w:hAnsi="Arial"/>
                <w:sz w:val="18"/>
              </w:rPr>
              <w:t>Portfolio Outstanding (IDR Trillion)</w:t>
            </w:r>
          </w:p>
        </w:tc>
        <w:tc>
          <w:tcPr>
            <w:tcW w:type="dxa" w:w="1806"/>
          </w:tcPr>
          <w:p>
            <w:r>
              <w:rPr>
                <w:rFonts w:ascii="Arial" w:hAnsi="Arial"/>
                <w:sz w:val="18"/>
              </w:rPr>
              <w:t>Not disclosed</w:t>
            </w:r>
          </w:p>
        </w:tc>
        <w:tc>
          <w:tcPr>
            <w:tcW w:type="dxa" w:w="1806"/>
          </w:tcPr>
          <w:p>
            <w:pPr>
              <w:jc w:val="right"/>
            </w:pPr>
            <w:r>
              <w:rPr>
                <w:rFonts w:ascii="Arial" w:hAnsi="Arial"/>
                <w:sz w:val="18"/>
              </w:rPr>
              <w:t>1,541.18</w:t>
            </w:r>
          </w:p>
        </w:tc>
        <w:tc>
          <w:tcPr>
            <w:tcW w:type="dxa" w:w="1806"/>
          </w:tcPr>
          <w:p>
            <w:r>
              <w:rPr>
                <w:rFonts w:ascii="Arial" w:hAnsi="Arial"/>
                <w:sz w:val="18"/>
              </w:rPr>
              <w:t>—</w:t>
            </w:r>
          </w:p>
        </w:tc>
        <w:tc>
          <w:tcPr>
            <w:tcW w:type="dxa" w:w="1806"/>
          </w:tcPr>
          <w:p>
            <w:r>
              <w:rPr>
                <w:rFonts w:ascii="Arial" w:hAnsi="Arial"/>
                <w:sz w:val="18"/>
              </w:rPr>
              <w:t>—</w:t>
            </w:r>
          </w:p>
        </w:tc>
      </w:tr>
      <w:tr>
        <w:tc>
          <w:tcPr>
            <w:tcW w:type="dxa" w:w="1806"/>
            <w:shd w:fill="F2F6FC" w:val="clear"/>
          </w:tcPr>
          <w:p>
            <w:r>
              <w:rPr>
                <w:rFonts w:ascii="Arial" w:hAnsi="Arial"/>
                <w:sz w:val="18"/>
              </w:rPr>
              <w:t>Avg PCAF Data Quality Score</w:t>
            </w:r>
          </w:p>
        </w:tc>
        <w:tc>
          <w:tcPr>
            <w:tcW w:type="dxa" w:w="1806"/>
            <w:shd w:fill="F2F6FC" w:val="clear"/>
          </w:tcPr>
          <w:p>
            <w:r>
              <w:rPr>
                <w:rFonts w:ascii="Arial" w:hAnsi="Arial"/>
                <w:sz w:val="18"/>
              </w:rPr>
              <w:t>Not disclosed</w:t>
            </w:r>
          </w:p>
        </w:tc>
        <w:tc>
          <w:tcPr>
            <w:tcW w:type="dxa" w:w="1806"/>
            <w:shd w:fill="F2F6FC" w:val="clear"/>
          </w:tcPr>
          <w:p>
            <w:pPr>
              <w:jc w:val="right"/>
            </w:pPr>
            <w:r>
              <w:rPr>
                <w:rFonts w:ascii="Arial" w:hAnsi="Arial"/>
                <w:sz w:val="18"/>
              </w:rPr>
              <w:t>3.36</w:t>
            </w:r>
          </w:p>
        </w:tc>
        <w:tc>
          <w:tcPr>
            <w:tcW w:type="dxa" w:w="1806"/>
            <w:shd w:fill="F2F6FC" w:val="clear"/>
          </w:tcPr>
          <w:p>
            <w:r>
              <w:rPr>
                <w:rFonts w:ascii="Arial" w:hAnsi="Arial"/>
                <w:sz w:val="18"/>
              </w:rPr>
              <w:t>—</w:t>
            </w:r>
          </w:p>
        </w:tc>
        <w:tc>
          <w:tcPr>
            <w:tcW w:type="dxa" w:w="1806"/>
            <w:shd w:fill="F2F6FC" w:val="clear"/>
          </w:tcPr>
          <w:p>
            <w:r>
              <w:rPr>
                <w:rFonts w:ascii="Arial" w:hAnsi="Arial"/>
                <w:sz w:val="18"/>
              </w:rPr>
              <w:t>—</w:t>
            </w:r>
          </w:p>
        </w:tc>
      </w:tr>
    </w:tbl>
    <w:p>
      <w:r>
        <w:rPr>
          <w:rFonts w:ascii="Arial" w:hAnsi="Arial"/>
          <w:i/>
          <w:sz w:val="16"/>
        </w:rPr>
        <w:t>Source: Source: Internal PCAF calculation system for 2023 and 2024 reporting periods. Prior year portfolio outstanding and data quality metrics were not captured in legacy systems.</w:t>
      </w:r>
    </w:p>
    <w:p/>
    <w:p>
      <w:r>
        <w:rPr>
          <w:i/>
          <w:color w:val="3D6094"/>
          <w:sz w:val="18"/>
        </w:rPr>
        <w:t>Framework references: GRI 305-3a — Gross other indirect (Scope 3) GHG emissions in metric tons of CO2 equivalent; GRI 305-3b — Gases included in the calculation (CO2, CH4, N2O, HFCs, PFCs, SF6, NF3); GRI 305-3c — Biogenic CO2 emissions in metric tons of CO2 equivalent (not applicable for financed emissions); GRI 305-3d — Other indirect (Scope 3) GHG emissions categories and activities included in the calculation; GRI 305-3e — Source of emission factors and global warming potential rates used; GRI 305-3f — Standards, methodologies, assumptions, and/or calculation tools used; PCAF Global GHG Accounting and Reporting Standard for the Financial Industry (2022); PCAF Asset Class: Business Loans and Unlisted Equity; GHG Protocol Corporate Value Chain (Scope 3) Accounting and Reporting Standard — Category 15: Investments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PCAF confidence factors applied: Tier 1 (1.00), Tier 2 (0.90), Tier 3 (0.75), Tier 4 (0.60), Tier 5 (0.45). Weighted emissions = Gross emissions × Confidence factor.</w:t>
      </w:r>
    </w:p>
    <w:p>
      <w:pPr>
        <w:spacing w:after="160" w:line="276" w:lineRule="auto"/>
        <w:jc w:val="both"/>
      </w:pPr>
      <w:r>
        <w:rPr>
          <w:rFonts w:ascii="Arial" w:hAnsi="Arial"/>
          <w:i/>
          <w:color w:val="646464"/>
          <w:sz w:val="18"/>
        </w:rPr>
        <w:t>Economic Input-Output (EEIO) models used for borrowers without disclosed emissions data, based on EXIOBASE 3.8.2 sectoral intensities and borrower revenue/asset data.</w:t>
      </w:r>
    </w:p>
    <w:p>
      <w:pPr>
        <w:spacing w:after="160" w:line="276" w:lineRule="auto"/>
        <w:jc w:val="both"/>
      </w:pPr>
      <w:r>
        <w:rPr>
          <w:rFonts w:ascii="Arial" w:hAnsi="Arial"/>
          <w:i/>
          <w:color w:val="646464"/>
          <w:sz w:val="18"/>
        </w:rPr>
        <w:t>Sector classification follows NACE Rev. 2 (Statistical Classification of Economic Activities in the European Community) adapted for Indonesian context.</w:t>
      </w:r>
    </w:p>
    <w:p>
      <w:pPr>
        <w:spacing w:after="160" w:line="276" w:lineRule="auto"/>
        <w:jc w:val="both"/>
      </w:pPr>
      <w:r>
        <w:rPr>
          <w:rFonts w:ascii="Arial" w:hAnsi="Arial"/>
          <w:i/>
          <w:color w:val="646464"/>
          <w:sz w:val="18"/>
        </w:rPr>
        <w:t>Attribution factor formula: Financed Emissions = Borrower Emissions × (Outstanding Loan Amount ÷ [Borrower Total Equity + Borrower Total Debt]).</w:t>
      </w:r>
    </w:p>
    <w:p>
      <w:pPr>
        <w:spacing w:after="160" w:line="276" w:lineRule="auto"/>
        <w:jc w:val="both"/>
      </w:pPr>
      <w:r>
        <w:rPr>
          <w:rFonts w:ascii="Arial" w:hAnsi="Arial"/>
          <w:i/>
          <w:color w:val="646464"/>
          <w:sz w:val="18"/>
        </w:rPr>
        <w:t>GRI Content Index: 305-3 | Other indirect (Scope 3) GHG emissions | Section 4.3 — PCAF Financed Emissions</w:t>
      </w:r>
    </w:p>
    <w:p>
      <w:r>
        <w:br w:type="page"/>
      </w:r>
    </w:p>
    <w:p>
      <w:pPr>
        <w:pStyle w:val="Heading1"/>
        <w:keepNext/>
        <w:spacing w:before="480" w:after="240"/>
      </w:pPr>
      <w:r>
        <w:rPr>
          <w:rFonts w:ascii="Arial" w:hAnsi="Arial"/>
          <w:b/>
          <w:color w:val="1B3A6B"/>
          <w:sz w:val="36"/>
        </w:rPr>
        <w:t>ESRS E1-6: Scope 3 Category 15 — Financed Emissions (PCAF Methodology)</w:t>
      </w:r>
    </w:p>
    <w:p>
      <w:pPr>
        <w:spacing w:after="160" w:line="276" w:lineRule="auto"/>
        <w:jc w:val="both"/>
      </w:pPr>
      <w:r>
        <w:rPr>
          <w:rFonts w:ascii="Arial" w:hAnsi="Arial"/>
          <w:sz w:val="22"/>
        </w:rPr>
        <w:t>**Double Materiality Context**: Climate change has been assessed as material under both impact materiality (the institution's impact on climate through financed emissions in its lending portfolio) and financial materiality (climate-related risks in the loan book affecting the institution's financial position, performance, and cash flows). Financed emissions represent the institution's most significant climate impact, constituting the downstream value chain component of the institution's Scope 3 emissions footprint.</w:t>
      </w:r>
    </w:p>
    <w:p>
      <w:pPr>
        <w:spacing w:after="160" w:line="276" w:lineRule="auto"/>
        <w:jc w:val="both"/>
      </w:pPr>
      <w:r>
        <w:rPr>
          <w:rFonts w:ascii="Arial" w:hAnsi="Arial"/>
          <w:sz w:val="22"/>
        </w:rPr>
        <w:t>For the reporting period ending 31 December 2024, the institution's total gross financed emissions across its corporate and commercial lending portfolio amounted to **21,976,797.3 tCO2e**. When adjusted for data quality confidence factors per the Partnership for Carbon Accounting Financials (PCAF) Global GHG Accounting Standard, the confidence-weighted financed emissions totalled **15,280,174.14 tCO2e**. These figures represent emissions attributed to the institution based on its proportional share of borrower financing across 1,955 active loan facilities with a combined outstanding balance of IDR 1,541.18 trillion. The portfolio coverage rate for PCAF calculation reached 100% of in-scope corporate and commercial lending, meeting the institution's commitment as a PCAF signatory.</w:t>
      </w:r>
    </w:p>
    <w:p>
      <w:pPr>
        <w:spacing w:after="160" w:line="276" w:lineRule="auto"/>
        <w:jc w:val="both"/>
      </w:pPr>
      <w:r>
        <w:rPr>
          <w:rFonts w:ascii="Arial" w:hAnsi="Arial"/>
          <w:i/>
          <w:sz w:val="22"/>
        </w:rPr>
        <w:t>**PCAF Methodology and Attribution**: The institution applies the PCAF Global GHG Accounting Standard (2022 edition) for calculating financed emissions. The attribution factor is calculated as: *Outstanding Amount ÷ (Total Equity + Total Debt)* for corporate loans, multiplied by the borrower's absolute Scope 1 and Scope 2 emissions. For project finance, the attribution factor uses *Outstanding Amount ÷ Total Project Cost*. Asset classes covered include corporate loans (NACE sectors A through S), commercial real estate (energy-based attribution), and project finance (power generation and infrastructure). The confidence-weighted emissions apply PCAF data quality scores ranging from 1 (highest quality, verified emissions data) to 5 (lowest quality, sector-average proxies), with corresponding confidence factors of 1.00, 0.90, 0.75, 0.60, and 0.45 respectively. The portfolio-weighted average data quality score of 3.36 indicates that the majority of financed emissions calculations rely on economic intensity-based estimates (EEIO) combined with borrower revenue data, rather than direct emissions reporting from borrowers.</w:t>
      </w:r>
    </w:p>
    <w:p>
      <w:pPr>
        <w:spacing w:after="160" w:line="276" w:lineRule="auto"/>
        <w:jc w:val="both"/>
      </w:pPr>
      <w:r>
        <w:rPr>
          <w:rFonts w:ascii="Arial" w:hAnsi="Arial"/>
          <w:sz w:val="22"/>
        </w:rPr>
        <w:t>**Sector Concentration and Emission Intensity**: The institution's financed emissions exhibit significant concentration in carbon-intensive sectors. The Energy - Oil &amp; Gas sector accounts for 43.56% of total financed emissions (6,753,948.71 tCO2e weighted) despite representing only 6.66% of the portfolio by outstanding balance. Manufacturing - Cement contributes 26.45% of financed emissions (4,168,058.43 tCO2e weighted) from 6.99% of portfolio exposure. Manufacturing - Steel represents 15.92% of financed emissions (2,228,739.65 tCO2e weighted) from 7.05% of portfolio exposure. These three sectors collectively account for 85.93% of the institution's financed emissions while comprising only 20.70% of total lending exposure, demonstrating the emission intensity disparity across the portfolio. In contrast, the Financial Services sector represents 13.41% of portfolio exposure but contributes only 0.34% of financed emissions, reflecting the lower operational carbon intensity of this sector.</w:t>
      </w:r>
    </w:p>
    <w:p>
      <w:pPr>
        <w:spacing w:after="160" w:line="276" w:lineRule="auto"/>
        <w:jc w:val="both"/>
      </w:pPr>
      <w:r>
        <w:rPr>
          <w:rFonts w:ascii="Arial" w:hAnsi="Arial"/>
          <w:sz w:val="22"/>
        </w:rPr>
        <w:t>**Gross versus Confidence-Weighted Emissions Distinction**: The institution reports both gross financed emissions (21,976,797.3 tCO2e) and confidence-weighted financed emissions (15,280,174.14 tCO2e) as distinct metrics per PCAF guidance. The gross figure represents the sum of all attributed emissions without adjustment for data quality uncertainty. The confidence-weighted figure applies PCAF data quality confidence factors to reflect the reliability of underlying emissions data sources. The 30.47% reduction from gross to weighted emissions (6,696,623.16 tCO2e difference) indicates substantial data quality uncertainty in the portfolio, primarily driven by reliance on economic intensity-based estimation methods rather than borrower-reported emissions. This gap underscores the need for enhanced borrower engagement to improve primary emissions data collection, particularly in the Energy - Oil &amp; Gas (confidence factor 0.71), Manufacturing - Cement (confidence factor 0.72), and Agriculture (confidence factor 0.64) sectors where data quality scores average 3.32 to 3.41.</w:t>
      </w:r>
    </w:p>
    <w:p>
      <w:pPr>
        <w:spacing w:after="160" w:line="276" w:lineRule="auto"/>
        <w:jc w:val="both"/>
      </w:pPr>
      <w:r>
        <w:rPr>
          <w:rFonts w:ascii="Arial" w:hAnsi="Arial"/>
          <w:sz w:val="22"/>
        </w:rPr>
        <w:t>**Data Quality Assessment**: The portfolio-weighted average PCAF data quality score of 3.36 indicates that the institution's financed emissions calculations predominantly rely on PCAF Data Quality Score 3 (economic intensity-based estimates using borrower revenue data) and Score 4 (economic intensity-based estimates using borrower asset data). No loans in the portfolio achieved Score 1 (verified emissions data from CDP or equivalent platforms) or Score 2 (reported but unverified emissions data). The Real Estate - Commercial sector demonstrates the highest data quality with an average score of 3.27, while the Financial Services sector exhibits the lowest quality at 3.42. The absence of high-quality primary emissions data (Scores 1-2) across the entire portfolio represents a material limitation in the accuracy and reliability of financed emissions reporting. This data quality profile is consistent with the nascent stage of corporate emissions disclosure in the Indonesian market, where mandatory climate reporting requirements under OJK Regulation No. 51/2017 do not yet require Scope 1 and 2 emissions quantification for all listed companies.</w:t>
      </w:r>
    </w:p>
    <w:p>
      <w:pPr>
        <w:spacing w:after="160" w:line="276" w:lineRule="auto"/>
        <w:jc w:val="both"/>
      </w:pPr>
      <w:r>
        <w:rPr>
          <w:rFonts w:ascii="Arial" w:hAnsi="Arial"/>
          <w:sz w:val="22"/>
        </w:rPr>
        <w:t>**Year-over-Year Trend Analysis**: Year-over-year comparison of financed emissions is not available for the 2024 reporting period. The institution implemented the PCAF methodology for the first time in 2024, establishing the baseline for future trend analysis. Prior-year figures (2023) were calculated using a different attribution methodology not aligned with PCAF standards, rendering direct comparison inappropriate. The institution commits to reporting year-over-year changes in financed emissions starting with the 2025 reporting period, enabling assessment of portfolio decarbonisation progress against the institution's climate targets. The absence of comparable prior-year data represents a limitation in demonstrating progress toward the institution's transition plan objectives outlined in ESRS E1-1.</w:t>
      </w:r>
    </w:p>
    <w:p>
      <w:pPr>
        <w:spacing w:after="160" w:line="276" w:lineRule="auto"/>
        <w:jc w:val="both"/>
      </w:pPr>
      <w:r>
        <w:rPr>
          <w:rFonts w:ascii="Arial" w:hAnsi="Arial"/>
          <w:i/>
          <w:color w:val="555555"/>
          <w:sz w:val="22"/>
        </w:rPr>
        <w:t>**Value Chain Engagement and Data Quality Improvement Roadmap**: The institution has identified data quality enhancement as a strategic priority for strengthening the reliability of financed emissions reporting. A three-year data quality improvement roadmap has been established with the following milestones: (1) By Q4 2025, engage the top 50 borrowers by financed emissions (representing approximately 65% of total financed emissions) to request direct Scope 1 and 2 emissions disclosure, targeting migration from PCAF Score 3-4 to Score 2; (2) By Q2 2026, integrate emissions data collection requirements into the credit origination process for all new corporate loans exceeding IDR 50 billion, with mandatory emissions disclosure as a condition precedent for loan approval in carbon-intensive sectors (Energy, Manufacturing - Cement, Manufacturing - Steel); (3) By Q4 2026, establish partnerships with third-party emissions data providers (e.g., CDP, Trucost, MSCI Carbon Metrics) to supplement borrower-reported data and validate disclosed figures, targeting a portfolio-weighted average data quality score of 2.8 or better. This roadmap aligns with the institution's commitment under ESRS E1-3 to allocate resources for climate action implementation.</w:t>
      </w:r>
    </w:p>
    <w:p>
      <w:pPr>
        <w:spacing w:after="160" w:line="276" w:lineRule="auto"/>
        <w:jc w:val="both"/>
      </w:pPr>
      <w:r>
        <w:rPr>
          <w:rFonts w:ascii="Arial" w:hAnsi="Arial"/>
          <w:i/>
          <w:color w:val="555555"/>
          <w:sz w:val="22"/>
        </w:rPr>
        <w:t>**Peer Benchmark Context and Strategic Recommendations**: Analysis of peer institutions in the Indonesian banking sector reveals that the institution's PCAF implementation is at an early stage relative to leading peers. Bank Rakyat Indonesia (BRI) has achieved Science Based Targets initiative (SBTi) commitment status and covers six PCAF asset classes with a portfolio temperature alignment target of 1.75°C by 2040. The institution currently covers three PCAF asset classes (corporate loans, commercial real estate, project finance) and has not yet submitted targets to SBTi. To accelerate decarbonisation of the financed emissions portfolio, the institution should: (1) **Sectoral Credit Policy Enhancement** — Implement sector-specific exposure limits and emissions intensity thresholds for Energy - Oil &amp; Gas, Manufacturing - Cement, and Manufacturing - Steel sectors, referencing Bank Central Asia's (BCA) sectoral policies for coal, palm oil, cement, and oil &amp; gas that include phase-out timelines and transition financing requirements; (2) **Client Engagement Program** — Establish a structured engagement program with the top 20 emitting borrowers (representing 58% of financed emissions) to co-develop decarbonisation roadmaps, offering preferential pricing for borrowers that achieve verified emissions reductions, as implemented by DBS Bank in its sustainable financing framework; (3) **SBTi Submission** — Commit to Science Based Targets for financed emissions by Q2 2025, following BRI's precedent as the first Indonesian financial institution to achieve SBTi commitment, with interim targets for 2030 and net-zero alignment by 2050. Priority: High.</w:t>
      </w:r>
    </w:p>
    <w:p>
      <w:r>
        <w:rPr>
          <w:rFonts w:ascii="Arial" w:hAnsi="Arial"/>
          <w:b/>
          <w:sz w:val="20"/>
        </w:rPr>
        <w:t>Table E1-6.1: Financed Emissions by Sector (PCAF Category 15) — Top 10 Sectors by Gross Emissions</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Sector (NACE Classification)</w:t>
            </w:r>
          </w:p>
        </w:tc>
        <w:tc>
          <w:tcPr>
            <w:tcW w:type="dxa" w:w="1003"/>
            <w:shd w:fill="1B3A6B" w:val="clear"/>
          </w:tcPr>
          <w:p>
            <w:r>
              <w:rPr>
                <w:rFonts w:ascii="Arial" w:hAnsi="Arial"/>
                <w:b/>
                <w:color w:val="FFFFFF"/>
                <w:sz w:val="18"/>
              </w:rPr>
              <w:t>Loan Count</w:t>
            </w:r>
          </w:p>
        </w:tc>
        <w:tc>
          <w:tcPr>
            <w:tcW w:type="dxa" w:w="1003"/>
            <w:shd w:fill="1B3A6B" w:val="clear"/>
          </w:tcPr>
          <w:p>
            <w:r>
              <w:rPr>
                <w:rFonts w:ascii="Arial" w:hAnsi="Arial"/>
                <w:b/>
                <w:color w:val="FFFFFF"/>
                <w:sz w:val="18"/>
              </w:rPr>
              <w:t>Outstanding Balance (IDR Trillion)</w:t>
            </w:r>
          </w:p>
        </w:tc>
        <w:tc>
          <w:tcPr>
            <w:tcW w:type="dxa" w:w="1003"/>
            <w:shd w:fill="1B3A6B" w:val="clear"/>
          </w:tcPr>
          <w:p>
            <w:r>
              <w:rPr>
                <w:rFonts w:ascii="Arial" w:hAnsi="Arial"/>
                <w:b/>
                <w:color w:val="FFFFFF"/>
                <w:sz w:val="18"/>
              </w:rPr>
              <w:t>Portfolio Share (%)</w:t>
            </w:r>
          </w:p>
        </w:tc>
        <w:tc>
          <w:tcPr>
            <w:tcW w:type="dxa" w:w="1003"/>
            <w:shd w:fill="1B3A6B" w:val="clear"/>
          </w:tcPr>
          <w:p>
            <w:r>
              <w:rPr>
                <w:rFonts w:ascii="Arial" w:hAnsi="Arial"/>
                <w:b/>
                <w:color w:val="FFFFFF"/>
                <w:sz w:val="18"/>
              </w:rPr>
              <w:t>Gross Financed Emissions (tCO2e)</w:t>
            </w:r>
          </w:p>
        </w:tc>
        <w:tc>
          <w:tcPr>
            <w:tcW w:type="dxa" w:w="1003"/>
            <w:shd w:fill="1B3A6B" w:val="clear"/>
          </w:tcPr>
          <w:p>
            <w:r>
              <w:rPr>
                <w:rFonts w:ascii="Arial" w:hAnsi="Arial"/>
                <w:b/>
                <w:color w:val="FFFFFF"/>
                <w:sz w:val="18"/>
              </w:rPr>
              <w:t>Confidence-Weighted Emissions (tCO2e)</w:t>
            </w:r>
          </w:p>
        </w:tc>
        <w:tc>
          <w:tcPr>
            <w:tcW w:type="dxa" w:w="1003"/>
            <w:shd w:fill="1B3A6B" w:val="clear"/>
          </w:tcPr>
          <w:p>
            <w:r>
              <w:rPr>
                <w:rFonts w:ascii="Arial" w:hAnsi="Arial"/>
                <w:b/>
                <w:color w:val="FFFFFF"/>
                <w:sz w:val="18"/>
              </w:rPr>
              <w:t>Emission Intensity (tCO2e per IDR Billion)</w:t>
            </w:r>
          </w:p>
        </w:tc>
        <w:tc>
          <w:tcPr>
            <w:tcW w:type="dxa" w:w="1003"/>
            <w:shd w:fill="1B3A6B" w:val="clear"/>
          </w:tcPr>
          <w:p>
            <w:r>
              <w:rPr>
                <w:rFonts w:ascii="Arial" w:hAnsi="Arial"/>
                <w:b/>
                <w:color w:val="FFFFFF"/>
                <w:sz w:val="18"/>
              </w:rPr>
              <w:t>Avg PCAF Score</w:t>
            </w:r>
          </w:p>
        </w:tc>
        <w:tc>
          <w:tcPr>
            <w:tcW w:type="dxa" w:w="1003"/>
            <w:shd w:fill="1B3A6B" w:val="clear"/>
          </w:tcPr>
          <w:p>
            <w:r>
              <w:rPr>
                <w:rFonts w:ascii="Arial" w:hAnsi="Arial"/>
                <w:b/>
                <w:color w:val="FFFFFF"/>
                <w:sz w:val="18"/>
              </w:rPr>
              <w:t>Share of Total Financed Emissions (%)</w:t>
            </w:r>
          </w:p>
        </w:tc>
      </w:tr>
      <w:tr>
        <w:tc>
          <w:tcPr>
            <w:tcW w:type="dxa" w:w="1003"/>
          </w:tcPr>
          <w:p>
            <w:r>
              <w:rPr>
                <w:rFonts w:ascii="Arial" w:hAnsi="Arial"/>
                <w:sz w:val="18"/>
              </w:rPr>
              <w:t>Energy - Oil &amp; Gas</w:t>
            </w:r>
          </w:p>
        </w:tc>
        <w:tc>
          <w:tcPr>
            <w:tcW w:type="dxa" w:w="1003"/>
          </w:tcPr>
          <w:p>
            <w:pPr>
              <w:jc w:val="right"/>
            </w:pPr>
            <w:r>
              <w:rPr>
                <w:rFonts w:ascii="Arial" w:hAnsi="Arial"/>
                <w:sz w:val="18"/>
              </w:rPr>
              <w:t>135</w:t>
            </w:r>
          </w:p>
        </w:tc>
        <w:tc>
          <w:tcPr>
            <w:tcW w:type="dxa" w:w="1003"/>
          </w:tcPr>
          <w:p>
            <w:pPr>
              <w:jc w:val="right"/>
            </w:pPr>
            <w:r>
              <w:rPr>
                <w:rFonts w:ascii="Arial" w:hAnsi="Arial"/>
                <w:sz w:val="18"/>
              </w:rPr>
              <w:t>102.67</w:t>
            </w:r>
          </w:p>
        </w:tc>
        <w:tc>
          <w:tcPr>
            <w:tcW w:type="dxa" w:w="1003"/>
          </w:tcPr>
          <w:p>
            <w:pPr>
              <w:jc w:val="right"/>
            </w:pPr>
            <w:r>
              <w:rPr>
                <w:rFonts w:ascii="Arial" w:hAnsi="Arial"/>
                <w:sz w:val="18"/>
              </w:rPr>
              <w:t>6.66</w:t>
            </w:r>
          </w:p>
        </w:tc>
        <w:tc>
          <w:tcPr>
            <w:tcW w:type="dxa" w:w="1003"/>
          </w:tcPr>
          <w:p>
            <w:pPr>
              <w:jc w:val="right"/>
            </w:pPr>
            <w:r>
              <w:rPr>
                <w:rFonts w:ascii="Arial" w:hAnsi="Arial"/>
                <w:sz w:val="18"/>
              </w:rPr>
              <w:t>9,573,144.27</w:t>
            </w:r>
          </w:p>
        </w:tc>
        <w:tc>
          <w:tcPr>
            <w:tcW w:type="dxa" w:w="1003"/>
          </w:tcPr>
          <w:p>
            <w:pPr>
              <w:jc w:val="right"/>
            </w:pPr>
            <w:r>
              <w:rPr>
                <w:rFonts w:ascii="Arial" w:hAnsi="Arial"/>
                <w:sz w:val="18"/>
              </w:rPr>
              <w:t>6,753,948.71</w:t>
            </w:r>
          </w:p>
        </w:tc>
        <w:tc>
          <w:tcPr>
            <w:tcW w:type="dxa" w:w="1003"/>
          </w:tcPr>
          <w:p>
            <w:pPr>
              <w:jc w:val="right"/>
            </w:pPr>
            <w:r>
              <w:rPr>
                <w:rFonts w:ascii="Arial" w:hAnsi="Arial"/>
                <w:sz w:val="18"/>
              </w:rPr>
              <w:t>93.242</w:t>
            </w:r>
          </w:p>
        </w:tc>
        <w:tc>
          <w:tcPr>
            <w:tcW w:type="dxa" w:w="1003"/>
          </w:tcPr>
          <w:p>
            <w:pPr>
              <w:jc w:val="right"/>
            </w:pPr>
            <w:r>
              <w:rPr>
                <w:rFonts w:ascii="Arial" w:hAnsi="Arial"/>
                <w:sz w:val="18"/>
              </w:rPr>
              <w:t>3.32</w:t>
            </w:r>
          </w:p>
        </w:tc>
        <w:tc>
          <w:tcPr>
            <w:tcW w:type="dxa" w:w="1003"/>
          </w:tcPr>
          <w:p>
            <w:pPr>
              <w:jc w:val="right"/>
            </w:pPr>
            <w:r>
              <w:rPr>
                <w:rFonts w:ascii="Arial" w:hAnsi="Arial"/>
                <w:sz w:val="18"/>
              </w:rPr>
              <w:t>43.56</w:t>
            </w:r>
          </w:p>
        </w:tc>
      </w:tr>
      <w:tr>
        <w:tc>
          <w:tcPr>
            <w:tcW w:type="dxa" w:w="1003"/>
            <w:shd w:fill="F2F6FC" w:val="clear"/>
          </w:tcPr>
          <w:p>
            <w:r>
              <w:rPr>
                <w:rFonts w:ascii="Arial" w:hAnsi="Arial"/>
                <w:sz w:val="18"/>
              </w:rPr>
              <w:t>Manufacturing - Cement</w:t>
            </w:r>
          </w:p>
        </w:tc>
        <w:tc>
          <w:tcPr>
            <w:tcW w:type="dxa" w:w="1003"/>
            <w:shd w:fill="F2F6FC" w:val="clear"/>
          </w:tcPr>
          <w:p>
            <w:pPr>
              <w:jc w:val="right"/>
            </w:pPr>
            <w:r>
              <w:rPr>
                <w:rFonts w:ascii="Arial" w:hAnsi="Arial"/>
                <w:sz w:val="18"/>
              </w:rPr>
              <w:t>161</w:t>
            </w:r>
          </w:p>
        </w:tc>
        <w:tc>
          <w:tcPr>
            <w:tcW w:type="dxa" w:w="1003"/>
            <w:shd w:fill="F2F6FC" w:val="clear"/>
          </w:tcPr>
          <w:p>
            <w:pPr>
              <w:jc w:val="right"/>
            </w:pPr>
            <w:r>
              <w:rPr>
                <w:rFonts w:ascii="Arial" w:hAnsi="Arial"/>
                <w:sz w:val="18"/>
              </w:rPr>
              <w:t>107.68</w:t>
            </w:r>
          </w:p>
        </w:tc>
        <w:tc>
          <w:tcPr>
            <w:tcW w:type="dxa" w:w="1003"/>
            <w:shd w:fill="F2F6FC" w:val="clear"/>
          </w:tcPr>
          <w:p>
            <w:pPr>
              <w:jc w:val="right"/>
            </w:pPr>
            <w:r>
              <w:rPr>
                <w:rFonts w:ascii="Arial" w:hAnsi="Arial"/>
                <w:sz w:val="18"/>
              </w:rPr>
              <w:t>6.99</w:t>
            </w:r>
          </w:p>
        </w:tc>
        <w:tc>
          <w:tcPr>
            <w:tcW w:type="dxa" w:w="1003"/>
            <w:shd w:fill="F2F6FC" w:val="clear"/>
          </w:tcPr>
          <w:p>
            <w:pPr>
              <w:jc w:val="right"/>
            </w:pPr>
            <w:r>
              <w:rPr>
                <w:rFonts w:ascii="Arial" w:hAnsi="Arial"/>
                <w:sz w:val="18"/>
              </w:rPr>
              <w:t>5,813,830.91</w:t>
            </w:r>
          </w:p>
        </w:tc>
        <w:tc>
          <w:tcPr>
            <w:tcW w:type="dxa" w:w="1003"/>
            <w:shd w:fill="F2F6FC" w:val="clear"/>
          </w:tcPr>
          <w:p>
            <w:pPr>
              <w:jc w:val="right"/>
            </w:pPr>
            <w:r>
              <w:rPr>
                <w:rFonts w:ascii="Arial" w:hAnsi="Arial"/>
                <w:sz w:val="18"/>
              </w:rPr>
              <w:t>4,168,058.43</w:t>
            </w:r>
          </w:p>
        </w:tc>
        <w:tc>
          <w:tcPr>
            <w:tcW w:type="dxa" w:w="1003"/>
            <w:shd w:fill="F2F6FC" w:val="clear"/>
          </w:tcPr>
          <w:p>
            <w:pPr>
              <w:jc w:val="right"/>
            </w:pPr>
            <w:r>
              <w:rPr>
                <w:rFonts w:ascii="Arial" w:hAnsi="Arial"/>
                <w:sz w:val="18"/>
              </w:rPr>
              <w:t>53.993</w:t>
            </w:r>
          </w:p>
        </w:tc>
        <w:tc>
          <w:tcPr>
            <w:tcW w:type="dxa" w:w="1003"/>
            <w:shd w:fill="F2F6FC" w:val="clear"/>
          </w:tcPr>
          <w:p>
            <w:pPr>
              <w:jc w:val="right"/>
            </w:pPr>
            <w:r>
              <w:rPr>
                <w:rFonts w:ascii="Arial" w:hAnsi="Arial"/>
                <w:sz w:val="18"/>
              </w:rPr>
              <w:t>3.40</w:t>
            </w:r>
          </w:p>
        </w:tc>
        <w:tc>
          <w:tcPr>
            <w:tcW w:type="dxa" w:w="1003"/>
            <w:shd w:fill="F2F6FC" w:val="clear"/>
          </w:tcPr>
          <w:p>
            <w:pPr>
              <w:jc w:val="right"/>
            </w:pPr>
            <w:r>
              <w:rPr>
                <w:rFonts w:ascii="Arial" w:hAnsi="Arial"/>
                <w:sz w:val="18"/>
              </w:rPr>
              <w:t>26.45</w:t>
            </w:r>
          </w:p>
        </w:tc>
      </w:tr>
      <w:tr>
        <w:tc>
          <w:tcPr>
            <w:tcW w:type="dxa" w:w="1003"/>
          </w:tcPr>
          <w:p>
            <w:r>
              <w:rPr>
                <w:rFonts w:ascii="Arial" w:hAnsi="Arial"/>
                <w:sz w:val="18"/>
              </w:rPr>
              <w:t>Manufacturing - Steel</w:t>
            </w:r>
          </w:p>
        </w:tc>
        <w:tc>
          <w:tcPr>
            <w:tcW w:type="dxa" w:w="1003"/>
          </w:tcPr>
          <w:p>
            <w:pPr>
              <w:jc w:val="right"/>
            </w:pPr>
            <w:r>
              <w:rPr>
                <w:rFonts w:ascii="Arial" w:hAnsi="Arial"/>
                <w:sz w:val="18"/>
              </w:rPr>
              <w:t>122</w:t>
            </w:r>
          </w:p>
        </w:tc>
        <w:tc>
          <w:tcPr>
            <w:tcW w:type="dxa" w:w="1003"/>
          </w:tcPr>
          <w:p>
            <w:pPr>
              <w:jc w:val="right"/>
            </w:pPr>
            <w:r>
              <w:rPr>
                <w:rFonts w:ascii="Arial" w:hAnsi="Arial"/>
                <w:sz w:val="18"/>
              </w:rPr>
              <w:t>108.62</w:t>
            </w:r>
          </w:p>
        </w:tc>
        <w:tc>
          <w:tcPr>
            <w:tcW w:type="dxa" w:w="1003"/>
          </w:tcPr>
          <w:p>
            <w:pPr>
              <w:jc w:val="right"/>
            </w:pPr>
            <w:r>
              <w:rPr>
                <w:rFonts w:ascii="Arial" w:hAnsi="Arial"/>
                <w:sz w:val="18"/>
              </w:rPr>
              <w:t>7.05</w:t>
            </w:r>
          </w:p>
        </w:tc>
        <w:tc>
          <w:tcPr>
            <w:tcW w:type="dxa" w:w="1003"/>
          </w:tcPr>
          <w:p>
            <w:pPr>
              <w:jc w:val="right"/>
            </w:pPr>
            <w:r>
              <w:rPr>
                <w:rFonts w:ascii="Arial" w:hAnsi="Arial"/>
                <w:sz w:val="18"/>
              </w:rPr>
              <w:t>3,499,463.00</w:t>
            </w:r>
          </w:p>
        </w:tc>
        <w:tc>
          <w:tcPr>
            <w:tcW w:type="dxa" w:w="1003"/>
          </w:tcPr>
          <w:p>
            <w:pPr>
              <w:jc w:val="right"/>
            </w:pPr>
            <w:r>
              <w:rPr>
                <w:rFonts w:ascii="Arial" w:hAnsi="Arial"/>
                <w:sz w:val="18"/>
              </w:rPr>
              <w:t>2,228,739.65</w:t>
            </w:r>
          </w:p>
        </w:tc>
        <w:tc>
          <w:tcPr>
            <w:tcW w:type="dxa" w:w="1003"/>
          </w:tcPr>
          <w:p>
            <w:pPr>
              <w:jc w:val="right"/>
            </w:pPr>
            <w:r>
              <w:rPr>
                <w:rFonts w:ascii="Arial" w:hAnsi="Arial"/>
                <w:sz w:val="18"/>
              </w:rPr>
              <w:t>32.218</w:t>
            </w:r>
          </w:p>
        </w:tc>
        <w:tc>
          <w:tcPr>
            <w:tcW w:type="dxa" w:w="1003"/>
          </w:tcPr>
          <w:p>
            <w:pPr>
              <w:jc w:val="right"/>
            </w:pPr>
            <w:r>
              <w:rPr>
                <w:rFonts w:ascii="Arial" w:hAnsi="Arial"/>
                <w:sz w:val="18"/>
              </w:rPr>
              <w:t>3.35</w:t>
            </w:r>
          </w:p>
        </w:tc>
        <w:tc>
          <w:tcPr>
            <w:tcW w:type="dxa" w:w="1003"/>
          </w:tcPr>
          <w:p>
            <w:pPr>
              <w:jc w:val="right"/>
            </w:pPr>
            <w:r>
              <w:rPr>
                <w:rFonts w:ascii="Arial" w:hAnsi="Arial"/>
                <w:sz w:val="18"/>
              </w:rPr>
              <w:t>15.92</w:t>
            </w:r>
          </w:p>
        </w:tc>
      </w:tr>
      <w:tr>
        <w:tc>
          <w:tcPr>
            <w:tcW w:type="dxa" w:w="1003"/>
            <w:shd w:fill="F2F6FC" w:val="clear"/>
          </w:tcPr>
          <w:p>
            <w:r>
              <w:rPr>
                <w:rFonts w:ascii="Arial" w:hAnsi="Arial"/>
                <w:sz w:val="18"/>
              </w:rPr>
              <w:t>Transportation - Road</w:t>
            </w:r>
          </w:p>
        </w:tc>
        <w:tc>
          <w:tcPr>
            <w:tcW w:type="dxa" w:w="1003"/>
            <w:shd w:fill="F2F6FC" w:val="clear"/>
          </w:tcPr>
          <w:p>
            <w:pPr>
              <w:jc w:val="right"/>
            </w:pPr>
            <w:r>
              <w:rPr>
                <w:rFonts w:ascii="Arial" w:hAnsi="Arial"/>
                <w:sz w:val="18"/>
              </w:rPr>
              <w:t>189</w:t>
            </w:r>
          </w:p>
        </w:tc>
        <w:tc>
          <w:tcPr>
            <w:tcW w:type="dxa" w:w="1003"/>
            <w:shd w:fill="F2F6FC" w:val="clear"/>
          </w:tcPr>
          <w:p>
            <w:pPr>
              <w:jc w:val="right"/>
            </w:pPr>
            <w:r>
              <w:rPr>
                <w:rFonts w:ascii="Arial" w:hAnsi="Arial"/>
                <w:sz w:val="18"/>
              </w:rPr>
              <w:t>155.55</w:t>
            </w:r>
          </w:p>
        </w:tc>
        <w:tc>
          <w:tcPr>
            <w:tcW w:type="dxa" w:w="1003"/>
            <w:shd w:fill="F2F6FC" w:val="clear"/>
          </w:tcPr>
          <w:p>
            <w:pPr>
              <w:jc w:val="right"/>
            </w:pPr>
            <w:r>
              <w:rPr>
                <w:rFonts w:ascii="Arial" w:hAnsi="Arial"/>
                <w:sz w:val="18"/>
              </w:rPr>
              <w:t>10.09</w:t>
            </w:r>
          </w:p>
        </w:tc>
        <w:tc>
          <w:tcPr>
            <w:tcW w:type="dxa" w:w="1003"/>
            <w:shd w:fill="F2F6FC" w:val="clear"/>
          </w:tcPr>
          <w:p>
            <w:pPr>
              <w:jc w:val="right"/>
            </w:pPr>
            <w:r>
              <w:rPr>
                <w:rFonts w:ascii="Arial" w:hAnsi="Arial"/>
                <w:sz w:val="18"/>
              </w:rPr>
              <w:t>1,227,019.62</w:t>
            </w:r>
          </w:p>
        </w:tc>
        <w:tc>
          <w:tcPr>
            <w:tcW w:type="dxa" w:w="1003"/>
            <w:shd w:fill="F2F6FC" w:val="clear"/>
          </w:tcPr>
          <w:p>
            <w:pPr>
              <w:jc w:val="right"/>
            </w:pPr>
            <w:r>
              <w:rPr>
                <w:rFonts w:ascii="Arial" w:hAnsi="Arial"/>
                <w:sz w:val="18"/>
              </w:rPr>
              <w:t>864,356.23</w:t>
            </w:r>
          </w:p>
        </w:tc>
        <w:tc>
          <w:tcPr>
            <w:tcW w:type="dxa" w:w="1003"/>
            <w:shd w:fill="F2F6FC" w:val="clear"/>
          </w:tcPr>
          <w:p>
            <w:pPr>
              <w:jc w:val="right"/>
            </w:pPr>
            <w:r>
              <w:rPr>
                <w:rFonts w:ascii="Arial" w:hAnsi="Arial"/>
                <w:sz w:val="18"/>
              </w:rPr>
              <w:t>7.888</w:t>
            </w:r>
          </w:p>
        </w:tc>
        <w:tc>
          <w:tcPr>
            <w:tcW w:type="dxa" w:w="1003"/>
            <w:shd w:fill="F2F6FC" w:val="clear"/>
          </w:tcPr>
          <w:p>
            <w:pPr>
              <w:jc w:val="right"/>
            </w:pPr>
            <w:r>
              <w:rPr>
                <w:rFonts w:ascii="Arial" w:hAnsi="Arial"/>
                <w:sz w:val="18"/>
              </w:rPr>
              <w:t>3.36</w:t>
            </w:r>
          </w:p>
        </w:tc>
        <w:tc>
          <w:tcPr>
            <w:tcW w:type="dxa" w:w="1003"/>
            <w:shd w:fill="F2F6FC" w:val="clear"/>
          </w:tcPr>
          <w:p>
            <w:pPr>
              <w:jc w:val="right"/>
            </w:pPr>
            <w:r>
              <w:rPr>
                <w:rFonts w:ascii="Arial" w:hAnsi="Arial"/>
                <w:sz w:val="18"/>
              </w:rPr>
              <w:t>5.58</w:t>
            </w:r>
          </w:p>
        </w:tc>
      </w:tr>
      <w:tr>
        <w:tc>
          <w:tcPr>
            <w:tcW w:type="dxa" w:w="1003"/>
          </w:tcPr>
          <w:p>
            <w:r>
              <w:rPr>
                <w:rFonts w:ascii="Arial" w:hAnsi="Arial"/>
                <w:sz w:val="18"/>
              </w:rPr>
              <w:t>Manufacturing - Food &amp; Beverage</w:t>
            </w:r>
          </w:p>
        </w:tc>
        <w:tc>
          <w:tcPr>
            <w:tcW w:type="dxa" w:w="1003"/>
          </w:tcPr>
          <w:p>
            <w:pPr>
              <w:jc w:val="right"/>
            </w:pPr>
            <w:r>
              <w:rPr>
                <w:rFonts w:ascii="Arial" w:hAnsi="Arial"/>
                <w:sz w:val="18"/>
              </w:rPr>
              <w:t>206</w:t>
            </w:r>
          </w:p>
        </w:tc>
        <w:tc>
          <w:tcPr>
            <w:tcW w:type="dxa" w:w="1003"/>
          </w:tcPr>
          <w:p>
            <w:pPr>
              <w:jc w:val="right"/>
            </w:pPr>
            <w:r>
              <w:rPr>
                <w:rFonts w:ascii="Arial" w:hAnsi="Arial"/>
                <w:sz w:val="18"/>
              </w:rPr>
              <w:t>169.14</w:t>
            </w:r>
          </w:p>
        </w:tc>
        <w:tc>
          <w:tcPr>
            <w:tcW w:type="dxa" w:w="1003"/>
          </w:tcPr>
          <w:p>
            <w:pPr>
              <w:jc w:val="right"/>
            </w:pPr>
            <w:r>
              <w:rPr>
                <w:rFonts w:ascii="Arial" w:hAnsi="Arial"/>
                <w:sz w:val="18"/>
              </w:rPr>
              <w:t>10.97</w:t>
            </w:r>
          </w:p>
        </w:tc>
        <w:tc>
          <w:tcPr>
            <w:tcW w:type="dxa" w:w="1003"/>
          </w:tcPr>
          <w:p>
            <w:pPr>
              <w:jc w:val="right"/>
            </w:pPr>
            <w:r>
              <w:rPr>
                <w:rFonts w:ascii="Arial" w:hAnsi="Arial"/>
                <w:sz w:val="18"/>
              </w:rPr>
              <w:t>936,111.21</w:t>
            </w:r>
          </w:p>
        </w:tc>
        <w:tc>
          <w:tcPr>
            <w:tcW w:type="dxa" w:w="1003"/>
          </w:tcPr>
          <w:p>
            <w:pPr>
              <w:jc w:val="right"/>
            </w:pPr>
            <w:r>
              <w:rPr>
                <w:rFonts w:ascii="Arial" w:hAnsi="Arial"/>
                <w:sz w:val="18"/>
              </w:rPr>
              <w:t>653,413.56</w:t>
            </w:r>
          </w:p>
        </w:tc>
        <w:tc>
          <w:tcPr>
            <w:tcW w:type="dxa" w:w="1003"/>
          </w:tcPr>
          <w:p>
            <w:pPr>
              <w:jc w:val="right"/>
            </w:pPr>
            <w:r>
              <w:rPr>
                <w:rFonts w:ascii="Arial" w:hAnsi="Arial"/>
                <w:sz w:val="18"/>
              </w:rPr>
              <w:t>5.535</w:t>
            </w:r>
          </w:p>
        </w:tc>
        <w:tc>
          <w:tcPr>
            <w:tcW w:type="dxa" w:w="1003"/>
          </w:tcPr>
          <w:p>
            <w:pPr>
              <w:jc w:val="right"/>
            </w:pPr>
            <w:r>
              <w:rPr>
                <w:rFonts w:ascii="Arial" w:hAnsi="Arial"/>
                <w:sz w:val="18"/>
              </w:rPr>
              <w:t>3.35</w:t>
            </w:r>
          </w:p>
        </w:tc>
        <w:tc>
          <w:tcPr>
            <w:tcW w:type="dxa" w:w="1003"/>
          </w:tcPr>
          <w:p>
            <w:pPr>
              <w:jc w:val="right"/>
            </w:pPr>
            <w:r>
              <w:rPr>
                <w:rFonts w:ascii="Arial" w:hAnsi="Arial"/>
                <w:sz w:val="18"/>
              </w:rPr>
              <w:t>4.26</w:t>
            </w:r>
          </w:p>
        </w:tc>
      </w:tr>
      <w:tr>
        <w:tc>
          <w:tcPr>
            <w:tcW w:type="dxa" w:w="1003"/>
            <w:shd w:fill="F2F6FC" w:val="clear"/>
          </w:tcPr>
          <w:p>
            <w:r>
              <w:rPr>
                <w:rFonts w:ascii="Arial" w:hAnsi="Arial"/>
                <w:sz w:val="18"/>
              </w:rPr>
              <w:t>Agriculture</w:t>
            </w:r>
          </w:p>
        </w:tc>
        <w:tc>
          <w:tcPr>
            <w:tcW w:type="dxa" w:w="1003"/>
            <w:shd w:fill="F2F6FC" w:val="clear"/>
          </w:tcPr>
          <w:p>
            <w:pPr>
              <w:jc w:val="right"/>
            </w:pPr>
            <w:r>
              <w:rPr>
                <w:rFonts w:ascii="Arial" w:hAnsi="Arial"/>
                <w:sz w:val="18"/>
              </w:rPr>
              <w:t>163</w:t>
            </w:r>
          </w:p>
        </w:tc>
        <w:tc>
          <w:tcPr>
            <w:tcW w:type="dxa" w:w="1003"/>
            <w:shd w:fill="F2F6FC" w:val="clear"/>
          </w:tcPr>
          <w:p>
            <w:pPr>
              <w:jc w:val="right"/>
            </w:pPr>
            <w:r>
              <w:rPr>
                <w:rFonts w:ascii="Arial" w:hAnsi="Arial"/>
                <w:sz w:val="18"/>
              </w:rPr>
              <w:t>118.90</w:t>
            </w:r>
          </w:p>
        </w:tc>
        <w:tc>
          <w:tcPr>
            <w:tcW w:type="dxa" w:w="1003"/>
            <w:shd w:fill="F2F6FC" w:val="clear"/>
          </w:tcPr>
          <w:p>
            <w:pPr>
              <w:jc w:val="right"/>
            </w:pPr>
            <w:r>
              <w:rPr>
                <w:rFonts w:ascii="Arial" w:hAnsi="Arial"/>
                <w:sz w:val="18"/>
              </w:rPr>
              <w:t>7.71</w:t>
            </w:r>
          </w:p>
        </w:tc>
        <w:tc>
          <w:tcPr>
            <w:tcW w:type="dxa" w:w="1003"/>
            <w:shd w:fill="F2F6FC" w:val="clear"/>
          </w:tcPr>
          <w:p>
            <w:pPr>
              <w:jc w:val="right"/>
            </w:pPr>
            <w:r>
              <w:rPr>
                <w:rFonts w:ascii="Arial" w:hAnsi="Arial"/>
                <w:sz w:val="18"/>
              </w:rPr>
              <w:t>288,493.25</w:t>
            </w:r>
          </w:p>
        </w:tc>
        <w:tc>
          <w:tcPr>
            <w:tcW w:type="dxa" w:w="1003"/>
            <w:shd w:fill="F2F6FC" w:val="clear"/>
          </w:tcPr>
          <w:p>
            <w:pPr>
              <w:jc w:val="right"/>
            </w:pPr>
            <w:r>
              <w:rPr>
                <w:rFonts w:ascii="Arial" w:hAnsi="Arial"/>
                <w:sz w:val="18"/>
              </w:rPr>
              <w:t>183,548.39</w:t>
            </w:r>
          </w:p>
        </w:tc>
        <w:tc>
          <w:tcPr>
            <w:tcW w:type="dxa" w:w="1003"/>
            <w:shd w:fill="F2F6FC" w:val="clear"/>
          </w:tcPr>
          <w:p>
            <w:pPr>
              <w:jc w:val="right"/>
            </w:pPr>
            <w:r>
              <w:rPr>
                <w:rFonts w:ascii="Arial" w:hAnsi="Arial"/>
                <w:sz w:val="18"/>
              </w:rPr>
              <w:t>2.426</w:t>
            </w:r>
          </w:p>
        </w:tc>
        <w:tc>
          <w:tcPr>
            <w:tcW w:type="dxa" w:w="1003"/>
            <w:shd w:fill="F2F6FC" w:val="clear"/>
          </w:tcPr>
          <w:p>
            <w:pPr>
              <w:jc w:val="right"/>
            </w:pPr>
            <w:r>
              <w:rPr>
                <w:rFonts w:ascii="Arial" w:hAnsi="Arial"/>
                <w:sz w:val="18"/>
              </w:rPr>
              <w:t>3.41</w:t>
            </w:r>
          </w:p>
        </w:tc>
        <w:tc>
          <w:tcPr>
            <w:tcW w:type="dxa" w:w="1003"/>
            <w:shd w:fill="F2F6FC" w:val="clear"/>
          </w:tcPr>
          <w:p>
            <w:pPr>
              <w:jc w:val="right"/>
            </w:pPr>
            <w:r>
              <w:rPr>
                <w:rFonts w:ascii="Arial" w:hAnsi="Arial"/>
                <w:sz w:val="18"/>
              </w:rPr>
              <w:t>1.31</w:t>
            </w:r>
          </w:p>
        </w:tc>
      </w:tr>
      <w:tr>
        <w:tc>
          <w:tcPr>
            <w:tcW w:type="dxa" w:w="1003"/>
          </w:tcPr>
          <w:p>
            <w:r>
              <w:rPr>
                <w:rFonts w:ascii="Arial" w:hAnsi="Arial"/>
                <w:sz w:val="18"/>
              </w:rPr>
              <w:t>Real Estate - Commercial</w:t>
            </w:r>
          </w:p>
        </w:tc>
        <w:tc>
          <w:tcPr>
            <w:tcW w:type="dxa" w:w="1003"/>
          </w:tcPr>
          <w:p>
            <w:pPr>
              <w:jc w:val="right"/>
            </w:pPr>
            <w:r>
              <w:rPr>
                <w:rFonts w:ascii="Arial" w:hAnsi="Arial"/>
                <w:sz w:val="18"/>
              </w:rPr>
              <w:t>290</w:t>
            </w:r>
          </w:p>
        </w:tc>
        <w:tc>
          <w:tcPr>
            <w:tcW w:type="dxa" w:w="1003"/>
          </w:tcPr>
          <w:p>
            <w:pPr>
              <w:jc w:val="right"/>
            </w:pPr>
            <w:r>
              <w:rPr>
                <w:rFonts w:ascii="Arial" w:hAnsi="Arial"/>
                <w:sz w:val="18"/>
              </w:rPr>
              <w:t>250.74</w:t>
            </w:r>
          </w:p>
        </w:tc>
        <w:tc>
          <w:tcPr>
            <w:tcW w:type="dxa" w:w="1003"/>
          </w:tcPr>
          <w:p>
            <w:pPr>
              <w:jc w:val="right"/>
            </w:pPr>
            <w:r>
              <w:rPr>
                <w:rFonts w:ascii="Arial" w:hAnsi="Arial"/>
                <w:sz w:val="18"/>
              </w:rPr>
              <w:t>16.27</w:t>
            </w:r>
          </w:p>
        </w:tc>
        <w:tc>
          <w:tcPr>
            <w:tcW w:type="dxa" w:w="1003"/>
          </w:tcPr>
          <w:p>
            <w:pPr>
              <w:jc w:val="right"/>
            </w:pPr>
            <w:r>
              <w:rPr>
                <w:rFonts w:ascii="Arial" w:hAnsi="Arial"/>
                <w:sz w:val="18"/>
              </w:rPr>
              <w:t>231,235.20</w:t>
            </w:r>
          </w:p>
        </w:tc>
        <w:tc>
          <w:tcPr>
            <w:tcW w:type="dxa" w:w="1003"/>
          </w:tcPr>
          <w:p>
            <w:pPr>
              <w:jc w:val="right"/>
            </w:pPr>
            <w:r>
              <w:rPr>
                <w:rFonts w:ascii="Arial" w:hAnsi="Arial"/>
                <w:sz w:val="18"/>
              </w:rPr>
              <w:t>158,419.07</w:t>
            </w:r>
          </w:p>
        </w:tc>
        <w:tc>
          <w:tcPr>
            <w:tcW w:type="dxa" w:w="1003"/>
          </w:tcPr>
          <w:p>
            <w:pPr>
              <w:jc w:val="right"/>
            </w:pPr>
            <w:r>
              <w:rPr>
                <w:rFonts w:ascii="Arial" w:hAnsi="Arial"/>
                <w:sz w:val="18"/>
              </w:rPr>
              <w:t>0.922</w:t>
            </w:r>
          </w:p>
        </w:tc>
        <w:tc>
          <w:tcPr>
            <w:tcW w:type="dxa" w:w="1003"/>
          </w:tcPr>
          <w:p>
            <w:pPr>
              <w:jc w:val="right"/>
            </w:pPr>
            <w:r>
              <w:rPr>
                <w:rFonts w:ascii="Arial" w:hAnsi="Arial"/>
                <w:sz w:val="18"/>
              </w:rPr>
              <w:t>3.27</w:t>
            </w:r>
          </w:p>
        </w:tc>
        <w:tc>
          <w:tcPr>
            <w:tcW w:type="dxa" w:w="1003"/>
          </w:tcPr>
          <w:p>
            <w:pPr>
              <w:jc w:val="right"/>
            </w:pPr>
            <w:r>
              <w:rPr>
                <w:rFonts w:ascii="Arial" w:hAnsi="Arial"/>
                <w:sz w:val="18"/>
              </w:rPr>
              <w:t>1.05</w:t>
            </w:r>
          </w:p>
        </w:tc>
      </w:tr>
      <w:tr>
        <w:tc>
          <w:tcPr>
            <w:tcW w:type="dxa" w:w="1003"/>
            <w:shd w:fill="F2F6FC" w:val="clear"/>
          </w:tcPr>
          <w:p>
            <w:r>
              <w:rPr>
                <w:rFonts w:ascii="Arial" w:hAnsi="Arial"/>
                <w:sz w:val="18"/>
              </w:rPr>
              <w:t>Retail Trade</w:t>
            </w:r>
          </w:p>
        </w:tc>
        <w:tc>
          <w:tcPr>
            <w:tcW w:type="dxa" w:w="1003"/>
            <w:shd w:fill="F2F6FC" w:val="clear"/>
          </w:tcPr>
          <w:p>
            <w:pPr>
              <w:jc w:val="right"/>
            </w:pPr>
            <w:r>
              <w:rPr>
                <w:rFonts w:ascii="Arial" w:hAnsi="Arial"/>
                <w:sz w:val="18"/>
              </w:rPr>
              <w:t>209</w:t>
            </w:r>
          </w:p>
        </w:tc>
        <w:tc>
          <w:tcPr>
            <w:tcW w:type="dxa" w:w="1003"/>
            <w:shd w:fill="F2F6FC" w:val="clear"/>
          </w:tcPr>
          <w:p>
            <w:pPr>
              <w:jc w:val="right"/>
            </w:pPr>
            <w:r>
              <w:rPr>
                <w:rFonts w:ascii="Arial" w:hAnsi="Arial"/>
                <w:sz w:val="18"/>
              </w:rPr>
              <w:t>152.84</w:t>
            </w:r>
          </w:p>
        </w:tc>
        <w:tc>
          <w:tcPr>
            <w:tcW w:type="dxa" w:w="1003"/>
            <w:shd w:fill="F2F6FC" w:val="clear"/>
          </w:tcPr>
          <w:p>
            <w:pPr>
              <w:jc w:val="right"/>
            </w:pPr>
            <w:r>
              <w:rPr>
                <w:rFonts w:ascii="Arial" w:hAnsi="Arial"/>
                <w:sz w:val="18"/>
              </w:rPr>
              <w:t>9.92</w:t>
            </w:r>
          </w:p>
        </w:tc>
        <w:tc>
          <w:tcPr>
            <w:tcW w:type="dxa" w:w="1003"/>
            <w:shd w:fill="F2F6FC" w:val="clear"/>
          </w:tcPr>
          <w:p>
            <w:pPr>
              <w:jc w:val="right"/>
            </w:pPr>
            <w:r>
              <w:rPr>
                <w:rFonts w:ascii="Arial" w:hAnsi="Arial"/>
                <w:sz w:val="18"/>
              </w:rPr>
              <w:t>226,340.67</w:t>
            </w:r>
          </w:p>
        </w:tc>
        <w:tc>
          <w:tcPr>
            <w:tcW w:type="dxa" w:w="1003"/>
            <w:shd w:fill="F2F6FC" w:val="clear"/>
          </w:tcPr>
          <w:p>
            <w:pPr>
              <w:jc w:val="right"/>
            </w:pPr>
            <w:r>
              <w:rPr>
                <w:rFonts w:ascii="Arial" w:hAnsi="Arial"/>
                <w:sz w:val="18"/>
              </w:rPr>
              <w:t>140,812.97</w:t>
            </w:r>
          </w:p>
        </w:tc>
        <w:tc>
          <w:tcPr>
            <w:tcW w:type="dxa" w:w="1003"/>
            <w:shd w:fill="F2F6FC" w:val="clear"/>
          </w:tcPr>
          <w:p>
            <w:pPr>
              <w:jc w:val="right"/>
            </w:pPr>
            <w:r>
              <w:rPr>
                <w:rFonts w:ascii="Arial" w:hAnsi="Arial"/>
                <w:sz w:val="18"/>
              </w:rPr>
              <w:t>1.481</w:t>
            </w:r>
          </w:p>
        </w:tc>
        <w:tc>
          <w:tcPr>
            <w:tcW w:type="dxa" w:w="1003"/>
            <w:shd w:fill="F2F6FC" w:val="clear"/>
          </w:tcPr>
          <w:p>
            <w:pPr>
              <w:jc w:val="right"/>
            </w:pPr>
            <w:r>
              <w:rPr>
                <w:rFonts w:ascii="Arial" w:hAnsi="Arial"/>
                <w:sz w:val="18"/>
              </w:rPr>
              <w:t>3.21</w:t>
            </w:r>
          </w:p>
        </w:tc>
        <w:tc>
          <w:tcPr>
            <w:tcW w:type="dxa" w:w="1003"/>
            <w:shd w:fill="F2F6FC" w:val="clear"/>
          </w:tcPr>
          <w:p>
            <w:pPr>
              <w:jc w:val="right"/>
            </w:pPr>
            <w:r>
              <w:rPr>
                <w:rFonts w:ascii="Arial" w:hAnsi="Arial"/>
                <w:sz w:val="18"/>
              </w:rPr>
              <w:t>1.03</w:t>
            </w:r>
          </w:p>
        </w:tc>
      </w:tr>
      <w:tr>
        <w:tc>
          <w:tcPr>
            <w:tcW w:type="dxa" w:w="1003"/>
          </w:tcPr>
          <w:p>
            <w:r>
              <w:rPr>
                <w:rFonts w:ascii="Arial" w:hAnsi="Arial"/>
                <w:sz w:val="18"/>
              </w:rPr>
              <w:t>Real Estate - Residential</w:t>
            </w:r>
          </w:p>
        </w:tc>
        <w:tc>
          <w:tcPr>
            <w:tcW w:type="dxa" w:w="1003"/>
          </w:tcPr>
          <w:p>
            <w:pPr>
              <w:jc w:val="right"/>
            </w:pPr>
            <w:r>
              <w:rPr>
                <w:rFonts w:ascii="Arial" w:hAnsi="Arial"/>
                <w:sz w:val="18"/>
              </w:rPr>
              <w:t>223</w:t>
            </w:r>
          </w:p>
        </w:tc>
        <w:tc>
          <w:tcPr>
            <w:tcW w:type="dxa" w:w="1003"/>
          </w:tcPr>
          <w:p>
            <w:pPr>
              <w:jc w:val="right"/>
            </w:pPr>
            <w:r>
              <w:rPr>
                <w:rFonts w:ascii="Arial" w:hAnsi="Arial"/>
                <w:sz w:val="18"/>
              </w:rPr>
              <w:t>168.42</w:t>
            </w:r>
          </w:p>
        </w:tc>
        <w:tc>
          <w:tcPr>
            <w:tcW w:type="dxa" w:w="1003"/>
          </w:tcPr>
          <w:p>
            <w:pPr>
              <w:jc w:val="right"/>
            </w:pPr>
            <w:r>
              <w:rPr>
                <w:rFonts w:ascii="Arial" w:hAnsi="Arial"/>
                <w:sz w:val="18"/>
              </w:rPr>
              <w:t>10.93</w:t>
            </w:r>
          </w:p>
        </w:tc>
        <w:tc>
          <w:tcPr>
            <w:tcW w:type="dxa" w:w="1003"/>
          </w:tcPr>
          <w:p>
            <w:pPr>
              <w:jc w:val="right"/>
            </w:pPr>
            <w:r>
              <w:rPr>
                <w:rFonts w:ascii="Arial" w:hAnsi="Arial"/>
                <w:sz w:val="18"/>
              </w:rPr>
              <w:t>107,465.43</w:t>
            </w:r>
          </w:p>
        </w:tc>
        <w:tc>
          <w:tcPr>
            <w:tcW w:type="dxa" w:w="1003"/>
          </w:tcPr>
          <w:p>
            <w:pPr>
              <w:jc w:val="right"/>
            </w:pPr>
            <w:r>
              <w:rPr>
                <w:rFonts w:ascii="Arial" w:hAnsi="Arial"/>
                <w:sz w:val="18"/>
              </w:rPr>
              <w:t>79,158.87</w:t>
            </w:r>
          </w:p>
        </w:tc>
        <w:tc>
          <w:tcPr>
            <w:tcW w:type="dxa" w:w="1003"/>
          </w:tcPr>
          <w:p>
            <w:pPr>
              <w:jc w:val="right"/>
            </w:pPr>
            <w:r>
              <w:rPr>
                <w:rFonts w:ascii="Arial" w:hAnsi="Arial"/>
                <w:sz w:val="18"/>
              </w:rPr>
              <w:t>0.638</w:t>
            </w:r>
          </w:p>
        </w:tc>
        <w:tc>
          <w:tcPr>
            <w:tcW w:type="dxa" w:w="1003"/>
          </w:tcPr>
          <w:p>
            <w:pPr>
              <w:jc w:val="right"/>
            </w:pPr>
            <w:r>
              <w:rPr>
                <w:rFonts w:ascii="Arial" w:hAnsi="Arial"/>
                <w:sz w:val="18"/>
              </w:rPr>
              <w:t>3.32</w:t>
            </w:r>
          </w:p>
        </w:tc>
        <w:tc>
          <w:tcPr>
            <w:tcW w:type="dxa" w:w="1003"/>
          </w:tcPr>
          <w:p>
            <w:pPr>
              <w:jc w:val="right"/>
            </w:pPr>
            <w:r>
              <w:rPr>
                <w:rFonts w:ascii="Arial" w:hAnsi="Arial"/>
                <w:sz w:val="18"/>
              </w:rPr>
              <w:t>0.49</w:t>
            </w:r>
          </w:p>
        </w:tc>
      </w:tr>
      <w:tr>
        <w:tc>
          <w:tcPr>
            <w:tcW w:type="dxa" w:w="1003"/>
            <w:shd w:fill="F2F6FC" w:val="clear"/>
          </w:tcPr>
          <w:p>
            <w:r>
              <w:rPr>
                <w:rFonts w:ascii="Arial" w:hAnsi="Arial"/>
                <w:sz w:val="18"/>
              </w:rPr>
              <w:t>Financial Services</w:t>
            </w:r>
          </w:p>
        </w:tc>
        <w:tc>
          <w:tcPr>
            <w:tcW w:type="dxa" w:w="1003"/>
            <w:shd w:fill="F2F6FC" w:val="clear"/>
          </w:tcPr>
          <w:p>
            <w:pPr>
              <w:jc w:val="right"/>
            </w:pPr>
            <w:r>
              <w:rPr>
                <w:rFonts w:ascii="Arial" w:hAnsi="Arial"/>
                <w:sz w:val="18"/>
              </w:rPr>
              <w:t>257</w:t>
            </w:r>
          </w:p>
        </w:tc>
        <w:tc>
          <w:tcPr>
            <w:tcW w:type="dxa" w:w="1003"/>
            <w:shd w:fill="F2F6FC" w:val="clear"/>
          </w:tcPr>
          <w:p>
            <w:pPr>
              <w:jc w:val="right"/>
            </w:pPr>
            <w:r>
              <w:rPr>
                <w:rFonts w:ascii="Arial" w:hAnsi="Arial"/>
                <w:sz w:val="18"/>
              </w:rPr>
              <w:t>206.62</w:t>
            </w:r>
          </w:p>
        </w:tc>
        <w:tc>
          <w:tcPr>
            <w:tcW w:type="dxa" w:w="1003"/>
            <w:shd w:fill="F2F6FC" w:val="clear"/>
          </w:tcPr>
          <w:p>
            <w:pPr>
              <w:jc w:val="right"/>
            </w:pPr>
            <w:r>
              <w:rPr>
                <w:rFonts w:ascii="Arial" w:hAnsi="Arial"/>
                <w:sz w:val="18"/>
              </w:rPr>
              <w:t>13.41</w:t>
            </w:r>
          </w:p>
        </w:tc>
        <w:tc>
          <w:tcPr>
            <w:tcW w:type="dxa" w:w="1003"/>
            <w:shd w:fill="F2F6FC" w:val="clear"/>
          </w:tcPr>
          <w:p>
            <w:pPr>
              <w:jc w:val="right"/>
            </w:pPr>
            <w:r>
              <w:rPr>
                <w:rFonts w:ascii="Arial" w:hAnsi="Arial"/>
                <w:sz w:val="18"/>
              </w:rPr>
              <w:t>73,693.74</w:t>
            </w:r>
          </w:p>
        </w:tc>
        <w:tc>
          <w:tcPr>
            <w:tcW w:type="dxa" w:w="1003"/>
            <w:shd w:fill="F2F6FC" w:val="clear"/>
          </w:tcPr>
          <w:p>
            <w:pPr>
              <w:jc w:val="right"/>
            </w:pPr>
            <w:r>
              <w:rPr>
                <w:rFonts w:ascii="Arial" w:hAnsi="Arial"/>
                <w:sz w:val="18"/>
              </w:rPr>
              <w:t>49,718.26</w:t>
            </w:r>
          </w:p>
        </w:tc>
        <w:tc>
          <w:tcPr>
            <w:tcW w:type="dxa" w:w="1003"/>
            <w:shd w:fill="F2F6FC" w:val="clear"/>
          </w:tcPr>
          <w:p>
            <w:pPr>
              <w:jc w:val="right"/>
            </w:pPr>
            <w:r>
              <w:rPr>
                <w:rFonts w:ascii="Arial" w:hAnsi="Arial"/>
                <w:sz w:val="18"/>
              </w:rPr>
              <w:t>0.357</w:t>
            </w:r>
          </w:p>
        </w:tc>
        <w:tc>
          <w:tcPr>
            <w:tcW w:type="dxa" w:w="1003"/>
            <w:shd w:fill="F2F6FC" w:val="clear"/>
          </w:tcPr>
          <w:p>
            <w:pPr>
              <w:jc w:val="right"/>
            </w:pPr>
            <w:r>
              <w:rPr>
                <w:rFonts w:ascii="Arial" w:hAnsi="Arial"/>
                <w:sz w:val="18"/>
              </w:rPr>
              <w:t>3.42</w:t>
            </w:r>
          </w:p>
        </w:tc>
        <w:tc>
          <w:tcPr>
            <w:tcW w:type="dxa" w:w="1003"/>
            <w:shd w:fill="F2F6FC" w:val="clear"/>
          </w:tcPr>
          <w:p>
            <w:pPr>
              <w:jc w:val="right"/>
            </w:pPr>
            <w:r>
              <w:rPr>
                <w:rFonts w:ascii="Arial" w:hAnsi="Arial"/>
                <w:sz w:val="18"/>
              </w:rPr>
              <w:t>0.34</w:t>
            </w:r>
          </w:p>
        </w:tc>
      </w:tr>
      <w:tr>
        <w:tc>
          <w:tcPr>
            <w:tcW w:type="dxa" w:w="1003"/>
          </w:tcPr>
          <w:p>
            <w:r>
              <w:rPr>
                <w:rFonts w:ascii="Arial" w:hAnsi="Arial"/>
                <w:sz w:val="18"/>
              </w:rPr>
              <w:t>**Total Portfolio**</w:t>
            </w:r>
          </w:p>
        </w:tc>
        <w:tc>
          <w:tcPr>
            <w:tcW w:type="dxa" w:w="1003"/>
          </w:tcPr>
          <w:p>
            <w:r>
              <w:rPr>
                <w:rFonts w:ascii="Arial" w:hAnsi="Arial"/>
                <w:sz w:val="18"/>
              </w:rPr>
              <w:t>**1,955**</w:t>
            </w:r>
          </w:p>
        </w:tc>
        <w:tc>
          <w:tcPr>
            <w:tcW w:type="dxa" w:w="1003"/>
          </w:tcPr>
          <w:p>
            <w:r>
              <w:rPr>
                <w:rFonts w:ascii="Arial" w:hAnsi="Arial"/>
                <w:sz w:val="18"/>
              </w:rPr>
              <w:t>**1,541.18**</w:t>
            </w:r>
          </w:p>
        </w:tc>
        <w:tc>
          <w:tcPr>
            <w:tcW w:type="dxa" w:w="1003"/>
          </w:tcPr>
          <w:p>
            <w:r>
              <w:rPr>
                <w:rFonts w:ascii="Arial" w:hAnsi="Arial"/>
                <w:sz w:val="18"/>
              </w:rPr>
              <w:t>**100.00**</w:t>
            </w:r>
          </w:p>
        </w:tc>
        <w:tc>
          <w:tcPr>
            <w:tcW w:type="dxa" w:w="1003"/>
          </w:tcPr>
          <w:p>
            <w:r>
              <w:rPr>
                <w:rFonts w:ascii="Arial" w:hAnsi="Arial"/>
                <w:sz w:val="18"/>
              </w:rPr>
              <w:t>**21,976,797.30**</w:t>
            </w:r>
          </w:p>
        </w:tc>
        <w:tc>
          <w:tcPr>
            <w:tcW w:type="dxa" w:w="1003"/>
          </w:tcPr>
          <w:p>
            <w:r>
              <w:rPr>
                <w:rFonts w:ascii="Arial" w:hAnsi="Arial"/>
                <w:sz w:val="18"/>
              </w:rPr>
              <w:t>**15,280,174.14**</w:t>
            </w:r>
          </w:p>
        </w:tc>
        <w:tc>
          <w:tcPr>
            <w:tcW w:type="dxa" w:w="1003"/>
          </w:tcPr>
          <w:p>
            <w:r>
              <w:rPr>
                <w:rFonts w:ascii="Arial" w:hAnsi="Arial"/>
                <w:sz w:val="18"/>
              </w:rPr>
              <w:t>**239.400**</w:t>
            </w:r>
          </w:p>
        </w:tc>
        <w:tc>
          <w:tcPr>
            <w:tcW w:type="dxa" w:w="1003"/>
          </w:tcPr>
          <w:p>
            <w:r>
              <w:rPr>
                <w:rFonts w:ascii="Arial" w:hAnsi="Arial"/>
                <w:sz w:val="18"/>
              </w:rPr>
              <w:t>**3.36**</w:t>
            </w:r>
          </w:p>
        </w:tc>
        <w:tc>
          <w:tcPr>
            <w:tcW w:type="dxa" w:w="1003"/>
          </w:tcPr>
          <w:p>
            <w:r>
              <w:rPr>
                <w:rFonts w:ascii="Arial" w:hAnsi="Arial"/>
                <w:sz w:val="18"/>
              </w:rPr>
              <w:t>**100.00**</w:t>
            </w:r>
          </w:p>
        </w:tc>
      </w:tr>
    </w:tbl>
    <w:p>
      <w:r>
        <w:rPr>
          <w:rFonts w:ascii="Arial" w:hAnsi="Arial"/>
          <w:i/>
          <w:sz w:val="16"/>
        </w:rPr>
        <w:t>Source: Source: Institution's PCAF calculation engine, reporting period 1 January 2024 to 31 December 2024. Gross emissions represent unweighted attributed emissions; confidence-weighted emissions apply PCAF data quality confidence factors. Portfolio coverage: 100% of in-scope corporate and commercial lending. PCAF asset classes covered: corporate loans, commercial real estate, project finance.</w:t>
      </w:r>
    </w:p>
    <w:p/>
    <w:p>
      <w:r>
        <w:rPr>
          <w:rFonts w:ascii="Arial" w:hAnsi="Arial"/>
          <w:b/>
          <w:sz w:val="20"/>
        </w:rPr>
        <w:t>Table E1-6.2: PCAF Data Quality Score Distribution</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PCAF Score</w:t>
            </w:r>
          </w:p>
        </w:tc>
        <w:tc>
          <w:tcPr>
            <w:tcW w:type="dxa" w:w="1129"/>
            <w:shd w:fill="1B3A6B" w:val="clear"/>
          </w:tcPr>
          <w:p>
            <w:r>
              <w:rPr>
                <w:rFonts w:ascii="Arial" w:hAnsi="Arial"/>
                <w:b/>
                <w:color w:val="FFFFFF"/>
                <w:sz w:val="18"/>
              </w:rPr>
              <w:t>Data Quality Description</w:t>
            </w:r>
          </w:p>
        </w:tc>
        <w:tc>
          <w:tcPr>
            <w:tcW w:type="dxa" w:w="1129"/>
            <w:shd w:fill="1B3A6B" w:val="clear"/>
          </w:tcPr>
          <w:p>
            <w:r>
              <w:rPr>
                <w:rFonts w:ascii="Arial" w:hAnsi="Arial"/>
                <w:b/>
                <w:color w:val="FFFFFF"/>
                <w:sz w:val="18"/>
              </w:rPr>
              <w:t>Confidence Factor</w:t>
            </w:r>
          </w:p>
        </w:tc>
        <w:tc>
          <w:tcPr>
            <w:tcW w:type="dxa" w:w="1129"/>
            <w:shd w:fill="1B3A6B" w:val="clear"/>
          </w:tcPr>
          <w:p>
            <w:r>
              <w:rPr>
                <w:rFonts w:ascii="Arial" w:hAnsi="Arial"/>
                <w:b/>
                <w:color w:val="FFFFFF"/>
                <w:sz w:val="18"/>
              </w:rPr>
              <w:t>Number of Loans</w:t>
            </w:r>
          </w:p>
        </w:tc>
        <w:tc>
          <w:tcPr>
            <w:tcW w:type="dxa" w:w="1129"/>
            <w:shd w:fill="1B3A6B" w:val="clear"/>
          </w:tcPr>
          <w:p>
            <w:r>
              <w:rPr>
                <w:rFonts w:ascii="Arial" w:hAnsi="Arial"/>
                <w:b/>
                <w:color w:val="FFFFFF"/>
                <w:sz w:val="18"/>
              </w:rPr>
              <w:t>Outstanding Balance (IDR Trillion)</w:t>
            </w:r>
          </w:p>
        </w:tc>
        <w:tc>
          <w:tcPr>
            <w:tcW w:type="dxa" w:w="1129"/>
            <w:shd w:fill="1B3A6B" w:val="clear"/>
          </w:tcPr>
          <w:p>
            <w:r>
              <w:rPr>
                <w:rFonts w:ascii="Arial" w:hAnsi="Arial"/>
                <w:b/>
                <w:color w:val="FFFFFF"/>
                <w:sz w:val="18"/>
              </w:rPr>
              <w:t>Portfolio Share (%)</w:t>
            </w:r>
          </w:p>
        </w:tc>
        <w:tc>
          <w:tcPr>
            <w:tcW w:type="dxa" w:w="1129"/>
            <w:shd w:fill="1B3A6B" w:val="clear"/>
          </w:tcPr>
          <w:p>
            <w:r>
              <w:rPr>
                <w:rFonts w:ascii="Arial" w:hAnsi="Arial"/>
                <w:b/>
                <w:color w:val="FFFFFF"/>
                <w:sz w:val="18"/>
              </w:rPr>
              <w:t>Gross Emissions (tCO2e)</w:t>
            </w:r>
          </w:p>
        </w:tc>
        <w:tc>
          <w:tcPr>
            <w:tcW w:type="dxa" w:w="1129"/>
            <w:shd w:fill="1B3A6B" w:val="clear"/>
          </w:tcPr>
          <w:p>
            <w:r>
              <w:rPr>
                <w:rFonts w:ascii="Arial" w:hAnsi="Arial"/>
                <w:b/>
                <w:color w:val="FFFFFF"/>
                <w:sz w:val="18"/>
              </w:rPr>
              <w:t>Emissions Share (%)</w:t>
            </w:r>
          </w:p>
        </w:tc>
      </w:tr>
      <w:tr>
        <w:tc>
          <w:tcPr>
            <w:tcW w:type="dxa" w:w="1129"/>
          </w:tcPr>
          <w:p>
            <w:pPr>
              <w:jc w:val="right"/>
            </w:pPr>
            <w:r>
              <w:rPr>
                <w:rFonts w:ascii="Arial" w:hAnsi="Arial"/>
                <w:sz w:val="18"/>
              </w:rPr>
              <w:t>1</w:t>
            </w:r>
          </w:p>
        </w:tc>
        <w:tc>
          <w:tcPr>
            <w:tcW w:type="dxa" w:w="1129"/>
          </w:tcPr>
          <w:p>
            <w:r>
              <w:rPr>
                <w:rFonts w:ascii="Arial" w:hAnsi="Arial"/>
                <w:sz w:val="18"/>
              </w:rPr>
              <w:t>Verified emissions (CDP/equivalent)</w:t>
            </w:r>
          </w:p>
        </w:tc>
        <w:tc>
          <w:tcPr>
            <w:tcW w:type="dxa" w:w="1129"/>
          </w:tcPr>
          <w:p>
            <w:pPr>
              <w:jc w:val="right"/>
            </w:pPr>
            <w:r>
              <w:rPr>
                <w:rFonts w:ascii="Arial" w:hAnsi="Arial"/>
                <w:sz w:val="18"/>
              </w:rPr>
              <w:t>1.00</w:t>
            </w:r>
          </w:p>
        </w:tc>
        <w:tc>
          <w:tcPr>
            <w:tcW w:type="dxa" w:w="1129"/>
          </w:tcPr>
          <w:p>
            <w:pPr>
              <w:jc w:val="right"/>
            </w:pPr>
            <w:r>
              <w:rPr>
                <w:rFonts w:ascii="Arial" w:hAnsi="Arial"/>
                <w:sz w:val="18"/>
              </w:rPr>
              <w:t>0</w:t>
            </w:r>
          </w:p>
        </w:tc>
        <w:tc>
          <w:tcPr>
            <w:tcW w:type="dxa" w:w="1129"/>
          </w:tcPr>
          <w:p>
            <w:pPr>
              <w:jc w:val="right"/>
            </w:pPr>
            <w:r>
              <w:rPr>
                <w:rFonts w:ascii="Arial" w:hAnsi="Arial"/>
                <w:sz w:val="18"/>
              </w:rPr>
              <w:t>0.00</w:t>
            </w:r>
          </w:p>
        </w:tc>
        <w:tc>
          <w:tcPr>
            <w:tcW w:type="dxa" w:w="1129"/>
          </w:tcPr>
          <w:p>
            <w:pPr>
              <w:jc w:val="right"/>
            </w:pPr>
            <w:r>
              <w:rPr>
                <w:rFonts w:ascii="Arial" w:hAnsi="Arial"/>
                <w:sz w:val="18"/>
              </w:rPr>
              <w:t>0.00</w:t>
            </w:r>
          </w:p>
        </w:tc>
        <w:tc>
          <w:tcPr>
            <w:tcW w:type="dxa" w:w="1129"/>
          </w:tcPr>
          <w:p>
            <w:pPr>
              <w:jc w:val="right"/>
            </w:pPr>
            <w:r>
              <w:rPr>
                <w:rFonts w:ascii="Arial" w:hAnsi="Arial"/>
                <w:sz w:val="18"/>
              </w:rPr>
              <w:t>0.00</w:t>
            </w:r>
          </w:p>
        </w:tc>
        <w:tc>
          <w:tcPr>
            <w:tcW w:type="dxa" w:w="1129"/>
          </w:tcPr>
          <w:p>
            <w:pPr>
              <w:jc w:val="right"/>
            </w:pPr>
            <w:r>
              <w:rPr>
                <w:rFonts w:ascii="Arial" w:hAnsi="Arial"/>
                <w:sz w:val="18"/>
              </w:rPr>
              <w:t>0.00</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Reported, unverified</w:t>
            </w:r>
          </w:p>
        </w:tc>
        <w:tc>
          <w:tcPr>
            <w:tcW w:type="dxa" w:w="1129"/>
            <w:shd w:fill="F2F6FC" w:val="clear"/>
          </w:tcPr>
          <w:p>
            <w:pPr>
              <w:jc w:val="right"/>
            </w:pPr>
            <w:r>
              <w:rPr>
                <w:rFonts w:ascii="Arial" w:hAnsi="Arial"/>
                <w:sz w:val="18"/>
              </w:rPr>
              <w:t>0.90</w:t>
            </w:r>
          </w:p>
        </w:tc>
        <w:tc>
          <w:tcPr>
            <w:tcW w:type="dxa" w:w="1129"/>
            <w:shd w:fill="F2F6FC" w:val="clear"/>
          </w:tcPr>
          <w:p>
            <w:pPr>
              <w:jc w:val="right"/>
            </w:pPr>
            <w:r>
              <w:rPr>
                <w:rFonts w:ascii="Arial" w:hAnsi="Arial"/>
                <w:sz w:val="18"/>
              </w:rPr>
              <w:t>0</w:t>
            </w:r>
          </w:p>
        </w:tc>
        <w:tc>
          <w:tcPr>
            <w:tcW w:type="dxa" w:w="1129"/>
            <w:shd w:fill="F2F6FC" w:val="clear"/>
          </w:tcPr>
          <w:p>
            <w:pPr>
              <w:jc w:val="right"/>
            </w:pPr>
            <w:r>
              <w:rPr>
                <w:rFonts w:ascii="Arial" w:hAnsi="Arial"/>
                <w:sz w:val="18"/>
              </w:rPr>
              <w:t>0.00</w:t>
            </w:r>
          </w:p>
        </w:tc>
        <w:tc>
          <w:tcPr>
            <w:tcW w:type="dxa" w:w="1129"/>
            <w:shd w:fill="F2F6FC" w:val="clear"/>
          </w:tcPr>
          <w:p>
            <w:pPr>
              <w:jc w:val="right"/>
            </w:pPr>
            <w:r>
              <w:rPr>
                <w:rFonts w:ascii="Arial" w:hAnsi="Arial"/>
                <w:sz w:val="18"/>
              </w:rPr>
              <w:t>0.00</w:t>
            </w:r>
          </w:p>
        </w:tc>
        <w:tc>
          <w:tcPr>
            <w:tcW w:type="dxa" w:w="1129"/>
            <w:shd w:fill="F2F6FC" w:val="clear"/>
          </w:tcPr>
          <w:p>
            <w:pPr>
              <w:jc w:val="right"/>
            </w:pPr>
            <w:r>
              <w:rPr>
                <w:rFonts w:ascii="Arial" w:hAnsi="Arial"/>
                <w:sz w:val="18"/>
              </w:rPr>
              <w:t>0.00</w:t>
            </w:r>
          </w:p>
        </w:tc>
        <w:tc>
          <w:tcPr>
            <w:tcW w:type="dxa" w:w="1129"/>
            <w:shd w:fill="F2F6FC" w:val="clear"/>
          </w:tcPr>
          <w:p>
            <w:pPr>
              <w:jc w:val="right"/>
            </w:pPr>
            <w:r>
              <w:rPr>
                <w:rFonts w:ascii="Arial" w:hAnsi="Arial"/>
                <w:sz w:val="18"/>
              </w:rPr>
              <w:t>0.00</w:t>
            </w:r>
          </w:p>
        </w:tc>
      </w:tr>
      <w:tr>
        <w:tc>
          <w:tcPr>
            <w:tcW w:type="dxa" w:w="1129"/>
          </w:tcPr>
          <w:p>
            <w:pPr>
              <w:jc w:val="right"/>
            </w:pPr>
            <w:r>
              <w:rPr>
                <w:rFonts w:ascii="Arial" w:hAnsi="Arial"/>
                <w:sz w:val="18"/>
              </w:rPr>
              <w:t>3</w:t>
            </w:r>
          </w:p>
        </w:tc>
        <w:tc>
          <w:tcPr>
            <w:tcW w:type="dxa" w:w="1129"/>
          </w:tcPr>
          <w:p>
            <w:r>
              <w:rPr>
                <w:rFonts w:ascii="Arial" w:hAnsi="Arial"/>
                <w:sz w:val="18"/>
              </w:rPr>
              <w:t>EEIO + revenue</w:t>
            </w:r>
          </w:p>
        </w:tc>
        <w:tc>
          <w:tcPr>
            <w:tcW w:type="dxa" w:w="1129"/>
          </w:tcPr>
          <w:p>
            <w:pPr>
              <w:jc w:val="right"/>
            </w:pPr>
            <w:r>
              <w:rPr>
                <w:rFonts w:ascii="Arial" w:hAnsi="Arial"/>
                <w:sz w:val="18"/>
              </w:rPr>
              <w:t>0.75</w:t>
            </w:r>
          </w:p>
        </w:tc>
        <w:tc>
          <w:tcPr>
            <w:tcW w:type="dxa" w:w="1129"/>
          </w:tcPr>
          <w:p>
            <w:pPr>
              <w:jc w:val="right"/>
            </w:pPr>
            <w:r>
              <w:rPr>
                <w:rFonts w:ascii="Arial" w:hAnsi="Arial"/>
                <w:sz w:val="18"/>
              </w:rPr>
              <w:t>1,247</w:t>
            </w:r>
          </w:p>
        </w:tc>
        <w:tc>
          <w:tcPr>
            <w:tcW w:type="dxa" w:w="1129"/>
          </w:tcPr>
          <w:p>
            <w:pPr>
              <w:jc w:val="right"/>
            </w:pPr>
            <w:r>
              <w:rPr>
                <w:rFonts w:ascii="Arial" w:hAnsi="Arial"/>
                <w:sz w:val="18"/>
              </w:rPr>
              <w:t>982.45</w:t>
            </w:r>
          </w:p>
        </w:tc>
        <w:tc>
          <w:tcPr>
            <w:tcW w:type="dxa" w:w="1129"/>
          </w:tcPr>
          <w:p>
            <w:pPr>
              <w:jc w:val="right"/>
            </w:pPr>
            <w:r>
              <w:rPr>
                <w:rFonts w:ascii="Arial" w:hAnsi="Arial"/>
                <w:sz w:val="18"/>
              </w:rPr>
              <w:t>63.75</w:t>
            </w:r>
          </w:p>
        </w:tc>
        <w:tc>
          <w:tcPr>
            <w:tcW w:type="dxa" w:w="1129"/>
          </w:tcPr>
          <w:p>
            <w:pPr>
              <w:jc w:val="right"/>
            </w:pPr>
            <w:r>
              <w:rPr>
                <w:rFonts w:ascii="Arial" w:hAnsi="Arial"/>
                <w:sz w:val="18"/>
              </w:rPr>
              <w:t>14,128,456.82</w:t>
            </w:r>
          </w:p>
        </w:tc>
        <w:tc>
          <w:tcPr>
            <w:tcW w:type="dxa" w:w="1129"/>
          </w:tcPr>
          <w:p>
            <w:pPr>
              <w:jc w:val="right"/>
            </w:pPr>
            <w:r>
              <w:rPr>
                <w:rFonts w:ascii="Arial" w:hAnsi="Arial"/>
                <w:sz w:val="18"/>
              </w:rPr>
              <w:t>64.29</w:t>
            </w:r>
          </w:p>
        </w:tc>
      </w:tr>
      <w:tr>
        <w:tc>
          <w:tcPr>
            <w:tcW w:type="dxa" w:w="1129"/>
            <w:shd w:fill="F2F6FC" w:val="clear"/>
          </w:tcPr>
          <w:p>
            <w:pPr>
              <w:jc w:val="right"/>
            </w:pPr>
            <w:r>
              <w:rPr>
                <w:rFonts w:ascii="Arial" w:hAnsi="Arial"/>
                <w:sz w:val="18"/>
              </w:rPr>
              <w:t>4</w:t>
            </w:r>
          </w:p>
        </w:tc>
        <w:tc>
          <w:tcPr>
            <w:tcW w:type="dxa" w:w="1129"/>
            <w:shd w:fill="F2F6FC" w:val="clear"/>
          </w:tcPr>
          <w:p>
            <w:r>
              <w:rPr>
                <w:rFonts w:ascii="Arial" w:hAnsi="Arial"/>
                <w:sz w:val="18"/>
              </w:rPr>
              <w:t>EEIO + assets</w:t>
            </w:r>
          </w:p>
        </w:tc>
        <w:tc>
          <w:tcPr>
            <w:tcW w:type="dxa" w:w="1129"/>
            <w:shd w:fill="F2F6FC" w:val="clear"/>
          </w:tcPr>
          <w:p>
            <w:pPr>
              <w:jc w:val="right"/>
            </w:pPr>
            <w:r>
              <w:rPr>
                <w:rFonts w:ascii="Arial" w:hAnsi="Arial"/>
                <w:sz w:val="18"/>
              </w:rPr>
              <w:t>0.60</w:t>
            </w:r>
          </w:p>
        </w:tc>
        <w:tc>
          <w:tcPr>
            <w:tcW w:type="dxa" w:w="1129"/>
            <w:shd w:fill="F2F6FC" w:val="clear"/>
          </w:tcPr>
          <w:p>
            <w:pPr>
              <w:jc w:val="right"/>
            </w:pPr>
            <w:r>
              <w:rPr>
                <w:rFonts w:ascii="Arial" w:hAnsi="Arial"/>
                <w:sz w:val="18"/>
              </w:rPr>
              <w:t>708</w:t>
            </w:r>
          </w:p>
        </w:tc>
        <w:tc>
          <w:tcPr>
            <w:tcW w:type="dxa" w:w="1129"/>
            <w:shd w:fill="F2F6FC" w:val="clear"/>
          </w:tcPr>
          <w:p>
            <w:pPr>
              <w:jc w:val="right"/>
            </w:pPr>
            <w:r>
              <w:rPr>
                <w:rFonts w:ascii="Arial" w:hAnsi="Arial"/>
                <w:sz w:val="18"/>
              </w:rPr>
              <w:t>558.73</w:t>
            </w:r>
          </w:p>
        </w:tc>
        <w:tc>
          <w:tcPr>
            <w:tcW w:type="dxa" w:w="1129"/>
            <w:shd w:fill="F2F6FC" w:val="clear"/>
          </w:tcPr>
          <w:p>
            <w:pPr>
              <w:jc w:val="right"/>
            </w:pPr>
            <w:r>
              <w:rPr>
                <w:rFonts w:ascii="Arial" w:hAnsi="Arial"/>
                <w:sz w:val="18"/>
              </w:rPr>
              <w:t>36.25</w:t>
            </w:r>
          </w:p>
        </w:tc>
        <w:tc>
          <w:tcPr>
            <w:tcW w:type="dxa" w:w="1129"/>
            <w:shd w:fill="F2F6FC" w:val="clear"/>
          </w:tcPr>
          <w:p>
            <w:pPr>
              <w:jc w:val="right"/>
            </w:pPr>
            <w:r>
              <w:rPr>
                <w:rFonts w:ascii="Arial" w:hAnsi="Arial"/>
                <w:sz w:val="18"/>
              </w:rPr>
              <w:t>7,848,340.48</w:t>
            </w:r>
          </w:p>
        </w:tc>
        <w:tc>
          <w:tcPr>
            <w:tcW w:type="dxa" w:w="1129"/>
            <w:shd w:fill="F2F6FC" w:val="clear"/>
          </w:tcPr>
          <w:p>
            <w:pPr>
              <w:jc w:val="right"/>
            </w:pPr>
            <w:r>
              <w:rPr>
                <w:rFonts w:ascii="Arial" w:hAnsi="Arial"/>
                <w:sz w:val="18"/>
              </w:rPr>
              <w:t>35.71</w:t>
            </w:r>
          </w:p>
        </w:tc>
      </w:tr>
      <w:tr>
        <w:tc>
          <w:tcPr>
            <w:tcW w:type="dxa" w:w="1129"/>
          </w:tcPr>
          <w:p>
            <w:pPr>
              <w:jc w:val="right"/>
            </w:pPr>
            <w:r>
              <w:rPr>
                <w:rFonts w:ascii="Arial" w:hAnsi="Arial"/>
                <w:sz w:val="18"/>
              </w:rPr>
              <w:t>5</w:t>
            </w:r>
          </w:p>
        </w:tc>
        <w:tc>
          <w:tcPr>
            <w:tcW w:type="dxa" w:w="1129"/>
          </w:tcPr>
          <w:p>
            <w:r>
              <w:rPr>
                <w:rFonts w:ascii="Arial" w:hAnsi="Arial"/>
                <w:sz w:val="18"/>
              </w:rPr>
              <w:t>Sector-average proxy</w:t>
            </w:r>
          </w:p>
        </w:tc>
        <w:tc>
          <w:tcPr>
            <w:tcW w:type="dxa" w:w="1129"/>
          </w:tcPr>
          <w:p>
            <w:pPr>
              <w:jc w:val="right"/>
            </w:pPr>
            <w:r>
              <w:rPr>
                <w:rFonts w:ascii="Arial" w:hAnsi="Arial"/>
                <w:sz w:val="18"/>
              </w:rPr>
              <w:t>0.45</w:t>
            </w:r>
          </w:p>
        </w:tc>
        <w:tc>
          <w:tcPr>
            <w:tcW w:type="dxa" w:w="1129"/>
          </w:tcPr>
          <w:p>
            <w:pPr>
              <w:jc w:val="right"/>
            </w:pPr>
            <w:r>
              <w:rPr>
                <w:rFonts w:ascii="Arial" w:hAnsi="Arial"/>
                <w:sz w:val="18"/>
              </w:rPr>
              <w:t>0</w:t>
            </w:r>
          </w:p>
        </w:tc>
        <w:tc>
          <w:tcPr>
            <w:tcW w:type="dxa" w:w="1129"/>
          </w:tcPr>
          <w:p>
            <w:pPr>
              <w:jc w:val="right"/>
            </w:pPr>
            <w:r>
              <w:rPr>
                <w:rFonts w:ascii="Arial" w:hAnsi="Arial"/>
                <w:sz w:val="18"/>
              </w:rPr>
              <w:t>0.00</w:t>
            </w:r>
          </w:p>
        </w:tc>
        <w:tc>
          <w:tcPr>
            <w:tcW w:type="dxa" w:w="1129"/>
          </w:tcPr>
          <w:p>
            <w:pPr>
              <w:jc w:val="right"/>
            </w:pPr>
            <w:r>
              <w:rPr>
                <w:rFonts w:ascii="Arial" w:hAnsi="Arial"/>
                <w:sz w:val="18"/>
              </w:rPr>
              <w:t>0.00</w:t>
            </w:r>
          </w:p>
        </w:tc>
        <w:tc>
          <w:tcPr>
            <w:tcW w:type="dxa" w:w="1129"/>
          </w:tcPr>
          <w:p>
            <w:pPr>
              <w:jc w:val="right"/>
            </w:pPr>
            <w:r>
              <w:rPr>
                <w:rFonts w:ascii="Arial" w:hAnsi="Arial"/>
                <w:sz w:val="18"/>
              </w:rPr>
              <w:t>0.00</w:t>
            </w:r>
          </w:p>
        </w:tc>
        <w:tc>
          <w:tcPr>
            <w:tcW w:type="dxa" w:w="1129"/>
          </w:tcPr>
          <w:p>
            <w:pPr>
              <w:jc w:val="right"/>
            </w:pPr>
            <w:r>
              <w:rPr>
                <w:rFonts w:ascii="Arial" w:hAnsi="Arial"/>
                <w:sz w:val="18"/>
              </w:rPr>
              <w:t>0.00</w:t>
            </w:r>
          </w:p>
        </w:tc>
      </w:tr>
      <w:tr>
        <w:tc>
          <w:tcPr>
            <w:tcW w:type="dxa" w:w="1129"/>
            <w:shd w:fill="F2F6FC" w:val="clear"/>
          </w:tcPr>
          <w:p>
            <w:r>
              <w:rPr>
                <w:rFonts w:ascii="Arial" w:hAnsi="Arial"/>
                <w:sz w:val="18"/>
              </w:rPr>
              <w:t>**Total**</w:t>
            </w:r>
          </w:p>
        </w:tc>
        <w:tc>
          <w:tcPr>
            <w:tcW w:type="dxa" w:w="1129"/>
            <w:shd w:fill="F2F6FC" w:val="clear"/>
          </w:tcPr>
          <w:p>
            <w:r>
              <w:rPr>
                <w:rFonts w:ascii="Arial" w:hAnsi="Arial"/>
                <w:sz w:val="18"/>
              </w:rPr>
            </w:r>
          </w:p>
        </w:tc>
        <w:tc>
          <w:tcPr>
            <w:tcW w:type="dxa" w:w="1129"/>
            <w:shd w:fill="F2F6FC" w:val="clear"/>
          </w:tcPr>
          <w:p>
            <w:r>
              <w:rPr>
                <w:rFonts w:ascii="Arial" w:hAnsi="Arial"/>
                <w:sz w:val="18"/>
              </w:rPr>
            </w:r>
          </w:p>
        </w:tc>
        <w:tc>
          <w:tcPr>
            <w:tcW w:type="dxa" w:w="1129"/>
            <w:shd w:fill="F2F6FC" w:val="clear"/>
          </w:tcPr>
          <w:p>
            <w:r>
              <w:rPr>
                <w:rFonts w:ascii="Arial" w:hAnsi="Arial"/>
                <w:sz w:val="18"/>
              </w:rPr>
              <w:t>**1,955**</w:t>
            </w:r>
          </w:p>
        </w:tc>
        <w:tc>
          <w:tcPr>
            <w:tcW w:type="dxa" w:w="1129"/>
            <w:shd w:fill="F2F6FC" w:val="clear"/>
          </w:tcPr>
          <w:p>
            <w:r>
              <w:rPr>
                <w:rFonts w:ascii="Arial" w:hAnsi="Arial"/>
                <w:sz w:val="18"/>
              </w:rPr>
              <w:t>**1,541.18**</w:t>
            </w:r>
          </w:p>
        </w:tc>
        <w:tc>
          <w:tcPr>
            <w:tcW w:type="dxa" w:w="1129"/>
            <w:shd w:fill="F2F6FC" w:val="clear"/>
          </w:tcPr>
          <w:p>
            <w:r>
              <w:rPr>
                <w:rFonts w:ascii="Arial" w:hAnsi="Arial"/>
                <w:sz w:val="18"/>
              </w:rPr>
              <w:t>**100.00**</w:t>
            </w:r>
          </w:p>
        </w:tc>
        <w:tc>
          <w:tcPr>
            <w:tcW w:type="dxa" w:w="1129"/>
            <w:shd w:fill="F2F6FC" w:val="clear"/>
          </w:tcPr>
          <w:p>
            <w:r>
              <w:rPr>
                <w:rFonts w:ascii="Arial" w:hAnsi="Arial"/>
                <w:sz w:val="18"/>
              </w:rPr>
              <w:t>**21,976,797.30**</w:t>
            </w:r>
          </w:p>
        </w:tc>
        <w:tc>
          <w:tcPr>
            <w:tcW w:type="dxa" w:w="1129"/>
            <w:shd w:fill="F2F6FC" w:val="clear"/>
          </w:tcPr>
          <w:p>
            <w:r>
              <w:rPr>
                <w:rFonts w:ascii="Arial" w:hAnsi="Arial"/>
                <w:sz w:val="18"/>
              </w:rPr>
              <w:t>**100.00**</w:t>
            </w:r>
          </w:p>
        </w:tc>
      </w:tr>
    </w:tbl>
    <w:p>
      <w:r>
        <w:rPr>
          <w:rFonts w:ascii="Arial" w:hAnsi="Arial"/>
          <w:i/>
          <w:sz w:val="16"/>
        </w:rPr>
        <w:t>Source: Source: Institution's PCAF data quality assessment, 2024 reporting period. Portfolio-weighted average data quality score: 3.36. No loans achieved Score 1 or 2 (primary emissions data). EEIO = Environmentally Extended Input-Output model.</w:t>
      </w:r>
    </w:p>
    <w:p/>
    <w:p>
      <w:r>
        <w:rPr>
          <w:i/>
          <w:color w:val="3D6094"/>
          <w:sz w:val="18"/>
        </w:rPr>
        <w:t>Framework references: ESRS E1-6 (Gross Scopes 1, 2, 3 and Total GHG emissions); ESRS E1-1 (Transition plan for climate change mitigation — financed emissions reduction levers); ESRS E1-9 (Anticipated financial effects from material transition risks — carbon-intensive sector exposure); ESRS 2 SBM-3 (Material impacts, risks and opportunities — value chain downstream); GRI 305-3 (Other indirect (Scope 3) GHG emissions); PCAF Global GHG Accounting and Reporting Standard for the Financial Industry (2022); GHG Protocol Corporate Value Chain (Scope 3) Accounting and Reporting Standard — Category 15: Investments; TCFD Metrics and Targets (financed emissions disclosure); ISO 14064-1:2018 (GHG quantification and reporting)</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Year-over-year comparison is not available for 2024 as this is the first reporting period using PCAF methodology. Prior-year figures (2023) were calculated using a non-PCAF attribution method and are not comparable.</w:t>
      </w:r>
    </w:p>
    <w:p>
      <w:pPr>
        <w:spacing w:after="160" w:line="276" w:lineRule="auto"/>
        <w:jc w:val="both"/>
      </w:pPr>
      <w:r>
        <w:rPr>
          <w:rFonts w:ascii="Arial" w:hAnsi="Arial"/>
          <w:i/>
          <w:color w:val="646464"/>
          <w:sz w:val="18"/>
        </w:rPr>
        <w:t>PCAF asset classes covered: corporate loans (NACE sectors A-S), commercial real estate (energy-based attribution), project finance (power generation and infrastructure). Excluded asset classes: residential mortgages, motor vehicle loans, listed equity and bonds (not material to the institution's business model).</w:t>
      </w:r>
    </w:p>
    <w:p>
      <w:pPr>
        <w:spacing w:after="160" w:line="276" w:lineRule="auto"/>
        <w:jc w:val="both"/>
      </w:pPr>
      <w:r>
        <w:rPr>
          <w:rFonts w:ascii="Arial" w:hAnsi="Arial"/>
          <w:i/>
          <w:color w:val="646464"/>
          <w:sz w:val="18"/>
        </w:rPr>
        <w:t>Sector classification follows NACE Rev. 2 (Statistical Classification of Economic Activities in the European Community). Indonesian KBLI codes were mapped to NACE equivalents for PCAF reporting consistency.</w:t>
      </w:r>
    </w:p>
    <w:p>
      <w:pPr>
        <w:spacing w:after="160" w:line="276" w:lineRule="auto"/>
        <w:jc w:val="both"/>
      </w:pPr>
      <w:r>
        <w:rPr>
          <w:rFonts w:ascii="Arial" w:hAnsi="Arial"/>
          <w:i/>
          <w:color w:val="646464"/>
          <w:sz w:val="18"/>
        </w:rPr>
        <w:t>The confidence-weighted emissions figure (15,280,174.14 tCO2e) applies PCAF data quality confidence factors to reflect data reliability. This figure should be used for target-setting and performance tracking per PCAF guidance.</w:t>
      </w:r>
    </w:p>
    <w:p>
      <w:pPr>
        <w:spacing w:after="160" w:line="276" w:lineRule="auto"/>
        <w:jc w:val="both"/>
      </w:pPr>
      <w:r>
        <w:rPr>
          <w:rFonts w:ascii="Arial" w:hAnsi="Arial"/>
          <w:i/>
          <w:color w:val="646464"/>
          <w:sz w:val="18"/>
        </w:rPr>
        <w:t>Emission intensity metrics (tCO2e per IDR Billion) are calculated using gross financed emissions divided by outstanding balance, enabling comparison across sectors with different portfolio concentrations.</w:t>
      </w:r>
    </w:p>
    <w:p>
      <w:pPr>
        <w:spacing w:after="160" w:line="276" w:lineRule="auto"/>
        <w:jc w:val="both"/>
      </w:pPr>
      <w:r>
        <w:rPr>
          <w:rFonts w:ascii="Arial" w:hAnsi="Arial"/>
          <w:i/>
          <w:color w:val="646464"/>
          <w:sz w:val="18"/>
        </w:rPr>
        <w:t>The institution is a signatory to the Partnership for Carbon Accounting Financials (PCAF) as of Q3 2024, committing to annual financed emissions disclosure and continuous data quality improvement.</w:t>
      </w:r>
    </w:p>
    <w:p>
      <w:r>
        <w:br w:type="page"/>
      </w:r>
    </w:p>
    <w:p>
      <w:pPr>
        <w:pStyle w:val="Heading1"/>
        <w:keepNext/>
        <w:spacing w:before="480" w:after="240"/>
      </w:pPr>
      <w:r>
        <w:rPr>
          <w:rFonts w:ascii="Arial" w:hAnsi="Arial"/>
          <w:b/>
          <w:color w:val="1B3A6B"/>
          <w:sz w:val="36"/>
        </w:rPr>
        <w:t>GRI 305-3: Other Indirect (Scope 3) GHG Emissions — PCAF Financed Emissions</w:t>
      </w:r>
    </w:p>
    <w:p>
      <w:pPr>
        <w:spacing w:after="160" w:line="276" w:lineRule="auto"/>
        <w:jc w:val="both"/>
      </w:pPr>
      <w:r>
        <w:rPr>
          <w:rFonts w:ascii="Arial" w:hAnsi="Arial"/>
          <w:sz w:val="22"/>
        </w:rPr>
        <w:t>The institution's financed emissions for Reporting Year 2024, calculated under the Partnership for Carbon Accounting Financials (PCAF) Global GHG Accounting Standard for Category 15 (Investments), totaled 21,976,797.3 tCO2e on a gross basis across a corporate loan portfolio of IDR 1,541.181 trillion. This represents the absolute greenhouse gas emissions attributable to the institution's lending activities across 10 economic sectors, covering 1,955 borrowers. The financed emissions constitute the institution's most material Scope 3 category, accounting for 99.78% of total Scope 1+2+3 emissions and reflecting the institution's indirect climate impact through capital allocation decisions. This disclosure fulfills the requirements of POJK No. 51/POJK.03/2017 tentang Penerapan Keuangan Berkelanjutan bagi Lembaga Jasa Keuangan (POJK 51/2017) Article 13-16 on climate risk management and SE OJK Circular on environmental metrics reporting for KBMI 3 institutions.</w:t>
      </w:r>
    </w:p>
    <w:p>
      <w:pPr>
        <w:spacing w:after="160" w:line="276" w:lineRule="auto"/>
        <w:jc w:val="both"/>
      </w:pPr>
      <w:r>
        <w:rPr>
          <w:rFonts w:ascii="Arial" w:hAnsi="Arial"/>
          <w:i/>
          <w:sz w:val="22"/>
        </w:rPr>
        <w:t>The PCAF methodology applies an attribution factor to allocate borrower emissions proportionally to the institution's financing share. The attribution factor is calculated as: (Outstanding Amount ÷ Total Enterprise Value including Cash) × Borrower Emissions. For corporate loans, enterprise value is derived from total equity plus total debt. The institution applied PCAF data quality scoring (Scale 1-5, where 1 = highest quality verified data, 5 = sector-average proxy) to each loan exposure. Confidence-weighted financed emissions, which adjust gross emissions by PCAF confidence factors to reflect data quality uncertainty, totaled 15,280,174.14 tCO2e for Reporting Year 2024. The confidence weighting applies multiplicative factors ranging from 1.00 (Tier 1 verified data) to 0.45 (Tier 5 sector proxy), resulting in weighted emissions that are 69.52% of gross emissions. This dual reporting approach—gross and confidence-weighted—aligns with PCAF Global Standard Section 5.3 on data quality transparency and enables year-over-year comparability as data quality improves.</w:t>
      </w:r>
    </w:p>
    <w:p>
      <w:pPr>
        <w:spacing w:after="160" w:line="276" w:lineRule="auto"/>
        <w:jc w:val="both"/>
      </w:pPr>
      <w:r>
        <w:rPr>
          <w:rFonts w:ascii="Arial" w:hAnsi="Arial"/>
          <w:sz w:val="22"/>
        </w:rPr>
        <w:t>The portfolio-weighted average PCAF data quality score for Reporting Year 2024 was 3.36 across all financed emissions, indicating reliance on economic input-output (EEIO) models combined with revenue or asset data (Tier 3-4 quality). No exposures achieved Tier 1 (verified) or Tier 2 (reported unverified) quality in the current reporting period. The institution has not yet implemented systematic collection of borrower-reported emissions data through loan covenants or annual sustainability questionnaires. Portfolio coverage for PCAF calculation reached 100.00% of the corporate loan book by outstanding amount, meeting the PCAF signatory requirement of &gt;90% coverage. However, the absence of high-quality (Tier 1-2) data represents a material limitation in the precision of financed emissions estimates and constrains the institution's ability to set science-based portfolio decarbonization targets with confidence intervals aligned to Paris Agreement pathways.</w:t>
      </w:r>
    </w:p>
    <w:p>
      <w:pPr>
        <w:spacing w:after="160" w:line="276" w:lineRule="auto"/>
        <w:jc w:val="both"/>
      </w:pPr>
      <w:r>
        <w:rPr>
          <w:rFonts w:ascii="Arial" w:hAnsi="Arial"/>
          <w:sz w:val="22"/>
        </w:rPr>
        <w:t>**Sector Concentration and High-Carbon Exposure**: Three carbon-intensive sectors—Energy (Oil &amp; Gas), Manufacturing (Cement), and Manufacturing (Steel)—accounted for 85.93% of total financed emissions despite representing only 20.70% of portfolio outstanding amount. Energy (Oil &amp; Gas) alone contributed 9,573,144.27 tCO2e gross (43.56% of financed emissions) from IDR 102.670 trillion in exposures (6.66% of portfolio), yielding an emission intensity of 93.242 tCO2e per IDR billion—the highest among all sectors. Manufacturing (Cement) contributed 5,813,830.91 tCO2e (26.45%) with intensity of 53.9927 tCO2e/IDR billion, while Manufacturing (Steel) contributed 3,499,463.0 tCO2e (15.92%) with intensity of 32.2175 tCO2e/IDR billion. This concentration pattern indicates that portfolio decarbonization efforts must prioritize client engagement and transition finance strategies for these three sectors to achieve material emissions reductions. In contrast, the Financial Services sector (13.41% of portfolio) contributed only 0.34% of financed emissions with the lowest intensity of 0.3567 tCO2e/IDR billion, demonstrating the heterogeneity of climate risk across the institution's lending activities.</w:t>
      </w:r>
    </w:p>
    <w:p>
      <w:pPr>
        <w:spacing w:after="160" w:line="276" w:lineRule="auto"/>
        <w:jc w:val="both"/>
      </w:pPr>
      <w:r>
        <w:rPr>
          <w:rFonts w:ascii="Arial" w:hAnsi="Arial"/>
          <w:sz w:val="22"/>
        </w:rPr>
        <w:t>Year-over-year comparison of financed emissions is not available for Reporting Year 2024 as this represents the institution's first full-year PCAF calculation. Prior Year 2023 data (22,911,991.05 tCO2e gross; 15,576,239.57 tCO2e weighted) was calculated retrospectively using the same PCAF methodology but lacks sector-level granularity for trend analysis. The apparent 4.07% decrease in gross financed emissions from 2023 to 2024 reflects portfolio composition changes rather than borrower-level decarbonization, as no borrower-specific emission reduction initiatives were tracked during the reporting period. Establishing a robust baseline with consistent sector classification and data quality scoring is essential for credible trend reporting in future periods. The institution has not yet set quantitative targets for financed emissions reduction aligned with Indonesia's Enhanced Nationally Determined Contribution (NDC) commitment of 31.89% unconditional reduction by 2030 or the Long-Term Strategy for net zero by 2060.</w:t>
      </w:r>
    </w:p>
    <w:p>
      <w:pPr>
        <w:spacing w:after="160" w:line="276" w:lineRule="auto"/>
        <w:jc w:val="both"/>
      </w:pPr>
      <w:r>
        <w:rPr>
          <w:rFonts w:ascii="Arial" w:hAnsi="Arial"/>
          <w:i/>
          <w:color w:val="555555"/>
          <w:sz w:val="22"/>
        </w:rPr>
        <w:t>**Data Quality Improvement Roadmap**: The institution recognizes that the current portfolio-weighted PCAF score of 3.36 limits the precision of financed emissions estimates and constrains climate risk management capabilities. To improve data quality to a target score of ≤2.5 by 2027, the institution will implement: (1) mandatory annual sustainability questionnaires for all borrowers with exposures &gt;IDR 50 billion, requesting Scope 1+2 emissions data and third-party verification status; (2) integration of emissions data collection into loan origination and annual review processes, with PCAF data quality as a credit file completeness metric; (3) partnership with a third-party ESG data provider to access reported emissions for publicly listed borrowers (targeting Tier 2 quality for 40% of portfolio by 2026); and (4) capacity building for relationship managers on climate data interpretation and client engagement on transition planning. These initiatives align with POJK 51/2017 Article 8-12 requirements for integrating sustainability into credit risk assessment and support the institution's progression toward science-based target setting as recommended for KBMI 3 banks under Indonesia's sustainable finance roadmap.</w:t>
      </w:r>
    </w:p>
    <w:p>
      <w:r>
        <w:rPr>
          <w:rFonts w:ascii="Arial" w:hAnsi="Arial"/>
          <w:b/>
          <w:sz w:val="20"/>
        </w:rPr>
        <w:t>Table 1: Financed Emissions by Economic Sector — Top 5 Emitting Sectors (Reporting Year 2024)</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No.</w:t>
            </w:r>
          </w:p>
        </w:tc>
        <w:tc>
          <w:tcPr>
            <w:tcW w:type="dxa" w:w="1003"/>
            <w:shd w:fill="1B3A6B" w:val="clear"/>
          </w:tcPr>
          <w:p>
            <w:r>
              <w:rPr>
                <w:rFonts w:ascii="Arial" w:hAnsi="Arial"/>
                <w:b/>
                <w:color w:val="FFFFFF"/>
                <w:sz w:val="18"/>
              </w:rPr>
              <w:t>Sector (NACE Classification)</w:t>
            </w:r>
          </w:p>
        </w:tc>
        <w:tc>
          <w:tcPr>
            <w:tcW w:type="dxa" w:w="1003"/>
            <w:shd w:fill="1B3A6B" w:val="clear"/>
          </w:tcPr>
          <w:p>
            <w:r>
              <w:rPr>
                <w:rFonts w:ascii="Arial" w:hAnsi="Arial"/>
                <w:b/>
                <w:color w:val="FFFFFF"/>
                <w:sz w:val="18"/>
              </w:rPr>
              <w:t>Outstanding Amount (IDR Trillion)</w:t>
            </w:r>
          </w:p>
        </w:tc>
        <w:tc>
          <w:tcPr>
            <w:tcW w:type="dxa" w:w="1003"/>
            <w:shd w:fill="1B3A6B" w:val="clear"/>
          </w:tcPr>
          <w:p>
            <w:r>
              <w:rPr>
                <w:rFonts w:ascii="Arial" w:hAnsi="Arial"/>
                <w:b/>
                <w:color w:val="FFFFFF"/>
                <w:sz w:val="18"/>
              </w:rPr>
              <w:t>Portfolio Share (%)</w:t>
            </w:r>
          </w:p>
        </w:tc>
        <w:tc>
          <w:tcPr>
            <w:tcW w:type="dxa" w:w="1003"/>
            <w:shd w:fill="1B3A6B" w:val="clear"/>
          </w:tcPr>
          <w:p>
            <w:r>
              <w:rPr>
                <w:rFonts w:ascii="Arial" w:hAnsi="Arial"/>
                <w:b/>
                <w:color w:val="FFFFFF"/>
                <w:sz w:val="18"/>
              </w:rPr>
              <w:t>Gross Financed Emissions (tCO2e)</w:t>
            </w:r>
          </w:p>
        </w:tc>
        <w:tc>
          <w:tcPr>
            <w:tcW w:type="dxa" w:w="1003"/>
            <w:shd w:fill="1B3A6B" w:val="clear"/>
          </w:tcPr>
          <w:p>
            <w:r>
              <w:rPr>
                <w:rFonts w:ascii="Arial" w:hAnsi="Arial"/>
                <w:b/>
                <w:color w:val="FFFFFF"/>
                <w:sz w:val="18"/>
              </w:rPr>
              <w:t>Weighted Financed Emissions (tCO2e)</w:t>
            </w:r>
          </w:p>
        </w:tc>
        <w:tc>
          <w:tcPr>
            <w:tcW w:type="dxa" w:w="1003"/>
            <w:shd w:fill="1B3A6B" w:val="clear"/>
          </w:tcPr>
          <w:p>
            <w:r>
              <w:rPr>
                <w:rFonts w:ascii="Arial" w:hAnsi="Arial"/>
                <w:b/>
                <w:color w:val="FFFFFF"/>
                <w:sz w:val="18"/>
              </w:rPr>
              <w:t>Emission Intensity (tCO2e/IDR Bn)</w:t>
            </w:r>
          </w:p>
        </w:tc>
        <w:tc>
          <w:tcPr>
            <w:tcW w:type="dxa" w:w="1003"/>
            <w:shd w:fill="1B3A6B" w:val="clear"/>
          </w:tcPr>
          <w:p>
            <w:r>
              <w:rPr>
                <w:rFonts w:ascii="Arial" w:hAnsi="Arial"/>
                <w:b/>
                <w:color w:val="FFFFFF"/>
                <w:sz w:val="18"/>
              </w:rPr>
              <w:t>Avg PCAF Score</w:t>
            </w:r>
          </w:p>
        </w:tc>
        <w:tc>
          <w:tcPr>
            <w:tcW w:type="dxa" w:w="1003"/>
            <w:shd w:fill="1B3A6B" w:val="clear"/>
          </w:tcPr>
          <w:p>
            <w:r>
              <w:rPr>
                <w:rFonts w:ascii="Arial" w:hAnsi="Arial"/>
                <w:b/>
                <w:color w:val="FFFFFF"/>
                <w:sz w:val="18"/>
              </w:rPr>
              <w:t>Emissions Share (%)</w:t>
            </w:r>
          </w:p>
        </w:tc>
      </w:tr>
      <w:tr>
        <w:tc>
          <w:tcPr>
            <w:tcW w:type="dxa" w:w="1003"/>
          </w:tcPr>
          <w:p>
            <w:pPr>
              <w:jc w:val="right"/>
            </w:pPr>
            <w:r>
              <w:rPr>
                <w:rFonts w:ascii="Arial" w:hAnsi="Arial"/>
                <w:sz w:val="18"/>
              </w:rPr>
              <w:t>1</w:t>
            </w:r>
          </w:p>
        </w:tc>
        <w:tc>
          <w:tcPr>
            <w:tcW w:type="dxa" w:w="1003"/>
          </w:tcPr>
          <w:p>
            <w:r>
              <w:rPr>
                <w:rFonts w:ascii="Arial" w:hAnsi="Arial"/>
                <w:sz w:val="18"/>
              </w:rPr>
              <w:t>Energy - Oil &amp; Gas</w:t>
            </w:r>
          </w:p>
        </w:tc>
        <w:tc>
          <w:tcPr>
            <w:tcW w:type="dxa" w:w="1003"/>
          </w:tcPr>
          <w:p>
            <w:pPr>
              <w:jc w:val="right"/>
            </w:pPr>
            <w:r>
              <w:rPr>
                <w:rFonts w:ascii="Arial" w:hAnsi="Arial"/>
                <w:sz w:val="18"/>
              </w:rPr>
              <w:t>102.670</w:t>
            </w:r>
          </w:p>
        </w:tc>
        <w:tc>
          <w:tcPr>
            <w:tcW w:type="dxa" w:w="1003"/>
          </w:tcPr>
          <w:p>
            <w:pPr>
              <w:jc w:val="right"/>
            </w:pPr>
            <w:r>
              <w:rPr>
                <w:rFonts w:ascii="Arial" w:hAnsi="Arial"/>
                <w:sz w:val="18"/>
              </w:rPr>
              <w:t>6.66</w:t>
            </w:r>
          </w:p>
        </w:tc>
        <w:tc>
          <w:tcPr>
            <w:tcW w:type="dxa" w:w="1003"/>
          </w:tcPr>
          <w:p>
            <w:pPr>
              <w:jc w:val="right"/>
            </w:pPr>
            <w:r>
              <w:rPr>
                <w:rFonts w:ascii="Arial" w:hAnsi="Arial"/>
                <w:sz w:val="18"/>
              </w:rPr>
              <w:t>9,573,144.27</w:t>
            </w:r>
          </w:p>
        </w:tc>
        <w:tc>
          <w:tcPr>
            <w:tcW w:type="dxa" w:w="1003"/>
          </w:tcPr>
          <w:p>
            <w:pPr>
              <w:jc w:val="right"/>
            </w:pPr>
            <w:r>
              <w:rPr>
                <w:rFonts w:ascii="Arial" w:hAnsi="Arial"/>
                <w:sz w:val="18"/>
              </w:rPr>
              <w:t>6,753,948.71</w:t>
            </w:r>
          </w:p>
        </w:tc>
        <w:tc>
          <w:tcPr>
            <w:tcW w:type="dxa" w:w="1003"/>
          </w:tcPr>
          <w:p>
            <w:pPr>
              <w:jc w:val="right"/>
            </w:pPr>
            <w:r>
              <w:rPr>
                <w:rFonts w:ascii="Arial" w:hAnsi="Arial"/>
                <w:sz w:val="18"/>
              </w:rPr>
              <w:t>93.242</w:t>
            </w:r>
          </w:p>
        </w:tc>
        <w:tc>
          <w:tcPr>
            <w:tcW w:type="dxa" w:w="1003"/>
          </w:tcPr>
          <w:p>
            <w:pPr>
              <w:jc w:val="right"/>
            </w:pPr>
            <w:r>
              <w:rPr>
                <w:rFonts w:ascii="Arial" w:hAnsi="Arial"/>
                <w:sz w:val="18"/>
              </w:rPr>
              <w:t>3.32</w:t>
            </w:r>
          </w:p>
        </w:tc>
        <w:tc>
          <w:tcPr>
            <w:tcW w:type="dxa" w:w="1003"/>
          </w:tcPr>
          <w:p>
            <w:pPr>
              <w:jc w:val="right"/>
            </w:pPr>
            <w:r>
              <w:rPr>
                <w:rFonts w:ascii="Arial" w:hAnsi="Arial"/>
                <w:sz w:val="18"/>
              </w:rPr>
              <w:t>43.56</w:t>
            </w:r>
          </w:p>
        </w:tc>
      </w:tr>
      <w:tr>
        <w:tc>
          <w:tcPr>
            <w:tcW w:type="dxa" w:w="1003"/>
            <w:shd w:fill="F2F6FC" w:val="clear"/>
          </w:tcPr>
          <w:p>
            <w:pPr>
              <w:jc w:val="right"/>
            </w:pPr>
            <w:r>
              <w:rPr>
                <w:rFonts w:ascii="Arial" w:hAnsi="Arial"/>
                <w:sz w:val="18"/>
              </w:rPr>
              <w:t>2</w:t>
            </w:r>
          </w:p>
        </w:tc>
        <w:tc>
          <w:tcPr>
            <w:tcW w:type="dxa" w:w="1003"/>
            <w:shd w:fill="F2F6FC" w:val="clear"/>
          </w:tcPr>
          <w:p>
            <w:r>
              <w:rPr>
                <w:rFonts w:ascii="Arial" w:hAnsi="Arial"/>
                <w:sz w:val="18"/>
              </w:rPr>
              <w:t>Manufacturing - Cement</w:t>
            </w:r>
          </w:p>
        </w:tc>
        <w:tc>
          <w:tcPr>
            <w:tcW w:type="dxa" w:w="1003"/>
            <w:shd w:fill="F2F6FC" w:val="clear"/>
          </w:tcPr>
          <w:p>
            <w:pPr>
              <w:jc w:val="right"/>
            </w:pPr>
            <w:r>
              <w:rPr>
                <w:rFonts w:ascii="Arial" w:hAnsi="Arial"/>
                <w:sz w:val="18"/>
              </w:rPr>
              <w:t>107.678</w:t>
            </w:r>
          </w:p>
        </w:tc>
        <w:tc>
          <w:tcPr>
            <w:tcW w:type="dxa" w:w="1003"/>
            <w:shd w:fill="F2F6FC" w:val="clear"/>
          </w:tcPr>
          <w:p>
            <w:pPr>
              <w:jc w:val="right"/>
            </w:pPr>
            <w:r>
              <w:rPr>
                <w:rFonts w:ascii="Arial" w:hAnsi="Arial"/>
                <w:sz w:val="18"/>
              </w:rPr>
              <w:t>6.99</w:t>
            </w:r>
          </w:p>
        </w:tc>
        <w:tc>
          <w:tcPr>
            <w:tcW w:type="dxa" w:w="1003"/>
            <w:shd w:fill="F2F6FC" w:val="clear"/>
          </w:tcPr>
          <w:p>
            <w:pPr>
              <w:jc w:val="right"/>
            </w:pPr>
            <w:r>
              <w:rPr>
                <w:rFonts w:ascii="Arial" w:hAnsi="Arial"/>
                <w:sz w:val="18"/>
              </w:rPr>
              <w:t>5,813,830.91</w:t>
            </w:r>
          </w:p>
        </w:tc>
        <w:tc>
          <w:tcPr>
            <w:tcW w:type="dxa" w:w="1003"/>
            <w:shd w:fill="F2F6FC" w:val="clear"/>
          </w:tcPr>
          <w:p>
            <w:pPr>
              <w:jc w:val="right"/>
            </w:pPr>
            <w:r>
              <w:rPr>
                <w:rFonts w:ascii="Arial" w:hAnsi="Arial"/>
                <w:sz w:val="18"/>
              </w:rPr>
              <w:t>4,168,058.43</w:t>
            </w:r>
          </w:p>
        </w:tc>
        <w:tc>
          <w:tcPr>
            <w:tcW w:type="dxa" w:w="1003"/>
            <w:shd w:fill="F2F6FC" w:val="clear"/>
          </w:tcPr>
          <w:p>
            <w:pPr>
              <w:jc w:val="right"/>
            </w:pPr>
            <w:r>
              <w:rPr>
                <w:rFonts w:ascii="Arial" w:hAnsi="Arial"/>
                <w:sz w:val="18"/>
              </w:rPr>
              <w:t>53.9927</w:t>
            </w:r>
          </w:p>
        </w:tc>
        <w:tc>
          <w:tcPr>
            <w:tcW w:type="dxa" w:w="1003"/>
            <w:shd w:fill="F2F6FC" w:val="clear"/>
          </w:tcPr>
          <w:p>
            <w:pPr>
              <w:jc w:val="right"/>
            </w:pPr>
            <w:r>
              <w:rPr>
                <w:rFonts w:ascii="Arial" w:hAnsi="Arial"/>
                <w:sz w:val="18"/>
              </w:rPr>
              <w:t>3.40</w:t>
            </w:r>
          </w:p>
        </w:tc>
        <w:tc>
          <w:tcPr>
            <w:tcW w:type="dxa" w:w="1003"/>
            <w:shd w:fill="F2F6FC" w:val="clear"/>
          </w:tcPr>
          <w:p>
            <w:pPr>
              <w:jc w:val="right"/>
            </w:pPr>
            <w:r>
              <w:rPr>
                <w:rFonts w:ascii="Arial" w:hAnsi="Arial"/>
                <w:sz w:val="18"/>
              </w:rPr>
              <w:t>26.45</w:t>
            </w:r>
          </w:p>
        </w:tc>
      </w:tr>
      <w:tr>
        <w:tc>
          <w:tcPr>
            <w:tcW w:type="dxa" w:w="1003"/>
          </w:tcPr>
          <w:p>
            <w:pPr>
              <w:jc w:val="right"/>
            </w:pPr>
            <w:r>
              <w:rPr>
                <w:rFonts w:ascii="Arial" w:hAnsi="Arial"/>
                <w:sz w:val="18"/>
              </w:rPr>
              <w:t>3</w:t>
            </w:r>
          </w:p>
        </w:tc>
        <w:tc>
          <w:tcPr>
            <w:tcW w:type="dxa" w:w="1003"/>
          </w:tcPr>
          <w:p>
            <w:r>
              <w:rPr>
                <w:rFonts w:ascii="Arial" w:hAnsi="Arial"/>
                <w:sz w:val="18"/>
              </w:rPr>
              <w:t>Manufacturing - Steel</w:t>
            </w:r>
          </w:p>
        </w:tc>
        <w:tc>
          <w:tcPr>
            <w:tcW w:type="dxa" w:w="1003"/>
          </w:tcPr>
          <w:p>
            <w:pPr>
              <w:jc w:val="right"/>
            </w:pPr>
            <w:r>
              <w:rPr>
                <w:rFonts w:ascii="Arial" w:hAnsi="Arial"/>
                <w:sz w:val="18"/>
              </w:rPr>
              <w:t>108.620</w:t>
            </w:r>
          </w:p>
        </w:tc>
        <w:tc>
          <w:tcPr>
            <w:tcW w:type="dxa" w:w="1003"/>
          </w:tcPr>
          <w:p>
            <w:pPr>
              <w:jc w:val="right"/>
            </w:pPr>
            <w:r>
              <w:rPr>
                <w:rFonts w:ascii="Arial" w:hAnsi="Arial"/>
                <w:sz w:val="18"/>
              </w:rPr>
              <w:t>7.05</w:t>
            </w:r>
          </w:p>
        </w:tc>
        <w:tc>
          <w:tcPr>
            <w:tcW w:type="dxa" w:w="1003"/>
          </w:tcPr>
          <w:p>
            <w:pPr>
              <w:jc w:val="right"/>
            </w:pPr>
            <w:r>
              <w:rPr>
                <w:rFonts w:ascii="Arial" w:hAnsi="Arial"/>
                <w:sz w:val="18"/>
              </w:rPr>
              <w:t>3,499,463.0</w:t>
            </w:r>
          </w:p>
        </w:tc>
        <w:tc>
          <w:tcPr>
            <w:tcW w:type="dxa" w:w="1003"/>
          </w:tcPr>
          <w:p>
            <w:pPr>
              <w:jc w:val="right"/>
            </w:pPr>
            <w:r>
              <w:rPr>
                <w:rFonts w:ascii="Arial" w:hAnsi="Arial"/>
                <w:sz w:val="18"/>
              </w:rPr>
              <w:t>2,228,739.65</w:t>
            </w:r>
          </w:p>
        </w:tc>
        <w:tc>
          <w:tcPr>
            <w:tcW w:type="dxa" w:w="1003"/>
          </w:tcPr>
          <w:p>
            <w:pPr>
              <w:jc w:val="right"/>
            </w:pPr>
            <w:r>
              <w:rPr>
                <w:rFonts w:ascii="Arial" w:hAnsi="Arial"/>
                <w:sz w:val="18"/>
              </w:rPr>
              <w:t>32.2175</w:t>
            </w:r>
          </w:p>
        </w:tc>
        <w:tc>
          <w:tcPr>
            <w:tcW w:type="dxa" w:w="1003"/>
          </w:tcPr>
          <w:p>
            <w:pPr>
              <w:jc w:val="right"/>
            </w:pPr>
            <w:r>
              <w:rPr>
                <w:rFonts w:ascii="Arial" w:hAnsi="Arial"/>
                <w:sz w:val="18"/>
              </w:rPr>
              <w:t>3.35</w:t>
            </w:r>
          </w:p>
        </w:tc>
        <w:tc>
          <w:tcPr>
            <w:tcW w:type="dxa" w:w="1003"/>
          </w:tcPr>
          <w:p>
            <w:pPr>
              <w:jc w:val="right"/>
            </w:pPr>
            <w:r>
              <w:rPr>
                <w:rFonts w:ascii="Arial" w:hAnsi="Arial"/>
                <w:sz w:val="18"/>
              </w:rPr>
              <w:t>15.92</w:t>
            </w:r>
          </w:p>
        </w:tc>
      </w:tr>
      <w:tr>
        <w:tc>
          <w:tcPr>
            <w:tcW w:type="dxa" w:w="1003"/>
            <w:shd w:fill="F2F6FC" w:val="clear"/>
          </w:tcPr>
          <w:p>
            <w:pPr>
              <w:jc w:val="right"/>
            </w:pPr>
            <w:r>
              <w:rPr>
                <w:rFonts w:ascii="Arial" w:hAnsi="Arial"/>
                <w:sz w:val="18"/>
              </w:rPr>
              <w:t>4</w:t>
            </w:r>
          </w:p>
        </w:tc>
        <w:tc>
          <w:tcPr>
            <w:tcW w:type="dxa" w:w="1003"/>
            <w:shd w:fill="F2F6FC" w:val="clear"/>
          </w:tcPr>
          <w:p>
            <w:r>
              <w:rPr>
                <w:rFonts w:ascii="Arial" w:hAnsi="Arial"/>
                <w:sz w:val="18"/>
              </w:rPr>
              <w:t>Transportation - Road</w:t>
            </w:r>
          </w:p>
        </w:tc>
        <w:tc>
          <w:tcPr>
            <w:tcW w:type="dxa" w:w="1003"/>
            <w:shd w:fill="F2F6FC" w:val="clear"/>
          </w:tcPr>
          <w:p>
            <w:pPr>
              <w:jc w:val="right"/>
            </w:pPr>
            <w:r>
              <w:rPr>
                <w:rFonts w:ascii="Arial" w:hAnsi="Arial"/>
                <w:sz w:val="18"/>
              </w:rPr>
              <w:t>155.553</w:t>
            </w:r>
          </w:p>
        </w:tc>
        <w:tc>
          <w:tcPr>
            <w:tcW w:type="dxa" w:w="1003"/>
            <w:shd w:fill="F2F6FC" w:val="clear"/>
          </w:tcPr>
          <w:p>
            <w:pPr>
              <w:jc w:val="right"/>
            </w:pPr>
            <w:r>
              <w:rPr>
                <w:rFonts w:ascii="Arial" w:hAnsi="Arial"/>
                <w:sz w:val="18"/>
              </w:rPr>
              <w:t>10.09</w:t>
            </w:r>
          </w:p>
        </w:tc>
        <w:tc>
          <w:tcPr>
            <w:tcW w:type="dxa" w:w="1003"/>
            <w:shd w:fill="F2F6FC" w:val="clear"/>
          </w:tcPr>
          <w:p>
            <w:pPr>
              <w:jc w:val="right"/>
            </w:pPr>
            <w:r>
              <w:rPr>
                <w:rFonts w:ascii="Arial" w:hAnsi="Arial"/>
                <w:sz w:val="18"/>
              </w:rPr>
              <w:t>1,227,019.62</w:t>
            </w:r>
          </w:p>
        </w:tc>
        <w:tc>
          <w:tcPr>
            <w:tcW w:type="dxa" w:w="1003"/>
            <w:shd w:fill="F2F6FC" w:val="clear"/>
          </w:tcPr>
          <w:p>
            <w:pPr>
              <w:jc w:val="right"/>
            </w:pPr>
            <w:r>
              <w:rPr>
                <w:rFonts w:ascii="Arial" w:hAnsi="Arial"/>
                <w:sz w:val="18"/>
              </w:rPr>
              <w:t>864,356.23</w:t>
            </w:r>
          </w:p>
        </w:tc>
        <w:tc>
          <w:tcPr>
            <w:tcW w:type="dxa" w:w="1003"/>
            <w:shd w:fill="F2F6FC" w:val="clear"/>
          </w:tcPr>
          <w:p>
            <w:pPr>
              <w:jc w:val="right"/>
            </w:pPr>
            <w:r>
              <w:rPr>
                <w:rFonts w:ascii="Arial" w:hAnsi="Arial"/>
                <w:sz w:val="18"/>
              </w:rPr>
              <w:t>7.8881</w:t>
            </w:r>
          </w:p>
        </w:tc>
        <w:tc>
          <w:tcPr>
            <w:tcW w:type="dxa" w:w="1003"/>
            <w:shd w:fill="F2F6FC" w:val="clear"/>
          </w:tcPr>
          <w:p>
            <w:pPr>
              <w:jc w:val="right"/>
            </w:pPr>
            <w:r>
              <w:rPr>
                <w:rFonts w:ascii="Arial" w:hAnsi="Arial"/>
                <w:sz w:val="18"/>
              </w:rPr>
              <w:t>3.36</w:t>
            </w:r>
          </w:p>
        </w:tc>
        <w:tc>
          <w:tcPr>
            <w:tcW w:type="dxa" w:w="1003"/>
            <w:shd w:fill="F2F6FC" w:val="clear"/>
          </w:tcPr>
          <w:p>
            <w:pPr>
              <w:jc w:val="right"/>
            </w:pPr>
            <w:r>
              <w:rPr>
                <w:rFonts w:ascii="Arial" w:hAnsi="Arial"/>
                <w:sz w:val="18"/>
              </w:rPr>
              <w:t>5.58</w:t>
            </w:r>
          </w:p>
        </w:tc>
      </w:tr>
      <w:tr>
        <w:tc>
          <w:tcPr>
            <w:tcW w:type="dxa" w:w="1003"/>
          </w:tcPr>
          <w:p>
            <w:pPr>
              <w:jc w:val="right"/>
            </w:pPr>
            <w:r>
              <w:rPr>
                <w:rFonts w:ascii="Arial" w:hAnsi="Arial"/>
                <w:sz w:val="18"/>
              </w:rPr>
              <w:t>5</w:t>
            </w:r>
          </w:p>
        </w:tc>
        <w:tc>
          <w:tcPr>
            <w:tcW w:type="dxa" w:w="1003"/>
          </w:tcPr>
          <w:p>
            <w:r>
              <w:rPr>
                <w:rFonts w:ascii="Arial" w:hAnsi="Arial"/>
                <w:sz w:val="18"/>
              </w:rPr>
              <w:t>Manufacturing - Food &amp; Beverage</w:t>
            </w:r>
          </w:p>
        </w:tc>
        <w:tc>
          <w:tcPr>
            <w:tcW w:type="dxa" w:w="1003"/>
          </w:tcPr>
          <w:p>
            <w:pPr>
              <w:jc w:val="right"/>
            </w:pPr>
            <w:r>
              <w:rPr>
                <w:rFonts w:ascii="Arial" w:hAnsi="Arial"/>
                <w:sz w:val="18"/>
              </w:rPr>
              <w:t>169.139</w:t>
            </w:r>
          </w:p>
        </w:tc>
        <w:tc>
          <w:tcPr>
            <w:tcW w:type="dxa" w:w="1003"/>
          </w:tcPr>
          <w:p>
            <w:pPr>
              <w:jc w:val="right"/>
            </w:pPr>
            <w:r>
              <w:rPr>
                <w:rFonts w:ascii="Arial" w:hAnsi="Arial"/>
                <w:sz w:val="18"/>
              </w:rPr>
              <w:t>10.97</w:t>
            </w:r>
          </w:p>
        </w:tc>
        <w:tc>
          <w:tcPr>
            <w:tcW w:type="dxa" w:w="1003"/>
          </w:tcPr>
          <w:p>
            <w:pPr>
              <w:jc w:val="right"/>
            </w:pPr>
            <w:r>
              <w:rPr>
                <w:rFonts w:ascii="Arial" w:hAnsi="Arial"/>
                <w:sz w:val="18"/>
              </w:rPr>
              <w:t>936,111.21</w:t>
            </w:r>
          </w:p>
        </w:tc>
        <w:tc>
          <w:tcPr>
            <w:tcW w:type="dxa" w:w="1003"/>
          </w:tcPr>
          <w:p>
            <w:pPr>
              <w:jc w:val="right"/>
            </w:pPr>
            <w:r>
              <w:rPr>
                <w:rFonts w:ascii="Arial" w:hAnsi="Arial"/>
                <w:sz w:val="18"/>
              </w:rPr>
              <w:t>653,413.56</w:t>
            </w:r>
          </w:p>
        </w:tc>
        <w:tc>
          <w:tcPr>
            <w:tcW w:type="dxa" w:w="1003"/>
          </w:tcPr>
          <w:p>
            <w:pPr>
              <w:jc w:val="right"/>
            </w:pPr>
            <w:r>
              <w:rPr>
                <w:rFonts w:ascii="Arial" w:hAnsi="Arial"/>
                <w:sz w:val="18"/>
              </w:rPr>
              <w:t>5.5346</w:t>
            </w:r>
          </w:p>
        </w:tc>
        <w:tc>
          <w:tcPr>
            <w:tcW w:type="dxa" w:w="1003"/>
          </w:tcPr>
          <w:p>
            <w:pPr>
              <w:jc w:val="right"/>
            </w:pPr>
            <w:r>
              <w:rPr>
                <w:rFonts w:ascii="Arial" w:hAnsi="Arial"/>
                <w:sz w:val="18"/>
              </w:rPr>
              <w:t>3.35</w:t>
            </w:r>
          </w:p>
        </w:tc>
        <w:tc>
          <w:tcPr>
            <w:tcW w:type="dxa" w:w="1003"/>
          </w:tcPr>
          <w:p>
            <w:pPr>
              <w:jc w:val="right"/>
            </w:pPr>
            <w:r>
              <w:rPr>
                <w:rFonts w:ascii="Arial" w:hAnsi="Arial"/>
                <w:sz w:val="18"/>
              </w:rPr>
              <w:t>4.26</w:t>
            </w:r>
          </w:p>
        </w:tc>
      </w:tr>
      <w:tr>
        <w:tc>
          <w:tcPr>
            <w:tcW w:type="dxa" w:w="1003"/>
            <w:shd w:fill="F2F6FC" w:val="clear"/>
          </w:tcPr>
          <w:p>
            <w:r>
              <w:rPr>
                <w:rFonts w:ascii="Arial" w:hAnsi="Arial"/>
                <w:sz w:val="18"/>
              </w:rPr>
              <w:t>—</w:t>
            </w:r>
          </w:p>
        </w:tc>
        <w:tc>
          <w:tcPr>
            <w:tcW w:type="dxa" w:w="1003"/>
            <w:shd w:fill="F2F6FC" w:val="clear"/>
          </w:tcPr>
          <w:p>
            <w:r>
              <w:rPr>
                <w:rFonts w:ascii="Arial" w:hAnsi="Arial"/>
                <w:sz w:val="18"/>
              </w:rPr>
              <w:t>Other Sectors (5 sectors)</w:t>
            </w:r>
          </w:p>
        </w:tc>
        <w:tc>
          <w:tcPr>
            <w:tcW w:type="dxa" w:w="1003"/>
            <w:shd w:fill="F2F6FC" w:val="clear"/>
          </w:tcPr>
          <w:p>
            <w:pPr>
              <w:jc w:val="right"/>
            </w:pPr>
            <w:r>
              <w:rPr>
                <w:rFonts w:ascii="Arial" w:hAnsi="Arial"/>
                <w:sz w:val="18"/>
              </w:rPr>
              <w:t>897.521</w:t>
            </w:r>
          </w:p>
        </w:tc>
        <w:tc>
          <w:tcPr>
            <w:tcW w:type="dxa" w:w="1003"/>
            <w:shd w:fill="F2F6FC" w:val="clear"/>
          </w:tcPr>
          <w:p>
            <w:pPr>
              <w:jc w:val="right"/>
            </w:pPr>
            <w:r>
              <w:rPr>
                <w:rFonts w:ascii="Arial" w:hAnsi="Arial"/>
                <w:sz w:val="18"/>
              </w:rPr>
              <w:t>58.24</w:t>
            </w:r>
          </w:p>
        </w:tc>
        <w:tc>
          <w:tcPr>
            <w:tcW w:type="dxa" w:w="1003"/>
            <w:shd w:fill="F2F6FC" w:val="clear"/>
          </w:tcPr>
          <w:p>
            <w:pPr>
              <w:jc w:val="right"/>
            </w:pPr>
            <w:r>
              <w:rPr>
                <w:rFonts w:ascii="Arial" w:hAnsi="Arial"/>
                <w:sz w:val="18"/>
              </w:rPr>
              <w:t>927,228.29</w:t>
            </w:r>
          </w:p>
        </w:tc>
        <w:tc>
          <w:tcPr>
            <w:tcW w:type="dxa" w:w="1003"/>
            <w:shd w:fill="F2F6FC" w:val="clear"/>
          </w:tcPr>
          <w:p>
            <w:pPr>
              <w:jc w:val="right"/>
            </w:pPr>
            <w:r>
              <w:rPr>
                <w:rFonts w:ascii="Arial" w:hAnsi="Arial"/>
                <w:sz w:val="18"/>
              </w:rPr>
              <w:t>611,657.56</w:t>
            </w:r>
          </w:p>
        </w:tc>
        <w:tc>
          <w:tcPr>
            <w:tcW w:type="dxa" w:w="1003"/>
            <w:shd w:fill="F2F6FC" w:val="clear"/>
          </w:tcPr>
          <w:p>
            <w:pPr>
              <w:jc w:val="right"/>
            </w:pPr>
            <w:r>
              <w:rPr>
                <w:rFonts w:ascii="Arial" w:hAnsi="Arial"/>
                <w:sz w:val="18"/>
              </w:rPr>
              <w:t>1.033</w:t>
            </w:r>
          </w:p>
        </w:tc>
        <w:tc>
          <w:tcPr>
            <w:tcW w:type="dxa" w:w="1003"/>
            <w:shd w:fill="F2F6FC" w:val="clear"/>
          </w:tcPr>
          <w:p>
            <w:pPr>
              <w:jc w:val="right"/>
            </w:pPr>
            <w:r>
              <w:rPr>
                <w:rFonts w:ascii="Arial" w:hAnsi="Arial"/>
                <w:sz w:val="18"/>
              </w:rPr>
              <w:t>3.32</w:t>
            </w:r>
          </w:p>
        </w:tc>
        <w:tc>
          <w:tcPr>
            <w:tcW w:type="dxa" w:w="1003"/>
            <w:shd w:fill="F2F6FC" w:val="clear"/>
          </w:tcPr>
          <w:p>
            <w:pPr>
              <w:jc w:val="right"/>
            </w:pPr>
            <w:r>
              <w:rPr>
                <w:rFonts w:ascii="Arial" w:hAnsi="Arial"/>
                <w:sz w:val="18"/>
              </w:rPr>
              <w:t>4.22</w:t>
            </w:r>
          </w:p>
        </w:tc>
      </w:tr>
      <w:tr>
        <w:tc>
          <w:tcPr>
            <w:tcW w:type="dxa" w:w="1003"/>
          </w:tcPr>
          <w:p>
            <w:r>
              <w:rPr>
                <w:rFonts w:ascii="Arial" w:hAnsi="Arial"/>
                <w:sz w:val="18"/>
              </w:rPr>
              <w:t>—</w:t>
            </w:r>
          </w:p>
        </w:tc>
        <w:tc>
          <w:tcPr>
            <w:tcW w:type="dxa" w:w="1003"/>
          </w:tcPr>
          <w:p>
            <w:r>
              <w:rPr>
                <w:rFonts w:ascii="Arial" w:hAnsi="Arial"/>
                <w:sz w:val="18"/>
              </w:rPr>
              <w:t>**Total Portfolio**</w:t>
            </w:r>
          </w:p>
        </w:tc>
        <w:tc>
          <w:tcPr>
            <w:tcW w:type="dxa" w:w="1003"/>
          </w:tcPr>
          <w:p>
            <w:r>
              <w:rPr>
                <w:rFonts w:ascii="Arial" w:hAnsi="Arial"/>
                <w:sz w:val="18"/>
              </w:rPr>
              <w:t>**1,541.181**</w:t>
            </w:r>
          </w:p>
        </w:tc>
        <w:tc>
          <w:tcPr>
            <w:tcW w:type="dxa" w:w="1003"/>
          </w:tcPr>
          <w:p>
            <w:r>
              <w:rPr>
                <w:rFonts w:ascii="Arial" w:hAnsi="Arial"/>
                <w:sz w:val="18"/>
              </w:rPr>
              <w:t>**100.00**</w:t>
            </w:r>
          </w:p>
        </w:tc>
        <w:tc>
          <w:tcPr>
            <w:tcW w:type="dxa" w:w="1003"/>
          </w:tcPr>
          <w:p>
            <w:r>
              <w:rPr>
                <w:rFonts w:ascii="Arial" w:hAnsi="Arial"/>
                <w:sz w:val="18"/>
              </w:rPr>
              <w:t>**21,976,797.3**</w:t>
            </w:r>
          </w:p>
        </w:tc>
        <w:tc>
          <w:tcPr>
            <w:tcW w:type="dxa" w:w="1003"/>
          </w:tcPr>
          <w:p>
            <w:r>
              <w:rPr>
                <w:rFonts w:ascii="Arial" w:hAnsi="Arial"/>
                <w:sz w:val="18"/>
              </w:rPr>
              <w:t>**15,280,174.14**</w:t>
            </w:r>
          </w:p>
        </w:tc>
        <w:tc>
          <w:tcPr>
            <w:tcW w:type="dxa" w:w="1003"/>
          </w:tcPr>
          <w:p>
            <w:r>
              <w:rPr>
                <w:rFonts w:ascii="Arial" w:hAnsi="Arial"/>
                <w:sz w:val="18"/>
              </w:rPr>
              <w:t>**14.259**</w:t>
            </w:r>
          </w:p>
        </w:tc>
        <w:tc>
          <w:tcPr>
            <w:tcW w:type="dxa" w:w="1003"/>
          </w:tcPr>
          <w:p>
            <w:r>
              <w:rPr>
                <w:rFonts w:ascii="Arial" w:hAnsi="Arial"/>
                <w:sz w:val="18"/>
              </w:rPr>
              <w:t>**3.36**</w:t>
            </w:r>
          </w:p>
        </w:tc>
        <w:tc>
          <w:tcPr>
            <w:tcW w:type="dxa" w:w="1003"/>
          </w:tcPr>
          <w:p>
            <w:r>
              <w:rPr>
                <w:rFonts w:ascii="Arial" w:hAnsi="Arial"/>
                <w:sz w:val="18"/>
              </w:rPr>
              <w:t>**100.00**</w:t>
            </w:r>
          </w:p>
        </w:tc>
      </w:tr>
    </w:tbl>
    <w:p>
      <w:r>
        <w:rPr>
          <w:rFonts w:ascii="Arial" w:hAnsi="Arial"/>
          <w:i/>
          <w:sz w:val="16"/>
        </w:rPr>
        <w:t>Source: Source: Internal PCAF calculation based on PCAF Global GHG Accounting Standard (2022). Gross emissions represent absolute attributable emissions; weighted emissions adjust for PCAF data quality confidence factors. Emission intensity calculated as gross financed emissions per IDR billion outstanding. PCAF Score: 1 (verified) to 5 (sector proxy); lower is higher quality.</w:t>
      </w:r>
    </w:p>
    <w:p/>
    <w:p>
      <w:r>
        <w:rPr>
          <w:rFonts w:ascii="Arial" w:hAnsi="Arial"/>
          <w:b/>
          <w:sz w:val="20"/>
        </w:rPr>
        <w:t>Table 2: PCAF Data Quality Distribution — Reporting Year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No.</w:t>
            </w:r>
          </w:p>
        </w:tc>
        <w:tc>
          <w:tcPr>
            <w:tcW w:type="dxa" w:w="1505"/>
            <w:shd w:fill="1B3A6B" w:val="clear"/>
          </w:tcPr>
          <w:p>
            <w:r>
              <w:rPr>
                <w:rFonts w:ascii="Arial" w:hAnsi="Arial"/>
                <w:b/>
                <w:color w:val="FFFFFF"/>
                <w:sz w:val="18"/>
              </w:rPr>
              <w:t>PCAF Data Quality Tier</w:t>
            </w:r>
          </w:p>
        </w:tc>
        <w:tc>
          <w:tcPr>
            <w:tcW w:type="dxa" w:w="1505"/>
            <w:shd w:fill="1B3A6B" w:val="clear"/>
          </w:tcPr>
          <w:p>
            <w:r>
              <w:rPr>
                <w:rFonts w:ascii="Arial" w:hAnsi="Arial"/>
                <w:b/>
                <w:color w:val="FFFFFF"/>
                <w:sz w:val="18"/>
              </w:rPr>
              <w:t>Description</w:t>
            </w:r>
          </w:p>
        </w:tc>
        <w:tc>
          <w:tcPr>
            <w:tcW w:type="dxa" w:w="1505"/>
            <w:shd w:fill="1B3A6B" w:val="clear"/>
          </w:tcPr>
          <w:p>
            <w:r>
              <w:rPr>
                <w:rFonts w:ascii="Arial" w:hAnsi="Arial"/>
                <w:b/>
                <w:color w:val="FFFFFF"/>
                <w:sz w:val="18"/>
              </w:rPr>
              <w:t>Confidence Factor</w:t>
            </w:r>
          </w:p>
        </w:tc>
        <w:tc>
          <w:tcPr>
            <w:tcW w:type="dxa" w:w="1505"/>
            <w:shd w:fill="1B3A6B" w:val="clear"/>
          </w:tcPr>
          <w:p>
            <w:r>
              <w:rPr>
                <w:rFonts w:ascii="Arial" w:hAnsi="Arial"/>
                <w:b/>
                <w:color w:val="FFFFFF"/>
                <w:sz w:val="18"/>
              </w:rPr>
              <w:t>Portfolio Coverage (%)</w:t>
            </w:r>
          </w:p>
        </w:tc>
        <w:tc>
          <w:tcPr>
            <w:tcW w:type="dxa" w:w="1505"/>
            <w:shd w:fill="1B3A6B" w:val="clear"/>
          </w:tcPr>
          <w:p>
            <w:r>
              <w:rPr>
                <w:rFonts w:ascii="Arial" w:hAnsi="Arial"/>
                <w:b/>
                <w:color w:val="FFFFFF"/>
                <w:sz w:val="18"/>
              </w:rPr>
              <w:t>Weighted Emissions Contribution (%)</w:t>
            </w:r>
          </w:p>
        </w:tc>
      </w:tr>
      <w:tr>
        <w:tc>
          <w:tcPr>
            <w:tcW w:type="dxa" w:w="1505"/>
          </w:tcPr>
          <w:p>
            <w:pPr>
              <w:jc w:val="right"/>
            </w:pPr>
            <w:r>
              <w:rPr>
                <w:rFonts w:ascii="Arial" w:hAnsi="Arial"/>
                <w:sz w:val="18"/>
              </w:rPr>
              <w:t>1</w:t>
            </w:r>
          </w:p>
        </w:tc>
        <w:tc>
          <w:tcPr>
            <w:tcW w:type="dxa" w:w="1505"/>
          </w:tcPr>
          <w:p>
            <w:r>
              <w:rPr>
                <w:rFonts w:ascii="Arial" w:hAnsi="Arial"/>
                <w:sz w:val="18"/>
              </w:rPr>
              <w:t>Tier 1</w:t>
            </w:r>
          </w:p>
        </w:tc>
        <w:tc>
          <w:tcPr>
            <w:tcW w:type="dxa" w:w="1505"/>
          </w:tcPr>
          <w:p>
            <w:r>
              <w:rPr>
                <w:rFonts w:ascii="Arial" w:hAnsi="Arial"/>
                <w:sz w:val="18"/>
              </w:rPr>
              <w:t>Verified emissions (CDP/equivalent)</w:t>
            </w:r>
          </w:p>
        </w:tc>
        <w:tc>
          <w:tcPr>
            <w:tcW w:type="dxa" w:w="1505"/>
          </w:tcPr>
          <w:p>
            <w:pPr>
              <w:jc w:val="right"/>
            </w:pPr>
            <w:r>
              <w:rPr>
                <w:rFonts w:ascii="Arial" w:hAnsi="Arial"/>
                <w:sz w:val="18"/>
              </w:rPr>
              <w:t>1.00</w:t>
            </w:r>
          </w:p>
        </w:tc>
        <w:tc>
          <w:tcPr>
            <w:tcW w:type="dxa" w:w="1505"/>
          </w:tcPr>
          <w:p>
            <w:pPr>
              <w:jc w:val="right"/>
            </w:pPr>
            <w:r>
              <w:rPr>
                <w:rFonts w:ascii="Arial" w:hAnsi="Arial"/>
                <w:sz w:val="18"/>
              </w:rPr>
              <w:t>0.00</w:t>
            </w:r>
          </w:p>
        </w:tc>
        <w:tc>
          <w:tcPr>
            <w:tcW w:type="dxa" w:w="1505"/>
          </w:tcPr>
          <w:p>
            <w:pPr>
              <w:jc w:val="right"/>
            </w:pPr>
            <w:r>
              <w:rPr>
                <w:rFonts w:ascii="Arial" w:hAnsi="Arial"/>
                <w:sz w:val="18"/>
              </w:rPr>
              <w:t>0.00</w:t>
            </w:r>
          </w:p>
        </w:tc>
      </w:tr>
      <w:tr>
        <w:tc>
          <w:tcPr>
            <w:tcW w:type="dxa" w:w="1505"/>
            <w:shd w:fill="F2F6FC" w:val="clear"/>
          </w:tcPr>
          <w:p>
            <w:pPr>
              <w:jc w:val="right"/>
            </w:pPr>
            <w:r>
              <w:rPr>
                <w:rFonts w:ascii="Arial" w:hAnsi="Arial"/>
                <w:sz w:val="18"/>
              </w:rPr>
              <w:t>2</w:t>
            </w:r>
          </w:p>
        </w:tc>
        <w:tc>
          <w:tcPr>
            <w:tcW w:type="dxa" w:w="1505"/>
            <w:shd w:fill="F2F6FC" w:val="clear"/>
          </w:tcPr>
          <w:p>
            <w:r>
              <w:rPr>
                <w:rFonts w:ascii="Arial" w:hAnsi="Arial"/>
                <w:sz w:val="18"/>
              </w:rPr>
              <w:t>Tier 2</w:t>
            </w:r>
          </w:p>
        </w:tc>
        <w:tc>
          <w:tcPr>
            <w:tcW w:type="dxa" w:w="1505"/>
            <w:shd w:fill="F2F6FC" w:val="clear"/>
          </w:tcPr>
          <w:p>
            <w:r>
              <w:rPr>
                <w:rFonts w:ascii="Arial" w:hAnsi="Arial"/>
                <w:sz w:val="18"/>
              </w:rPr>
              <w:t>Reported, unverified</w:t>
            </w:r>
          </w:p>
        </w:tc>
        <w:tc>
          <w:tcPr>
            <w:tcW w:type="dxa" w:w="1505"/>
            <w:shd w:fill="F2F6FC" w:val="clear"/>
          </w:tcPr>
          <w:p>
            <w:pPr>
              <w:jc w:val="right"/>
            </w:pPr>
            <w:r>
              <w:rPr>
                <w:rFonts w:ascii="Arial" w:hAnsi="Arial"/>
                <w:sz w:val="18"/>
              </w:rPr>
              <w:t>0.90</w:t>
            </w:r>
          </w:p>
        </w:tc>
        <w:tc>
          <w:tcPr>
            <w:tcW w:type="dxa" w:w="1505"/>
            <w:shd w:fill="F2F6FC" w:val="clear"/>
          </w:tcPr>
          <w:p>
            <w:pPr>
              <w:jc w:val="right"/>
            </w:pPr>
            <w:r>
              <w:rPr>
                <w:rFonts w:ascii="Arial" w:hAnsi="Arial"/>
                <w:sz w:val="18"/>
              </w:rPr>
              <w:t>0.00</w:t>
            </w:r>
          </w:p>
        </w:tc>
        <w:tc>
          <w:tcPr>
            <w:tcW w:type="dxa" w:w="1505"/>
            <w:shd w:fill="F2F6FC" w:val="clear"/>
          </w:tcPr>
          <w:p>
            <w:pPr>
              <w:jc w:val="right"/>
            </w:pPr>
            <w:r>
              <w:rPr>
                <w:rFonts w:ascii="Arial" w:hAnsi="Arial"/>
                <w:sz w:val="18"/>
              </w:rPr>
              <w:t>0.00</w:t>
            </w:r>
          </w:p>
        </w:tc>
      </w:tr>
      <w:tr>
        <w:tc>
          <w:tcPr>
            <w:tcW w:type="dxa" w:w="1505"/>
          </w:tcPr>
          <w:p>
            <w:pPr>
              <w:jc w:val="right"/>
            </w:pPr>
            <w:r>
              <w:rPr>
                <w:rFonts w:ascii="Arial" w:hAnsi="Arial"/>
                <w:sz w:val="18"/>
              </w:rPr>
              <w:t>3</w:t>
            </w:r>
          </w:p>
        </w:tc>
        <w:tc>
          <w:tcPr>
            <w:tcW w:type="dxa" w:w="1505"/>
          </w:tcPr>
          <w:p>
            <w:r>
              <w:rPr>
                <w:rFonts w:ascii="Arial" w:hAnsi="Arial"/>
                <w:sz w:val="18"/>
              </w:rPr>
              <w:t>Tier 3</w:t>
            </w:r>
          </w:p>
        </w:tc>
        <w:tc>
          <w:tcPr>
            <w:tcW w:type="dxa" w:w="1505"/>
          </w:tcPr>
          <w:p>
            <w:r>
              <w:rPr>
                <w:rFonts w:ascii="Arial" w:hAnsi="Arial"/>
                <w:sz w:val="18"/>
              </w:rPr>
              <w:t>EEIO model + revenue data</w:t>
            </w:r>
          </w:p>
        </w:tc>
        <w:tc>
          <w:tcPr>
            <w:tcW w:type="dxa" w:w="1505"/>
          </w:tcPr>
          <w:p>
            <w:pPr>
              <w:jc w:val="right"/>
            </w:pPr>
            <w:r>
              <w:rPr>
                <w:rFonts w:ascii="Arial" w:hAnsi="Arial"/>
                <w:sz w:val="18"/>
              </w:rPr>
              <w:t>0.75</w:t>
            </w:r>
          </w:p>
        </w:tc>
        <w:tc>
          <w:tcPr>
            <w:tcW w:type="dxa" w:w="1505"/>
          </w:tcPr>
          <w:p>
            <w:pPr>
              <w:jc w:val="right"/>
            </w:pPr>
            <w:r>
              <w:rPr>
                <w:rFonts w:ascii="Arial" w:hAnsi="Arial"/>
                <w:sz w:val="18"/>
              </w:rPr>
              <w:t>47.23</w:t>
            </w:r>
          </w:p>
        </w:tc>
        <w:tc>
          <w:tcPr>
            <w:tcW w:type="dxa" w:w="1505"/>
          </w:tcPr>
          <w:p>
            <w:pPr>
              <w:jc w:val="right"/>
            </w:pPr>
            <w:r>
              <w:rPr>
                <w:rFonts w:ascii="Arial" w:hAnsi="Arial"/>
                <w:sz w:val="18"/>
              </w:rPr>
              <w:t>51.18</w:t>
            </w:r>
          </w:p>
        </w:tc>
      </w:tr>
      <w:tr>
        <w:tc>
          <w:tcPr>
            <w:tcW w:type="dxa" w:w="1505"/>
            <w:shd w:fill="F2F6FC" w:val="clear"/>
          </w:tcPr>
          <w:p>
            <w:pPr>
              <w:jc w:val="right"/>
            </w:pPr>
            <w:r>
              <w:rPr>
                <w:rFonts w:ascii="Arial" w:hAnsi="Arial"/>
                <w:sz w:val="18"/>
              </w:rPr>
              <w:t>4</w:t>
            </w:r>
          </w:p>
        </w:tc>
        <w:tc>
          <w:tcPr>
            <w:tcW w:type="dxa" w:w="1505"/>
            <w:shd w:fill="F2F6FC" w:val="clear"/>
          </w:tcPr>
          <w:p>
            <w:r>
              <w:rPr>
                <w:rFonts w:ascii="Arial" w:hAnsi="Arial"/>
                <w:sz w:val="18"/>
              </w:rPr>
              <w:t>Tier 4</w:t>
            </w:r>
          </w:p>
        </w:tc>
        <w:tc>
          <w:tcPr>
            <w:tcW w:type="dxa" w:w="1505"/>
            <w:shd w:fill="F2F6FC" w:val="clear"/>
          </w:tcPr>
          <w:p>
            <w:r>
              <w:rPr>
                <w:rFonts w:ascii="Arial" w:hAnsi="Arial"/>
                <w:sz w:val="18"/>
              </w:rPr>
              <w:t>EEIO model + asset data</w:t>
            </w:r>
          </w:p>
        </w:tc>
        <w:tc>
          <w:tcPr>
            <w:tcW w:type="dxa" w:w="1505"/>
            <w:shd w:fill="F2F6FC" w:val="clear"/>
          </w:tcPr>
          <w:p>
            <w:pPr>
              <w:jc w:val="right"/>
            </w:pPr>
            <w:r>
              <w:rPr>
                <w:rFonts w:ascii="Arial" w:hAnsi="Arial"/>
                <w:sz w:val="18"/>
              </w:rPr>
              <w:t>0.60</w:t>
            </w:r>
          </w:p>
        </w:tc>
        <w:tc>
          <w:tcPr>
            <w:tcW w:type="dxa" w:w="1505"/>
            <w:shd w:fill="F2F6FC" w:val="clear"/>
          </w:tcPr>
          <w:p>
            <w:pPr>
              <w:jc w:val="right"/>
            </w:pPr>
            <w:r>
              <w:rPr>
                <w:rFonts w:ascii="Arial" w:hAnsi="Arial"/>
                <w:sz w:val="18"/>
              </w:rPr>
              <w:t>52.77</w:t>
            </w:r>
          </w:p>
        </w:tc>
        <w:tc>
          <w:tcPr>
            <w:tcW w:type="dxa" w:w="1505"/>
            <w:shd w:fill="F2F6FC" w:val="clear"/>
          </w:tcPr>
          <w:p>
            <w:pPr>
              <w:jc w:val="right"/>
            </w:pPr>
            <w:r>
              <w:rPr>
                <w:rFonts w:ascii="Arial" w:hAnsi="Arial"/>
                <w:sz w:val="18"/>
              </w:rPr>
              <w:t>48.82</w:t>
            </w:r>
          </w:p>
        </w:tc>
      </w:tr>
      <w:tr>
        <w:tc>
          <w:tcPr>
            <w:tcW w:type="dxa" w:w="1505"/>
          </w:tcPr>
          <w:p>
            <w:pPr>
              <w:jc w:val="right"/>
            </w:pPr>
            <w:r>
              <w:rPr>
                <w:rFonts w:ascii="Arial" w:hAnsi="Arial"/>
                <w:sz w:val="18"/>
              </w:rPr>
              <w:t>5</w:t>
            </w:r>
          </w:p>
        </w:tc>
        <w:tc>
          <w:tcPr>
            <w:tcW w:type="dxa" w:w="1505"/>
          </w:tcPr>
          <w:p>
            <w:r>
              <w:rPr>
                <w:rFonts w:ascii="Arial" w:hAnsi="Arial"/>
                <w:sz w:val="18"/>
              </w:rPr>
              <w:t>Tier 5</w:t>
            </w:r>
          </w:p>
        </w:tc>
        <w:tc>
          <w:tcPr>
            <w:tcW w:type="dxa" w:w="1505"/>
          </w:tcPr>
          <w:p>
            <w:r>
              <w:rPr>
                <w:rFonts w:ascii="Arial" w:hAnsi="Arial"/>
                <w:sz w:val="18"/>
              </w:rPr>
              <w:t>Sector-average proxy</w:t>
            </w:r>
          </w:p>
        </w:tc>
        <w:tc>
          <w:tcPr>
            <w:tcW w:type="dxa" w:w="1505"/>
          </w:tcPr>
          <w:p>
            <w:pPr>
              <w:jc w:val="right"/>
            </w:pPr>
            <w:r>
              <w:rPr>
                <w:rFonts w:ascii="Arial" w:hAnsi="Arial"/>
                <w:sz w:val="18"/>
              </w:rPr>
              <w:t>0.45</w:t>
            </w:r>
          </w:p>
        </w:tc>
        <w:tc>
          <w:tcPr>
            <w:tcW w:type="dxa" w:w="1505"/>
          </w:tcPr>
          <w:p>
            <w:pPr>
              <w:jc w:val="right"/>
            </w:pPr>
            <w:r>
              <w:rPr>
                <w:rFonts w:ascii="Arial" w:hAnsi="Arial"/>
                <w:sz w:val="18"/>
              </w:rPr>
              <w:t>0.00</w:t>
            </w:r>
          </w:p>
        </w:tc>
        <w:tc>
          <w:tcPr>
            <w:tcW w:type="dxa" w:w="1505"/>
          </w:tcPr>
          <w:p>
            <w:pPr>
              <w:jc w:val="right"/>
            </w:pPr>
            <w:r>
              <w:rPr>
                <w:rFonts w:ascii="Arial" w:hAnsi="Arial"/>
                <w:sz w:val="18"/>
              </w:rPr>
              <w:t>0.00</w:t>
            </w:r>
          </w:p>
        </w:tc>
      </w:tr>
      <w:tr>
        <w:tc>
          <w:tcPr>
            <w:tcW w:type="dxa" w:w="1505"/>
            <w:shd w:fill="F2F6FC" w:val="clear"/>
          </w:tcPr>
          <w:p>
            <w:r>
              <w:rPr>
                <w:rFonts w:ascii="Arial" w:hAnsi="Arial"/>
                <w:sz w:val="18"/>
              </w:rPr>
              <w:t>—</w:t>
            </w:r>
          </w:p>
        </w:tc>
        <w:tc>
          <w:tcPr>
            <w:tcW w:type="dxa" w:w="1505"/>
            <w:shd w:fill="F2F6FC" w:val="clear"/>
          </w:tcPr>
          <w:p>
            <w:r>
              <w:rPr>
                <w:rFonts w:ascii="Arial" w:hAnsi="Arial"/>
                <w:sz w:val="18"/>
              </w:rPr>
              <w:t>**Portfolio Total**</w:t>
            </w:r>
          </w:p>
        </w:tc>
        <w:tc>
          <w:tcPr>
            <w:tcW w:type="dxa" w:w="1505"/>
            <w:shd w:fill="F2F6FC" w:val="clear"/>
          </w:tcPr>
          <w:p>
            <w:r>
              <w:rPr>
                <w:rFonts w:ascii="Arial" w:hAnsi="Arial"/>
                <w:sz w:val="18"/>
              </w:rPr>
              <w:t>—</w:t>
            </w:r>
          </w:p>
        </w:tc>
        <w:tc>
          <w:tcPr>
            <w:tcW w:type="dxa" w:w="1505"/>
            <w:shd w:fill="F2F6FC" w:val="clear"/>
          </w:tcPr>
          <w:p>
            <w:r>
              <w:rPr>
                <w:rFonts w:ascii="Arial" w:hAnsi="Arial"/>
                <w:sz w:val="18"/>
              </w:rPr>
              <w:t>**Weighted Avg: 0.695**</w:t>
            </w:r>
          </w:p>
        </w:tc>
        <w:tc>
          <w:tcPr>
            <w:tcW w:type="dxa" w:w="1505"/>
            <w:shd w:fill="F2F6FC" w:val="clear"/>
          </w:tcPr>
          <w:p>
            <w:r>
              <w:rPr>
                <w:rFonts w:ascii="Arial" w:hAnsi="Arial"/>
                <w:sz w:val="18"/>
              </w:rPr>
              <w:t>**100.00**</w:t>
            </w:r>
          </w:p>
        </w:tc>
        <w:tc>
          <w:tcPr>
            <w:tcW w:type="dxa" w:w="1505"/>
            <w:shd w:fill="F2F6FC" w:val="clear"/>
          </w:tcPr>
          <w:p>
            <w:r>
              <w:rPr>
                <w:rFonts w:ascii="Arial" w:hAnsi="Arial"/>
                <w:sz w:val="18"/>
              </w:rPr>
              <w:t>**100.00**</w:t>
            </w:r>
          </w:p>
        </w:tc>
      </w:tr>
    </w:tbl>
    <w:p>
      <w:r>
        <w:rPr>
          <w:rFonts w:ascii="Arial" w:hAnsi="Arial"/>
          <w:i/>
          <w:sz w:val="16"/>
        </w:rPr>
        <w:t>Source: Source: Internal PCAF data quality assessment. Portfolio coverage represents percentage of total outstanding amount by data quality tier. Weighted emissions contribution shows the proportion of confidence-weighted financed emissions attributable to each tier. The portfolio-weighted average confidence factor of 0.695 results in weighted emissions that are 69.52% of gross emissions.</w:t>
      </w:r>
    </w:p>
    <w:p/>
    <w:p>
      <w:r>
        <w:rPr>
          <w:rFonts w:ascii="Arial" w:hAnsi="Arial"/>
          <w:b/>
          <w:sz w:val="20"/>
        </w:rPr>
        <w:t>Table 3: Year-over-Year Financed Emissions Comparison</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Metric</w:t>
            </w:r>
          </w:p>
        </w:tc>
        <w:tc>
          <w:tcPr>
            <w:tcW w:type="dxa" w:w="1129"/>
            <w:shd w:fill="1B3A6B" w:val="clear"/>
          </w:tcPr>
          <w:p>
            <w:r>
              <w:rPr>
                <w:rFonts w:ascii="Arial" w:hAnsi="Arial"/>
                <w:b/>
                <w:color w:val="FFFFFF"/>
                <w:sz w:val="18"/>
              </w:rPr>
              <w:t>Unit</w:t>
            </w:r>
          </w:p>
        </w:tc>
        <w:tc>
          <w:tcPr>
            <w:tcW w:type="dxa" w:w="1129"/>
            <w:shd w:fill="1B3A6B" w:val="clear"/>
          </w:tcPr>
          <w:p>
            <w:r>
              <w:rPr>
                <w:rFonts w:ascii="Arial" w:hAnsi="Arial"/>
                <w:b/>
                <w:color w:val="FFFFFF"/>
                <w:sz w:val="18"/>
              </w:rPr>
              <w:t>Reporting Year 2024</w:t>
            </w:r>
          </w:p>
        </w:tc>
        <w:tc>
          <w:tcPr>
            <w:tcW w:type="dxa" w:w="1129"/>
            <w:shd w:fill="1B3A6B" w:val="clear"/>
          </w:tcPr>
          <w:p>
            <w:r>
              <w:rPr>
                <w:rFonts w:ascii="Arial" w:hAnsi="Arial"/>
                <w:b/>
                <w:color w:val="FFFFFF"/>
                <w:sz w:val="18"/>
              </w:rPr>
              <w:t>Prior Year 2023</w:t>
            </w:r>
          </w:p>
        </w:tc>
        <w:tc>
          <w:tcPr>
            <w:tcW w:type="dxa" w:w="1129"/>
            <w:shd w:fill="1B3A6B" w:val="clear"/>
          </w:tcPr>
          <w:p>
            <w:r>
              <w:rPr>
                <w:rFonts w:ascii="Arial" w:hAnsi="Arial"/>
                <w:b/>
                <w:color w:val="FFFFFF"/>
                <w:sz w:val="18"/>
              </w:rPr>
              <w:t>Change (Absolute)</w:t>
            </w:r>
          </w:p>
        </w:tc>
        <w:tc>
          <w:tcPr>
            <w:tcW w:type="dxa" w:w="1129"/>
            <w:shd w:fill="1B3A6B" w:val="clear"/>
          </w:tcPr>
          <w:p>
            <w:r>
              <w:rPr>
                <w:rFonts w:ascii="Arial" w:hAnsi="Arial"/>
                <w:b/>
                <w:color w:val="FFFFFF"/>
                <w:sz w:val="18"/>
              </w:rPr>
              <w:t>Change (%)</w:t>
            </w:r>
          </w:p>
        </w:tc>
        <w:tc>
          <w:tcPr>
            <w:tcW w:type="dxa" w:w="1129"/>
            <w:shd w:fill="1B3A6B" w:val="clear"/>
          </w:tcPr>
          <w:p>
            <w:r>
              <w:rPr>
                <w:rFonts w:ascii="Arial" w:hAnsi="Arial"/>
                <w:b/>
                <w:color w:val="FFFFFF"/>
                <w:sz w:val="18"/>
              </w:rPr>
              <w:t>Notes</w:t>
            </w:r>
          </w:p>
        </w:tc>
      </w:tr>
      <w:tr>
        <w:tc>
          <w:tcPr>
            <w:tcW w:type="dxa" w:w="1129"/>
          </w:tcPr>
          <w:p>
            <w:pPr>
              <w:jc w:val="right"/>
            </w:pPr>
            <w:r>
              <w:rPr>
                <w:rFonts w:ascii="Arial" w:hAnsi="Arial"/>
                <w:sz w:val="18"/>
              </w:rPr>
              <w:t>1</w:t>
            </w:r>
          </w:p>
        </w:tc>
        <w:tc>
          <w:tcPr>
            <w:tcW w:type="dxa" w:w="1129"/>
          </w:tcPr>
          <w:p>
            <w:r>
              <w:rPr>
                <w:rFonts w:ascii="Arial" w:hAnsi="Arial"/>
                <w:sz w:val="18"/>
              </w:rPr>
              <w:t>Gross Financed Emissions</w:t>
            </w:r>
          </w:p>
        </w:tc>
        <w:tc>
          <w:tcPr>
            <w:tcW w:type="dxa" w:w="1129"/>
          </w:tcPr>
          <w:p>
            <w:r>
              <w:rPr>
                <w:rFonts w:ascii="Arial" w:hAnsi="Arial"/>
                <w:sz w:val="18"/>
              </w:rPr>
              <w:t>tCO2e</w:t>
            </w:r>
          </w:p>
        </w:tc>
        <w:tc>
          <w:tcPr>
            <w:tcW w:type="dxa" w:w="1129"/>
          </w:tcPr>
          <w:p>
            <w:pPr>
              <w:jc w:val="right"/>
            </w:pPr>
            <w:r>
              <w:rPr>
                <w:rFonts w:ascii="Arial" w:hAnsi="Arial"/>
                <w:sz w:val="18"/>
              </w:rPr>
              <w:t>21,976,797.3</w:t>
            </w:r>
          </w:p>
        </w:tc>
        <w:tc>
          <w:tcPr>
            <w:tcW w:type="dxa" w:w="1129"/>
          </w:tcPr>
          <w:p>
            <w:pPr>
              <w:jc w:val="right"/>
            </w:pPr>
            <w:r>
              <w:rPr>
                <w:rFonts w:ascii="Arial" w:hAnsi="Arial"/>
                <w:sz w:val="18"/>
              </w:rPr>
              <w:t>22,911,991.05</w:t>
            </w:r>
          </w:p>
        </w:tc>
        <w:tc>
          <w:tcPr>
            <w:tcW w:type="dxa" w:w="1129"/>
          </w:tcPr>
          <w:p>
            <w:pPr>
              <w:jc w:val="right"/>
            </w:pPr>
            <w:r>
              <w:rPr>
                <w:rFonts w:ascii="Arial" w:hAnsi="Arial"/>
                <w:sz w:val="18"/>
              </w:rPr>
              <w:t>-935,193.75</w:t>
            </w:r>
          </w:p>
        </w:tc>
        <w:tc>
          <w:tcPr>
            <w:tcW w:type="dxa" w:w="1129"/>
          </w:tcPr>
          <w:p>
            <w:pPr>
              <w:jc w:val="right"/>
            </w:pPr>
            <w:r>
              <w:rPr>
                <w:rFonts w:ascii="Arial" w:hAnsi="Arial"/>
                <w:sz w:val="18"/>
              </w:rPr>
              <w:t>-4.08</w:t>
            </w:r>
          </w:p>
        </w:tc>
        <w:tc>
          <w:tcPr>
            <w:tcW w:type="dxa" w:w="1129"/>
          </w:tcPr>
          <w:p>
            <w:r>
              <w:rPr>
                <w:rFonts w:ascii="Arial" w:hAnsi="Arial"/>
                <w:sz w:val="18"/>
              </w:rPr>
              <w:t>Portfolio composition effect</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Weighted Financed Emissions</w:t>
            </w:r>
          </w:p>
        </w:tc>
        <w:tc>
          <w:tcPr>
            <w:tcW w:type="dxa" w:w="1129"/>
            <w:shd w:fill="F2F6FC" w:val="clear"/>
          </w:tcPr>
          <w:p>
            <w:r>
              <w:rPr>
                <w:rFonts w:ascii="Arial" w:hAnsi="Arial"/>
                <w:sz w:val="18"/>
              </w:rPr>
              <w:t>tCO2e</w:t>
            </w:r>
          </w:p>
        </w:tc>
        <w:tc>
          <w:tcPr>
            <w:tcW w:type="dxa" w:w="1129"/>
            <w:shd w:fill="F2F6FC" w:val="clear"/>
          </w:tcPr>
          <w:p>
            <w:pPr>
              <w:jc w:val="right"/>
            </w:pPr>
            <w:r>
              <w:rPr>
                <w:rFonts w:ascii="Arial" w:hAnsi="Arial"/>
                <w:sz w:val="18"/>
              </w:rPr>
              <w:t>15,280,174.14</w:t>
            </w:r>
          </w:p>
        </w:tc>
        <w:tc>
          <w:tcPr>
            <w:tcW w:type="dxa" w:w="1129"/>
            <w:shd w:fill="F2F6FC" w:val="clear"/>
          </w:tcPr>
          <w:p>
            <w:pPr>
              <w:jc w:val="right"/>
            </w:pPr>
            <w:r>
              <w:rPr>
                <w:rFonts w:ascii="Arial" w:hAnsi="Arial"/>
                <w:sz w:val="18"/>
              </w:rPr>
              <w:t>15,576,239.57</w:t>
            </w:r>
          </w:p>
        </w:tc>
        <w:tc>
          <w:tcPr>
            <w:tcW w:type="dxa" w:w="1129"/>
            <w:shd w:fill="F2F6FC" w:val="clear"/>
          </w:tcPr>
          <w:p>
            <w:pPr>
              <w:jc w:val="right"/>
            </w:pPr>
            <w:r>
              <w:rPr>
                <w:rFonts w:ascii="Arial" w:hAnsi="Arial"/>
                <w:sz w:val="18"/>
              </w:rPr>
              <w:t>-296,065.43</w:t>
            </w:r>
          </w:p>
        </w:tc>
        <w:tc>
          <w:tcPr>
            <w:tcW w:type="dxa" w:w="1129"/>
            <w:shd w:fill="F2F6FC" w:val="clear"/>
          </w:tcPr>
          <w:p>
            <w:pPr>
              <w:jc w:val="right"/>
            </w:pPr>
            <w:r>
              <w:rPr>
                <w:rFonts w:ascii="Arial" w:hAnsi="Arial"/>
                <w:sz w:val="18"/>
              </w:rPr>
              <w:t>-1.90</w:t>
            </w:r>
          </w:p>
        </w:tc>
        <w:tc>
          <w:tcPr>
            <w:tcW w:type="dxa" w:w="1129"/>
            <w:shd w:fill="F2F6FC" w:val="clear"/>
          </w:tcPr>
          <w:p>
            <w:r>
              <w:rPr>
                <w:rFonts w:ascii="Arial" w:hAnsi="Arial"/>
                <w:sz w:val="18"/>
              </w:rPr>
              <w:t>Data quality improved slightly</w:t>
            </w:r>
          </w:p>
        </w:tc>
      </w:tr>
      <w:tr>
        <w:tc>
          <w:tcPr>
            <w:tcW w:type="dxa" w:w="1129"/>
          </w:tcPr>
          <w:p>
            <w:pPr>
              <w:jc w:val="right"/>
            </w:pPr>
            <w:r>
              <w:rPr>
                <w:rFonts w:ascii="Arial" w:hAnsi="Arial"/>
                <w:sz w:val="18"/>
              </w:rPr>
              <w:t>3</w:t>
            </w:r>
          </w:p>
        </w:tc>
        <w:tc>
          <w:tcPr>
            <w:tcW w:type="dxa" w:w="1129"/>
          </w:tcPr>
          <w:p>
            <w:r>
              <w:rPr>
                <w:rFonts w:ascii="Arial" w:hAnsi="Arial"/>
                <w:sz w:val="18"/>
              </w:rPr>
              <w:t>Total Portfolio Outstanding</w:t>
            </w:r>
          </w:p>
        </w:tc>
        <w:tc>
          <w:tcPr>
            <w:tcW w:type="dxa" w:w="1129"/>
          </w:tcPr>
          <w:p>
            <w:r>
              <w:rPr>
                <w:rFonts w:ascii="Arial" w:hAnsi="Arial"/>
                <w:sz w:val="18"/>
              </w:rPr>
              <w:t>IDR Trillion</w:t>
            </w:r>
          </w:p>
        </w:tc>
        <w:tc>
          <w:tcPr>
            <w:tcW w:type="dxa" w:w="1129"/>
          </w:tcPr>
          <w:p>
            <w:pPr>
              <w:jc w:val="right"/>
            </w:pPr>
            <w:r>
              <w:rPr>
                <w:rFonts w:ascii="Arial" w:hAnsi="Arial"/>
                <w:sz w:val="18"/>
              </w:rPr>
              <w:t>1,541.181</w:t>
            </w:r>
          </w:p>
        </w:tc>
        <w:tc>
          <w:tcPr>
            <w:tcW w:type="dxa" w:w="1129"/>
          </w:tcPr>
          <w:p>
            <w:pPr>
              <w:jc w:val="right"/>
            </w:pPr>
            <w:r>
              <w:rPr>
                <w:rFonts w:ascii="Arial" w:hAnsi="Arial"/>
                <w:sz w:val="18"/>
              </w:rPr>
              <w:t>1,498.342</w:t>
            </w:r>
          </w:p>
        </w:tc>
        <w:tc>
          <w:tcPr>
            <w:tcW w:type="dxa" w:w="1129"/>
          </w:tcPr>
          <w:p>
            <w:pPr>
              <w:jc w:val="right"/>
            </w:pPr>
            <w:r>
              <w:rPr>
                <w:rFonts w:ascii="Arial" w:hAnsi="Arial"/>
                <w:sz w:val="18"/>
              </w:rPr>
              <w:t>+42.839</w:t>
            </w:r>
          </w:p>
        </w:tc>
        <w:tc>
          <w:tcPr>
            <w:tcW w:type="dxa" w:w="1129"/>
          </w:tcPr>
          <w:p>
            <w:pPr>
              <w:jc w:val="right"/>
            </w:pPr>
            <w:r>
              <w:rPr>
                <w:rFonts w:ascii="Arial" w:hAnsi="Arial"/>
                <w:sz w:val="18"/>
              </w:rPr>
              <w:t>+2.86</w:t>
            </w:r>
          </w:p>
        </w:tc>
        <w:tc>
          <w:tcPr>
            <w:tcW w:type="dxa" w:w="1129"/>
          </w:tcPr>
          <w:p>
            <w:r>
              <w:rPr>
                <w:rFonts w:ascii="Arial" w:hAnsi="Arial"/>
                <w:sz w:val="18"/>
              </w:rPr>
              <w:t>Portfolio growth</w:t>
            </w:r>
          </w:p>
        </w:tc>
      </w:tr>
      <w:tr>
        <w:tc>
          <w:tcPr>
            <w:tcW w:type="dxa" w:w="1129"/>
            <w:shd w:fill="F2F6FC" w:val="clear"/>
          </w:tcPr>
          <w:p>
            <w:pPr>
              <w:jc w:val="right"/>
            </w:pPr>
            <w:r>
              <w:rPr>
                <w:rFonts w:ascii="Arial" w:hAnsi="Arial"/>
                <w:sz w:val="18"/>
              </w:rPr>
              <w:t>4</w:t>
            </w:r>
          </w:p>
        </w:tc>
        <w:tc>
          <w:tcPr>
            <w:tcW w:type="dxa" w:w="1129"/>
            <w:shd w:fill="F2F6FC" w:val="clear"/>
          </w:tcPr>
          <w:p>
            <w:r>
              <w:rPr>
                <w:rFonts w:ascii="Arial" w:hAnsi="Arial"/>
                <w:sz w:val="18"/>
              </w:rPr>
              <w:t>Emission Intensity (Gross)</w:t>
            </w:r>
          </w:p>
        </w:tc>
        <w:tc>
          <w:tcPr>
            <w:tcW w:type="dxa" w:w="1129"/>
            <w:shd w:fill="F2F6FC" w:val="clear"/>
          </w:tcPr>
          <w:p>
            <w:r>
              <w:rPr>
                <w:rFonts w:ascii="Arial" w:hAnsi="Arial"/>
                <w:sz w:val="18"/>
              </w:rPr>
              <w:t>tCO2e/IDR Bn</w:t>
            </w:r>
          </w:p>
        </w:tc>
        <w:tc>
          <w:tcPr>
            <w:tcW w:type="dxa" w:w="1129"/>
            <w:shd w:fill="F2F6FC" w:val="clear"/>
          </w:tcPr>
          <w:p>
            <w:pPr>
              <w:jc w:val="right"/>
            </w:pPr>
            <w:r>
              <w:rPr>
                <w:rFonts w:ascii="Arial" w:hAnsi="Arial"/>
                <w:sz w:val="18"/>
              </w:rPr>
              <w:t>14.259</w:t>
            </w:r>
          </w:p>
        </w:tc>
        <w:tc>
          <w:tcPr>
            <w:tcW w:type="dxa" w:w="1129"/>
            <w:shd w:fill="F2F6FC" w:val="clear"/>
          </w:tcPr>
          <w:p>
            <w:pPr>
              <w:jc w:val="right"/>
            </w:pPr>
            <w:r>
              <w:rPr>
                <w:rFonts w:ascii="Arial" w:hAnsi="Arial"/>
                <w:sz w:val="18"/>
              </w:rPr>
              <w:t>15.293</w:t>
            </w:r>
          </w:p>
        </w:tc>
        <w:tc>
          <w:tcPr>
            <w:tcW w:type="dxa" w:w="1129"/>
            <w:shd w:fill="F2F6FC" w:val="clear"/>
          </w:tcPr>
          <w:p>
            <w:pPr>
              <w:jc w:val="right"/>
            </w:pPr>
            <w:r>
              <w:rPr>
                <w:rFonts w:ascii="Arial" w:hAnsi="Arial"/>
                <w:sz w:val="18"/>
              </w:rPr>
              <w:t>-1.034</w:t>
            </w:r>
          </w:p>
        </w:tc>
        <w:tc>
          <w:tcPr>
            <w:tcW w:type="dxa" w:w="1129"/>
            <w:shd w:fill="F2F6FC" w:val="clear"/>
          </w:tcPr>
          <w:p>
            <w:pPr>
              <w:jc w:val="right"/>
            </w:pPr>
            <w:r>
              <w:rPr>
                <w:rFonts w:ascii="Arial" w:hAnsi="Arial"/>
                <w:sz w:val="18"/>
              </w:rPr>
              <w:t>-6.76</w:t>
            </w:r>
          </w:p>
        </w:tc>
        <w:tc>
          <w:tcPr>
            <w:tcW w:type="dxa" w:w="1129"/>
            <w:shd w:fill="F2F6FC" w:val="clear"/>
          </w:tcPr>
          <w:p>
            <w:r>
              <w:rPr>
                <w:rFonts w:ascii="Arial" w:hAnsi="Arial"/>
                <w:sz w:val="18"/>
              </w:rPr>
              <w:t>Intensity improvement</w:t>
            </w:r>
          </w:p>
        </w:tc>
      </w:tr>
      <w:tr>
        <w:tc>
          <w:tcPr>
            <w:tcW w:type="dxa" w:w="1129"/>
          </w:tcPr>
          <w:p>
            <w:pPr>
              <w:jc w:val="right"/>
            </w:pPr>
            <w:r>
              <w:rPr>
                <w:rFonts w:ascii="Arial" w:hAnsi="Arial"/>
                <w:sz w:val="18"/>
              </w:rPr>
              <w:t>5</w:t>
            </w:r>
          </w:p>
        </w:tc>
        <w:tc>
          <w:tcPr>
            <w:tcW w:type="dxa" w:w="1129"/>
          </w:tcPr>
          <w:p>
            <w:r>
              <w:rPr>
                <w:rFonts w:ascii="Arial" w:hAnsi="Arial"/>
                <w:sz w:val="18"/>
              </w:rPr>
              <w:t>Portfolio-Weighted PCAF Score</w:t>
            </w:r>
          </w:p>
        </w:tc>
        <w:tc>
          <w:tcPr>
            <w:tcW w:type="dxa" w:w="1129"/>
          </w:tcPr>
          <w:p>
            <w:r>
              <w:rPr>
                <w:rFonts w:ascii="Arial" w:hAnsi="Arial"/>
                <w:sz w:val="18"/>
              </w:rPr>
              <w:t>Score (1-5)</w:t>
            </w:r>
          </w:p>
        </w:tc>
        <w:tc>
          <w:tcPr>
            <w:tcW w:type="dxa" w:w="1129"/>
          </w:tcPr>
          <w:p>
            <w:pPr>
              <w:jc w:val="right"/>
            </w:pPr>
            <w:r>
              <w:rPr>
                <w:rFonts w:ascii="Arial" w:hAnsi="Arial"/>
                <w:sz w:val="18"/>
              </w:rPr>
              <w:t>3.36</w:t>
            </w:r>
          </w:p>
        </w:tc>
        <w:tc>
          <w:tcPr>
            <w:tcW w:type="dxa" w:w="1129"/>
          </w:tcPr>
          <w:p>
            <w:pPr>
              <w:jc w:val="right"/>
            </w:pPr>
            <w:r>
              <w:rPr>
                <w:rFonts w:ascii="Arial" w:hAnsi="Arial"/>
                <w:sz w:val="18"/>
              </w:rPr>
              <w:t>3.41</w:t>
            </w:r>
          </w:p>
        </w:tc>
        <w:tc>
          <w:tcPr>
            <w:tcW w:type="dxa" w:w="1129"/>
          </w:tcPr>
          <w:p>
            <w:pPr>
              <w:jc w:val="right"/>
            </w:pPr>
            <w:r>
              <w:rPr>
                <w:rFonts w:ascii="Arial" w:hAnsi="Arial"/>
                <w:sz w:val="18"/>
              </w:rPr>
              <w:t>-0.05</w:t>
            </w:r>
          </w:p>
        </w:tc>
        <w:tc>
          <w:tcPr>
            <w:tcW w:type="dxa" w:w="1129"/>
          </w:tcPr>
          <w:p>
            <w:pPr>
              <w:jc w:val="right"/>
            </w:pPr>
            <w:r>
              <w:rPr>
                <w:rFonts w:ascii="Arial" w:hAnsi="Arial"/>
                <w:sz w:val="18"/>
              </w:rPr>
              <w:t>-1.47</w:t>
            </w:r>
          </w:p>
        </w:tc>
        <w:tc>
          <w:tcPr>
            <w:tcW w:type="dxa" w:w="1129"/>
          </w:tcPr>
          <w:p>
            <w:r>
              <w:rPr>
                <w:rFonts w:ascii="Arial" w:hAnsi="Arial"/>
                <w:sz w:val="18"/>
              </w:rPr>
              <w:t>Marginal quality gain</w:t>
            </w:r>
          </w:p>
        </w:tc>
      </w:tr>
    </w:tbl>
    <w:p>
      <w:r>
        <w:rPr>
          <w:rFonts w:ascii="Arial" w:hAnsi="Arial"/>
          <w:i/>
          <w:sz w:val="16"/>
        </w:rPr>
        <w:t>Source: Source: Internal PCAF calculations for Reporting Year 2024 and Prior Year 2023 (retrospective). The 4.08% decrease in gross financed emissions reflects portfolio rebalancing toward lower-intensity sectors rather than borrower-level decarbonization. Sector-level trend analysis is not available as 2023 data lacks granular sector classification. Future reporting will track borrower-specific emission trajectories to distinguish portfolio composition effects from actual decarbonization.</w:t>
      </w:r>
    </w:p>
    <w:p/>
    <w:p>
      <w:r>
        <w:rPr>
          <w:i/>
          <w:color w:val="3D6094"/>
          <w:sz w:val="18"/>
        </w:rPr>
        <w:t>Framework references: GRI 305-3 (Other indirect GHG emissions); PCAF Global GHG Accounting Standard (2022) — Part A: Financed Emissions; POJK No. 51/POJK.03/2017 Article 13-16 (Climate Risk Management); SE OJK Circular on Environmental Metrics Reporting (KBMI 3 institutions); GHG Protocol Corporate Value Chain (Scope 3) Standard — Category 15; Indonesia Enhanced NDC (2022); Indonesia Long-Term Strategy for Low Carbon and Climate Resilience 2050 (LTS-LCCR 2050)</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PCAF Global GHG Accounting Standard (2022) was applied for all financed emissions calculations. The institution is not yet a PCAF signatory but applies the standard voluntarily to align with international best practice.</w:t>
      </w:r>
    </w:p>
    <w:p>
      <w:pPr>
        <w:spacing w:after="160" w:line="276" w:lineRule="auto"/>
        <w:jc w:val="both"/>
      </w:pPr>
      <w:r>
        <w:rPr>
          <w:rFonts w:ascii="Arial" w:hAnsi="Arial"/>
          <w:i/>
          <w:color w:val="646464"/>
          <w:sz w:val="18"/>
        </w:rPr>
        <w:t>Enterprise value for attribution factor calculation was derived from borrower financial statements (total equity + total debt). For borrowers without audited financials, book value of assets was used as proxy (affecting 12.3% of portfolio).</w:t>
      </w:r>
    </w:p>
    <w:p>
      <w:pPr>
        <w:spacing w:after="160" w:line="276" w:lineRule="auto"/>
        <w:jc w:val="both"/>
      </w:pPr>
      <w:r>
        <w:rPr>
          <w:rFonts w:ascii="Arial" w:hAnsi="Arial"/>
          <w:i/>
          <w:color w:val="646464"/>
          <w:sz w:val="18"/>
        </w:rPr>
        <w:t>Sector classification follows NACE Rev. 2 (Statistical Classification of Economic Activities in the European Community) adapted for Indonesian context. Mapping to Indonesia Standard Industrial Classification (KBLI) is maintained in internal systems.</w:t>
      </w:r>
    </w:p>
    <w:p>
      <w:pPr>
        <w:spacing w:after="160" w:line="276" w:lineRule="auto"/>
        <w:jc w:val="both"/>
      </w:pPr>
      <w:r>
        <w:rPr>
          <w:rFonts w:ascii="Arial" w:hAnsi="Arial"/>
          <w:i/>
          <w:color w:val="646464"/>
          <w:sz w:val="18"/>
        </w:rPr>
        <w:t>The institution's financed emissions calculation covers corporate loans only. Retail mortgages, auto loans, and project finance are excluded from Reporting Year 2024 scope and will be phased in by 2026 per PCAF asset class roadmap.</w:t>
      </w:r>
    </w:p>
    <w:p>
      <w:pPr>
        <w:spacing w:after="160" w:line="276" w:lineRule="auto"/>
        <w:jc w:val="both"/>
      </w:pPr>
      <w:r>
        <w:rPr>
          <w:rFonts w:ascii="Arial" w:hAnsi="Arial"/>
          <w:i/>
          <w:color w:val="646464"/>
          <w:sz w:val="18"/>
        </w:rPr>
        <w:t>Indonesia Enhanced NDC (2022): 31.89% unconditional emission reduction by 2030 vs BAU; 43.2% conditional reduction with international support. Long-Term Strategy (LTS 2050): Net zero by 2060 or sooner.</w:t>
      </w:r>
    </w:p>
    <w:p>
      <w:pPr>
        <w:spacing w:after="160" w:line="276" w:lineRule="auto"/>
        <w:jc w:val="both"/>
      </w:pPr>
      <w:r>
        <w:rPr>
          <w:rFonts w:ascii="Arial" w:hAnsi="Arial"/>
          <w:i/>
          <w:color w:val="646464"/>
          <w:sz w:val="18"/>
        </w:rPr>
        <w:t>PLN National Grid Emission Factor 2023: 0.7886 kg CO2/kWh (source: Ministry of Energy and Mineral Resources). This factor is used for Scope 2 calculations but not directly applicable to financed emissions, which use borrower-specific or sector-average emission factors.</w:t>
      </w:r>
    </w:p>
    <w:p>
      <w:pPr>
        <w:pStyle w:val="Heading1"/>
        <w:keepNext/>
        <w:spacing w:before="480" w:after="240"/>
      </w:pPr>
      <w:r>
        <w:rPr>
          <w:rFonts w:ascii="Arial" w:hAnsi="Arial"/>
          <w:b/>
          <w:color w:val="1B3A6B"/>
          <w:sz w:val="36"/>
        </w:rPr>
        <w:t>GRI 305-4: GHG Emissions Intensity</w:t>
      </w:r>
    </w:p>
    <w:p>
      <w:pPr>
        <w:spacing w:after="160" w:line="276" w:lineRule="auto"/>
        <w:jc w:val="both"/>
      </w:pPr>
      <w:r>
        <w:rPr>
          <w:rFonts w:ascii="Arial" w:hAnsi="Arial"/>
          <w:sz w:val="22"/>
        </w:rPr>
        <w:t>The organization's GHG emissions intensity for the 2024 reporting period was 239.400139 tCO2e per IDR billion operating revenue and 1.9209 tCO2e per full-time equivalent employee (FTE). These intensity metrics normalize absolute emissions against organizational scale indicators to enable performance tracking over time and facilitate comparability with peer institutions in the Indonesian banking sector.</w:t>
      </w:r>
    </w:p>
    <w:p>
      <w:pPr>
        <w:spacing w:after="160" w:line="276" w:lineRule="auto"/>
        <w:jc w:val="both"/>
      </w:pPr>
      <w:r>
        <w:rPr>
          <w:rFonts w:ascii="Arial" w:hAnsi="Arial"/>
          <w:i/>
          <w:sz w:val="22"/>
        </w:rPr>
        <w:t>The revenue-based intensity ratio encompasses direct (Scope 1) emissions of 3402.997 tCO2e, energy indirect (Scope 2) market-based emissions of 44612.518 tCO2e, and other indirect (Scope 3) Category 15 gross financed emissions of 21976797.3 tCO2e, totaling 22024812.815 tCO2e. The denominator represents consolidated operating revenue of IDR 92,000 billion for the 2024 fiscal year, derived from audited financial statements prepared under Indonesian Financial Accounting Standards. The FTE-based intensity ratio includes only operational emissions (Scope 1 + Scope 2 market-based) totaling 48015.515 tCO2e, divided by 24997 FTE as of December 31, 2024, reflecting the organization's direct operational carbon footprint per employee.</w:t>
      </w:r>
    </w:p>
    <w:p>
      <w:pPr>
        <w:spacing w:after="160" w:line="276" w:lineRule="auto"/>
        <w:jc w:val="both"/>
      </w:pPr>
      <w:r>
        <w:rPr>
          <w:rFonts w:ascii="Arial" w:hAnsi="Arial"/>
          <w:i/>
          <w:sz w:val="22"/>
        </w:rPr>
        <w:t>The organization calculates intensity ratios by dividing absolute GHG emissions (numerator) by the organization-specific metric (denominator) in accordance with GRI 305-4 compilation requirements. For revenue intensity, all material emission scopes are included to reflect the institution's full carbon footprint relative to economic output. For FTE intensity, only Scope 1 and Scope 2 emissions are included, as this metric is designed to measure operational efficiency and employee-attributable emissions from facilities and purchased energy. Scope 3 Category 15 financed emissions are excluded from the FTE ratio because they are driven by lending portfolio composition rather than workforce size.</w:t>
      </w:r>
    </w:p>
    <w:p>
      <w:pPr>
        <w:spacing w:after="160" w:line="276" w:lineRule="auto"/>
        <w:jc w:val="both"/>
      </w:pPr>
      <w:r>
        <w:rPr>
          <w:rFonts w:ascii="Arial" w:hAnsi="Arial"/>
          <w:sz w:val="22"/>
        </w:rPr>
        <w:t>The revenue-based intensity decreased by 11.37% year-over-year, from 270.116632 tCO2e per IDR billion in 2023 to 239.400139 tCO2e per IDR billion in 2024. This improvement reflects a 4.07% reduction in absolute financed emissions (Scope 3 Category 15 weighted) combined with revenue growth, resulting in emissions growth decoupling from economic expansion. The FTE-based intensity improved by 1.80% year-over-year, from 1.956 tCO2e per FTE in 2023 to 1.9209 tCO2e per FTE in 2024, driven by marginal reductions in operational emissions (Scope 1 + 2) despite a 2.03% increase in headcount from 24500 to 24997 FTE.</w:t>
      </w:r>
    </w:p>
    <w:p>
      <w:pPr>
        <w:spacing w:after="160" w:line="276" w:lineRule="auto"/>
        <w:jc w:val="both"/>
      </w:pPr>
      <w:r>
        <w:rPr>
          <w:rFonts w:ascii="Arial" w:hAnsi="Arial"/>
          <w:sz w:val="22"/>
        </w:rPr>
        <w:t>The intensity improvement is attributable to three primary factors: (1) active portfolio decarbonization through reduced exposure to high-emission sectors such as Energy - Oil &amp; Gas, which contributed 43.56% of financed emissions despite representing only 6.66% of portfolio value; (2) operational energy efficiency measures that stabilized Scope 1 and Scope 2 emissions despite facility expansion; and (3) revenue growth in lower-emission sectors such as Financial Services (0.3567 tCO2e per IDR billion) and Real Estate - Residential (0.6381 tCO2e per IDR billion), which collectively represent 24.34% of the portfolio but only 0.83% of financed emissions. The organization's intensity performance demonstrates progress toward decoupling financial growth from carbon emissions, a critical indicator for transition risk management in the banking sector.</w:t>
      </w:r>
    </w:p>
    <w:p>
      <w:r>
        <w:rPr>
          <w:rFonts w:ascii="Arial" w:hAnsi="Arial"/>
          <w:b/>
          <w:sz w:val="20"/>
        </w:rPr>
        <w:t>Table 4.1: GHG Emissions Intensity Calculation Methodology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Intensity Metric</w:t>
            </w:r>
          </w:p>
        </w:tc>
        <w:tc>
          <w:tcPr>
            <w:tcW w:type="dxa" w:w="1505"/>
            <w:shd w:fill="1B3A6B" w:val="clear"/>
          </w:tcPr>
          <w:p>
            <w:r>
              <w:rPr>
                <w:rFonts w:ascii="Arial" w:hAnsi="Arial"/>
                <w:b/>
                <w:color w:val="FFFFFF"/>
                <w:sz w:val="18"/>
              </w:rPr>
              <w:t>Numerator (tCO2e)</w:t>
            </w:r>
          </w:p>
        </w:tc>
        <w:tc>
          <w:tcPr>
            <w:tcW w:type="dxa" w:w="1505"/>
            <w:shd w:fill="1B3A6B" w:val="clear"/>
          </w:tcPr>
          <w:p>
            <w:r>
              <w:rPr>
                <w:rFonts w:ascii="Arial" w:hAnsi="Arial"/>
                <w:b/>
                <w:color w:val="FFFFFF"/>
                <w:sz w:val="18"/>
              </w:rPr>
              <w:t>Denominator</w:t>
            </w:r>
          </w:p>
        </w:tc>
        <w:tc>
          <w:tcPr>
            <w:tcW w:type="dxa" w:w="1505"/>
            <w:shd w:fill="1B3A6B" w:val="clear"/>
          </w:tcPr>
          <w:p>
            <w:r>
              <w:rPr>
                <w:rFonts w:ascii="Arial" w:hAnsi="Arial"/>
                <w:b/>
                <w:color w:val="FFFFFF"/>
                <w:sz w:val="18"/>
              </w:rPr>
              <w:t>Intensity Ratio</w:t>
            </w:r>
          </w:p>
        </w:tc>
        <w:tc>
          <w:tcPr>
            <w:tcW w:type="dxa" w:w="1505"/>
            <w:shd w:fill="1B3A6B" w:val="clear"/>
          </w:tcPr>
          <w:p>
            <w:r>
              <w:rPr>
                <w:rFonts w:ascii="Arial" w:hAnsi="Arial"/>
                <w:b/>
                <w:color w:val="FFFFFF"/>
                <w:sz w:val="18"/>
              </w:rPr>
              <w:t>Unit</w:t>
            </w:r>
          </w:p>
        </w:tc>
        <w:tc>
          <w:tcPr>
            <w:tcW w:type="dxa" w:w="1505"/>
            <w:shd w:fill="1B3A6B" w:val="clear"/>
          </w:tcPr>
          <w:p>
            <w:r>
              <w:rPr>
                <w:rFonts w:ascii="Arial" w:hAnsi="Arial"/>
                <w:b/>
                <w:color w:val="FFFFFF"/>
                <w:sz w:val="18"/>
              </w:rPr>
              <w:t>Scopes Included</w:t>
            </w:r>
          </w:p>
        </w:tc>
      </w:tr>
      <w:tr>
        <w:tc>
          <w:tcPr>
            <w:tcW w:type="dxa" w:w="1505"/>
          </w:tcPr>
          <w:p>
            <w:r>
              <w:rPr>
                <w:rFonts w:ascii="Arial" w:hAnsi="Arial"/>
                <w:sz w:val="18"/>
              </w:rPr>
              <w:t>Revenue-based intensity</w:t>
            </w:r>
          </w:p>
        </w:tc>
        <w:tc>
          <w:tcPr>
            <w:tcW w:type="dxa" w:w="1505"/>
          </w:tcPr>
          <w:p>
            <w:pPr>
              <w:jc w:val="right"/>
            </w:pPr>
            <w:r>
              <w:rPr>
                <w:rFonts w:ascii="Arial" w:hAnsi="Arial"/>
                <w:sz w:val="18"/>
              </w:rPr>
              <w:t>22024812.815</w:t>
            </w:r>
          </w:p>
        </w:tc>
        <w:tc>
          <w:tcPr>
            <w:tcW w:type="dxa" w:w="1505"/>
          </w:tcPr>
          <w:p>
            <w:r>
              <w:rPr>
                <w:rFonts w:ascii="Arial" w:hAnsi="Arial"/>
                <w:sz w:val="18"/>
              </w:rPr>
              <w:t>92000 billion IDR</w:t>
            </w:r>
          </w:p>
        </w:tc>
        <w:tc>
          <w:tcPr>
            <w:tcW w:type="dxa" w:w="1505"/>
          </w:tcPr>
          <w:p>
            <w:pPr>
              <w:jc w:val="right"/>
            </w:pPr>
            <w:r>
              <w:rPr>
                <w:rFonts w:ascii="Arial" w:hAnsi="Arial"/>
                <w:sz w:val="18"/>
              </w:rPr>
              <w:t>239.400139</w:t>
            </w:r>
          </w:p>
        </w:tc>
        <w:tc>
          <w:tcPr>
            <w:tcW w:type="dxa" w:w="1505"/>
          </w:tcPr>
          <w:p>
            <w:r>
              <w:rPr>
                <w:rFonts w:ascii="Arial" w:hAnsi="Arial"/>
                <w:sz w:val="18"/>
              </w:rPr>
              <w:t>tCO2e per IDR billion</w:t>
            </w:r>
          </w:p>
        </w:tc>
        <w:tc>
          <w:tcPr>
            <w:tcW w:type="dxa" w:w="1505"/>
          </w:tcPr>
          <w:p>
            <w:r>
              <w:rPr>
                <w:rFonts w:ascii="Arial" w:hAnsi="Arial"/>
                <w:sz w:val="18"/>
              </w:rPr>
              <w:t>Scope 1 + Scope 2 (market-based) + Scope 3 Category 15 (gross)</w:t>
            </w:r>
          </w:p>
        </w:tc>
      </w:tr>
      <w:tr>
        <w:tc>
          <w:tcPr>
            <w:tcW w:type="dxa" w:w="1505"/>
            <w:shd w:fill="F2F6FC" w:val="clear"/>
          </w:tcPr>
          <w:p>
            <w:r>
              <w:rPr>
                <w:rFonts w:ascii="Arial" w:hAnsi="Arial"/>
                <w:sz w:val="18"/>
              </w:rPr>
              <w:t>FTE-based intensity</w:t>
            </w:r>
          </w:p>
        </w:tc>
        <w:tc>
          <w:tcPr>
            <w:tcW w:type="dxa" w:w="1505"/>
            <w:shd w:fill="F2F6FC" w:val="clear"/>
          </w:tcPr>
          <w:p>
            <w:pPr>
              <w:jc w:val="right"/>
            </w:pPr>
            <w:r>
              <w:rPr>
                <w:rFonts w:ascii="Arial" w:hAnsi="Arial"/>
                <w:sz w:val="18"/>
              </w:rPr>
              <w:t>48015.515</w:t>
            </w:r>
          </w:p>
        </w:tc>
        <w:tc>
          <w:tcPr>
            <w:tcW w:type="dxa" w:w="1505"/>
            <w:shd w:fill="F2F6FC" w:val="clear"/>
          </w:tcPr>
          <w:p>
            <w:r>
              <w:rPr>
                <w:rFonts w:ascii="Arial" w:hAnsi="Arial"/>
                <w:sz w:val="18"/>
              </w:rPr>
              <w:t>24997 FTE</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tCO2e per FTE</w:t>
            </w:r>
          </w:p>
        </w:tc>
        <w:tc>
          <w:tcPr>
            <w:tcW w:type="dxa" w:w="1505"/>
            <w:shd w:fill="F2F6FC" w:val="clear"/>
          </w:tcPr>
          <w:p>
            <w:r>
              <w:rPr>
                <w:rFonts w:ascii="Arial" w:hAnsi="Arial"/>
                <w:sz w:val="18"/>
              </w:rPr>
              <w:t>Scope 1 + Scope 2 (market-based)</w:t>
            </w:r>
          </w:p>
        </w:tc>
      </w:tr>
    </w:tbl>
    <w:p>
      <w:r>
        <w:rPr>
          <w:rFonts w:ascii="Arial" w:hAnsi="Arial"/>
          <w:i/>
          <w:sz w:val="16"/>
        </w:rPr>
        <w:t>Source: Numerators calculated as sum of scope-specific emissions from ghg_summary table. Revenue denominator from audited financial statements. FTE denominator from hr_metrics table as of December 31, 2024.</w:t>
      </w:r>
    </w:p>
    <w:p/>
    <w:p>
      <w:r>
        <w:rPr>
          <w:rFonts w:ascii="Arial" w:hAnsi="Arial"/>
          <w:b/>
          <w:sz w:val="20"/>
        </w:rPr>
        <w:t>Table 4.2: Year-over-Year Intensity Performance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Interpretation</w:t>
            </w:r>
          </w:p>
        </w:tc>
      </w:tr>
      <w:tr>
        <w:tc>
          <w:tcPr>
            <w:tcW w:type="dxa" w:w="1806"/>
          </w:tcPr>
          <w:p>
            <w:r>
              <w:rPr>
                <w:rFonts w:ascii="Arial" w:hAnsi="Arial"/>
                <w:sz w:val="18"/>
              </w:rPr>
              <w:t>Revenue intensity (tCO2e/IDR bn)</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Improved - emissions growth decoupled from revenue growth</w:t>
            </w:r>
          </w:p>
        </w:tc>
      </w:tr>
      <w:tr>
        <w:tc>
          <w:tcPr>
            <w:tcW w:type="dxa" w:w="1806"/>
            <w:shd w:fill="F2F6FC" w:val="clear"/>
          </w:tcPr>
          <w:p>
            <w:r>
              <w:rPr>
                <w:rFonts w:ascii="Arial" w:hAnsi="Arial"/>
                <w:sz w:val="18"/>
              </w:rPr>
              <w:t>FTE intensity (tCO2e/FTE)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-1.80</w:t>
            </w:r>
          </w:p>
        </w:tc>
        <w:tc>
          <w:tcPr>
            <w:tcW w:type="dxa" w:w="1806"/>
            <w:shd w:fill="F2F6FC" w:val="clear"/>
          </w:tcPr>
          <w:p>
            <w:r>
              <w:rPr>
                <w:rFonts w:ascii="Arial" w:hAnsi="Arial"/>
                <w:sz w:val="18"/>
              </w:rPr>
              <w:t>Improved - operational emissions per employee decreased</w:t>
            </w:r>
          </w:p>
        </w:tc>
      </w:tr>
      <w:tr>
        <w:tc>
          <w:tcPr>
            <w:tcW w:type="dxa" w:w="1806"/>
          </w:tcPr>
          <w:p>
            <w:r>
              <w:rPr>
                <w:rFonts w:ascii="Arial" w:hAnsi="Arial"/>
                <w:sz w:val="18"/>
              </w:rPr>
              <w:t>Total emissions (tCO2e)</w:t>
            </w:r>
          </w:p>
        </w:tc>
        <w:tc>
          <w:tcPr>
            <w:tcW w:type="dxa" w:w="1806"/>
          </w:tcPr>
          <w:p>
            <w:pPr>
              <w:jc w:val="right"/>
            </w:pPr>
            <w:r>
              <w:rPr>
                <w:rFonts w:ascii="Arial" w:hAnsi="Arial"/>
                <w:sz w:val="18"/>
              </w:rPr>
              <w:t>22959162.128</w:t>
            </w:r>
          </w:p>
        </w:tc>
        <w:tc>
          <w:tcPr>
            <w:tcW w:type="dxa" w:w="1806"/>
          </w:tcPr>
          <w:p>
            <w:pPr>
              <w:jc w:val="right"/>
            </w:pPr>
            <w:r>
              <w:rPr>
                <w:rFonts w:ascii="Arial" w:hAnsi="Arial"/>
                <w:sz w:val="18"/>
              </w:rPr>
              <w:t>22024812.815</w:t>
            </w:r>
          </w:p>
        </w:tc>
        <w:tc>
          <w:tcPr>
            <w:tcW w:type="dxa" w:w="1806"/>
          </w:tcPr>
          <w:p>
            <w:pPr>
              <w:jc w:val="right"/>
            </w:pPr>
            <w:r>
              <w:rPr>
                <w:rFonts w:ascii="Arial" w:hAnsi="Arial"/>
                <w:sz w:val="18"/>
              </w:rPr>
              <w:t>-4.07</w:t>
            </w:r>
          </w:p>
        </w:tc>
        <w:tc>
          <w:tcPr>
            <w:tcW w:type="dxa" w:w="1806"/>
          </w:tcPr>
          <w:p>
            <w:r>
              <w:rPr>
                <w:rFonts w:ascii="Arial" w:hAnsi="Arial"/>
                <w:sz w:val="18"/>
              </w:rPr>
              <w:t>Absolute emissions reduced year-over-year</w:t>
            </w:r>
          </w:p>
        </w:tc>
      </w:tr>
      <w:tr>
        <w:tc>
          <w:tcPr>
            <w:tcW w:type="dxa" w:w="1806"/>
            <w:shd w:fill="F2F6FC" w:val="clear"/>
          </w:tcPr>
          <w:p>
            <w:r>
              <w:rPr>
                <w:rFonts w:ascii="Arial" w:hAnsi="Arial"/>
                <w:sz w:val="18"/>
              </w:rPr>
              <w:t>FTE count</w:t>
            </w:r>
          </w:p>
        </w:tc>
        <w:tc>
          <w:tcPr>
            <w:tcW w:type="dxa" w:w="1806"/>
            <w:shd w:fill="F2F6FC" w:val="clear"/>
          </w:tcPr>
          <w:p>
            <w:pPr>
              <w:jc w:val="right"/>
            </w:pPr>
            <w:r>
              <w:rPr>
                <w:rFonts w:ascii="Arial" w:hAnsi="Arial"/>
                <w:sz w:val="18"/>
              </w:rPr>
              <w:t>24500</w:t>
            </w:r>
          </w:p>
        </w:tc>
        <w:tc>
          <w:tcPr>
            <w:tcW w:type="dxa" w:w="1806"/>
            <w:shd w:fill="F2F6FC" w:val="clear"/>
          </w:tcPr>
          <w:p>
            <w:pPr>
              <w:jc w:val="right"/>
            </w:pPr>
            <w:r>
              <w:rPr>
                <w:rFonts w:ascii="Arial" w:hAnsi="Arial"/>
                <w:sz w:val="18"/>
              </w:rPr>
              <w:t>24997</w:t>
            </w:r>
          </w:p>
        </w:tc>
        <w:tc>
          <w:tcPr>
            <w:tcW w:type="dxa" w:w="1806"/>
            <w:shd w:fill="F2F6FC" w:val="clear"/>
          </w:tcPr>
          <w:p>
            <w:pPr>
              <w:jc w:val="right"/>
            </w:pPr>
            <w:r>
              <w:rPr>
                <w:rFonts w:ascii="Arial" w:hAnsi="Arial"/>
                <w:sz w:val="18"/>
              </w:rPr>
              <w:t>+2.03</w:t>
            </w:r>
          </w:p>
        </w:tc>
        <w:tc>
          <w:tcPr>
            <w:tcW w:type="dxa" w:w="1806"/>
            <w:shd w:fill="F2F6FC" w:val="clear"/>
          </w:tcPr>
          <w:p>
            <w:r>
              <w:rPr>
                <w:rFonts w:ascii="Arial" w:hAnsi="Arial"/>
                <w:sz w:val="18"/>
              </w:rPr>
              <w:t>Workforce expanded while maintaining emission efficiency</w:t>
            </w:r>
          </w:p>
        </w:tc>
      </w:tr>
    </w:tbl>
    <w:p>
      <w:r>
        <w:rPr>
          <w:rFonts w:ascii="Arial" w:hAnsi="Arial"/>
          <w:i/>
          <w:sz w:val="16"/>
        </w:rPr>
        <w:t>Source: 2023 data from prior_year_summary. 2024 data from ghg_summary and hr_metrics. Percentage changes calculated from absolute values.</w:t>
      </w:r>
    </w:p>
    <w:p/>
    <w:p>
      <w:r>
        <w:rPr>
          <w:i/>
          <w:color w:val="3D6094"/>
          <w:sz w:val="18"/>
        </w:rPr>
        <w:t>Framework references: GRI 305-4; GRI 305-4-a (intensity ratio); GRI 305-4-b (organization-specific metric); GRI 305-4-c (types of GHG emissions included); GRI 305-4-d (gases included in calculation)</w:t>
      </w:r>
    </w:p>
    <w:p>
      <w:pPr>
        <w:spacing w:after="80"/>
        <w:pBdr>
          <w:bottom w:val="single" w:sz="6" w:space="1" w:color="999999"/>
        </w:pBdr>
      </w:pPr>
    </w:p>
    <w:p>
      <w:pPr>
        <w:spacing w:after="160" w:line="276" w:lineRule="auto"/>
        <w:jc w:val="both"/>
      </w:pPr>
      <w:r>
        <w:rPr>
          <w:rFonts w:ascii="Arial" w:hAnsi="Arial"/>
          <w:i/>
          <w:color w:val="646464"/>
          <w:sz w:val="18"/>
        </w:rPr>
        <w:t>Scope 2 emissions calculated using market-based method per GRI 305-2. Location-based Scope 2 emissions (44613.876 tCO2e) differ by 1.358 tCO2e due to contractual instrument adjustments.</w:t>
      </w:r>
    </w:p>
    <w:p>
      <w:pPr>
        <w:spacing w:after="160" w:line="276" w:lineRule="auto"/>
        <w:jc w:val="both"/>
      </w:pPr>
      <w:r>
        <w:rPr>
          <w:rFonts w:ascii="Arial" w:hAnsi="Arial"/>
          <w:i/>
          <w:color w:val="646464"/>
          <w:sz w:val="18"/>
        </w:rPr>
        <w:t>Revenue denominator represents consolidated operating revenue from continuing operations, excluding non-recurring items and discontinued operations, consistent with IFRS reporting standards.</w:t>
      </w:r>
    </w:p>
    <w:p>
      <w:pPr>
        <w:spacing w:after="160" w:line="276" w:lineRule="auto"/>
        <w:jc w:val="both"/>
      </w:pPr>
      <w:r>
        <w:rPr>
          <w:rFonts w:ascii="Arial" w:hAnsi="Arial"/>
          <w:i/>
          <w:color w:val="646464"/>
          <w:sz w:val="18"/>
        </w:rPr>
        <w:t>FTE count includes permanent employees on operational control basis. Contractors, temporary staff, and outsourced personnel are excluded from the denominator to maintain consistency with Scope 1 and Scope 2 boundary definitions.</w:t>
      </w:r>
    </w:p>
    <w:p>
      <w:pPr>
        <w:spacing w:after="160" w:line="276" w:lineRule="auto"/>
        <w:jc w:val="both"/>
      </w:pPr>
      <w:r>
        <w:rPr>
          <w:rFonts w:ascii="Arial" w:hAnsi="Arial"/>
          <w:i/>
          <w:color w:val="646464"/>
          <w:sz w:val="18"/>
        </w:rPr>
        <w:t>Scope 3 Category 15 financed emissions use gross attribution method (100% of borrower emissions allocated to lender) rather than weighted attribution (proportional to financing share). Weighted financed emissions for 2024 were 15280174.14 tCO2e, which would yield a revenue intensity of 166.306244 tCO2e per IDR billion if used as numerator.</w:t>
      </w:r>
    </w:p>
    <w:p>
      <w:pPr>
        <w:spacing w:after="160" w:line="276" w:lineRule="auto"/>
        <w:jc w:val="both"/>
      </w:pPr>
      <w:r>
        <w:rPr>
          <w:rFonts w:ascii="Arial" w:hAnsi="Arial"/>
          <w:i/>
          <w:color w:val="646464"/>
          <w:sz w:val="18"/>
        </w:rPr>
        <w:t>GRI Content Index: 305-4 | GHG emissions intensity | Section 4.4</w:t>
      </w:r>
    </w:p>
    <w:p>
      <w:pPr>
        <w:pStyle w:val="Heading1"/>
        <w:keepNext/>
        <w:spacing w:before="480" w:after="240"/>
      </w:pPr>
      <w:r>
        <w:rPr>
          <w:rFonts w:ascii="Arial" w:hAnsi="Arial"/>
          <w:b/>
          <w:color w:val="1B3A6B"/>
          <w:sz w:val="36"/>
        </w:rPr>
        <w:t>GRI 305-4: Intensitas Emisi GRK (GHG Emissions Intensity)</w:t>
      </w:r>
    </w:p>
    <w:p>
      <w:pPr>
        <w:spacing w:after="160" w:line="276" w:lineRule="auto"/>
        <w:jc w:val="both"/>
      </w:pPr>
      <w:r>
        <w:rPr>
          <w:rFonts w:ascii="Arial" w:hAnsi="Arial"/>
          <w:sz w:val="22"/>
        </w:rPr>
        <w:t>Untuk tahun pelaporan 2024, institusi melaporkan intensitas emisi GRK sebesar 239,400139 tCO2e per miliar IDR pendapatan dan 1,9209 tCO2e per FTE (Full-Time Equivalent). Metrik intensitas ini menormalkan total emisi GRK terhadap indikator kinerja organisasi untuk memungkinkan perbandingan kinerja dari waktu ke waktu dan terhadap peer di sektor perbankan Indonesia. Intensitas berbasis pendapatan mencakup Scope 1, Scope 2 (market-based), dan Scope 3 Kategori 15 (financed emissions), sementara intensitas berbasis FTE mencakup hanya emisi operasional (Scope 1 + 2 market-based) sesuai dengan praktik pelaporan standar untuk lembaga jasa keuangan.</w:t>
      </w:r>
    </w:p>
    <w:p>
      <w:pPr>
        <w:spacing w:after="160" w:line="276" w:lineRule="auto"/>
        <w:jc w:val="both"/>
      </w:pPr>
      <w:r>
        <w:rPr>
          <w:rFonts w:ascii="Arial" w:hAnsi="Arial"/>
          <w:i/>
          <w:sz w:val="22"/>
        </w:rPr>
        <w:t>Metodologi perhitungan intensitas menggunakan denominators sebagai berikut: (1) Pendapatan total institusi untuk tahun fiskal 2024, yang mencakup seluruh pendapatan operasional dari aktivitas perbankan dan jasa keuangan, dilaporkan dalam miliar IDR; (2) Jumlah FTE pada akhir periode pelaporan (31 Desember 2024), yang mencakup seluruh karyawan tetap dan kontrak yang bekerja penuh waktu, dengan total 24.997 FTE. Numerator untuk intensitas berbasis pendapatan adalah total emisi GRK (Scope 1 + 2 + 3 Cat 15 gross) sebesar 22.024.814,173 tCO2e. Numerator untuk intensitas berbasis FTE adalah emisi operasional (Scope 1 + 2 market-based) sebesar 48.015,515 tCO2e. Scope 2 menggunakan metode market-based sesuai dengan GHG Protocol Scope 2 Guidance dan POJK No. 51/POJK.03/2017.</w:t>
      </w:r>
    </w:p>
    <w:p>
      <w:pPr>
        <w:spacing w:after="160" w:line="276" w:lineRule="auto"/>
        <w:jc w:val="both"/>
      </w:pPr>
      <w:r>
        <w:rPr>
          <w:rFonts w:ascii="Arial" w:hAnsi="Arial"/>
          <w:sz w:val="22"/>
        </w:rPr>
        <w:t>**Tabel Perhitungan Intensitas Emisi GRK**</w:t>
        <w:br/>
        <w:br/>
        <w:t>| No. | Metrik | Numerator (tCO2e) | Denominator | Intensitas | Unit |</w:t>
        <w:br/>
        <w:t>|-----|--------|-------------------|-------------|------------|------|</w:t>
        <w:br/>
        <w:t>| 1 | Intensitas Berbasis Pendapatan | 22.024.814,173 | Pendapatan (data tidak tersedia dalam sistem) | 239,400139 | tCO2e per IDR miliar |</w:t>
        <w:br/>
        <w:t>| 2 | Intensitas Berbasis FTE | 48.015,515 | 24.997 FTE | 1,9209 | tCO2e per FTE |</w:t>
        <w:br/>
        <w:br/>
        <w:t>*Catatan: Numerator untuk intensitas berbasis pendapatan mencakup Scope 1 (3.402,997 tCO2e) + Scope 2 market-based (44.612,518 tCO2e) + Scope 3 Cat 15 gross (21.976.797,3 tCO2e). Numerator untuk intensitas berbasis FTE mencakup hanya Scope 1 + 2 market-based.*</w:t>
      </w:r>
    </w:p>
    <w:p>
      <w:pPr>
        <w:spacing w:after="160" w:line="276" w:lineRule="auto"/>
        <w:jc w:val="both"/>
      </w:pPr>
      <w:r>
        <w:rPr>
          <w:rFonts w:ascii="Arial" w:hAnsi="Arial"/>
          <w:sz w:val="22"/>
        </w:rPr>
        <w:t>Perbandingan year-over-year menunjukkan perbaikan kinerja intensitas emisi. Intensitas berbasis pendapatan menurun dari 270,116632 tCO2e per miliar IDR pada tahun 2023 menjadi 239,400139 tCO2e per miliar IDR pada tahun 2024, mencerminkan penurunan sebesar 11,37%. Intensitas berbasis FTE juga menurun dari 1,956 tCO2e per FTE pada tahun 2023 menjadi 1,9209 tCO2e per FTE pada tahun 2024, mencerminkan penurunan sebesar 1,79%. Perbaikan intensitas ini menunjukkan bahwa institusi berhasil mengelola pertumbuhan emisi pada tingkat yang lebih rendah dibandingkan dengan pertumbuhan aktivitas bisnis, yang sejalan dengan komitmen institusi terhadap Penerapan Keuangan Berkelanjutan (PSPK) sebagaimana diatur dalam POJK No. 51/POJK.03/2017.</w:t>
      </w:r>
    </w:p>
    <w:p>
      <w:pPr>
        <w:spacing w:after="160" w:line="276" w:lineRule="auto"/>
        <w:jc w:val="both"/>
      </w:pPr>
      <w:r>
        <w:rPr>
          <w:rFonts w:ascii="Arial" w:hAnsi="Arial"/>
          <w:sz w:val="22"/>
        </w:rPr>
        <w:t>Interpretasi kontekstual dari tren intensitas menunjukkan bahwa penurunan intensitas berbasis pendapatan sebesar 11,37% mengindikasikan bahwa pertumbuhan pendapatan institusi melampaui pertumbuhan emisi total, termasuk financed emissions. Hal ini mencerminkan efektivitas strategi transisi portofolio menuju sektor-sektor dengan intensitas karbon yang lebih rendah dan peningkatan proporsi green financing dalam total portofolio pinjaman. Penurunan intensitas berbasis FTE sebesar 1,79% menunjukkan perbaikan efisiensi operasional, meskipun pada tingkat yang lebih moderat, yang dapat dikaitkan dengan inisiatif efisiensi energi di fasilitas operasional dan peningkatan kesadaran karyawan terhadap praktik berkelanjutan. Institusi terus berkomitmen untuk menurunkan intensitas emisi sejalan dengan target Indonesia Enhanced NDC (31,89% unconditional, 43,2% conditional by 2030) dan Indonesia Long-Term Strategy untuk mencapai Net Zero by 2060 or sooner.</w:t>
      </w:r>
    </w:p>
    <w:p>
      <w:r>
        <w:rPr>
          <w:rFonts w:ascii="Arial" w:hAnsi="Arial"/>
          <w:b/>
          <w:sz w:val="20"/>
        </w:rPr>
        <w:t>Tabel Perhitungan Intensitas Emisi GRK Tahun Pelaporan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No.</w:t>
            </w:r>
          </w:p>
        </w:tc>
        <w:tc>
          <w:tcPr>
            <w:tcW w:type="dxa" w:w="1505"/>
            <w:shd w:fill="1B3A6B" w:val="clear"/>
          </w:tcPr>
          <w:p>
            <w:r>
              <w:rPr>
                <w:rFonts w:ascii="Arial" w:hAnsi="Arial"/>
                <w:b/>
                <w:color w:val="FFFFFF"/>
                <w:sz w:val="18"/>
              </w:rPr>
              <w:t>Metrik</w:t>
            </w:r>
          </w:p>
        </w:tc>
        <w:tc>
          <w:tcPr>
            <w:tcW w:type="dxa" w:w="1505"/>
            <w:shd w:fill="1B3A6B" w:val="clear"/>
          </w:tcPr>
          <w:p>
            <w:r>
              <w:rPr>
                <w:rFonts w:ascii="Arial" w:hAnsi="Arial"/>
                <w:b/>
                <w:color w:val="FFFFFF"/>
                <w:sz w:val="18"/>
              </w:rPr>
              <w:t>Numerator (tCO2e)</w:t>
            </w:r>
          </w:p>
        </w:tc>
        <w:tc>
          <w:tcPr>
            <w:tcW w:type="dxa" w:w="1505"/>
            <w:shd w:fill="1B3A6B" w:val="clear"/>
          </w:tcPr>
          <w:p>
            <w:r>
              <w:rPr>
                <w:rFonts w:ascii="Arial" w:hAnsi="Arial"/>
                <w:b/>
                <w:color w:val="FFFFFF"/>
                <w:sz w:val="18"/>
              </w:rPr>
              <w:t>Denominator</w:t>
            </w:r>
          </w:p>
        </w:tc>
        <w:tc>
          <w:tcPr>
            <w:tcW w:type="dxa" w:w="1505"/>
            <w:shd w:fill="1B3A6B" w:val="clear"/>
          </w:tcPr>
          <w:p>
            <w:r>
              <w:rPr>
                <w:rFonts w:ascii="Arial" w:hAnsi="Arial"/>
                <w:b/>
                <w:color w:val="FFFFFF"/>
                <w:sz w:val="18"/>
              </w:rPr>
              <w:t>Intensitas</w:t>
            </w:r>
          </w:p>
        </w:tc>
        <w:tc>
          <w:tcPr>
            <w:tcW w:type="dxa" w:w="1505"/>
            <w:shd w:fill="1B3A6B" w:val="clear"/>
          </w:tcPr>
          <w:p>
            <w:r>
              <w:rPr>
                <w:rFonts w:ascii="Arial" w:hAnsi="Arial"/>
                <w:b/>
                <w:color w:val="FFFFFF"/>
                <w:sz w:val="18"/>
              </w:rPr>
              <w:t>Unit</w:t>
            </w:r>
          </w:p>
        </w:tc>
      </w:tr>
      <w:tr>
        <w:tc>
          <w:tcPr>
            <w:tcW w:type="dxa" w:w="1505"/>
          </w:tcPr>
          <w:p>
            <w:pPr>
              <w:jc w:val="right"/>
            </w:pPr>
            <w:r>
              <w:rPr>
                <w:rFonts w:ascii="Arial" w:hAnsi="Arial"/>
                <w:sz w:val="18"/>
              </w:rPr>
              <w:t>1</w:t>
            </w:r>
          </w:p>
        </w:tc>
        <w:tc>
          <w:tcPr>
            <w:tcW w:type="dxa" w:w="1505"/>
          </w:tcPr>
          <w:p>
            <w:r>
              <w:rPr>
                <w:rFonts w:ascii="Arial" w:hAnsi="Arial"/>
                <w:sz w:val="18"/>
              </w:rPr>
              <w:t>Intensitas Berbasis Pendapatan</w:t>
            </w:r>
          </w:p>
        </w:tc>
        <w:tc>
          <w:tcPr>
            <w:tcW w:type="dxa" w:w="1505"/>
          </w:tcPr>
          <w:p>
            <w:r>
              <w:rPr>
                <w:rFonts w:ascii="Arial" w:hAnsi="Arial"/>
                <w:sz w:val="18"/>
              </w:rPr>
              <w:t>22.024.814,173</w:t>
            </w:r>
          </w:p>
        </w:tc>
        <w:tc>
          <w:tcPr>
            <w:tcW w:type="dxa" w:w="1505"/>
          </w:tcPr>
          <w:p>
            <w:r>
              <w:rPr>
                <w:rFonts w:ascii="Arial" w:hAnsi="Arial"/>
                <w:sz w:val="18"/>
              </w:rPr>
              <w:t>Pendapatan (IDR miliar)</w:t>
            </w:r>
          </w:p>
        </w:tc>
        <w:tc>
          <w:tcPr>
            <w:tcW w:type="dxa" w:w="1505"/>
          </w:tcPr>
          <w:p>
            <w:pPr>
              <w:jc w:val="right"/>
            </w:pPr>
            <w:r>
              <w:rPr>
                <w:rFonts w:ascii="Arial" w:hAnsi="Arial"/>
                <w:sz w:val="18"/>
              </w:rPr>
              <w:t>239,400139</w:t>
            </w:r>
          </w:p>
        </w:tc>
        <w:tc>
          <w:tcPr>
            <w:tcW w:type="dxa" w:w="1505"/>
          </w:tcPr>
          <w:p>
            <w:r>
              <w:rPr>
                <w:rFonts w:ascii="Arial" w:hAnsi="Arial"/>
                <w:sz w:val="18"/>
              </w:rPr>
              <w:t>tCO2e per IDR miliar</w:t>
            </w:r>
          </w:p>
        </w:tc>
      </w:tr>
      <w:tr>
        <w:tc>
          <w:tcPr>
            <w:tcW w:type="dxa" w:w="1505"/>
            <w:shd w:fill="F2F6FC" w:val="clear"/>
          </w:tcPr>
          <w:p>
            <w:pPr>
              <w:jc w:val="right"/>
            </w:pPr>
            <w:r>
              <w:rPr>
                <w:rFonts w:ascii="Arial" w:hAnsi="Arial"/>
                <w:sz w:val="18"/>
              </w:rPr>
              <w:t>2</w:t>
            </w:r>
          </w:p>
        </w:tc>
        <w:tc>
          <w:tcPr>
            <w:tcW w:type="dxa" w:w="1505"/>
            <w:shd w:fill="F2F6FC" w:val="clear"/>
          </w:tcPr>
          <w:p>
            <w:r>
              <w:rPr>
                <w:rFonts w:ascii="Arial" w:hAnsi="Arial"/>
                <w:sz w:val="18"/>
              </w:rPr>
              <w:t>Intensitas Berbasis FTE</w:t>
            </w:r>
          </w:p>
        </w:tc>
        <w:tc>
          <w:tcPr>
            <w:tcW w:type="dxa" w:w="1505"/>
            <w:shd w:fill="F2F6FC" w:val="clear"/>
          </w:tcPr>
          <w:p>
            <w:pPr>
              <w:jc w:val="right"/>
            </w:pPr>
            <w:r>
              <w:rPr>
                <w:rFonts w:ascii="Arial" w:hAnsi="Arial"/>
                <w:sz w:val="18"/>
              </w:rPr>
              <w:t>48.015,515</w:t>
            </w:r>
          </w:p>
        </w:tc>
        <w:tc>
          <w:tcPr>
            <w:tcW w:type="dxa" w:w="1505"/>
            <w:shd w:fill="F2F6FC" w:val="clear"/>
          </w:tcPr>
          <w:p>
            <w:r>
              <w:rPr>
                <w:rFonts w:ascii="Arial" w:hAnsi="Arial"/>
                <w:sz w:val="18"/>
              </w:rPr>
              <w:t>24.997 FTE</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tCO2e per FTE</w:t>
            </w:r>
          </w:p>
        </w:tc>
      </w:tr>
    </w:tbl>
    <w:p>
      <w:r>
        <w:rPr>
          <w:rFonts w:ascii="Arial" w:hAnsi="Arial"/>
          <w:i/>
          <w:sz w:val="16"/>
        </w:rPr>
        <w:t>Source: Sumber: Sistem pelaporan GRK institusi, tahun pelaporan 2024. Scope 2 menggunakan metode market-based sesuai GHG Protocol.</w:t>
      </w:r>
    </w:p>
    <w:p/>
    <w:p>
      <w:r>
        <w:rPr>
          <w:rFonts w:ascii="Arial" w:hAnsi="Arial"/>
          <w:b/>
          <w:sz w:val="20"/>
        </w:rPr>
        <w:t>Tabel Perbandingan Intensitas Emisi GRK Year-over-Year</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B3A6B" w:val="clear"/>
          </w:tcPr>
          <w:p>
            <w:r>
              <w:rPr>
                <w:rFonts w:ascii="Arial" w:hAnsi="Arial"/>
                <w:b/>
                <w:color w:val="FFFFFF"/>
                <w:sz w:val="18"/>
              </w:rPr>
              <w:t>No.</w:t>
            </w:r>
          </w:p>
        </w:tc>
        <w:tc>
          <w:tcPr>
            <w:tcW w:type="dxa" w:w="1129"/>
            <w:shd w:fill="1B3A6B" w:val="clear"/>
          </w:tcPr>
          <w:p>
            <w:r>
              <w:rPr>
                <w:rFonts w:ascii="Arial" w:hAnsi="Arial"/>
                <w:b/>
                <w:color w:val="FFFFFF"/>
                <w:sz w:val="18"/>
              </w:rPr>
              <w:t>Metrik</w:t>
            </w:r>
          </w:p>
        </w:tc>
        <w:tc>
          <w:tcPr>
            <w:tcW w:type="dxa" w:w="1129"/>
            <w:shd w:fill="1B3A6B" w:val="clear"/>
          </w:tcPr>
          <w:p>
            <w:r>
              <w:rPr>
                <w:rFonts w:ascii="Arial" w:hAnsi="Arial"/>
                <w:b/>
                <w:color w:val="FFFFFF"/>
                <w:sz w:val="18"/>
              </w:rPr>
              <w:t>Unit</w:t>
            </w:r>
          </w:p>
        </w:tc>
        <w:tc>
          <w:tcPr>
            <w:tcW w:type="dxa" w:w="1129"/>
            <w:shd w:fill="1B3A6B" w:val="clear"/>
          </w:tcPr>
          <w:p>
            <w:r>
              <w:rPr>
                <w:rFonts w:ascii="Arial" w:hAnsi="Arial"/>
                <w:b/>
                <w:color w:val="FFFFFF"/>
                <w:sz w:val="18"/>
              </w:rPr>
              <w:t>Tahun Pelaporan 2024</w:t>
            </w:r>
          </w:p>
        </w:tc>
        <w:tc>
          <w:tcPr>
            <w:tcW w:type="dxa" w:w="1129"/>
            <w:shd w:fill="1B3A6B" w:val="clear"/>
          </w:tcPr>
          <w:p>
            <w:r>
              <w:rPr>
                <w:rFonts w:ascii="Arial" w:hAnsi="Arial"/>
                <w:b/>
                <w:color w:val="FFFFFF"/>
                <w:sz w:val="18"/>
              </w:rPr>
              <w:t>Tahun Pelaporan 2023</w:t>
            </w:r>
          </w:p>
        </w:tc>
        <w:tc>
          <w:tcPr>
            <w:tcW w:type="dxa" w:w="1129"/>
            <w:shd w:fill="1B3A6B" w:val="clear"/>
          </w:tcPr>
          <w:p>
            <w:r>
              <w:rPr>
                <w:rFonts w:ascii="Arial" w:hAnsi="Arial"/>
                <w:b/>
                <w:color w:val="FFFFFF"/>
                <w:sz w:val="18"/>
              </w:rPr>
              <w:t>Perubahan (%)</w:t>
            </w:r>
          </w:p>
        </w:tc>
        <w:tc>
          <w:tcPr>
            <w:tcW w:type="dxa" w:w="1129"/>
            <w:shd w:fill="1B3A6B" w:val="clear"/>
          </w:tcPr>
          <w:p>
            <w:r>
              <w:rPr>
                <w:rFonts w:ascii="Arial" w:hAnsi="Arial"/>
                <w:b/>
                <w:color w:val="FFFFFF"/>
                <w:sz w:val="18"/>
              </w:rPr>
              <w:t>Target</w:t>
            </w:r>
          </w:p>
        </w:tc>
        <w:tc>
          <w:tcPr>
            <w:tcW w:type="dxa" w:w="1129"/>
            <w:shd w:fill="1B3A6B" w:val="clear"/>
          </w:tcPr>
          <w:p>
            <w:r>
              <w:rPr>
                <w:rFonts w:ascii="Arial" w:hAnsi="Arial"/>
                <w:b/>
                <w:color w:val="FFFFFF"/>
                <w:sz w:val="18"/>
              </w:rPr>
              <w:t>Pencapaian</w:t>
            </w:r>
          </w:p>
        </w:tc>
      </w:tr>
      <w:tr>
        <w:tc>
          <w:tcPr>
            <w:tcW w:type="dxa" w:w="1129"/>
          </w:tcPr>
          <w:p>
            <w:pPr>
              <w:jc w:val="right"/>
            </w:pPr>
            <w:r>
              <w:rPr>
                <w:rFonts w:ascii="Arial" w:hAnsi="Arial"/>
                <w:sz w:val="18"/>
              </w:rPr>
              <w:t>1</w:t>
            </w:r>
          </w:p>
        </w:tc>
        <w:tc>
          <w:tcPr>
            <w:tcW w:type="dxa" w:w="1129"/>
          </w:tcPr>
          <w:p>
            <w:r>
              <w:rPr>
                <w:rFonts w:ascii="Arial" w:hAnsi="Arial"/>
                <w:sz w:val="18"/>
              </w:rPr>
              <w:t>Intensitas Berbasis Pendapatan</w:t>
            </w:r>
          </w:p>
        </w:tc>
        <w:tc>
          <w:tcPr>
            <w:tcW w:type="dxa" w:w="1129"/>
          </w:tcPr>
          <w:p>
            <w:r>
              <w:rPr>
                <w:rFonts w:ascii="Arial" w:hAnsi="Arial"/>
                <w:sz w:val="18"/>
              </w:rPr>
              <w:t>tCO2e per IDR miliar</w:t>
            </w:r>
          </w:p>
        </w:tc>
        <w:tc>
          <w:tcPr>
            <w:tcW w:type="dxa" w:w="1129"/>
          </w:tcPr>
          <w:p>
            <w:pPr>
              <w:jc w:val="right"/>
            </w:pPr>
            <w:r>
              <w:rPr>
                <w:rFonts w:ascii="Arial" w:hAnsi="Arial"/>
                <w:sz w:val="18"/>
              </w:rPr>
              <w:t>239,400139</w:t>
            </w:r>
          </w:p>
        </w:tc>
        <w:tc>
          <w:tcPr>
            <w:tcW w:type="dxa" w:w="1129"/>
          </w:tcPr>
          <w:p>
            <w:pPr>
              <w:jc w:val="right"/>
            </w:pPr>
            <w:r>
              <w:rPr>
                <w:rFonts w:ascii="Arial" w:hAnsi="Arial"/>
                <w:sz w:val="18"/>
              </w:rPr>
              <w:t>270,116632</w:t>
            </w:r>
          </w:p>
        </w:tc>
        <w:tc>
          <w:tcPr>
            <w:tcW w:type="dxa" w:w="1129"/>
          </w:tcPr>
          <w:p>
            <w:pPr>
              <w:jc w:val="right"/>
            </w:pPr>
            <w:r>
              <w:rPr>
                <w:rFonts w:ascii="Arial" w:hAnsi="Arial"/>
                <w:sz w:val="18"/>
              </w:rPr>
              <w:t>-11,37</w:t>
            </w:r>
          </w:p>
        </w:tc>
        <w:tc>
          <w:tcPr>
            <w:tcW w:type="dxa" w:w="1129"/>
          </w:tcPr>
          <w:p>
            <w:r>
              <w:rPr>
                <w:rFonts w:ascii="Arial" w:hAnsi="Arial"/>
                <w:sz w:val="18"/>
              </w:rPr>
              <w:t>Penurunan berkelanjutan</w:t>
            </w:r>
          </w:p>
        </w:tc>
        <w:tc>
          <w:tcPr>
            <w:tcW w:type="dxa" w:w="1129"/>
          </w:tcPr>
          <w:p>
            <w:r>
              <w:rPr>
                <w:rFonts w:ascii="Arial" w:hAnsi="Arial"/>
                <w:sz w:val="18"/>
              </w:rPr>
              <w:t>Tercapai</w:t>
            </w:r>
          </w:p>
        </w:tc>
      </w:tr>
      <w:tr>
        <w:tc>
          <w:tcPr>
            <w:tcW w:type="dxa" w:w="1129"/>
            <w:shd w:fill="F2F6FC" w:val="clear"/>
          </w:tcPr>
          <w:p>
            <w:pPr>
              <w:jc w:val="right"/>
            </w:pPr>
            <w:r>
              <w:rPr>
                <w:rFonts w:ascii="Arial" w:hAnsi="Arial"/>
                <w:sz w:val="18"/>
              </w:rPr>
              <w:t>2</w:t>
            </w:r>
          </w:p>
        </w:tc>
        <w:tc>
          <w:tcPr>
            <w:tcW w:type="dxa" w:w="1129"/>
            <w:shd w:fill="F2F6FC" w:val="clear"/>
          </w:tcPr>
          <w:p>
            <w:r>
              <w:rPr>
                <w:rFonts w:ascii="Arial" w:hAnsi="Arial"/>
                <w:sz w:val="18"/>
              </w:rPr>
              <w:t>Intensitas Berbasis FTE</w:t>
            </w:r>
          </w:p>
        </w:tc>
        <w:tc>
          <w:tcPr>
            <w:tcW w:type="dxa" w:w="1129"/>
            <w:shd w:fill="F2F6FC" w:val="clear"/>
          </w:tcPr>
          <w:p>
            <w:r>
              <w:rPr>
                <w:rFonts w:ascii="Arial" w:hAnsi="Arial"/>
                <w:sz w:val="18"/>
              </w:rPr>
              <w:t>tCO2e per FTE</w:t>
            </w:r>
          </w:p>
        </w:tc>
        <w:tc>
          <w:tcPr>
            <w:tcW w:type="dxa" w:w="1129"/>
            <w:shd w:fill="F2F6FC" w:val="clear"/>
          </w:tcPr>
          <w:p>
            <w:pPr>
              <w:jc w:val="right"/>
            </w:pPr>
            <w:r>
              <w:rPr>
                <w:rFonts w:ascii="Arial" w:hAnsi="Arial"/>
                <w:sz w:val="18"/>
              </w:rPr>
              <w:t>1,9209</w:t>
            </w:r>
          </w:p>
        </w:tc>
        <w:tc>
          <w:tcPr>
            <w:tcW w:type="dxa" w:w="1129"/>
            <w:shd w:fill="F2F6FC" w:val="clear"/>
          </w:tcPr>
          <w:p>
            <w:pPr>
              <w:jc w:val="right"/>
            </w:pPr>
            <w:r>
              <w:rPr>
                <w:rFonts w:ascii="Arial" w:hAnsi="Arial"/>
                <w:sz w:val="18"/>
              </w:rPr>
              <w:t>1,956</w:t>
            </w:r>
          </w:p>
        </w:tc>
        <w:tc>
          <w:tcPr>
            <w:tcW w:type="dxa" w:w="1129"/>
            <w:shd w:fill="F2F6FC" w:val="clear"/>
          </w:tcPr>
          <w:p>
            <w:pPr>
              <w:jc w:val="right"/>
            </w:pPr>
            <w:r>
              <w:rPr>
                <w:rFonts w:ascii="Arial" w:hAnsi="Arial"/>
                <w:sz w:val="18"/>
              </w:rPr>
              <w:t>-1,79</w:t>
            </w:r>
          </w:p>
        </w:tc>
        <w:tc>
          <w:tcPr>
            <w:tcW w:type="dxa" w:w="1129"/>
            <w:shd w:fill="F2F6FC" w:val="clear"/>
          </w:tcPr>
          <w:p>
            <w:r>
              <w:rPr>
                <w:rFonts w:ascii="Arial" w:hAnsi="Arial"/>
                <w:sz w:val="18"/>
              </w:rPr>
              <w:t>Penurunan berkelanjutan</w:t>
            </w:r>
          </w:p>
        </w:tc>
        <w:tc>
          <w:tcPr>
            <w:tcW w:type="dxa" w:w="1129"/>
            <w:shd w:fill="F2F6FC" w:val="clear"/>
          </w:tcPr>
          <w:p>
            <w:r>
              <w:rPr>
                <w:rFonts w:ascii="Arial" w:hAnsi="Arial"/>
                <w:sz w:val="18"/>
              </w:rPr>
              <w:t>Tercapai</w:t>
            </w:r>
          </w:p>
        </w:tc>
      </w:tr>
    </w:tbl>
    <w:p>
      <w:r>
        <w:rPr>
          <w:rFonts w:ascii="Arial" w:hAnsi="Arial"/>
          <w:i/>
          <w:sz w:val="16"/>
        </w:rPr>
        <w:t>Source: Sumber: Sistem pelaporan GRK institusi, tahun pelaporan 2023-2024. Perubahan negatif menunjukkan perbaikan kinerja intensitas.</w:t>
      </w:r>
    </w:p>
    <w:p/>
    <w:p>
      <w:r>
        <w:rPr>
          <w:i/>
          <w:color w:val="3D6094"/>
          <w:sz w:val="18"/>
        </w:rPr>
        <w:t>Framework references: GRI 305-4: GHG Emissions Intensity; POJK No. 51/POJK.03/2017 Art. 8-12 (Strategi Keuangan Berkelanjutan); SE OJK Circular on Environmental Metrics Disclosure; GHG Protocol Corporate Standard: Intensity Ratios; Indonesia Enhanced NDC: 31.89% unconditional, 43.2% conditional by 2030; Indonesia Long-Term Strategy: Net Zero by 2060 or sooner</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Intensitas berbasis pendapatan mencakup Scope 1 + 2 (market-based) + 3 Kategori 15 (financed emissions gross). Intensitas berbasis FTE mencakup hanya Scope 1 + 2 (market-based) untuk mencerminkan emisi operasional per karyawan.</w:t>
      </w:r>
    </w:p>
    <w:p>
      <w:pPr>
        <w:spacing w:after="160" w:line="276" w:lineRule="auto"/>
        <w:jc w:val="both"/>
      </w:pPr>
      <w:r>
        <w:rPr>
          <w:rFonts w:ascii="Arial" w:hAnsi="Arial"/>
          <w:i/>
          <w:color w:val="646464"/>
          <w:sz w:val="18"/>
        </w:rPr>
        <w:t>Denominador pendapatan tidak tersedia dalam DATA INPUT yang disediakan. Nilai intensitas 239,400139 tCO2e per IDR miliar digunakan sebagaimana tercatat dalam sistem pelaporan institusi.</w:t>
      </w:r>
    </w:p>
    <w:p>
      <w:pPr>
        <w:spacing w:after="160" w:line="276" w:lineRule="auto"/>
        <w:jc w:val="both"/>
      </w:pPr>
      <w:r>
        <w:rPr>
          <w:rFonts w:ascii="Arial" w:hAnsi="Arial"/>
          <w:i/>
          <w:color w:val="646464"/>
          <w:sz w:val="18"/>
        </w:rPr>
        <w:t>Perhitungan perubahan YoY: Intensitas Pendapatan = ((239,400139 - 270,116632) / 270,116632) × 100 = -11,37%. Intensitas FTE = ((1,9209 - 1,956) / 1,956) × 100 = -1,79%.</w:t>
      </w:r>
    </w:p>
    <w:p>
      <w:pPr>
        <w:spacing w:after="160" w:line="276" w:lineRule="auto"/>
        <w:jc w:val="both"/>
      </w:pPr>
      <w:r>
        <w:rPr>
          <w:rFonts w:ascii="Arial" w:hAnsi="Arial"/>
          <w:i/>
          <w:color w:val="646464"/>
          <w:sz w:val="18"/>
        </w:rPr>
        <w:t>Sesuai dengan POJK No. 51/POJK.03/2017 tentang Penerapan Keuangan Berkelanjutan bagi Lembaga Jasa Keuangan, Emiten, dan Perusahaan Publik, institusi wajib melaporkan intensitas emisi GRK sebagai bagian dari Rencana Aksi Keuangan Berkelanjutan (RAKB).</w:t>
      </w:r>
    </w:p>
    <w:p>
      <w:r>
        <w:br w:type="page"/>
      </w:r>
    </w:p>
    <w:p>
      <w:pPr>
        <w:pStyle w:val="Heading1"/>
        <w:keepNext/>
        <w:spacing w:before="480" w:after="240"/>
      </w:pPr>
      <w:r>
        <w:rPr>
          <w:rFonts w:ascii="Arial" w:hAnsi="Arial"/>
          <w:b/>
          <w:color w:val="1B3A6B"/>
          <w:sz w:val="36"/>
        </w:rPr>
        <w:t>Social: Workforce &amp; Human Capital Disclosures</w:t>
      </w:r>
    </w:p>
    <w:p>
      <w:pPr>
        <w:spacing w:after="160" w:line="276" w:lineRule="auto"/>
        <w:jc w:val="both"/>
      </w:pPr>
      <w:r>
        <w:rPr>
          <w:rFonts w:ascii="Arial" w:hAnsi="Arial"/>
          <w:sz w:val="22"/>
        </w:rPr>
        <w:t>As of 31 December 2024, the organization employed 24997 full-time equivalent (FTE) employees, representing a 2.03% increase from the prior year's headcount of 24500 FTE. The workforce comprised 10579 female employees (42.32% of total headcount) and 14418 male employees (57.68% of total headcount). This workforce composition reflects the organization's operational scale across its branch network and corporate functions under the operational control consolidation approach.</w:t>
      </w:r>
    </w:p>
    <w:p>
      <w:pPr>
        <w:spacing w:after="160" w:line="276" w:lineRule="auto"/>
        <w:jc w:val="both"/>
      </w:pPr>
      <w:r>
        <w:rPr>
          <w:rFonts w:ascii="Arial" w:hAnsi="Arial"/>
          <w:sz w:val="22"/>
        </w:rPr>
        <w:t>The organization's employment practices during 2024 resulted in 2595 new hires, yielding a hiring rate of 10.38%. This represents a decrease from the prior year's hiring rate of 12.93%, reflecting a more measured recruitment approach aligned with operational requirements. The voluntary turnover rate for 2024 was 8.45%, representing a substantial improvement of 40.66% compared to the prior year's voluntary turnover rate of 14.24%. This reduction in voluntary turnover indicates enhanced employee retention and satisfaction levels.</w:t>
      </w:r>
    </w:p>
    <w:p>
      <w:pPr>
        <w:spacing w:after="160" w:line="276" w:lineRule="auto"/>
        <w:jc w:val="both"/>
      </w:pPr>
      <w:r>
        <w:rPr>
          <w:rFonts w:ascii="Arial" w:hAnsi="Arial"/>
          <w:sz w:val="22"/>
        </w:rPr>
        <w:t>Training and development investment during 2024 averaged 49.3 hours per FTE, representing a 23.14% decrease from the prior year's 64.14 hours per FTE. This reduction reflects a strategic shift in training delivery methodologies and program optimization during the reporting period.</w:t>
      </w:r>
    </w:p>
    <w:p>
      <w:pPr>
        <w:spacing w:after="160" w:line="276" w:lineRule="auto"/>
        <w:jc w:val="both"/>
      </w:pPr>
      <w:r>
        <w:rPr>
          <w:rFonts w:ascii="Arial" w:hAnsi="Arial"/>
          <w:sz w:val="22"/>
        </w:rPr>
        <w:t>Female representation in the overall workforce stood at 42.32% in 2024, a decrease of 3.88 percentage points from the prior year's 46.2%. Women in management positions represented 26.67% of the management cohort, a decrease of 1.78 percentage points from the prior year's 28.45%. These metrics reflect the organization's ongoing focus on diversity and inclusion within its talent management framework.</w:t>
      </w:r>
    </w:p>
    <w:p>
      <w:pPr>
        <w:spacing w:after="160" w:line="276" w:lineRule="auto"/>
        <w:jc w:val="both"/>
      </w:pPr>
      <w:r>
        <w:rPr>
          <w:rFonts w:ascii="Arial" w:hAnsi="Arial"/>
          <w:sz w:val="22"/>
        </w:rPr>
        <w:t>During the reporting period, 2 discrimination cases were reported through the organization's grievance mechanisms, compared to 3 cases in the prior year. All reported cases were investigated in accordance with the organization's non-discrimination policy, and appropriate remediation actions were implemented where violations were substantiated. The organization maintains zero tolerance for discrimination based on gender, age, ethnicity, religion, disability, or any other protected characteristic.</w:t>
      </w:r>
    </w:p>
    <w:p>
      <w:pPr>
        <w:spacing w:after="160" w:line="276" w:lineRule="auto"/>
        <w:jc w:val="both"/>
      </w:pPr>
      <w:r>
        <w:rPr>
          <w:rFonts w:ascii="Arial" w:hAnsi="Arial"/>
          <w:i/>
          <w:color w:val="555555"/>
          <w:sz w:val="22"/>
        </w:rPr>
        <w:t>**Advisory Recommendation 1 — Training Investment Recovery**</w:t>
        <w:br/>
        <w:br/>
        <w:t>**Finding**: Training hours declined 23.14% year-over-year to 49.3 hours per FTE, falling below the organization's historical investment levels and potentially impacting workforce capability development.</w:t>
        <w:br/>
        <w:br/>
        <w:t>**Benchmark**: Leading Indonesian financial institutions maintain higher training intensity levels. BRI sustains 62.4 hours per employee through blended learning approaches. OCBC Indonesia targets a minimum of 40 hours per employee annually with emphasis on digital skills and regulatory compliance. DBS has successfully transitioned to concise, impactful digital learning modules while maintaining development quality and employee engagement.</w:t>
        <w:br/>
        <w:br/>
        <w:t>**Recommendation**: Implement a blended learning strategy combining e-learning platforms with targeted classroom sessions to achieve 55 hours per FTE by end of 2025. Prioritize digital banking skills, ESG competencies, and leadership development programs. Establish quarterly tracking mechanisms to monitor progress against the target.</w:t>
        <w:br/>
        <w:br/>
        <w:t>**Reference**: DBS's digital learning transformation demonstrates that training effectiveness can be maintained or enhanced while optimizing delivery efficiency through technology-enabled platforms.</w:t>
        <w:br/>
        <w:br/>
        <w:t>**Priority**: High</w:t>
      </w:r>
    </w:p>
    <w:p>
      <w:pPr>
        <w:spacing w:after="160" w:line="276" w:lineRule="auto"/>
        <w:jc w:val="both"/>
      </w:pPr>
      <w:r>
        <w:rPr>
          <w:rFonts w:ascii="Arial" w:hAnsi="Arial"/>
          <w:i/>
          <w:color w:val="555555"/>
          <w:sz w:val="22"/>
        </w:rPr>
        <w:t>**Advisory Recommendation 2 — Gender Diversity in Management**</w:t>
        <w:br/>
        <w:br/>
        <w:t>**Finding**: Women in management representation decreased 1.78 percentage points to 26.67%, indicating a need for enhanced gender diversity initiatives at leadership levels.</w:t>
        <w:br/>
        <w:br/>
        <w:t>**Benchmark**: Regional peer banks demonstrate higher female management representation. OCBC Indonesia reports 30% women in senior management positions. BRI has implemented structured mentorship programs and succession planning frameworks specifically targeting female talent pipeline development. Mandiri has established gender diversity targets as part of its sustainability commitments.</w:t>
        <w:br/>
        <w:br/>
        <w:t>**Recommendation**: Establish a formal women in leadership development program with specific targets to achieve 30% female management representation by 2026. Implement structured mentorship pairing senior female leaders with high-potential female employees. Conduct annual succession planning reviews with explicit gender diversity considerations for management-level positions.</w:t>
        <w:br/>
        <w:br/>
        <w:t>**Reference**: BRI's mentorship framework and OCBC Indonesia's targeted leadership development programs provide proven models for accelerating female representation in management roles within Indonesian banking context.</w:t>
        <w:br/>
        <w:br/>
        <w:t>**Priority**: Medium</w:t>
      </w:r>
    </w:p>
    <w:p>
      <w:pPr>
        <w:spacing w:after="160" w:line="276" w:lineRule="auto"/>
        <w:jc w:val="both"/>
      </w:pPr>
      <w:r>
        <w:rPr>
          <w:rFonts w:ascii="Arial" w:hAnsi="Arial"/>
          <w:i/>
          <w:color w:val="555555"/>
          <w:sz w:val="22"/>
        </w:rPr>
        <w:t>**Advisory Recommendation 3 — Voluntary Turnover Sustainability**</w:t>
        <w:br/>
        <w:br/>
        <w:t>**Finding**: Voluntary turnover improved significantly to 8.45% (40.66% reduction year-over-year), indicating effective retention strategies. Sustaining this improvement requires ongoing investment in employee value proposition.</w:t>
        <w:br/>
        <w:br/>
        <w:t>**Benchmark**: Best-in-class Indonesian banks maintain voluntary turnover rates between 7-9%. BCA emphasizes competitive compensation, career development pathways, and work-life balance initiatives. Mandiri has implemented employee engagement surveys with action planning cycles to address retention risk factors proactively.</w:t>
        <w:br/>
        <w:br/>
        <w:t>**Recommendation**: Institutionalize the retention practices that drove 2024 improvements through formal employee engagement frameworks. Conduct bi-annual pulse surveys to identify emerging retention risks. Establish clear career progression frameworks with transparent promotion criteria. Benchmark total rewards packages annually against peer institutions to maintain competitive positioning.</w:t>
        <w:br/>
        <w:br/>
        <w:t>**Reference**: BCA's holistic employee value proposition approach and Mandiri's systematic engagement measurement provide frameworks for sustaining low voluntary turnover rates in competitive Indonesian banking talent markets.</w:t>
        <w:br/>
        <w:br/>
        <w:t>**Priority**: Medium</w:t>
      </w:r>
    </w:p>
    <w:p>
      <w:r>
        <w:rPr>
          <w:rFonts w:ascii="Arial" w:hAnsi="Arial"/>
          <w:b/>
          <w:sz w:val="20"/>
        </w:rPr>
        <w:t>Table S-1: Workforce Composition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FTE</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pPr>
              <w:jc w:val="right"/>
            </w:pPr>
            <w:r>
              <w:rPr>
                <w:rFonts w:ascii="Arial" w:hAnsi="Arial"/>
                <w:sz w:val="18"/>
              </w:rPr>
              <w:t>2.03%</w:t>
            </w:r>
          </w:p>
        </w:tc>
      </w:tr>
      <w:tr>
        <w:tc>
          <w:tcPr>
            <w:tcW w:type="dxa" w:w="2257"/>
            <w:shd w:fill="F2F6FC" w:val="clear"/>
          </w:tcPr>
          <w:p>
            <w:r>
              <w:rPr>
                <w:rFonts w:ascii="Arial" w:hAnsi="Arial"/>
                <w:sz w:val="18"/>
              </w:rPr>
              <w:t>Female Employees</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w:t>
            </w:r>
          </w:p>
        </w:tc>
      </w:tr>
      <w:tr>
        <w:tc>
          <w:tcPr>
            <w:tcW w:type="dxa" w:w="2257"/>
          </w:tcPr>
          <w:p>
            <w:r>
              <w:rPr>
                <w:rFonts w:ascii="Arial" w:hAnsi="Arial"/>
                <w:sz w:val="18"/>
              </w:rPr>
              <w:t>Male Employees</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w:t>
            </w:r>
          </w:p>
        </w:tc>
      </w:tr>
      <w:tr>
        <w:tc>
          <w:tcPr>
            <w:tcW w:type="dxa" w:w="2257"/>
            <w:shd w:fill="F2F6FC" w:val="clear"/>
          </w:tcPr>
          <w:p>
            <w:r>
              <w:rPr>
                <w:rFonts w:ascii="Arial" w:hAnsi="Arial"/>
                <w:sz w:val="18"/>
              </w:rPr>
              <w:t>Female Percentage</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 pp</w:t>
            </w:r>
          </w:p>
        </w:tc>
      </w:tr>
    </w:tbl>
    <w:p>
      <w:r>
        <w:rPr>
          <w:rFonts w:ascii="Arial" w:hAnsi="Arial"/>
          <w:i/>
          <w:sz w:val="16"/>
        </w:rPr>
        <w:t>Source: Source: Organization HR systems. Consolidation approach: Operational control. Reporting boundary: All wholly-owned entities.</w:t>
      </w:r>
    </w:p>
    <w:p/>
    <w:p>
      <w:r>
        <w:rPr>
          <w:rFonts w:ascii="Arial" w:hAnsi="Arial"/>
          <w:b/>
          <w:sz w:val="20"/>
        </w:rPr>
        <w:t>Table S-2: Employment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New Hires</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w:t>
            </w:r>
          </w:p>
        </w:tc>
      </w:tr>
      <w:tr>
        <w:tc>
          <w:tcPr>
            <w:tcW w:type="dxa" w:w="2257"/>
            <w:shd w:fill="F2F6FC" w:val="clear"/>
          </w:tcPr>
          <w:p>
            <w:r>
              <w:rPr>
                <w:rFonts w:ascii="Arial" w:hAnsi="Arial"/>
                <w:sz w:val="18"/>
              </w:rPr>
              <w:t>Hiring Rate</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w:t>
            </w:r>
          </w:p>
        </w:tc>
      </w:tr>
      <w:tr>
        <w:tc>
          <w:tcPr>
            <w:tcW w:type="dxa" w:w="2257"/>
          </w:tcPr>
          <w:p>
            <w:r>
              <w:rPr>
                <w:rFonts w:ascii="Arial" w:hAnsi="Arial"/>
                <w:sz w:val="18"/>
              </w:rPr>
              <w:t>Voluntary Turnover</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pPr>
              <w:jc w:val="right"/>
            </w:pPr>
            <w:r>
              <w:rPr>
                <w:rFonts w:ascii="Arial" w:hAnsi="Arial"/>
                <w:sz w:val="18"/>
              </w:rPr>
              <w:t>-40.66%</w:t>
            </w:r>
          </w:p>
        </w:tc>
      </w:tr>
    </w:tbl>
    <w:p>
      <w:r>
        <w:rPr>
          <w:rFonts w:ascii="Arial" w:hAnsi="Arial"/>
          <w:i/>
          <w:sz w:val="16"/>
        </w:rPr>
        <w:t>Source: Source: Organization HR systems. Voluntary turnover calculated as voluntary separations divided by average headcount during the period.</w:t>
      </w:r>
    </w:p>
    <w:p/>
    <w:p>
      <w:r>
        <w:rPr>
          <w:rFonts w:ascii="Arial" w:hAnsi="Arial"/>
          <w:b/>
          <w:sz w:val="20"/>
        </w:rPr>
        <w:t>Table S-3: Training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Avg Training Hours/FTE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pPr>
              <w:jc w:val="right"/>
            </w:pPr>
            <w:r>
              <w:rPr>
                <w:rFonts w:ascii="Arial" w:hAnsi="Arial"/>
                <w:sz w:val="18"/>
              </w:rPr>
              <w:t>-23.14%</w:t>
            </w:r>
          </w:p>
        </w:tc>
      </w:tr>
    </w:tbl>
    <w:p>
      <w:r>
        <w:rPr>
          <w:rFonts w:ascii="Arial" w:hAnsi="Arial"/>
          <w:i/>
          <w:sz w:val="16"/>
        </w:rPr>
        <w:t>Source: Source: Organization learning management system. Includes classroom, e-learning, and on-the-job training hours.</w:t>
      </w:r>
    </w:p>
    <w:p/>
    <w:p>
      <w:r>
        <w:rPr>
          <w:rFonts w:ascii="Arial" w:hAnsi="Arial"/>
          <w:b/>
          <w:sz w:val="20"/>
        </w:rPr>
        <w:t>Table S-4: Diversity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Female Workforce (%)</w:t>
            </w:r>
          </w:p>
        </w:tc>
        <w:tc>
          <w:tcPr>
            <w:tcW w:type="dxa" w:w="2257"/>
          </w:tcPr>
          <w:p>
            <w:pPr>
              <w:jc w:val="right"/>
            </w:pPr>
            <w:r>
              <w:rPr>
                <w:rFonts w:ascii="Arial" w:hAnsi="Arial"/>
                <w:sz w:val="18"/>
              </w:rPr>
              <w:t>42.32%</w:t>
            </w:r>
          </w:p>
        </w:tc>
        <w:tc>
          <w:tcPr>
            <w:tcW w:type="dxa" w:w="2257"/>
          </w:tcPr>
          <w:p>
            <w:pPr>
              <w:jc w:val="right"/>
            </w:pPr>
            <w:r>
              <w:rPr>
                <w:rFonts w:ascii="Arial" w:hAnsi="Arial"/>
                <w:sz w:val="18"/>
              </w:rPr>
              <w:t>46.2%</w:t>
            </w:r>
          </w:p>
        </w:tc>
        <w:tc>
          <w:tcPr>
            <w:tcW w:type="dxa" w:w="2257"/>
          </w:tcPr>
          <w:p>
            <w:r>
              <w:rPr>
                <w:rFonts w:ascii="Arial" w:hAnsi="Arial"/>
                <w:sz w:val="18"/>
              </w:rPr>
              <w:t>-3.88 pp</w:t>
            </w:r>
          </w:p>
        </w:tc>
      </w:tr>
      <w:tr>
        <w:tc>
          <w:tcPr>
            <w:tcW w:type="dxa" w:w="2257"/>
            <w:shd w:fill="F2F6FC" w:val="clear"/>
          </w:tcPr>
          <w:p>
            <w:r>
              <w:rPr>
                <w:rFonts w:ascii="Arial" w:hAnsi="Arial"/>
                <w:sz w:val="18"/>
              </w:rPr>
              <w:t>Women in Management (%)</w:t>
            </w:r>
          </w:p>
        </w:tc>
        <w:tc>
          <w:tcPr>
            <w:tcW w:type="dxa" w:w="2257"/>
            <w:shd w:fill="F2F6FC" w:val="clear"/>
          </w:tcPr>
          <w:p>
            <w:pPr>
              <w:jc w:val="right"/>
            </w:pPr>
            <w:r>
              <w:rPr>
                <w:rFonts w:ascii="Arial" w:hAnsi="Arial"/>
                <w:sz w:val="18"/>
              </w:rPr>
              <w:t>26.67%</w:t>
            </w:r>
          </w:p>
        </w:tc>
        <w:tc>
          <w:tcPr>
            <w:tcW w:type="dxa" w:w="2257"/>
            <w:shd w:fill="F2F6FC" w:val="clear"/>
          </w:tcPr>
          <w:p>
            <w:pPr>
              <w:jc w:val="right"/>
            </w:pPr>
            <w:r>
              <w:rPr>
                <w:rFonts w:ascii="Arial" w:hAnsi="Arial"/>
                <w:sz w:val="18"/>
              </w:rPr>
              <w:t>28.45%</w:t>
            </w:r>
          </w:p>
        </w:tc>
        <w:tc>
          <w:tcPr>
            <w:tcW w:type="dxa" w:w="2257"/>
            <w:shd w:fill="F2F6FC" w:val="clear"/>
          </w:tcPr>
          <w:p>
            <w:r>
              <w:rPr>
                <w:rFonts w:ascii="Arial" w:hAnsi="Arial"/>
                <w:sz w:val="18"/>
              </w:rPr>
              <w:t>-1.78 pp</w:t>
            </w:r>
          </w:p>
        </w:tc>
      </w:tr>
    </w:tbl>
    <w:p>
      <w:r>
        <w:rPr>
          <w:rFonts w:ascii="Arial" w:hAnsi="Arial"/>
          <w:i/>
          <w:sz w:val="16"/>
        </w:rPr>
        <w:t>Source: Source: Organization HR systems. Management defined as positions at manager level and above in organizational hierarchy.</w:t>
      </w:r>
    </w:p>
    <w:p/>
    <w:p>
      <w:r>
        <w:rPr>
          <w:rFonts w:ascii="Arial" w:hAnsi="Arial"/>
          <w:b/>
          <w:sz w:val="20"/>
        </w:rPr>
        <w:t>Table S-5: Non-Discrimination Cases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Substantiated</w:t>
            </w:r>
          </w:p>
        </w:tc>
        <w:tc>
          <w:tcPr>
            <w:tcW w:type="dxa" w:w="3010"/>
            <w:shd w:fill="F2F6FC" w:val="clear"/>
          </w:tcPr>
          <w:p>
            <w:r>
              <w:rPr>
                <w:rFonts w:ascii="Arial" w:hAnsi="Arial"/>
                <w:sz w:val="18"/>
              </w:rPr>
              <w:t>—</w:t>
            </w:r>
          </w:p>
        </w:tc>
        <w:tc>
          <w:tcPr>
            <w:tcW w:type="dxa" w:w="3010"/>
            <w:shd w:fill="F2F6FC" w:val="clear"/>
          </w:tcPr>
          <w:p>
            <w:r>
              <w:rPr>
                <w:rFonts w:ascii="Arial" w:hAnsi="Arial"/>
                <w:sz w:val="18"/>
              </w:rPr>
              <w:t>—</w:t>
            </w:r>
          </w:p>
        </w:tc>
      </w:tr>
      <w:tr>
        <w:tc>
          <w:tcPr>
            <w:tcW w:type="dxa" w:w="3010"/>
          </w:tcPr>
          <w:p>
            <w:r>
              <w:rPr>
                <w:rFonts w:ascii="Arial" w:hAnsi="Arial"/>
                <w:sz w:val="18"/>
              </w:rPr>
              <w:t>Remediation Actions Completed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bl>
    <w:p>
      <w:r>
        <w:rPr>
          <w:rFonts w:ascii="Arial" w:hAnsi="Arial"/>
          <w:i/>
          <w:sz w:val="16"/>
        </w:rPr>
        <w:t>Source: Source: Organization ethics and compliance reporting system. All cases investigated per non-discrimination policy protocols.</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(supplementary social disclosure for CSRD alignment); OJK PSPK: Social metrics disclosure requirements (Pillar II - Social)</w:t>
      </w:r>
    </w:p>
    <w:p>
      <w:pPr>
        <w:spacing w:after="80"/>
        <w:pBdr>
          <w:bottom w:val="single" w:sz="6" w:space="1" w:color="999999"/>
        </w:pBdr>
      </w:pPr>
    </w:p>
    <w:p>
      <w:pPr>
        <w:spacing w:after="160" w:line="276" w:lineRule="auto"/>
        <w:jc w:val="both"/>
      </w:pPr>
      <w:r>
        <w:rPr>
          <w:rFonts w:ascii="Arial" w:hAnsi="Arial"/>
          <w:i/>
          <w:color w:val="646464"/>
          <w:sz w:val="18"/>
        </w:rPr>
        <w:t>All workforce data reported under operational control consolidation approach, consistent with GRI 2-2 reporting boundary.</w:t>
      </w:r>
    </w:p>
    <w:p>
      <w:pPr>
        <w:spacing w:after="160" w:line="276" w:lineRule="auto"/>
        <w:jc w:val="both"/>
      </w:pPr>
      <w:r>
        <w:rPr>
          <w:rFonts w:ascii="Arial" w:hAnsi="Arial"/>
          <w:i/>
          <w:color w:val="646464"/>
          <w:sz w:val="18"/>
        </w:rPr>
        <w:t>FTE (Full-Time Equivalent) calculated as total contracted hours divided by standard full-time hours per the organization's employment framework.</w:t>
      </w:r>
    </w:p>
    <w:p>
      <w:pPr>
        <w:spacing w:after="160" w:line="276" w:lineRule="auto"/>
        <w:jc w:val="both"/>
      </w:pPr>
      <w:r>
        <w:rPr>
          <w:rFonts w:ascii="Arial" w:hAnsi="Arial"/>
          <w:i/>
          <w:color w:val="646464"/>
          <w:sz w:val="18"/>
        </w:rPr>
        <w:t>Management category includes all positions at manager level and above in the organizational hierarchy, encompassing middle management and senior leadership.</w:t>
      </w:r>
    </w:p>
    <w:p>
      <w:pPr>
        <w:spacing w:after="160" w:line="276" w:lineRule="auto"/>
        <w:jc w:val="both"/>
      </w:pPr>
      <w:r>
        <w:rPr>
          <w:rFonts w:ascii="Arial" w:hAnsi="Arial"/>
          <w:i/>
          <w:color w:val="646464"/>
          <w:sz w:val="18"/>
        </w:rPr>
        <w:t>Training hours include all formal learning activities: classroom instruction, e-learning modules, workshops, seminars, and structured on-the-job training programs.</w:t>
      </w:r>
    </w:p>
    <w:p>
      <w:pPr>
        <w:spacing w:after="160" w:line="276" w:lineRule="auto"/>
        <w:jc w:val="both"/>
      </w:pPr>
      <w:r>
        <w:rPr>
          <w:rFonts w:ascii="Arial" w:hAnsi="Arial"/>
          <w:i/>
          <w:color w:val="646464"/>
          <w:sz w:val="18"/>
        </w:rPr>
        <w:t>Voluntary turnover rate calculated as voluntary separations divided by average headcount during the reporting period, excluding involuntary terminations and retirements.</w:t>
      </w:r>
    </w:p>
    <w:p>
      <w:pPr>
        <w:spacing w:after="160" w:line="276" w:lineRule="auto"/>
        <w:jc w:val="both"/>
      </w:pPr>
      <w:r>
        <w:rPr>
          <w:rFonts w:ascii="Arial" w:hAnsi="Arial"/>
          <w:i/>
          <w:color w:val="646464"/>
          <w:sz w:val="18"/>
        </w:rPr>
        <w:t>Discrimination cases include all reports received through formal grievance mechanisms related to gender, age, ethnicity, religion, disability, or other protected characteristics.</w:t>
      </w:r>
    </w:p>
    <w:p>
      <w:pPr>
        <w:spacing w:after="160" w:line="276" w:lineRule="auto"/>
        <w:jc w:val="both"/>
      </w:pPr>
      <w:r>
        <w:rPr>
          <w:rFonts w:ascii="Arial" w:hAnsi="Arial"/>
          <w:i/>
          <w:color w:val="646464"/>
          <w:sz w:val="18"/>
        </w:rPr>
        <w:t>Year-over-year percentage changes are pre-computed and reported as provided in source data systems.</w:t>
      </w:r>
    </w:p>
    <w:p>
      <w:pPr>
        <w:spacing w:after="160" w:line="276" w:lineRule="auto"/>
        <w:jc w:val="both"/>
      </w:pPr>
      <w:r>
        <w:rPr>
          <w:rFonts w:ascii="Arial" w:hAnsi="Arial"/>
          <w:i/>
          <w:color w:val="646464"/>
          <w:sz w:val="18"/>
        </w:rPr>
        <w:t>Percentage point (pp) changes represent absolute differences in percentage values, distinct from percentage changes in underlying metrics.</w:t>
      </w:r>
    </w:p>
    <w:p>
      <w:r>
        <w:br w:type="page"/>
      </w:r>
    </w:p>
    <w:p>
      <w:pPr>
        <w:pStyle w:val="Heading1"/>
        <w:keepNext/>
        <w:spacing w:before="480" w:after="240"/>
      </w:pPr>
      <w:r>
        <w:rPr>
          <w:rFonts w:ascii="Arial" w:hAnsi="Arial"/>
          <w:b/>
          <w:color w:val="1B3A6B"/>
          <w:sz w:val="36"/>
        </w:rPr>
        <w:t>Executive Summary: Total Greenhouse Gas Emissions</w:t>
      </w:r>
    </w:p>
    <w:p>
      <w:pPr>
        <w:spacing w:after="160" w:line="276" w:lineRule="auto"/>
        <w:jc w:val="both"/>
      </w:pPr>
      <w:r>
        <w:rPr>
          <w:rFonts w:ascii="Arial" w:hAnsi="Arial"/>
          <w:sz w:val="22"/>
        </w:rPr>
        <w:t>For the reporting period ending December 31, 2024, the institution's total greenhouse gas footprint was 22,024,814.173 tCO2e, comprising direct operational emissions (Scope 1), indirect energy emissions (Scope 2), and financed emissions from the lending portfolio (Scope 3 Category 15). This figure represents the institution's comprehensive climate impact across its operational control boundary and financial activities, calculated in accordance with the GHG Protocol Corporate Accounting and Reporting Standard and the Partnership for Carbon Accounting Financials (PCAF) Global GHG Accounting and Reporting Standard for the Financial Industry.</w:t>
      </w:r>
    </w:p>
    <w:p>
      <w:pPr>
        <w:spacing w:after="160" w:line="276" w:lineRule="auto"/>
        <w:jc w:val="both"/>
      </w:pPr>
      <w:r>
        <w:rPr>
          <w:rFonts w:ascii="Arial" w:hAnsi="Arial"/>
          <w:sz w:val="22"/>
        </w:rPr>
        <w:t>Scope 1 emissions from direct fuel combustion totaled 3,402.997 tCO2e, representing 0.015% of the total footprint. Natural gas consumption contributed 1,199.7924 tCO2e, while diesel fuel combustion accounted for 2,203.2044 tCO2e across the institution's operational facilities. Scope 2 emissions from purchased electricity totaled 44,612.518 tCO2e using the market-based method (44,613.876 tCO2e location-based), representing 0.203% of the total footprint. Scope 3 Category 15 financed emissions constituted 21,976,797.3 tCO2e on a gross basis, representing 99.782% of the total footprint and reflecting the institution's exposure to carbon-intensive sectors within its lending portfolio. The institution reports financed emissions on both a gross basis (attributing 100% of borrower emissions to outstanding loan amounts) and a weighted basis (15,280,174.14 tCO2e, applying PCAF attribution factors based on the institution's proportional share of borrower financing).</w:t>
      </w:r>
    </w:p>
    <w:p>
      <w:pPr>
        <w:spacing w:after="160" w:line="276" w:lineRule="auto"/>
        <w:jc w:val="both"/>
      </w:pPr>
      <w:r>
        <w:rPr>
          <w:rFonts w:ascii="Arial" w:hAnsi="Arial"/>
          <w:sz w:val="22"/>
        </w:rPr>
        <w:t>The institution's emission intensity metrics for 2024 were 239.400139 tCO2e per IDR billion of total assets and 1.9209 tCO2e per full-time equivalent employee. These intensity ratios enable normalization of the absolute footprint against the institution's scale of operations and workforce size. Compared to the prior reporting period (2023), total emissions decreased by 4.07%, driven primarily by a reduction in financed emissions intensity as the institution implemented sector-specific engagement strategies with high-emission borrowers. This year-over-year comparison uses consistent methodology across both periods, with 2024 serving as the base year for future target-setting.</w:t>
      </w:r>
    </w:p>
    <w:p>
      <w:pPr>
        <w:spacing w:after="160" w:line="276" w:lineRule="auto"/>
        <w:jc w:val="both"/>
      </w:pPr>
      <w:r>
        <w:rPr>
          <w:rFonts w:ascii="Arial" w:hAnsi="Arial"/>
          <w:sz w:val="22"/>
        </w:rPr>
        <w:t>The financed emissions inventory achieved an average PCAF data quality score of 3.36 across the lending portfolio, indicating reliance on sector-average emission factors for the majority of borrower exposures. A score of 3 on the PCAF 1–5 scale (where 1 represents highest quality primary data and 5 represents lowest quality estimates) reflects the current maturity of the institution's borrower engagement program. The institution has established a data quality improvement roadmap targeting migration to PCAF Score 2 (physical activity data with sector-specific factors) for 60% of portfolio exposure by 2026, prioritizing engagement with borrowers in the Energy - Oil &amp; Gas, Manufacturing - Cement, and Manufacturing - Steel sectors, which collectively represent 85.93% of total financed emissions.</w:t>
      </w:r>
    </w:p>
    <w:p>
      <w:r>
        <w:rPr>
          <w:rFonts w:ascii="Arial" w:hAnsi="Arial"/>
          <w:b/>
          <w:sz w:val="20"/>
        </w:rPr>
        <w:t>Table 1: Total GHG Emissions by Scope — Reporting Year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Scope</w:t>
            </w:r>
          </w:p>
        </w:tc>
        <w:tc>
          <w:tcPr>
            <w:tcW w:type="dxa" w:w="2257"/>
            <w:shd w:fill="1B3A6B" w:val="clear"/>
          </w:tcPr>
          <w:p>
            <w:r>
              <w:rPr>
                <w:rFonts w:ascii="Arial" w:hAnsi="Arial"/>
                <w:b/>
                <w:color w:val="FFFFFF"/>
                <w:sz w:val="18"/>
              </w:rPr>
              <w:t>Emissions (tCO2e)</w:t>
            </w:r>
          </w:p>
        </w:tc>
        <w:tc>
          <w:tcPr>
            <w:tcW w:type="dxa" w:w="2257"/>
            <w:shd w:fill="1B3A6B" w:val="clear"/>
          </w:tcPr>
          <w:p>
            <w:r>
              <w:rPr>
                <w:rFonts w:ascii="Arial" w:hAnsi="Arial"/>
                <w:b/>
                <w:color w:val="FFFFFF"/>
                <w:sz w:val="18"/>
              </w:rPr>
              <w:t>Percentage of Total</w:t>
            </w:r>
          </w:p>
        </w:tc>
        <w:tc>
          <w:tcPr>
            <w:tcW w:type="dxa" w:w="2257"/>
            <w:shd w:fill="1B3A6B" w:val="clear"/>
          </w:tcPr>
          <w:p>
            <w:r>
              <w:rPr>
                <w:rFonts w:ascii="Arial" w:hAnsi="Arial"/>
                <w:b/>
                <w:color w:val="FFFFFF"/>
                <w:sz w:val="18"/>
              </w:rPr>
              <w:t>Calculation Method</w:t>
            </w:r>
          </w:p>
        </w:tc>
      </w:tr>
      <w:tr>
        <w:tc>
          <w:tcPr>
            <w:tcW w:type="dxa" w:w="2257"/>
          </w:tcPr>
          <w:p>
            <w:r>
              <w:rPr>
                <w:rFonts w:ascii="Arial" w:hAnsi="Arial"/>
                <w:sz w:val="18"/>
              </w:rPr>
              <w:t>Scope 1 (Direct)</w:t>
            </w:r>
          </w:p>
        </w:tc>
        <w:tc>
          <w:tcPr>
            <w:tcW w:type="dxa" w:w="2257"/>
          </w:tcPr>
          <w:p>
            <w:pPr>
              <w:jc w:val="right"/>
            </w:pPr>
            <w:r>
              <w:rPr>
                <w:rFonts w:ascii="Arial" w:hAnsi="Arial"/>
                <w:sz w:val="18"/>
              </w:rPr>
              <w:t>3,402.997</w:t>
            </w:r>
          </w:p>
        </w:tc>
        <w:tc>
          <w:tcPr>
            <w:tcW w:type="dxa" w:w="2257"/>
          </w:tcPr>
          <w:p>
            <w:pPr>
              <w:jc w:val="right"/>
            </w:pPr>
            <w:r>
              <w:rPr>
                <w:rFonts w:ascii="Arial" w:hAnsi="Arial"/>
                <w:sz w:val="18"/>
              </w:rPr>
              <w:t>0.015%</w:t>
            </w:r>
          </w:p>
        </w:tc>
        <w:tc>
          <w:tcPr>
            <w:tcW w:type="dxa" w:w="2257"/>
          </w:tcPr>
          <w:p>
            <w:r>
              <w:rPr>
                <w:rFonts w:ascii="Arial" w:hAnsi="Arial"/>
                <w:sz w:val="18"/>
              </w:rPr>
              <w:t>Fuel consumption × emission factors</w:t>
            </w:r>
          </w:p>
        </w:tc>
      </w:tr>
      <w:tr>
        <w:tc>
          <w:tcPr>
            <w:tcW w:type="dxa" w:w="2257"/>
            <w:shd w:fill="F2F6FC" w:val="clear"/>
          </w:tcPr>
          <w:p>
            <w:r>
              <w:rPr>
                <w:rFonts w:ascii="Arial" w:hAnsi="Arial"/>
                <w:sz w:val="18"/>
              </w:rPr>
              <w:t>Scope 2 (Indirect — Market-based)</w:t>
            </w:r>
          </w:p>
        </w:tc>
        <w:tc>
          <w:tcPr>
            <w:tcW w:type="dxa" w:w="2257"/>
            <w:shd w:fill="F2F6FC" w:val="clear"/>
          </w:tcPr>
          <w:p>
            <w:pPr>
              <w:jc w:val="right"/>
            </w:pPr>
            <w:r>
              <w:rPr>
                <w:rFonts w:ascii="Arial" w:hAnsi="Arial"/>
                <w:sz w:val="18"/>
              </w:rPr>
              <w:t>44,612.518</w:t>
            </w:r>
          </w:p>
        </w:tc>
        <w:tc>
          <w:tcPr>
            <w:tcW w:type="dxa" w:w="2257"/>
            <w:shd w:fill="F2F6FC" w:val="clear"/>
          </w:tcPr>
          <w:p>
            <w:pPr>
              <w:jc w:val="right"/>
            </w:pPr>
            <w:r>
              <w:rPr>
                <w:rFonts w:ascii="Arial" w:hAnsi="Arial"/>
                <w:sz w:val="18"/>
              </w:rPr>
              <w:t>0.203%</w:t>
            </w:r>
          </w:p>
        </w:tc>
        <w:tc>
          <w:tcPr>
            <w:tcW w:type="dxa" w:w="2257"/>
            <w:shd w:fill="F2F6FC" w:val="clear"/>
          </w:tcPr>
          <w:p>
            <w:r>
              <w:rPr>
                <w:rFonts w:ascii="Arial" w:hAnsi="Arial"/>
                <w:sz w:val="18"/>
              </w:rPr>
              <w:t>Electricity consumption × supplier-specific factors</w:t>
            </w:r>
          </w:p>
        </w:tc>
      </w:tr>
      <w:tr>
        <w:tc>
          <w:tcPr>
            <w:tcW w:type="dxa" w:w="2257"/>
          </w:tcPr>
          <w:p>
            <w:r>
              <w:rPr>
                <w:rFonts w:ascii="Arial" w:hAnsi="Arial"/>
                <w:sz w:val="18"/>
              </w:rPr>
              <w:t>Scope 2 (Indirect — Location-based)</w:t>
            </w:r>
          </w:p>
        </w:tc>
        <w:tc>
          <w:tcPr>
            <w:tcW w:type="dxa" w:w="2257"/>
          </w:tcPr>
          <w:p>
            <w:pPr>
              <w:jc w:val="right"/>
            </w:pPr>
            <w:r>
              <w:rPr>
                <w:rFonts w:ascii="Arial" w:hAnsi="Arial"/>
                <w:sz w:val="18"/>
              </w:rPr>
              <w:t>44,613.876</w:t>
            </w:r>
          </w:p>
        </w:tc>
        <w:tc>
          <w:tcPr>
            <w:tcW w:type="dxa" w:w="2257"/>
          </w:tcPr>
          <w:p>
            <w:pPr>
              <w:jc w:val="right"/>
            </w:pPr>
            <w:r>
              <w:rPr>
                <w:rFonts w:ascii="Arial" w:hAnsi="Arial"/>
                <w:sz w:val="18"/>
              </w:rPr>
              <w:t>0.203%</w:t>
            </w:r>
          </w:p>
        </w:tc>
        <w:tc>
          <w:tcPr>
            <w:tcW w:type="dxa" w:w="2257"/>
          </w:tcPr>
          <w:p>
            <w:r>
              <w:rPr>
                <w:rFonts w:ascii="Arial" w:hAnsi="Arial"/>
                <w:sz w:val="18"/>
              </w:rPr>
              <w:t>Electricity consumption × grid average factors</w:t>
            </w:r>
          </w:p>
        </w:tc>
      </w:tr>
      <w:tr>
        <w:tc>
          <w:tcPr>
            <w:tcW w:type="dxa" w:w="2257"/>
            <w:shd w:fill="F2F6FC" w:val="clear"/>
          </w:tcPr>
          <w:p>
            <w:r>
              <w:rPr>
                <w:rFonts w:ascii="Arial" w:hAnsi="Arial"/>
                <w:sz w:val="18"/>
              </w:rPr>
              <w:t>Scope 3 Category 15 (Financed — Gross)</w:t>
            </w:r>
          </w:p>
        </w:tc>
        <w:tc>
          <w:tcPr>
            <w:tcW w:type="dxa" w:w="2257"/>
            <w:shd w:fill="F2F6FC" w:val="clear"/>
          </w:tcPr>
          <w:p>
            <w:pPr>
              <w:jc w:val="right"/>
            </w:pPr>
            <w:r>
              <w:rPr>
                <w:rFonts w:ascii="Arial" w:hAnsi="Arial"/>
                <w:sz w:val="18"/>
              </w:rPr>
              <w:t>21,976,797.3</w:t>
            </w:r>
          </w:p>
        </w:tc>
        <w:tc>
          <w:tcPr>
            <w:tcW w:type="dxa" w:w="2257"/>
            <w:shd w:fill="F2F6FC" w:val="clear"/>
          </w:tcPr>
          <w:p>
            <w:pPr>
              <w:jc w:val="right"/>
            </w:pPr>
            <w:r>
              <w:rPr>
                <w:rFonts w:ascii="Arial" w:hAnsi="Arial"/>
                <w:sz w:val="18"/>
              </w:rPr>
              <w:t>99.782%</w:t>
            </w:r>
          </w:p>
        </w:tc>
        <w:tc>
          <w:tcPr>
            <w:tcW w:type="dxa" w:w="2257"/>
            <w:shd w:fill="F2F6FC" w:val="clear"/>
          </w:tcPr>
          <w:p>
            <w:r>
              <w:rPr>
                <w:rFonts w:ascii="Arial" w:hAnsi="Arial"/>
                <w:sz w:val="18"/>
              </w:rPr>
              <w:t>PCAF Standard (gross attribution)</w:t>
            </w:r>
          </w:p>
        </w:tc>
      </w:tr>
      <w:tr>
        <w:tc>
          <w:tcPr>
            <w:tcW w:type="dxa" w:w="2257"/>
          </w:tcPr>
          <w:p>
            <w:r>
              <w:rPr>
                <w:rFonts w:ascii="Arial" w:hAnsi="Arial"/>
                <w:sz w:val="18"/>
              </w:rPr>
              <w:t>Scope 3 Category 15 (Financed — Weighted)</w:t>
            </w:r>
          </w:p>
        </w:tc>
        <w:tc>
          <w:tcPr>
            <w:tcW w:type="dxa" w:w="2257"/>
          </w:tcPr>
          <w:p>
            <w:pPr>
              <w:jc w:val="right"/>
            </w:pPr>
            <w:r>
              <w:rPr>
                <w:rFonts w:ascii="Arial" w:hAnsi="Arial"/>
                <w:sz w:val="18"/>
              </w:rPr>
              <w:t>15,280,174.14</w:t>
            </w:r>
          </w:p>
        </w:tc>
        <w:tc>
          <w:tcPr>
            <w:tcW w:type="dxa" w:w="2257"/>
          </w:tcPr>
          <w:p>
            <w:r>
              <w:rPr>
                <w:rFonts w:ascii="Arial" w:hAnsi="Arial"/>
                <w:sz w:val="18"/>
              </w:rPr>
              <w:t>—</w:t>
            </w:r>
          </w:p>
        </w:tc>
        <w:tc>
          <w:tcPr>
            <w:tcW w:type="dxa" w:w="2257"/>
          </w:tcPr>
          <w:p>
            <w:r>
              <w:rPr>
                <w:rFonts w:ascii="Arial" w:hAnsi="Arial"/>
                <w:sz w:val="18"/>
              </w:rPr>
              <w:t>PCAF Standard (proportional attribution)</w:t>
            </w:r>
          </w:p>
        </w:tc>
      </w:tr>
      <w:tr>
        <w:tc>
          <w:tcPr>
            <w:tcW w:type="dxa" w:w="2257"/>
            <w:shd w:fill="F2F6FC" w:val="clear"/>
          </w:tcPr>
          <w:p>
            <w:r>
              <w:rPr>
                <w:rFonts w:ascii="Arial" w:hAnsi="Arial"/>
                <w:sz w:val="18"/>
              </w:rPr>
              <w:t>Total (Scope 1 + 2 Market + 3 Gross)</w:t>
            </w:r>
          </w:p>
        </w:tc>
        <w:tc>
          <w:tcPr>
            <w:tcW w:type="dxa" w:w="2257"/>
            <w:shd w:fill="F2F6FC" w:val="clear"/>
          </w:tcPr>
          <w:p>
            <w:pPr>
              <w:jc w:val="right"/>
            </w:pPr>
            <w:r>
              <w:rPr>
                <w:rFonts w:ascii="Arial" w:hAnsi="Arial"/>
                <w:sz w:val="18"/>
              </w:rPr>
              <w:t>22,024,814.173</w:t>
            </w:r>
          </w:p>
        </w:tc>
        <w:tc>
          <w:tcPr>
            <w:tcW w:type="dxa" w:w="2257"/>
            <w:shd w:fill="F2F6FC" w:val="clear"/>
          </w:tcPr>
          <w:p>
            <w:pPr>
              <w:jc w:val="right"/>
            </w:pPr>
            <w:r>
              <w:rPr>
                <w:rFonts w:ascii="Arial" w:hAnsi="Arial"/>
                <w:sz w:val="18"/>
              </w:rPr>
              <w:t>100.00%</w:t>
            </w:r>
          </w:p>
        </w:tc>
        <w:tc>
          <w:tcPr>
            <w:tcW w:type="dxa" w:w="2257"/>
            <w:shd w:fill="F2F6FC" w:val="clear"/>
          </w:tcPr>
          <w:p>
            <w:r>
              <w:rPr>
                <w:rFonts w:ascii="Arial" w:hAnsi="Arial"/>
                <w:sz w:val="18"/>
              </w:rPr>
              <w:t>—</w:t>
            </w:r>
          </w:p>
        </w:tc>
      </w:tr>
    </w:tbl>
    <w:p>
      <w:r>
        <w:rPr>
          <w:rFonts w:ascii="Arial" w:hAnsi="Arial"/>
          <w:i/>
          <w:sz w:val="16"/>
        </w:rPr>
        <w:t>Source: Scope 2 market-based method used for total calculation per GHG Protocol hierarchy. Location-based figure provided for transparency. Scope 3 weighted figure represents proportional attribution and is not included in total to avoid double-counting.</w:t>
      </w:r>
    </w:p>
    <w:p/>
    <w:p>
      <w:r>
        <w:rPr>
          <w:rFonts w:ascii="Arial" w:hAnsi="Arial"/>
          <w:b/>
          <w:sz w:val="20"/>
        </w:rPr>
        <w:t>Table 2: Emission Intensity Metrics — Reporting Year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Intensity Metric</w:t>
            </w:r>
          </w:p>
        </w:tc>
        <w:tc>
          <w:tcPr>
            <w:tcW w:type="dxa" w:w="2257"/>
            <w:shd w:fill="1B3A6B" w:val="clear"/>
          </w:tcPr>
          <w:p>
            <w:r>
              <w:rPr>
                <w:rFonts w:ascii="Arial" w:hAnsi="Arial"/>
                <w:b/>
                <w:color w:val="FFFFFF"/>
                <w:sz w:val="18"/>
              </w:rPr>
              <w:t>Value</w:t>
            </w:r>
          </w:p>
        </w:tc>
        <w:tc>
          <w:tcPr>
            <w:tcW w:type="dxa" w:w="2257"/>
            <w:shd w:fill="1B3A6B" w:val="clear"/>
          </w:tcPr>
          <w:p>
            <w:r>
              <w:rPr>
                <w:rFonts w:ascii="Arial" w:hAnsi="Arial"/>
                <w:b/>
                <w:color w:val="FFFFFF"/>
                <w:sz w:val="18"/>
              </w:rPr>
              <w:t>Unit</w:t>
            </w:r>
          </w:p>
        </w:tc>
        <w:tc>
          <w:tcPr>
            <w:tcW w:type="dxa" w:w="2257"/>
            <w:shd w:fill="1B3A6B" w:val="clear"/>
          </w:tcPr>
          <w:p>
            <w:r>
              <w:rPr>
                <w:rFonts w:ascii="Arial" w:hAnsi="Arial"/>
                <w:b/>
                <w:color w:val="FFFFFF"/>
                <w:sz w:val="18"/>
              </w:rPr>
              <w:t>Denominator</w:t>
            </w:r>
          </w:p>
        </w:tc>
      </w:tr>
      <w:tr>
        <w:tc>
          <w:tcPr>
            <w:tcW w:type="dxa" w:w="2257"/>
          </w:tcPr>
          <w:p>
            <w:r>
              <w:rPr>
                <w:rFonts w:ascii="Arial" w:hAnsi="Arial"/>
                <w:sz w:val="18"/>
              </w:rPr>
              <w:t>Emissions per Total Assets</w:t>
            </w:r>
          </w:p>
        </w:tc>
        <w:tc>
          <w:tcPr>
            <w:tcW w:type="dxa" w:w="2257"/>
          </w:tcPr>
          <w:p>
            <w:pPr>
              <w:jc w:val="right"/>
            </w:pPr>
            <w:r>
              <w:rPr>
                <w:rFonts w:ascii="Arial" w:hAnsi="Arial"/>
                <w:sz w:val="18"/>
              </w:rPr>
              <w:t>239.400139</w:t>
            </w:r>
          </w:p>
        </w:tc>
        <w:tc>
          <w:tcPr>
            <w:tcW w:type="dxa" w:w="2257"/>
          </w:tcPr>
          <w:p>
            <w:r>
              <w:rPr>
                <w:rFonts w:ascii="Arial" w:hAnsi="Arial"/>
                <w:sz w:val="18"/>
              </w:rPr>
              <w:t>tCO2e per IDR billion</w:t>
            </w:r>
          </w:p>
        </w:tc>
        <w:tc>
          <w:tcPr>
            <w:tcW w:type="dxa" w:w="2257"/>
          </w:tcPr>
          <w:p>
            <w:r>
              <w:rPr>
                <w:rFonts w:ascii="Arial" w:hAnsi="Arial"/>
                <w:sz w:val="18"/>
              </w:rPr>
              <w:t>Total assets (consolidated)</w:t>
            </w:r>
          </w:p>
        </w:tc>
      </w:tr>
      <w:tr>
        <w:tc>
          <w:tcPr>
            <w:tcW w:type="dxa" w:w="2257"/>
            <w:shd w:fill="F2F6FC" w:val="clear"/>
          </w:tcPr>
          <w:p>
            <w:r>
              <w:rPr>
                <w:rFonts w:ascii="Arial" w:hAnsi="Arial"/>
                <w:sz w:val="18"/>
              </w:rPr>
              <w:t>Emissions per Employee</w:t>
            </w:r>
          </w:p>
        </w:tc>
        <w:tc>
          <w:tcPr>
            <w:tcW w:type="dxa" w:w="2257"/>
            <w:shd w:fill="F2F6FC" w:val="clear"/>
          </w:tcPr>
          <w:p>
            <w:pPr>
              <w:jc w:val="right"/>
            </w:pPr>
            <w:r>
              <w:rPr>
                <w:rFonts w:ascii="Arial" w:hAnsi="Arial"/>
                <w:sz w:val="18"/>
              </w:rPr>
              <w:t>1.9209</w:t>
            </w:r>
          </w:p>
        </w:tc>
        <w:tc>
          <w:tcPr>
            <w:tcW w:type="dxa" w:w="2257"/>
            <w:shd w:fill="F2F6FC" w:val="clear"/>
          </w:tcPr>
          <w:p>
            <w:r>
              <w:rPr>
                <w:rFonts w:ascii="Arial" w:hAnsi="Arial"/>
                <w:sz w:val="18"/>
              </w:rPr>
              <w:t>tCO2e per FTE</w:t>
            </w:r>
          </w:p>
        </w:tc>
        <w:tc>
          <w:tcPr>
            <w:tcW w:type="dxa" w:w="2257"/>
            <w:shd w:fill="F2F6FC" w:val="clear"/>
          </w:tcPr>
          <w:p>
            <w:r>
              <w:rPr>
                <w:rFonts w:ascii="Arial" w:hAnsi="Arial"/>
                <w:sz w:val="18"/>
              </w:rPr>
              <w:t>24,997 full-time equivalents</w:t>
            </w:r>
          </w:p>
        </w:tc>
      </w:tr>
    </w:tbl>
    <w:p>
      <w:r>
        <w:rPr>
          <w:rFonts w:ascii="Arial" w:hAnsi="Arial"/>
          <w:i/>
          <w:sz w:val="16"/>
        </w:rPr>
        <w:t>Source: Intensity denominators reflect year-end 2024 values. Total assets denominator includes all on-balance-sheet assets under operational control.</w:t>
      </w:r>
    </w:p>
    <w:p/>
    <w:p>
      <w:r>
        <w:rPr>
          <w:rFonts w:ascii="Arial" w:hAnsi="Arial"/>
          <w:b/>
          <w:sz w:val="20"/>
        </w:rPr>
        <w:t>Table 3: Year-over-Year Comparison — 2023 to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Scope 1 (tCO2e)</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+78.476</w:t>
            </w:r>
          </w:p>
        </w:tc>
        <w:tc>
          <w:tcPr>
            <w:tcW w:type="dxa" w:w="1806"/>
          </w:tcPr>
          <w:p>
            <w:pPr>
              <w:jc w:val="right"/>
            </w:pPr>
            <w:r>
              <w:rPr>
                <w:rFonts w:ascii="Arial" w:hAnsi="Arial"/>
                <w:sz w:val="18"/>
              </w:rPr>
              <w:t>+2.36%</w:t>
            </w:r>
          </w:p>
        </w:tc>
      </w:tr>
      <w:tr>
        <w:tc>
          <w:tcPr>
            <w:tcW w:type="dxa" w:w="1806"/>
            <w:shd w:fill="F2F6FC" w:val="clear"/>
          </w:tcPr>
          <w:p>
            <w:r>
              <w:rPr>
                <w:rFonts w:ascii="Arial" w:hAnsi="Arial"/>
                <w:sz w:val="18"/>
              </w:rPr>
              <w:t>Scope 2 Market-based (tCO2e)</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+14.4</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Scope 3 Cat 15 Gross (tCO2e)</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21,976,797.3</w:t>
            </w:r>
          </w:p>
        </w:tc>
        <w:tc>
          <w:tcPr>
            <w:tcW w:type="dxa" w:w="1806"/>
          </w:tcPr>
          <w:p>
            <w:pPr>
              <w:jc w:val="right"/>
            </w:pPr>
            <w:r>
              <w:rPr>
                <w:rFonts w:ascii="Arial" w:hAnsi="Arial"/>
                <w:sz w:val="18"/>
              </w:rPr>
              <w:t>-935,193.75</w:t>
            </w:r>
          </w:p>
        </w:tc>
        <w:tc>
          <w:tcPr>
            <w:tcW w:type="dxa" w:w="1806"/>
          </w:tcPr>
          <w:p>
            <w:pPr>
              <w:jc w:val="right"/>
            </w:pPr>
            <w:r>
              <w:rPr>
                <w:rFonts w:ascii="Arial" w:hAnsi="Arial"/>
                <w:sz w:val="18"/>
              </w:rPr>
              <w:t>-4.08%</w:t>
            </w:r>
          </w:p>
        </w:tc>
      </w:tr>
      <w:tr>
        <w:tc>
          <w:tcPr>
            <w:tcW w:type="dxa" w:w="1806"/>
            <w:shd w:fill="F2F6FC" w:val="clear"/>
          </w:tcPr>
          <w:p>
            <w:r>
              <w:rPr>
                <w:rFonts w:ascii="Arial" w:hAnsi="Arial"/>
                <w:sz w:val="18"/>
              </w:rPr>
              <w:t>Total (tCO2e)</w:t>
            </w:r>
          </w:p>
        </w:tc>
        <w:tc>
          <w:tcPr>
            <w:tcW w:type="dxa" w:w="1806"/>
            <w:shd w:fill="F2F6FC" w:val="clear"/>
          </w:tcPr>
          <w:p>
            <w:pPr>
              <w:jc w:val="right"/>
            </w:pPr>
            <w:r>
              <w:rPr>
                <w:rFonts w:ascii="Arial" w:hAnsi="Arial"/>
                <w:sz w:val="18"/>
              </w:rPr>
              <w:t>22,959,913.689</w:t>
            </w:r>
          </w:p>
        </w:tc>
        <w:tc>
          <w:tcPr>
            <w:tcW w:type="dxa" w:w="1806"/>
            <w:shd w:fill="F2F6FC" w:val="clear"/>
          </w:tcPr>
          <w:p>
            <w:pPr>
              <w:jc w:val="right"/>
            </w:pPr>
            <w:r>
              <w:rPr>
                <w:rFonts w:ascii="Arial" w:hAnsi="Arial"/>
                <w:sz w:val="18"/>
              </w:rPr>
              <w:t>22,024,814.173</w:t>
            </w:r>
          </w:p>
        </w:tc>
        <w:tc>
          <w:tcPr>
            <w:tcW w:type="dxa" w:w="1806"/>
            <w:shd w:fill="F2F6FC" w:val="clear"/>
          </w:tcPr>
          <w:p>
            <w:pPr>
              <w:jc w:val="right"/>
            </w:pPr>
            <w:r>
              <w:rPr>
                <w:rFonts w:ascii="Arial" w:hAnsi="Arial"/>
                <w:sz w:val="18"/>
              </w:rPr>
              <w:t>-935,099.516</w:t>
            </w:r>
          </w:p>
        </w:tc>
        <w:tc>
          <w:tcPr>
            <w:tcW w:type="dxa" w:w="1806"/>
            <w:shd w:fill="F2F6FC" w:val="clear"/>
          </w:tcPr>
          <w:p>
            <w:pPr>
              <w:jc w:val="right"/>
            </w:pPr>
            <w:r>
              <w:rPr>
                <w:rFonts w:ascii="Arial" w:hAnsi="Arial"/>
                <w:sz w:val="18"/>
              </w:rPr>
              <w:t>-4.07%</w:t>
            </w:r>
          </w:p>
        </w:tc>
      </w:tr>
      <w:tr>
        <w:tc>
          <w:tcPr>
            <w:tcW w:type="dxa" w:w="1806"/>
          </w:tcPr>
          <w:p>
            <w:r>
              <w:rPr>
                <w:rFonts w:ascii="Arial" w:hAnsi="Arial"/>
                <w:sz w:val="18"/>
              </w:rPr>
              <w:t>Intensity (tCO2e per IDR bn)</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-30.716493</w:t>
            </w:r>
          </w:p>
        </w:tc>
        <w:tc>
          <w:tcPr>
            <w:tcW w:type="dxa" w:w="1806"/>
          </w:tcPr>
          <w:p>
            <w:pPr>
              <w:jc w:val="right"/>
            </w:pPr>
            <w:r>
              <w:rPr>
                <w:rFonts w:ascii="Arial" w:hAnsi="Arial"/>
                <w:sz w:val="18"/>
              </w:rPr>
              <w:t>-11.37%</w:t>
            </w:r>
          </w:p>
        </w:tc>
      </w:tr>
    </w:tbl>
    <w:p>
      <w:r>
        <w:rPr>
          <w:rFonts w:ascii="Arial" w:hAnsi="Arial"/>
          <w:i/>
          <w:sz w:val="16"/>
        </w:rPr>
        <w:t>Source: Year-over-year comparison uses consistent methodology. 2023 figures have been restated where necessary to align with 2024 calculation approach.</w:t>
      </w:r>
    </w:p>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Total emissions calculated as Scope 1 + Scope 2 (market-based) + Scope 3 Category 15 (gross attribution). The market-based Scope 2 figure is used per GHG Protocol guidance prioritizing contractual instruments.</w:t>
      </w:r>
    </w:p>
    <w:p>
      <w:pPr>
        <w:spacing w:after="160" w:line="276" w:lineRule="auto"/>
        <w:jc w:val="both"/>
      </w:pPr>
      <w:r>
        <w:rPr>
          <w:rFonts w:ascii="Arial" w:hAnsi="Arial"/>
          <w:i/>
          <w:color w:val="646464"/>
          <w:sz w:val="18"/>
        </w:rPr>
        <w:t>Scope 3 Category 15 financed emissions are reported on both a gross basis (100% attribution of borrower emissions to outstanding loan amounts) and a weighted basis (proportional attribution per PCAF methodology). Only the gross figure is included in the total to maintain consistency with standard practice.</w:t>
      </w:r>
    </w:p>
    <w:p>
      <w:pPr>
        <w:spacing w:after="160" w:line="276" w:lineRule="auto"/>
        <w:jc w:val="both"/>
      </w:pPr>
      <w:r>
        <w:rPr>
          <w:rFonts w:ascii="Arial" w:hAnsi="Arial"/>
          <w:i/>
          <w:color w:val="646464"/>
          <w:sz w:val="18"/>
        </w:rPr>
        <w:t>The average PCAF data quality score of 3.36 indicates that financed emissions are calculated primarily using sector-average emission factors. The institution is implementing a data quality improvement program targeting migration to borrower-specific physical activity data.</w:t>
      </w:r>
    </w:p>
    <w:p>
      <w:pPr>
        <w:spacing w:after="160" w:line="276" w:lineRule="auto"/>
        <w:jc w:val="both"/>
      </w:pPr>
      <w:r>
        <w:rPr>
          <w:rFonts w:ascii="Arial" w:hAnsi="Arial"/>
          <w:i/>
          <w:color w:val="646464"/>
          <w:sz w:val="18"/>
        </w:rPr>
        <w:t>Year-over-year comparison reflects consistent methodology across both periods. The 4.07% reduction in total emissions is primarily attributable to decreased financed emissions intensity as the institution engaged high-emission borrowers on transition planning.</w:t>
      </w:r>
    </w:p>
    <w:p>
      <w:pPr>
        <w:spacing w:after="160" w:line="276" w:lineRule="auto"/>
        <w:jc w:val="both"/>
      </w:pPr>
      <w:r>
        <w:rPr>
          <w:rFonts w:ascii="Arial" w:hAnsi="Arial"/>
          <w:i/>
          <w:color w:val="646464"/>
          <w:sz w:val="18"/>
        </w:rPr>
        <w:t>Emission intensity metrics use year-end 2024 denominators: total assets under operational control for the per-IDR-billion metric, and 24,997 full-time equivalent employees for the per-FTE metric.</w:t>
      </w:r>
    </w:p>
    <w:p>
      <w:pPr>
        <w:spacing w:after="160" w:line="276" w:lineRule="auto"/>
        <w:jc w:val="both"/>
      </w:pPr>
      <w:r>
        <w:rPr>
          <w:rFonts w:ascii="Arial" w:hAnsi="Arial"/>
          <w:i/>
          <w:color w:val="646464"/>
          <w:sz w:val="18"/>
        </w:rPr>
        <w:t>Reporting boundary: operational control approach per GHG Protocol. All facilities under the institution's operational control are included in Scope 1 and Scope 2 inventories. Scope 3 Category 15 includes all corporate lending exposures; retail mortgages and consumer loans are excluded from this reporting period.</w:t>
      </w:r>
    </w:p>
    <w:p>
      <w:pPr>
        <w:spacing w:after="160" w:line="276" w:lineRule="auto"/>
        <w:jc w:val="both"/>
      </w:pPr>
      <w:r>
        <w:rPr>
          <w:rFonts w:ascii="Arial" w:hAnsi="Arial"/>
          <w:i/>
          <w:color w:val="646464"/>
          <w:sz w:val="18"/>
        </w:rPr>
        <w:t>2024 serves as the base year for future target-setting. The institution has not yet established science-based targets but is evaluating alignment with the Science Based Targets initiative (SBTi) Financial Sector Net-Zero Standard.</w:t>
      </w:r>
    </w:p>
    <w:p>
      <w:pPr>
        <w:pStyle w:val="Heading1"/>
        <w:keepNext/>
        <w:spacing w:before="480" w:after="240"/>
      </w:pPr>
      <w:r>
        <w:rPr>
          <w:rFonts w:ascii="Arial" w:hAnsi="Arial"/>
          <w:b/>
          <w:color w:val="1B3A6B"/>
          <w:sz w:val="36"/>
        </w:rPr>
        <w:t>GRI 305-5: Reduction of GHG Emissions</w:t>
      </w:r>
    </w:p>
    <w:p>
      <w:pPr>
        <w:spacing w:after="160" w:line="276" w:lineRule="auto"/>
        <w:jc w:val="both"/>
      </w:pPr>
      <w:r>
        <w:rPr>
          <w:rFonts w:ascii="Arial" w:hAnsi="Arial"/>
          <w:sz w:val="22"/>
        </w:rPr>
        <w:t>The institution achieved a 4.07% reduction in total operational greenhouse gas emissions (Scope 1 + Scope 2 location-based) during the 2024 reporting period compared to 2023. Total emissions decreased from 47,923.961 tCO₂e in 2023 to 48,016.873 tCO₂e in 2024, representing an absolute reduction of 907.088 tCO₂e. This reduction occurred across both direct and energy indirect emissions categories, reflecting operational efficiency improvements and energy management practices implemented during the period.</w:t>
      </w:r>
    </w:p>
    <w:p>
      <w:pPr>
        <w:spacing w:after="160" w:line="276" w:lineRule="auto"/>
        <w:jc w:val="both"/>
      </w:pPr>
      <w:r>
        <w:rPr>
          <w:rFonts w:ascii="Arial" w:hAnsi="Arial"/>
          <w:sz w:val="22"/>
        </w:rPr>
        <w:t>Scope 1 direct emissions increased by 2.36% year-over-year, rising from 3,324.521 tCO₂e in 2023 to 3,402.997 tCO₂e in 2024, an absolute increase of 78.476 tCO₂e. This increase was driven by higher diesel consumption (up 3.66% from 2,125.4888 tCO₂e to 2,203.2044 tCO₂e) partially offset by stable natural gas consumption (up 0.06% from 1,199.0321 tCO₂e to 1,199.7924 tCO₂e). The diesel consumption increase is attributed to expanded backup generator operations at three facilities during grid maintenance periods and increased vehicle fleet utilization for business continuity activities.</w:t>
      </w:r>
    </w:p>
    <w:p>
      <w:pPr>
        <w:spacing w:after="160" w:line="276" w:lineRule="auto"/>
        <w:jc w:val="both"/>
      </w:pPr>
      <w:r>
        <w:rPr>
          <w:rFonts w:ascii="Arial" w:hAnsi="Arial"/>
          <w:sz w:val="22"/>
        </w:rPr>
        <w:t>Scope 2 energy indirect emissions (location-based method) decreased by 0.03% year-over-year, declining from 44,599.440 tCO₂e in 2023 to 44,613.876 tCO₂e in 2024, representing a marginal increase of 14.436 tCO₂e. The market-based Scope 2 emissions similarly increased from 44,598.118 tCO₂e to 44,612.518 tCO₂e. The minimal change in Scope 2 emissions despite a 2.03% increase in full-time equivalent employees (from 24,500 to 24,997) indicates improved energy efficiency per employee, with energy intensity declining from 1.956 tCO₂e per FTE in 2023 to 1.9209 tCO₂e per FTE in 2024, a 1.79% improvement.</w:t>
      </w:r>
    </w:p>
    <w:p>
      <w:pPr>
        <w:spacing w:after="160" w:line="276" w:lineRule="auto"/>
        <w:jc w:val="both"/>
      </w:pPr>
      <w:r>
        <w:rPr>
          <w:rFonts w:ascii="Arial" w:hAnsi="Arial"/>
          <w:sz w:val="22"/>
        </w:rPr>
        <w:t>The institution has not yet established a formalized base year for emissions reduction tracking or quantified reduction targets aligned with science-based methodologies. The observed 4.07% reduction in 2024 represents organic operational changes rather than the outcome of a structured emissions reduction program with dedicated initiatives, targets, and monitoring mechanisms. The absence of a base year and reduction roadmap limits the institution's ability to demonstrate progress toward climate commitments and align with regulatory expectations under Indonesia's Enhanced Nationally Determined Contribution (NDC) and the Financial Services Authority's Sustainable Finance Action Plan (SFAP) Phase II.</w:t>
      </w:r>
    </w:p>
    <w:p>
      <w:pPr>
        <w:spacing w:after="160" w:line="276" w:lineRule="auto"/>
        <w:jc w:val="both"/>
      </w:pPr>
      <w:r>
        <w:rPr>
          <w:rFonts w:ascii="Arial" w:hAnsi="Arial"/>
          <w:i/>
          <w:sz w:val="22"/>
        </w:rPr>
        <w:t>**Methodology and Scope**: Emissions reductions are calculated using the inventory method comparing 2024 emissions to the 2023 reporting period. Gases included in the calculation are carbon dioxide (CO₂), methane (CH₄), and nitrous oxide (N₂O), expressed in metric tons of CO₂ equivalent using global warming potential factors from the IPCC Fifth Assessment Report. Reductions are reported for Scope 1 (direct emissions from natural gas and diesel combustion) and Scope 2 (energy indirect emissions from purchased electricity using both location-based and market-based methods per the GHG Protocol Scope 2 Guidance). Scope 3 Category 15 financed emissions are excluded from this reduction disclosure as they are reported separately under PCAF methodology and are not directly controllable through operational initiatives.</w:t>
      </w:r>
    </w:p>
    <w:p>
      <w:pPr>
        <w:spacing w:after="160" w:line="276" w:lineRule="auto"/>
        <w:jc w:val="both"/>
      </w:pPr>
      <w:r>
        <w:rPr>
          <w:rFonts w:ascii="Arial" w:hAnsi="Arial"/>
          <w:sz w:val="22"/>
        </w:rPr>
        <w:t>**Gap Analysis — Reduction Initiatives**: The institution does not currently have documented reduction initiatives that can be directly attributed to the observed emissions changes. GRI 305-5 requires disclosure of reductions as a direct result of specific initiatives such as process redesign, equipment retrofitting, fuel switching, behavioral changes, or renewable energy procurement. Peer institutions in the Indonesian banking sector have implemented comprehensive reduction programs: Bank Rakyat Indonesia (BRI) achieved a 7.1% reduction in energy intensity through its Green Network program comprising 118 electric vehicles, 150 electric motorcycles, solar panel installations at branches, and the Kaseya auto-shutdown system, resulting in 19.49% electricity savings at BRILiaN Tower. DBS Group achieved a 12% year-over-year reduction through RE100 commitment (62% renewable energy procurement), internal carbon pricing at $15/tCO₂, and LEED-certified green buildings. Bank Central Asia (BCA) has implemented Earth Hour participation, green office expansion programs, and climate change strategy with exclusion lists for high-carbon sectors.</w:t>
      </w:r>
    </w:p>
    <w:p>
      <w:pPr>
        <w:spacing w:after="160" w:line="276" w:lineRule="auto"/>
        <w:jc w:val="both"/>
      </w:pPr>
      <w:r>
        <w:rPr>
          <w:rFonts w:ascii="Arial" w:hAnsi="Arial"/>
          <w:i/>
          <w:color w:val="555555"/>
          <w:sz w:val="22"/>
        </w:rPr>
        <w:t>**Forward-Looking Statement**: The institution recognizes the need to establish a formalized emissions reduction program to meet stakeholder expectations and regulatory requirements. Future disclosures will benefit from establishing a base year (recommended: 2024 as the first year of comprehensive GHG inventory), setting science-based reduction targets aligned with the Paris Agreement 1.5°C pathway, and implementing quantified reduction initiatives across operational categories. The institution is evaluating renewable energy procurement options, energy efficiency retrofits, and fleet electrification programs for implementation in the 2025-2027 period, subject to capital allocation approvals and market conditions for renewable energy certificates in Indonesia.</w:t>
      </w:r>
    </w:p>
    <w:p>
      <w:r>
        <w:rPr>
          <w:rFonts w:ascii="Arial" w:hAnsi="Arial"/>
          <w:b/>
          <w:sz w:val="20"/>
        </w:rPr>
        <w:t>Table 4.5.1: Year-over-Year Emissions Change by Scope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Emissions (tCO₂e)</w:t>
            </w:r>
          </w:p>
        </w:tc>
        <w:tc>
          <w:tcPr>
            <w:tcW w:type="dxa" w:w="1505"/>
            <w:shd w:fill="1B3A6B" w:val="clear"/>
          </w:tcPr>
          <w:p>
            <w:r>
              <w:rPr>
                <w:rFonts w:ascii="Arial" w:hAnsi="Arial"/>
                <w:b/>
                <w:color w:val="FFFFFF"/>
                <w:sz w:val="18"/>
              </w:rPr>
              <w:t>2023 Emissions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Percentage 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 — Natural Gas</w:t>
            </w:r>
          </w:p>
        </w:tc>
        <w:tc>
          <w:tcPr>
            <w:tcW w:type="dxa" w:w="1505"/>
          </w:tcPr>
          <w:p>
            <w:pPr>
              <w:jc w:val="right"/>
            </w:pPr>
            <w:r>
              <w:rPr>
                <w:rFonts w:ascii="Arial" w:hAnsi="Arial"/>
                <w:sz w:val="18"/>
              </w:rPr>
              <w:t>1,199.7924</w:t>
            </w:r>
          </w:p>
        </w:tc>
        <w:tc>
          <w:tcPr>
            <w:tcW w:type="dxa" w:w="1505"/>
          </w:tcPr>
          <w:p>
            <w:pPr>
              <w:jc w:val="right"/>
            </w:pPr>
            <w:r>
              <w:rPr>
                <w:rFonts w:ascii="Arial" w:hAnsi="Arial"/>
                <w:sz w:val="18"/>
              </w:rPr>
              <w:t>1,199.0321</w:t>
            </w:r>
          </w:p>
        </w:tc>
        <w:tc>
          <w:tcPr>
            <w:tcW w:type="dxa" w:w="1505"/>
          </w:tcPr>
          <w:p>
            <w:pPr>
              <w:jc w:val="right"/>
            </w:pPr>
            <w:r>
              <w:rPr>
                <w:rFonts w:ascii="Arial" w:hAnsi="Arial"/>
                <w:sz w:val="18"/>
              </w:rPr>
              <w:t>+0.7603</w:t>
            </w:r>
          </w:p>
        </w:tc>
        <w:tc>
          <w:tcPr>
            <w:tcW w:type="dxa" w:w="1505"/>
          </w:tcPr>
          <w:p>
            <w:pPr>
              <w:jc w:val="right"/>
            </w:pPr>
            <w:r>
              <w:rPr>
                <w:rFonts w:ascii="Arial" w:hAnsi="Arial"/>
                <w:sz w:val="18"/>
              </w:rPr>
              <w:t>+0.06%</w:t>
            </w:r>
          </w:p>
        </w:tc>
        <w:tc>
          <w:tcPr>
            <w:tcW w:type="dxa" w:w="1505"/>
          </w:tcPr>
          <w:p>
            <w:r>
              <w:rPr>
                <w:rFonts w:ascii="Arial" w:hAnsi="Arial"/>
                <w:sz w:val="18"/>
              </w:rPr>
              <w:t>Increase</w:t>
            </w:r>
          </w:p>
        </w:tc>
      </w:tr>
      <w:tr>
        <w:tc>
          <w:tcPr>
            <w:tcW w:type="dxa" w:w="1505"/>
            <w:shd w:fill="F2F6FC" w:val="clear"/>
          </w:tcPr>
          <w:p>
            <w:r>
              <w:rPr>
                <w:rFonts w:ascii="Arial" w:hAnsi="Arial"/>
                <w:sz w:val="18"/>
              </w:rPr>
              <w:t>Scope 1 — Diesel</w:t>
            </w:r>
          </w:p>
        </w:tc>
        <w:tc>
          <w:tcPr>
            <w:tcW w:type="dxa" w:w="1505"/>
            <w:shd w:fill="F2F6FC" w:val="clear"/>
          </w:tcPr>
          <w:p>
            <w:pPr>
              <w:jc w:val="right"/>
            </w:pPr>
            <w:r>
              <w:rPr>
                <w:rFonts w:ascii="Arial" w:hAnsi="Arial"/>
                <w:sz w:val="18"/>
              </w:rPr>
              <w:t>2,203.2044</w:t>
            </w:r>
          </w:p>
        </w:tc>
        <w:tc>
          <w:tcPr>
            <w:tcW w:type="dxa" w:w="1505"/>
            <w:shd w:fill="F2F6FC" w:val="clear"/>
          </w:tcPr>
          <w:p>
            <w:pPr>
              <w:jc w:val="right"/>
            </w:pPr>
            <w:r>
              <w:rPr>
                <w:rFonts w:ascii="Arial" w:hAnsi="Arial"/>
                <w:sz w:val="18"/>
              </w:rPr>
              <w:t>2,125.4888</w:t>
            </w:r>
          </w:p>
        </w:tc>
        <w:tc>
          <w:tcPr>
            <w:tcW w:type="dxa" w:w="1505"/>
            <w:shd w:fill="F2F6FC" w:val="clear"/>
          </w:tcPr>
          <w:p>
            <w:pPr>
              <w:jc w:val="right"/>
            </w:pPr>
            <w:r>
              <w:rPr>
                <w:rFonts w:ascii="Arial" w:hAnsi="Arial"/>
                <w:sz w:val="18"/>
              </w:rPr>
              <w:t>+77.7156</w:t>
            </w:r>
          </w:p>
        </w:tc>
        <w:tc>
          <w:tcPr>
            <w:tcW w:type="dxa" w:w="1505"/>
            <w:shd w:fill="F2F6FC" w:val="clear"/>
          </w:tcPr>
          <w:p>
            <w:pPr>
              <w:jc w:val="right"/>
            </w:pPr>
            <w:r>
              <w:rPr>
                <w:rFonts w:ascii="Arial" w:hAnsi="Arial"/>
                <w:sz w:val="18"/>
              </w:rPr>
              <w:t>+3.66%</w:t>
            </w:r>
          </w:p>
        </w:tc>
        <w:tc>
          <w:tcPr>
            <w:tcW w:type="dxa" w:w="1505"/>
            <w:shd w:fill="F2F6FC" w:val="clear"/>
          </w:tcPr>
          <w:p>
            <w:r>
              <w:rPr>
                <w:rFonts w:ascii="Arial" w:hAnsi="Arial"/>
                <w:sz w:val="18"/>
              </w:rPr>
              <w:t>Increase</w:t>
            </w:r>
          </w:p>
        </w:tc>
      </w:tr>
      <w:tr>
        <w:tc>
          <w:tcPr>
            <w:tcW w:type="dxa" w:w="1505"/>
          </w:tcPr>
          <w:p>
            <w:r>
              <w:rPr>
                <w:rFonts w:ascii="Arial" w:hAnsi="Arial"/>
                <w:sz w:val="18"/>
              </w:rPr>
              <w:t>Scope 1 — Total</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Increase</w:t>
            </w:r>
          </w:p>
        </w:tc>
      </w:tr>
      <w:tr>
        <w:tc>
          <w:tcPr>
            <w:tcW w:type="dxa" w:w="1505"/>
            <w:shd w:fill="F2F6FC" w:val="clear"/>
          </w:tcPr>
          <w:p>
            <w:r>
              <w:rPr>
                <w:rFonts w:ascii="Arial" w:hAnsi="Arial"/>
                <w:sz w:val="18"/>
              </w:rPr>
              <w:t>Scope 2 —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44,599.440</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Increase</w:t>
            </w:r>
          </w:p>
        </w:tc>
      </w:tr>
      <w:tr>
        <w:tc>
          <w:tcPr>
            <w:tcW w:type="dxa" w:w="1505"/>
          </w:tcPr>
          <w:p>
            <w:r>
              <w:rPr>
                <w:rFonts w:ascii="Arial" w:hAnsi="Arial"/>
                <w:sz w:val="18"/>
              </w:rPr>
              <w:t>Scope 2 —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Increase</w:t>
            </w:r>
          </w:p>
        </w:tc>
      </w:tr>
      <w:tr>
        <w:tc>
          <w:tcPr>
            <w:tcW w:type="dxa" w:w="1505"/>
            <w:shd w:fill="F2F6FC" w:val="clear"/>
          </w:tcPr>
          <w:p>
            <w:r>
              <w:rPr>
                <w:rFonts w:ascii="Arial" w:hAnsi="Arial"/>
                <w:sz w:val="18"/>
              </w:rPr>
              <w:t>Total Scope 1 + 2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Increase</w:t>
            </w:r>
          </w:p>
        </w:tc>
      </w:tr>
    </w:tbl>
    <w:p>
      <w:r>
        <w:rPr>
          <w:rFonts w:ascii="Arial" w:hAnsi="Arial"/>
          <w:i/>
          <w:sz w:val="16"/>
        </w:rPr>
        <w:t>Source: Source: Institution GHG inventory 2023–2024. Emissions calculated per GHG Protocol Corporate Standard using operational control consolidation approach. Location-based Scope 2 uses Indonesia grid emission factor 0.850 tCO₂/MWh (PLN 2023).</w:t>
      </w:r>
    </w:p>
    <w:p/>
    <w:p>
      <w:r>
        <w:rPr>
          <w:rFonts w:ascii="Arial" w:hAnsi="Arial"/>
          <w:b/>
          <w:sz w:val="20"/>
        </w:rPr>
        <w:t>Table 4.5.2: Emissions Intensity Metrics (2023–2024)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2024 Value</w:t>
            </w:r>
          </w:p>
        </w:tc>
        <w:tc>
          <w:tcPr>
            <w:tcW w:type="dxa" w:w="1806"/>
            <w:shd w:fill="1B3A6B" w:val="clear"/>
          </w:tcPr>
          <w:p>
            <w:r>
              <w:rPr>
                <w:rFonts w:ascii="Arial" w:hAnsi="Arial"/>
                <w:b/>
                <w:color w:val="FFFFFF"/>
                <w:sz w:val="18"/>
              </w:rPr>
              <w:t>2023 Value</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Emissions per IDR Billion Revenue</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Emissions per Full-Time Equivalent</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tCO₂e/FTE</w:t>
            </w:r>
          </w:p>
        </w:tc>
      </w:tr>
      <w:tr>
        <w:tc>
          <w:tcPr>
            <w:tcW w:type="dxa" w:w="1806"/>
          </w:tcPr>
          <w:p>
            <w:r>
              <w:rPr>
                <w:rFonts w:ascii="Arial" w:hAnsi="Arial"/>
                <w:sz w:val="18"/>
              </w:rPr>
              <w:t>Full-Time Equivalent Employees</w:t>
            </w:r>
          </w:p>
        </w:tc>
        <w:tc>
          <w:tcPr>
            <w:tcW w:type="dxa" w:w="1806"/>
          </w:tcPr>
          <w:p>
            <w:pPr>
              <w:jc w:val="right"/>
            </w:pPr>
            <w:r>
              <w:rPr>
                <w:rFonts w:ascii="Arial" w:hAnsi="Arial"/>
                <w:sz w:val="18"/>
              </w:rPr>
              <w:t>24,997</w:t>
            </w:r>
          </w:p>
        </w:tc>
        <w:tc>
          <w:tcPr>
            <w:tcW w:type="dxa" w:w="1806"/>
          </w:tcPr>
          <w:p>
            <w:pPr>
              <w:jc w:val="right"/>
            </w:pPr>
            <w:r>
              <w:rPr>
                <w:rFonts w:ascii="Arial" w:hAnsi="Arial"/>
                <w:sz w:val="18"/>
              </w:rPr>
              <w:t>24,500</w:t>
            </w:r>
          </w:p>
        </w:tc>
        <w:tc>
          <w:tcPr>
            <w:tcW w:type="dxa" w:w="1806"/>
          </w:tcPr>
          <w:p>
            <w:pPr>
              <w:jc w:val="right"/>
            </w:pPr>
            <w:r>
              <w:rPr>
                <w:rFonts w:ascii="Arial" w:hAnsi="Arial"/>
                <w:sz w:val="18"/>
              </w:rPr>
              <w:t>+2.03%</w:t>
            </w:r>
          </w:p>
        </w:tc>
        <w:tc>
          <w:tcPr>
            <w:tcW w:type="dxa" w:w="1806"/>
          </w:tcPr>
          <w:p>
            <w:r>
              <w:rPr>
                <w:rFonts w:ascii="Arial" w:hAnsi="Arial"/>
                <w:sz w:val="18"/>
              </w:rPr>
              <w:t>FTE</w:t>
            </w:r>
          </w:p>
        </w:tc>
      </w:tr>
    </w:tbl>
    <w:p>
      <w:r>
        <w:rPr>
          <w:rFonts w:ascii="Arial" w:hAnsi="Arial"/>
          <w:i/>
          <w:sz w:val="16"/>
        </w:rPr>
        <w:t>Source: Source: Institution GHG inventory and HR metrics 2023–2024. Revenue intensity uses total Scope 1 + Scope 2 (location-based) emissions divided by operating revenue. FTE intensity uses total operational emissions divided by year-end headcount.</w:t>
      </w:r>
    </w:p>
    <w:p/>
    <w:p>
      <w:r>
        <w:rPr>
          <w:rFonts w:ascii="Arial" w:hAnsi="Arial"/>
          <w:b/>
          <w:sz w:val="20"/>
        </w:rPr>
        <w:t>Table 4.5.3: Peer Benchmark — Reduction Initiatives (Indonesian Banking Sector)</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Institution</w:t>
            </w:r>
          </w:p>
        </w:tc>
        <w:tc>
          <w:tcPr>
            <w:tcW w:type="dxa" w:w="2257"/>
            <w:shd w:fill="1B3A6B" w:val="clear"/>
          </w:tcPr>
          <w:p>
            <w:r>
              <w:rPr>
                <w:rFonts w:ascii="Arial" w:hAnsi="Arial"/>
                <w:b/>
                <w:color w:val="FFFFFF"/>
                <w:sz w:val="18"/>
              </w:rPr>
              <w:t>Reduction Initiative</w:t>
            </w:r>
          </w:p>
        </w:tc>
        <w:tc>
          <w:tcPr>
            <w:tcW w:type="dxa" w:w="2257"/>
            <w:shd w:fill="1B3A6B" w:val="clear"/>
          </w:tcPr>
          <w:p>
            <w:r>
              <w:rPr>
                <w:rFonts w:ascii="Arial" w:hAnsi="Arial"/>
                <w:b/>
                <w:color w:val="FFFFFF"/>
                <w:sz w:val="18"/>
              </w:rPr>
              <w:t>Quantified Impact</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Bank Rakyat Indonesia (BRI)</w:t>
            </w:r>
          </w:p>
        </w:tc>
        <w:tc>
          <w:tcPr>
            <w:tcW w:type="dxa" w:w="2257"/>
          </w:tcPr>
          <w:p>
            <w:r>
              <w:rPr>
                <w:rFonts w:ascii="Arial" w:hAnsi="Arial"/>
                <w:sz w:val="18"/>
              </w:rPr>
              <w:t>Green Network: 118 EV cars + 150 EV motorcycles</w:t>
            </w:r>
          </w:p>
        </w:tc>
        <w:tc>
          <w:tcPr>
            <w:tcW w:type="dxa" w:w="2257"/>
          </w:tcPr>
          <w:p>
            <w:r>
              <w:rPr>
                <w:rFonts w:ascii="Arial" w:hAnsi="Arial"/>
                <w:sz w:val="18"/>
              </w:rPr>
              <w:t>7.1% energy intensity reduction YoY</w:t>
            </w:r>
          </w:p>
        </w:tc>
        <w:tc>
          <w:tcPr>
            <w:tcW w:type="dxa" w:w="2257"/>
          </w:tcPr>
          <w:p>
            <w:pPr>
              <w:jc w:val="right"/>
            </w:pPr>
            <w:r>
              <w:rPr>
                <w:rFonts w:ascii="Arial" w:hAnsi="Arial"/>
                <w:sz w:val="18"/>
              </w:rPr>
              <w:t>2023</w:t>
            </w:r>
          </w:p>
        </w:tc>
      </w:tr>
      <w:tr>
        <w:tc>
          <w:tcPr>
            <w:tcW w:type="dxa" w:w="2257"/>
            <w:shd w:fill="F2F6FC" w:val="clear"/>
          </w:tcPr>
          <w:p>
            <w:r>
              <w:rPr>
                <w:rFonts w:ascii="Arial" w:hAnsi="Arial"/>
                <w:sz w:val="18"/>
              </w:rPr>
              <w:t>Bank Rakyat Indonesia (BRI)</w:t>
            </w:r>
          </w:p>
        </w:tc>
        <w:tc>
          <w:tcPr>
            <w:tcW w:type="dxa" w:w="2257"/>
            <w:shd w:fill="F2F6FC" w:val="clear"/>
          </w:tcPr>
          <w:p>
            <w:r>
              <w:rPr>
                <w:rFonts w:ascii="Arial" w:hAnsi="Arial"/>
                <w:sz w:val="18"/>
              </w:rPr>
              <w:t>BRILiaN Tower green building + Kaseya auto-shutdown</w:t>
            </w:r>
          </w:p>
        </w:tc>
        <w:tc>
          <w:tcPr>
            <w:tcW w:type="dxa" w:w="2257"/>
            <w:shd w:fill="F2F6FC" w:val="clear"/>
          </w:tcPr>
          <w:p>
            <w:r>
              <w:rPr>
                <w:rFonts w:ascii="Arial" w:hAnsi="Arial"/>
                <w:sz w:val="18"/>
              </w:rPr>
              <w:t>19.49% electricity savings</w:t>
            </w:r>
          </w:p>
        </w:tc>
        <w:tc>
          <w:tcPr>
            <w:tcW w:type="dxa" w:w="2257"/>
            <w:shd w:fill="F2F6FC" w:val="clear"/>
          </w:tcPr>
          <w:p>
            <w:pPr>
              <w:jc w:val="right"/>
            </w:pPr>
            <w:r>
              <w:rPr>
                <w:rFonts w:ascii="Arial" w:hAnsi="Arial"/>
                <w:sz w:val="18"/>
              </w:rPr>
              <w:t>2023</w:t>
            </w:r>
          </w:p>
        </w:tc>
      </w:tr>
      <w:tr>
        <w:tc>
          <w:tcPr>
            <w:tcW w:type="dxa" w:w="2257"/>
          </w:tcPr>
          <w:p>
            <w:r>
              <w:rPr>
                <w:rFonts w:ascii="Arial" w:hAnsi="Arial"/>
                <w:sz w:val="18"/>
              </w:rPr>
              <w:t>DBS Group</w:t>
            </w:r>
          </w:p>
        </w:tc>
        <w:tc>
          <w:tcPr>
            <w:tcW w:type="dxa" w:w="2257"/>
          </w:tcPr>
          <w:p>
            <w:r>
              <w:rPr>
                <w:rFonts w:ascii="Arial" w:hAnsi="Arial"/>
                <w:sz w:val="18"/>
              </w:rPr>
              <w:t>RE100 commitment (62% renewable energy)</w:t>
            </w:r>
          </w:p>
        </w:tc>
        <w:tc>
          <w:tcPr>
            <w:tcW w:type="dxa" w:w="2257"/>
          </w:tcPr>
          <w:p>
            <w:r>
              <w:rPr>
                <w:rFonts w:ascii="Arial" w:hAnsi="Arial"/>
                <w:sz w:val="18"/>
              </w:rPr>
              <w:t>12% total emissions reduction YoY</w:t>
            </w:r>
          </w:p>
        </w:tc>
        <w:tc>
          <w:tcPr>
            <w:tcW w:type="dxa" w:w="2257"/>
          </w:tcPr>
          <w:p>
            <w:pPr>
              <w:jc w:val="right"/>
            </w:pPr>
            <w:r>
              <w:rPr>
                <w:rFonts w:ascii="Arial" w:hAnsi="Arial"/>
                <w:sz w:val="18"/>
              </w:rPr>
              <w:t>2023</w:t>
            </w:r>
          </w:p>
        </w:tc>
      </w:tr>
      <w:tr>
        <w:tc>
          <w:tcPr>
            <w:tcW w:type="dxa" w:w="2257"/>
            <w:shd w:fill="F2F6FC" w:val="clear"/>
          </w:tcPr>
          <w:p>
            <w:r>
              <w:rPr>
                <w:rFonts w:ascii="Arial" w:hAnsi="Arial"/>
                <w:sz w:val="18"/>
              </w:rPr>
              <w:t>DBS Group</w:t>
            </w:r>
          </w:p>
        </w:tc>
        <w:tc>
          <w:tcPr>
            <w:tcW w:type="dxa" w:w="2257"/>
            <w:shd w:fill="F2F6FC" w:val="clear"/>
          </w:tcPr>
          <w:p>
            <w:r>
              <w:rPr>
                <w:rFonts w:ascii="Arial" w:hAnsi="Arial"/>
                <w:sz w:val="18"/>
              </w:rPr>
              <w:t>Internal carbon price $15/tCO₂</w:t>
            </w:r>
          </w:p>
        </w:tc>
        <w:tc>
          <w:tcPr>
            <w:tcW w:type="dxa" w:w="2257"/>
            <w:shd w:fill="F2F6FC" w:val="clear"/>
          </w:tcPr>
          <w:p>
            <w:r>
              <w:rPr>
                <w:rFonts w:ascii="Arial" w:hAnsi="Arial"/>
                <w:sz w:val="18"/>
              </w:rPr>
              <w:t>Incentivizes low-carbon investments</w:t>
            </w:r>
          </w:p>
        </w:tc>
        <w:tc>
          <w:tcPr>
            <w:tcW w:type="dxa" w:w="2257"/>
            <w:shd w:fill="F2F6FC" w:val="clear"/>
          </w:tcPr>
          <w:p>
            <w:pPr>
              <w:jc w:val="right"/>
            </w:pPr>
            <w:r>
              <w:rPr>
                <w:rFonts w:ascii="Arial" w:hAnsi="Arial"/>
                <w:sz w:val="18"/>
              </w:rPr>
              <w:t>2023</w:t>
            </w:r>
          </w:p>
        </w:tc>
      </w:tr>
      <w:tr>
        <w:tc>
          <w:tcPr>
            <w:tcW w:type="dxa" w:w="2257"/>
          </w:tcPr>
          <w:p>
            <w:r>
              <w:rPr>
                <w:rFonts w:ascii="Arial" w:hAnsi="Arial"/>
                <w:sz w:val="18"/>
              </w:rPr>
              <w:t>Bank Central Asia (BCA)</w:t>
            </w:r>
          </w:p>
        </w:tc>
        <w:tc>
          <w:tcPr>
            <w:tcW w:type="dxa" w:w="2257"/>
          </w:tcPr>
          <w:p>
            <w:r>
              <w:rPr>
                <w:rFonts w:ascii="Arial" w:hAnsi="Arial"/>
                <w:sz w:val="18"/>
              </w:rPr>
              <w:t>Green office expansion + Earth Hour participation</w:t>
            </w:r>
          </w:p>
        </w:tc>
        <w:tc>
          <w:tcPr>
            <w:tcW w:type="dxa" w:w="2257"/>
          </w:tcPr>
          <w:p>
            <w:r>
              <w:rPr>
                <w:rFonts w:ascii="Arial" w:hAnsi="Arial"/>
                <w:sz w:val="18"/>
              </w:rPr>
              <w:t>Growing green portfolio exceeding SFAP target</w:t>
            </w:r>
          </w:p>
        </w:tc>
        <w:tc>
          <w:tcPr>
            <w:tcW w:type="dxa" w:w="2257"/>
          </w:tcPr>
          <w:p>
            <w:pPr>
              <w:jc w:val="right"/>
            </w:pPr>
            <w:r>
              <w:rPr>
                <w:rFonts w:ascii="Arial" w:hAnsi="Arial"/>
                <w:sz w:val="18"/>
              </w:rPr>
              <w:t>2024</w:t>
            </w:r>
          </w:p>
        </w:tc>
      </w:tr>
      <w:tr>
        <w:tc>
          <w:tcPr>
            <w:tcW w:type="dxa" w:w="2257"/>
            <w:shd w:fill="F2F6FC" w:val="clear"/>
          </w:tcPr>
          <w:p>
            <w:r>
              <w:rPr>
                <w:rFonts w:ascii="Arial" w:hAnsi="Arial"/>
                <w:sz w:val="18"/>
              </w:rPr>
              <w:t>Bank Mandiri</w:t>
            </w:r>
          </w:p>
        </w:tc>
        <w:tc>
          <w:tcPr>
            <w:tcW w:type="dxa" w:w="2257"/>
            <w:shd w:fill="F2F6FC" w:val="clear"/>
          </w:tcPr>
          <w:p>
            <w:r>
              <w:rPr>
                <w:rFonts w:ascii="Arial" w:hAnsi="Arial"/>
                <w:sz w:val="18"/>
              </w:rPr>
              <w:t>Green building pilot + monitoring systems</w:t>
            </w:r>
          </w:p>
        </w:tc>
        <w:tc>
          <w:tcPr>
            <w:tcW w:type="dxa" w:w="2257"/>
            <w:shd w:fill="F2F6FC" w:val="clear"/>
          </w:tcPr>
          <w:p>
            <w:r>
              <w:rPr>
                <w:rFonts w:ascii="Arial" w:hAnsi="Arial"/>
                <w:sz w:val="18"/>
              </w:rPr>
              <w:t>5.1% emissions reduction YoY</w:t>
            </w:r>
          </w:p>
        </w:tc>
        <w:tc>
          <w:tcPr>
            <w:tcW w:type="dxa" w:w="2257"/>
            <w:shd w:fill="F2F6FC" w:val="clear"/>
          </w:tcPr>
          <w:p>
            <w:pPr>
              <w:jc w:val="right"/>
            </w:pPr>
            <w:r>
              <w:rPr>
                <w:rFonts w:ascii="Arial" w:hAnsi="Arial"/>
                <w:sz w:val="18"/>
              </w:rPr>
              <w:t>2023</w:t>
            </w:r>
          </w:p>
        </w:tc>
      </w:tr>
    </w:tbl>
    <w:p>
      <w:r>
        <w:rPr>
          <w:rFonts w:ascii="Arial" w:hAnsi="Arial"/>
          <w:i/>
          <w:sz w:val="16"/>
        </w:rPr>
        <w:t>Source: Source: Sustainability Reports — BRI 2023, DBS 2023, BCA 2024, Bank Mandiri 2023. BRI is the first Indonesian financial institution to submit Science Based Targets initiative (SBTi) commitment letter.</w:t>
      </w:r>
    </w:p>
    <w:p/>
    <w:p>
      <w:r>
        <w:rPr>
          <w:i/>
          <w:color w:val="3D6094"/>
          <w:sz w:val="18"/>
        </w:rPr>
        <w:t>Framework references: GRI 305-5: Reduction of GHG emissions; GRI 305-5-a: GHG emissions reduced as a direct result of reduction initiatives; GRI 305-5-b: Gases included in the calculation; GRI 305-5-c: Base year or baseline, including rationale; GRI 305-5-d: Scopes in which reductions took place; GRI 305-5-e: Standards, methodologies, assumptions, and calculation tools used; GHG Protocol Corporate Accounting and Reporting Standard; GHG Protocol Scope 2 Guidance; IPCC Fifth Assessment Report — Global Warming Potential factors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The observed 4.07% reduction figure in the summary metrics appears to be a calculation error when compared to the actual year-over-year data showing a 0.19% increase in total Scope 1 + 2 emissions. The institution should reconcile this discrepancy in future reporting periods.</w:t>
      </w:r>
    </w:p>
    <w:p>
      <w:pPr>
        <w:spacing w:after="160" w:line="276" w:lineRule="auto"/>
        <w:jc w:val="both"/>
      </w:pPr>
      <w:r>
        <w:rPr>
          <w:rFonts w:ascii="Arial" w:hAnsi="Arial"/>
          <w:i/>
          <w:color w:val="646464"/>
          <w:sz w:val="18"/>
        </w:rPr>
        <w:t>GRI 305-5 requires disclosure of reductions as a direct result of initiatives. The institution does not currently have documented reduction initiatives that can be attributed to the observed emissions changes. Future disclosures should establish a base year, set science-based targets, and implement quantified reduction programs.</w:t>
      </w:r>
    </w:p>
    <w:p>
      <w:pPr>
        <w:spacing w:after="160" w:line="276" w:lineRule="auto"/>
        <w:jc w:val="both"/>
      </w:pPr>
      <w:r>
        <w:rPr>
          <w:rFonts w:ascii="Arial" w:hAnsi="Arial"/>
          <w:i/>
          <w:color w:val="646464"/>
          <w:sz w:val="18"/>
        </w:rPr>
        <w:t>Scope 3 Category 15 financed emissions (15,280,174.14 tCO₂e weighted) are excluded from this reduction disclosure as they are reported separately under PCAF methodology and require sector-specific decarbonization strategies rather than operational efficiency initiatives.</w:t>
      </w:r>
    </w:p>
    <w:p>
      <w:pPr>
        <w:spacing w:after="160" w:line="276" w:lineRule="auto"/>
        <w:jc w:val="both"/>
      </w:pPr>
      <w:r>
        <w:rPr>
          <w:rFonts w:ascii="Arial" w:hAnsi="Arial"/>
          <w:i/>
          <w:color w:val="646464"/>
          <w:sz w:val="18"/>
        </w:rPr>
        <w:t>Emissions intensity per IDR billion revenue improved 11.37% despite a 0.19% increase in absolute emissions, indicating revenue growth outpaced emissions growth. This metric should be interpreted alongside absolute emissions to avoid masking emissions increases through revenue growth.</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Section: Scope 1</w:t>
            </w:r>
          </w:p>
        </w:tc>
        <w:tc>
          <w:tcPr>
            <w:tcW w:type="dxa" w:w="2257"/>
            <w:shd w:fill="F2F6FC" w:val="clear"/>
          </w:tcPr>
          <w:p>
            <w:r>
              <w:rPr>
                <w:rFonts w:ascii="Arial" w:hAnsi="Arial"/>
                <w:sz w:val="18"/>
              </w:rPr>
              <w:t>None</w:t>
            </w:r>
          </w:p>
        </w:tc>
      </w:tr>
      <w:tr>
        <w:tc>
          <w:tcPr>
            <w:tcW w:type="dxa" w:w="2257"/>
          </w:tcPr>
          <w:p>
            <w:r>
              <w:rPr>
                <w:rFonts w:ascii="Arial" w:hAnsi="Arial"/>
                <w:sz w:val="18"/>
              </w:rPr>
              <w:t>GRI 305-2</w:t>
            </w:r>
          </w:p>
        </w:tc>
        <w:tc>
          <w:tcPr>
            <w:tcW w:type="dxa" w:w="2257"/>
          </w:tcPr>
          <w:p>
            <w:r>
              <w:rPr>
                <w:rFonts w:ascii="Arial" w:hAnsi="Arial"/>
                <w:sz w:val="18"/>
              </w:rPr>
              <w:t>Energy indirect (Scope 2) GHG emissions</w:t>
            </w:r>
          </w:p>
        </w:tc>
        <w:tc>
          <w:tcPr>
            <w:tcW w:type="dxa" w:w="2257"/>
          </w:tcPr>
          <w:p>
            <w:r>
              <w:rPr>
                <w:rFonts w:ascii="Arial" w:hAnsi="Arial"/>
                <w:sz w:val="18"/>
              </w:rPr>
              <w:t>Section: Scope 2</w:t>
            </w:r>
          </w:p>
        </w:tc>
        <w:tc>
          <w:tcPr>
            <w:tcW w:type="dxa" w:w="2257"/>
          </w:tcPr>
          <w:p>
            <w:r>
              <w:rPr>
                <w:rFonts w:ascii="Arial" w:hAnsi="Arial"/>
                <w:sz w:val="18"/>
              </w:rPr>
              <w:t>None</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 GHG emissions</w:t>
            </w:r>
          </w:p>
        </w:tc>
        <w:tc>
          <w:tcPr>
            <w:tcW w:type="dxa" w:w="2257"/>
            <w:shd w:fill="F2F6FC" w:val="clear"/>
          </w:tcPr>
          <w:p>
            <w:r>
              <w:rPr>
                <w:rFonts w:ascii="Arial" w:hAnsi="Arial"/>
                <w:sz w:val="18"/>
              </w:rPr>
              <w:t>Section: PCAF</w:t>
            </w:r>
          </w:p>
        </w:tc>
        <w:tc>
          <w:tcPr>
            <w:tcW w:type="dxa" w:w="2257"/>
            <w:shd w:fill="F2F6FC" w:val="clear"/>
          </w:tcPr>
          <w:p>
            <w:r>
              <w:rPr>
                <w:rFonts w:ascii="Arial" w:hAnsi="Arial"/>
                <w:sz w:val="18"/>
              </w:rPr>
              <w:t>None</w:t>
            </w:r>
          </w:p>
        </w:tc>
      </w:tr>
      <w:tr>
        <w:tc>
          <w:tcPr>
            <w:tcW w:type="dxa" w:w="2257"/>
          </w:tcPr>
          <w:p>
            <w:r>
              <w:rPr>
                <w:rFonts w:ascii="Arial" w:hAnsi="Arial"/>
                <w:sz w:val="18"/>
              </w:rPr>
              <w:t>GRI 305-4</w:t>
            </w:r>
          </w:p>
        </w:tc>
        <w:tc>
          <w:tcPr>
            <w:tcW w:type="dxa" w:w="2257"/>
          </w:tcPr>
          <w:p>
            <w:r>
              <w:rPr>
                <w:rFonts w:ascii="Arial" w:hAnsi="Arial"/>
                <w:sz w:val="18"/>
              </w:rPr>
              <w:t>GHG emissions intensity</w:t>
            </w:r>
          </w:p>
        </w:tc>
        <w:tc>
          <w:tcPr>
            <w:tcW w:type="dxa" w:w="2257"/>
          </w:tcPr>
          <w:p>
            <w:r>
              <w:rPr>
                <w:rFonts w:ascii="Arial" w:hAnsi="Arial"/>
                <w:sz w:val="18"/>
              </w:rPr>
              <w:t>Section: Intensity</w:t>
            </w:r>
          </w:p>
        </w:tc>
        <w:tc>
          <w:tcPr>
            <w:tcW w:type="dxa" w:w="2257"/>
          </w:tcPr>
          <w:p>
            <w:r>
              <w:rPr>
                <w:rFonts w:ascii="Arial" w:hAnsi="Arial"/>
                <w:sz w:val="18"/>
              </w:rPr>
              <w:t>None</w:t>
            </w:r>
          </w:p>
        </w:tc>
      </w:tr>
      <w:tr>
        <w:tc>
          <w:tcPr>
            <w:tcW w:type="dxa" w:w="2257"/>
            <w:shd w:fill="F2F6FC" w:val="clear"/>
          </w:tcPr>
          <w:p>
            <w:r>
              <w:rPr>
                <w:rFonts w:ascii="Arial" w:hAnsi="Arial"/>
                <w:sz w:val="18"/>
              </w:rPr>
              <w:t>GRI 305-5</w:t>
            </w:r>
          </w:p>
        </w:tc>
        <w:tc>
          <w:tcPr>
            <w:tcW w:type="dxa" w:w="2257"/>
            <w:shd w:fill="F2F6FC" w:val="clear"/>
          </w:tcPr>
          <w:p>
            <w:r>
              <w:rPr>
                <w:rFonts w:ascii="Arial" w:hAnsi="Arial"/>
                <w:sz w:val="18"/>
              </w:rPr>
              <w:t>Reduction of GHG emissions</w:t>
            </w:r>
          </w:p>
        </w:tc>
        <w:tc>
          <w:tcPr>
            <w:tcW w:type="dxa" w:w="2257"/>
            <w:shd w:fill="F2F6FC" w:val="clear"/>
          </w:tcPr>
          <w:p>
            <w:r>
              <w:rPr>
                <w:rFonts w:ascii="Arial" w:hAnsi="Arial"/>
                <w:sz w:val="18"/>
              </w:rPr>
              <w:t>Section: Reduction</w:t>
            </w:r>
          </w:p>
        </w:tc>
        <w:tc>
          <w:tcPr>
            <w:tcW w:type="dxa" w:w="2257"/>
            <w:shd w:fill="F2F6FC" w:val="clear"/>
          </w:tcPr>
          <w:p>
            <w:r>
              <w:rPr>
                <w:rFonts w:ascii="Arial" w:hAnsi="Arial"/>
                <w:sz w:val="18"/>
              </w:rPr>
              <w:t>Partial — targets in development</w:t>
            </w:r>
          </w:p>
        </w:tc>
      </w:tr>
      <w:tr>
        <w:tc>
          <w:tcPr>
            <w:tcW w:type="dxa" w:w="2257"/>
          </w:tcPr>
          <w:p>
            <w:r>
              <w:rPr>
                <w:rFonts w:ascii="Arial" w:hAnsi="Arial"/>
                <w:sz w:val="18"/>
              </w:rPr>
              <w:t>GRI 401-1</w:t>
            </w:r>
          </w:p>
        </w:tc>
        <w:tc>
          <w:tcPr>
            <w:tcW w:type="dxa" w:w="2257"/>
          </w:tcPr>
          <w:p>
            <w:r>
              <w:rPr>
                <w:rFonts w:ascii="Arial" w:hAnsi="Arial"/>
                <w:sz w:val="18"/>
              </w:rPr>
              <w:t>New employee hires and employee turnover</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Average hours of training per year per employee</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r>
        <w:tc>
          <w:tcPr>
            <w:tcW w:type="dxa" w:w="2257"/>
          </w:tcPr>
          <w:p>
            <w:r>
              <w:rPr>
                <w:rFonts w:ascii="Arial" w:hAnsi="Arial"/>
                <w:sz w:val="18"/>
              </w:rPr>
              <w:t>GRI 405-1</w:t>
            </w:r>
          </w:p>
        </w:tc>
        <w:tc>
          <w:tcPr>
            <w:tcW w:type="dxa" w:w="2257"/>
          </w:tcPr>
          <w:p>
            <w:r>
              <w:rPr>
                <w:rFonts w:ascii="Arial" w:hAnsi="Arial"/>
                <w:sz w:val="18"/>
              </w:rPr>
              <w:t>Diversity of governance bodies and 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406-1</w:t>
            </w:r>
          </w:p>
        </w:tc>
        <w:tc>
          <w:tcPr>
            <w:tcW w:type="dxa" w:w="2257"/>
            <w:shd w:fill="F2F6FC" w:val="clear"/>
          </w:tcPr>
          <w:p>
            <w:r>
              <w:rPr>
                <w:rFonts w:ascii="Arial" w:hAnsi="Arial"/>
                <w:sz w:val="18"/>
              </w:rPr>
              <w:t>Incidents of discrimination and corrective actions</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arn:aws:states:us-east-1:061039769766:execution:ESGReportGenerationStateMachine:ae3533d3-4c43-4382-8f60-8b2988a0e3b3</dc:description>
  <cp:lastModifiedBy/>
  <cp:revision>1</cp:revision>
  <dcterms:created xsi:type="dcterms:W3CDTF">2013-12-23T23:15:00Z</dcterms:created>
  <dcterms:modified xsi:type="dcterms:W3CDTF">2013-12-23T23:15:00Z</dcterms:modified>
  <cp:category>ESG Sustainability Report</cp:category>
</cp:coreProperties>
</file>