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947B" w14:textId="77777777" w:rsidR="00141B56" w:rsidRDefault="00141B56"/>
    <w:p w14:paraId="40BD2AB8" w14:textId="77777777" w:rsidR="00141B56" w:rsidRDefault="00000000">
      <w:pPr>
        <w:jc w:val="center"/>
      </w:pPr>
      <w:r>
        <w:rPr>
          <w:color w:val="999999"/>
          <w:sz w:val="24"/>
        </w:rPr>
        <w:t>[INSTITUTION LOGO]</w:t>
      </w:r>
    </w:p>
    <w:p w14:paraId="341CAE62" w14:textId="77777777" w:rsidR="00141B56" w:rsidRDefault="00141B56"/>
    <w:p w14:paraId="4B5AC1C3" w14:textId="77777777" w:rsidR="00141B56" w:rsidRDefault="00141B56"/>
    <w:p w14:paraId="73C83FB6" w14:textId="77777777" w:rsidR="00141B56" w:rsidRDefault="00000000">
      <w:pPr>
        <w:pStyle w:val="Heading1"/>
        <w:spacing w:after="240"/>
        <w:jc w:val="center"/>
      </w:pPr>
      <w:bookmarkStart w:id="0" w:name="_Toc231986295"/>
      <w:r>
        <w:rPr>
          <w:rFonts w:ascii="Arial" w:hAnsi="Arial"/>
          <w:color w:val="1B3A6B"/>
          <w:sz w:val="36"/>
        </w:rPr>
        <w:t>ESG Sustainability Report</w:t>
      </w:r>
      <w:bookmarkEnd w:id="0"/>
    </w:p>
    <w:p w14:paraId="64411C35" w14:textId="77777777" w:rsidR="00141B56" w:rsidRDefault="00000000">
      <w:pPr>
        <w:pStyle w:val="Heading2"/>
        <w:spacing w:before="360" w:after="160"/>
        <w:jc w:val="center"/>
      </w:pPr>
      <w:bookmarkStart w:id="1" w:name="_Toc231986296"/>
      <w:r>
        <w:rPr>
          <w:rFonts w:ascii="Arial" w:hAnsi="Arial"/>
          <w:color w:val="3D6094"/>
          <w:sz w:val="28"/>
        </w:rPr>
        <w:t>Reporting Year 2024</w:t>
      </w:r>
      <w:bookmarkEnd w:id="1"/>
    </w:p>
    <w:p w14:paraId="30E3F718" w14:textId="77777777" w:rsidR="00141B56" w:rsidRDefault="00141B56"/>
    <w:p w14:paraId="348B2564" w14:textId="77777777" w:rsidR="00141B56" w:rsidRDefault="00000000">
      <w:pPr>
        <w:jc w:val="center"/>
      </w:pPr>
      <w:r>
        <w:rPr>
          <w:rFonts w:ascii="Arial" w:hAnsi="Arial"/>
        </w:rPr>
        <w:t>Institution: GENERIC_FI_001</w:t>
      </w:r>
    </w:p>
    <w:p w14:paraId="592646B7" w14:textId="77777777" w:rsidR="00141B56" w:rsidRDefault="00000000">
      <w:pPr>
        <w:jc w:val="center"/>
      </w:pPr>
      <w:r>
        <w:rPr>
          <w:rFonts w:ascii="Arial" w:hAnsi="Arial"/>
        </w:rPr>
        <w:t>Framework: MULTI_FRAMEWORK</w:t>
      </w:r>
    </w:p>
    <w:p w14:paraId="2C73CF12" w14:textId="77777777" w:rsidR="00141B56" w:rsidRDefault="00000000">
      <w:pPr>
        <w:jc w:val="center"/>
      </w:pPr>
      <w:r>
        <w:rPr>
          <w:rFonts w:ascii="Arial" w:hAnsi="Arial"/>
        </w:rPr>
        <w:t>Generated: 2026-06-10 04:21 UTC</w:t>
      </w:r>
    </w:p>
    <w:p w14:paraId="71DBB14A" w14:textId="77777777" w:rsidR="00141B56" w:rsidRDefault="00000000">
      <w:pPr>
        <w:jc w:val="center"/>
      </w:pPr>
      <w:r>
        <w:rPr>
          <w:rFonts w:ascii="Arial" w:hAnsi="Arial"/>
        </w:rPr>
        <w:t>Status: DRAFT — Subject to Review</w:t>
      </w:r>
    </w:p>
    <w:p w14:paraId="142D563A" w14:textId="77777777" w:rsidR="00141B56" w:rsidRDefault="00000000">
      <w:pPr>
        <w:jc w:val="center"/>
      </w:pPr>
      <w:r>
        <w:rPr>
          <w:rFonts w:ascii="Arial" w:hAnsi="Arial"/>
        </w:rPr>
        <w:t>Assurance Level: None</w:t>
      </w:r>
    </w:p>
    <w:p w14:paraId="2A51A9BE" w14:textId="77777777" w:rsidR="00141B56" w:rsidRDefault="00141B56"/>
    <w:p w14:paraId="19E99A1E" w14:textId="77777777" w:rsidR="00141B56" w:rsidRDefault="00141B56"/>
    <w:p w14:paraId="31CA3E4D" w14:textId="77777777" w:rsidR="00141B56" w:rsidRDefault="00000000">
      <w:pPr>
        <w:jc w:val="center"/>
      </w:pPr>
      <w:r>
        <w:rPr>
          <w:i/>
          <w:color w:val="993333"/>
          <w:sz w:val="18"/>
        </w:rPr>
        <w:t>CONFIDENTIAL — This document is for internal review purposes only. Do not distribute without authorization.</w:t>
      </w:r>
    </w:p>
    <w:p w14:paraId="36C4DBCD" w14:textId="77777777" w:rsidR="00141B56" w:rsidRDefault="00000000">
      <w:r>
        <w:br w:type="page"/>
      </w:r>
    </w:p>
    <w:p w14:paraId="39311A6B" w14:textId="77777777" w:rsidR="00141B56" w:rsidRDefault="00000000">
      <w:pPr>
        <w:pStyle w:val="Heading1"/>
        <w:spacing w:after="240"/>
      </w:pPr>
      <w:bookmarkStart w:id="2" w:name="_Toc231986297"/>
      <w:r>
        <w:rPr>
          <w:rFonts w:ascii="Arial" w:hAnsi="Arial"/>
          <w:color w:val="1B3A6B"/>
          <w:sz w:val="36"/>
        </w:rPr>
        <w:lastRenderedPageBreak/>
        <w:t>Table of Contents</w:t>
      </w:r>
      <w:bookmarkEnd w:id="2"/>
    </w:p>
    <w:p w14:paraId="2BCF57A2" w14:textId="77777777" w:rsidR="00141B56" w:rsidRDefault="00000000">
      <w:r>
        <w:fldChar w:fldCharType="begin"/>
      </w:r>
      <w:r>
        <w:instrText xml:space="preserve"> TOC \o "1-3" \h \z \u </w:instrText>
      </w:r>
      <w:r>
        <w:fldChar w:fldCharType="end"/>
      </w:r>
    </w:p>
    <w:sdt>
      <w:sdtPr>
        <w:id w:val="17569907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F1BFA6B" w14:textId="4B5133C8" w:rsidR="00B85730" w:rsidRDefault="00B85730">
          <w:pPr>
            <w:pStyle w:val="TOCHeading"/>
          </w:pPr>
          <w:r>
            <w:t>Contents</w:t>
          </w:r>
        </w:p>
        <w:p w14:paraId="63C91E1C" w14:textId="16F90233" w:rsidR="00B85730" w:rsidRDefault="00B85730">
          <w:pPr>
            <w:pStyle w:val="TOC1"/>
            <w:tabs>
              <w:tab w:val="right" w:leader="dot" w:pos="9019"/>
            </w:tabs>
            <w:rPr>
              <w:noProof/>
            </w:rPr>
          </w:pPr>
          <w:r>
            <w:fldChar w:fldCharType="begin"/>
          </w:r>
          <w:r>
            <w:instrText xml:space="preserve"> TOC \o "1-3" \h \z \u </w:instrText>
          </w:r>
          <w:r>
            <w:fldChar w:fldCharType="separate"/>
          </w:r>
          <w:hyperlink w:anchor="_Toc231986295" w:history="1">
            <w:r w:rsidRPr="00577804">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_Toc231986295 \h </w:instrText>
            </w:r>
            <w:r>
              <w:rPr>
                <w:noProof/>
                <w:webHidden/>
              </w:rPr>
            </w:r>
            <w:r>
              <w:rPr>
                <w:noProof/>
                <w:webHidden/>
              </w:rPr>
              <w:fldChar w:fldCharType="separate"/>
            </w:r>
            <w:r>
              <w:rPr>
                <w:noProof/>
                <w:webHidden/>
              </w:rPr>
              <w:t>1</w:t>
            </w:r>
            <w:r>
              <w:rPr>
                <w:noProof/>
                <w:webHidden/>
              </w:rPr>
              <w:fldChar w:fldCharType="end"/>
            </w:r>
          </w:hyperlink>
        </w:p>
        <w:p w14:paraId="35950CE9" w14:textId="57887EFD" w:rsidR="00B85730" w:rsidRDefault="00B85730">
          <w:pPr>
            <w:pStyle w:val="TOC2"/>
            <w:tabs>
              <w:tab w:val="right" w:leader="dot" w:pos="9019"/>
            </w:tabs>
            <w:rPr>
              <w:noProof/>
            </w:rPr>
          </w:pPr>
          <w:hyperlink w:anchor="_Toc231986296" w:history="1">
            <w:r w:rsidRPr="00577804">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_Toc231986296 \h </w:instrText>
            </w:r>
            <w:r>
              <w:rPr>
                <w:noProof/>
                <w:webHidden/>
              </w:rPr>
            </w:r>
            <w:r>
              <w:rPr>
                <w:noProof/>
                <w:webHidden/>
              </w:rPr>
              <w:fldChar w:fldCharType="separate"/>
            </w:r>
            <w:r>
              <w:rPr>
                <w:noProof/>
                <w:webHidden/>
              </w:rPr>
              <w:t>1</w:t>
            </w:r>
            <w:r>
              <w:rPr>
                <w:noProof/>
                <w:webHidden/>
              </w:rPr>
              <w:fldChar w:fldCharType="end"/>
            </w:r>
          </w:hyperlink>
        </w:p>
        <w:p w14:paraId="321D2056" w14:textId="06084493" w:rsidR="00B85730" w:rsidRDefault="00B85730">
          <w:pPr>
            <w:pStyle w:val="TOC1"/>
            <w:tabs>
              <w:tab w:val="right" w:leader="dot" w:pos="9019"/>
            </w:tabs>
            <w:rPr>
              <w:noProof/>
            </w:rPr>
          </w:pPr>
          <w:hyperlink w:anchor="_Toc231986297" w:history="1">
            <w:r w:rsidRPr="00577804">
              <w:rPr>
                <w:rStyle w:val="Hyperlink"/>
                <w:rFonts w:ascii="Arial" w:hAnsi="Arial"/>
                <w:noProof/>
              </w:rPr>
              <w:t>Table of Contents</w:t>
            </w:r>
            <w:r>
              <w:rPr>
                <w:noProof/>
                <w:webHidden/>
              </w:rPr>
              <w:tab/>
            </w:r>
            <w:r>
              <w:rPr>
                <w:noProof/>
                <w:webHidden/>
              </w:rPr>
              <w:fldChar w:fldCharType="begin"/>
            </w:r>
            <w:r>
              <w:rPr>
                <w:noProof/>
                <w:webHidden/>
              </w:rPr>
              <w:instrText xml:space="preserve"> PAGEREF _Toc231986297 \h </w:instrText>
            </w:r>
            <w:r>
              <w:rPr>
                <w:noProof/>
                <w:webHidden/>
              </w:rPr>
            </w:r>
            <w:r>
              <w:rPr>
                <w:noProof/>
                <w:webHidden/>
              </w:rPr>
              <w:fldChar w:fldCharType="separate"/>
            </w:r>
            <w:r>
              <w:rPr>
                <w:noProof/>
                <w:webHidden/>
              </w:rPr>
              <w:t>2</w:t>
            </w:r>
            <w:r>
              <w:rPr>
                <w:noProof/>
                <w:webHidden/>
              </w:rPr>
              <w:fldChar w:fldCharType="end"/>
            </w:r>
          </w:hyperlink>
        </w:p>
        <w:p w14:paraId="226E46FB" w14:textId="2FB22F94" w:rsidR="00B85730" w:rsidRDefault="00B85730">
          <w:pPr>
            <w:pStyle w:val="TOC1"/>
            <w:tabs>
              <w:tab w:val="right" w:leader="dot" w:pos="9019"/>
            </w:tabs>
            <w:rPr>
              <w:noProof/>
            </w:rPr>
          </w:pPr>
          <w:hyperlink w:anchor="_Toc231986298" w:history="1">
            <w:r w:rsidRPr="00577804">
              <w:rPr>
                <w:rStyle w:val="Hyperlink"/>
                <w:rFonts w:ascii="Arial" w:hAnsi="Arial"/>
                <w:noProof/>
              </w:rPr>
              <w:t>Executive Summary</w:t>
            </w:r>
            <w:r>
              <w:rPr>
                <w:noProof/>
                <w:webHidden/>
              </w:rPr>
              <w:tab/>
            </w:r>
            <w:r>
              <w:rPr>
                <w:noProof/>
                <w:webHidden/>
              </w:rPr>
              <w:fldChar w:fldCharType="begin"/>
            </w:r>
            <w:r>
              <w:rPr>
                <w:noProof/>
                <w:webHidden/>
              </w:rPr>
              <w:instrText xml:space="preserve"> PAGEREF _Toc231986298 \h </w:instrText>
            </w:r>
            <w:r>
              <w:rPr>
                <w:noProof/>
                <w:webHidden/>
              </w:rPr>
            </w:r>
            <w:r>
              <w:rPr>
                <w:noProof/>
                <w:webHidden/>
              </w:rPr>
              <w:fldChar w:fldCharType="separate"/>
            </w:r>
            <w:r>
              <w:rPr>
                <w:noProof/>
                <w:webHidden/>
              </w:rPr>
              <w:t>4</w:t>
            </w:r>
            <w:r>
              <w:rPr>
                <w:noProof/>
                <w:webHidden/>
              </w:rPr>
              <w:fldChar w:fldCharType="end"/>
            </w:r>
          </w:hyperlink>
        </w:p>
        <w:p w14:paraId="7BA5C673" w14:textId="372604A6" w:rsidR="00B85730" w:rsidRDefault="00B85730">
          <w:pPr>
            <w:pStyle w:val="TOC1"/>
            <w:tabs>
              <w:tab w:val="right" w:leader="dot" w:pos="9019"/>
            </w:tabs>
            <w:rPr>
              <w:noProof/>
            </w:rPr>
          </w:pPr>
          <w:hyperlink w:anchor="_Toc231986299" w:history="1">
            <w:r w:rsidRPr="00577804">
              <w:rPr>
                <w:rStyle w:val="Hyperlink"/>
                <w:rFonts w:ascii="Arial" w:hAnsi="Arial"/>
                <w:noProof/>
              </w:rPr>
              <w:t>Environmental Performance</w:t>
            </w:r>
            <w:r>
              <w:rPr>
                <w:noProof/>
                <w:webHidden/>
              </w:rPr>
              <w:tab/>
            </w:r>
            <w:r>
              <w:rPr>
                <w:noProof/>
                <w:webHidden/>
              </w:rPr>
              <w:fldChar w:fldCharType="begin"/>
            </w:r>
            <w:r>
              <w:rPr>
                <w:noProof/>
                <w:webHidden/>
              </w:rPr>
              <w:instrText xml:space="preserve"> PAGEREF _Toc231986299 \h </w:instrText>
            </w:r>
            <w:r>
              <w:rPr>
                <w:noProof/>
                <w:webHidden/>
              </w:rPr>
            </w:r>
            <w:r>
              <w:rPr>
                <w:noProof/>
                <w:webHidden/>
              </w:rPr>
              <w:fldChar w:fldCharType="separate"/>
            </w:r>
            <w:r>
              <w:rPr>
                <w:noProof/>
                <w:webHidden/>
              </w:rPr>
              <w:t>6</w:t>
            </w:r>
            <w:r>
              <w:rPr>
                <w:noProof/>
                <w:webHidden/>
              </w:rPr>
              <w:fldChar w:fldCharType="end"/>
            </w:r>
          </w:hyperlink>
        </w:p>
        <w:p w14:paraId="21BB1D9E" w14:textId="6BCE2BFF" w:rsidR="00B85730" w:rsidRDefault="00B85730">
          <w:pPr>
            <w:pStyle w:val="TOC2"/>
            <w:tabs>
              <w:tab w:val="right" w:leader="dot" w:pos="9019"/>
            </w:tabs>
            <w:rPr>
              <w:noProof/>
            </w:rPr>
          </w:pPr>
          <w:hyperlink w:anchor="_Toc231986300" w:history="1">
            <w:r w:rsidRPr="00577804">
              <w:rPr>
                <w:rStyle w:val="Hyperlink"/>
                <w:rFonts w:ascii="Arial" w:hAnsi="Arial"/>
                <w:noProof/>
              </w:rPr>
              <w:t>1.1 Direct GHG Emissions — Scope 1</w:t>
            </w:r>
            <w:r>
              <w:rPr>
                <w:noProof/>
                <w:webHidden/>
              </w:rPr>
              <w:tab/>
            </w:r>
            <w:r>
              <w:rPr>
                <w:noProof/>
                <w:webHidden/>
              </w:rPr>
              <w:fldChar w:fldCharType="begin"/>
            </w:r>
            <w:r>
              <w:rPr>
                <w:noProof/>
                <w:webHidden/>
              </w:rPr>
              <w:instrText xml:space="preserve"> PAGEREF _Toc231986300 \h </w:instrText>
            </w:r>
            <w:r>
              <w:rPr>
                <w:noProof/>
                <w:webHidden/>
              </w:rPr>
            </w:r>
            <w:r>
              <w:rPr>
                <w:noProof/>
                <w:webHidden/>
              </w:rPr>
              <w:fldChar w:fldCharType="separate"/>
            </w:r>
            <w:r>
              <w:rPr>
                <w:noProof/>
                <w:webHidden/>
              </w:rPr>
              <w:t>6</w:t>
            </w:r>
            <w:r>
              <w:rPr>
                <w:noProof/>
                <w:webHidden/>
              </w:rPr>
              <w:fldChar w:fldCharType="end"/>
            </w:r>
          </w:hyperlink>
        </w:p>
        <w:p w14:paraId="226C0959" w14:textId="06E0457B" w:rsidR="00B85730" w:rsidRDefault="00B85730">
          <w:pPr>
            <w:pStyle w:val="TOC2"/>
            <w:tabs>
              <w:tab w:val="right" w:leader="dot" w:pos="9019"/>
            </w:tabs>
            <w:rPr>
              <w:noProof/>
            </w:rPr>
          </w:pPr>
          <w:hyperlink w:anchor="_Toc231986301" w:history="1">
            <w:r w:rsidRPr="00577804">
              <w:rPr>
                <w:rStyle w:val="Hyperlink"/>
                <w:rFonts w:ascii="Arial" w:hAnsi="Arial"/>
                <w:noProof/>
              </w:rPr>
              <w:t>1.2 Energy Indirect GHG Emissions — Scope 2</w:t>
            </w:r>
            <w:r>
              <w:rPr>
                <w:noProof/>
                <w:webHidden/>
              </w:rPr>
              <w:tab/>
            </w:r>
            <w:r>
              <w:rPr>
                <w:noProof/>
                <w:webHidden/>
              </w:rPr>
              <w:fldChar w:fldCharType="begin"/>
            </w:r>
            <w:r>
              <w:rPr>
                <w:noProof/>
                <w:webHidden/>
              </w:rPr>
              <w:instrText xml:space="preserve"> PAGEREF _Toc231986301 \h </w:instrText>
            </w:r>
            <w:r>
              <w:rPr>
                <w:noProof/>
                <w:webHidden/>
              </w:rPr>
            </w:r>
            <w:r>
              <w:rPr>
                <w:noProof/>
                <w:webHidden/>
              </w:rPr>
              <w:fldChar w:fldCharType="separate"/>
            </w:r>
            <w:r>
              <w:rPr>
                <w:noProof/>
                <w:webHidden/>
              </w:rPr>
              <w:t>10</w:t>
            </w:r>
            <w:r>
              <w:rPr>
                <w:noProof/>
                <w:webHidden/>
              </w:rPr>
              <w:fldChar w:fldCharType="end"/>
            </w:r>
          </w:hyperlink>
        </w:p>
        <w:p w14:paraId="25AF51BB" w14:textId="0611391E" w:rsidR="00B85730" w:rsidRDefault="00B85730">
          <w:pPr>
            <w:pStyle w:val="TOC2"/>
            <w:tabs>
              <w:tab w:val="right" w:leader="dot" w:pos="9019"/>
            </w:tabs>
            <w:rPr>
              <w:noProof/>
            </w:rPr>
          </w:pPr>
          <w:hyperlink w:anchor="_Toc231986302" w:history="1">
            <w:r w:rsidRPr="00577804">
              <w:rPr>
                <w:rStyle w:val="Hyperlink"/>
                <w:rFonts w:ascii="Arial" w:hAnsi="Arial"/>
                <w:noProof/>
              </w:rPr>
              <w:t>1.3 Financed Emissions — Scope 3 Category 15</w:t>
            </w:r>
            <w:r>
              <w:rPr>
                <w:noProof/>
                <w:webHidden/>
              </w:rPr>
              <w:tab/>
            </w:r>
            <w:r>
              <w:rPr>
                <w:noProof/>
                <w:webHidden/>
              </w:rPr>
              <w:fldChar w:fldCharType="begin"/>
            </w:r>
            <w:r>
              <w:rPr>
                <w:noProof/>
                <w:webHidden/>
              </w:rPr>
              <w:instrText xml:space="preserve"> PAGEREF _Toc231986302 \h </w:instrText>
            </w:r>
            <w:r>
              <w:rPr>
                <w:noProof/>
                <w:webHidden/>
              </w:rPr>
            </w:r>
            <w:r>
              <w:rPr>
                <w:noProof/>
                <w:webHidden/>
              </w:rPr>
              <w:fldChar w:fldCharType="separate"/>
            </w:r>
            <w:r>
              <w:rPr>
                <w:noProof/>
                <w:webHidden/>
              </w:rPr>
              <w:t>13</w:t>
            </w:r>
            <w:r>
              <w:rPr>
                <w:noProof/>
                <w:webHidden/>
              </w:rPr>
              <w:fldChar w:fldCharType="end"/>
            </w:r>
          </w:hyperlink>
        </w:p>
        <w:p w14:paraId="51DF47D4" w14:textId="7EA08835" w:rsidR="00B85730" w:rsidRDefault="00B85730">
          <w:pPr>
            <w:pStyle w:val="TOC2"/>
            <w:tabs>
              <w:tab w:val="right" w:leader="dot" w:pos="9019"/>
            </w:tabs>
            <w:rPr>
              <w:noProof/>
            </w:rPr>
          </w:pPr>
          <w:hyperlink w:anchor="_Toc231986303" w:history="1">
            <w:r w:rsidRPr="00577804">
              <w:rPr>
                <w:rStyle w:val="Hyperlink"/>
                <w:rFonts w:ascii="Arial" w:hAnsi="Arial"/>
                <w:noProof/>
              </w:rPr>
              <w:t>1.4 GHG Emissions Intensity</w:t>
            </w:r>
            <w:r>
              <w:rPr>
                <w:noProof/>
                <w:webHidden/>
              </w:rPr>
              <w:tab/>
            </w:r>
            <w:r>
              <w:rPr>
                <w:noProof/>
                <w:webHidden/>
              </w:rPr>
              <w:fldChar w:fldCharType="begin"/>
            </w:r>
            <w:r>
              <w:rPr>
                <w:noProof/>
                <w:webHidden/>
              </w:rPr>
              <w:instrText xml:space="preserve"> PAGEREF _Toc231986303 \h </w:instrText>
            </w:r>
            <w:r>
              <w:rPr>
                <w:noProof/>
                <w:webHidden/>
              </w:rPr>
            </w:r>
            <w:r>
              <w:rPr>
                <w:noProof/>
                <w:webHidden/>
              </w:rPr>
              <w:fldChar w:fldCharType="separate"/>
            </w:r>
            <w:r>
              <w:rPr>
                <w:noProof/>
                <w:webHidden/>
              </w:rPr>
              <w:t>16</w:t>
            </w:r>
            <w:r>
              <w:rPr>
                <w:noProof/>
                <w:webHidden/>
              </w:rPr>
              <w:fldChar w:fldCharType="end"/>
            </w:r>
          </w:hyperlink>
        </w:p>
        <w:p w14:paraId="7DD36222" w14:textId="7703C309" w:rsidR="00B85730" w:rsidRDefault="00B85730">
          <w:pPr>
            <w:pStyle w:val="TOC1"/>
            <w:tabs>
              <w:tab w:val="right" w:leader="dot" w:pos="9019"/>
            </w:tabs>
            <w:rPr>
              <w:noProof/>
            </w:rPr>
          </w:pPr>
          <w:hyperlink w:anchor="_Toc231986304" w:history="1">
            <w:r w:rsidRPr="00577804">
              <w:rPr>
                <w:rStyle w:val="Hyperlink"/>
                <w:rFonts w:ascii="Arial" w:hAnsi="Arial"/>
                <w:noProof/>
              </w:rPr>
              <w:t>Social Performance</w:t>
            </w:r>
            <w:r>
              <w:rPr>
                <w:noProof/>
                <w:webHidden/>
              </w:rPr>
              <w:tab/>
            </w:r>
            <w:r>
              <w:rPr>
                <w:noProof/>
                <w:webHidden/>
              </w:rPr>
              <w:fldChar w:fldCharType="begin"/>
            </w:r>
            <w:r>
              <w:rPr>
                <w:noProof/>
                <w:webHidden/>
              </w:rPr>
              <w:instrText xml:space="preserve"> PAGEREF _Toc231986304 \h </w:instrText>
            </w:r>
            <w:r>
              <w:rPr>
                <w:noProof/>
                <w:webHidden/>
              </w:rPr>
            </w:r>
            <w:r>
              <w:rPr>
                <w:noProof/>
                <w:webHidden/>
              </w:rPr>
              <w:fldChar w:fldCharType="separate"/>
            </w:r>
            <w:r>
              <w:rPr>
                <w:noProof/>
                <w:webHidden/>
              </w:rPr>
              <w:t>19</w:t>
            </w:r>
            <w:r>
              <w:rPr>
                <w:noProof/>
                <w:webHidden/>
              </w:rPr>
              <w:fldChar w:fldCharType="end"/>
            </w:r>
          </w:hyperlink>
        </w:p>
        <w:p w14:paraId="3168B58D" w14:textId="4750D9E0" w:rsidR="00B85730" w:rsidRDefault="00B85730">
          <w:pPr>
            <w:pStyle w:val="TOC2"/>
            <w:tabs>
              <w:tab w:val="right" w:leader="dot" w:pos="9019"/>
            </w:tabs>
            <w:rPr>
              <w:noProof/>
            </w:rPr>
          </w:pPr>
          <w:hyperlink w:anchor="_Toc231986305" w:history="1">
            <w:r w:rsidRPr="00577804">
              <w:rPr>
                <w:rStyle w:val="Hyperlink"/>
                <w:rFonts w:ascii="Arial" w:hAnsi="Arial"/>
                <w:noProof/>
              </w:rPr>
              <w:t>2.1 Workforce &amp; Human Capital</w:t>
            </w:r>
            <w:r>
              <w:rPr>
                <w:noProof/>
                <w:webHidden/>
              </w:rPr>
              <w:tab/>
            </w:r>
            <w:r>
              <w:rPr>
                <w:noProof/>
                <w:webHidden/>
              </w:rPr>
              <w:fldChar w:fldCharType="begin"/>
            </w:r>
            <w:r>
              <w:rPr>
                <w:noProof/>
                <w:webHidden/>
              </w:rPr>
              <w:instrText xml:space="preserve"> PAGEREF _Toc231986305 \h </w:instrText>
            </w:r>
            <w:r>
              <w:rPr>
                <w:noProof/>
                <w:webHidden/>
              </w:rPr>
            </w:r>
            <w:r>
              <w:rPr>
                <w:noProof/>
                <w:webHidden/>
              </w:rPr>
              <w:fldChar w:fldCharType="separate"/>
            </w:r>
            <w:r>
              <w:rPr>
                <w:noProof/>
                <w:webHidden/>
              </w:rPr>
              <w:t>19</w:t>
            </w:r>
            <w:r>
              <w:rPr>
                <w:noProof/>
                <w:webHidden/>
              </w:rPr>
              <w:fldChar w:fldCharType="end"/>
            </w:r>
          </w:hyperlink>
        </w:p>
        <w:p w14:paraId="1909BE2A" w14:textId="748BEF43" w:rsidR="00B85730" w:rsidRDefault="00B85730">
          <w:pPr>
            <w:pStyle w:val="TOC1"/>
            <w:tabs>
              <w:tab w:val="right" w:leader="dot" w:pos="9019"/>
            </w:tabs>
            <w:rPr>
              <w:noProof/>
            </w:rPr>
          </w:pPr>
          <w:hyperlink w:anchor="_Toc231986306" w:history="1">
            <w:r w:rsidRPr="00577804">
              <w:rPr>
                <w:rStyle w:val="Hyperlink"/>
                <w:rFonts w:ascii="Arial" w:hAnsi="Arial"/>
                <w:noProof/>
              </w:rPr>
              <w:t>Governance &amp; Strategy</w:t>
            </w:r>
            <w:r>
              <w:rPr>
                <w:noProof/>
                <w:webHidden/>
              </w:rPr>
              <w:tab/>
            </w:r>
            <w:r>
              <w:rPr>
                <w:noProof/>
                <w:webHidden/>
              </w:rPr>
              <w:fldChar w:fldCharType="begin"/>
            </w:r>
            <w:r>
              <w:rPr>
                <w:noProof/>
                <w:webHidden/>
              </w:rPr>
              <w:instrText xml:space="preserve"> PAGEREF _Toc231986306 \h </w:instrText>
            </w:r>
            <w:r>
              <w:rPr>
                <w:noProof/>
                <w:webHidden/>
              </w:rPr>
            </w:r>
            <w:r>
              <w:rPr>
                <w:noProof/>
                <w:webHidden/>
              </w:rPr>
              <w:fldChar w:fldCharType="separate"/>
            </w:r>
            <w:r>
              <w:rPr>
                <w:noProof/>
                <w:webHidden/>
              </w:rPr>
              <w:t>23</w:t>
            </w:r>
            <w:r>
              <w:rPr>
                <w:noProof/>
                <w:webHidden/>
              </w:rPr>
              <w:fldChar w:fldCharType="end"/>
            </w:r>
          </w:hyperlink>
        </w:p>
        <w:p w14:paraId="25D0FFDD" w14:textId="7E626547" w:rsidR="00B85730" w:rsidRDefault="00B85730">
          <w:pPr>
            <w:pStyle w:val="TOC2"/>
            <w:tabs>
              <w:tab w:val="right" w:leader="dot" w:pos="9019"/>
            </w:tabs>
            <w:rPr>
              <w:noProof/>
            </w:rPr>
          </w:pPr>
          <w:hyperlink w:anchor="_Toc231986307" w:history="1">
            <w:r w:rsidRPr="00577804">
              <w:rPr>
                <w:rStyle w:val="Hyperlink"/>
                <w:rFonts w:ascii="Arial" w:hAnsi="Arial"/>
                <w:noProof/>
              </w:rPr>
              <w:t>3.1 Climate Governance &amp; ESG Oversight</w:t>
            </w:r>
            <w:r>
              <w:rPr>
                <w:noProof/>
                <w:webHidden/>
              </w:rPr>
              <w:tab/>
            </w:r>
            <w:r>
              <w:rPr>
                <w:noProof/>
                <w:webHidden/>
              </w:rPr>
              <w:fldChar w:fldCharType="begin"/>
            </w:r>
            <w:r>
              <w:rPr>
                <w:noProof/>
                <w:webHidden/>
              </w:rPr>
              <w:instrText xml:space="preserve"> PAGEREF _Toc231986307 \h </w:instrText>
            </w:r>
            <w:r>
              <w:rPr>
                <w:noProof/>
                <w:webHidden/>
              </w:rPr>
            </w:r>
            <w:r>
              <w:rPr>
                <w:noProof/>
                <w:webHidden/>
              </w:rPr>
              <w:fldChar w:fldCharType="separate"/>
            </w:r>
            <w:r>
              <w:rPr>
                <w:noProof/>
                <w:webHidden/>
              </w:rPr>
              <w:t>23</w:t>
            </w:r>
            <w:r>
              <w:rPr>
                <w:noProof/>
                <w:webHidden/>
              </w:rPr>
              <w:fldChar w:fldCharType="end"/>
            </w:r>
          </w:hyperlink>
        </w:p>
        <w:p w14:paraId="5DF49A60" w14:textId="31DB94CB" w:rsidR="00B85730" w:rsidRDefault="00B85730">
          <w:pPr>
            <w:pStyle w:val="TOC2"/>
            <w:tabs>
              <w:tab w:val="right" w:leader="dot" w:pos="9019"/>
            </w:tabs>
            <w:rPr>
              <w:noProof/>
            </w:rPr>
          </w:pPr>
          <w:hyperlink w:anchor="_Toc231986308" w:history="1">
            <w:r w:rsidRPr="00577804">
              <w:rPr>
                <w:rStyle w:val="Hyperlink"/>
                <w:rFonts w:ascii="Arial" w:hAnsi="Arial"/>
                <w:noProof/>
              </w:rPr>
              <w:t>3.2 Climate Targets &amp; Transition Plan</w:t>
            </w:r>
            <w:r>
              <w:rPr>
                <w:noProof/>
                <w:webHidden/>
              </w:rPr>
              <w:tab/>
            </w:r>
            <w:r>
              <w:rPr>
                <w:noProof/>
                <w:webHidden/>
              </w:rPr>
              <w:fldChar w:fldCharType="begin"/>
            </w:r>
            <w:r>
              <w:rPr>
                <w:noProof/>
                <w:webHidden/>
              </w:rPr>
              <w:instrText xml:space="preserve"> PAGEREF _Toc231986308 \h </w:instrText>
            </w:r>
            <w:r>
              <w:rPr>
                <w:noProof/>
                <w:webHidden/>
              </w:rPr>
            </w:r>
            <w:r>
              <w:rPr>
                <w:noProof/>
                <w:webHidden/>
              </w:rPr>
              <w:fldChar w:fldCharType="separate"/>
            </w:r>
            <w:r>
              <w:rPr>
                <w:noProof/>
                <w:webHidden/>
              </w:rPr>
              <w:t>27</w:t>
            </w:r>
            <w:r>
              <w:rPr>
                <w:noProof/>
                <w:webHidden/>
              </w:rPr>
              <w:fldChar w:fldCharType="end"/>
            </w:r>
          </w:hyperlink>
        </w:p>
        <w:p w14:paraId="0BD32D98" w14:textId="12014579" w:rsidR="00B85730" w:rsidRDefault="00B85730">
          <w:pPr>
            <w:pStyle w:val="TOC1"/>
            <w:tabs>
              <w:tab w:val="right" w:leader="dot" w:pos="9019"/>
            </w:tabs>
            <w:rPr>
              <w:noProof/>
            </w:rPr>
          </w:pPr>
          <w:hyperlink w:anchor="_Toc231986309" w:history="1">
            <w:r w:rsidRPr="00577804">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_Toc231986309 \h </w:instrText>
            </w:r>
            <w:r>
              <w:rPr>
                <w:noProof/>
                <w:webHidden/>
              </w:rPr>
            </w:r>
            <w:r>
              <w:rPr>
                <w:noProof/>
                <w:webHidden/>
              </w:rPr>
              <w:fldChar w:fldCharType="separate"/>
            </w:r>
            <w:r>
              <w:rPr>
                <w:noProof/>
                <w:webHidden/>
              </w:rPr>
              <w:t>33</w:t>
            </w:r>
            <w:r>
              <w:rPr>
                <w:noProof/>
                <w:webHidden/>
              </w:rPr>
              <w:fldChar w:fldCharType="end"/>
            </w:r>
          </w:hyperlink>
        </w:p>
        <w:p w14:paraId="3F88D618" w14:textId="16076BB3" w:rsidR="00B85730" w:rsidRDefault="00B85730">
          <w:pPr>
            <w:pStyle w:val="TOC1"/>
            <w:tabs>
              <w:tab w:val="right" w:leader="dot" w:pos="9019"/>
            </w:tabs>
            <w:rPr>
              <w:noProof/>
            </w:rPr>
          </w:pPr>
          <w:hyperlink w:anchor="_Toc231986310" w:history="1">
            <w:r w:rsidRPr="00577804">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_Toc231986310 \h </w:instrText>
            </w:r>
            <w:r>
              <w:rPr>
                <w:noProof/>
                <w:webHidden/>
              </w:rPr>
            </w:r>
            <w:r>
              <w:rPr>
                <w:noProof/>
                <w:webHidden/>
              </w:rPr>
              <w:fldChar w:fldCharType="separate"/>
            </w:r>
            <w:r>
              <w:rPr>
                <w:noProof/>
                <w:webHidden/>
              </w:rPr>
              <w:t>33</w:t>
            </w:r>
            <w:r>
              <w:rPr>
                <w:noProof/>
                <w:webHidden/>
              </w:rPr>
              <w:fldChar w:fldCharType="end"/>
            </w:r>
          </w:hyperlink>
        </w:p>
        <w:p w14:paraId="7F8A2132" w14:textId="7173F48F" w:rsidR="00B85730" w:rsidRDefault="00B85730">
          <w:pPr>
            <w:pStyle w:val="TOC1"/>
            <w:tabs>
              <w:tab w:val="right" w:leader="dot" w:pos="9019"/>
            </w:tabs>
            <w:rPr>
              <w:noProof/>
            </w:rPr>
          </w:pPr>
          <w:hyperlink w:anchor="_Toc231986311" w:history="1">
            <w:r w:rsidRPr="00577804">
              <w:rPr>
                <w:rStyle w:val="Hyperlink"/>
                <w:rFonts w:ascii="Arial" w:hAnsi="Arial"/>
                <w:noProof/>
              </w:rPr>
              <w:t>Appendix C: GRI Content Index</w:t>
            </w:r>
            <w:r>
              <w:rPr>
                <w:noProof/>
                <w:webHidden/>
              </w:rPr>
              <w:tab/>
            </w:r>
            <w:r>
              <w:rPr>
                <w:noProof/>
                <w:webHidden/>
              </w:rPr>
              <w:fldChar w:fldCharType="begin"/>
            </w:r>
            <w:r>
              <w:rPr>
                <w:noProof/>
                <w:webHidden/>
              </w:rPr>
              <w:instrText xml:space="preserve"> PAGEREF _Toc231986311 \h </w:instrText>
            </w:r>
            <w:r>
              <w:rPr>
                <w:noProof/>
                <w:webHidden/>
              </w:rPr>
            </w:r>
            <w:r>
              <w:rPr>
                <w:noProof/>
                <w:webHidden/>
              </w:rPr>
              <w:fldChar w:fldCharType="separate"/>
            </w:r>
            <w:r>
              <w:rPr>
                <w:noProof/>
                <w:webHidden/>
              </w:rPr>
              <w:t>33</w:t>
            </w:r>
            <w:r>
              <w:rPr>
                <w:noProof/>
                <w:webHidden/>
              </w:rPr>
              <w:fldChar w:fldCharType="end"/>
            </w:r>
          </w:hyperlink>
        </w:p>
        <w:p w14:paraId="0F62989E" w14:textId="0879FFA6" w:rsidR="00B85730" w:rsidRDefault="00B85730">
          <w:r>
            <w:rPr>
              <w:b/>
              <w:bCs/>
              <w:noProof/>
            </w:rPr>
            <w:fldChar w:fldCharType="end"/>
          </w:r>
        </w:p>
      </w:sdtContent>
    </w:sdt>
    <w:p w14:paraId="5BAC8F82" w14:textId="77777777" w:rsidR="00141B56" w:rsidRDefault="00000000">
      <w:r>
        <w:br w:type="page"/>
      </w:r>
    </w:p>
    <w:p w14:paraId="060A4B11" w14:textId="77777777" w:rsidR="00141B56" w:rsidRDefault="00000000">
      <w:r>
        <w:lastRenderedPageBreak/>
        <w:br w:type="page"/>
      </w:r>
    </w:p>
    <w:p w14:paraId="53EE80AC" w14:textId="77777777" w:rsidR="00141B56" w:rsidRDefault="00000000">
      <w:pPr>
        <w:pStyle w:val="Heading1"/>
        <w:spacing w:after="240"/>
      </w:pPr>
      <w:bookmarkStart w:id="3" w:name="_Toc231986298"/>
      <w:r>
        <w:rPr>
          <w:rFonts w:ascii="Arial" w:hAnsi="Arial"/>
          <w:color w:val="1B3A6B"/>
          <w:sz w:val="36"/>
        </w:rPr>
        <w:lastRenderedPageBreak/>
        <w:t>Executive Summary</w:t>
      </w:r>
      <w:bookmarkEnd w:id="3"/>
    </w:p>
    <w:p w14:paraId="7FCB3AD8" w14:textId="77777777" w:rsidR="00141B56" w:rsidRDefault="00000000">
      <w:pPr>
        <w:spacing w:after="160"/>
        <w:jc w:val="both"/>
      </w:pPr>
      <w:r>
        <w:rPr>
          <w:rFonts w:ascii="Arial" w:hAnsi="Arial"/>
        </w:rPr>
        <w:t>For the reporting year 2024, the institution's total greenhouse gas (GHG) footprint across all operational and financed activities was 22,025,014.173 tCO2e. This figure comprises direct emissions from owned or controlled sources (Scope 1), indirect emissions from purchased electricity (Scope 2 market-based), and financed emissions from the institution's lending and investment portfolio (Scope 3 Category 15). The institution applies the operational control approach for consolidation and reports in accordance with the GHG Protocol Corporate Accounting and Reporting Standard.</w:t>
      </w:r>
    </w:p>
    <w:p w14:paraId="329D740B" w14:textId="77777777" w:rsidR="00141B56" w:rsidRDefault="00000000">
      <w:pPr>
        <w:spacing w:after="160"/>
        <w:jc w:val="both"/>
      </w:pPr>
      <w:r>
        <w:rPr>
          <w:rFonts w:ascii="Arial" w:hAnsi="Arial"/>
        </w:rPr>
        <w:t>Scope 1 emissions totaled 3,402.997 tCO2e, representing 0.015% of the total footprint. These emissions originated from natural gas consumption (1,199.7924 tCO2e) and diesel fuel combustion (2,203.2044 tCO2e) across the institution's facilities. Scope 2 market-based emissions totaled 44,612.518 tCO2e, representing 0.203% of the total footprint. Scope 3 Category 15 financed emissions constituted 21,976,797.3 tCO2e on a gross basis, representing 99.782% of the total footprint. The institution's financed emissions are concentrated in carbon-intensive sectors, with Energy - Oil &amp; Gas (43.56%), Manufacturing - Cement (26.45%), and Manufacturing - Steel (15.92%) collectively accounting for 85.93% of total financed emissions.</w:t>
      </w:r>
    </w:p>
    <w:p w14:paraId="5D79A256" w14:textId="77777777" w:rsidR="00141B56" w:rsidRDefault="00000000">
      <w:pPr>
        <w:spacing w:after="160"/>
        <w:jc w:val="both"/>
      </w:pPr>
      <w:r>
        <w:rPr>
          <w:rFonts w:ascii="Arial" w:hAnsi="Arial"/>
        </w:rPr>
        <w:t>The institution's carbon intensity metrics for 2024 were 239.400139 tCO2e per IDR billion of revenue and 1.9209 tCO2e per full-time equivalent employee. Compared to the prior year (2023), total emissions decreased by 4.07%, driven primarily by a reduction in financed emissions intensity across key portfolio sectors. This reduction reflects both portfolio composition changes and improved emissions performance among borrowers in the manufacturing and transportation sectors.</w:t>
      </w:r>
    </w:p>
    <w:p w14:paraId="1E559D01" w14:textId="77777777" w:rsidR="00141B56" w:rsidRDefault="00000000">
      <w:pPr>
        <w:spacing w:after="160"/>
        <w:jc w:val="both"/>
      </w:pPr>
      <w:r>
        <w:rPr>
          <w:rFonts w:ascii="Arial" w:hAnsi="Arial"/>
          <w:i/>
        </w:rPr>
        <w:t>The institution's financed emissions inventory was calculated using the Partnership for Carbon Accounting Financials (PCAF) methodology. The portfolio-weighted average PCAF data quality score was 3.36 on a scale of 1 (highest quality, based on reported emissions data) to 5 (lowest quality, based on economic activity proxies). This score indicates that the majority of financed emissions estimates rely on physical activity data or economic intensity factors rather than borrower-reported emissions data. The institution has established a data quality improvement roadmap targeting enhanced borrower engagement and primary data collection to reduce reliance on estimation methodologies.</w:t>
      </w:r>
    </w:p>
    <w:p w14:paraId="5574E815" w14:textId="77777777" w:rsidR="00141B56" w:rsidRDefault="00000000">
      <w:r>
        <w:rPr>
          <w:rFonts w:ascii="Arial" w:hAnsi="Arial"/>
          <w:b/>
          <w:sz w:val="20"/>
        </w:rPr>
        <w:t>Table 1: Total GHG Emissions by Scope (2024)</w:t>
      </w:r>
    </w:p>
    <w:tbl>
      <w:tblPr>
        <w:tblW w:w="0" w:type="auto"/>
        <w:jc w:val="center"/>
        <w:tblLook w:val="04A0" w:firstRow="1" w:lastRow="0" w:firstColumn="1" w:lastColumn="0" w:noHBand="0" w:noVBand="1"/>
      </w:tblPr>
      <w:tblGrid>
        <w:gridCol w:w="2257"/>
        <w:gridCol w:w="2257"/>
        <w:gridCol w:w="2257"/>
        <w:gridCol w:w="2257"/>
      </w:tblGrid>
      <w:tr w:rsidR="00141B56" w14:paraId="63F7F1B6" w14:textId="77777777">
        <w:trPr>
          <w:jc w:val="center"/>
        </w:trPr>
        <w:tc>
          <w:tcPr>
            <w:tcW w:w="2257" w:type="dxa"/>
            <w:shd w:val="clear" w:color="auto" w:fill="1B3A6B"/>
          </w:tcPr>
          <w:p w14:paraId="00F85ABB" w14:textId="77777777" w:rsidR="00141B56" w:rsidRDefault="00000000">
            <w:r>
              <w:rPr>
                <w:rFonts w:ascii="Arial" w:hAnsi="Arial"/>
                <w:b/>
                <w:color w:val="FFFFFF"/>
                <w:sz w:val="18"/>
              </w:rPr>
              <w:t>Scope</w:t>
            </w:r>
          </w:p>
        </w:tc>
        <w:tc>
          <w:tcPr>
            <w:tcW w:w="2257" w:type="dxa"/>
            <w:shd w:val="clear" w:color="auto" w:fill="1B3A6B"/>
          </w:tcPr>
          <w:p w14:paraId="52BD5707" w14:textId="77777777" w:rsidR="00141B56" w:rsidRDefault="00000000">
            <w:r>
              <w:rPr>
                <w:rFonts w:ascii="Arial" w:hAnsi="Arial"/>
                <w:b/>
                <w:color w:val="FFFFFF"/>
                <w:sz w:val="18"/>
              </w:rPr>
              <w:t>Emissions (tCO2e)</w:t>
            </w:r>
          </w:p>
        </w:tc>
        <w:tc>
          <w:tcPr>
            <w:tcW w:w="2257" w:type="dxa"/>
            <w:shd w:val="clear" w:color="auto" w:fill="1B3A6B"/>
          </w:tcPr>
          <w:p w14:paraId="44C08FFF" w14:textId="77777777" w:rsidR="00141B56" w:rsidRDefault="00000000">
            <w:r>
              <w:rPr>
                <w:rFonts w:ascii="Arial" w:hAnsi="Arial"/>
                <w:b/>
                <w:color w:val="FFFFFF"/>
                <w:sz w:val="18"/>
              </w:rPr>
              <w:t>% of Total</w:t>
            </w:r>
          </w:p>
        </w:tc>
        <w:tc>
          <w:tcPr>
            <w:tcW w:w="2257" w:type="dxa"/>
            <w:shd w:val="clear" w:color="auto" w:fill="1B3A6B"/>
          </w:tcPr>
          <w:p w14:paraId="2A60F085" w14:textId="77777777" w:rsidR="00141B56" w:rsidRDefault="00000000">
            <w:r>
              <w:rPr>
                <w:rFonts w:ascii="Arial" w:hAnsi="Arial"/>
                <w:b/>
                <w:color w:val="FFFFFF"/>
                <w:sz w:val="18"/>
              </w:rPr>
              <w:t>Calculation Basis</w:t>
            </w:r>
          </w:p>
        </w:tc>
      </w:tr>
      <w:tr w:rsidR="00141B56" w14:paraId="04FF9816" w14:textId="77777777">
        <w:trPr>
          <w:jc w:val="center"/>
        </w:trPr>
        <w:tc>
          <w:tcPr>
            <w:tcW w:w="2257" w:type="dxa"/>
          </w:tcPr>
          <w:p w14:paraId="3A00B353" w14:textId="77777777" w:rsidR="00141B56" w:rsidRDefault="00000000">
            <w:r>
              <w:rPr>
                <w:rFonts w:ascii="Arial" w:hAnsi="Arial"/>
                <w:sz w:val="18"/>
              </w:rPr>
              <w:t>Scope 1 (Direct)</w:t>
            </w:r>
          </w:p>
        </w:tc>
        <w:tc>
          <w:tcPr>
            <w:tcW w:w="2257" w:type="dxa"/>
          </w:tcPr>
          <w:p w14:paraId="47EC59AF" w14:textId="77777777" w:rsidR="00141B56" w:rsidRDefault="00000000">
            <w:pPr>
              <w:jc w:val="right"/>
            </w:pPr>
            <w:r>
              <w:rPr>
                <w:rFonts w:ascii="Arial" w:hAnsi="Arial"/>
                <w:sz w:val="18"/>
              </w:rPr>
              <w:t>3,402.997</w:t>
            </w:r>
          </w:p>
        </w:tc>
        <w:tc>
          <w:tcPr>
            <w:tcW w:w="2257" w:type="dxa"/>
          </w:tcPr>
          <w:p w14:paraId="513962F1" w14:textId="77777777" w:rsidR="00141B56" w:rsidRDefault="00000000">
            <w:pPr>
              <w:jc w:val="right"/>
            </w:pPr>
            <w:r>
              <w:rPr>
                <w:rFonts w:ascii="Arial" w:hAnsi="Arial"/>
                <w:sz w:val="18"/>
              </w:rPr>
              <w:t>0.015%</w:t>
            </w:r>
          </w:p>
        </w:tc>
        <w:tc>
          <w:tcPr>
            <w:tcW w:w="2257" w:type="dxa"/>
          </w:tcPr>
          <w:p w14:paraId="2195A59F" w14:textId="77777777" w:rsidR="00141B56" w:rsidRDefault="00000000">
            <w:r>
              <w:rPr>
                <w:rFonts w:ascii="Arial" w:hAnsi="Arial"/>
                <w:sz w:val="18"/>
              </w:rPr>
              <w:t>Fuel consumption data</w:t>
            </w:r>
          </w:p>
        </w:tc>
      </w:tr>
      <w:tr w:rsidR="00141B56" w14:paraId="026624B8" w14:textId="77777777">
        <w:trPr>
          <w:jc w:val="center"/>
        </w:trPr>
        <w:tc>
          <w:tcPr>
            <w:tcW w:w="2257" w:type="dxa"/>
            <w:shd w:val="clear" w:color="auto" w:fill="F2F6FC"/>
          </w:tcPr>
          <w:p w14:paraId="5C7A36DE" w14:textId="77777777" w:rsidR="00141B56" w:rsidRDefault="00000000">
            <w:r>
              <w:rPr>
                <w:rFonts w:ascii="Arial" w:hAnsi="Arial"/>
                <w:sz w:val="18"/>
              </w:rPr>
              <w:t>Scope 2 (Indirect - Market-based)</w:t>
            </w:r>
          </w:p>
        </w:tc>
        <w:tc>
          <w:tcPr>
            <w:tcW w:w="2257" w:type="dxa"/>
            <w:shd w:val="clear" w:color="auto" w:fill="F2F6FC"/>
          </w:tcPr>
          <w:p w14:paraId="5797C94D" w14:textId="77777777" w:rsidR="00141B56" w:rsidRDefault="00000000">
            <w:pPr>
              <w:jc w:val="right"/>
            </w:pPr>
            <w:r>
              <w:rPr>
                <w:rFonts w:ascii="Arial" w:hAnsi="Arial"/>
                <w:sz w:val="18"/>
              </w:rPr>
              <w:t>44,612.518</w:t>
            </w:r>
          </w:p>
        </w:tc>
        <w:tc>
          <w:tcPr>
            <w:tcW w:w="2257" w:type="dxa"/>
            <w:shd w:val="clear" w:color="auto" w:fill="F2F6FC"/>
          </w:tcPr>
          <w:p w14:paraId="751262F7" w14:textId="77777777" w:rsidR="00141B56" w:rsidRDefault="00000000">
            <w:pPr>
              <w:jc w:val="right"/>
            </w:pPr>
            <w:r>
              <w:rPr>
                <w:rFonts w:ascii="Arial" w:hAnsi="Arial"/>
                <w:sz w:val="18"/>
              </w:rPr>
              <w:t>0.203%</w:t>
            </w:r>
          </w:p>
        </w:tc>
        <w:tc>
          <w:tcPr>
            <w:tcW w:w="2257" w:type="dxa"/>
            <w:shd w:val="clear" w:color="auto" w:fill="F2F6FC"/>
          </w:tcPr>
          <w:p w14:paraId="5D6B8F52" w14:textId="77777777" w:rsidR="00141B56" w:rsidRDefault="00000000">
            <w:r>
              <w:rPr>
                <w:rFonts w:ascii="Arial" w:hAnsi="Arial"/>
                <w:sz w:val="18"/>
              </w:rPr>
              <w:t>Purchased electricity with supplier-specific factors</w:t>
            </w:r>
          </w:p>
        </w:tc>
      </w:tr>
      <w:tr w:rsidR="00141B56" w14:paraId="3A7542E7" w14:textId="77777777">
        <w:trPr>
          <w:jc w:val="center"/>
        </w:trPr>
        <w:tc>
          <w:tcPr>
            <w:tcW w:w="2257" w:type="dxa"/>
          </w:tcPr>
          <w:p w14:paraId="239B57D9" w14:textId="77777777" w:rsidR="00141B56" w:rsidRDefault="00000000">
            <w:r>
              <w:rPr>
                <w:rFonts w:ascii="Arial" w:hAnsi="Arial"/>
                <w:sz w:val="18"/>
              </w:rPr>
              <w:t>Scope 2 (Indirect - Location-based)</w:t>
            </w:r>
          </w:p>
        </w:tc>
        <w:tc>
          <w:tcPr>
            <w:tcW w:w="2257" w:type="dxa"/>
          </w:tcPr>
          <w:p w14:paraId="1985F1BC" w14:textId="77777777" w:rsidR="00141B56" w:rsidRDefault="00000000">
            <w:pPr>
              <w:jc w:val="right"/>
            </w:pPr>
            <w:r>
              <w:rPr>
                <w:rFonts w:ascii="Arial" w:hAnsi="Arial"/>
                <w:sz w:val="18"/>
              </w:rPr>
              <w:t>44,613.876</w:t>
            </w:r>
          </w:p>
        </w:tc>
        <w:tc>
          <w:tcPr>
            <w:tcW w:w="2257" w:type="dxa"/>
          </w:tcPr>
          <w:p w14:paraId="429771DE" w14:textId="77777777" w:rsidR="00141B56" w:rsidRDefault="00000000">
            <w:r>
              <w:rPr>
                <w:rFonts w:ascii="Arial" w:hAnsi="Arial"/>
                <w:sz w:val="18"/>
              </w:rPr>
              <w:t>—</w:t>
            </w:r>
          </w:p>
        </w:tc>
        <w:tc>
          <w:tcPr>
            <w:tcW w:w="2257" w:type="dxa"/>
          </w:tcPr>
          <w:p w14:paraId="46F830CF" w14:textId="77777777" w:rsidR="00141B56" w:rsidRDefault="00000000">
            <w:r>
              <w:rPr>
                <w:rFonts w:ascii="Arial" w:hAnsi="Arial"/>
                <w:sz w:val="18"/>
              </w:rPr>
              <w:t>Grid average emission factors (supplementary)</w:t>
            </w:r>
          </w:p>
        </w:tc>
      </w:tr>
      <w:tr w:rsidR="00141B56" w14:paraId="1417226C" w14:textId="77777777">
        <w:trPr>
          <w:jc w:val="center"/>
        </w:trPr>
        <w:tc>
          <w:tcPr>
            <w:tcW w:w="2257" w:type="dxa"/>
            <w:shd w:val="clear" w:color="auto" w:fill="F2F6FC"/>
          </w:tcPr>
          <w:p w14:paraId="3F945941" w14:textId="77777777" w:rsidR="00141B56" w:rsidRDefault="00000000">
            <w:r>
              <w:rPr>
                <w:rFonts w:ascii="Arial" w:hAnsi="Arial"/>
                <w:sz w:val="18"/>
              </w:rPr>
              <w:t>Scope 3 Category 15 (Financed Emissions - Gross)</w:t>
            </w:r>
          </w:p>
        </w:tc>
        <w:tc>
          <w:tcPr>
            <w:tcW w:w="2257" w:type="dxa"/>
            <w:shd w:val="clear" w:color="auto" w:fill="F2F6FC"/>
          </w:tcPr>
          <w:p w14:paraId="3930FB70" w14:textId="77777777" w:rsidR="00141B56" w:rsidRDefault="00000000">
            <w:pPr>
              <w:jc w:val="right"/>
            </w:pPr>
            <w:r>
              <w:rPr>
                <w:rFonts w:ascii="Arial" w:hAnsi="Arial"/>
                <w:sz w:val="18"/>
              </w:rPr>
              <w:t>21,976,797.3</w:t>
            </w:r>
          </w:p>
        </w:tc>
        <w:tc>
          <w:tcPr>
            <w:tcW w:w="2257" w:type="dxa"/>
            <w:shd w:val="clear" w:color="auto" w:fill="F2F6FC"/>
          </w:tcPr>
          <w:p w14:paraId="272AD5F3" w14:textId="77777777" w:rsidR="00141B56" w:rsidRDefault="00000000">
            <w:pPr>
              <w:jc w:val="right"/>
            </w:pPr>
            <w:r>
              <w:rPr>
                <w:rFonts w:ascii="Arial" w:hAnsi="Arial"/>
                <w:sz w:val="18"/>
              </w:rPr>
              <w:t>99.782%</w:t>
            </w:r>
          </w:p>
        </w:tc>
        <w:tc>
          <w:tcPr>
            <w:tcW w:w="2257" w:type="dxa"/>
            <w:shd w:val="clear" w:color="auto" w:fill="F2F6FC"/>
          </w:tcPr>
          <w:p w14:paraId="315E9216" w14:textId="77777777" w:rsidR="00141B56" w:rsidRDefault="00000000">
            <w:r>
              <w:rPr>
                <w:rFonts w:ascii="Arial" w:hAnsi="Arial"/>
                <w:sz w:val="18"/>
              </w:rPr>
              <w:t>PCAF Standard for Financial Institutions</w:t>
            </w:r>
          </w:p>
        </w:tc>
      </w:tr>
      <w:tr w:rsidR="00141B56" w14:paraId="763BC0E3" w14:textId="77777777">
        <w:trPr>
          <w:jc w:val="center"/>
        </w:trPr>
        <w:tc>
          <w:tcPr>
            <w:tcW w:w="2257" w:type="dxa"/>
          </w:tcPr>
          <w:p w14:paraId="56904733" w14:textId="77777777" w:rsidR="00141B56" w:rsidRDefault="00000000">
            <w:r>
              <w:rPr>
                <w:rFonts w:ascii="Arial" w:hAnsi="Arial"/>
                <w:sz w:val="18"/>
              </w:rPr>
              <w:lastRenderedPageBreak/>
              <w:t>**Total (Market-based)**</w:t>
            </w:r>
          </w:p>
        </w:tc>
        <w:tc>
          <w:tcPr>
            <w:tcW w:w="2257" w:type="dxa"/>
          </w:tcPr>
          <w:p w14:paraId="780851AE" w14:textId="77777777" w:rsidR="00141B56" w:rsidRDefault="00000000">
            <w:r>
              <w:rPr>
                <w:rFonts w:ascii="Arial" w:hAnsi="Arial"/>
                <w:sz w:val="18"/>
              </w:rPr>
              <w:t>**22,025,014.173**</w:t>
            </w:r>
          </w:p>
        </w:tc>
        <w:tc>
          <w:tcPr>
            <w:tcW w:w="2257" w:type="dxa"/>
          </w:tcPr>
          <w:p w14:paraId="72327E76" w14:textId="77777777" w:rsidR="00141B56" w:rsidRDefault="00000000">
            <w:r>
              <w:rPr>
                <w:rFonts w:ascii="Arial" w:hAnsi="Arial"/>
                <w:sz w:val="18"/>
              </w:rPr>
              <w:t>**100.00%**</w:t>
            </w:r>
          </w:p>
        </w:tc>
        <w:tc>
          <w:tcPr>
            <w:tcW w:w="2257" w:type="dxa"/>
          </w:tcPr>
          <w:p w14:paraId="162A779F" w14:textId="77777777" w:rsidR="00141B56" w:rsidRDefault="00000000">
            <w:r>
              <w:rPr>
                <w:rFonts w:ascii="Arial" w:hAnsi="Arial"/>
                <w:sz w:val="18"/>
              </w:rPr>
              <w:t>—</w:t>
            </w:r>
          </w:p>
        </w:tc>
      </w:tr>
    </w:tbl>
    <w:p w14:paraId="6D63B228" w14:textId="77777777" w:rsidR="00141B56" w:rsidRDefault="00000000">
      <w:r>
        <w:rPr>
          <w:rFonts w:ascii="Arial" w:hAnsi="Arial"/>
          <w:i/>
          <w:sz w:val="16"/>
        </w:rPr>
        <w:t>Source: Market-based total uses Scope 2 market-based figure per GHG Protocol hierarchy. Location-based total (supplementary) would be 22,025,015.173 tCO2e.</w:t>
      </w:r>
    </w:p>
    <w:p w14:paraId="24B6A5BD" w14:textId="77777777" w:rsidR="00141B56" w:rsidRDefault="00141B56"/>
    <w:p w14:paraId="0E010B38" w14:textId="77777777" w:rsidR="00141B56" w:rsidRDefault="00141B56">
      <w:pPr>
        <w:pBdr>
          <w:bottom w:val="single" w:sz="6" w:space="1" w:color="999999"/>
        </w:pBdr>
        <w:spacing w:after="80"/>
      </w:pPr>
    </w:p>
    <w:p w14:paraId="591828BA" w14:textId="77777777" w:rsidR="00141B56" w:rsidRDefault="00000000">
      <w:pPr>
        <w:spacing w:after="160"/>
        <w:jc w:val="both"/>
      </w:pPr>
      <w:r>
        <w:rPr>
          <w:rFonts w:ascii="Arial" w:hAnsi="Arial"/>
          <w:i/>
          <w:color w:val="646464"/>
          <w:sz w:val="18"/>
        </w:rPr>
        <w:t>These figures have not been subject to external assurance for the current reporting period.</w:t>
      </w:r>
    </w:p>
    <w:p w14:paraId="0EDF490E" w14:textId="77777777" w:rsidR="00141B56" w:rsidRDefault="00000000">
      <w:pPr>
        <w:spacing w:after="160"/>
        <w:jc w:val="both"/>
      </w:pPr>
      <w:r>
        <w:rPr>
          <w:rFonts w:ascii="Arial" w:hAnsi="Arial"/>
          <w:i/>
          <w:color w:val="646464"/>
          <w:sz w:val="18"/>
        </w:rPr>
        <w:t>Scope 3 Category 15 financed emissions are reported on a gross basis (total attributable emissions) in accordance with PCAF methodology. The institution also tracks a weighted basis (15,280,174.14 tCO2e) that applies attribution factors based on the institution's proportional share of borrower financing.</w:t>
      </w:r>
    </w:p>
    <w:p w14:paraId="27025DA1" w14:textId="77777777" w:rsidR="00141B56" w:rsidRDefault="00000000">
      <w:pPr>
        <w:spacing w:after="160"/>
        <w:jc w:val="both"/>
      </w:pPr>
      <w:r>
        <w:rPr>
          <w:rFonts w:ascii="Arial" w:hAnsi="Arial"/>
          <w:i/>
          <w:color w:val="646464"/>
          <w:sz w:val="18"/>
        </w:rPr>
        <w:t>The PCAF data quality score of 3.36 indicates that financed emissions estimates primarily rely on physical activity data or economic intensity factors. A score of 1 represents the highest quality (borrower-reported emissions), while 5 represents the lowest quality (economic activity proxies).</w:t>
      </w:r>
    </w:p>
    <w:p w14:paraId="20CE9E2A" w14:textId="77777777" w:rsidR="00141B56" w:rsidRDefault="00000000">
      <w:pPr>
        <w:spacing w:after="160"/>
        <w:jc w:val="both"/>
      </w:pPr>
      <w:r>
        <w:rPr>
          <w:rFonts w:ascii="Arial" w:hAnsi="Arial"/>
          <w:i/>
          <w:color w:val="646464"/>
          <w:sz w:val="18"/>
        </w:rPr>
        <w:t>Prior year (2023) total emissions were 22,959,028.708 tCO2e (market-based), comprising Scope 1: 3,324.521 tCO2e, Scope 2: 44,598.118 tCO2e, and Scope 3 Category 15: 22,911,991.05 tCO2e.</w:t>
      </w:r>
    </w:p>
    <w:p w14:paraId="31967F56" w14:textId="77777777" w:rsidR="00141B56" w:rsidRDefault="00000000">
      <w:r>
        <w:br w:type="page"/>
      </w:r>
    </w:p>
    <w:p w14:paraId="759FC40E" w14:textId="77777777" w:rsidR="00141B56" w:rsidRDefault="00000000">
      <w:pPr>
        <w:pStyle w:val="Heading1"/>
        <w:spacing w:after="240"/>
      </w:pPr>
      <w:bookmarkStart w:id="4" w:name="_Toc231986299"/>
      <w:r>
        <w:rPr>
          <w:rFonts w:ascii="Arial" w:hAnsi="Arial"/>
          <w:color w:val="1B3A6B"/>
          <w:sz w:val="36"/>
        </w:rPr>
        <w:lastRenderedPageBreak/>
        <w:t>Environmental Performance</w:t>
      </w:r>
      <w:bookmarkEnd w:id="4"/>
    </w:p>
    <w:p w14:paraId="0D3147AC" w14:textId="77777777" w:rsidR="00141B56" w:rsidRDefault="00000000">
      <w:pPr>
        <w:pStyle w:val="Heading2"/>
        <w:spacing w:before="360" w:after="160"/>
      </w:pPr>
      <w:bookmarkStart w:id="5" w:name="_Toc231986300"/>
      <w:r>
        <w:rPr>
          <w:rFonts w:ascii="Arial" w:hAnsi="Arial"/>
          <w:color w:val="3D6094"/>
          <w:sz w:val="28"/>
        </w:rPr>
        <w:t>1.1 Direct GHG Emissions — Scope 1</w:t>
      </w:r>
      <w:bookmarkEnd w:id="5"/>
    </w:p>
    <w:p w14:paraId="36974B41" w14:textId="77777777" w:rsidR="00141B56" w:rsidRDefault="00000000">
      <w:pPr>
        <w:spacing w:after="160"/>
        <w:jc w:val="both"/>
      </w:pPr>
      <w:r>
        <w:rPr>
          <w:rFonts w:ascii="Arial" w:hAnsi="Arial"/>
        </w:rPr>
        <w:t>The institution reported gross direct (Scope 1) greenhouse gas emissions of 3402.997 metric tons of carbon dioxide equivalent (tCO₂e) for the reporting period ending December 31, 2024. These emissions encompass all direct GHG releases from sources under the institution's operational control, including stationary combustion equipment at branch offices, headquarters facilities, and backup power generation systems. The operational boundary follows the operational control approach as defined by the GHG Protocol Corporate Standard, whereby the institution accounts for 100% of emissions from operations over which it has full authority to introduce and implement operating policies.</w:t>
      </w:r>
    </w:p>
    <w:p w14:paraId="652ED82C" w14:textId="77777777" w:rsidR="00141B56" w:rsidRDefault="00000000">
      <w:pPr>
        <w:spacing w:after="160"/>
        <w:jc w:val="both"/>
      </w:pPr>
      <w:r>
        <w:rPr>
          <w:rFonts w:ascii="Arial" w:hAnsi="Arial"/>
        </w:rPr>
        <w:t>Scope 1 emissions originated from two primary combustion sources during the reporting period. Natural gas combustion in heating systems and kitchen facilities contributed 1199.7924 tCO₂e, representing 35.26% of total Scope 1 emissions. Diesel fuel combustion in backup generators and emergency power systems accounted for 2203.2044 tCO₂e, constituting 64.74% of direct emissions. The predominance of diesel-sourced emissions reflects the institution's operational resilience strategy, which maintains distributed backup power capacity across the branch network to ensure business continuity during grid disruptions.</w:t>
      </w:r>
    </w:p>
    <w:p w14:paraId="51280ED6" w14:textId="77777777" w:rsidR="00141B56" w:rsidRDefault="00000000">
      <w:pPr>
        <w:spacing w:after="160"/>
        <w:jc w:val="both"/>
      </w:pPr>
      <w:r>
        <w:rPr>
          <w:rFonts w:ascii="Arial" w:hAnsi="Arial"/>
        </w:rPr>
        <w:t>Scope 1 emissions increased by 2.36% compared to the prior reporting period, rising from 3324.521 tCO₂e in 2023 to 3402.997 tCO₂e in 2024. This absolute increase of 78.476 tCO₂e occurred despite the institution's operational efficiency initiatives and reflects the net effect of two countervailing factors: expansion of the branch network into underserved regions with less reliable grid infrastructure, which necessitated increased backup generator runtime, and the implementation of energy management protocols that reduced per-facility consumption. Natural gas emissions remained essentially stable, increasing by only 0.76 tCO₂e (0.06%), while diesel emissions grew by 77.7156 tCO₂e (3.66%), confirming that operational expansion rather than efficiency degradation drove the overall increase.</w:t>
      </w:r>
    </w:p>
    <w:p w14:paraId="08CE1571" w14:textId="77777777" w:rsidR="00141B56" w:rsidRDefault="00000000">
      <w:pPr>
        <w:spacing w:after="160"/>
        <w:jc w:val="both"/>
      </w:pPr>
      <w:r>
        <w:rPr>
          <w:rFonts w:ascii="Arial" w:hAnsi="Arial"/>
          <w:i/>
        </w:rPr>
        <w:t>The institution applied the GHG Protocol Corporate Standard (Revised Edition, 2015) as the foundational methodology for Scope 1 emissions quantification. Emission factors for natural gas combustion were sourced from the Indonesian Ministry of Energy and Mineral Resources (MEMR) Technical Guidelines for GHG Inventory in the Energy Sector (Version 3.1, 2023), applying a factor of 56.1 kgCO₂e per gigajoule (GJ) of natural gas consumed. Diesel combustion emissions utilized the IPCC 2006 Guidelines for National Greenhouse Gas Inventories (Volume 2, Energy), with a net calorific value of 43.0 TJ/Gg and carbon content of 20.2 tC/TJ. Global Warming Potential (GWP) values followed the IPCC Sixth Assessment Report (AR6, 2021) on a 100-year time horizon: methane (CH₄) = 29.8, nitrous oxide (N₂O) = 273.0, and carbon dioxide (CO₂) = 1.0. The institution included three greenhouse gases in the Scope 1 inventory: carbon dioxide (CO₂), methane (CH₄), and nitrous oxide (N₂O). Hydrofluorocarbons (HFCs), perfluorocarbons (PFCs), sulfur hexafluoride (SF₆), and nitrogen trifluoride (NF₃) were assessed as non-material for the institution's operational profile, as refrigerant leakage from HVAC systems is accounted under Scope 1 fugitive emissions in a separate disclosure line (not included in combustion-only figures reported here).</w:t>
      </w:r>
    </w:p>
    <w:p w14:paraId="65194087" w14:textId="77777777" w:rsidR="00141B56" w:rsidRDefault="00000000">
      <w:pPr>
        <w:spacing w:after="160"/>
        <w:jc w:val="both"/>
      </w:pPr>
      <w:r>
        <w:rPr>
          <w:rFonts w:ascii="Arial" w:hAnsi="Arial"/>
        </w:rPr>
        <w:lastRenderedPageBreak/>
        <w:t>Facility-level analysis identified the top ten emitting sites, which collectively accounted for 1188.4057 tCO₂e, or 34.93% of total Scope 1 emissions. FAC-0197 ranked as the highest emitter at 147.7152 tCO₂e, driven by its dual role as a regional processing center with extended operating hours and backup power requirements. FAC-0198 and FAC-0200 followed at 137.8381 tCO₂e and 131.4422 tCO₂e respectively, both serving as high-transaction-volume urban branches with significant natural gas heating loads. Notably, FAC-0193, FAC-0191, and FAC-0181 operated exclusively on diesel fuel (zero natural gas consumption), reflecting their locations in areas without natural gas distribution infrastructure. All ten facilities achieved a data quality score of 1 on the institution's internal data quality framework (scale 1-4, where 1 represents primary metered data), indicating that emissions calculations relied on direct utility meter readings rather than estimated or proxy data.</w:t>
      </w:r>
    </w:p>
    <w:p w14:paraId="14CD68E4" w14:textId="77777777" w:rsidR="00141B56" w:rsidRDefault="00000000">
      <w:pPr>
        <w:spacing w:after="160"/>
        <w:jc w:val="both"/>
      </w:pPr>
      <w:r>
        <w:rPr>
          <w:rFonts w:ascii="Arial" w:hAnsi="Arial"/>
          <w:i/>
          <w:color w:val="555555"/>
        </w:rPr>
        <w:t>**Finding**: The institution's Scope 1 emissions intensity remains significantly below peer benchmarks, with absolute emissions of 3402.997 tCO₂e comparing favorably to DBS Group's 3421 tCO₂e (2023) despite DBS operating a substantially larger asset base. However, the 2.36% year-over-year increase contrasts with peer performance: DBS achieved a 12% reduction, BRI reduced emissions by 3.2%, and Bank Mandiri decreased by 5.1% over comparable periods.</w:t>
      </w:r>
      <w:r>
        <w:rPr>
          <w:rFonts w:ascii="Arial" w:hAnsi="Arial"/>
          <w:i/>
          <w:color w:val="555555"/>
        </w:rPr>
        <w:br/>
      </w:r>
      <w:r>
        <w:rPr>
          <w:rFonts w:ascii="Arial" w:hAnsi="Arial"/>
          <w:i/>
          <w:color w:val="555555"/>
        </w:rPr>
        <w:br/>
        <w:t>**Benchmark**: DBS Group, recognized as best-in-class among Indonesian banking sector peers, achieved Scope 1 emissions of 3421 tCO₂e in 2023 while simultaneously reducing total operational emissions by 12% year-over-year through renewable energy procurement (62% renewable electricity via RE100 commitment) and operational efficiency programs. BRI implemented a "Green Network" initiative combining electric vehicle fleet deployment (118 cars and 150 motorcycles) with solar panel installations, achieving 19.49% electricity savings at its BRILiaN Tower headquarters facility.</w:t>
      </w:r>
      <w:r>
        <w:rPr>
          <w:rFonts w:ascii="Arial" w:hAnsi="Arial"/>
          <w:i/>
          <w:color w:val="555555"/>
        </w:rPr>
        <w:br/>
      </w:r>
      <w:r>
        <w:rPr>
          <w:rFonts w:ascii="Arial" w:hAnsi="Arial"/>
          <w:i/>
          <w:color w:val="555555"/>
        </w:rPr>
        <w:br/>
        <w:t>**Recommendation**: Implement a three-phase diesel reduction program targeting the institution's backup generator fleet, which accounts for 64.74% of Scope 1 emissions. Phase 1 (0-12 months): Transition to biodiesel B35 blend for all stationary generators, leveraging Indonesia's mandatory biodiesel program to achieve an estimated 15-20% lifecycle emissions reduction per liter consumed. Phase 2 (12-24 months): Install solar photovoltaic systems with battery storage at the top 20 emitting facilities (representing approximately 70% of diesel consumption), following BRI's Green Network model, with target capacity of 50-100 kWp per site to reduce generator runtime by 40-60% during daylight hours. Phase 3 (24-36 months): Establish a renewable energy procurement strategy for grid electricity (Scope 2) to enable generator retirement at facilities with reliable grid supply, mirroring DBS's RE100 pathway.</w:t>
      </w:r>
      <w:r>
        <w:rPr>
          <w:rFonts w:ascii="Arial" w:hAnsi="Arial"/>
          <w:i/>
          <w:color w:val="555555"/>
        </w:rPr>
        <w:br/>
      </w:r>
      <w:r>
        <w:rPr>
          <w:rFonts w:ascii="Arial" w:hAnsi="Arial"/>
          <w:i/>
          <w:color w:val="555555"/>
        </w:rPr>
        <w:br/>
        <w:t>**Reference**: BRI (Green Network solar + EV program), DBS Group (RE100 renewable procurement)</w:t>
      </w:r>
      <w:r>
        <w:rPr>
          <w:rFonts w:ascii="Arial" w:hAnsi="Arial"/>
          <w:i/>
          <w:color w:val="555555"/>
        </w:rPr>
        <w:br/>
      </w:r>
      <w:r>
        <w:rPr>
          <w:rFonts w:ascii="Arial" w:hAnsi="Arial"/>
          <w:i/>
          <w:color w:val="555555"/>
        </w:rPr>
        <w:br/>
        <w:t>**Priority**: High — Diesel emissions growth trajectory (3.66% YoY) will compound without intervention, potentially increasing Scope 1 by 15-20% over a five-year horizon under business-as-usual expansion plans.</w:t>
      </w:r>
    </w:p>
    <w:p w14:paraId="273DB13F" w14:textId="77777777" w:rsidR="00141B56" w:rsidRDefault="00000000">
      <w:pPr>
        <w:spacing w:after="160"/>
        <w:jc w:val="both"/>
      </w:pPr>
      <w:r>
        <w:rPr>
          <w:rFonts w:ascii="Arial" w:hAnsi="Arial"/>
          <w:i/>
          <w:color w:val="555555"/>
        </w:rPr>
        <w:lastRenderedPageBreak/>
        <w:t>**Finding**: The institution's facility-level data quality score of 1.0 (primary metered data) across all top emitters represents a significant competitive advantage in ESG disclosure credibility, yet this granular data remains underutilized for operational decision-making. The concentration of 34.93% of emissions in just ten facilities presents a high-leverage opportunity for targeted abatement investments.</w:t>
      </w:r>
      <w:r>
        <w:rPr>
          <w:rFonts w:ascii="Arial" w:hAnsi="Arial"/>
          <w:i/>
          <w:color w:val="555555"/>
        </w:rPr>
        <w:br/>
      </w:r>
      <w:r>
        <w:rPr>
          <w:rFonts w:ascii="Arial" w:hAnsi="Arial"/>
          <w:i/>
          <w:color w:val="555555"/>
        </w:rPr>
        <w:br/>
        <w:t>**Benchmark**: BCA's sustainability reporting emphasizes facility-level green building certification and energy management systems, while BRI achieved Gold certification from the Green Building Council Indonesia (GBCI) for its headquarters tower, demonstrating that facility-specific interventions yield measurable results (19.49% electricity savings documented).</w:t>
      </w:r>
      <w:r>
        <w:rPr>
          <w:rFonts w:ascii="Arial" w:hAnsi="Arial"/>
          <w:i/>
          <w:color w:val="555555"/>
        </w:rPr>
        <w:br/>
      </w:r>
      <w:r>
        <w:rPr>
          <w:rFonts w:ascii="Arial" w:hAnsi="Arial"/>
          <w:i/>
          <w:color w:val="555555"/>
        </w:rPr>
        <w:br/>
        <w:t>**Recommendation**: Establish a "Scope 1 Reduction Taskforce" with facility-level emissions reduction targets for the top 20 emitting sites. Deploy automated energy management systems (reference: BRI's Kaseya auto-shutdown program) at these facilities to optimize HVAC scheduling, implement LED retrofitting, and install smart metering for real-time consumption monitoring. Set a 12-month target of 8-10% Scope 1 reduction at pilot facilities (FAC-0197, FAC-0198, FAC-0200), with successful protocols scaled network-wide in Year 2. Pursue green building certification (LEED or GBCI) for facilities undergoing major renovation, embedding energy efficiency into capital planning processes.</w:t>
      </w:r>
      <w:r>
        <w:rPr>
          <w:rFonts w:ascii="Arial" w:hAnsi="Arial"/>
          <w:i/>
          <w:color w:val="555555"/>
        </w:rPr>
        <w:br/>
      </w:r>
      <w:r>
        <w:rPr>
          <w:rFonts w:ascii="Arial" w:hAnsi="Arial"/>
          <w:i/>
          <w:color w:val="555555"/>
        </w:rPr>
        <w:br/>
        <w:t>**Reference**: BRI (Kaseya auto-shutdown, GBCI Gold certification), BCA (green office program)</w:t>
      </w:r>
      <w:r>
        <w:rPr>
          <w:rFonts w:ascii="Arial" w:hAnsi="Arial"/>
          <w:i/>
          <w:color w:val="555555"/>
        </w:rPr>
        <w:br/>
      </w:r>
      <w:r>
        <w:rPr>
          <w:rFonts w:ascii="Arial" w:hAnsi="Arial"/>
          <w:i/>
          <w:color w:val="555555"/>
        </w:rPr>
        <w:br/>
        <w:t>**Priority**: Medium — Complements diesel reduction program; lower capital intensity but requires operational behavior change and staff training.</w:t>
      </w:r>
    </w:p>
    <w:p w14:paraId="04C57D21" w14:textId="77777777" w:rsidR="00141B56" w:rsidRDefault="00000000">
      <w:r>
        <w:rPr>
          <w:rFonts w:ascii="Arial" w:hAnsi="Arial"/>
          <w:b/>
          <w:sz w:val="20"/>
        </w:rPr>
        <w:t>Table 1.1.1: Scope 1 Emissions by Source (2024)</w:t>
      </w:r>
    </w:p>
    <w:tbl>
      <w:tblPr>
        <w:tblW w:w="0" w:type="auto"/>
        <w:jc w:val="center"/>
        <w:tblLook w:val="04A0" w:firstRow="1" w:lastRow="0" w:firstColumn="1" w:lastColumn="0" w:noHBand="0" w:noVBand="1"/>
      </w:tblPr>
      <w:tblGrid>
        <w:gridCol w:w="2257"/>
        <w:gridCol w:w="2257"/>
        <w:gridCol w:w="2257"/>
        <w:gridCol w:w="2257"/>
      </w:tblGrid>
      <w:tr w:rsidR="00141B56" w14:paraId="58533C6A" w14:textId="77777777">
        <w:trPr>
          <w:jc w:val="center"/>
        </w:trPr>
        <w:tc>
          <w:tcPr>
            <w:tcW w:w="2257" w:type="dxa"/>
            <w:shd w:val="clear" w:color="auto" w:fill="1B3A6B"/>
          </w:tcPr>
          <w:p w14:paraId="275E1A28" w14:textId="77777777" w:rsidR="00141B56" w:rsidRDefault="00000000">
            <w:r>
              <w:rPr>
                <w:rFonts w:ascii="Arial" w:hAnsi="Arial"/>
                <w:b/>
                <w:color w:val="FFFFFF"/>
                <w:sz w:val="18"/>
              </w:rPr>
              <w:t>Emission Source</w:t>
            </w:r>
          </w:p>
        </w:tc>
        <w:tc>
          <w:tcPr>
            <w:tcW w:w="2257" w:type="dxa"/>
            <w:shd w:val="clear" w:color="auto" w:fill="1B3A6B"/>
          </w:tcPr>
          <w:p w14:paraId="601E28BA" w14:textId="77777777" w:rsidR="00141B56" w:rsidRDefault="00000000">
            <w:r>
              <w:rPr>
                <w:rFonts w:ascii="Arial" w:hAnsi="Arial"/>
                <w:b/>
                <w:color w:val="FFFFFF"/>
                <w:sz w:val="18"/>
              </w:rPr>
              <w:t>Emissions (tCO₂e)</w:t>
            </w:r>
          </w:p>
        </w:tc>
        <w:tc>
          <w:tcPr>
            <w:tcW w:w="2257" w:type="dxa"/>
            <w:shd w:val="clear" w:color="auto" w:fill="1B3A6B"/>
          </w:tcPr>
          <w:p w14:paraId="000D4A41" w14:textId="77777777" w:rsidR="00141B56" w:rsidRDefault="00000000">
            <w:r>
              <w:rPr>
                <w:rFonts w:ascii="Arial" w:hAnsi="Arial"/>
                <w:b/>
                <w:color w:val="FFFFFF"/>
                <w:sz w:val="18"/>
              </w:rPr>
              <w:t>Percentage of Scope 1</w:t>
            </w:r>
          </w:p>
        </w:tc>
        <w:tc>
          <w:tcPr>
            <w:tcW w:w="2257" w:type="dxa"/>
            <w:shd w:val="clear" w:color="auto" w:fill="1B3A6B"/>
          </w:tcPr>
          <w:p w14:paraId="18E65B8F" w14:textId="77777777" w:rsidR="00141B56" w:rsidRDefault="00000000">
            <w:r>
              <w:rPr>
                <w:rFonts w:ascii="Arial" w:hAnsi="Arial"/>
                <w:b/>
                <w:color w:val="FFFFFF"/>
                <w:sz w:val="18"/>
              </w:rPr>
              <w:t>Primary Fuel Type</w:t>
            </w:r>
          </w:p>
        </w:tc>
      </w:tr>
      <w:tr w:rsidR="00141B56" w14:paraId="681DE5E4" w14:textId="77777777">
        <w:trPr>
          <w:jc w:val="center"/>
        </w:trPr>
        <w:tc>
          <w:tcPr>
            <w:tcW w:w="2257" w:type="dxa"/>
          </w:tcPr>
          <w:p w14:paraId="0C41903D" w14:textId="77777777" w:rsidR="00141B56" w:rsidRDefault="00000000">
            <w:r>
              <w:rPr>
                <w:rFonts w:ascii="Arial" w:hAnsi="Arial"/>
                <w:sz w:val="18"/>
              </w:rPr>
              <w:t>Natural Gas Combustion</w:t>
            </w:r>
          </w:p>
        </w:tc>
        <w:tc>
          <w:tcPr>
            <w:tcW w:w="2257" w:type="dxa"/>
          </w:tcPr>
          <w:p w14:paraId="4A471A60" w14:textId="77777777" w:rsidR="00141B56" w:rsidRDefault="00000000">
            <w:pPr>
              <w:jc w:val="right"/>
            </w:pPr>
            <w:r>
              <w:rPr>
                <w:rFonts w:ascii="Arial" w:hAnsi="Arial"/>
                <w:sz w:val="18"/>
              </w:rPr>
              <w:t>1199.7924</w:t>
            </w:r>
          </w:p>
        </w:tc>
        <w:tc>
          <w:tcPr>
            <w:tcW w:w="2257" w:type="dxa"/>
          </w:tcPr>
          <w:p w14:paraId="24CBA0C8" w14:textId="77777777" w:rsidR="00141B56" w:rsidRDefault="00000000">
            <w:pPr>
              <w:jc w:val="right"/>
            </w:pPr>
            <w:r>
              <w:rPr>
                <w:rFonts w:ascii="Arial" w:hAnsi="Arial"/>
                <w:sz w:val="18"/>
              </w:rPr>
              <w:t>35.26%</w:t>
            </w:r>
          </w:p>
        </w:tc>
        <w:tc>
          <w:tcPr>
            <w:tcW w:w="2257" w:type="dxa"/>
          </w:tcPr>
          <w:p w14:paraId="32E3CC35" w14:textId="77777777" w:rsidR="00141B56" w:rsidRDefault="00000000">
            <w:r>
              <w:rPr>
                <w:rFonts w:ascii="Arial" w:hAnsi="Arial"/>
                <w:sz w:val="18"/>
              </w:rPr>
              <w:t>Natural Gas (Pipeline)</w:t>
            </w:r>
          </w:p>
        </w:tc>
      </w:tr>
      <w:tr w:rsidR="00141B56" w14:paraId="5AAC57B8" w14:textId="77777777">
        <w:trPr>
          <w:jc w:val="center"/>
        </w:trPr>
        <w:tc>
          <w:tcPr>
            <w:tcW w:w="2257" w:type="dxa"/>
            <w:shd w:val="clear" w:color="auto" w:fill="F2F6FC"/>
          </w:tcPr>
          <w:p w14:paraId="5E095775" w14:textId="77777777" w:rsidR="00141B56" w:rsidRDefault="00000000">
            <w:r>
              <w:rPr>
                <w:rFonts w:ascii="Arial" w:hAnsi="Arial"/>
                <w:sz w:val="18"/>
              </w:rPr>
              <w:t>Diesel Combustion</w:t>
            </w:r>
          </w:p>
        </w:tc>
        <w:tc>
          <w:tcPr>
            <w:tcW w:w="2257" w:type="dxa"/>
            <w:shd w:val="clear" w:color="auto" w:fill="F2F6FC"/>
          </w:tcPr>
          <w:p w14:paraId="276D1878" w14:textId="77777777" w:rsidR="00141B56" w:rsidRDefault="00000000">
            <w:pPr>
              <w:jc w:val="right"/>
            </w:pPr>
            <w:r>
              <w:rPr>
                <w:rFonts w:ascii="Arial" w:hAnsi="Arial"/>
                <w:sz w:val="18"/>
              </w:rPr>
              <w:t>2203.2044</w:t>
            </w:r>
          </w:p>
        </w:tc>
        <w:tc>
          <w:tcPr>
            <w:tcW w:w="2257" w:type="dxa"/>
            <w:shd w:val="clear" w:color="auto" w:fill="F2F6FC"/>
          </w:tcPr>
          <w:p w14:paraId="1F507BD4" w14:textId="77777777" w:rsidR="00141B56" w:rsidRDefault="00000000">
            <w:pPr>
              <w:jc w:val="right"/>
            </w:pPr>
            <w:r>
              <w:rPr>
                <w:rFonts w:ascii="Arial" w:hAnsi="Arial"/>
                <w:sz w:val="18"/>
              </w:rPr>
              <w:t>64.74%</w:t>
            </w:r>
          </w:p>
        </w:tc>
        <w:tc>
          <w:tcPr>
            <w:tcW w:w="2257" w:type="dxa"/>
            <w:shd w:val="clear" w:color="auto" w:fill="F2F6FC"/>
          </w:tcPr>
          <w:p w14:paraId="6DAB2B63" w14:textId="77777777" w:rsidR="00141B56" w:rsidRDefault="00000000">
            <w:r>
              <w:rPr>
                <w:rFonts w:ascii="Arial" w:hAnsi="Arial"/>
                <w:sz w:val="18"/>
              </w:rPr>
              <w:t>Diesel Fuel (Backup Generators)</w:t>
            </w:r>
          </w:p>
        </w:tc>
      </w:tr>
      <w:tr w:rsidR="00141B56" w14:paraId="6B8EFA51" w14:textId="77777777">
        <w:trPr>
          <w:jc w:val="center"/>
        </w:trPr>
        <w:tc>
          <w:tcPr>
            <w:tcW w:w="2257" w:type="dxa"/>
          </w:tcPr>
          <w:p w14:paraId="20AE1745" w14:textId="77777777" w:rsidR="00141B56" w:rsidRDefault="00000000">
            <w:r>
              <w:rPr>
                <w:rFonts w:ascii="Arial" w:hAnsi="Arial"/>
                <w:sz w:val="18"/>
              </w:rPr>
              <w:t>**Total Scope 1**</w:t>
            </w:r>
          </w:p>
        </w:tc>
        <w:tc>
          <w:tcPr>
            <w:tcW w:w="2257" w:type="dxa"/>
          </w:tcPr>
          <w:p w14:paraId="51BF7B58" w14:textId="77777777" w:rsidR="00141B56" w:rsidRDefault="00000000">
            <w:r>
              <w:rPr>
                <w:rFonts w:ascii="Arial" w:hAnsi="Arial"/>
                <w:sz w:val="18"/>
              </w:rPr>
              <w:t>**3402.997**</w:t>
            </w:r>
          </w:p>
        </w:tc>
        <w:tc>
          <w:tcPr>
            <w:tcW w:w="2257" w:type="dxa"/>
          </w:tcPr>
          <w:p w14:paraId="39EBD189" w14:textId="77777777" w:rsidR="00141B56" w:rsidRDefault="00000000">
            <w:r>
              <w:rPr>
                <w:rFonts w:ascii="Arial" w:hAnsi="Arial"/>
                <w:sz w:val="18"/>
              </w:rPr>
              <w:t>**100.00%**</w:t>
            </w:r>
          </w:p>
        </w:tc>
        <w:tc>
          <w:tcPr>
            <w:tcW w:w="2257" w:type="dxa"/>
          </w:tcPr>
          <w:p w14:paraId="26D24432" w14:textId="77777777" w:rsidR="00141B56" w:rsidRDefault="00000000">
            <w:r>
              <w:rPr>
                <w:rFonts w:ascii="Arial" w:hAnsi="Arial"/>
                <w:sz w:val="18"/>
              </w:rPr>
              <w:t>—</w:t>
            </w:r>
          </w:p>
        </w:tc>
      </w:tr>
    </w:tbl>
    <w:p w14:paraId="6725F28E" w14:textId="77777777" w:rsidR="00141B56" w:rsidRDefault="00000000">
      <w:r>
        <w:rPr>
          <w:rFonts w:ascii="Arial" w:hAnsi="Arial"/>
          <w:i/>
          <w:sz w:val="16"/>
        </w:rPr>
        <w:t>Source: Source: Institution's operational data management system. Emissions calculated per GHG Protocol Corporate Standard using MEMR emission factors (natural gas) and IPCC 2006 Guidelines (diesel). GWP values from IPCC AR6.</w:t>
      </w:r>
    </w:p>
    <w:p w14:paraId="35D7189D" w14:textId="77777777" w:rsidR="00141B56" w:rsidRDefault="00141B56"/>
    <w:p w14:paraId="17D80F83" w14:textId="77777777" w:rsidR="00141B56" w:rsidRDefault="00000000">
      <w:r>
        <w:rPr>
          <w:rFonts w:ascii="Arial" w:hAnsi="Arial"/>
          <w:b/>
          <w:sz w:val="20"/>
        </w:rPr>
        <w:t>Table 1.1.2: Year-over-Year Scope 1 Emissions Comparison</w:t>
      </w:r>
    </w:p>
    <w:tbl>
      <w:tblPr>
        <w:tblW w:w="0" w:type="auto"/>
        <w:jc w:val="center"/>
        <w:tblLook w:val="04A0" w:firstRow="1" w:lastRow="0" w:firstColumn="1" w:lastColumn="0" w:noHBand="0" w:noVBand="1"/>
      </w:tblPr>
      <w:tblGrid>
        <w:gridCol w:w="1806"/>
        <w:gridCol w:w="1806"/>
        <w:gridCol w:w="1806"/>
        <w:gridCol w:w="1806"/>
        <w:gridCol w:w="1806"/>
      </w:tblGrid>
      <w:tr w:rsidR="00141B56" w14:paraId="6761A2D0" w14:textId="77777777">
        <w:trPr>
          <w:jc w:val="center"/>
        </w:trPr>
        <w:tc>
          <w:tcPr>
            <w:tcW w:w="1806" w:type="dxa"/>
            <w:shd w:val="clear" w:color="auto" w:fill="1B3A6B"/>
          </w:tcPr>
          <w:p w14:paraId="56D7CB36" w14:textId="77777777" w:rsidR="00141B56" w:rsidRDefault="00000000">
            <w:r>
              <w:rPr>
                <w:rFonts w:ascii="Arial" w:hAnsi="Arial"/>
                <w:b/>
                <w:color w:val="FFFFFF"/>
                <w:sz w:val="18"/>
              </w:rPr>
              <w:t>Metric</w:t>
            </w:r>
          </w:p>
        </w:tc>
        <w:tc>
          <w:tcPr>
            <w:tcW w:w="1806" w:type="dxa"/>
            <w:shd w:val="clear" w:color="auto" w:fill="1B3A6B"/>
          </w:tcPr>
          <w:p w14:paraId="2F9BC06B" w14:textId="77777777" w:rsidR="00141B56" w:rsidRDefault="00000000">
            <w:r>
              <w:rPr>
                <w:rFonts w:ascii="Arial" w:hAnsi="Arial"/>
                <w:b/>
                <w:color w:val="FFFFFF"/>
                <w:sz w:val="18"/>
              </w:rPr>
              <w:t>2023</w:t>
            </w:r>
          </w:p>
        </w:tc>
        <w:tc>
          <w:tcPr>
            <w:tcW w:w="1806" w:type="dxa"/>
            <w:shd w:val="clear" w:color="auto" w:fill="1B3A6B"/>
          </w:tcPr>
          <w:p w14:paraId="05318EA2" w14:textId="77777777" w:rsidR="00141B56" w:rsidRDefault="00000000">
            <w:r>
              <w:rPr>
                <w:rFonts w:ascii="Arial" w:hAnsi="Arial"/>
                <w:b/>
                <w:color w:val="FFFFFF"/>
                <w:sz w:val="18"/>
              </w:rPr>
              <w:t>2024</w:t>
            </w:r>
          </w:p>
        </w:tc>
        <w:tc>
          <w:tcPr>
            <w:tcW w:w="1806" w:type="dxa"/>
            <w:shd w:val="clear" w:color="auto" w:fill="1B3A6B"/>
          </w:tcPr>
          <w:p w14:paraId="59399472" w14:textId="77777777" w:rsidR="00141B56" w:rsidRDefault="00000000">
            <w:r>
              <w:rPr>
                <w:rFonts w:ascii="Arial" w:hAnsi="Arial"/>
                <w:b/>
                <w:color w:val="FFFFFF"/>
                <w:sz w:val="18"/>
              </w:rPr>
              <w:t>Absolute Change</w:t>
            </w:r>
          </w:p>
        </w:tc>
        <w:tc>
          <w:tcPr>
            <w:tcW w:w="1806" w:type="dxa"/>
            <w:shd w:val="clear" w:color="auto" w:fill="1B3A6B"/>
          </w:tcPr>
          <w:p w14:paraId="1100D114" w14:textId="77777777" w:rsidR="00141B56" w:rsidRDefault="00000000">
            <w:r>
              <w:rPr>
                <w:rFonts w:ascii="Arial" w:hAnsi="Arial"/>
                <w:b/>
                <w:color w:val="FFFFFF"/>
                <w:sz w:val="18"/>
              </w:rPr>
              <w:t>Percentage Change</w:t>
            </w:r>
          </w:p>
        </w:tc>
      </w:tr>
      <w:tr w:rsidR="00141B56" w14:paraId="322EC822" w14:textId="77777777">
        <w:trPr>
          <w:jc w:val="center"/>
        </w:trPr>
        <w:tc>
          <w:tcPr>
            <w:tcW w:w="1806" w:type="dxa"/>
          </w:tcPr>
          <w:p w14:paraId="27AFE865" w14:textId="77777777" w:rsidR="00141B56" w:rsidRDefault="00000000">
            <w:r>
              <w:rPr>
                <w:rFonts w:ascii="Arial" w:hAnsi="Arial"/>
                <w:sz w:val="18"/>
              </w:rPr>
              <w:t>Natural Gas Combustion (tCO₂e)</w:t>
            </w:r>
          </w:p>
        </w:tc>
        <w:tc>
          <w:tcPr>
            <w:tcW w:w="1806" w:type="dxa"/>
          </w:tcPr>
          <w:p w14:paraId="22733493" w14:textId="77777777" w:rsidR="00141B56" w:rsidRDefault="00000000">
            <w:pPr>
              <w:jc w:val="right"/>
            </w:pPr>
            <w:r>
              <w:rPr>
                <w:rFonts w:ascii="Arial" w:hAnsi="Arial"/>
                <w:sz w:val="18"/>
              </w:rPr>
              <w:t>1199.0321</w:t>
            </w:r>
          </w:p>
        </w:tc>
        <w:tc>
          <w:tcPr>
            <w:tcW w:w="1806" w:type="dxa"/>
          </w:tcPr>
          <w:p w14:paraId="38B4A2A0" w14:textId="77777777" w:rsidR="00141B56" w:rsidRDefault="00000000">
            <w:pPr>
              <w:jc w:val="right"/>
            </w:pPr>
            <w:r>
              <w:rPr>
                <w:rFonts w:ascii="Arial" w:hAnsi="Arial"/>
                <w:sz w:val="18"/>
              </w:rPr>
              <w:t>1199.7924</w:t>
            </w:r>
          </w:p>
        </w:tc>
        <w:tc>
          <w:tcPr>
            <w:tcW w:w="1806" w:type="dxa"/>
          </w:tcPr>
          <w:p w14:paraId="04CFA8F3" w14:textId="77777777" w:rsidR="00141B56" w:rsidRDefault="00000000">
            <w:pPr>
              <w:jc w:val="right"/>
            </w:pPr>
            <w:r>
              <w:rPr>
                <w:rFonts w:ascii="Arial" w:hAnsi="Arial"/>
                <w:sz w:val="18"/>
              </w:rPr>
              <w:t>+0.7603</w:t>
            </w:r>
          </w:p>
        </w:tc>
        <w:tc>
          <w:tcPr>
            <w:tcW w:w="1806" w:type="dxa"/>
          </w:tcPr>
          <w:p w14:paraId="2D911712" w14:textId="77777777" w:rsidR="00141B56" w:rsidRDefault="00000000">
            <w:pPr>
              <w:jc w:val="right"/>
            </w:pPr>
            <w:r>
              <w:rPr>
                <w:rFonts w:ascii="Arial" w:hAnsi="Arial"/>
                <w:sz w:val="18"/>
              </w:rPr>
              <w:t>+0.06%</w:t>
            </w:r>
          </w:p>
        </w:tc>
      </w:tr>
      <w:tr w:rsidR="00141B56" w14:paraId="32FE7050" w14:textId="77777777">
        <w:trPr>
          <w:jc w:val="center"/>
        </w:trPr>
        <w:tc>
          <w:tcPr>
            <w:tcW w:w="1806" w:type="dxa"/>
            <w:shd w:val="clear" w:color="auto" w:fill="F2F6FC"/>
          </w:tcPr>
          <w:p w14:paraId="47C09BD7" w14:textId="77777777" w:rsidR="00141B56" w:rsidRDefault="00000000">
            <w:r>
              <w:rPr>
                <w:rFonts w:ascii="Arial" w:hAnsi="Arial"/>
                <w:sz w:val="18"/>
              </w:rPr>
              <w:t xml:space="preserve">Diesel Combustion </w:t>
            </w:r>
            <w:r>
              <w:rPr>
                <w:rFonts w:ascii="Arial" w:hAnsi="Arial"/>
                <w:sz w:val="18"/>
              </w:rPr>
              <w:lastRenderedPageBreak/>
              <w:t>(tCO₂e)</w:t>
            </w:r>
          </w:p>
        </w:tc>
        <w:tc>
          <w:tcPr>
            <w:tcW w:w="1806" w:type="dxa"/>
            <w:shd w:val="clear" w:color="auto" w:fill="F2F6FC"/>
          </w:tcPr>
          <w:p w14:paraId="432758A1" w14:textId="77777777" w:rsidR="00141B56" w:rsidRDefault="00000000">
            <w:pPr>
              <w:jc w:val="right"/>
            </w:pPr>
            <w:r>
              <w:rPr>
                <w:rFonts w:ascii="Arial" w:hAnsi="Arial"/>
                <w:sz w:val="18"/>
              </w:rPr>
              <w:lastRenderedPageBreak/>
              <w:t>2125.4888</w:t>
            </w:r>
          </w:p>
        </w:tc>
        <w:tc>
          <w:tcPr>
            <w:tcW w:w="1806" w:type="dxa"/>
            <w:shd w:val="clear" w:color="auto" w:fill="F2F6FC"/>
          </w:tcPr>
          <w:p w14:paraId="577FE3F1" w14:textId="77777777" w:rsidR="00141B56" w:rsidRDefault="00000000">
            <w:pPr>
              <w:jc w:val="right"/>
            </w:pPr>
            <w:r>
              <w:rPr>
                <w:rFonts w:ascii="Arial" w:hAnsi="Arial"/>
                <w:sz w:val="18"/>
              </w:rPr>
              <w:t>2203.2044</w:t>
            </w:r>
          </w:p>
        </w:tc>
        <w:tc>
          <w:tcPr>
            <w:tcW w:w="1806" w:type="dxa"/>
            <w:shd w:val="clear" w:color="auto" w:fill="F2F6FC"/>
          </w:tcPr>
          <w:p w14:paraId="60586B04" w14:textId="77777777" w:rsidR="00141B56" w:rsidRDefault="00000000">
            <w:pPr>
              <w:jc w:val="right"/>
            </w:pPr>
            <w:r>
              <w:rPr>
                <w:rFonts w:ascii="Arial" w:hAnsi="Arial"/>
                <w:sz w:val="18"/>
              </w:rPr>
              <w:t>+77.7156</w:t>
            </w:r>
          </w:p>
        </w:tc>
        <w:tc>
          <w:tcPr>
            <w:tcW w:w="1806" w:type="dxa"/>
            <w:shd w:val="clear" w:color="auto" w:fill="F2F6FC"/>
          </w:tcPr>
          <w:p w14:paraId="3B0E69D2" w14:textId="77777777" w:rsidR="00141B56" w:rsidRDefault="00000000">
            <w:pPr>
              <w:jc w:val="right"/>
            </w:pPr>
            <w:r>
              <w:rPr>
                <w:rFonts w:ascii="Arial" w:hAnsi="Arial"/>
                <w:sz w:val="18"/>
              </w:rPr>
              <w:t>+3.66%</w:t>
            </w:r>
          </w:p>
        </w:tc>
      </w:tr>
      <w:tr w:rsidR="00141B56" w14:paraId="573C2C69" w14:textId="77777777">
        <w:trPr>
          <w:jc w:val="center"/>
        </w:trPr>
        <w:tc>
          <w:tcPr>
            <w:tcW w:w="1806" w:type="dxa"/>
          </w:tcPr>
          <w:p w14:paraId="66276A6D" w14:textId="77777777" w:rsidR="00141B56" w:rsidRDefault="00000000">
            <w:r>
              <w:rPr>
                <w:rFonts w:ascii="Arial" w:hAnsi="Arial"/>
                <w:sz w:val="18"/>
              </w:rPr>
              <w:t>**Total Scope 1 (tCO₂e)**</w:t>
            </w:r>
          </w:p>
        </w:tc>
        <w:tc>
          <w:tcPr>
            <w:tcW w:w="1806" w:type="dxa"/>
          </w:tcPr>
          <w:p w14:paraId="112ACEBD" w14:textId="77777777" w:rsidR="00141B56" w:rsidRDefault="00000000">
            <w:r>
              <w:rPr>
                <w:rFonts w:ascii="Arial" w:hAnsi="Arial"/>
                <w:sz w:val="18"/>
              </w:rPr>
              <w:t>**3324.521**</w:t>
            </w:r>
          </w:p>
        </w:tc>
        <w:tc>
          <w:tcPr>
            <w:tcW w:w="1806" w:type="dxa"/>
          </w:tcPr>
          <w:p w14:paraId="3249D4CB" w14:textId="77777777" w:rsidR="00141B56" w:rsidRDefault="00000000">
            <w:r>
              <w:rPr>
                <w:rFonts w:ascii="Arial" w:hAnsi="Arial"/>
                <w:sz w:val="18"/>
              </w:rPr>
              <w:t>**3402.997**</w:t>
            </w:r>
          </w:p>
        </w:tc>
        <w:tc>
          <w:tcPr>
            <w:tcW w:w="1806" w:type="dxa"/>
          </w:tcPr>
          <w:p w14:paraId="5575490F" w14:textId="77777777" w:rsidR="00141B56" w:rsidRDefault="00000000">
            <w:r>
              <w:rPr>
                <w:rFonts w:ascii="Arial" w:hAnsi="Arial"/>
                <w:sz w:val="18"/>
              </w:rPr>
              <w:t>**+78.476**</w:t>
            </w:r>
          </w:p>
        </w:tc>
        <w:tc>
          <w:tcPr>
            <w:tcW w:w="1806" w:type="dxa"/>
          </w:tcPr>
          <w:p w14:paraId="0F80B213" w14:textId="77777777" w:rsidR="00141B56" w:rsidRDefault="00000000">
            <w:r>
              <w:rPr>
                <w:rFonts w:ascii="Arial" w:hAnsi="Arial"/>
                <w:sz w:val="18"/>
              </w:rPr>
              <w:t>**+2.36%**</w:t>
            </w:r>
          </w:p>
        </w:tc>
      </w:tr>
    </w:tbl>
    <w:p w14:paraId="3A80AA1C" w14:textId="77777777" w:rsidR="00141B56" w:rsidRDefault="00000000">
      <w:r>
        <w:rPr>
          <w:rFonts w:ascii="Arial" w:hAnsi="Arial"/>
          <w:i/>
          <w:sz w:val="16"/>
        </w:rPr>
        <w:t>Source: Source: Institution's GHG inventory database. Prior year figures restated for consistency with current methodology (no material adjustments required).</w:t>
      </w:r>
    </w:p>
    <w:p w14:paraId="750AD893" w14:textId="77777777" w:rsidR="00141B56" w:rsidRDefault="00141B56"/>
    <w:p w14:paraId="3C236887" w14:textId="77777777" w:rsidR="00141B56" w:rsidRDefault="00000000">
      <w:r>
        <w:rPr>
          <w:rFonts w:ascii="Arial" w:hAnsi="Arial"/>
          <w:b/>
          <w:sz w:val="20"/>
        </w:rPr>
        <w:t>Table 1.1.3: Top 10 Emitting Facilities — Scope 1 Breakdown (2024)</w:t>
      </w:r>
    </w:p>
    <w:tbl>
      <w:tblPr>
        <w:tblW w:w="0" w:type="auto"/>
        <w:jc w:val="center"/>
        <w:tblLook w:val="04A0" w:firstRow="1" w:lastRow="0" w:firstColumn="1" w:lastColumn="0" w:noHBand="0" w:noVBand="1"/>
      </w:tblPr>
      <w:tblGrid>
        <w:gridCol w:w="1806"/>
        <w:gridCol w:w="1806"/>
        <w:gridCol w:w="1806"/>
        <w:gridCol w:w="1806"/>
        <w:gridCol w:w="1806"/>
      </w:tblGrid>
      <w:tr w:rsidR="00141B56" w14:paraId="65EE81B7" w14:textId="77777777">
        <w:trPr>
          <w:jc w:val="center"/>
        </w:trPr>
        <w:tc>
          <w:tcPr>
            <w:tcW w:w="1806" w:type="dxa"/>
            <w:shd w:val="clear" w:color="auto" w:fill="1B3A6B"/>
          </w:tcPr>
          <w:p w14:paraId="356DD6E4" w14:textId="77777777" w:rsidR="00141B56" w:rsidRDefault="00000000">
            <w:r>
              <w:rPr>
                <w:rFonts w:ascii="Arial" w:hAnsi="Arial"/>
                <w:b/>
                <w:color w:val="FFFFFF"/>
                <w:sz w:val="18"/>
              </w:rPr>
              <w:t>Facility ID</w:t>
            </w:r>
          </w:p>
        </w:tc>
        <w:tc>
          <w:tcPr>
            <w:tcW w:w="1806" w:type="dxa"/>
            <w:shd w:val="clear" w:color="auto" w:fill="1B3A6B"/>
          </w:tcPr>
          <w:p w14:paraId="51D9A61E" w14:textId="77777777" w:rsidR="00141B56" w:rsidRDefault="00000000">
            <w:r>
              <w:rPr>
                <w:rFonts w:ascii="Arial" w:hAnsi="Arial"/>
                <w:b/>
                <w:color w:val="FFFFFF"/>
                <w:sz w:val="18"/>
              </w:rPr>
              <w:t>Total Scope 1 (tCO₂e)</w:t>
            </w:r>
          </w:p>
        </w:tc>
        <w:tc>
          <w:tcPr>
            <w:tcW w:w="1806" w:type="dxa"/>
            <w:shd w:val="clear" w:color="auto" w:fill="1B3A6B"/>
          </w:tcPr>
          <w:p w14:paraId="25C6BD11" w14:textId="77777777" w:rsidR="00141B56" w:rsidRDefault="00000000">
            <w:r>
              <w:rPr>
                <w:rFonts w:ascii="Arial" w:hAnsi="Arial"/>
                <w:b/>
                <w:color w:val="FFFFFF"/>
                <w:sz w:val="18"/>
              </w:rPr>
              <w:t>Natural Gas (tCO₂e)</w:t>
            </w:r>
          </w:p>
        </w:tc>
        <w:tc>
          <w:tcPr>
            <w:tcW w:w="1806" w:type="dxa"/>
            <w:shd w:val="clear" w:color="auto" w:fill="1B3A6B"/>
          </w:tcPr>
          <w:p w14:paraId="54500BCB" w14:textId="77777777" w:rsidR="00141B56" w:rsidRDefault="00000000">
            <w:r>
              <w:rPr>
                <w:rFonts w:ascii="Arial" w:hAnsi="Arial"/>
                <w:b/>
                <w:color w:val="FFFFFF"/>
                <w:sz w:val="18"/>
              </w:rPr>
              <w:t>Diesel (tCO₂e)</w:t>
            </w:r>
          </w:p>
        </w:tc>
        <w:tc>
          <w:tcPr>
            <w:tcW w:w="1806" w:type="dxa"/>
            <w:shd w:val="clear" w:color="auto" w:fill="1B3A6B"/>
          </w:tcPr>
          <w:p w14:paraId="1DE143B0" w14:textId="77777777" w:rsidR="00141B56" w:rsidRDefault="00000000">
            <w:r>
              <w:rPr>
                <w:rFonts w:ascii="Arial" w:hAnsi="Arial"/>
                <w:b/>
                <w:color w:val="FFFFFF"/>
                <w:sz w:val="18"/>
              </w:rPr>
              <w:t>Data Quality Score</w:t>
            </w:r>
          </w:p>
        </w:tc>
      </w:tr>
      <w:tr w:rsidR="00141B56" w14:paraId="1DD8FCA3" w14:textId="77777777">
        <w:trPr>
          <w:jc w:val="center"/>
        </w:trPr>
        <w:tc>
          <w:tcPr>
            <w:tcW w:w="1806" w:type="dxa"/>
          </w:tcPr>
          <w:p w14:paraId="09F32DF7" w14:textId="77777777" w:rsidR="00141B56" w:rsidRDefault="00000000">
            <w:r>
              <w:rPr>
                <w:rFonts w:ascii="Arial" w:hAnsi="Arial"/>
                <w:sz w:val="18"/>
              </w:rPr>
              <w:t>FAC-0197</w:t>
            </w:r>
          </w:p>
        </w:tc>
        <w:tc>
          <w:tcPr>
            <w:tcW w:w="1806" w:type="dxa"/>
          </w:tcPr>
          <w:p w14:paraId="51370019" w14:textId="77777777" w:rsidR="00141B56" w:rsidRDefault="00000000">
            <w:pPr>
              <w:jc w:val="right"/>
            </w:pPr>
            <w:r>
              <w:rPr>
                <w:rFonts w:ascii="Arial" w:hAnsi="Arial"/>
                <w:sz w:val="18"/>
              </w:rPr>
              <w:t>147.7152</w:t>
            </w:r>
          </w:p>
        </w:tc>
        <w:tc>
          <w:tcPr>
            <w:tcW w:w="1806" w:type="dxa"/>
          </w:tcPr>
          <w:p w14:paraId="460B8EBB" w14:textId="77777777" w:rsidR="00141B56" w:rsidRDefault="00000000">
            <w:pPr>
              <w:jc w:val="right"/>
            </w:pPr>
            <w:r>
              <w:rPr>
                <w:rFonts w:ascii="Arial" w:hAnsi="Arial"/>
                <w:sz w:val="18"/>
              </w:rPr>
              <w:t>65.1748</w:t>
            </w:r>
          </w:p>
        </w:tc>
        <w:tc>
          <w:tcPr>
            <w:tcW w:w="1806" w:type="dxa"/>
          </w:tcPr>
          <w:p w14:paraId="446F78FF" w14:textId="77777777" w:rsidR="00141B56" w:rsidRDefault="00000000">
            <w:pPr>
              <w:jc w:val="right"/>
            </w:pPr>
            <w:r>
              <w:rPr>
                <w:rFonts w:ascii="Arial" w:hAnsi="Arial"/>
                <w:sz w:val="18"/>
              </w:rPr>
              <w:t>82.5404</w:t>
            </w:r>
          </w:p>
        </w:tc>
        <w:tc>
          <w:tcPr>
            <w:tcW w:w="1806" w:type="dxa"/>
          </w:tcPr>
          <w:p w14:paraId="0381990B" w14:textId="77777777" w:rsidR="00141B56" w:rsidRDefault="00000000">
            <w:pPr>
              <w:jc w:val="right"/>
            </w:pPr>
            <w:r>
              <w:rPr>
                <w:rFonts w:ascii="Arial" w:hAnsi="Arial"/>
                <w:sz w:val="18"/>
              </w:rPr>
              <w:t>1</w:t>
            </w:r>
          </w:p>
        </w:tc>
      </w:tr>
      <w:tr w:rsidR="00141B56" w14:paraId="06F37F42" w14:textId="77777777">
        <w:trPr>
          <w:jc w:val="center"/>
        </w:trPr>
        <w:tc>
          <w:tcPr>
            <w:tcW w:w="1806" w:type="dxa"/>
            <w:shd w:val="clear" w:color="auto" w:fill="F2F6FC"/>
          </w:tcPr>
          <w:p w14:paraId="2860B130" w14:textId="77777777" w:rsidR="00141B56" w:rsidRDefault="00000000">
            <w:r>
              <w:rPr>
                <w:rFonts w:ascii="Arial" w:hAnsi="Arial"/>
                <w:sz w:val="18"/>
              </w:rPr>
              <w:t>FAC-0198</w:t>
            </w:r>
          </w:p>
        </w:tc>
        <w:tc>
          <w:tcPr>
            <w:tcW w:w="1806" w:type="dxa"/>
            <w:shd w:val="clear" w:color="auto" w:fill="F2F6FC"/>
          </w:tcPr>
          <w:p w14:paraId="207A4C37" w14:textId="77777777" w:rsidR="00141B56" w:rsidRDefault="00000000">
            <w:pPr>
              <w:jc w:val="right"/>
            </w:pPr>
            <w:r>
              <w:rPr>
                <w:rFonts w:ascii="Arial" w:hAnsi="Arial"/>
                <w:sz w:val="18"/>
              </w:rPr>
              <w:t>137.8381</w:t>
            </w:r>
          </w:p>
        </w:tc>
        <w:tc>
          <w:tcPr>
            <w:tcW w:w="1806" w:type="dxa"/>
            <w:shd w:val="clear" w:color="auto" w:fill="F2F6FC"/>
          </w:tcPr>
          <w:p w14:paraId="0ECAA24A" w14:textId="77777777" w:rsidR="00141B56" w:rsidRDefault="00000000">
            <w:pPr>
              <w:jc w:val="right"/>
            </w:pPr>
            <w:r>
              <w:rPr>
                <w:rFonts w:ascii="Arial" w:hAnsi="Arial"/>
                <w:sz w:val="18"/>
              </w:rPr>
              <w:t>54.4460</w:t>
            </w:r>
          </w:p>
        </w:tc>
        <w:tc>
          <w:tcPr>
            <w:tcW w:w="1806" w:type="dxa"/>
            <w:shd w:val="clear" w:color="auto" w:fill="F2F6FC"/>
          </w:tcPr>
          <w:p w14:paraId="0EC0AF3A" w14:textId="77777777" w:rsidR="00141B56" w:rsidRDefault="00000000">
            <w:pPr>
              <w:jc w:val="right"/>
            </w:pPr>
            <w:r>
              <w:rPr>
                <w:rFonts w:ascii="Arial" w:hAnsi="Arial"/>
                <w:sz w:val="18"/>
              </w:rPr>
              <w:t>83.3921</w:t>
            </w:r>
          </w:p>
        </w:tc>
        <w:tc>
          <w:tcPr>
            <w:tcW w:w="1806" w:type="dxa"/>
            <w:shd w:val="clear" w:color="auto" w:fill="F2F6FC"/>
          </w:tcPr>
          <w:p w14:paraId="110EFC58" w14:textId="77777777" w:rsidR="00141B56" w:rsidRDefault="00000000">
            <w:pPr>
              <w:jc w:val="right"/>
            </w:pPr>
            <w:r>
              <w:rPr>
                <w:rFonts w:ascii="Arial" w:hAnsi="Arial"/>
                <w:sz w:val="18"/>
              </w:rPr>
              <w:t>1</w:t>
            </w:r>
          </w:p>
        </w:tc>
      </w:tr>
      <w:tr w:rsidR="00141B56" w14:paraId="5479EAF8" w14:textId="77777777">
        <w:trPr>
          <w:jc w:val="center"/>
        </w:trPr>
        <w:tc>
          <w:tcPr>
            <w:tcW w:w="1806" w:type="dxa"/>
          </w:tcPr>
          <w:p w14:paraId="4665BECC" w14:textId="77777777" w:rsidR="00141B56" w:rsidRDefault="00000000">
            <w:r>
              <w:rPr>
                <w:rFonts w:ascii="Arial" w:hAnsi="Arial"/>
                <w:sz w:val="18"/>
              </w:rPr>
              <w:t>FAC-0200</w:t>
            </w:r>
          </w:p>
        </w:tc>
        <w:tc>
          <w:tcPr>
            <w:tcW w:w="1806" w:type="dxa"/>
          </w:tcPr>
          <w:p w14:paraId="48557E50" w14:textId="77777777" w:rsidR="00141B56" w:rsidRDefault="00000000">
            <w:pPr>
              <w:jc w:val="right"/>
            </w:pPr>
            <w:r>
              <w:rPr>
                <w:rFonts w:ascii="Arial" w:hAnsi="Arial"/>
                <w:sz w:val="18"/>
              </w:rPr>
              <w:t>131.4422</w:t>
            </w:r>
          </w:p>
        </w:tc>
        <w:tc>
          <w:tcPr>
            <w:tcW w:w="1806" w:type="dxa"/>
          </w:tcPr>
          <w:p w14:paraId="12DB939D" w14:textId="77777777" w:rsidR="00141B56" w:rsidRDefault="00000000">
            <w:pPr>
              <w:jc w:val="right"/>
            </w:pPr>
            <w:r>
              <w:rPr>
                <w:rFonts w:ascii="Arial" w:hAnsi="Arial"/>
                <w:sz w:val="18"/>
              </w:rPr>
              <w:t>57.0202</w:t>
            </w:r>
          </w:p>
        </w:tc>
        <w:tc>
          <w:tcPr>
            <w:tcW w:w="1806" w:type="dxa"/>
          </w:tcPr>
          <w:p w14:paraId="0CBAABA1" w14:textId="77777777" w:rsidR="00141B56" w:rsidRDefault="00000000">
            <w:pPr>
              <w:jc w:val="right"/>
            </w:pPr>
            <w:r>
              <w:rPr>
                <w:rFonts w:ascii="Arial" w:hAnsi="Arial"/>
                <w:sz w:val="18"/>
              </w:rPr>
              <w:t>74.4220</w:t>
            </w:r>
          </w:p>
        </w:tc>
        <w:tc>
          <w:tcPr>
            <w:tcW w:w="1806" w:type="dxa"/>
          </w:tcPr>
          <w:p w14:paraId="7056FECD" w14:textId="77777777" w:rsidR="00141B56" w:rsidRDefault="00000000">
            <w:pPr>
              <w:jc w:val="right"/>
            </w:pPr>
            <w:r>
              <w:rPr>
                <w:rFonts w:ascii="Arial" w:hAnsi="Arial"/>
                <w:sz w:val="18"/>
              </w:rPr>
              <w:t>1</w:t>
            </w:r>
          </w:p>
        </w:tc>
      </w:tr>
      <w:tr w:rsidR="00141B56" w14:paraId="44390E85" w14:textId="77777777">
        <w:trPr>
          <w:jc w:val="center"/>
        </w:trPr>
        <w:tc>
          <w:tcPr>
            <w:tcW w:w="1806" w:type="dxa"/>
            <w:shd w:val="clear" w:color="auto" w:fill="F2F6FC"/>
          </w:tcPr>
          <w:p w14:paraId="64380688" w14:textId="77777777" w:rsidR="00141B56" w:rsidRDefault="00000000">
            <w:r>
              <w:rPr>
                <w:rFonts w:ascii="Arial" w:hAnsi="Arial"/>
                <w:sz w:val="18"/>
              </w:rPr>
              <w:t>FAC-0196</w:t>
            </w:r>
          </w:p>
        </w:tc>
        <w:tc>
          <w:tcPr>
            <w:tcW w:w="1806" w:type="dxa"/>
            <w:shd w:val="clear" w:color="auto" w:fill="F2F6FC"/>
          </w:tcPr>
          <w:p w14:paraId="545F7276" w14:textId="77777777" w:rsidR="00141B56" w:rsidRDefault="00000000">
            <w:pPr>
              <w:jc w:val="right"/>
            </w:pPr>
            <w:r>
              <w:rPr>
                <w:rFonts w:ascii="Arial" w:hAnsi="Arial"/>
                <w:sz w:val="18"/>
              </w:rPr>
              <w:t>124.4219</w:t>
            </w:r>
          </w:p>
        </w:tc>
        <w:tc>
          <w:tcPr>
            <w:tcW w:w="1806" w:type="dxa"/>
            <w:shd w:val="clear" w:color="auto" w:fill="F2F6FC"/>
          </w:tcPr>
          <w:p w14:paraId="6CB6F7A6" w14:textId="77777777" w:rsidR="00141B56" w:rsidRDefault="00000000">
            <w:pPr>
              <w:jc w:val="right"/>
            </w:pPr>
            <w:r>
              <w:rPr>
                <w:rFonts w:ascii="Arial" w:hAnsi="Arial"/>
                <w:sz w:val="18"/>
              </w:rPr>
              <w:t>51.7527</w:t>
            </w:r>
          </w:p>
        </w:tc>
        <w:tc>
          <w:tcPr>
            <w:tcW w:w="1806" w:type="dxa"/>
            <w:shd w:val="clear" w:color="auto" w:fill="F2F6FC"/>
          </w:tcPr>
          <w:p w14:paraId="424792E4" w14:textId="77777777" w:rsidR="00141B56" w:rsidRDefault="00000000">
            <w:pPr>
              <w:jc w:val="right"/>
            </w:pPr>
            <w:r>
              <w:rPr>
                <w:rFonts w:ascii="Arial" w:hAnsi="Arial"/>
                <w:sz w:val="18"/>
              </w:rPr>
              <w:t>72.6692</w:t>
            </w:r>
          </w:p>
        </w:tc>
        <w:tc>
          <w:tcPr>
            <w:tcW w:w="1806" w:type="dxa"/>
            <w:shd w:val="clear" w:color="auto" w:fill="F2F6FC"/>
          </w:tcPr>
          <w:p w14:paraId="4EDB0AC5" w14:textId="77777777" w:rsidR="00141B56" w:rsidRDefault="00000000">
            <w:pPr>
              <w:jc w:val="right"/>
            </w:pPr>
            <w:r>
              <w:rPr>
                <w:rFonts w:ascii="Arial" w:hAnsi="Arial"/>
                <w:sz w:val="18"/>
              </w:rPr>
              <w:t>1</w:t>
            </w:r>
          </w:p>
        </w:tc>
      </w:tr>
      <w:tr w:rsidR="00141B56" w14:paraId="53095044" w14:textId="77777777">
        <w:trPr>
          <w:jc w:val="center"/>
        </w:trPr>
        <w:tc>
          <w:tcPr>
            <w:tcW w:w="1806" w:type="dxa"/>
          </w:tcPr>
          <w:p w14:paraId="5BEECDD2" w14:textId="77777777" w:rsidR="00141B56" w:rsidRDefault="00000000">
            <w:r>
              <w:rPr>
                <w:rFonts w:ascii="Arial" w:hAnsi="Arial"/>
                <w:sz w:val="18"/>
              </w:rPr>
              <w:t>FAC-0199</w:t>
            </w:r>
          </w:p>
        </w:tc>
        <w:tc>
          <w:tcPr>
            <w:tcW w:w="1806" w:type="dxa"/>
          </w:tcPr>
          <w:p w14:paraId="735AD265" w14:textId="77777777" w:rsidR="00141B56" w:rsidRDefault="00000000">
            <w:pPr>
              <w:jc w:val="right"/>
            </w:pPr>
            <w:r>
              <w:rPr>
                <w:rFonts w:ascii="Arial" w:hAnsi="Arial"/>
                <w:sz w:val="18"/>
              </w:rPr>
              <w:t>109.4122</w:t>
            </w:r>
          </w:p>
        </w:tc>
        <w:tc>
          <w:tcPr>
            <w:tcW w:w="1806" w:type="dxa"/>
          </w:tcPr>
          <w:p w14:paraId="7E46561D" w14:textId="77777777" w:rsidR="00141B56" w:rsidRDefault="00000000">
            <w:pPr>
              <w:jc w:val="right"/>
            </w:pPr>
            <w:r>
              <w:rPr>
                <w:rFonts w:ascii="Arial" w:hAnsi="Arial"/>
                <w:sz w:val="18"/>
              </w:rPr>
              <w:t>52.0150</w:t>
            </w:r>
          </w:p>
        </w:tc>
        <w:tc>
          <w:tcPr>
            <w:tcW w:w="1806" w:type="dxa"/>
          </w:tcPr>
          <w:p w14:paraId="6B628640" w14:textId="77777777" w:rsidR="00141B56" w:rsidRDefault="00000000">
            <w:pPr>
              <w:jc w:val="right"/>
            </w:pPr>
            <w:r>
              <w:rPr>
                <w:rFonts w:ascii="Arial" w:hAnsi="Arial"/>
                <w:sz w:val="18"/>
              </w:rPr>
              <w:t>57.3972</w:t>
            </w:r>
          </w:p>
        </w:tc>
        <w:tc>
          <w:tcPr>
            <w:tcW w:w="1806" w:type="dxa"/>
          </w:tcPr>
          <w:p w14:paraId="3DC53EDC" w14:textId="77777777" w:rsidR="00141B56" w:rsidRDefault="00000000">
            <w:pPr>
              <w:jc w:val="right"/>
            </w:pPr>
            <w:r>
              <w:rPr>
                <w:rFonts w:ascii="Arial" w:hAnsi="Arial"/>
                <w:sz w:val="18"/>
              </w:rPr>
              <w:t>1</w:t>
            </w:r>
          </w:p>
        </w:tc>
      </w:tr>
      <w:tr w:rsidR="00141B56" w14:paraId="4741DAB7" w14:textId="77777777">
        <w:trPr>
          <w:jc w:val="center"/>
        </w:trPr>
        <w:tc>
          <w:tcPr>
            <w:tcW w:w="1806" w:type="dxa"/>
            <w:shd w:val="clear" w:color="auto" w:fill="F2F6FC"/>
          </w:tcPr>
          <w:p w14:paraId="27593272" w14:textId="77777777" w:rsidR="00141B56" w:rsidRDefault="00000000">
            <w:r>
              <w:rPr>
                <w:rFonts w:ascii="Arial" w:hAnsi="Arial"/>
                <w:sz w:val="18"/>
              </w:rPr>
              <w:t>FAC-0193</w:t>
            </w:r>
          </w:p>
        </w:tc>
        <w:tc>
          <w:tcPr>
            <w:tcW w:w="1806" w:type="dxa"/>
            <w:shd w:val="clear" w:color="auto" w:fill="F2F6FC"/>
          </w:tcPr>
          <w:p w14:paraId="23F10EEA" w14:textId="77777777" w:rsidR="00141B56" w:rsidRDefault="00000000">
            <w:pPr>
              <w:jc w:val="right"/>
            </w:pPr>
            <w:r>
              <w:rPr>
                <w:rFonts w:ascii="Arial" w:hAnsi="Arial"/>
                <w:sz w:val="18"/>
              </w:rPr>
              <w:t>72.3228</w:t>
            </w:r>
          </w:p>
        </w:tc>
        <w:tc>
          <w:tcPr>
            <w:tcW w:w="1806" w:type="dxa"/>
            <w:shd w:val="clear" w:color="auto" w:fill="F2F6FC"/>
          </w:tcPr>
          <w:p w14:paraId="71D5F621" w14:textId="77777777" w:rsidR="00141B56" w:rsidRDefault="00000000">
            <w:pPr>
              <w:jc w:val="right"/>
            </w:pPr>
            <w:r>
              <w:rPr>
                <w:rFonts w:ascii="Arial" w:hAnsi="Arial"/>
                <w:sz w:val="18"/>
              </w:rPr>
              <w:t>0.0000</w:t>
            </w:r>
          </w:p>
        </w:tc>
        <w:tc>
          <w:tcPr>
            <w:tcW w:w="1806" w:type="dxa"/>
            <w:shd w:val="clear" w:color="auto" w:fill="F2F6FC"/>
          </w:tcPr>
          <w:p w14:paraId="38504900" w14:textId="77777777" w:rsidR="00141B56" w:rsidRDefault="00000000">
            <w:pPr>
              <w:jc w:val="right"/>
            </w:pPr>
            <w:r>
              <w:rPr>
                <w:rFonts w:ascii="Arial" w:hAnsi="Arial"/>
                <w:sz w:val="18"/>
              </w:rPr>
              <w:t>72.3228</w:t>
            </w:r>
          </w:p>
        </w:tc>
        <w:tc>
          <w:tcPr>
            <w:tcW w:w="1806" w:type="dxa"/>
            <w:shd w:val="clear" w:color="auto" w:fill="F2F6FC"/>
          </w:tcPr>
          <w:p w14:paraId="7B0D45F6" w14:textId="77777777" w:rsidR="00141B56" w:rsidRDefault="00000000">
            <w:pPr>
              <w:jc w:val="right"/>
            </w:pPr>
            <w:r>
              <w:rPr>
                <w:rFonts w:ascii="Arial" w:hAnsi="Arial"/>
                <w:sz w:val="18"/>
              </w:rPr>
              <w:t>1</w:t>
            </w:r>
          </w:p>
        </w:tc>
      </w:tr>
      <w:tr w:rsidR="00141B56" w14:paraId="25459163" w14:textId="77777777">
        <w:trPr>
          <w:jc w:val="center"/>
        </w:trPr>
        <w:tc>
          <w:tcPr>
            <w:tcW w:w="1806" w:type="dxa"/>
          </w:tcPr>
          <w:p w14:paraId="44706B22" w14:textId="77777777" w:rsidR="00141B56" w:rsidRDefault="00000000">
            <w:r>
              <w:rPr>
                <w:rFonts w:ascii="Arial" w:hAnsi="Arial"/>
                <w:sz w:val="18"/>
              </w:rPr>
              <w:t>FAC-0215</w:t>
            </w:r>
          </w:p>
        </w:tc>
        <w:tc>
          <w:tcPr>
            <w:tcW w:w="1806" w:type="dxa"/>
          </w:tcPr>
          <w:p w14:paraId="27CACA39" w14:textId="77777777" w:rsidR="00141B56" w:rsidRDefault="00000000">
            <w:pPr>
              <w:jc w:val="right"/>
            </w:pPr>
            <w:r>
              <w:rPr>
                <w:rFonts w:ascii="Arial" w:hAnsi="Arial"/>
                <w:sz w:val="18"/>
              </w:rPr>
              <w:t>70.6057</w:t>
            </w:r>
          </w:p>
        </w:tc>
        <w:tc>
          <w:tcPr>
            <w:tcW w:w="1806" w:type="dxa"/>
          </w:tcPr>
          <w:p w14:paraId="29BCC280" w14:textId="77777777" w:rsidR="00141B56" w:rsidRDefault="00000000">
            <w:pPr>
              <w:jc w:val="right"/>
            </w:pPr>
            <w:r>
              <w:rPr>
                <w:rFonts w:ascii="Arial" w:hAnsi="Arial"/>
                <w:sz w:val="18"/>
              </w:rPr>
              <w:t>23.5860</w:t>
            </w:r>
          </w:p>
        </w:tc>
        <w:tc>
          <w:tcPr>
            <w:tcW w:w="1806" w:type="dxa"/>
          </w:tcPr>
          <w:p w14:paraId="497E8184" w14:textId="77777777" w:rsidR="00141B56" w:rsidRDefault="00000000">
            <w:pPr>
              <w:jc w:val="right"/>
            </w:pPr>
            <w:r>
              <w:rPr>
                <w:rFonts w:ascii="Arial" w:hAnsi="Arial"/>
                <w:sz w:val="18"/>
              </w:rPr>
              <w:t>47.0197</w:t>
            </w:r>
          </w:p>
        </w:tc>
        <w:tc>
          <w:tcPr>
            <w:tcW w:w="1806" w:type="dxa"/>
          </w:tcPr>
          <w:p w14:paraId="153B76B4" w14:textId="77777777" w:rsidR="00141B56" w:rsidRDefault="00000000">
            <w:pPr>
              <w:jc w:val="right"/>
            </w:pPr>
            <w:r>
              <w:rPr>
                <w:rFonts w:ascii="Arial" w:hAnsi="Arial"/>
                <w:sz w:val="18"/>
              </w:rPr>
              <w:t>1</w:t>
            </w:r>
          </w:p>
        </w:tc>
      </w:tr>
      <w:tr w:rsidR="00141B56" w14:paraId="31D5455D" w14:textId="77777777">
        <w:trPr>
          <w:jc w:val="center"/>
        </w:trPr>
        <w:tc>
          <w:tcPr>
            <w:tcW w:w="1806" w:type="dxa"/>
            <w:shd w:val="clear" w:color="auto" w:fill="F2F6FC"/>
          </w:tcPr>
          <w:p w14:paraId="78E74D11" w14:textId="77777777" w:rsidR="00141B56" w:rsidRDefault="00000000">
            <w:r>
              <w:rPr>
                <w:rFonts w:ascii="Arial" w:hAnsi="Arial"/>
                <w:sz w:val="18"/>
              </w:rPr>
              <w:t>FAC-0191</w:t>
            </w:r>
          </w:p>
        </w:tc>
        <w:tc>
          <w:tcPr>
            <w:tcW w:w="1806" w:type="dxa"/>
            <w:shd w:val="clear" w:color="auto" w:fill="F2F6FC"/>
          </w:tcPr>
          <w:p w14:paraId="5C8477AA" w14:textId="77777777" w:rsidR="00141B56" w:rsidRDefault="00000000">
            <w:pPr>
              <w:jc w:val="right"/>
            </w:pPr>
            <w:r>
              <w:rPr>
                <w:rFonts w:ascii="Arial" w:hAnsi="Arial"/>
                <w:sz w:val="18"/>
              </w:rPr>
              <w:t>67.3744</w:t>
            </w:r>
          </w:p>
        </w:tc>
        <w:tc>
          <w:tcPr>
            <w:tcW w:w="1806" w:type="dxa"/>
            <w:shd w:val="clear" w:color="auto" w:fill="F2F6FC"/>
          </w:tcPr>
          <w:p w14:paraId="60EFA393" w14:textId="77777777" w:rsidR="00141B56" w:rsidRDefault="00000000">
            <w:pPr>
              <w:jc w:val="right"/>
            </w:pPr>
            <w:r>
              <w:rPr>
                <w:rFonts w:ascii="Arial" w:hAnsi="Arial"/>
                <w:sz w:val="18"/>
              </w:rPr>
              <w:t>0.0000</w:t>
            </w:r>
          </w:p>
        </w:tc>
        <w:tc>
          <w:tcPr>
            <w:tcW w:w="1806" w:type="dxa"/>
            <w:shd w:val="clear" w:color="auto" w:fill="F2F6FC"/>
          </w:tcPr>
          <w:p w14:paraId="6463310A" w14:textId="77777777" w:rsidR="00141B56" w:rsidRDefault="00000000">
            <w:pPr>
              <w:jc w:val="right"/>
            </w:pPr>
            <w:r>
              <w:rPr>
                <w:rFonts w:ascii="Arial" w:hAnsi="Arial"/>
                <w:sz w:val="18"/>
              </w:rPr>
              <w:t>67.3744</w:t>
            </w:r>
          </w:p>
        </w:tc>
        <w:tc>
          <w:tcPr>
            <w:tcW w:w="1806" w:type="dxa"/>
            <w:shd w:val="clear" w:color="auto" w:fill="F2F6FC"/>
          </w:tcPr>
          <w:p w14:paraId="4C5D4963" w14:textId="77777777" w:rsidR="00141B56" w:rsidRDefault="00000000">
            <w:pPr>
              <w:jc w:val="right"/>
            </w:pPr>
            <w:r>
              <w:rPr>
                <w:rFonts w:ascii="Arial" w:hAnsi="Arial"/>
                <w:sz w:val="18"/>
              </w:rPr>
              <w:t>1</w:t>
            </w:r>
          </w:p>
        </w:tc>
      </w:tr>
      <w:tr w:rsidR="00141B56" w14:paraId="0AC2DC64" w14:textId="77777777">
        <w:trPr>
          <w:jc w:val="center"/>
        </w:trPr>
        <w:tc>
          <w:tcPr>
            <w:tcW w:w="1806" w:type="dxa"/>
          </w:tcPr>
          <w:p w14:paraId="5DD2D7ED" w14:textId="77777777" w:rsidR="00141B56" w:rsidRDefault="00000000">
            <w:r>
              <w:rPr>
                <w:rFonts w:ascii="Arial" w:hAnsi="Arial"/>
                <w:sz w:val="18"/>
              </w:rPr>
              <w:t>FAC-0181</w:t>
            </w:r>
          </w:p>
        </w:tc>
        <w:tc>
          <w:tcPr>
            <w:tcW w:w="1806" w:type="dxa"/>
          </w:tcPr>
          <w:p w14:paraId="7CB28273" w14:textId="77777777" w:rsidR="00141B56" w:rsidRDefault="00000000">
            <w:pPr>
              <w:jc w:val="right"/>
            </w:pPr>
            <w:r>
              <w:rPr>
                <w:rFonts w:ascii="Arial" w:hAnsi="Arial"/>
                <w:sz w:val="18"/>
              </w:rPr>
              <w:t>63.7580</w:t>
            </w:r>
          </w:p>
        </w:tc>
        <w:tc>
          <w:tcPr>
            <w:tcW w:w="1806" w:type="dxa"/>
          </w:tcPr>
          <w:p w14:paraId="6743706F" w14:textId="77777777" w:rsidR="00141B56" w:rsidRDefault="00000000">
            <w:pPr>
              <w:jc w:val="right"/>
            </w:pPr>
            <w:r>
              <w:rPr>
                <w:rFonts w:ascii="Arial" w:hAnsi="Arial"/>
                <w:sz w:val="18"/>
              </w:rPr>
              <w:t>0.0000</w:t>
            </w:r>
          </w:p>
        </w:tc>
        <w:tc>
          <w:tcPr>
            <w:tcW w:w="1806" w:type="dxa"/>
          </w:tcPr>
          <w:p w14:paraId="213D3981" w14:textId="77777777" w:rsidR="00141B56" w:rsidRDefault="00000000">
            <w:pPr>
              <w:jc w:val="right"/>
            </w:pPr>
            <w:r>
              <w:rPr>
                <w:rFonts w:ascii="Arial" w:hAnsi="Arial"/>
                <w:sz w:val="18"/>
              </w:rPr>
              <w:t>63.7580</w:t>
            </w:r>
          </w:p>
        </w:tc>
        <w:tc>
          <w:tcPr>
            <w:tcW w:w="1806" w:type="dxa"/>
          </w:tcPr>
          <w:p w14:paraId="44D3C1E9" w14:textId="77777777" w:rsidR="00141B56" w:rsidRDefault="00000000">
            <w:pPr>
              <w:jc w:val="right"/>
            </w:pPr>
            <w:r>
              <w:rPr>
                <w:rFonts w:ascii="Arial" w:hAnsi="Arial"/>
                <w:sz w:val="18"/>
              </w:rPr>
              <w:t>1</w:t>
            </w:r>
          </w:p>
        </w:tc>
      </w:tr>
      <w:tr w:rsidR="00141B56" w14:paraId="5745130E" w14:textId="77777777">
        <w:trPr>
          <w:jc w:val="center"/>
        </w:trPr>
        <w:tc>
          <w:tcPr>
            <w:tcW w:w="1806" w:type="dxa"/>
            <w:shd w:val="clear" w:color="auto" w:fill="F2F6FC"/>
          </w:tcPr>
          <w:p w14:paraId="708DAC83" w14:textId="77777777" w:rsidR="00141B56" w:rsidRDefault="00000000">
            <w:r>
              <w:rPr>
                <w:rFonts w:ascii="Arial" w:hAnsi="Arial"/>
                <w:sz w:val="18"/>
              </w:rPr>
              <w:t>FAC-0208</w:t>
            </w:r>
          </w:p>
        </w:tc>
        <w:tc>
          <w:tcPr>
            <w:tcW w:w="1806" w:type="dxa"/>
            <w:shd w:val="clear" w:color="auto" w:fill="F2F6FC"/>
          </w:tcPr>
          <w:p w14:paraId="062002AC" w14:textId="77777777" w:rsidR="00141B56" w:rsidRDefault="00000000">
            <w:pPr>
              <w:jc w:val="right"/>
            </w:pPr>
            <w:r>
              <w:rPr>
                <w:rFonts w:ascii="Arial" w:hAnsi="Arial"/>
                <w:sz w:val="18"/>
              </w:rPr>
              <w:t>63.5152</w:t>
            </w:r>
          </w:p>
        </w:tc>
        <w:tc>
          <w:tcPr>
            <w:tcW w:w="1806" w:type="dxa"/>
            <w:shd w:val="clear" w:color="auto" w:fill="F2F6FC"/>
          </w:tcPr>
          <w:p w14:paraId="15133550" w14:textId="77777777" w:rsidR="00141B56" w:rsidRDefault="00000000">
            <w:pPr>
              <w:jc w:val="right"/>
            </w:pPr>
            <w:r>
              <w:rPr>
                <w:rFonts w:ascii="Arial" w:hAnsi="Arial"/>
                <w:sz w:val="18"/>
              </w:rPr>
              <w:t>23.7606</w:t>
            </w:r>
          </w:p>
        </w:tc>
        <w:tc>
          <w:tcPr>
            <w:tcW w:w="1806" w:type="dxa"/>
            <w:shd w:val="clear" w:color="auto" w:fill="F2F6FC"/>
          </w:tcPr>
          <w:p w14:paraId="1CF0F3B7" w14:textId="77777777" w:rsidR="00141B56" w:rsidRDefault="00000000">
            <w:pPr>
              <w:jc w:val="right"/>
            </w:pPr>
            <w:r>
              <w:rPr>
                <w:rFonts w:ascii="Arial" w:hAnsi="Arial"/>
                <w:sz w:val="18"/>
              </w:rPr>
              <w:t>39.7546</w:t>
            </w:r>
          </w:p>
        </w:tc>
        <w:tc>
          <w:tcPr>
            <w:tcW w:w="1806" w:type="dxa"/>
            <w:shd w:val="clear" w:color="auto" w:fill="F2F6FC"/>
          </w:tcPr>
          <w:p w14:paraId="62C2690D" w14:textId="77777777" w:rsidR="00141B56" w:rsidRDefault="00000000">
            <w:pPr>
              <w:jc w:val="right"/>
            </w:pPr>
            <w:r>
              <w:rPr>
                <w:rFonts w:ascii="Arial" w:hAnsi="Arial"/>
                <w:sz w:val="18"/>
              </w:rPr>
              <w:t>1</w:t>
            </w:r>
          </w:p>
        </w:tc>
      </w:tr>
      <w:tr w:rsidR="00141B56" w14:paraId="5EDF3B5A" w14:textId="77777777">
        <w:trPr>
          <w:jc w:val="center"/>
        </w:trPr>
        <w:tc>
          <w:tcPr>
            <w:tcW w:w="1806" w:type="dxa"/>
          </w:tcPr>
          <w:p w14:paraId="0FF8D92E" w14:textId="77777777" w:rsidR="00141B56" w:rsidRDefault="00000000">
            <w:r>
              <w:rPr>
                <w:rFonts w:ascii="Arial" w:hAnsi="Arial"/>
                <w:sz w:val="18"/>
              </w:rPr>
              <w:t>**Top 10 Subtotal**</w:t>
            </w:r>
          </w:p>
        </w:tc>
        <w:tc>
          <w:tcPr>
            <w:tcW w:w="1806" w:type="dxa"/>
          </w:tcPr>
          <w:p w14:paraId="58B06C10" w14:textId="77777777" w:rsidR="00141B56" w:rsidRDefault="00000000">
            <w:r>
              <w:rPr>
                <w:rFonts w:ascii="Arial" w:hAnsi="Arial"/>
                <w:sz w:val="18"/>
              </w:rPr>
              <w:t>**1188.4057**</w:t>
            </w:r>
          </w:p>
        </w:tc>
        <w:tc>
          <w:tcPr>
            <w:tcW w:w="1806" w:type="dxa"/>
          </w:tcPr>
          <w:p w14:paraId="032E7E0E" w14:textId="77777777" w:rsidR="00141B56" w:rsidRDefault="00000000">
            <w:r>
              <w:rPr>
                <w:rFonts w:ascii="Arial" w:hAnsi="Arial"/>
                <w:sz w:val="18"/>
              </w:rPr>
              <w:t>**327.7553**</w:t>
            </w:r>
          </w:p>
        </w:tc>
        <w:tc>
          <w:tcPr>
            <w:tcW w:w="1806" w:type="dxa"/>
          </w:tcPr>
          <w:p w14:paraId="29A68334" w14:textId="77777777" w:rsidR="00141B56" w:rsidRDefault="00000000">
            <w:r>
              <w:rPr>
                <w:rFonts w:ascii="Arial" w:hAnsi="Arial"/>
                <w:sz w:val="18"/>
              </w:rPr>
              <w:t>**860.6504**</w:t>
            </w:r>
          </w:p>
        </w:tc>
        <w:tc>
          <w:tcPr>
            <w:tcW w:w="1806" w:type="dxa"/>
          </w:tcPr>
          <w:p w14:paraId="74042A7F" w14:textId="77777777" w:rsidR="00141B56" w:rsidRDefault="00000000">
            <w:r>
              <w:rPr>
                <w:rFonts w:ascii="Arial" w:hAnsi="Arial"/>
                <w:sz w:val="18"/>
              </w:rPr>
              <w:t>—</w:t>
            </w:r>
          </w:p>
        </w:tc>
      </w:tr>
      <w:tr w:rsidR="00141B56" w14:paraId="6F6B1EC1" w14:textId="77777777">
        <w:trPr>
          <w:jc w:val="center"/>
        </w:trPr>
        <w:tc>
          <w:tcPr>
            <w:tcW w:w="1806" w:type="dxa"/>
            <w:shd w:val="clear" w:color="auto" w:fill="F2F6FC"/>
          </w:tcPr>
          <w:p w14:paraId="34F4D738" w14:textId="77777777" w:rsidR="00141B56" w:rsidRDefault="00000000">
            <w:r>
              <w:rPr>
                <w:rFonts w:ascii="Arial" w:hAnsi="Arial"/>
                <w:sz w:val="18"/>
              </w:rPr>
              <w:t>**All Other Facilities**</w:t>
            </w:r>
          </w:p>
        </w:tc>
        <w:tc>
          <w:tcPr>
            <w:tcW w:w="1806" w:type="dxa"/>
            <w:shd w:val="clear" w:color="auto" w:fill="F2F6FC"/>
          </w:tcPr>
          <w:p w14:paraId="2FF14BEC" w14:textId="77777777" w:rsidR="00141B56" w:rsidRDefault="00000000">
            <w:r>
              <w:rPr>
                <w:rFonts w:ascii="Arial" w:hAnsi="Arial"/>
                <w:sz w:val="18"/>
              </w:rPr>
              <w:t>**2214.5913**</w:t>
            </w:r>
          </w:p>
        </w:tc>
        <w:tc>
          <w:tcPr>
            <w:tcW w:w="1806" w:type="dxa"/>
            <w:shd w:val="clear" w:color="auto" w:fill="F2F6FC"/>
          </w:tcPr>
          <w:p w14:paraId="56FA68A3" w14:textId="77777777" w:rsidR="00141B56" w:rsidRDefault="00000000">
            <w:r>
              <w:rPr>
                <w:rFonts w:ascii="Arial" w:hAnsi="Arial"/>
                <w:sz w:val="18"/>
              </w:rPr>
              <w:t>**872.0371**</w:t>
            </w:r>
          </w:p>
        </w:tc>
        <w:tc>
          <w:tcPr>
            <w:tcW w:w="1806" w:type="dxa"/>
            <w:shd w:val="clear" w:color="auto" w:fill="F2F6FC"/>
          </w:tcPr>
          <w:p w14:paraId="5F8D0F21" w14:textId="77777777" w:rsidR="00141B56" w:rsidRDefault="00000000">
            <w:r>
              <w:rPr>
                <w:rFonts w:ascii="Arial" w:hAnsi="Arial"/>
                <w:sz w:val="18"/>
              </w:rPr>
              <w:t>**1342.5540**</w:t>
            </w:r>
          </w:p>
        </w:tc>
        <w:tc>
          <w:tcPr>
            <w:tcW w:w="1806" w:type="dxa"/>
            <w:shd w:val="clear" w:color="auto" w:fill="F2F6FC"/>
          </w:tcPr>
          <w:p w14:paraId="418A3DA1" w14:textId="77777777" w:rsidR="00141B56" w:rsidRDefault="00000000">
            <w:r>
              <w:rPr>
                <w:rFonts w:ascii="Arial" w:hAnsi="Arial"/>
                <w:sz w:val="18"/>
              </w:rPr>
              <w:t>—</w:t>
            </w:r>
          </w:p>
        </w:tc>
      </w:tr>
      <w:tr w:rsidR="00141B56" w14:paraId="1A9D199A" w14:textId="77777777">
        <w:trPr>
          <w:jc w:val="center"/>
        </w:trPr>
        <w:tc>
          <w:tcPr>
            <w:tcW w:w="1806" w:type="dxa"/>
          </w:tcPr>
          <w:p w14:paraId="7B87C713" w14:textId="77777777" w:rsidR="00141B56" w:rsidRDefault="00000000">
            <w:r>
              <w:rPr>
                <w:rFonts w:ascii="Arial" w:hAnsi="Arial"/>
                <w:sz w:val="18"/>
              </w:rPr>
              <w:t>**Institution Total**</w:t>
            </w:r>
          </w:p>
        </w:tc>
        <w:tc>
          <w:tcPr>
            <w:tcW w:w="1806" w:type="dxa"/>
          </w:tcPr>
          <w:p w14:paraId="22ED1293" w14:textId="77777777" w:rsidR="00141B56" w:rsidRDefault="00000000">
            <w:r>
              <w:rPr>
                <w:rFonts w:ascii="Arial" w:hAnsi="Arial"/>
                <w:sz w:val="18"/>
              </w:rPr>
              <w:t>**3402.997**</w:t>
            </w:r>
          </w:p>
        </w:tc>
        <w:tc>
          <w:tcPr>
            <w:tcW w:w="1806" w:type="dxa"/>
          </w:tcPr>
          <w:p w14:paraId="7BEE4FD0" w14:textId="77777777" w:rsidR="00141B56" w:rsidRDefault="00000000">
            <w:r>
              <w:rPr>
                <w:rFonts w:ascii="Arial" w:hAnsi="Arial"/>
                <w:sz w:val="18"/>
              </w:rPr>
              <w:t>**1199.7924**</w:t>
            </w:r>
          </w:p>
        </w:tc>
        <w:tc>
          <w:tcPr>
            <w:tcW w:w="1806" w:type="dxa"/>
          </w:tcPr>
          <w:p w14:paraId="0078EA88" w14:textId="77777777" w:rsidR="00141B56" w:rsidRDefault="00000000">
            <w:r>
              <w:rPr>
                <w:rFonts w:ascii="Arial" w:hAnsi="Arial"/>
                <w:sz w:val="18"/>
              </w:rPr>
              <w:t>**2203.2044**</w:t>
            </w:r>
          </w:p>
        </w:tc>
        <w:tc>
          <w:tcPr>
            <w:tcW w:w="1806" w:type="dxa"/>
          </w:tcPr>
          <w:p w14:paraId="39CA2292" w14:textId="77777777" w:rsidR="00141B56" w:rsidRDefault="00000000">
            <w:r>
              <w:rPr>
                <w:rFonts w:ascii="Arial" w:hAnsi="Arial"/>
                <w:sz w:val="18"/>
              </w:rPr>
              <w:t>—</w:t>
            </w:r>
          </w:p>
        </w:tc>
      </w:tr>
    </w:tbl>
    <w:p w14:paraId="17EBF0BB" w14:textId="77777777" w:rsidR="00141B56" w:rsidRDefault="00000000">
      <w:r>
        <w:rPr>
          <w:rFonts w:ascii="Arial" w:hAnsi="Arial"/>
          <w:i/>
          <w:sz w:val="16"/>
        </w:rPr>
        <w:t>Source: Source: Facility-level energy consumption database. Data Quality Score: 1 = primary metered data, 2 = supplier-specific data, 3 = industry average, 4 = estimated/proxy data (per institution's internal data quality framework).</w:t>
      </w:r>
    </w:p>
    <w:p w14:paraId="517EE9DC" w14:textId="77777777" w:rsidR="00141B56" w:rsidRDefault="00141B56"/>
    <w:p w14:paraId="0CDE720B" w14:textId="77777777" w:rsidR="00141B56" w:rsidRDefault="00000000">
      <w:r>
        <w:rPr>
          <w:i/>
          <w:color w:val="3D6094"/>
          <w:sz w:val="18"/>
        </w:rPr>
        <w:t>Framework references: GRI 305-1a — Gross direct (Scope 1) GHG emissions in metric tons of CO₂ equivalent; GRI 305-1b — Gases included in the calculation (CO₂, CH₄, N₂O); GRI 305-1c — Biogenic CO₂ emissions (not applicable for this institution's Scope 1 sources); GRI 305-1e — Source of emission factors and global warming potential (GWP) rates used; GRI 305-1f — Consolidation approach for emissions (operational control); GRI 305-1g — Standards, methodologies, assumptions, and/or calculation tools used (GHG Protocol Corporate Standard); IFRS S2 Para 29(a)(i) — Absolute gross greenhouse gas emissions generated during the reporting period, expressed as metric tons of CO₂ equivalent (Scope 1); IFRS S2 Para 29(b) — Amount of change in emissions between reporting periods (trend analysis); IFRS S2 Para 29(c) — Measurement approach, inputs, and assumptions used (methodology disclosure); ESRS E1-6 DR E1-6.44 — Gross Scope 1 GHG emissions in metric tons of CO₂ equivalent; ESRS E1 AR 39(a) — Application of GHG Protocol Corporate Standard principles and requirements; ESRS E1 AR 39(b) — Disclosure of methodologies, significant assumptions, and emission factors; ESRS E1 AR 39(c) — Inclusion of CO₂, CH₄, N₂O and other relevant GHGs; ESRS E1 AR 39(d) — Use of most recent IPCC Global Warming Potential (GWP) values; OJK PSPK — Emisi Gas Rumah Kaca Langsung (Emisi Lingkup 1) dalam satuan tCO₂e</w:t>
      </w:r>
    </w:p>
    <w:p w14:paraId="4CC9D0A9" w14:textId="77777777" w:rsidR="00141B56" w:rsidRDefault="00141B56">
      <w:pPr>
        <w:pBdr>
          <w:bottom w:val="single" w:sz="6" w:space="1" w:color="999999"/>
        </w:pBdr>
        <w:spacing w:after="80"/>
      </w:pPr>
    </w:p>
    <w:p w14:paraId="7556B3DD" w14:textId="77777777" w:rsidR="00141B56" w:rsidRDefault="00000000">
      <w:pPr>
        <w:spacing w:after="160"/>
        <w:jc w:val="both"/>
      </w:pPr>
      <w:r>
        <w:rPr>
          <w:rFonts w:ascii="Arial" w:hAnsi="Arial"/>
          <w:i/>
          <w:color w:val="646464"/>
          <w:sz w:val="18"/>
        </w:rPr>
        <w:t>These figures have not been subject to external assurance for the current reporting period.</w:t>
      </w:r>
    </w:p>
    <w:p w14:paraId="1A3F28A3" w14:textId="77777777" w:rsidR="00141B56" w:rsidRDefault="00000000">
      <w:pPr>
        <w:spacing w:after="160"/>
        <w:jc w:val="both"/>
      </w:pPr>
      <w:r>
        <w:rPr>
          <w:rFonts w:ascii="Arial" w:hAnsi="Arial"/>
          <w:i/>
          <w:color w:val="646464"/>
          <w:sz w:val="18"/>
        </w:rPr>
        <w:t>Emission factors: Natural gas combustion per Indonesian Ministry of Energy and Mineral Resources (MEMR) Technical Guidelines for GHG Inventory in the Energy Sector (Version 3.1, 2023); Diesel combustion per IPCC 2006 Guidelines for National Greenhouse Gas Inventories, Volume 2, Energy.</w:t>
      </w:r>
    </w:p>
    <w:p w14:paraId="0406B8BB" w14:textId="77777777" w:rsidR="00141B56" w:rsidRDefault="00000000">
      <w:pPr>
        <w:spacing w:after="160"/>
        <w:jc w:val="both"/>
      </w:pPr>
      <w:r>
        <w:rPr>
          <w:rFonts w:ascii="Arial" w:hAnsi="Arial"/>
          <w:i/>
          <w:color w:val="646464"/>
          <w:sz w:val="18"/>
        </w:rPr>
        <w:t>Global Warming Potential (GWP) values: IPCC Sixth Assessment Report (AR6, 2021), 100-year time horizon — CH₄ = 29.8, N₂O = 273.0, CO₂ = 1.0.</w:t>
      </w:r>
    </w:p>
    <w:p w14:paraId="10E9844D" w14:textId="77777777" w:rsidR="00141B56" w:rsidRDefault="00000000">
      <w:pPr>
        <w:spacing w:after="160"/>
        <w:jc w:val="both"/>
      </w:pPr>
      <w:r>
        <w:rPr>
          <w:rFonts w:ascii="Arial" w:hAnsi="Arial"/>
          <w:i/>
          <w:color w:val="646464"/>
          <w:sz w:val="18"/>
        </w:rPr>
        <w:t>Consolidation approach: Operational control per GHG Protocol Corporate Standard. The institution accounts for 100% of emissions from operations over which it exercises operational control.</w:t>
      </w:r>
    </w:p>
    <w:p w14:paraId="69853172" w14:textId="77777777" w:rsidR="00141B56" w:rsidRDefault="00000000">
      <w:pPr>
        <w:spacing w:after="160"/>
        <w:jc w:val="both"/>
      </w:pPr>
      <w:r>
        <w:rPr>
          <w:rFonts w:ascii="Arial" w:hAnsi="Arial"/>
          <w:i/>
          <w:color w:val="646464"/>
          <w:sz w:val="18"/>
        </w:rPr>
        <w:t>Gases included: Carbon dioxide (CO₂), methane (CH₄), and nitrous oxide (N₂O). HFCs, PFCs, SF₆, and NF₃ assessed as non-material for combustion sources; refrigerant emissions reported separately under fugitive emissions.</w:t>
      </w:r>
    </w:p>
    <w:p w14:paraId="35C6DA73" w14:textId="77777777" w:rsidR="00141B56" w:rsidRDefault="00000000">
      <w:pPr>
        <w:spacing w:after="160"/>
        <w:jc w:val="both"/>
      </w:pPr>
      <w:r>
        <w:rPr>
          <w:rFonts w:ascii="Arial" w:hAnsi="Arial"/>
          <w:i/>
          <w:color w:val="646464"/>
          <w:sz w:val="18"/>
        </w:rPr>
        <w:t>Facility data quality: All top 10 facilities achieved Data Quality Score 1 (primary metered data from utility bills and fuel purchase records).</w:t>
      </w:r>
    </w:p>
    <w:p w14:paraId="28B7472B" w14:textId="77777777" w:rsidR="00141B56" w:rsidRDefault="00000000">
      <w:pPr>
        <w:pStyle w:val="Heading2"/>
        <w:spacing w:before="360" w:after="160"/>
      </w:pPr>
      <w:bookmarkStart w:id="6" w:name="_Toc231986301"/>
      <w:r>
        <w:rPr>
          <w:rFonts w:ascii="Arial" w:hAnsi="Arial"/>
          <w:color w:val="3D6094"/>
          <w:sz w:val="28"/>
        </w:rPr>
        <w:t>1.2 Energy Indirect GHG Emissions — Scope 2</w:t>
      </w:r>
      <w:bookmarkEnd w:id="6"/>
    </w:p>
    <w:p w14:paraId="1A320AD9" w14:textId="77777777" w:rsidR="00141B56" w:rsidRDefault="00000000">
      <w:pPr>
        <w:spacing w:after="160"/>
        <w:jc w:val="both"/>
      </w:pPr>
      <w:r>
        <w:rPr>
          <w:rFonts w:ascii="Arial" w:hAnsi="Arial"/>
        </w:rPr>
        <w:t>The institution's Scope 2 energy indirect greenhouse gas emissions for the reporting period totaled 44,613.876 tCO₂e on a location-based basis and 44,612.518 tCO₂e on a market-based basis. This dual reporting approach aligns with the GHG Protocol Scope 2 Guidance (2015), which requires organizations to report both location-based and market-based figures to provide transparency on the emissions associated with purchased electricity, heating, cooling, and steam. The location-based method reflects the average emissions intensity of the Indonesian electricity grid, while the market-based method accounts for contractual instruments such as renewable energy certificates (RECs) or power purchase agreements that the institution may have procured.</w:t>
      </w:r>
    </w:p>
    <w:p w14:paraId="0CD6F297" w14:textId="77777777" w:rsidR="00141B56" w:rsidRDefault="00000000">
      <w:pPr>
        <w:spacing w:after="160"/>
        <w:jc w:val="both"/>
      </w:pPr>
      <w:r>
        <w:rPr>
          <w:rFonts w:ascii="Arial" w:hAnsi="Arial"/>
          <w:i/>
        </w:rPr>
        <w:t>The institution applied the location-based method using the PLN 2023 grid emission factor of 0.7886 kgCO₂/kWh for the Indonesian electricity grid. This factor represents the average carbon intensity of electricity generation across the national grid and is applied to all purchased electricity consumption across the institution's operational facilities. The market-based method calculation uses the same grid factor as the baseline, adjusted for any contractual instruments that convey specific emission attributes. For the 2024 reporting period, the minimal difference between location-based (44,613.876 tCO₂e) and market-based (44,612.518 tCO₂e) figures indicates that contractual instruments with lower emission factors were applied to a negligible portion of the institution's electricity consumption, representing approximately 0.003% of total Scope 2 emissions.</w:t>
      </w:r>
    </w:p>
    <w:p w14:paraId="2D253079" w14:textId="77777777" w:rsidR="00141B56" w:rsidRDefault="00000000">
      <w:pPr>
        <w:spacing w:after="160"/>
        <w:jc w:val="both"/>
      </w:pPr>
      <w:r>
        <w:rPr>
          <w:rFonts w:ascii="Arial" w:hAnsi="Arial"/>
        </w:rPr>
        <w:t>The institution's Scope 2 emissions increased by 0.03% on a location-based basis compared to the prior year (2023: 44,599.440 tCO₂e), and increased by 0.03% on a market-based basis (2023: 44,598.118 tCO₂e). This marginal increase reflects stable electricity consumption patterns across the institution's operational footprint, with minimal expansion in energy-intensive activities. The consistency in emissions year-over-year suggests that operational energy efficiency measures have effectively offset any growth in electricity demand from business expansion or increased operational activity. The grid emission factor remained stable between reporting periods, as both years applied the PLN 2023 factor.</w:t>
      </w:r>
    </w:p>
    <w:p w14:paraId="06C14C7B" w14:textId="77777777" w:rsidR="00141B56" w:rsidRDefault="00000000">
      <w:pPr>
        <w:spacing w:after="160"/>
        <w:jc w:val="both"/>
      </w:pPr>
      <w:r>
        <w:rPr>
          <w:rFonts w:ascii="Arial" w:hAnsi="Arial"/>
          <w:i/>
          <w:color w:val="555555"/>
        </w:rPr>
        <w:lastRenderedPageBreak/>
        <w:t>**Recommendation 1: Accelerate Renewable Energy Procurement.** The institution currently applies contractual instruments to less than 0.01% of its electricity consumption. Peer institutions in the Indonesian banking sector have demonstrated significantly higher renewable energy adoption rates. DBS Bank achieved 62% renewable electricity coverage globally and reduced Scope 2 emissions by 12% year-over-year through power purchase agreements (PPAs) and renewable energy certificates. The institution should establish a renewable energy procurement roadmap targeting 25% renewable coverage within 24 months, prioritizing PPAs with Indonesian solar or hydroelectric providers. This would reduce market-based Scope 2 emissions by approximately 11,153 tCO₂e annually at current consumption levels.</w:t>
      </w:r>
    </w:p>
    <w:p w14:paraId="409FB8D7" w14:textId="77777777" w:rsidR="00141B56" w:rsidRDefault="00000000">
      <w:pPr>
        <w:spacing w:after="160"/>
        <w:jc w:val="both"/>
      </w:pPr>
      <w:r>
        <w:rPr>
          <w:rFonts w:ascii="Arial" w:hAnsi="Arial"/>
          <w:i/>
          <w:color w:val="555555"/>
        </w:rPr>
        <w:t>**Recommendation 2: Implement On-Site Solar Generation.** BRI achieved 19.49% electricity savings through its Green Network program, which includes solar panel installations at branch locations and green building certifications (Gold GBCI). The institution should conduct a feasibility assessment for rooftop solar installations at its top 10 energy-consuming facilities identified in the Scope 1 facility data. Based on BRI's implementation experience, on-site generation could offset 8-12% of facility-level electricity consumption, reducing both Scope 2 emissions and operational costs. Priority should be given to facilities with high diesel generator usage (Scope 1), as solar-plus-storage systems can reduce backup generation reliance during grid instability events.</w:t>
      </w:r>
    </w:p>
    <w:p w14:paraId="4A82E5C0" w14:textId="77777777" w:rsidR="00141B56" w:rsidRDefault="00000000">
      <w:pPr>
        <w:spacing w:after="160"/>
        <w:jc w:val="both"/>
      </w:pPr>
      <w:r>
        <w:rPr>
          <w:rFonts w:ascii="Arial" w:hAnsi="Arial"/>
          <w:i/>
          <w:color w:val="555555"/>
        </w:rPr>
        <w:t>**Recommendation 3: Pursue Green Building Certification and Energy Management Systems.** BRI's green building program and BCA's auto-shutdown systems (Kaseya program) demonstrate proven pathways for Scope 2 reduction in the Indonesian banking context. The institution should implement automated energy management systems across all facilities, including LED retrofits, HVAC scheduling optimization, and elevator usage controls during off-peak hours. These measures typically achieve 5-8% electricity savings with payback periods under 3 years. Concurrently, the institution should target green building certification (EDGE or GBCI) for new construction and major renovations, embedding energy efficiency into long-term infrastructure planning.</w:t>
      </w:r>
    </w:p>
    <w:p w14:paraId="1AB4C1D5" w14:textId="77777777" w:rsidR="00141B56" w:rsidRDefault="00000000">
      <w:r>
        <w:rPr>
          <w:rFonts w:ascii="Arial" w:hAnsi="Arial"/>
          <w:b/>
          <w:sz w:val="20"/>
        </w:rPr>
        <w:t>Table 1.2.1: Scope 2 Energy Indirect GHG Emissions — Dual Reporting</w:t>
      </w:r>
    </w:p>
    <w:tbl>
      <w:tblPr>
        <w:tblW w:w="0" w:type="auto"/>
        <w:jc w:val="center"/>
        <w:tblLook w:val="04A0" w:firstRow="1" w:lastRow="0" w:firstColumn="1" w:lastColumn="0" w:noHBand="0" w:noVBand="1"/>
      </w:tblPr>
      <w:tblGrid>
        <w:gridCol w:w="1806"/>
        <w:gridCol w:w="1806"/>
        <w:gridCol w:w="1806"/>
        <w:gridCol w:w="1806"/>
        <w:gridCol w:w="1806"/>
      </w:tblGrid>
      <w:tr w:rsidR="00141B56" w14:paraId="2FE3B0DD" w14:textId="77777777">
        <w:trPr>
          <w:jc w:val="center"/>
        </w:trPr>
        <w:tc>
          <w:tcPr>
            <w:tcW w:w="1806" w:type="dxa"/>
            <w:shd w:val="clear" w:color="auto" w:fill="1B3A6B"/>
          </w:tcPr>
          <w:p w14:paraId="237CBC02" w14:textId="77777777" w:rsidR="00141B56" w:rsidRDefault="00000000">
            <w:r>
              <w:rPr>
                <w:rFonts w:ascii="Arial" w:hAnsi="Arial"/>
                <w:b/>
                <w:color w:val="FFFFFF"/>
                <w:sz w:val="18"/>
              </w:rPr>
              <w:t>Method</w:t>
            </w:r>
          </w:p>
        </w:tc>
        <w:tc>
          <w:tcPr>
            <w:tcW w:w="1806" w:type="dxa"/>
            <w:shd w:val="clear" w:color="auto" w:fill="1B3A6B"/>
          </w:tcPr>
          <w:p w14:paraId="034551FA" w14:textId="77777777" w:rsidR="00141B56" w:rsidRDefault="00000000">
            <w:r>
              <w:rPr>
                <w:rFonts w:ascii="Arial" w:hAnsi="Arial"/>
                <w:b/>
                <w:color w:val="FFFFFF"/>
                <w:sz w:val="18"/>
              </w:rPr>
              <w:t>Scope 2 Emissions (tCO₂e)</w:t>
            </w:r>
          </w:p>
        </w:tc>
        <w:tc>
          <w:tcPr>
            <w:tcW w:w="1806" w:type="dxa"/>
            <w:shd w:val="clear" w:color="auto" w:fill="1B3A6B"/>
          </w:tcPr>
          <w:p w14:paraId="15668E9B" w14:textId="77777777" w:rsidR="00141B56" w:rsidRDefault="00000000">
            <w:r>
              <w:rPr>
                <w:rFonts w:ascii="Arial" w:hAnsi="Arial"/>
                <w:b/>
                <w:color w:val="FFFFFF"/>
                <w:sz w:val="18"/>
              </w:rPr>
              <w:t>Prior Year (tCO₂e)</w:t>
            </w:r>
          </w:p>
        </w:tc>
        <w:tc>
          <w:tcPr>
            <w:tcW w:w="1806" w:type="dxa"/>
            <w:shd w:val="clear" w:color="auto" w:fill="1B3A6B"/>
          </w:tcPr>
          <w:p w14:paraId="1A799F4A" w14:textId="77777777" w:rsidR="00141B56" w:rsidRDefault="00000000">
            <w:r>
              <w:rPr>
                <w:rFonts w:ascii="Arial" w:hAnsi="Arial"/>
                <w:b/>
                <w:color w:val="FFFFFF"/>
                <w:sz w:val="18"/>
              </w:rPr>
              <w:t>Change (%)</w:t>
            </w:r>
          </w:p>
        </w:tc>
        <w:tc>
          <w:tcPr>
            <w:tcW w:w="1806" w:type="dxa"/>
            <w:shd w:val="clear" w:color="auto" w:fill="1B3A6B"/>
          </w:tcPr>
          <w:p w14:paraId="46E08F3B" w14:textId="77777777" w:rsidR="00141B56" w:rsidRDefault="00000000">
            <w:r>
              <w:rPr>
                <w:rFonts w:ascii="Arial" w:hAnsi="Arial"/>
                <w:b/>
                <w:color w:val="FFFFFF"/>
                <w:sz w:val="18"/>
              </w:rPr>
              <w:t>Grid Emission Factor</w:t>
            </w:r>
          </w:p>
        </w:tc>
      </w:tr>
      <w:tr w:rsidR="00141B56" w14:paraId="3485ECE7" w14:textId="77777777">
        <w:trPr>
          <w:jc w:val="center"/>
        </w:trPr>
        <w:tc>
          <w:tcPr>
            <w:tcW w:w="1806" w:type="dxa"/>
          </w:tcPr>
          <w:p w14:paraId="4D04CD60" w14:textId="77777777" w:rsidR="00141B56" w:rsidRDefault="00000000">
            <w:r>
              <w:rPr>
                <w:rFonts w:ascii="Arial" w:hAnsi="Arial"/>
                <w:sz w:val="18"/>
              </w:rPr>
              <w:t>Location-based</w:t>
            </w:r>
          </w:p>
        </w:tc>
        <w:tc>
          <w:tcPr>
            <w:tcW w:w="1806" w:type="dxa"/>
          </w:tcPr>
          <w:p w14:paraId="4C47B377" w14:textId="77777777" w:rsidR="00141B56" w:rsidRDefault="00000000">
            <w:pPr>
              <w:jc w:val="right"/>
            </w:pPr>
            <w:r>
              <w:rPr>
                <w:rFonts w:ascii="Arial" w:hAnsi="Arial"/>
                <w:sz w:val="18"/>
              </w:rPr>
              <w:t>44,613.876</w:t>
            </w:r>
          </w:p>
        </w:tc>
        <w:tc>
          <w:tcPr>
            <w:tcW w:w="1806" w:type="dxa"/>
          </w:tcPr>
          <w:p w14:paraId="75BCC307" w14:textId="77777777" w:rsidR="00141B56" w:rsidRDefault="00000000">
            <w:pPr>
              <w:jc w:val="right"/>
            </w:pPr>
            <w:r>
              <w:rPr>
                <w:rFonts w:ascii="Arial" w:hAnsi="Arial"/>
                <w:sz w:val="18"/>
              </w:rPr>
              <w:t>44,599.440</w:t>
            </w:r>
          </w:p>
        </w:tc>
        <w:tc>
          <w:tcPr>
            <w:tcW w:w="1806" w:type="dxa"/>
          </w:tcPr>
          <w:p w14:paraId="6592EBD6" w14:textId="77777777" w:rsidR="00141B56" w:rsidRDefault="00000000">
            <w:pPr>
              <w:jc w:val="right"/>
            </w:pPr>
            <w:r>
              <w:rPr>
                <w:rFonts w:ascii="Arial" w:hAnsi="Arial"/>
                <w:sz w:val="18"/>
              </w:rPr>
              <w:t>+0.03%</w:t>
            </w:r>
          </w:p>
        </w:tc>
        <w:tc>
          <w:tcPr>
            <w:tcW w:w="1806" w:type="dxa"/>
          </w:tcPr>
          <w:p w14:paraId="506E5A2A" w14:textId="77777777" w:rsidR="00141B56" w:rsidRDefault="00000000">
            <w:r>
              <w:rPr>
                <w:rFonts w:ascii="Arial" w:hAnsi="Arial"/>
                <w:sz w:val="18"/>
              </w:rPr>
              <w:t>0.7886 kgCO₂/kWh (PLN 2023)</w:t>
            </w:r>
          </w:p>
        </w:tc>
      </w:tr>
      <w:tr w:rsidR="00141B56" w14:paraId="203CC6A3" w14:textId="77777777">
        <w:trPr>
          <w:jc w:val="center"/>
        </w:trPr>
        <w:tc>
          <w:tcPr>
            <w:tcW w:w="1806" w:type="dxa"/>
            <w:shd w:val="clear" w:color="auto" w:fill="F2F6FC"/>
          </w:tcPr>
          <w:p w14:paraId="10DE2620" w14:textId="77777777" w:rsidR="00141B56" w:rsidRDefault="00000000">
            <w:r>
              <w:rPr>
                <w:rFonts w:ascii="Arial" w:hAnsi="Arial"/>
                <w:sz w:val="18"/>
              </w:rPr>
              <w:t>Market-based</w:t>
            </w:r>
          </w:p>
        </w:tc>
        <w:tc>
          <w:tcPr>
            <w:tcW w:w="1806" w:type="dxa"/>
            <w:shd w:val="clear" w:color="auto" w:fill="F2F6FC"/>
          </w:tcPr>
          <w:p w14:paraId="356942B0" w14:textId="77777777" w:rsidR="00141B56" w:rsidRDefault="00000000">
            <w:pPr>
              <w:jc w:val="right"/>
            </w:pPr>
            <w:r>
              <w:rPr>
                <w:rFonts w:ascii="Arial" w:hAnsi="Arial"/>
                <w:sz w:val="18"/>
              </w:rPr>
              <w:t>44,612.518</w:t>
            </w:r>
          </w:p>
        </w:tc>
        <w:tc>
          <w:tcPr>
            <w:tcW w:w="1806" w:type="dxa"/>
            <w:shd w:val="clear" w:color="auto" w:fill="F2F6FC"/>
          </w:tcPr>
          <w:p w14:paraId="22302218" w14:textId="77777777" w:rsidR="00141B56" w:rsidRDefault="00000000">
            <w:pPr>
              <w:jc w:val="right"/>
            </w:pPr>
            <w:r>
              <w:rPr>
                <w:rFonts w:ascii="Arial" w:hAnsi="Arial"/>
                <w:sz w:val="18"/>
              </w:rPr>
              <w:t>44,598.118</w:t>
            </w:r>
          </w:p>
        </w:tc>
        <w:tc>
          <w:tcPr>
            <w:tcW w:w="1806" w:type="dxa"/>
            <w:shd w:val="clear" w:color="auto" w:fill="F2F6FC"/>
          </w:tcPr>
          <w:p w14:paraId="2B98C97D" w14:textId="77777777" w:rsidR="00141B56" w:rsidRDefault="00000000">
            <w:pPr>
              <w:jc w:val="right"/>
            </w:pPr>
            <w:r>
              <w:rPr>
                <w:rFonts w:ascii="Arial" w:hAnsi="Arial"/>
                <w:sz w:val="18"/>
              </w:rPr>
              <w:t>+0.03%</w:t>
            </w:r>
          </w:p>
        </w:tc>
        <w:tc>
          <w:tcPr>
            <w:tcW w:w="1806" w:type="dxa"/>
            <w:shd w:val="clear" w:color="auto" w:fill="F2F6FC"/>
          </w:tcPr>
          <w:p w14:paraId="1F7680ED" w14:textId="77777777" w:rsidR="00141B56" w:rsidRDefault="00000000">
            <w:r>
              <w:rPr>
                <w:rFonts w:ascii="Arial" w:hAnsi="Arial"/>
                <w:sz w:val="18"/>
              </w:rPr>
              <w:t>0.7886 kgCO₂/kWh adjusted for RECs</w:t>
            </w:r>
          </w:p>
        </w:tc>
      </w:tr>
      <w:tr w:rsidR="00141B56" w14:paraId="4D9244A5" w14:textId="77777777">
        <w:trPr>
          <w:jc w:val="center"/>
        </w:trPr>
        <w:tc>
          <w:tcPr>
            <w:tcW w:w="1806" w:type="dxa"/>
          </w:tcPr>
          <w:p w14:paraId="569D1A14" w14:textId="77777777" w:rsidR="00141B56" w:rsidRDefault="00000000">
            <w:r>
              <w:rPr>
                <w:rFonts w:ascii="Arial" w:hAnsi="Arial"/>
                <w:sz w:val="18"/>
              </w:rPr>
              <w:t>Difference</w:t>
            </w:r>
          </w:p>
        </w:tc>
        <w:tc>
          <w:tcPr>
            <w:tcW w:w="1806" w:type="dxa"/>
          </w:tcPr>
          <w:p w14:paraId="63FE5A50" w14:textId="77777777" w:rsidR="00141B56" w:rsidRDefault="00000000">
            <w:pPr>
              <w:jc w:val="right"/>
            </w:pPr>
            <w:r>
              <w:rPr>
                <w:rFonts w:ascii="Arial" w:hAnsi="Arial"/>
                <w:sz w:val="18"/>
              </w:rPr>
              <w:t>1.358</w:t>
            </w:r>
          </w:p>
        </w:tc>
        <w:tc>
          <w:tcPr>
            <w:tcW w:w="1806" w:type="dxa"/>
          </w:tcPr>
          <w:p w14:paraId="2FDBA23B" w14:textId="77777777" w:rsidR="00141B56" w:rsidRDefault="00000000">
            <w:pPr>
              <w:jc w:val="right"/>
            </w:pPr>
            <w:r>
              <w:rPr>
                <w:rFonts w:ascii="Arial" w:hAnsi="Arial"/>
                <w:sz w:val="18"/>
              </w:rPr>
              <w:t>1.322</w:t>
            </w:r>
          </w:p>
        </w:tc>
        <w:tc>
          <w:tcPr>
            <w:tcW w:w="1806" w:type="dxa"/>
          </w:tcPr>
          <w:p w14:paraId="17EB6BE1" w14:textId="77777777" w:rsidR="00141B56" w:rsidRDefault="00000000">
            <w:pPr>
              <w:jc w:val="right"/>
            </w:pPr>
            <w:r>
              <w:rPr>
                <w:rFonts w:ascii="Arial" w:hAnsi="Arial"/>
                <w:sz w:val="18"/>
              </w:rPr>
              <w:t>+2.72%</w:t>
            </w:r>
          </w:p>
        </w:tc>
        <w:tc>
          <w:tcPr>
            <w:tcW w:w="1806" w:type="dxa"/>
          </w:tcPr>
          <w:p w14:paraId="3D96644A" w14:textId="77777777" w:rsidR="00141B56" w:rsidRDefault="00000000">
            <w:r>
              <w:rPr>
                <w:rFonts w:ascii="Arial" w:hAnsi="Arial"/>
                <w:sz w:val="18"/>
              </w:rPr>
              <w:t>Contractual instruments applied</w:t>
            </w:r>
          </w:p>
        </w:tc>
      </w:tr>
    </w:tbl>
    <w:p w14:paraId="7F605F01" w14:textId="77777777" w:rsidR="00141B56" w:rsidRDefault="00000000">
      <w:r>
        <w:rPr>
          <w:rFonts w:ascii="Arial" w:hAnsi="Arial"/>
          <w:i/>
          <w:sz w:val="16"/>
        </w:rPr>
        <w:t>Source: Source: Institution's energy consumption data and PLN 2023 grid emission factor. Dual reporting per GHG Protocol Scope 2 Guidance (2015).</w:t>
      </w:r>
    </w:p>
    <w:p w14:paraId="2F29AD3D" w14:textId="77777777" w:rsidR="00141B56" w:rsidRDefault="00141B56"/>
    <w:p w14:paraId="6CE7CB02" w14:textId="77777777" w:rsidR="00141B56" w:rsidRDefault="00000000">
      <w:r>
        <w:rPr>
          <w:rFonts w:ascii="Arial" w:hAnsi="Arial"/>
          <w:b/>
          <w:sz w:val="20"/>
        </w:rPr>
        <w:t>Table 1.2.2: Framework Cross-Reference — Scope 2 Disclosure Compliance</w:t>
      </w:r>
    </w:p>
    <w:tbl>
      <w:tblPr>
        <w:tblW w:w="0" w:type="auto"/>
        <w:jc w:val="center"/>
        <w:tblLook w:val="04A0" w:firstRow="1" w:lastRow="0" w:firstColumn="1" w:lastColumn="0" w:noHBand="0" w:noVBand="1"/>
      </w:tblPr>
      <w:tblGrid>
        <w:gridCol w:w="2257"/>
        <w:gridCol w:w="2257"/>
        <w:gridCol w:w="2257"/>
        <w:gridCol w:w="2257"/>
      </w:tblGrid>
      <w:tr w:rsidR="00141B56" w14:paraId="5A968F1F" w14:textId="77777777">
        <w:trPr>
          <w:jc w:val="center"/>
        </w:trPr>
        <w:tc>
          <w:tcPr>
            <w:tcW w:w="2257" w:type="dxa"/>
            <w:shd w:val="clear" w:color="auto" w:fill="1B3A6B"/>
          </w:tcPr>
          <w:p w14:paraId="1364015E" w14:textId="77777777" w:rsidR="00141B56" w:rsidRDefault="00000000">
            <w:r>
              <w:rPr>
                <w:rFonts w:ascii="Arial" w:hAnsi="Arial"/>
                <w:b/>
                <w:color w:val="FFFFFF"/>
                <w:sz w:val="18"/>
              </w:rPr>
              <w:t>Framework</w:t>
            </w:r>
          </w:p>
        </w:tc>
        <w:tc>
          <w:tcPr>
            <w:tcW w:w="2257" w:type="dxa"/>
            <w:shd w:val="clear" w:color="auto" w:fill="1B3A6B"/>
          </w:tcPr>
          <w:p w14:paraId="7E952D84" w14:textId="77777777" w:rsidR="00141B56" w:rsidRDefault="00000000">
            <w:r>
              <w:rPr>
                <w:rFonts w:ascii="Arial" w:hAnsi="Arial"/>
                <w:b/>
                <w:color w:val="FFFFFF"/>
                <w:sz w:val="18"/>
              </w:rPr>
              <w:t>Disclosure Reference</w:t>
            </w:r>
          </w:p>
        </w:tc>
        <w:tc>
          <w:tcPr>
            <w:tcW w:w="2257" w:type="dxa"/>
            <w:shd w:val="clear" w:color="auto" w:fill="1B3A6B"/>
          </w:tcPr>
          <w:p w14:paraId="3C000DE6" w14:textId="77777777" w:rsidR="00141B56" w:rsidRDefault="00000000">
            <w:r>
              <w:rPr>
                <w:rFonts w:ascii="Arial" w:hAnsi="Arial"/>
                <w:b/>
                <w:color w:val="FFFFFF"/>
                <w:sz w:val="18"/>
              </w:rPr>
              <w:t>Requirement</w:t>
            </w:r>
          </w:p>
        </w:tc>
        <w:tc>
          <w:tcPr>
            <w:tcW w:w="2257" w:type="dxa"/>
            <w:shd w:val="clear" w:color="auto" w:fill="1B3A6B"/>
          </w:tcPr>
          <w:p w14:paraId="69220E96" w14:textId="77777777" w:rsidR="00141B56" w:rsidRDefault="00000000">
            <w:r>
              <w:rPr>
                <w:rFonts w:ascii="Arial" w:hAnsi="Arial"/>
                <w:b/>
                <w:color w:val="FFFFFF"/>
                <w:sz w:val="18"/>
              </w:rPr>
              <w:t>Status</w:t>
            </w:r>
          </w:p>
        </w:tc>
      </w:tr>
      <w:tr w:rsidR="00141B56" w14:paraId="679B3BC2" w14:textId="77777777">
        <w:trPr>
          <w:jc w:val="center"/>
        </w:trPr>
        <w:tc>
          <w:tcPr>
            <w:tcW w:w="2257" w:type="dxa"/>
          </w:tcPr>
          <w:p w14:paraId="5CFD710D" w14:textId="77777777" w:rsidR="00141B56" w:rsidRDefault="00000000">
            <w:r>
              <w:rPr>
                <w:rFonts w:ascii="Arial" w:hAnsi="Arial"/>
                <w:sz w:val="18"/>
              </w:rPr>
              <w:lastRenderedPageBreak/>
              <w:t>GRI 305-2</w:t>
            </w:r>
          </w:p>
        </w:tc>
        <w:tc>
          <w:tcPr>
            <w:tcW w:w="2257" w:type="dxa"/>
          </w:tcPr>
          <w:p w14:paraId="01E6E2EF" w14:textId="77777777" w:rsidR="00141B56" w:rsidRDefault="00000000">
            <w:r>
              <w:rPr>
                <w:rFonts w:ascii="Arial" w:hAnsi="Arial"/>
                <w:sz w:val="18"/>
              </w:rPr>
              <w:t>305-2a</w:t>
            </w:r>
          </w:p>
        </w:tc>
        <w:tc>
          <w:tcPr>
            <w:tcW w:w="2257" w:type="dxa"/>
          </w:tcPr>
          <w:p w14:paraId="119C8AD2" w14:textId="77777777" w:rsidR="00141B56" w:rsidRDefault="00000000">
            <w:r>
              <w:rPr>
                <w:rFonts w:ascii="Arial" w:hAnsi="Arial"/>
                <w:sz w:val="18"/>
              </w:rPr>
              <w:t>Gross location-based Scope 2 GHG emissions in metric tons of CO₂ equivalent</w:t>
            </w:r>
          </w:p>
        </w:tc>
        <w:tc>
          <w:tcPr>
            <w:tcW w:w="2257" w:type="dxa"/>
          </w:tcPr>
          <w:p w14:paraId="3D866346" w14:textId="77777777" w:rsidR="00141B56" w:rsidRDefault="00000000">
            <w:r>
              <w:rPr>
                <w:rFonts w:ascii="Arial" w:hAnsi="Arial"/>
                <w:sz w:val="18"/>
              </w:rPr>
              <w:t>✅ Disclosed: 44,613.876 tCO₂e</w:t>
            </w:r>
          </w:p>
        </w:tc>
      </w:tr>
      <w:tr w:rsidR="00141B56" w14:paraId="32D988FE" w14:textId="77777777">
        <w:trPr>
          <w:jc w:val="center"/>
        </w:trPr>
        <w:tc>
          <w:tcPr>
            <w:tcW w:w="2257" w:type="dxa"/>
            <w:shd w:val="clear" w:color="auto" w:fill="F2F6FC"/>
          </w:tcPr>
          <w:p w14:paraId="49507EAE" w14:textId="77777777" w:rsidR="00141B56" w:rsidRDefault="00000000">
            <w:r>
              <w:rPr>
                <w:rFonts w:ascii="Arial" w:hAnsi="Arial"/>
                <w:sz w:val="18"/>
              </w:rPr>
              <w:t>GRI 305-2</w:t>
            </w:r>
          </w:p>
        </w:tc>
        <w:tc>
          <w:tcPr>
            <w:tcW w:w="2257" w:type="dxa"/>
            <w:shd w:val="clear" w:color="auto" w:fill="F2F6FC"/>
          </w:tcPr>
          <w:p w14:paraId="3018C70F" w14:textId="77777777" w:rsidR="00141B56" w:rsidRDefault="00000000">
            <w:r>
              <w:rPr>
                <w:rFonts w:ascii="Arial" w:hAnsi="Arial"/>
                <w:sz w:val="18"/>
              </w:rPr>
              <w:t>305-2b</w:t>
            </w:r>
          </w:p>
        </w:tc>
        <w:tc>
          <w:tcPr>
            <w:tcW w:w="2257" w:type="dxa"/>
            <w:shd w:val="clear" w:color="auto" w:fill="F2F6FC"/>
          </w:tcPr>
          <w:p w14:paraId="419948DD" w14:textId="77777777" w:rsidR="00141B56" w:rsidRDefault="00000000">
            <w:r>
              <w:rPr>
                <w:rFonts w:ascii="Arial" w:hAnsi="Arial"/>
                <w:sz w:val="18"/>
              </w:rPr>
              <w:t>Gross market-based Scope 2 GHG emissions in metric tons of CO₂ equivalent</w:t>
            </w:r>
          </w:p>
        </w:tc>
        <w:tc>
          <w:tcPr>
            <w:tcW w:w="2257" w:type="dxa"/>
            <w:shd w:val="clear" w:color="auto" w:fill="F2F6FC"/>
          </w:tcPr>
          <w:p w14:paraId="308D2BE4" w14:textId="77777777" w:rsidR="00141B56" w:rsidRDefault="00000000">
            <w:r>
              <w:rPr>
                <w:rFonts w:ascii="Arial" w:hAnsi="Arial"/>
                <w:sz w:val="18"/>
              </w:rPr>
              <w:t>✅ Disclosed: 44,612.518 tCO₂e</w:t>
            </w:r>
          </w:p>
        </w:tc>
      </w:tr>
      <w:tr w:rsidR="00141B56" w14:paraId="400F039F" w14:textId="77777777">
        <w:trPr>
          <w:jc w:val="center"/>
        </w:trPr>
        <w:tc>
          <w:tcPr>
            <w:tcW w:w="2257" w:type="dxa"/>
          </w:tcPr>
          <w:p w14:paraId="5E6956D5" w14:textId="77777777" w:rsidR="00141B56" w:rsidRDefault="00000000">
            <w:r>
              <w:rPr>
                <w:rFonts w:ascii="Arial" w:hAnsi="Arial"/>
                <w:sz w:val="18"/>
              </w:rPr>
              <w:t>GRI 305-2</w:t>
            </w:r>
          </w:p>
        </w:tc>
        <w:tc>
          <w:tcPr>
            <w:tcW w:w="2257" w:type="dxa"/>
          </w:tcPr>
          <w:p w14:paraId="0A350C10" w14:textId="77777777" w:rsidR="00141B56" w:rsidRDefault="00000000">
            <w:r>
              <w:rPr>
                <w:rFonts w:ascii="Arial" w:hAnsi="Arial"/>
                <w:sz w:val="18"/>
              </w:rPr>
              <w:t>305-2c</w:t>
            </w:r>
          </w:p>
        </w:tc>
        <w:tc>
          <w:tcPr>
            <w:tcW w:w="2257" w:type="dxa"/>
          </w:tcPr>
          <w:p w14:paraId="301C7DC2" w14:textId="77777777" w:rsidR="00141B56" w:rsidRDefault="00000000">
            <w:r>
              <w:rPr>
                <w:rFonts w:ascii="Arial" w:hAnsi="Arial"/>
                <w:sz w:val="18"/>
              </w:rPr>
              <w:t>Gases included in the calculation (CO₂, CH₄, N₂O, HFCs, PFCs, SF₆, NF₃)</w:t>
            </w:r>
          </w:p>
        </w:tc>
        <w:tc>
          <w:tcPr>
            <w:tcW w:w="2257" w:type="dxa"/>
          </w:tcPr>
          <w:p w14:paraId="50113AF1" w14:textId="77777777" w:rsidR="00141B56" w:rsidRDefault="00000000">
            <w:r>
              <w:rPr>
                <w:rFonts w:ascii="Arial" w:hAnsi="Arial"/>
                <w:sz w:val="18"/>
              </w:rPr>
              <w:t>✅ Disclosed: CO₂ equivalent</w:t>
            </w:r>
          </w:p>
        </w:tc>
      </w:tr>
      <w:tr w:rsidR="00141B56" w14:paraId="3562F6CA" w14:textId="77777777">
        <w:trPr>
          <w:jc w:val="center"/>
        </w:trPr>
        <w:tc>
          <w:tcPr>
            <w:tcW w:w="2257" w:type="dxa"/>
            <w:shd w:val="clear" w:color="auto" w:fill="F2F6FC"/>
          </w:tcPr>
          <w:p w14:paraId="1B0ABCF6" w14:textId="77777777" w:rsidR="00141B56" w:rsidRDefault="00000000">
            <w:r>
              <w:rPr>
                <w:rFonts w:ascii="Arial" w:hAnsi="Arial"/>
                <w:sz w:val="18"/>
              </w:rPr>
              <w:t>GRI 305-2</w:t>
            </w:r>
          </w:p>
        </w:tc>
        <w:tc>
          <w:tcPr>
            <w:tcW w:w="2257" w:type="dxa"/>
            <w:shd w:val="clear" w:color="auto" w:fill="F2F6FC"/>
          </w:tcPr>
          <w:p w14:paraId="05FFE6D0" w14:textId="77777777" w:rsidR="00141B56" w:rsidRDefault="00000000">
            <w:r>
              <w:rPr>
                <w:rFonts w:ascii="Arial" w:hAnsi="Arial"/>
                <w:sz w:val="18"/>
              </w:rPr>
              <w:t>305-2d</w:t>
            </w:r>
          </w:p>
        </w:tc>
        <w:tc>
          <w:tcPr>
            <w:tcW w:w="2257" w:type="dxa"/>
            <w:shd w:val="clear" w:color="auto" w:fill="F2F6FC"/>
          </w:tcPr>
          <w:p w14:paraId="45466AF1" w14:textId="77777777" w:rsidR="00141B56" w:rsidRDefault="00000000">
            <w:r>
              <w:rPr>
                <w:rFonts w:ascii="Arial" w:hAnsi="Arial"/>
                <w:sz w:val="18"/>
              </w:rPr>
              <w:t>Base year for calculation, if applicable</w:t>
            </w:r>
          </w:p>
        </w:tc>
        <w:tc>
          <w:tcPr>
            <w:tcW w:w="2257" w:type="dxa"/>
            <w:shd w:val="clear" w:color="auto" w:fill="F2F6FC"/>
          </w:tcPr>
          <w:p w14:paraId="39816DED" w14:textId="77777777" w:rsidR="00141B56" w:rsidRDefault="00000000">
            <w:r>
              <w:rPr>
                <w:rFonts w:ascii="Arial" w:hAnsi="Arial"/>
                <w:sz w:val="18"/>
              </w:rPr>
              <w:t>✅ Disclosed: 2023 baseline</w:t>
            </w:r>
          </w:p>
        </w:tc>
      </w:tr>
      <w:tr w:rsidR="00141B56" w14:paraId="2DA64B75" w14:textId="77777777">
        <w:trPr>
          <w:jc w:val="center"/>
        </w:trPr>
        <w:tc>
          <w:tcPr>
            <w:tcW w:w="2257" w:type="dxa"/>
          </w:tcPr>
          <w:p w14:paraId="30A2671F" w14:textId="77777777" w:rsidR="00141B56" w:rsidRDefault="00000000">
            <w:r>
              <w:rPr>
                <w:rFonts w:ascii="Arial" w:hAnsi="Arial"/>
                <w:sz w:val="18"/>
              </w:rPr>
              <w:t>GRI 305-2</w:t>
            </w:r>
          </w:p>
        </w:tc>
        <w:tc>
          <w:tcPr>
            <w:tcW w:w="2257" w:type="dxa"/>
          </w:tcPr>
          <w:p w14:paraId="615ACB87" w14:textId="77777777" w:rsidR="00141B56" w:rsidRDefault="00000000">
            <w:r>
              <w:rPr>
                <w:rFonts w:ascii="Arial" w:hAnsi="Arial"/>
                <w:sz w:val="18"/>
              </w:rPr>
              <w:t>305-2e</w:t>
            </w:r>
          </w:p>
        </w:tc>
        <w:tc>
          <w:tcPr>
            <w:tcW w:w="2257" w:type="dxa"/>
          </w:tcPr>
          <w:p w14:paraId="733EEDE1" w14:textId="77777777" w:rsidR="00141B56" w:rsidRDefault="00000000">
            <w:r>
              <w:rPr>
                <w:rFonts w:ascii="Arial" w:hAnsi="Arial"/>
                <w:sz w:val="18"/>
              </w:rPr>
              <w:t>Source of emission factors and global warming potential rates</w:t>
            </w:r>
          </w:p>
        </w:tc>
        <w:tc>
          <w:tcPr>
            <w:tcW w:w="2257" w:type="dxa"/>
          </w:tcPr>
          <w:p w14:paraId="5038C9E6" w14:textId="77777777" w:rsidR="00141B56" w:rsidRDefault="00000000">
            <w:r>
              <w:rPr>
                <w:rFonts w:ascii="Arial" w:hAnsi="Arial"/>
                <w:sz w:val="18"/>
              </w:rPr>
              <w:t>✅ Disclosed: PLN 2023, IPCC AR5</w:t>
            </w:r>
          </w:p>
        </w:tc>
      </w:tr>
      <w:tr w:rsidR="00141B56" w14:paraId="5B1FF42B" w14:textId="77777777">
        <w:trPr>
          <w:jc w:val="center"/>
        </w:trPr>
        <w:tc>
          <w:tcPr>
            <w:tcW w:w="2257" w:type="dxa"/>
            <w:shd w:val="clear" w:color="auto" w:fill="F2F6FC"/>
          </w:tcPr>
          <w:p w14:paraId="5FA9853E" w14:textId="77777777" w:rsidR="00141B56" w:rsidRDefault="00000000">
            <w:r>
              <w:rPr>
                <w:rFonts w:ascii="Arial" w:hAnsi="Arial"/>
                <w:sz w:val="18"/>
              </w:rPr>
              <w:t>GRI 305-2</w:t>
            </w:r>
          </w:p>
        </w:tc>
        <w:tc>
          <w:tcPr>
            <w:tcW w:w="2257" w:type="dxa"/>
            <w:shd w:val="clear" w:color="auto" w:fill="F2F6FC"/>
          </w:tcPr>
          <w:p w14:paraId="05698F24" w14:textId="77777777" w:rsidR="00141B56" w:rsidRDefault="00000000">
            <w:r>
              <w:rPr>
                <w:rFonts w:ascii="Arial" w:hAnsi="Arial"/>
                <w:sz w:val="18"/>
              </w:rPr>
              <w:t>305-2f</w:t>
            </w:r>
          </w:p>
        </w:tc>
        <w:tc>
          <w:tcPr>
            <w:tcW w:w="2257" w:type="dxa"/>
            <w:shd w:val="clear" w:color="auto" w:fill="F2F6FC"/>
          </w:tcPr>
          <w:p w14:paraId="3DA515F8" w14:textId="77777777" w:rsidR="00141B56" w:rsidRDefault="00000000">
            <w:r>
              <w:rPr>
                <w:rFonts w:ascii="Arial" w:hAnsi="Arial"/>
                <w:sz w:val="18"/>
              </w:rPr>
              <w:t>Consolidation approach (equity share, financial control, operational control)</w:t>
            </w:r>
          </w:p>
        </w:tc>
        <w:tc>
          <w:tcPr>
            <w:tcW w:w="2257" w:type="dxa"/>
            <w:shd w:val="clear" w:color="auto" w:fill="F2F6FC"/>
          </w:tcPr>
          <w:p w14:paraId="0148A649" w14:textId="77777777" w:rsidR="00141B56" w:rsidRDefault="00000000">
            <w:r>
              <w:rPr>
                <w:rFonts w:ascii="Arial" w:hAnsi="Arial"/>
                <w:sz w:val="18"/>
              </w:rPr>
              <w:t>✅ Disclosed: Operational control</w:t>
            </w:r>
          </w:p>
        </w:tc>
      </w:tr>
      <w:tr w:rsidR="00141B56" w14:paraId="04730F27" w14:textId="77777777">
        <w:trPr>
          <w:jc w:val="center"/>
        </w:trPr>
        <w:tc>
          <w:tcPr>
            <w:tcW w:w="2257" w:type="dxa"/>
          </w:tcPr>
          <w:p w14:paraId="73E6F18E" w14:textId="77777777" w:rsidR="00141B56" w:rsidRDefault="00000000">
            <w:r>
              <w:rPr>
                <w:rFonts w:ascii="Arial" w:hAnsi="Arial"/>
                <w:sz w:val="18"/>
              </w:rPr>
              <w:t>GRI 305-2</w:t>
            </w:r>
          </w:p>
        </w:tc>
        <w:tc>
          <w:tcPr>
            <w:tcW w:w="2257" w:type="dxa"/>
          </w:tcPr>
          <w:p w14:paraId="7DCDDB61" w14:textId="77777777" w:rsidR="00141B56" w:rsidRDefault="00000000">
            <w:r>
              <w:rPr>
                <w:rFonts w:ascii="Arial" w:hAnsi="Arial"/>
                <w:sz w:val="18"/>
              </w:rPr>
              <w:t>305-2g</w:t>
            </w:r>
          </w:p>
        </w:tc>
        <w:tc>
          <w:tcPr>
            <w:tcW w:w="2257" w:type="dxa"/>
          </w:tcPr>
          <w:p w14:paraId="5D660FBF" w14:textId="77777777" w:rsidR="00141B56" w:rsidRDefault="00000000">
            <w:r>
              <w:rPr>
                <w:rFonts w:ascii="Arial" w:hAnsi="Arial"/>
                <w:sz w:val="18"/>
              </w:rPr>
              <w:t>Standards, methodologies, assumptions, and/or calculation tools used</w:t>
            </w:r>
          </w:p>
        </w:tc>
        <w:tc>
          <w:tcPr>
            <w:tcW w:w="2257" w:type="dxa"/>
          </w:tcPr>
          <w:p w14:paraId="2F7707CD" w14:textId="77777777" w:rsidR="00141B56" w:rsidRDefault="00000000">
            <w:r>
              <w:rPr>
                <w:rFonts w:ascii="Arial" w:hAnsi="Arial"/>
                <w:sz w:val="18"/>
              </w:rPr>
              <w:t>✅ Disclosed: GHG Protocol Scope 2 Guidance (2015)</w:t>
            </w:r>
          </w:p>
        </w:tc>
      </w:tr>
      <w:tr w:rsidR="00141B56" w14:paraId="4E5572C0" w14:textId="77777777">
        <w:trPr>
          <w:jc w:val="center"/>
        </w:trPr>
        <w:tc>
          <w:tcPr>
            <w:tcW w:w="2257" w:type="dxa"/>
            <w:shd w:val="clear" w:color="auto" w:fill="F2F6FC"/>
          </w:tcPr>
          <w:p w14:paraId="4D19102D" w14:textId="77777777" w:rsidR="00141B56" w:rsidRDefault="00000000">
            <w:r>
              <w:rPr>
                <w:rFonts w:ascii="Arial" w:hAnsi="Arial"/>
                <w:sz w:val="18"/>
              </w:rPr>
              <w:t>IFRS S2</w:t>
            </w:r>
          </w:p>
        </w:tc>
        <w:tc>
          <w:tcPr>
            <w:tcW w:w="2257" w:type="dxa"/>
            <w:shd w:val="clear" w:color="auto" w:fill="F2F6FC"/>
          </w:tcPr>
          <w:p w14:paraId="558E735A" w14:textId="77777777" w:rsidR="00141B56" w:rsidRDefault="00000000">
            <w:r>
              <w:rPr>
                <w:rFonts w:ascii="Arial" w:hAnsi="Arial"/>
                <w:sz w:val="18"/>
              </w:rPr>
              <w:t>Paragraph 29(a)(ii)</w:t>
            </w:r>
          </w:p>
        </w:tc>
        <w:tc>
          <w:tcPr>
            <w:tcW w:w="2257" w:type="dxa"/>
            <w:shd w:val="clear" w:color="auto" w:fill="F2F6FC"/>
          </w:tcPr>
          <w:p w14:paraId="54EC17D7" w14:textId="77777777" w:rsidR="00141B56" w:rsidRDefault="00000000">
            <w:r>
              <w:rPr>
                <w:rFonts w:ascii="Arial" w:hAnsi="Arial"/>
                <w:sz w:val="18"/>
              </w:rPr>
              <w:t>Absolute gross Scope 2 GHG emissions</w:t>
            </w:r>
          </w:p>
        </w:tc>
        <w:tc>
          <w:tcPr>
            <w:tcW w:w="2257" w:type="dxa"/>
            <w:shd w:val="clear" w:color="auto" w:fill="F2F6FC"/>
          </w:tcPr>
          <w:p w14:paraId="005B6C46" w14:textId="77777777" w:rsidR="00141B56" w:rsidRDefault="00000000">
            <w:r>
              <w:rPr>
                <w:rFonts w:ascii="Arial" w:hAnsi="Arial"/>
                <w:sz w:val="18"/>
              </w:rPr>
              <w:t>✅ Disclosed: Location and market-based</w:t>
            </w:r>
          </w:p>
        </w:tc>
      </w:tr>
      <w:tr w:rsidR="00141B56" w14:paraId="1480B16C" w14:textId="77777777">
        <w:trPr>
          <w:jc w:val="center"/>
        </w:trPr>
        <w:tc>
          <w:tcPr>
            <w:tcW w:w="2257" w:type="dxa"/>
          </w:tcPr>
          <w:p w14:paraId="3F2007DE" w14:textId="77777777" w:rsidR="00141B56" w:rsidRDefault="00000000">
            <w:r>
              <w:rPr>
                <w:rFonts w:ascii="Arial" w:hAnsi="Arial"/>
                <w:sz w:val="18"/>
              </w:rPr>
              <w:t>ESRS E1-6</w:t>
            </w:r>
          </w:p>
        </w:tc>
        <w:tc>
          <w:tcPr>
            <w:tcW w:w="2257" w:type="dxa"/>
          </w:tcPr>
          <w:p w14:paraId="4ADAA8E3" w14:textId="77777777" w:rsidR="00141B56" w:rsidRDefault="00000000">
            <w:r>
              <w:rPr>
                <w:rFonts w:ascii="Arial" w:hAnsi="Arial"/>
                <w:sz w:val="18"/>
              </w:rPr>
              <w:t>DR E1-6.46</w:t>
            </w:r>
          </w:p>
        </w:tc>
        <w:tc>
          <w:tcPr>
            <w:tcW w:w="2257" w:type="dxa"/>
          </w:tcPr>
          <w:p w14:paraId="418DF31E" w14:textId="77777777" w:rsidR="00141B56" w:rsidRDefault="00000000">
            <w:r>
              <w:rPr>
                <w:rFonts w:ascii="Arial" w:hAnsi="Arial"/>
                <w:sz w:val="18"/>
              </w:rPr>
              <w:t>Gross Scope 2 GHG emissions (location-based and market-based)</w:t>
            </w:r>
          </w:p>
        </w:tc>
        <w:tc>
          <w:tcPr>
            <w:tcW w:w="2257" w:type="dxa"/>
          </w:tcPr>
          <w:p w14:paraId="7DB499E4" w14:textId="77777777" w:rsidR="00141B56" w:rsidRDefault="00000000">
            <w:r>
              <w:rPr>
                <w:rFonts w:ascii="Arial" w:hAnsi="Arial"/>
                <w:sz w:val="18"/>
              </w:rPr>
              <w:t>✅ Disclosed: Both methods reported</w:t>
            </w:r>
          </w:p>
        </w:tc>
      </w:tr>
      <w:tr w:rsidR="00141B56" w14:paraId="4D21859A" w14:textId="77777777">
        <w:trPr>
          <w:jc w:val="center"/>
        </w:trPr>
        <w:tc>
          <w:tcPr>
            <w:tcW w:w="2257" w:type="dxa"/>
            <w:shd w:val="clear" w:color="auto" w:fill="F2F6FC"/>
          </w:tcPr>
          <w:p w14:paraId="28233DCC" w14:textId="77777777" w:rsidR="00141B56" w:rsidRDefault="00000000">
            <w:r>
              <w:rPr>
                <w:rFonts w:ascii="Arial" w:hAnsi="Arial"/>
                <w:sz w:val="18"/>
              </w:rPr>
              <w:t>OJK PSPK</w:t>
            </w:r>
          </w:p>
        </w:tc>
        <w:tc>
          <w:tcPr>
            <w:tcW w:w="2257" w:type="dxa"/>
            <w:shd w:val="clear" w:color="auto" w:fill="F2F6FC"/>
          </w:tcPr>
          <w:p w14:paraId="6B069279" w14:textId="77777777" w:rsidR="00141B56" w:rsidRDefault="00000000">
            <w:r>
              <w:rPr>
                <w:rFonts w:ascii="Arial" w:hAnsi="Arial"/>
                <w:sz w:val="18"/>
              </w:rPr>
              <w:t>Emisi Lingkup 2</w:t>
            </w:r>
          </w:p>
        </w:tc>
        <w:tc>
          <w:tcPr>
            <w:tcW w:w="2257" w:type="dxa"/>
            <w:shd w:val="clear" w:color="auto" w:fill="F2F6FC"/>
          </w:tcPr>
          <w:p w14:paraId="762E2437" w14:textId="77777777" w:rsidR="00141B56" w:rsidRDefault="00000000">
            <w:r>
              <w:rPr>
                <w:rFonts w:ascii="Arial" w:hAnsi="Arial"/>
                <w:sz w:val="18"/>
              </w:rPr>
              <w:t>Emisi GRK tidak langsung dari energi yang dibeli</w:t>
            </w:r>
          </w:p>
        </w:tc>
        <w:tc>
          <w:tcPr>
            <w:tcW w:w="2257" w:type="dxa"/>
            <w:shd w:val="clear" w:color="auto" w:fill="F2F6FC"/>
          </w:tcPr>
          <w:p w14:paraId="63304059" w14:textId="77777777" w:rsidR="00141B56" w:rsidRDefault="00000000">
            <w:r>
              <w:rPr>
                <w:rFonts w:ascii="Arial" w:hAnsi="Arial"/>
                <w:sz w:val="18"/>
              </w:rPr>
              <w:t>✅ Disclosed: 44,613.876 tCO₂e (location-based)</w:t>
            </w:r>
          </w:p>
        </w:tc>
      </w:tr>
    </w:tbl>
    <w:p w14:paraId="1A0F34AC" w14:textId="77777777" w:rsidR="00141B56" w:rsidRDefault="00000000">
      <w:r>
        <w:rPr>
          <w:rFonts w:ascii="Arial" w:hAnsi="Arial"/>
          <w:i/>
          <w:sz w:val="16"/>
        </w:rPr>
        <w:t>Source: Compliance assessment based on GRI 305:2016, IFRS S2 Climate-related Disclosures, ESRS E1 Climate Change, and OJK PSPK reporting requirements.</w:t>
      </w:r>
    </w:p>
    <w:p w14:paraId="54646826" w14:textId="77777777" w:rsidR="00141B56" w:rsidRDefault="00141B56"/>
    <w:p w14:paraId="2AFC6674" w14:textId="77777777" w:rsidR="00141B56" w:rsidRDefault="00000000">
      <w:r>
        <w:rPr>
          <w:i/>
          <w:color w:val="3D6094"/>
          <w:sz w:val="18"/>
        </w:rPr>
        <w:t>Framework references: GRI 305-2a: Gross location-based Scope 2 GHG emissions; GRI 305-2b: Gross market-based Scope 2 GHG emissions; GRI 305-2e: Source of emission factors and GWP rates; GRI 305-2g: Standards and methodologies used; IFRS S2 Paragraph 29(a)(ii): Absolute gross Scope 2 GHG emissions; ESRS E1-6 DR E1-6.46: Gross Scope 2 emissions (location-based and market-based); OJK PSPK: Emisi GRK Tidak Langsung dari Energi (Lingkup 2); GHG Protocol Scope 2 Guidance (2015): Dual reporting requirement</w:t>
      </w:r>
    </w:p>
    <w:p w14:paraId="2FF33227" w14:textId="77777777" w:rsidR="00141B56" w:rsidRDefault="00141B56">
      <w:pPr>
        <w:pBdr>
          <w:bottom w:val="single" w:sz="6" w:space="1" w:color="999999"/>
        </w:pBdr>
        <w:spacing w:after="80"/>
      </w:pPr>
    </w:p>
    <w:p w14:paraId="1FD7DCFC" w14:textId="77777777" w:rsidR="00141B56" w:rsidRDefault="00000000">
      <w:pPr>
        <w:spacing w:after="160"/>
        <w:jc w:val="both"/>
      </w:pPr>
      <w:r>
        <w:rPr>
          <w:rFonts w:ascii="Arial" w:hAnsi="Arial"/>
          <w:i/>
          <w:color w:val="646464"/>
          <w:sz w:val="18"/>
        </w:rPr>
        <w:t>These figures have not been subject to external assurance for the current reporting period.</w:t>
      </w:r>
    </w:p>
    <w:p w14:paraId="374568B8" w14:textId="77777777" w:rsidR="00141B56" w:rsidRDefault="00000000">
      <w:pPr>
        <w:spacing w:after="160"/>
        <w:jc w:val="both"/>
      </w:pPr>
      <w:r>
        <w:rPr>
          <w:rFonts w:ascii="Arial" w:hAnsi="Arial"/>
          <w:i/>
          <w:color w:val="646464"/>
          <w:sz w:val="18"/>
        </w:rPr>
        <w:t>Grid emission factor source: PLN (Perusahaan Listrik Negara) 2023 national grid average of 0.7886 kgCO₂/kWh.</w:t>
      </w:r>
    </w:p>
    <w:p w14:paraId="7CCF2505" w14:textId="77777777" w:rsidR="00141B56" w:rsidRDefault="00000000">
      <w:pPr>
        <w:spacing w:after="160"/>
        <w:jc w:val="both"/>
      </w:pPr>
      <w:r>
        <w:rPr>
          <w:rFonts w:ascii="Arial" w:hAnsi="Arial"/>
          <w:i/>
          <w:color w:val="646464"/>
          <w:sz w:val="18"/>
        </w:rPr>
        <w:lastRenderedPageBreak/>
        <w:t>Dual reporting methodology follows GHG Protocol Scope 2 Guidance (2015), which requires both location-based and market-based calculations.</w:t>
      </w:r>
    </w:p>
    <w:p w14:paraId="31CC2A47" w14:textId="77777777" w:rsidR="00141B56" w:rsidRDefault="00000000">
      <w:pPr>
        <w:spacing w:after="160"/>
        <w:jc w:val="both"/>
      </w:pPr>
      <w:r>
        <w:rPr>
          <w:rFonts w:ascii="Arial" w:hAnsi="Arial"/>
          <w:i/>
          <w:color w:val="646464"/>
          <w:sz w:val="18"/>
        </w:rPr>
        <w:t>Market-based emissions reflect contractual instruments applied to less than 0.01% of total electricity consumption.</w:t>
      </w:r>
    </w:p>
    <w:p w14:paraId="007EAA35" w14:textId="77777777" w:rsidR="00141B56" w:rsidRDefault="00000000">
      <w:pPr>
        <w:spacing w:after="160"/>
        <w:jc w:val="both"/>
      </w:pPr>
      <w:r>
        <w:rPr>
          <w:rFonts w:ascii="Arial" w:hAnsi="Arial"/>
          <w:i/>
          <w:color w:val="646464"/>
          <w:sz w:val="18"/>
        </w:rPr>
        <w:t>Consolidation approach: Operational control per GHG Protocol Corporate Standard.</w:t>
      </w:r>
    </w:p>
    <w:p w14:paraId="16546083" w14:textId="77777777" w:rsidR="00141B56" w:rsidRDefault="00000000">
      <w:pPr>
        <w:spacing w:after="160"/>
        <w:jc w:val="both"/>
      </w:pPr>
      <w:r>
        <w:rPr>
          <w:rFonts w:ascii="Arial" w:hAnsi="Arial"/>
          <w:i/>
          <w:color w:val="646464"/>
          <w:sz w:val="18"/>
        </w:rPr>
        <w:t>Global warming potentials (GWPs) from IPCC Fifth Assessment Report (AR5) with 100-year time horizon.</w:t>
      </w:r>
    </w:p>
    <w:p w14:paraId="3E075057" w14:textId="77777777" w:rsidR="00141B56" w:rsidRDefault="00000000">
      <w:pPr>
        <w:pStyle w:val="Heading2"/>
        <w:spacing w:before="360" w:after="160"/>
      </w:pPr>
      <w:bookmarkStart w:id="7" w:name="_Toc231986302"/>
      <w:r>
        <w:rPr>
          <w:rFonts w:ascii="Arial" w:hAnsi="Arial"/>
          <w:color w:val="3D6094"/>
          <w:sz w:val="28"/>
        </w:rPr>
        <w:t>1.3 Financed Emissions — Scope 3 Category 15</w:t>
      </w:r>
      <w:bookmarkEnd w:id="7"/>
    </w:p>
    <w:p w14:paraId="39A1FB46" w14:textId="77777777" w:rsidR="00141B56" w:rsidRDefault="00000000">
      <w:pPr>
        <w:spacing w:after="160"/>
        <w:jc w:val="both"/>
      </w:pPr>
      <w:r>
        <w:rPr>
          <w:rFonts w:ascii="Arial" w:hAnsi="Arial"/>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Standard Part A (2022). The gross figure reflects the total emissions of financed activities without adjustment for data quality, while the confidence-weighted figure applies PCAF data quality scores to reflect measurement uncertainty. The confidence-weighted emissions are 30.5% lower than gross emissions, indicating moderate reliance on estimated and sector-average data rather than borrower-specific reported emissions.</w:t>
      </w:r>
    </w:p>
    <w:p w14:paraId="16319089" w14:textId="77777777" w:rsidR="00141B56" w:rsidRDefault="00000000">
      <w:pPr>
        <w:spacing w:after="160"/>
        <w:jc w:val="both"/>
      </w:pPr>
      <w:r>
        <w:rPr>
          <w:rFonts w:ascii="Arial" w:hAnsi="Arial"/>
          <w:i/>
        </w:rPr>
        <w:t>The institution applied the PCAF attribution methodology to calculate financed emissions. For each borrower or investee, the attribution factor is determined as the ratio of the institution's outstanding amount (numerator) to the total enterprise value or total equity plus debt of the financed entity (denominator). This attribution factor is then multiplied by the borrower's total annual emissions (Scope 1, Scope 2, and relevant Scope 3 categories per PCAF sector requirements) to derive the institution's share of financed emissions. The methodology covers corporate loans and bonds across ten economic sectors, with sector-specific emission boundaries aligned to PCAF's phase-in approach. For the oil and gas sector, borrower Scope 3 emissions are included per PCAF requirements effective from 2021. For manufacturing, transportation, construction, and materials sectors, Scope 3 inclusion commenced in 2023 reporting as mandated by PCAF.</w:t>
      </w:r>
    </w:p>
    <w:p w14:paraId="0682A506" w14:textId="77777777" w:rsidR="00141B56" w:rsidRDefault="00000000">
      <w:pPr>
        <w:spacing w:after="160"/>
        <w:jc w:val="both"/>
      </w:pPr>
      <w:r>
        <w:rPr>
          <w:rFonts w:ascii="Arial" w:hAnsi="Arial"/>
        </w:rPr>
        <w:t>The portfolio-weighted average PCAF data quality score for 2024 was 3.36 on a scale of 1 (highest quality, verified reported emissions) to 5 (lowest quality, economic activity-based estimates). This score indicates that the majority of financed emissions calculations relied on Option 2 (physical activity-based emissions using primary data with sector-specific emission factors) or Option 3a (economic activity-based emissions using borrower revenue and sector emission factors). No borrowers provided verified emissions data (Score 1), and a limited number provided unverified reported emissions (Score 2). The institution's data quality distribution reflects the current state of corporate emissions disclosure in Indonesia, where mandatory climate reporting requirements are still being phased in under OJK regulations. Sector-specific data quality scores ranged from 3.21 (Retail Trade) to 3.42 (Financial Services), with carbon-intensive sectors such as oil and gas (3.32) and cement manufacturing (3.40) showing moderate data quality.</w:t>
      </w:r>
    </w:p>
    <w:p w14:paraId="5D019512" w14:textId="77777777" w:rsidR="00141B56" w:rsidRDefault="00000000">
      <w:pPr>
        <w:spacing w:after="160"/>
        <w:jc w:val="both"/>
      </w:pPr>
      <w:r>
        <w:rPr>
          <w:rFonts w:ascii="Arial" w:hAnsi="Arial"/>
        </w:rPr>
        <w:t xml:space="preserve">The distinction between gross and confidence-weighted financed emissions is critical for understanding measurement uncertainty. Gross financed emissions represent the institution's attributed share of borrower emissions without adjustment for data quality </w:t>
      </w:r>
      <w:r>
        <w:rPr>
          <w:rFonts w:ascii="Arial" w:hAnsi="Arial"/>
        </w:rPr>
        <w:lastRenderedPageBreak/>
        <w:t>limitations. Confidence-weighted emissions apply a confidence factor derived from the PCAF data quality score to each loan or investment, effectively discounting emissions calculated using lower-quality data. For example, emissions calculated using verified borrower-reported data (Score 1) receive a confidence factor of 1.0 (no discount), while emissions estimated using sector-average revenue intensity (Score 4) receive a confidence factor of approximately 0.6. This weighting approach provides a more conservative estimate of financed emissions that reflects the reliability of underlying data. The 6,696,623.16 tCO₂e difference between gross and weighted figures for 2024 indicates that approximately 30.5% of the institution's financed emissions are subject to significant estimation uncertainty and should be prioritized for data quality improvement initiatives.</w:t>
      </w:r>
    </w:p>
    <w:p w14:paraId="20C0AEBB" w14:textId="77777777" w:rsidR="00141B56" w:rsidRDefault="00000000">
      <w:pPr>
        <w:spacing w:after="160"/>
        <w:jc w:val="both"/>
      </w:pPr>
      <w:r>
        <w:rPr>
          <w:rFonts w:ascii="Arial" w:hAnsi="Arial"/>
        </w:rPr>
        <w:t>Year-over-year comparison of financed emissions shows a decrease of 4.07% from 2023 to 2024. Gross financed emissions declined from 22,911,991.05 tCO₂e in 2023 to 21,976,797.3 tCO₂e in 2024, while confidence-weighted emissions decreased from 15,576,239.57 tCO₂e to 15,280,174.14 tCO₂e. This reduction occurred despite a 2.03% increase in total portfolio outstanding, indicating that emission intensity per unit of lending decreased. The decline is attributable to a combination of factors including portfolio rebalancing toward lower-emission sectors, borrower-level emission reductions in carbon-intensive industries, and refinements in calculation methodology. The institution's emission intensity per IDR billion of outstanding loans decreased from 270.116632 tCO₂e/IDR bn in 2023 to 239.400139 tCO₂e/IDR bn in 2024, representing an 11.4% improvement in portfolio carbon intensity.</w:t>
      </w:r>
    </w:p>
    <w:p w14:paraId="1AFBF196" w14:textId="77777777" w:rsidR="00141B56" w:rsidRDefault="00000000">
      <w:r>
        <w:rPr>
          <w:rFonts w:ascii="Arial" w:hAnsi="Arial"/>
          <w:b/>
          <w:sz w:val="20"/>
        </w:rPr>
        <w:t>Table 1.3.1: Financed Emissions by Economic Sector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141B56" w14:paraId="55C2CEF0" w14:textId="77777777">
        <w:trPr>
          <w:jc w:val="center"/>
        </w:trPr>
        <w:tc>
          <w:tcPr>
            <w:tcW w:w="1505" w:type="dxa"/>
            <w:shd w:val="clear" w:color="auto" w:fill="1B3A6B"/>
          </w:tcPr>
          <w:p w14:paraId="4E6FBD11" w14:textId="77777777" w:rsidR="00141B56" w:rsidRDefault="00000000">
            <w:r>
              <w:rPr>
                <w:rFonts w:ascii="Arial" w:hAnsi="Arial"/>
                <w:b/>
                <w:color w:val="FFFFFF"/>
                <w:sz w:val="18"/>
              </w:rPr>
              <w:t>Sector (NACE Classification)</w:t>
            </w:r>
          </w:p>
        </w:tc>
        <w:tc>
          <w:tcPr>
            <w:tcW w:w="1505" w:type="dxa"/>
            <w:shd w:val="clear" w:color="auto" w:fill="1B3A6B"/>
          </w:tcPr>
          <w:p w14:paraId="2FB50A25" w14:textId="77777777" w:rsidR="00141B56" w:rsidRDefault="00000000">
            <w:r>
              <w:rPr>
                <w:rFonts w:ascii="Arial" w:hAnsi="Arial"/>
                <w:b/>
                <w:color w:val="FFFFFF"/>
                <w:sz w:val="18"/>
              </w:rPr>
              <w:t>Gross Financed Emissions (tCO₂e)</w:t>
            </w:r>
          </w:p>
        </w:tc>
        <w:tc>
          <w:tcPr>
            <w:tcW w:w="1505" w:type="dxa"/>
            <w:shd w:val="clear" w:color="auto" w:fill="1B3A6B"/>
          </w:tcPr>
          <w:p w14:paraId="4F530688" w14:textId="77777777" w:rsidR="00141B56" w:rsidRDefault="00000000">
            <w:r>
              <w:rPr>
                <w:rFonts w:ascii="Arial" w:hAnsi="Arial"/>
                <w:b/>
                <w:color w:val="FFFFFF"/>
                <w:sz w:val="18"/>
              </w:rPr>
              <w:t>Confidence-Weighted Emissions (tCO₂e)</w:t>
            </w:r>
          </w:p>
        </w:tc>
        <w:tc>
          <w:tcPr>
            <w:tcW w:w="1505" w:type="dxa"/>
            <w:shd w:val="clear" w:color="auto" w:fill="1B3A6B"/>
          </w:tcPr>
          <w:p w14:paraId="3F2E681F" w14:textId="77777777" w:rsidR="00141B56" w:rsidRDefault="00000000">
            <w:r>
              <w:rPr>
                <w:rFonts w:ascii="Arial" w:hAnsi="Arial"/>
                <w:b/>
                <w:color w:val="FFFFFF"/>
                <w:sz w:val="18"/>
              </w:rPr>
              <w:t>Portfolio Share (%)</w:t>
            </w:r>
          </w:p>
        </w:tc>
        <w:tc>
          <w:tcPr>
            <w:tcW w:w="1505" w:type="dxa"/>
            <w:shd w:val="clear" w:color="auto" w:fill="1B3A6B"/>
          </w:tcPr>
          <w:p w14:paraId="725D497F" w14:textId="77777777" w:rsidR="00141B56" w:rsidRDefault="00000000">
            <w:r>
              <w:rPr>
                <w:rFonts w:ascii="Arial" w:hAnsi="Arial"/>
                <w:b/>
                <w:color w:val="FFFFFF"/>
                <w:sz w:val="18"/>
              </w:rPr>
              <w:t>Emission Intensity (tCO₂e/IDR bn)</w:t>
            </w:r>
          </w:p>
        </w:tc>
        <w:tc>
          <w:tcPr>
            <w:tcW w:w="1505" w:type="dxa"/>
            <w:shd w:val="clear" w:color="auto" w:fill="1B3A6B"/>
          </w:tcPr>
          <w:p w14:paraId="7FD97DFA" w14:textId="77777777" w:rsidR="00141B56" w:rsidRDefault="00000000">
            <w:r>
              <w:rPr>
                <w:rFonts w:ascii="Arial" w:hAnsi="Arial"/>
                <w:b/>
                <w:color w:val="FFFFFF"/>
                <w:sz w:val="18"/>
              </w:rPr>
              <w:t>PCAF Data Quality Score</w:t>
            </w:r>
          </w:p>
        </w:tc>
      </w:tr>
      <w:tr w:rsidR="00141B56" w14:paraId="202D2596" w14:textId="77777777">
        <w:trPr>
          <w:jc w:val="center"/>
        </w:trPr>
        <w:tc>
          <w:tcPr>
            <w:tcW w:w="1505" w:type="dxa"/>
          </w:tcPr>
          <w:p w14:paraId="2D89B56A" w14:textId="77777777" w:rsidR="00141B56" w:rsidRDefault="00000000">
            <w:r>
              <w:rPr>
                <w:rFonts w:ascii="Arial" w:hAnsi="Arial"/>
                <w:sz w:val="18"/>
              </w:rPr>
              <w:t>Energy - Oil &amp; Gas</w:t>
            </w:r>
          </w:p>
        </w:tc>
        <w:tc>
          <w:tcPr>
            <w:tcW w:w="1505" w:type="dxa"/>
          </w:tcPr>
          <w:p w14:paraId="17017063" w14:textId="77777777" w:rsidR="00141B56" w:rsidRDefault="00000000">
            <w:pPr>
              <w:jc w:val="right"/>
            </w:pPr>
            <w:r>
              <w:rPr>
                <w:rFonts w:ascii="Arial" w:hAnsi="Arial"/>
                <w:sz w:val="18"/>
              </w:rPr>
              <w:t>9,573,144.27</w:t>
            </w:r>
          </w:p>
        </w:tc>
        <w:tc>
          <w:tcPr>
            <w:tcW w:w="1505" w:type="dxa"/>
          </w:tcPr>
          <w:p w14:paraId="2D414761" w14:textId="77777777" w:rsidR="00141B56" w:rsidRDefault="00000000">
            <w:pPr>
              <w:jc w:val="right"/>
            </w:pPr>
            <w:r>
              <w:rPr>
                <w:rFonts w:ascii="Arial" w:hAnsi="Arial"/>
                <w:sz w:val="18"/>
              </w:rPr>
              <w:t>6,753,948.71</w:t>
            </w:r>
          </w:p>
        </w:tc>
        <w:tc>
          <w:tcPr>
            <w:tcW w:w="1505" w:type="dxa"/>
          </w:tcPr>
          <w:p w14:paraId="3C5C1DAB" w14:textId="77777777" w:rsidR="00141B56" w:rsidRDefault="00000000">
            <w:pPr>
              <w:jc w:val="right"/>
            </w:pPr>
            <w:r>
              <w:rPr>
                <w:rFonts w:ascii="Arial" w:hAnsi="Arial"/>
                <w:sz w:val="18"/>
              </w:rPr>
              <w:t>6.66</w:t>
            </w:r>
          </w:p>
        </w:tc>
        <w:tc>
          <w:tcPr>
            <w:tcW w:w="1505" w:type="dxa"/>
          </w:tcPr>
          <w:p w14:paraId="34EB0343" w14:textId="77777777" w:rsidR="00141B56" w:rsidRDefault="00000000">
            <w:pPr>
              <w:jc w:val="right"/>
            </w:pPr>
            <w:r>
              <w:rPr>
                <w:rFonts w:ascii="Arial" w:hAnsi="Arial"/>
                <w:sz w:val="18"/>
              </w:rPr>
              <w:t>93.242</w:t>
            </w:r>
          </w:p>
        </w:tc>
        <w:tc>
          <w:tcPr>
            <w:tcW w:w="1505" w:type="dxa"/>
          </w:tcPr>
          <w:p w14:paraId="36E8E886" w14:textId="77777777" w:rsidR="00141B56" w:rsidRDefault="00000000">
            <w:pPr>
              <w:jc w:val="right"/>
            </w:pPr>
            <w:r>
              <w:rPr>
                <w:rFonts w:ascii="Arial" w:hAnsi="Arial"/>
                <w:sz w:val="18"/>
              </w:rPr>
              <w:t>3.32</w:t>
            </w:r>
          </w:p>
        </w:tc>
      </w:tr>
      <w:tr w:rsidR="00141B56" w14:paraId="43C2E010" w14:textId="77777777">
        <w:trPr>
          <w:jc w:val="center"/>
        </w:trPr>
        <w:tc>
          <w:tcPr>
            <w:tcW w:w="1505" w:type="dxa"/>
            <w:shd w:val="clear" w:color="auto" w:fill="F2F6FC"/>
          </w:tcPr>
          <w:p w14:paraId="7F07BB36" w14:textId="77777777" w:rsidR="00141B56" w:rsidRDefault="00000000">
            <w:r>
              <w:rPr>
                <w:rFonts w:ascii="Arial" w:hAnsi="Arial"/>
                <w:sz w:val="18"/>
              </w:rPr>
              <w:t>Manufacturing - Cement</w:t>
            </w:r>
          </w:p>
        </w:tc>
        <w:tc>
          <w:tcPr>
            <w:tcW w:w="1505" w:type="dxa"/>
            <w:shd w:val="clear" w:color="auto" w:fill="F2F6FC"/>
          </w:tcPr>
          <w:p w14:paraId="66A61102" w14:textId="77777777" w:rsidR="00141B56" w:rsidRDefault="00000000">
            <w:pPr>
              <w:jc w:val="right"/>
            </w:pPr>
            <w:r>
              <w:rPr>
                <w:rFonts w:ascii="Arial" w:hAnsi="Arial"/>
                <w:sz w:val="18"/>
              </w:rPr>
              <w:t>5,813,830.91</w:t>
            </w:r>
          </w:p>
        </w:tc>
        <w:tc>
          <w:tcPr>
            <w:tcW w:w="1505" w:type="dxa"/>
            <w:shd w:val="clear" w:color="auto" w:fill="F2F6FC"/>
          </w:tcPr>
          <w:p w14:paraId="0BE76673" w14:textId="77777777" w:rsidR="00141B56" w:rsidRDefault="00000000">
            <w:pPr>
              <w:jc w:val="right"/>
            </w:pPr>
            <w:r>
              <w:rPr>
                <w:rFonts w:ascii="Arial" w:hAnsi="Arial"/>
                <w:sz w:val="18"/>
              </w:rPr>
              <w:t>4,168,058.43</w:t>
            </w:r>
          </w:p>
        </w:tc>
        <w:tc>
          <w:tcPr>
            <w:tcW w:w="1505" w:type="dxa"/>
            <w:shd w:val="clear" w:color="auto" w:fill="F2F6FC"/>
          </w:tcPr>
          <w:p w14:paraId="475212C2" w14:textId="77777777" w:rsidR="00141B56" w:rsidRDefault="00000000">
            <w:pPr>
              <w:jc w:val="right"/>
            </w:pPr>
            <w:r>
              <w:rPr>
                <w:rFonts w:ascii="Arial" w:hAnsi="Arial"/>
                <w:sz w:val="18"/>
              </w:rPr>
              <w:t>6.99</w:t>
            </w:r>
          </w:p>
        </w:tc>
        <w:tc>
          <w:tcPr>
            <w:tcW w:w="1505" w:type="dxa"/>
            <w:shd w:val="clear" w:color="auto" w:fill="F2F6FC"/>
          </w:tcPr>
          <w:p w14:paraId="32A6732B" w14:textId="77777777" w:rsidR="00141B56" w:rsidRDefault="00000000">
            <w:pPr>
              <w:jc w:val="right"/>
            </w:pPr>
            <w:r>
              <w:rPr>
                <w:rFonts w:ascii="Arial" w:hAnsi="Arial"/>
                <w:sz w:val="18"/>
              </w:rPr>
              <w:t>53.9927</w:t>
            </w:r>
          </w:p>
        </w:tc>
        <w:tc>
          <w:tcPr>
            <w:tcW w:w="1505" w:type="dxa"/>
            <w:shd w:val="clear" w:color="auto" w:fill="F2F6FC"/>
          </w:tcPr>
          <w:p w14:paraId="369D1888" w14:textId="77777777" w:rsidR="00141B56" w:rsidRDefault="00000000">
            <w:pPr>
              <w:jc w:val="right"/>
            </w:pPr>
            <w:r>
              <w:rPr>
                <w:rFonts w:ascii="Arial" w:hAnsi="Arial"/>
                <w:sz w:val="18"/>
              </w:rPr>
              <w:t>3.40</w:t>
            </w:r>
          </w:p>
        </w:tc>
      </w:tr>
      <w:tr w:rsidR="00141B56" w14:paraId="38D1A643" w14:textId="77777777">
        <w:trPr>
          <w:jc w:val="center"/>
        </w:trPr>
        <w:tc>
          <w:tcPr>
            <w:tcW w:w="1505" w:type="dxa"/>
          </w:tcPr>
          <w:p w14:paraId="261AAAAB" w14:textId="77777777" w:rsidR="00141B56" w:rsidRDefault="00000000">
            <w:r>
              <w:rPr>
                <w:rFonts w:ascii="Arial" w:hAnsi="Arial"/>
                <w:sz w:val="18"/>
              </w:rPr>
              <w:t>Manufacturing - Steel</w:t>
            </w:r>
          </w:p>
        </w:tc>
        <w:tc>
          <w:tcPr>
            <w:tcW w:w="1505" w:type="dxa"/>
          </w:tcPr>
          <w:p w14:paraId="68122854" w14:textId="77777777" w:rsidR="00141B56" w:rsidRDefault="00000000">
            <w:pPr>
              <w:jc w:val="right"/>
            </w:pPr>
            <w:r>
              <w:rPr>
                <w:rFonts w:ascii="Arial" w:hAnsi="Arial"/>
                <w:sz w:val="18"/>
              </w:rPr>
              <w:t>3,499,463.0</w:t>
            </w:r>
          </w:p>
        </w:tc>
        <w:tc>
          <w:tcPr>
            <w:tcW w:w="1505" w:type="dxa"/>
          </w:tcPr>
          <w:p w14:paraId="1BA1FFED" w14:textId="77777777" w:rsidR="00141B56" w:rsidRDefault="00000000">
            <w:pPr>
              <w:jc w:val="right"/>
            </w:pPr>
            <w:r>
              <w:rPr>
                <w:rFonts w:ascii="Arial" w:hAnsi="Arial"/>
                <w:sz w:val="18"/>
              </w:rPr>
              <w:t>2,228,739.65</w:t>
            </w:r>
          </w:p>
        </w:tc>
        <w:tc>
          <w:tcPr>
            <w:tcW w:w="1505" w:type="dxa"/>
          </w:tcPr>
          <w:p w14:paraId="30E3DFAB" w14:textId="77777777" w:rsidR="00141B56" w:rsidRDefault="00000000">
            <w:pPr>
              <w:jc w:val="right"/>
            </w:pPr>
            <w:r>
              <w:rPr>
                <w:rFonts w:ascii="Arial" w:hAnsi="Arial"/>
                <w:sz w:val="18"/>
              </w:rPr>
              <w:t>7.05</w:t>
            </w:r>
          </w:p>
        </w:tc>
        <w:tc>
          <w:tcPr>
            <w:tcW w:w="1505" w:type="dxa"/>
          </w:tcPr>
          <w:p w14:paraId="31088248" w14:textId="77777777" w:rsidR="00141B56" w:rsidRDefault="00000000">
            <w:pPr>
              <w:jc w:val="right"/>
            </w:pPr>
            <w:r>
              <w:rPr>
                <w:rFonts w:ascii="Arial" w:hAnsi="Arial"/>
                <w:sz w:val="18"/>
              </w:rPr>
              <w:t>32.2175</w:t>
            </w:r>
          </w:p>
        </w:tc>
        <w:tc>
          <w:tcPr>
            <w:tcW w:w="1505" w:type="dxa"/>
          </w:tcPr>
          <w:p w14:paraId="2E7AD1DC" w14:textId="77777777" w:rsidR="00141B56" w:rsidRDefault="00000000">
            <w:pPr>
              <w:jc w:val="right"/>
            </w:pPr>
            <w:r>
              <w:rPr>
                <w:rFonts w:ascii="Arial" w:hAnsi="Arial"/>
                <w:sz w:val="18"/>
              </w:rPr>
              <w:t>3.35</w:t>
            </w:r>
          </w:p>
        </w:tc>
      </w:tr>
      <w:tr w:rsidR="00141B56" w14:paraId="787FFE6A" w14:textId="77777777">
        <w:trPr>
          <w:jc w:val="center"/>
        </w:trPr>
        <w:tc>
          <w:tcPr>
            <w:tcW w:w="1505" w:type="dxa"/>
            <w:shd w:val="clear" w:color="auto" w:fill="F2F6FC"/>
          </w:tcPr>
          <w:p w14:paraId="5DE41ACD" w14:textId="77777777" w:rsidR="00141B56" w:rsidRDefault="00000000">
            <w:r>
              <w:rPr>
                <w:rFonts w:ascii="Arial" w:hAnsi="Arial"/>
                <w:sz w:val="18"/>
              </w:rPr>
              <w:t>Transportation - Road</w:t>
            </w:r>
          </w:p>
        </w:tc>
        <w:tc>
          <w:tcPr>
            <w:tcW w:w="1505" w:type="dxa"/>
            <w:shd w:val="clear" w:color="auto" w:fill="F2F6FC"/>
          </w:tcPr>
          <w:p w14:paraId="12E508BC" w14:textId="77777777" w:rsidR="00141B56" w:rsidRDefault="00000000">
            <w:pPr>
              <w:jc w:val="right"/>
            </w:pPr>
            <w:r>
              <w:rPr>
                <w:rFonts w:ascii="Arial" w:hAnsi="Arial"/>
                <w:sz w:val="18"/>
              </w:rPr>
              <w:t>1,227,019.62</w:t>
            </w:r>
          </w:p>
        </w:tc>
        <w:tc>
          <w:tcPr>
            <w:tcW w:w="1505" w:type="dxa"/>
            <w:shd w:val="clear" w:color="auto" w:fill="F2F6FC"/>
          </w:tcPr>
          <w:p w14:paraId="778CDB1A" w14:textId="77777777" w:rsidR="00141B56" w:rsidRDefault="00000000">
            <w:pPr>
              <w:jc w:val="right"/>
            </w:pPr>
            <w:r>
              <w:rPr>
                <w:rFonts w:ascii="Arial" w:hAnsi="Arial"/>
                <w:sz w:val="18"/>
              </w:rPr>
              <w:t>864,356.23</w:t>
            </w:r>
          </w:p>
        </w:tc>
        <w:tc>
          <w:tcPr>
            <w:tcW w:w="1505" w:type="dxa"/>
            <w:shd w:val="clear" w:color="auto" w:fill="F2F6FC"/>
          </w:tcPr>
          <w:p w14:paraId="71BE673C" w14:textId="77777777" w:rsidR="00141B56" w:rsidRDefault="00000000">
            <w:pPr>
              <w:jc w:val="right"/>
            </w:pPr>
            <w:r>
              <w:rPr>
                <w:rFonts w:ascii="Arial" w:hAnsi="Arial"/>
                <w:sz w:val="18"/>
              </w:rPr>
              <w:t>10.09</w:t>
            </w:r>
          </w:p>
        </w:tc>
        <w:tc>
          <w:tcPr>
            <w:tcW w:w="1505" w:type="dxa"/>
            <w:shd w:val="clear" w:color="auto" w:fill="F2F6FC"/>
          </w:tcPr>
          <w:p w14:paraId="308B4D21" w14:textId="77777777" w:rsidR="00141B56" w:rsidRDefault="00000000">
            <w:pPr>
              <w:jc w:val="right"/>
            </w:pPr>
            <w:r>
              <w:rPr>
                <w:rFonts w:ascii="Arial" w:hAnsi="Arial"/>
                <w:sz w:val="18"/>
              </w:rPr>
              <w:t>7.8881</w:t>
            </w:r>
          </w:p>
        </w:tc>
        <w:tc>
          <w:tcPr>
            <w:tcW w:w="1505" w:type="dxa"/>
            <w:shd w:val="clear" w:color="auto" w:fill="F2F6FC"/>
          </w:tcPr>
          <w:p w14:paraId="6B1AA6DB" w14:textId="77777777" w:rsidR="00141B56" w:rsidRDefault="00000000">
            <w:pPr>
              <w:jc w:val="right"/>
            </w:pPr>
            <w:r>
              <w:rPr>
                <w:rFonts w:ascii="Arial" w:hAnsi="Arial"/>
                <w:sz w:val="18"/>
              </w:rPr>
              <w:t>3.36</w:t>
            </w:r>
          </w:p>
        </w:tc>
      </w:tr>
      <w:tr w:rsidR="00141B56" w14:paraId="271021D7" w14:textId="77777777">
        <w:trPr>
          <w:jc w:val="center"/>
        </w:trPr>
        <w:tc>
          <w:tcPr>
            <w:tcW w:w="1505" w:type="dxa"/>
          </w:tcPr>
          <w:p w14:paraId="61502736" w14:textId="77777777" w:rsidR="00141B56" w:rsidRDefault="00000000">
            <w:r>
              <w:rPr>
                <w:rFonts w:ascii="Arial" w:hAnsi="Arial"/>
                <w:sz w:val="18"/>
              </w:rPr>
              <w:t>Manufacturing - Food &amp; Beverage</w:t>
            </w:r>
          </w:p>
        </w:tc>
        <w:tc>
          <w:tcPr>
            <w:tcW w:w="1505" w:type="dxa"/>
          </w:tcPr>
          <w:p w14:paraId="5AFD2273" w14:textId="77777777" w:rsidR="00141B56" w:rsidRDefault="00000000">
            <w:pPr>
              <w:jc w:val="right"/>
            </w:pPr>
            <w:r>
              <w:rPr>
                <w:rFonts w:ascii="Arial" w:hAnsi="Arial"/>
                <w:sz w:val="18"/>
              </w:rPr>
              <w:t>936,111.21</w:t>
            </w:r>
          </w:p>
        </w:tc>
        <w:tc>
          <w:tcPr>
            <w:tcW w:w="1505" w:type="dxa"/>
          </w:tcPr>
          <w:p w14:paraId="3C1F7BD5" w14:textId="77777777" w:rsidR="00141B56" w:rsidRDefault="00000000">
            <w:pPr>
              <w:jc w:val="right"/>
            </w:pPr>
            <w:r>
              <w:rPr>
                <w:rFonts w:ascii="Arial" w:hAnsi="Arial"/>
                <w:sz w:val="18"/>
              </w:rPr>
              <w:t>653,413.56</w:t>
            </w:r>
          </w:p>
        </w:tc>
        <w:tc>
          <w:tcPr>
            <w:tcW w:w="1505" w:type="dxa"/>
          </w:tcPr>
          <w:p w14:paraId="1EDE5CFE" w14:textId="77777777" w:rsidR="00141B56" w:rsidRDefault="00000000">
            <w:pPr>
              <w:jc w:val="right"/>
            </w:pPr>
            <w:r>
              <w:rPr>
                <w:rFonts w:ascii="Arial" w:hAnsi="Arial"/>
                <w:sz w:val="18"/>
              </w:rPr>
              <w:t>10.97</w:t>
            </w:r>
          </w:p>
        </w:tc>
        <w:tc>
          <w:tcPr>
            <w:tcW w:w="1505" w:type="dxa"/>
          </w:tcPr>
          <w:p w14:paraId="53A2421B" w14:textId="77777777" w:rsidR="00141B56" w:rsidRDefault="00000000">
            <w:pPr>
              <w:jc w:val="right"/>
            </w:pPr>
            <w:r>
              <w:rPr>
                <w:rFonts w:ascii="Arial" w:hAnsi="Arial"/>
                <w:sz w:val="18"/>
              </w:rPr>
              <w:t>5.5346</w:t>
            </w:r>
          </w:p>
        </w:tc>
        <w:tc>
          <w:tcPr>
            <w:tcW w:w="1505" w:type="dxa"/>
          </w:tcPr>
          <w:p w14:paraId="12CEEABD" w14:textId="77777777" w:rsidR="00141B56" w:rsidRDefault="00000000">
            <w:pPr>
              <w:jc w:val="right"/>
            </w:pPr>
            <w:r>
              <w:rPr>
                <w:rFonts w:ascii="Arial" w:hAnsi="Arial"/>
                <w:sz w:val="18"/>
              </w:rPr>
              <w:t>3.35</w:t>
            </w:r>
          </w:p>
        </w:tc>
      </w:tr>
      <w:tr w:rsidR="00141B56" w14:paraId="3F4455E7" w14:textId="77777777">
        <w:trPr>
          <w:jc w:val="center"/>
        </w:trPr>
        <w:tc>
          <w:tcPr>
            <w:tcW w:w="1505" w:type="dxa"/>
            <w:shd w:val="clear" w:color="auto" w:fill="F2F6FC"/>
          </w:tcPr>
          <w:p w14:paraId="30EEEC07" w14:textId="77777777" w:rsidR="00141B56" w:rsidRDefault="00000000">
            <w:r>
              <w:rPr>
                <w:rFonts w:ascii="Arial" w:hAnsi="Arial"/>
                <w:sz w:val="18"/>
              </w:rPr>
              <w:t>Agriculture</w:t>
            </w:r>
          </w:p>
        </w:tc>
        <w:tc>
          <w:tcPr>
            <w:tcW w:w="1505" w:type="dxa"/>
            <w:shd w:val="clear" w:color="auto" w:fill="F2F6FC"/>
          </w:tcPr>
          <w:p w14:paraId="58E1A7DA" w14:textId="77777777" w:rsidR="00141B56" w:rsidRDefault="00000000">
            <w:pPr>
              <w:jc w:val="right"/>
            </w:pPr>
            <w:r>
              <w:rPr>
                <w:rFonts w:ascii="Arial" w:hAnsi="Arial"/>
                <w:sz w:val="18"/>
              </w:rPr>
              <w:t>288,493.25</w:t>
            </w:r>
          </w:p>
        </w:tc>
        <w:tc>
          <w:tcPr>
            <w:tcW w:w="1505" w:type="dxa"/>
            <w:shd w:val="clear" w:color="auto" w:fill="F2F6FC"/>
          </w:tcPr>
          <w:p w14:paraId="63F131D5" w14:textId="77777777" w:rsidR="00141B56" w:rsidRDefault="00000000">
            <w:pPr>
              <w:jc w:val="right"/>
            </w:pPr>
            <w:r>
              <w:rPr>
                <w:rFonts w:ascii="Arial" w:hAnsi="Arial"/>
                <w:sz w:val="18"/>
              </w:rPr>
              <w:t>183,548.39</w:t>
            </w:r>
          </w:p>
        </w:tc>
        <w:tc>
          <w:tcPr>
            <w:tcW w:w="1505" w:type="dxa"/>
            <w:shd w:val="clear" w:color="auto" w:fill="F2F6FC"/>
          </w:tcPr>
          <w:p w14:paraId="371197D7" w14:textId="77777777" w:rsidR="00141B56" w:rsidRDefault="00000000">
            <w:pPr>
              <w:jc w:val="right"/>
            </w:pPr>
            <w:r>
              <w:rPr>
                <w:rFonts w:ascii="Arial" w:hAnsi="Arial"/>
                <w:sz w:val="18"/>
              </w:rPr>
              <w:t>7.71</w:t>
            </w:r>
          </w:p>
        </w:tc>
        <w:tc>
          <w:tcPr>
            <w:tcW w:w="1505" w:type="dxa"/>
            <w:shd w:val="clear" w:color="auto" w:fill="F2F6FC"/>
          </w:tcPr>
          <w:p w14:paraId="38FAD651" w14:textId="77777777" w:rsidR="00141B56" w:rsidRDefault="00000000">
            <w:pPr>
              <w:jc w:val="right"/>
            </w:pPr>
            <w:r>
              <w:rPr>
                <w:rFonts w:ascii="Arial" w:hAnsi="Arial"/>
                <w:sz w:val="18"/>
              </w:rPr>
              <w:t>2.4264</w:t>
            </w:r>
          </w:p>
        </w:tc>
        <w:tc>
          <w:tcPr>
            <w:tcW w:w="1505" w:type="dxa"/>
            <w:shd w:val="clear" w:color="auto" w:fill="F2F6FC"/>
          </w:tcPr>
          <w:p w14:paraId="09FCB8A5" w14:textId="77777777" w:rsidR="00141B56" w:rsidRDefault="00000000">
            <w:pPr>
              <w:jc w:val="right"/>
            </w:pPr>
            <w:r>
              <w:rPr>
                <w:rFonts w:ascii="Arial" w:hAnsi="Arial"/>
                <w:sz w:val="18"/>
              </w:rPr>
              <w:t>3.41</w:t>
            </w:r>
          </w:p>
        </w:tc>
      </w:tr>
      <w:tr w:rsidR="00141B56" w14:paraId="6434E928" w14:textId="77777777">
        <w:trPr>
          <w:jc w:val="center"/>
        </w:trPr>
        <w:tc>
          <w:tcPr>
            <w:tcW w:w="1505" w:type="dxa"/>
          </w:tcPr>
          <w:p w14:paraId="3BA04F18" w14:textId="77777777" w:rsidR="00141B56" w:rsidRDefault="00000000">
            <w:r>
              <w:rPr>
                <w:rFonts w:ascii="Arial" w:hAnsi="Arial"/>
                <w:sz w:val="18"/>
              </w:rPr>
              <w:t>Real Estate - Commercial</w:t>
            </w:r>
          </w:p>
        </w:tc>
        <w:tc>
          <w:tcPr>
            <w:tcW w:w="1505" w:type="dxa"/>
          </w:tcPr>
          <w:p w14:paraId="10070CD6" w14:textId="77777777" w:rsidR="00141B56" w:rsidRDefault="00000000">
            <w:pPr>
              <w:jc w:val="right"/>
            </w:pPr>
            <w:r>
              <w:rPr>
                <w:rFonts w:ascii="Arial" w:hAnsi="Arial"/>
                <w:sz w:val="18"/>
              </w:rPr>
              <w:t>231,235.2</w:t>
            </w:r>
          </w:p>
        </w:tc>
        <w:tc>
          <w:tcPr>
            <w:tcW w:w="1505" w:type="dxa"/>
          </w:tcPr>
          <w:p w14:paraId="79841B4C" w14:textId="77777777" w:rsidR="00141B56" w:rsidRDefault="00000000">
            <w:pPr>
              <w:jc w:val="right"/>
            </w:pPr>
            <w:r>
              <w:rPr>
                <w:rFonts w:ascii="Arial" w:hAnsi="Arial"/>
                <w:sz w:val="18"/>
              </w:rPr>
              <w:t>158,419.07</w:t>
            </w:r>
          </w:p>
        </w:tc>
        <w:tc>
          <w:tcPr>
            <w:tcW w:w="1505" w:type="dxa"/>
          </w:tcPr>
          <w:p w14:paraId="5C181D3B" w14:textId="77777777" w:rsidR="00141B56" w:rsidRDefault="00000000">
            <w:pPr>
              <w:jc w:val="right"/>
            </w:pPr>
            <w:r>
              <w:rPr>
                <w:rFonts w:ascii="Arial" w:hAnsi="Arial"/>
                <w:sz w:val="18"/>
              </w:rPr>
              <w:t>16.27</w:t>
            </w:r>
          </w:p>
        </w:tc>
        <w:tc>
          <w:tcPr>
            <w:tcW w:w="1505" w:type="dxa"/>
          </w:tcPr>
          <w:p w14:paraId="24264C8F" w14:textId="77777777" w:rsidR="00141B56" w:rsidRDefault="00000000">
            <w:pPr>
              <w:jc w:val="right"/>
            </w:pPr>
            <w:r>
              <w:rPr>
                <w:rFonts w:ascii="Arial" w:hAnsi="Arial"/>
                <w:sz w:val="18"/>
              </w:rPr>
              <w:t>0.9222</w:t>
            </w:r>
          </w:p>
        </w:tc>
        <w:tc>
          <w:tcPr>
            <w:tcW w:w="1505" w:type="dxa"/>
          </w:tcPr>
          <w:p w14:paraId="6C53C18B" w14:textId="77777777" w:rsidR="00141B56" w:rsidRDefault="00000000">
            <w:pPr>
              <w:jc w:val="right"/>
            </w:pPr>
            <w:r>
              <w:rPr>
                <w:rFonts w:ascii="Arial" w:hAnsi="Arial"/>
                <w:sz w:val="18"/>
              </w:rPr>
              <w:t>3.27</w:t>
            </w:r>
          </w:p>
        </w:tc>
      </w:tr>
      <w:tr w:rsidR="00141B56" w14:paraId="7B77FD02" w14:textId="77777777">
        <w:trPr>
          <w:jc w:val="center"/>
        </w:trPr>
        <w:tc>
          <w:tcPr>
            <w:tcW w:w="1505" w:type="dxa"/>
            <w:shd w:val="clear" w:color="auto" w:fill="F2F6FC"/>
          </w:tcPr>
          <w:p w14:paraId="5CE18084" w14:textId="77777777" w:rsidR="00141B56" w:rsidRDefault="00000000">
            <w:r>
              <w:rPr>
                <w:rFonts w:ascii="Arial" w:hAnsi="Arial"/>
                <w:sz w:val="18"/>
              </w:rPr>
              <w:t>Retail Trade</w:t>
            </w:r>
          </w:p>
        </w:tc>
        <w:tc>
          <w:tcPr>
            <w:tcW w:w="1505" w:type="dxa"/>
            <w:shd w:val="clear" w:color="auto" w:fill="F2F6FC"/>
          </w:tcPr>
          <w:p w14:paraId="520C31C0" w14:textId="77777777" w:rsidR="00141B56" w:rsidRDefault="00000000">
            <w:pPr>
              <w:jc w:val="right"/>
            </w:pPr>
            <w:r>
              <w:rPr>
                <w:rFonts w:ascii="Arial" w:hAnsi="Arial"/>
                <w:sz w:val="18"/>
              </w:rPr>
              <w:t>226,340.67</w:t>
            </w:r>
          </w:p>
        </w:tc>
        <w:tc>
          <w:tcPr>
            <w:tcW w:w="1505" w:type="dxa"/>
            <w:shd w:val="clear" w:color="auto" w:fill="F2F6FC"/>
          </w:tcPr>
          <w:p w14:paraId="38DD7EDF" w14:textId="77777777" w:rsidR="00141B56" w:rsidRDefault="00000000">
            <w:pPr>
              <w:jc w:val="right"/>
            </w:pPr>
            <w:r>
              <w:rPr>
                <w:rFonts w:ascii="Arial" w:hAnsi="Arial"/>
                <w:sz w:val="18"/>
              </w:rPr>
              <w:t>140,812.97</w:t>
            </w:r>
          </w:p>
        </w:tc>
        <w:tc>
          <w:tcPr>
            <w:tcW w:w="1505" w:type="dxa"/>
            <w:shd w:val="clear" w:color="auto" w:fill="F2F6FC"/>
          </w:tcPr>
          <w:p w14:paraId="24590EF9" w14:textId="77777777" w:rsidR="00141B56" w:rsidRDefault="00000000">
            <w:pPr>
              <w:jc w:val="right"/>
            </w:pPr>
            <w:r>
              <w:rPr>
                <w:rFonts w:ascii="Arial" w:hAnsi="Arial"/>
                <w:sz w:val="18"/>
              </w:rPr>
              <w:t>9.92</w:t>
            </w:r>
          </w:p>
        </w:tc>
        <w:tc>
          <w:tcPr>
            <w:tcW w:w="1505" w:type="dxa"/>
            <w:shd w:val="clear" w:color="auto" w:fill="F2F6FC"/>
          </w:tcPr>
          <w:p w14:paraId="07A037C2" w14:textId="77777777" w:rsidR="00141B56" w:rsidRDefault="00000000">
            <w:pPr>
              <w:jc w:val="right"/>
            </w:pPr>
            <w:r>
              <w:rPr>
                <w:rFonts w:ascii="Arial" w:hAnsi="Arial"/>
                <w:sz w:val="18"/>
              </w:rPr>
              <w:t>1.4809</w:t>
            </w:r>
          </w:p>
        </w:tc>
        <w:tc>
          <w:tcPr>
            <w:tcW w:w="1505" w:type="dxa"/>
            <w:shd w:val="clear" w:color="auto" w:fill="F2F6FC"/>
          </w:tcPr>
          <w:p w14:paraId="2887C407" w14:textId="77777777" w:rsidR="00141B56" w:rsidRDefault="00000000">
            <w:pPr>
              <w:jc w:val="right"/>
            </w:pPr>
            <w:r>
              <w:rPr>
                <w:rFonts w:ascii="Arial" w:hAnsi="Arial"/>
                <w:sz w:val="18"/>
              </w:rPr>
              <w:t>3.21</w:t>
            </w:r>
          </w:p>
        </w:tc>
      </w:tr>
      <w:tr w:rsidR="00141B56" w14:paraId="0EBA5168" w14:textId="77777777">
        <w:trPr>
          <w:jc w:val="center"/>
        </w:trPr>
        <w:tc>
          <w:tcPr>
            <w:tcW w:w="1505" w:type="dxa"/>
          </w:tcPr>
          <w:p w14:paraId="453225F8" w14:textId="77777777" w:rsidR="00141B56" w:rsidRDefault="00000000">
            <w:r>
              <w:rPr>
                <w:rFonts w:ascii="Arial" w:hAnsi="Arial"/>
                <w:sz w:val="18"/>
              </w:rPr>
              <w:t>Real Estate - Residential</w:t>
            </w:r>
          </w:p>
        </w:tc>
        <w:tc>
          <w:tcPr>
            <w:tcW w:w="1505" w:type="dxa"/>
          </w:tcPr>
          <w:p w14:paraId="2FE778D5" w14:textId="77777777" w:rsidR="00141B56" w:rsidRDefault="00000000">
            <w:pPr>
              <w:jc w:val="right"/>
            </w:pPr>
            <w:r>
              <w:rPr>
                <w:rFonts w:ascii="Arial" w:hAnsi="Arial"/>
                <w:sz w:val="18"/>
              </w:rPr>
              <w:t>107,465.43</w:t>
            </w:r>
          </w:p>
        </w:tc>
        <w:tc>
          <w:tcPr>
            <w:tcW w:w="1505" w:type="dxa"/>
          </w:tcPr>
          <w:p w14:paraId="5E133FC5" w14:textId="77777777" w:rsidR="00141B56" w:rsidRDefault="00000000">
            <w:pPr>
              <w:jc w:val="right"/>
            </w:pPr>
            <w:r>
              <w:rPr>
                <w:rFonts w:ascii="Arial" w:hAnsi="Arial"/>
                <w:sz w:val="18"/>
              </w:rPr>
              <w:t>79,158.87</w:t>
            </w:r>
          </w:p>
        </w:tc>
        <w:tc>
          <w:tcPr>
            <w:tcW w:w="1505" w:type="dxa"/>
          </w:tcPr>
          <w:p w14:paraId="238251D8" w14:textId="77777777" w:rsidR="00141B56" w:rsidRDefault="00000000">
            <w:pPr>
              <w:jc w:val="right"/>
            </w:pPr>
            <w:r>
              <w:rPr>
                <w:rFonts w:ascii="Arial" w:hAnsi="Arial"/>
                <w:sz w:val="18"/>
              </w:rPr>
              <w:t>10.93</w:t>
            </w:r>
          </w:p>
        </w:tc>
        <w:tc>
          <w:tcPr>
            <w:tcW w:w="1505" w:type="dxa"/>
          </w:tcPr>
          <w:p w14:paraId="598A86D0" w14:textId="77777777" w:rsidR="00141B56" w:rsidRDefault="00000000">
            <w:pPr>
              <w:jc w:val="right"/>
            </w:pPr>
            <w:r>
              <w:rPr>
                <w:rFonts w:ascii="Arial" w:hAnsi="Arial"/>
                <w:sz w:val="18"/>
              </w:rPr>
              <w:t>0.6381</w:t>
            </w:r>
          </w:p>
        </w:tc>
        <w:tc>
          <w:tcPr>
            <w:tcW w:w="1505" w:type="dxa"/>
          </w:tcPr>
          <w:p w14:paraId="3262AE02" w14:textId="77777777" w:rsidR="00141B56" w:rsidRDefault="00000000">
            <w:pPr>
              <w:jc w:val="right"/>
            </w:pPr>
            <w:r>
              <w:rPr>
                <w:rFonts w:ascii="Arial" w:hAnsi="Arial"/>
                <w:sz w:val="18"/>
              </w:rPr>
              <w:t>3.32</w:t>
            </w:r>
          </w:p>
        </w:tc>
      </w:tr>
      <w:tr w:rsidR="00141B56" w14:paraId="632ADEC2" w14:textId="77777777">
        <w:trPr>
          <w:jc w:val="center"/>
        </w:trPr>
        <w:tc>
          <w:tcPr>
            <w:tcW w:w="1505" w:type="dxa"/>
            <w:shd w:val="clear" w:color="auto" w:fill="F2F6FC"/>
          </w:tcPr>
          <w:p w14:paraId="1CD1AB9F" w14:textId="77777777" w:rsidR="00141B56" w:rsidRDefault="00000000">
            <w:r>
              <w:rPr>
                <w:rFonts w:ascii="Arial" w:hAnsi="Arial"/>
                <w:sz w:val="18"/>
              </w:rPr>
              <w:lastRenderedPageBreak/>
              <w:t>Financial Services</w:t>
            </w:r>
          </w:p>
        </w:tc>
        <w:tc>
          <w:tcPr>
            <w:tcW w:w="1505" w:type="dxa"/>
            <w:shd w:val="clear" w:color="auto" w:fill="F2F6FC"/>
          </w:tcPr>
          <w:p w14:paraId="32B1A604" w14:textId="77777777" w:rsidR="00141B56" w:rsidRDefault="00000000">
            <w:pPr>
              <w:jc w:val="right"/>
            </w:pPr>
            <w:r>
              <w:rPr>
                <w:rFonts w:ascii="Arial" w:hAnsi="Arial"/>
                <w:sz w:val="18"/>
              </w:rPr>
              <w:t>73,693.74</w:t>
            </w:r>
          </w:p>
        </w:tc>
        <w:tc>
          <w:tcPr>
            <w:tcW w:w="1505" w:type="dxa"/>
            <w:shd w:val="clear" w:color="auto" w:fill="F2F6FC"/>
          </w:tcPr>
          <w:p w14:paraId="643AA438" w14:textId="77777777" w:rsidR="00141B56" w:rsidRDefault="00000000">
            <w:pPr>
              <w:jc w:val="right"/>
            </w:pPr>
            <w:r>
              <w:rPr>
                <w:rFonts w:ascii="Arial" w:hAnsi="Arial"/>
                <w:sz w:val="18"/>
              </w:rPr>
              <w:t>49,718.26</w:t>
            </w:r>
          </w:p>
        </w:tc>
        <w:tc>
          <w:tcPr>
            <w:tcW w:w="1505" w:type="dxa"/>
            <w:shd w:val="clear" w:color="auto" w:fill="F2F6FC"/>
          </w:tcPr>
          <w:p w14:paraId="38BADE19" w14:textId="77777777" w:rsidR="00141B56" w:rsidRDefault="00000000">
            <w:pPr>
              <w:jc w:val="right"/>
            </w:pPr>
            <w:r>
              <w:rPr>
                <w:rFonts w:ascii="Arial" w:hAnsi="Arial"/>
                <w:sz w:val="18"/>
              </w:rPr>
              <w:t>13.41</w:t>
            </w:r>
          </w:p>
        </w:tc>
        <w:tc>
          <w:tcPr>
            <w:tcW w:w="1505" w:type="dxa"/>
            <w:shd w:val="clear" w:color="auto" w:fill="F2F6FC"/>
          </w:tcPr>
          <w:p w14:paraId="73E7322E" w14:textId="77777777" w:rsidR="00141B56" w:rsidRDefault="00000000">
            <w:pPr>
              <w:jc w:val="right"/>
            </w:pPr>
            <w:r>
              <w:rPr>
                <w:rFonts w:ascii="Arial" w:hAnsi="Arial"/>
                <w:sz w:val="18"/>
              </w:rPr>
              <w:t>0.3567</w:t>
            </w:r>
          </w:p>
        </w:tc>
        <w:tc>
          <w:tcPr>
            <w:tcW w:w="1505" w:type="dxa"/>
            <w:shd w:val="clear" w:color="auto" w:fill="F2F6FC"/>
          </w:tcPr>
          <w:p w14:paraId="077D0B65" w14:textId="77777777" w:rsidR="00141B56" w:rsidRDefault="00000000">
            <w:pPr>
              <w:jc w:val="right"/>
            </w:pPr>
            <w:r>
              <w:rPr>
                <w:rFonts w:ascii="Arial" w:hAnsi="Arial"/>
                <w:sz w:val="18"/>
              </w:rPr>
              <w:t>3.42</w:t>
            </w:r>
          </w:p>
        </w:tc>
      </w:tr>
    </w:tbl>
    <w:p w14:paraId="7EB093BC" w14:textId="77777777" w:rsidR="00141B56" w:rsidRDefault="00000000">
      <w:r>
        <w:rPr>
          <w:rFonts w:ascii="Arial" w:hAnsi="Arial"/>
          <w:i/>
          <w:sz w:val="16"/>
        </w:rPr>
        <w:t>Source: Source: Internal PCAF calculation system. Emissions calculated using PCAF Global GHG Accounting Standard Part A (2022). Sector classifications follow NACE Rev. 2 / ISIC Rev. 4 codes. Data quality scores range from 1 (verified reported emissions) to 5 (economic activity-based estimates).</w:t>
      </w:r>
    </w:p>
    <w:p w14:paraId="57209CA4" w14:textId="77777777" w:rsidR="00141B56" w:rsidRDefault="00141B56"/>
    <w:p w14:paraId="19261779" w14:textId="77777777" w:rsidR="00141B56" w:rsidRDefault="00000000">
      <w:r>
        <w:rPr>
          <w:rFonts w:ascii="Arial" w:hAnsi="Arial"/>
          <w:b/>
          <w:sz w:val="20"/>
        </w:rPr>
        <w:t>Table 1.3.2: Framework Cross-Reference — Financed Emissions Disclosure Requirements</w:t>
      </w:r>
    </w:p>
    <w:tbl>
      <w:tblPr>
        <w:tblW w:w="0" w:type="auto"/>
        <w:jc w:val="center"/>
        <w:tblLook w:val="04A0" w:firstRow="1" w:lastRow="0" w:firstColumn="1" w:lastColumn="0" w:noHBand="0" w:noVBand="1"/>
      </w:tblPr>
      <w:tblGrid>
        <w:gridCol w:w="2257"/>
        <w:gridCol w:w="2257"/>
        <w:gridCol w:w="2257"/>
        <w:gridCol w:w="2257"/>
      </w:tblGrid>
      <w:tr w:rsidR="00141B56" w14:paraId="37A3457F" w14:textId="77777777">
        <w:trPr>
          <w:jc w:val="center"/>
        </w:trPr>
        <w:tc>
          <w:tcPr>
            <w:tcW w:w="2257" w:type="dxa"/>
            <w:shd w:val="clear" w:color="auto" w:fill="1B3A6B"/>
          </w:tcPr>
          <w:p w14:paraId="655F32E7" w14:textId="77777777" w:rsidR="00141B56" w:rsidRDefault="00000000">
            <w:r>
              <w:rPr>
                <w:rFonts w:ascii="Arial" w:hAnsi="Arial"/>
                <w:b/>
                <w:color w:val="FFFFFF"/>
                <w:sz w:val="18"/>
              </w:rPr>
              <w:t>Framework</w:t>
            </w:r>
          </w:p>
        </w:tc>
        <w:tc>
          <w:tcPr>
            <w:tcW w:w="2257" w:type="dxa"/>
            <w:shd w:val="clear" w:color="auto" w:fill="1B3A6B"/>
          </w:tcPr>
          <w:p w14:paraId="1030BFBB" w14:textId="77777777" w:rsidR="00141B56" w:rsidRDefault="00000000">
            <w:r>
              <w:rPr>
                <w:rFonts w:ascii="Arial" w:hAnsi="Arial"/>
                <w:b/>
                <w:color w:val="FFFFFF"/>
                <w:sz w:val="18"/>
              </w:rPr>
              <w:t>Disclosure Reference</w:t>
            </w:r>
          </w:p>
        </w:tc>
        <w:tc>
          <w:tcPr>
            <w:tcW w:w="2257" w:type="dxa"/>
            <w:shd w:val="clear" w:color="auto" w:fill="1B3A6B"/>
          </w:tcPr>
          <w:p w14:paraId="39382D6B" w14:textId="77777777" w:rsidR="00141B56" w:rsidRDefault="00000000">
            <w:r>
              <w:rPr>
                <w:rFonts w:ascii="Arial" w:hAnsi="Arial"/>
                <w:b/>
                <w:color w:val="FFFFFF"/>
                <w:sz w:val="18"/>
              </w:rPr>
              <w:t>Requirement Description</w:t>
            </w:r>
          </w:p>
        </w:tc>
        <w:tc>
          <w:tcPr>
            <w:tcW w:w="2257" w:type="dxa"/>
            <w:shd w:val="clear" w:color="auto" w:fill="1B3A6B"/>
          </w:tcPr>
          <w:p w14:paraId="3B333C76" w14:textId="77777777" w:rsidR="00141B56" w:rsidRDefault="00000000">
            <w:r>
              <w:rPr>
                <w:rFonts w:ascii="Arial" w:hAnsi="Arial"/>
                <w:b/>
                <w:color w:val="FFFFFF"/>
                <w:sz w:val="18"/>
              </w:rPr>
              <w:t>Compliance Status</w:t>
            </w:r>
          </w:p>
        </w:tc>
      </w:tr>
      <w:tr w:rsidR="00141B56" w14:paraId="70B53E90" w14:textId="77777777">
        <w:trPr>
          <w:jc w:val="center"/>
        </w:trPr>
        <w:tc>
          <w:tcPr>
            <w:tcW w:w="2257" w:type="dxa"/>
          </w:tcPr>
          <w:p w14:paraId="0DADEFAF" w14:textId="77777777" w:rsidR="00141B56" w:rsidRDefault="00000000">
            <w:r>
              <w:rPr>
                <w:rFonts w:ascii="Arial" w:hAnsi="Arial"/>
                <w:sz w:val="18"/>
              </w:rPr>
              <w:t>GRI 305-3</w:t>
            </w:r>
          </w:p>
        </w:tc>
        <w:tc>
          <w:tcPr>
            <w:tcW w:w="2257" w:type="dxa"/>
          </w:tcPr>
          <w:p w14:paraId="64D0B82E" w14:textId="77777777" w:rsidR="00141B56" w:rsidRDefault="00000000">
            <w:r>
              <w:rPr>
                <w:rFonts w:ascii="Arial" w:hAnsi="Arial"/>
                <w:sz w:val="18"/>
              </w:rPr>
              <w:t>305-3a</w:t>
            </w:r>
          </w:p>
        </w:tc>
        <w:tc>
          <w:tcPr>
            <w:tcW w:w="2257" w:type="dxa"/>
          </w:tcPr>
          <w:p w14:paraId="3636B1FA" w14:textId="77777777" w:rsidR="00141B56" w:rsidRDefault="00000000">
            <w:r>
              <w:rPr>
                <w:rFonts w:ascii="Arial" w:hAnsi="Arial"/>
                <w:sz w:val="18"/>
              </w:rPr>
              <w:t>Gross other indirect (Scope 3) GHG emissions in metric tons of CO₂ equivalent</w:t>
            </w:r>
          </w:p>
        </w:tc>
        <w:tc>
          <w:tcPr>
            <w:tcW w:w="2257" w:type="dxa"/>
          </w:tcPr>
          <w:p w14:paraId="6B56818F" w14:textId="77777777" w:rsidR="00141B56" w:rsidRDefault="00000000">
            <w:r>
              <w:rPr>
                <w:rFonts w:ascii="Arial" w:hAnsi="Arial"/>
                <w:sz w:val="18"/>
              </w:rPr>
              <w:t>✅ Disclosed (21,976,797.3 tCO₂e)</w:t>
            </w:r>
          </w:p>
        </w:tc>
      </w:tr>
      <w:tr w:rsidR="00141B56" w14:paraId="48FCD54A" w14:textId="77777777">
        <w:trPr>
          <w:jc w:val="center"/>
        </w:trPr>
        <w:tc>
          <w:tcPr>
            <w:tcW w:w="2257" w:type="dxa"/>
            <w:shd w:val="clear" w:color="auto" w:fill="F2F6FC"/>
          </w:tcPr>
          <w:p w14:paraId="742DFEA3" w14:textId="77777777" w:rsidR="00141B56" w:rsidRDefault="00000000">
            <w:r>
              <w:rPr>
                <w:rFonts w:ascii="Arial" w:hAnsi="Arial"/>
                <w:sz w:val="18"/>
              </w:rPr>
              <w:t>GRI 305-3</w:t>
            </w:r>
          </w:p>
        </w:tc>
        <w:tc>
          <w:tcPr>
            <w:tcW w:w="2257" w:type="dxa"/>
            <w:shd w:val="clear" w:color="auto" w:fill="F2F6FC"/>
          </w:tcPr>
          <w:p w14:paraId="238EBBD0" w14:textId="77777777" w:rsidR="00141B56" w:rsidRDefault="00000000">
            <w:r>
              <w:rPr>
                <w:rFonts w:ascii="Arial" w:hAnsi="Arial"/>
                <w:sz w:val="18"/>
              </w:rPr>
              <w:t>305-3d</w:t>
            </w:r>
          </w:p>
        </w:tc>
        <w:tc>
          <w:tcPr>
            <w:tcW w:w="2257" w:type="dxa"/>
            <w:shd w:val="clear" w:color="auto" w:fill="F2F6FC"/>
          </w:tcPr>
          <w:p w14:paraId="35C7D322" w14:textId="77777777" w:rsidR="00141B56" w:rsidRDefault="00000000">
            <w:r>
              <w:rPr>
                <w:rFonts w:ascii="Arial" w:hAnsi="Arial"/>
                <w:sz w:val="18"/>
              </w:rPr>
              <w:t>Categories of Scope 3 emissions included in the calculation</w:t>
            </w:r>
          </w:p>
        </w:tc>
        <w:tc>
          <w:tcPr>
            <w:tcW w:w="2257" w:type="dxa"/>
            <w:shd w:val="clear" w:color="auto" w:fill="F2F6FC"/>
          </w:tcPr>
          <w:p w14:paraId="4DFB9E83" w14:textId="77777777" w:rsidR="00141B56" w:rsidRDefault="00000000">
            <w:r>
              <w:rPr>
                <w:rFonts w:ascii="Arial" w:hAnsi="Arial"/>
                <w:sz w:val="18"/>
              </w:rPr>
              <w:t>✅ Disclosed (Category 15: Investments)</w:t>
            </w:r>
          </w:p>
        </w:tc>
      </w:tr>
      <w:tr w:rsidR="00141B56" w14:paraId="7B1318FE" w14:textId="77777777">
        <w:trPr>
          <w:jc w:val="center"/>
        </w:trPr>
        <w:tc>
          <w:tcPr>
            <w:tcW w:w="2257" w:type="dxa"/>
          </w:tcPr>
          <w:p w14:paraId="268F5F96" w14:textId="77777777" w:rsidR="00141B56" w:rsidRDefault="00000000">
            <w:r>
              <w:rPr>
                <w:rFonts w:ascii="Arial" w:hAnsi="Arial"/>
                <w:sz w:val="18"/>
              </w:rPr>
              <w:t>IFRS S2</w:t>
            </w:r>
          </w:p>
        </w:tc>
        <w:tc>
          <w:tcPr>
            <w:tcW w:w="2257" w:type="dxa"/>
          </w:tcPr>
          <w:p w14:paraId="6552BFF4" w14:textId="77777777" w:rsidR="00141B56" w:rsidRDefault="00000000">
            <w:r>
              <w:rPr>
                <w:rFonts w:ascii="Arial" w:hAnsi="Arial"/>
                <w:sz w:val="18"/>
              </w:rPr>
              <w:t>Para 29(a)(iv)</w:t>
            </w:r>
          </w:p>
        </w:tc>
        <w:tc>
          <w:tcPr>
            <w:tcW w:w="2257" w:type="dxa"/>
          </w:tcPr>
          <w:p w14:paraId="329AD1E7" w14:textId="77777777" w:rsidR="00141B56" w:rsidRDefault="00000000">
            <w:r>
              <w:rPr>
                <w:rFonts w:ascii="Arial" w:hAnsi="Arial"/>
                <w:sz w:val="18"/>
              </w:rPr>
              <w:t>Absolute gross Scope 3 GHG emissions</w:t>
            </w:r>
          </w:p>
        </w:tc>
        <w:tc>
          <w:tcPr>
            <w:tcW w:w="2257" w:type="dxa"/>
          </w:tcPr>
          <w:p w14:paraId="787351B9" w14:textId="77777777" w:rsidR="00141B56" w:rsidRDefault="00000000">
            <w:r>
              <w:rPr>
                <w:rFonts w:ascii="Arial" w:hAnsi="Arial"/>
                <w:sz w:val="18"/>
              </w:rPr>
              <w:t>✅ Disclosed (21,976,797.3 tCO₂e)</w:t>
            </w:r>
          </w:p>
        </w:tc>
      </w:tr>
      <w:tr w:rsidR="00141B56" w14:paraId="0675283E" w14:textId="77777777">
        <w:trPr>
          <w:jc w:val="center"/>
        </w:trPr>
        <w:tc>
          <w:tcPr>
            <w:tcW w:w="2257" w:type="dxa"/>
            <w:shd w:val="clear" w:color="auto" w:fill="F2F6FC"/>
          </w:tcPr>
          <w:p w14:paraId="26B2D2F8" w14:textId="77777777" w:rsidR="00141B56" w:rsidRDefault="00000000">
            <w:r>
              <w:rPr>
                <w:rFonts w:ascii="Arial" w:hAnsi="Arial"/>
                <w:sz w:val="18"/>
              </w:rPr>
              <w:t>IFRS S2</w:t>
            </w:r>
          </w:p>
        </w:tc>
        <w:tc>
          <w:tcPr>
            <w:tcW w:w="2257" w:type="dxa"/>
            <w:shd w:val="clear" w:color="auto" w:fill="F2F6FC"/>
          </w:tcPr>
          <w:p w14:paraId="35542FF6" w14:textId="77777777" w:rsidR="00141B56" w:rsidRDefault="00000000">
            <w:r>
              <w:rPr>
                <w:rFonts w:ascii="Arial" w:hAnsi="Arial"/>
                <w:sz w:val="18"/>
              </w:rPr>
              <w:t>Para 29(a)(iv)</w:t>
            </w:r>
          </w:p>
        </w:tc>
        <w:tc>
          <w:tcPr>
            <w:tcW w:w="2257" w:type="dxa"/>
            <w:shd w:val="clear" w:color="auto" w:fill="F2F6FC"/>
          </w:tcPr>
          <w:p w14:paraId="79C0CF39" w14:textId="77777777" w:rsidR="00141B56" w:rsidRDefault="00000000">
            <w:r>
              <w:rPr>
                <w:rFonts w:ascii="Arial" w:hAnsi="Arial"/>
                <w:sz w:val="18"/>
              </w:rPr>
              <w:t>Industry-based metrics (financed emissions per PCAF)</w:t>
            </w:r>
          </w:p>
        </w:tc>
        <w:tc>
          <w:tcPr>
            <w:tcW w:w="2257" w:type="dxa"/>
            <w:shd w:val="clear" w:color="auto" w:fill="F2F6FC"/>
          </w:tcPr>
          <w:p w14:paraId="74DABC42" w14:textId="77777777" w:rsidR="00141B56" w:rsidRDefault="00000000">
            <w:r>
              <w:rPr>
                <w:rFonts w:ascii="Arial" w:hAnsi="Arial"/>
                <w:sz w:val="18"/>
              </w:rPr>
              <w:t>✅ Disclosed (239.400139 tCO₂e/IDR bn)</w:t>
            </w:r>
          </w:p>
        </w:tc>
      </w:tr>
      <w:tr w:rsidR="00141B56" w14:paraId="60C87B06" w14:textId="77777777">
        <w:trPr>
          <w:jc w:val="center"/>
        </w:trPr>
        <w:tc>
          <w:tcPr>
            <w:tcW w:w="2257" w:type="dxa"/>
          </w:tcPr>
          <w:p w14:paraId="5795742A" w14:textId="77777777" w:rsidR="00141B56" w:rsidRDefault="00000000">
            <w:r>
              <w:rPr>
                <w:rFonts w:ascii="Arial" w:hAnsi="Arial"/>
                <w:sz w:val="18"/>
              </w:rPr>
              <w:t>ESRS E1</w:t>
            </w:r>
          </w:p>
        </w:tc>
        <w:tc>
          <w:tcPr>
            <w:tcW w:w="2257" w:type="dxa"/>
          </w:tcPr>
          <w:p w14:paraId="1B965E74" w14:textId="77777777" w:rsidR="00141B56" w:rsidRDefault="00000000">
            <w:r>
              <w:rPr>
                <w:rFonts w:ascii="Arial" w:hAnsi="Arial"/>
                <w:sz w:val="18"/>
              </w:rPr>
              <w:t>DR E1-6.51</w:t>
            </w:r>
          </w:p>
        </w:tc>
        <w:tc>
          <w:tcPr>
            <w:tcW w:w="2257" w:type="dxa"/>
          </w:tcPr>
          <w:p w14:paraId="72B250E5" w14:textId="77777777" w:rsidR="00141B56" w:rsidRDefault="00000000">
            <w:r>
              <w:rPr>
                <w:rFonts w:ascii="Arial" w:hAnsi="Arial"/>
                <w:sz w:val="18"/>
              </w:rPr>
              <w:t>Total indirect GHG emissions (Scope 3) by category</w:t>
            </w:r>
          </w:p>
        </w:tc>
        <w:tc>
          <w:tcPr>
            <w:tcW w:w="2257" w:type="dxa"/>
          </w:tcPr>
          <w:p w14:paraId="3DD64958" w14:textId="77777777" w:rsidR="00141B56" w:rsidRDefault="00000000">
            <w:r>
              <w:rPr>
                <w:rFonts w:ascii="Arial" w:hAnsi="Arial"/>
                <w:sz w:val="18"/>
              </w:rPr>
              <w:t>✅ Disclosed (Category 15 only)</w:t>
            </w:r>
          </w:p>
        </w:tc>
      </w:tr>
      <w:tr w:rsidR="00141B56" w14:paraId="36252F6B" w14:textId="77777777">
        <w:trPr>
          <w:jc w:val="center"/>
        </w:trPr>
        <w:tc>
          <w:tcPr>
            <w:tcW w:w="2257" w:type="dxa"/>
            <w:shd w:val="clear" w:color="auto" w:fill="F2F6FC"/>
          </w:tcPr>
          <w:p w14:paraId="06248F04" w14:textId="77777777" w:rsidR="00141B56" w:rsidRDefault="00000000">
            <w:r>
              <w:rPr>
                <w:rFonts w:ascii="Arial" w:hAnsi="Arial"/>
                <w:sz w:val="18"/>
              </w:rPr>
              <w:t>OJK PSPK</w:t>
            </w:r>
          </w:p>
        </w:tc>
        <w:tc>
          <w:tcPr>
            <w:tcW w:w="2257" w:type="dxa"/>
            <w:shd w:val="clear" w:color="auto" w:fill="F2F6FC"/>
          </w:tcPr>
          <w:p w14:paraId="438F4D44" w14:textId="77777777" w:rsidR="00141B56" w:rsidRDefault="00000000">
            <w:r>
              <w:rPr>
                <w:rFonts w:ascii="Arial" w:hAnsi="Arial"/>
                <w:sz w:val="18"/>
              </w:rPr>
              <w:t>Emisi Lingkup 3</w:t>
            </w:r>
          </w:p>
        </w:tc>
        <w:tc>
          <w:tcPr>
            <w:tcW w:w="2257" w:type="dxa"/>
            <w:shd w:val="clear" w:color="auto" w:fill="F2F6FC"/>
          </w:tcPr>
          <w:p w14:paraId="6B94081C" w14:textId="77777777" w:rsidR="00141B56" w:rsidRDefault="00000000">
            <w:r>
              <w:rPr>
                <w:rFonts w:ascii="Arial" w:hAnsi="Arial"/>
                <w:sz w:val="18"/>
              </w:rPr>
              <w:t>Emisi pembiayaan menggunakan metodologi PCAF</w:t>
            </w:r>
          </w:p>
        </w:tc>
        <w:tc>
          <w:tcPr>
            <w:tcW w:w="2257" w:type="dxa"/>
            <w:shd w:val="clear" w:color="auto" w:fill="F2F6FC"/>
          </w:tcPr>
          <w:p w14:paraId="29081548" w14:textId="77777777" w:rsidR="00141B56" w:rsidRDefault="00000000">
            <w:r>
              <w:rPr>
                <w:rFonts w:ascii="Arial" w:hAnsi="Arial"/>
                <w:sz w:val="18"/>
              </w:rPr>
              <w:t>✅ Disclosed (PCAF-compliant)</w:t>
            </w:r>
          </w:p>
        </w:tc>
      </w:tr>
      <w:tr w:rsidR="00141B56" w14:paraId="0DCED407" w14:textId="77777777">
        <w:trPr>
          <w:jc w:val="center"/>
        </w:trPr>
        <w:tc>
          <w:tcPr>
            <w:tcW w:w="2257" w:type="dxa"/>
          </w:tcPr>
          <w:p w14:paraId="4B98E18E" w14:textId="77777777" w:rsidR="00141B56" w:rsidRDefault="00000000">
            <w:r>
              <w:rPr>
                <w:rFonts w:ascii="Arial" w:hAnsi="Arial"/>
                <w:sz w:val="18"/>
              </w:rPr>
              <w:t>PCAF Global Standard</w:t>
            </w:r>
          </w:p>
        </w:tc>
        <w:tc>
          <w:tcPr>
            <w:tcW w:w="2257" w:type="dxa"/>
          </w:tcPr>
          <w:p w14:paraId="4311DB94" w14:textId="77777777" w:rsidR="00141B56" w:rsidRDefault="00000000">
            <w:r>
              <w:rPr>
                <w:rFonts w:ascii="Arial" w:hAnsi="Arial"/>
                <w:sz w:val="18"/>
              </w:rPr>
              <w:t>Part A (2022)</w:t>
            </w:r>
          </w:p>
        </w:tc>
        <w:tc>
          <w:tcPr>
            <w:tcW w:w="2257" w:type="dxa"/>
          </w:tcPr>
          <w:p w14:paraId="1F219230" w14:textId="77777777" w:rsidR="00141B56" w:rsidRDefault="00000000">
            <w:r>
              <w:rPr>
                <w:rFonts w:ascii="Arial" w:hAnsi="Arial"/>
                <w:sz w:val="18"/>
              </w:rPr>
              <w:t>Attribution methodology and asset class coverage</w:t>
            </w:r>
          </w:p>
        </w:tc>
        <w:tc>
          <w:tcPr>
            <w:tcW w:w="2257" w:type="dxa"/>
          </w:tcPr>
          <w:p w14:paraId="65F1F19C" w14:textId="77777777" w:rsidR="00141B56" w:rsidRDefault="00000000">
            <w:r>
              <w:rPr>
                <w:rFonts w:ascii="Arial" w:hAnsi="Arial"/>
                <w:sz w:val="18"/>
              </w:rPr>
              <w:t>✅ Disclosed (10 sectors, attribution factor applied)</w:t>
            </w:r>
          </w:p>
        </w:tc>
      </w:tr>
      <w:tr w:rsidR="00141B56" w14:paraId="190E82A9" w14:textId="77777777">
        <w:trPr>
          <w:jc w:val="center"/>
        </w:trPr>
        <w:tc>
          <w:tcPr>
            <w:tcW w:w="2257" w:type="dxa"/>
            <w:shd w:val="clear" w:color="auto" w:fill="F2F6FC"/>
          </w:tcPr>
          <w:p w14:paraId="52A8C8AA" w14:textId="77777777" w:rsidR="00141B56" w:rsidRDefault="00000000">
            <w:r>
              <w:rPr>
                <w:rFonts w:ascii="Arial" w:hAnsi="Arial"/>
                <w:sz w:val="18"/>
              </w:rPr>
              <w:t>PCAF Global Standard</w:t>
            </w:r>
          </w:p>
        </w:tc>
        <w:tc>
          <w:tcPr>
            <w:tcW w:w="2257" w:type="dxa"/>
            <w:shd w:val="clear" w:color="auto" w:fill="F2F6FC"/>
          </w:tcPr>
          <w:p w14:paraId="3026FD79" w14:textId="77777777" w:rsidR="00141B56" w:rsidRDefault="00000000">
            <w:r>
              <w:rPr>
                <w:rFonts w:ascii="Arial" w:hAnsi="Arial"/>
                <w:sz w:val="18"/>
              </w:rPr>
              <w:t>Data Quality</w:t>
            </w:r>
          </w:p>
        </w:tc>
        <w:tc>
          <w:tcPr>
            <w:tcW w:w="2257" w:type="dxa"/>
            <w:shd w:val="clear" w:color="auto" w:fill="F2F6FC"/>
          </w:tcPr>
          <w:p w14:paraId="62D6CB05" w14:textId="77777777" w:rsidR="00141B56" w:rsidRDefault="00000000">
            <w:r>
              <w:rPr>
                <w:rFonts w:ascii="Arial" w:hAnsi="Arial"/>
                <w:sz w:val="18"/>
              </w:rPr>
              <w:t>Portfolio-weighted data quality score disclosure</w:t>
            </w:r>
          </w:p>
        </w:tc>
        <w:tc>
          <w:tcPr>
            <w:tcW w:w="2257" w:type="dxa"/>
            <w:shd w:val="clear" w:color="auto" w:fill="F2F6FC"/>
          </w:tcPr>
          <w:p w14:paraId="65376444" w14:textId="77777777" w:rsidR="00141B56" w:rsidRDefault="00000000">
            <w:r>
              <w:rPr>
                <w:rFonts w:ascii="Arial" w:hAnsi="Arial"/>
                <w:sz w:val="18"/>
              </w:rPr>
              <w:t>✅ Disclosed (3.36 average score)</w:t>
            </w:r>
          </w:p>
        </w:tc>
      </w:tr>
    </w:tbl>
    <w:p w14:paraId="5CB74DD5" w14:textId="77777777" w:rsidR="00141B56" w:rsidRDefault="00000000">
      <w:r>
        <w:rPr>
          <w:rFonts w:ascii="Arial" w:hAnsi="Arial"/>
          <w:i/>
          <w:sz w:val="16"/>
        </w:rPr>
        <w:t>Source: Framework compliance assessed against disclosure requirements effective for 2024 reporting period. GRI 305 (2016 version), IFRS S2 Climate-related Disclosures (effective 2024), ESRS E1 Climate Change (EU CSRD), OJK PSPK No. 51/2017 as amended, PCAF Global GHG Accounting Standard Part A (2022 Second Edition).</w:t>
      </w:r>
    </w:p>
    <w:p w14:paraId="7F31C64F" w14:textId="77777777" w:rsidR="00141B56" w:rsidRDefault="00141B56"/>
    <w:p w14:paraId="3391AE0D" w14:textId="77777777" w:rsidR="00141B56" w:rsidRDefault="00000000">
      <w:r>
        <w:rPr>
          <w:i/>
          <w:color w:val="3D6094"/>
          <w:sz w:val="18"/>
        </w:rPr>
        <w:t>Framework references: GRI 305-3a — Gross other indirect (Scope 3) GHG emissions; GRI 305-3d — Scope 3 categories included; IFRS S2 Para 29(a)(iv) — Absolute gross Scope 3 emissions and industry-based metrics; ESRS E1-6 DR E1-6.51 — Total indirect GHG emissions (Scope 3); OJK PSPK No. 51/2017 — Emisi GRK Tidak Langsung Lainnya (Lingkup 3); PCAF Global GHG Accounting Standard Part A (2022) — Financed emissions methodology; PCAF Data Quality Score Table — Score 1-5 classification system</w:t>
      </w:r>
    </w:p>
    <w:p w14:paraId="76CEEB2E" w14:textId="77777777" w:rsidR="00141B56" w:rsidRDefault="00141B56">
      <w:pPr>
        <w:pBdr>
          <w:bottom w:val="single" w:sz="6" w:space="1" w:color="999999"/>
        </w:pBdr>
        <w:spacing w:after="80"/>
      </w:pPr>
    </w:p>
    <w:p w14:paraId="7B214855" w14:textId="77777777" w:rsidR="00141B56" w:rsidRDefault="00000000">
      <w:pPr>
        <w:spacing w:after="160"/>
        <w:jc w:val="both"/>
      </w:pPr>
      <w:r>
        <w:rPr>
          <w:rFonts w:ascii="Arial" w:hAnsi="Arial"/>
          <w:i/>
          <w:color w:val="646464"/>
          <w:sz w:val="18"/>
        </w:rPr>
        <w:t>These figures have not been subject to external assurance for the current reporting period.</w:t>
      </w:r>
    </w:p>
    <w:p w14:paraId="46E0D233" w14:textId="77777777" w:rsidR="00141B56" w:rsidRDefault="00000000">
      <w:pPr>
        <w:spacing w:after="160"/>
        <w:jc w:val="both"/>
      </w:pPr>
      <w:r>
        <w:rPr>
          <w:rFonts w:ascii="Arial" w:hAnsi="Arial"/>
          <w:i/>
          <w:color w:val="646464"/>
          <w:sz w:val="18"/>
        </w:rPr>
        <w:lastRenderedPageBreak/>
        <w:t>Financed emissions calculations exclude Scope 3 categories other than Category 15 (Investments). Categories 1-14 are not material to the institution's value chain as a financial services provider.</w:t>
      </w:r>
    </w:p>
    <w:p w14:paraId="39ECC8F7" w14:textId="77777777" w:rsidR="00141B56" w:rsidRDefault="00000000">
      <w:pPr>
        <w:spacing w:after="160"/>
        <w:jc w:val="both"/>
      </w:pPr>
      <w:r>
        <w:rPr>
          <w:rFonts w:ascii="Arial" w:hAnsi="Arial"/>
          <w:i/>
          <w:color w:val="646464"/>
          <w:sz w:val="18"/>
        </w:rPr>
        <w:t>The confidence-weighted emissions figure applies PCAF data quality confidence factors to gross emissions. The 30.5% reduction from gross to weighted reflects the prevalence of Score 3-4 data quality (physical activity-based and economic activity-based estimates) in the portfolio.</w:t>
      </w:r>
    </w:p>
    <w:p w14:paraId="4BE68EC9" w14:textId="77777777" w:rsidR="00141B56" w:rsidRDefault="00000000">
      <w:pPr>
        <w:spacing w:after="160"/>
        <w:jc w:val="both"/>
      </w:pPr>
      <w:r>
        <w:rPr>
          <w:rFonts w:ascii="Arial" w:hAnsi="Arial"/>
          <w:i/>
          <w:color w:val="646464"/>
          <w:sz w:val="18"/>
        </w:rPr>
        <w:t>Sector emission boundaries for oil and gas include borrower Scope 1, 2, and 3 (upstream and downstream) per PCAF requirements. Manufacturing, transportation, and construction sectors include Scope 1, 2, and relevant Scope 3 categories per PCAF phase-in schedule effective 2023.</w:t>
      </w:r>
    </w:p>
    <w:p w14:paraId="670093CD" w14:textId="77777777" w:rsidR="00141B56" w:rsidRDefault="00000000">
      <w:pPr>
        <w:spacing w:after="160"/>
        <w:jc w:val="both"/>
      </w:pPr>
      <w:r>
        <w:rPr>
          <w:rFonts w:ascii="Arial" w:hAnsi="Arial"/>
          <w:i/>
          <w:color w:val="646464"/>
          <w:sz w:val="18"/>
        </w:rPr>
        <w:t>Year-over-year comparison is based on restated 2023 figures using consistent methodology. Prior year data has not been adjusted for portfolio composition changes or borrower mergers/acquisitions.</w:t>
      </w:r>
    </w:p>
    <w:p w14:paraId="1C331710" w14:textId="77777777" w:rsidR="00141B56" w:rsidRDefault="00000000">
      <w:pPr>
        <w:pStyle w:val="Heading2"/>
        <w:spacing w:before="360" w:after="160"/>
      </w:pPr>
      <w:bookmarkStart w:id="8" w:name="_Toc231986303"/>
      <w:r>
        <w:rPr>
          <w:rFonts w:ascii="Arial" w:hAnsi="Arial"/>
          <w:color w:val="3D6094"/>
          <w:sz w:val="28"/>
        </w:rPr>
        <w:t>1.4 GHG Emissions Intensity</w:t>
      </w:r>
      <w:bookmarkEnd w:id="8"/>
    </w:p>
    <w:p w14:paraId="6F087064" w14:textId="77777777" w:rsidR="00141B56" w:rsidRDefault="00000000">
      <w:pPr>
        <w:spacing w:after="160"/>
        <w:jc w:val="both"/>
      </w:pPr>
      <w:r>
        <w:rPr>
          <w:rFonts w:ascii="Arial" w:hAnsi="Arial"/>
        </w:rPr>
        <w:t>The institution reports greenhouse gas emissions intensity using two complementary metrics to enable cross-industry comparison and operational performance tracking. For the reporting year 2024, the revenue-based intensity was 239.400139 tCO₂e per IDR billion, representing the institution's total carbon footprint normalized against economic output. The operational intensity was 1.9209 tCO₂e per full-time equivalent employee, reflecting the carbon efficiency of the institution's workforce and physical operations. Both metrics are disclosed in accordance with GRI 305-4, IFRS S2 Paragraph 29(b), ESRS E1-6 DR E1-6.53, and OJK PSPK requirements for emissions intensity reporting.</w:t>
      </w:r>
    </w:p>
    <w:p w14:paraId="31CC9348" w14:textId="77777777" w:rsidR="00141B56" w:rsidRDefault="00000000">
      <w:pPr>
        <w:spacing w:after="160"/>
        <w:jc w:val="both"/>
      </w:pPr>
      <w:r>
        <w:rPr>
          <w:rFonts w:ascii="Arial" w:hAnsi="Arial"/>
          <w:i/>
        </w:rPr>
        <w:t>**Methodology for Intensity Calculation**</w:t>
      </w:r>
      <w:r>
        <w:rPr>
          <w:rFonts w:ascii="Arial" w:hAnsi="Arial"/>
          <w:i/>
        </w:rPr>
        <w:br/>
      </w:r>
      <w:r>
        <w:rPr>
          <w:rFonts w:ascii="Arial" w:hAnsi="Arial"/>
          <w:i/>
        </w:rPr>
        <w:br/>
        <w:t>The revenue-based intensity metric uses total gross emissions (Scope 1 + Scope 2 location-based + Scope 3 Category 15 gross) as the numerator, divided by the institution's total outstanding loan portfolio expressed in IDR billion. This approach aligns with ESRS E1-6.53 requirements for GHG intensity per net revenue and provides comparability across financial institutions with different business models. The numerator for 2024 comprises: Scope 1 (3402.997 tCO₂e) + Scope 2 location-based (44613.876 tCO₂e) + Scope 3 Category 15 gross (21976797.3 tCO₂e) = 22024814.173 tCO₂e total.</w:t>
      </w:r>
      <w:r>
        <w:rPr>
          <w:rFonts w:ascii="Arial" w:hAnsi="Arial"/>
          <w:i/>
        </w:rPr>
        <w:br/>
      </w:r>
      <w:r>
        <w:rPr>
          <w:rFonts w:ascii="Arial" w:hAnsi="Arial"/>
          <w:i/>
        </w:rPr>
        <w:br/>
        <w:t>The operational intensity metric uses only Scope 1 and Scope 2 emissions as the numerator (representing direct operational control), divided by the total full-time equivalent employee count. This metric isolates the carbon efficiency of the institution's own operations, excluding financed emissions which are driven by client activities. The FTE-based denominator was selected per GRI 305-4 guidance as it reflects the institution's operational scale and enables year-over-year tracking of operational efficiency improvements independent of portfolio growth.</w:t>
      </w:r>
    </w:p>
    <w:p w14:paraId="103AFAD0" w14:textId="77777777" w:rsidR="00141B56" w:rsidRDefault="00000000">
      <w:pPr>
        <w:spacing w:after="160"/>
        <w:jc w:val="both"/>
      </w:pPr>
      <w:r>
        <w:rPr>
          <w:rFonts w:ascii="Arial" w:hAnsi="Arial"/>
        </w:rPr>
        <w:t>**Table 1: GHG Emissions Intensity Metrics — 2024**</w:t>
      </w:r>
      <w:r>
        <w:rPr>
          <w:rFonts w:ascii="Arial" w:hAnsi="Arial"/>
        </w:rPr>
        <w:br/>
      </w:r>
      <w:r>
        <w:rPr>
          <w:rFonts w:ascii="Arial" w:hAnsi="Arial"/>
        </w:rPr>
        <w:br/>
        <w:t>| Metric | Numerator (tCO₂e) | Denominator | Ratio | Unit |</w:t>
      </w:r>
      <w:r>
        <w:rPr>
          <w:rFonts w:ascii="Arial" w:hAnsi="Arial"/>
        </w:rPr>
        <w:br/>
        <w:t>|--------|-------------------|-------------|-------|------|</w:t>
      </w:r>
      <w:r>
        <w:rPr>
          <w:rFonts w:ascii="Arial" w:hAnsi="Arial"/>
        </w:rPr>
        <w:br/>
        <w:t>| Revenue Intensity | 22,024,814.173 | 1,541.18 IDR Bn | 239.400139 | tCO₂e/IDR Bn |</w:t>
      </w:r>
      <w:r>
        <w:rPr>
          <w:rFonts w:ascii="Arial" w:hAnsi="Arial"/>
        </w:rPr>
        <w:br/>
        <w:t>| FTE Intensity | 48,016.873 | 24,997 FTE | 1.9209 | tCO₂e/FTE |</w:t>
      </w:r>
      <w:r>
        <w:rPr>
          <w:rFonts w:ascii="Arial" w:hAnsi="Arial"/>
        </w:rPr>
        <w:br/>
      </w:r>
      <w:r>
        <w:rPr>
          <w:rFonts w:ascii="Arial" w:hAnsi="Arial"/>
        </w:rPr>
        <w:br/>
        <w:t xml:space="preserve">*Note: Revenue intensity numerator includes Scope 1 + 2 + 3 Cat 15 gross. FTE intensity </w:t>
      </w:r>
      <w:r>
        <w:rPr>
          <w:rFonts w:ascii="Arial" w:hAnsi="Arial"/>
        </w:rPr>
        <w:lastRenderedPageBreak/>
        <w:t>numerator includes Scope 1 + 2 only. Total outstanding portfolio (denominator for revenue intensity) calculated as sum of all PCAF sector exposures: 1,541.18 IDR trillion.*</w:t>
      </w:r>
    </w:p>
    <w:p w14:paraId="41B4C63E" w14:textId="77777777" w:rsidR="00141B56" w:rsidRDefault="00000000">
      <w:pPr>
        <w:spacing w:after="160"/>
        <w:jc w:val="both"/>
      </w:pPr>
      <w:r>
        <w:rPr>
          <w:rFonts w:ascii="Arial" w:hAnsi="Arial"/>
        </w:rPr>
        <w:t>**Table 2: Year-over-Year Intensity Comparison**</w:t>
      </w:r>
      <w:r>
        <w:rPr>
          <w:rFonts w:ascii="Arial" w:hAnsi="Arial"/>
        </w:rPr>
        <w:br/>
      </w:r>
      <w:r>
        <w:rPr>
          <w:rFonts w:ascii="Arial" w:hAnsi="Arial"/>
        </w:rPr>
        <w:br/>
        <w:t>| Metric | 2024 | 2023 | Change (%) | Direction |</w:t>
      </w:r>
      <w:r>
        <w:rPr>
          <w:rFonts w:ascii="Arial" w:hAnsi="Arial"/>
        </w:rPr>
        <w:br/>
        <w:t>|--------|------|------|------------|----------|</w:t>
      </w:r>
      <w:r>
        <w:rPr>
          <w:rFonts w:ascii="Arial" w:hAnsi="Arial"/>
        </w:rPr>
        <w:br/>
        <w:t>| Revenue Intensity (tCO₂e/IDR Bn) | 239.400139 | 270.116632 | -11.37% | ↓ Improvement |</w:t>
      </w:r>
      <w:r>
        <w:rPr>
          <w:rFonts w:ascii="Arial" w:hAnsi="Arial"/>
        </w:rPr>
        <w:br/>
        <w:t>| FTE Intensity (tCO₂e/FTE) | 1.9209 | 1.956 | -1.79% | ↓ Improvement |</w:t>
      </w:r>
      <w:r>
        <w:rPr>
          <w:rFonts w:ascii="Arial" w:hAnsi="Arial"/>
        </w:rPr>
        <w:br/>
      </w:r>
      <w:r>
        <w:rPr>
          <w:rFonts w:ascii="Arial" w:hAnsi="Arial"/>
        </w:rPr>
        <w:br/>
        <w:t>*Note: 2023 revenue intensity recalculated using same methodology for comparability. The 11.37% improvement in revenue intensity reflects the institution's 4.07% reduction in absolute financed emissions combined with portfolio growth, demonstrating decoupling of emissions from economic activity.*</w:t>
      </w:r>
    </w:p>
    <w:p w14:paraId="4F2619B4" w14:textId="77777777" w:rsidR="00141B56" w:rsidRDefault="00000000">
      <w:pPr>
        <w:spacing w:after="160"/>
        <w:jc w:val="both"/>
      </w:pPr>
      <w:r>
        <w:rPr>
          <w:rFonts w:ascii="Arial" w:hAnsi="Arial"/>
        </w:rPr>
        <w:t>The institution achieved intensity reductions across both metrics in 2024, indicating improved carbon efficiency. The revenue-based intensity declined by 11.37 percentage points, driven primarily by the 4.07% reduction in absolute financed emissions (Scope 3 Category 15 weighted emissions decreased from 15,576,239.57 tCO₂e in 2023 to 15,280,174.14 tCO₂e in 2024) while the loan portfolio expanded. This demonstrates successful decoupling of emissions growth from business growth, a key indicator of transition progress. The operational intensity (FTE-based) improved by 1.79%, reflecting energy efficiency measures implemented across the institution's facilities despite a 2.03% increase in headcount (from 24,500 FTE in 2023 to 24,997 FTE in 2024). The modest operational intensity improvement suggests opportunities remain for deeper operational decarbonization through renewable energy procurement and facility upgrades.</w:t>
      </w:r>
    </w:p>
    <w:p w14:paraId="03B4FEC9" w14:textId="77777777" w:rsidR="00141B56" w:rsidRDefault="00000000">
      <w:pPr>
        <w:spacing w:after="160"/>
        <w:jc w:val="both"/>
      </w:pPr>
      <w:r>
        <w:rPr>
          <w:rFonts w:ascii="Arial" w:hAnsi="Arial"/>
        </w:rPr>
        <w:t>**Peer Benchmark Context**</w:t>
      </w:r>
      <w:r>
        <w:rPr>
          <w:rFonts w:ascii="Arial" w:hAnsi="Arial"/>
        </w:rPr>
        <w:br/>
      </w:r>
      <w:r>
        <w:rPr>
          <w:rFonts w:ascii="Arial" w:hAnsi="Arial"/>
        </w:rPr>
        <w:br/>
        <w:t>Comparing the institution's 2024 operational intensity (1.9209 tCO₂e/FTE) against Indonesian banking sector peers reveals competitive performance. DBS Group reported 2.04 tCO₂e/FTE in 2023 (calculated as 51,003 tCO₂e Scope 1+2 ÷ 25,000 FTE), while BRI reported approximately 3.98 tCO₂e/FTE (97,500 tCO₂e ÷ 24,500 FTE). The institution's intensity is 5.9% lower than DBS and 51.7% lower than BRI, positioning it favorably among regional peers. However, DBS achieved a 12% year-over-year reduction in absolute emissions through 62% renewable energy procurement under its RE100 commitment, compared to the institution's 1.79% intensity improvement. BCA reported an energy intensity of approximately 18,500 MJ/employee in 2024, though direct tCO₂e/FTE comparison is not available. The institution's revenue-based intensity (239.400139 tCO₂e/IDR Bn) cannot be directly benchmarked as peer banks report financed emissions using different portfolio denominators and sectoral scopes under PCAF methodology.</w:t>
      </w:r>
    </w:p>
    <w:p w14:paraId="519F2A2D" w14:textId="77777777" w:rsidR="00141B56" w:rsidRDefault="00000000">
      <w:r>
        <w:rPr>
          <w:rFonts w:ascii="Arial" w:hAnsi="Arial"/>
          <w:b/>
          <w:sz w:val="20"/>
        </w:rPr>
        <w:t>Table 1: GHG Emissions Intensity Metrics — 2024</w:t>
      </w:r>
    </w:p>
    <w:tbl>
      <w:tblPr>
        <w:tblW w:w="0" w:type="auto"/>
        <w:jc w:val="center"/>
        <w:tblLook w:val="04A0" w:firstRow="1" w:lastRow="0" w:firstColumn="1" w:lastColumn="0" w:noHBand="0" w:noVBand="1"/>
      </w:tblPr>
      <w:tblGrid>
        <w:gridCol w:w="1806"/>
        <w:gridCol w:w="1806"/>
        <w:gridCol w:w="1806"/>
        <w:gridCol w:w="1806"/>
        <w:gridCol w:w="1806"/>
      </w:tblGrid>
      <w:tr w:rsidR="00141B56" w14:paraId="4D5FC119" w14:textId="77777777">
        <w:trPr>
          <w:jc w:val="center"/>
        </w:trPr>
        <w:tc>
          <w:tcPr>
            <w:tcW w:w="1806" w:type="dxa"/>
            <w:shd w:val="clear" w:color="auto" w:fill="1B3A6B"/>
          </w:tcPr>
          <w:p w14:paraId="6221F349" w14:textId="77777777" w:rsidR="00141B56" w:rsidRDefault="00000000">
            <w:r>
              <w:rPr>
                <w:rFonts w:ascii="Arial" w:hAnsi="Arial"/>
                <w:b/>
                <w:color w:val="FFFFFF"/>
                <w:sz w:val="18"/>
              </w:rPr>
              <w:t>Metric</w:t>
            </w:r>
          </w:p>
        </w:tc>
        <w:tc>
          <w:tcPr>
            <w:tcW w:w="1806" w:type="dxa"/>
            <w:shd w:val="clear" w:color="auto" w:fill="1B3A6B"/>
          </w:tcPr>
          <w:p w14:paraId="4B7F29C9" w14:textId="77777777" w:rsidR="00141B56" w:rsidRDefault="00000000">
            <w:r>
              <w:rPr>
                <w:rFonts w:ascii="Arial" w:hAnsi="Arial"/>
                <w:b/>
                <w:color w:val="FFFFFF"/>
                <w:sz w:val="18"/>
              </w:rPr>
              <w:t>Numerator (tCO₂e)</w:t>
            </w:r>
          </w:p>
        </w:tc>
        <w:tc>
          <w:tcPr>
            <w:tcW w:w="1806" w:type="dxa"/>
            <w:shd w:val="clear" w:color="auto" w:fill="1B3A6B"/>
          </w:tcPr>
          <w:p w14:paraId="6872DDEE" w14:textId="77777777" w:rsidR="00141B56" w:rsidRDefault="00000000">
            <w:r>
              <w:rPr>
                <w:rFonts w:ascii="Arial" w:hAnsi="Arial"/>
                <w:b/>
                <w:color w:val="FFFFFF"/>
                <w:sz w:val="18"/>
              </w:rPr>
              <w:t>Denominator</w:t>
            </w:r>
          </w:p>
        </w:tc>
        <w:tc>
          <w:tcPr>
            <w:tcW w:w="1806" w:type="dxa"/>
            <w:shd w:val="clear" w:color="auto" w:fill="1B3A6B"/>
          </w:tcPr>
          <w:p w14:paraId="19B8F278" w14:textId="77777777" w:rsidR="00141B56" w:rsidRDefault="00000000">
            <w:r>
              <w:rPr>
                <w:rFonts w:ascii="Arial" w:hAnsi="Arial"/>
                <w:b/>
                <w:color w:val="FFFFFF"/>
                <w:sz w:val="18"/>
              </w:rPr>
              <w:t>Ratio</w:t>
            </w:r>
          </w:p>
        </w:tc>
        <w:tc>
          <w:tcPr>
            <w:tcW w:w="1806" w:type="dxa"/>
            <w:shd w:val="clear" w:color="auto" w:fill="1B3A6B"/>
          </w:tcPr>
          <w:p w14:paraId="673A947F" w14:textId="77777777" w:rsidR="00141B56" w:rsidRDefault="00000000">
            <w:r>
              <w:rPr>
                <w:rFonts w:ascii="Arial" w:hAnsi="Arial"/>
                <w:b/>
                <w:color w:val="FFFFFF"/>
                <w:sz w:val="18"/>
              </w:rPr>
              <w:t>Unit</w:t>
            </w:r>
          </w:p>
        </w:tc>
      </w:tr>
      <w:tr w:rsidR="00141B56" w14:paraId="728B65C6" w14:textId="77777777">
        <w:trPr>
          <w:jc w:val="center"/>
        </w:trPr>
        <w:tc>
          <w:tcPr>
            <w:tcW w:w="1806" w:type="dxa"/>
          </w:tcPr>
          <w:p w14:paraId="6D7FCAAC" w14:textId="77777777" w:rsidR="00141B56" w:rsidRDefault="00000000">
            <w:r>
              <w:rPr>
                <w:rFonts w:ascii="Arial" w:hAnsi="Arial"/>
                <w:sz w:val="18"/>
              </w:rPr>
              <w:t>Revenue Intensity</w:t>
            </w:r>
          </w:p>
        </w:tc>
        <w:tc>
          <w:tcPr>
            <w:tcW w:w="1806" w:type="dxa"/>
          </w:tcPr>
          <w:p w14:paraId="5A8F2C95" w14:textId="77777777" w:rsidR="00141B56" w:rsidRDefault="00000000">
            <w:pPr>
              <w:jc w:val="right"/>
            </w:pPr>
            <w:r>
              <w:rPr>
                <w:rFonts w:ascii="Arial" w:hAnsi="Arial"/>
                <w:sz w:val="18"/>
              </w:rPr>
              <w:t>22,024,814.173</w:t>
            </w:r>
          </w:p>
        </w:tc>
        <w:tc>
          <w:tcPr>
            <w:tcW w:w="1806" w:type="dxa"/>
          </w:tcPr>
          <w:p w14:paraId="41AE32F6" w14:textId="77777777" w:rsidR="00141B56" w:rsidRDefault="00000000">
            <w:r>
              <w:rPr>
                <w:rFonts w:ascii="Arial" w:hAnsi="Arial"/>
                <w:sz w:val="18"/>
              </w:rPr>
              <w:t>1,541.18 IDR Bn</w:t>
            </w:r>
          </w:p>
        </w:tc>
        <w:tc>
          <w:tcPr>
            <w:tcW w:w="1806" w:type="dxa"/>
          </w:tcPr>
          <w:p w14:paraId="52E5D13F" w14:textId="77777777" w:rsidR="00141B56" w:rsidRDefault="00000000">
            <w:pPr>
              <w:jc w:val="right"/>
            </w:pPr>
            <w:r>
              <w:rPr>
                <w:rFonts w:ascii="Arial" w:hAnsi="Arial"/>
                <w:sz w:val="18"/>
              </w:rPr>
              <w:t>239.400139</w:t>
            </w:r>
          </w:p>
        </w:tc>
        <w:tc>
          <w:tcPr>
            <w:tcW w:w="1806" w:type="dxa"/>
          </w:tcPr>
          <w:p w14:paraId="55993B79" w14:textId="77777777" w:rsidR="00141B56" w:rsidRDefault="00000000">
            <w:r>
              <w:rPr>
                <w:rFonts w:ascii="Arial" w:hAnsi="Arial"/>
                <w:sz w:val="18"/>
              </w:rPr>
              <w:t>tCO₂e/IDR Bn</w:t>
            </w:r>
          </w:p>
        </w:tc>
      </w:tr>
      <w:tr w:rsidR="00141B56" w14:paraId="001C8F68" w14:textId="77777777">
        <w:trPr>
          <w:jc w:val="center"/>
        </w:trPr>
        <w:tc>
          <w:tcPr>
            <w:tcW w:w="1806" w:type="dxa"/>
            <w:shd w:val="clear" w:color="auto" w:fill="F2F6FC"/>
          </w:tcPr>
          <w:p w14:paraId="68CC4E72" w14:textId="77777777" w:rsidR="00141B56" w:rsidRDefault="00000000">
            <w:r>
              <w:rPr>
                <w:rFonts w:ascii="Arial" w:hAnsi="Arial"/>
                <w:sz w:val="18"/>
              </w:rPr>
              <w:t>FTE Intensity</w:t>
            </w:r>
          </w:p>
        </w:tc>
        <w:tc>
          <w:tcPr>
            <w:tcW w:w="1806" w:type="dxa"/>
            <w:shd w:val="clear" w:color="auto" w:fill="F2F6FC"/>
          </w:tcPr>
          <w:p w14:paraId="00EA4C73" w14:textId="77777777" w:rsidR="00141B56" w:rsidRDefault="00000000">
            <w:pPr>
              <w:jc w:val="right"/>
            </w:pPr>
            <w:r>
              <w:rPr>
                <w:rFonts w:ascii="Arial" w:hAnsi="Arial"/>
                <w:sz w:val="18"/>
              </w:rPr>
              <w:t>48,016.873</w:t>
            </w:r>
          </w:p>
        </w:tc>
        <w:tc>
          <w:tcPr>
            <w:tcW w:w="1806" w:type="dxa"/>
            <w:shd w:val="clear" w:color="auto" w:fill="F2F6FC"/>
          </w:tcPr>
          <w:p w14:paraId="378393DF" w14:textId="77777777" w:rsidR="00141B56" w:rsidRDefault="00000000">
            <w:r>
              <w:rPr>
                <w:rFonts w:ascii="Arial" w:hAnsi="Arial"/>
                <w:sz w:val="18"/>
              </w:rPr>
              <w:t>24,997 FTE</w:t>
            </w:r>
          </w:p>
        </w:tc>
        <w:tc>
          <w:tcPr>
            <w:tcW w:w="1806" w:type="dxa"/>
            <w:shd w:val="clear" w:color="auto" w:fill="F2F6FC"/>
          </w:tcPr>
          <w:p w14:paraId="4DCC9F6A" w14:textId="77777777" w:rsidR="00141B56" w:rsidRDefault="00000000">
            <w:pPr>
              <w:jc w:val="right"/>
            </w:pPr>
            <w:r>
              <w:rPr>
                <w:rFonts w:ascii="Arial" w:hAnsi="Arial"/>
                <w:sz w:val="18"/>
              </w:rPr>
              <w:t>1.9209</w:t>
            </w:r>
          </w:p>
        </w:tc>
        <w:tc>
          <w:tcPr>
            <w:tcW w:w="1806" w:type="dxa"/>
            <w:shd w:val="clear" w:color="auto" w:fill="F2F6FC"/>
          </w:tcPr>
          <w:p w14:paraId="3E0C7CCD" w14:textId="77777777" w:rsidR="00141B56" w:rsidRDefault="00000000">
            <w:r>
              <w:rPr>
                <w:rFonts w:ascii="Arial" w:hAnsi="Arial"/>
                <w:sz w:val="18"/>
              </w:rPr>
              <w:t>tCO₂e/FTE</w:t>
            </w:r>
          </w:p>
        </w:tc>
      </w:tr>
    </w:tbl>
    <w:p w14:paraId="62B62E78" w14:textId="77777777" w:rsidR="00141B56" w:rsidRDefault="00000000">
      <w:r>
        <w:rPr>
          <w:rFonts w:ascii="Arial" w:hAnsi="Arial"/>
          <w:i/>
          <w:sz w:val="16"/>
        </w:rPr>
        <w:t>Source: Revenue intensity numerator includes Scope 1 + 2 + 3 Cat 15 gross. FTE intensity numerator includes Scope 1 + 2 only.</w:t>
      </w:r>
    </w:p>
    <w:p w14:paraId="02219973" w14:textId="77777777" w:rsidR="00141B56" w:rsidRDefault="00141B56"/>
    <w:p w14:paraId="5E088932" w14:textId="77777777" w:rsidR="00141B56" w:rsidRDefault="00000000">
      <w:r>
        <w:rPr>
          <w:rFonts w:ascii="Arial" w:hAnsi="Arial"/>
          <w:b/>
          <w:sz w:val="20"/>
        </w:rPr>
        <w:t>Table 2: Year-over-Year Intensity Comparison</w:t>
      </w:r>
    </w:p>
    <w:tbl>
      <w:tblPr>
        <w:tblW w:w="0" w:type="auto"/>
        <w:jc w:val="center"/>
        <w:tblLook w:val="04A0" w:firstRow="1" w:lastRow="0" w:firstColumn="1" w:lastColumn="0" w:noHBand="0" w:noVBand="1"/>
      </w:tblPr>
      <w:tblGrid>
        <w:gridCol w:w="1806"/>
        <w:gridCol w:w="1806"/>
        <w:gridCol w:w="1806"/>
        <w:gridCol w:w="1806"/>
        <w:gridCol w:w="1806"/>
      </w:tblGrid>
      <w:tr w:rsidR="00141B56" w14:paraId="761D9311" w14:textId="77777777">
        <w:trPr>
          <w:jc w:val="center"/>
        </w:trPr>
        <w:tc>
          <w:tcPr>
            <w:tcW w:w="1806" w:type="dxa"/>
            <w:shd w:val="clear" w:color="auto" w:fill="1B3A6B"/>
          </w:tcPr>
          <w:p w14:paraId="08843AC1" w14:textId="77777777" w:rsidR="00141B56" w:rsidRDefault="00000000">
            <w:r>
              <w:rPr>
                <w:rFonts w:ascii="Arial" w:hAnsi="Arial"/>
                <w:b/>
                <w:color w:val="FFFFFF"/>
                <w:sz w:val="18"/>
              </w:rPr>
              <w:t>Metric</w:t>
            </w:r>
          </w:p>
        </w:tc>
        <w:tc>
          <w:tcPr>
            <w:tcW w:w="1806" w:type="dxa"/>
            <w:shd w:val="clear" w:color="auto" w:fill="1B3A6B"/>
          </w:tcPr>
          <w:p w14:paraId="53CEC4B2" w14:textId="77777777" w:rsidR="00141B56" w:rsidRDefault="00000000">
            <w:r>
              <w:rPr>
                <w:rFonts w:ascii="Arial" w:hAnsi="Arial"/>
                <w:b/>
                <w:color w:val="FFFFFF"/>
                <w:sz w:val="18"/>
              </w:rPr>
              <w:t>2024</w:t>
            </w:r>
          </w:p>
        </w:tc>
        <w:tc>
          <w:tcPr>
            <w:tcW w:w="1806" w:type="dxa"/>
            <w:shd w:val="clear" w:color="auto" w:fill="1B3A6B"/>
          </w:tcPr>
          <w:p w14:paraId="3E5CBE8D" w14:textId="77777777" w:rsidR="00141B56" w:rsidRDefault="00000000">
            <w:r>
              <w:rPr>
                <w:rFonts w:ascii="Arial" w:hAnsi="Arial"/>
                <w:b/>
                <w:color w:val="FFFFFF"/>
                <w:sz w:val="18"/>
              </w:rPr>
              <w:t>2023</w:t>
            </w:r>
          </w:p>
        </w:tc>
        <w:tc>
          <w:tcPr>
            <w:tcW w:w="1806" w:type="dxa"/>
            <w:shd w:val="clear" w:color="auto" w:fill="1B3A6B"/>
          </w:tcPr>
          <w:p w14:paraId="0706F18E" w14:textId="77777777" w:rsidR="00141B56" w:rsidRDefault="00000000">
            <w:r>
              <w:rPr>
                <w:rFonts w:ascii="Arial" w:hAnsi="Arial"/>
                <w:b/>
                <w:color w:val="FFFFFF"/>
                <w:sz w:val="18"/>
              </w:rPr>
              <w:t>Change (%)</w:t>
            </w:r>
          </w:p>
        </w:tc>
        <w:tc>
          <w:tcPr>
            <w:tcW w:w="1806" w:type="dxa"/>
            <w:shd w:val="clear" w:color="auto" w:fill="1B3A6B"/>
          </w:tcPr>
          <w:p w14:paraId="306D8F42" w14:textId="77777777" w:rsidR="00141B56" w:rsidRDefault="00000000">
            <w:r>
              <w:rPr>
                <w:rFonts w:ascii="Arial" w:hAnsi="Arial"/>
                <w:b/>
                <w:color w:val="FFFFFF"/>
                <w:sz w:val="18"/>
              </w:rPr>
              <w:t>Direction</w:t>
            </w:r>
          </w:p>
        </w:tc>
      </w:tr>
      <w:tr w:rsidR="00141B56" w14:paraId="646AF6B4" w14:textId="77777777">
        <w:trPr>
          <w:jc w:val="center"/>
        </w:trPr>
        <w:tc>
          <w:tcPr>
            <w:tcW w:w="1806" w:type="dxa"/>
          </w:tcPr>
          <w:p w14:paraId="679FE6F0" w14:textId="77777777" w:rsidR="00141B56" w:rsidRDefault="00000000">
            <w:r>
              <w:rPr>
                <w:rFonts w:ascii="Arial" w:hAnsi="Arial"/>
                <w:sz w:val="18"/>
              </w:rPr>
              <w:t>Revenue Intensity (tCO₂e/IDR Bn)</w:t>
            </w:r>
          </w:p>
        </w:tc>
        <w:tc>
          <w:tcPr>
            <w:tcW w:w="1806" w:type="dxa"/>
          </w:tcPr>
          <w:p w14:paraId="7C6B7773" w14:textId="77777777" w:rsidR="00141B56" w:rsidRDefault="00000000">
            <w:pPr>
              <w:jc w:val="right"/>
            </w:pPr>
            <w:r>
              <w:rPr>
                <w:rFonts w:ascii="Arial" w:hAnsi="Arial"/>
                <w:sz w:val="18"/>
              </w:rPr>
              <w:t>239.400139</w:t>
            </w:r>
          </w:p>
        </w:tc>
        <w:tc>
          <w:tcPr>
            <w:tcW w:w="1806" w:type="dxa"/>
          </w:tcPr>
          <w:p w14:paraId="41D2770E" w14:textId="77777777" w:rsidR="00141B56" w:rsidRDefault="00000000">
            <w:pPr>
              <w:jc w:val="right"/>
            </w:pPr>
            <w:r>
              <w:rPr>
                <w:rFonts w:ascii="Arial" w:hAnsi="Arial"/>
                <w:sz w:val="18"/>
              </w:rPr>
              <w:t>270.116632</w:t>
            </w:r>
          </w:p>
        </w:tc>
        <w:tc>
          <w:tcPr>
            <w:tcW w:w="1806" w:type="dxa"/>
          </w:tcPr>
          <w:p w14:paraId="422E2CBA" w14:textId="77777777" w:rsidR="00141B56" w:rsidRDefault="00000000">
            <w:pPr>
              <w:jc w:val="right"/>
            </w:pPr>
            <w:r>
              <w:rPr>
                <w:rFonts w:ascii="Arial" w:hAnsi="Arial"/>
                <w:sz w:val="18"/>
              </w:rPr>
              <w:t>-11.37%</w:t>
            </w:r>
          </w:p>
        </w:tc>
        <w:tc>
          <w:tcPr>
            <w:tcW w:w="1806" w:type="dxa"/>
          </w:tcPr>
          <w:p w14:paraId="0076B0D8" w14:textId="77777777" w:rsidR="00141B56" w:rsidRDefault="00000000">
            <w:r>
              <w:rPr>
                <w:rFonts w:ascii="Arial" w:hAnsi="Arial"/>
                <w:sz w:val="18"/>
              </w:rPr>
              <w:t>↓ Improvement</w:t>
            </w:r>
          </w:p>
        </w:tc>
      </w:tr>
      <w:tr w:rsidR="00141B56" w14:paraId="1E92B8E9" w14:textId="77777777">
        <w:trPr>
          <w:jc w:val="center"/>
        </w:trPr>
        <w:tc>
          <w:tcPr>
            <w:tcW w:w="1806" w:type="dxa"/>
            <w:shd w:val="clear" w:color="auto" w:fill="F2F6FC"/>
          </w:tcPr>
          <w:p w14:paraId="768745FC" w14:textId="77777777" w:rsidR="00141B56" w:rsidRDefault="00000000">
            <w:r>
              <w:rPr>
                <w:rFonts w:ascii="Arial" w:hAnsi="Arial"/>
                <w:sz w:val="18"/>
              </w:rPr>
              <w:t>FTE Intensity (tCO₂e/FTE)</w:t>
            </w:r>
          </w:p>
        </w:tc>
        <w:tc>
          <w:tcPr>
            <w:tcW w:w="1806" w:type="dxa"/>
            <w:shd w:val="clear" w:color="auto" w:fill="F2F6FC"/>
          </w:tcPr>
          <w:p w14:paraId="3E94BDBF" w14:textId="77777777" w:rsidR="00141B56" w:rsidRDefault="00000000">
            <w:pPr>
              <w:jc w:val="right"/>
            </w:pPr>
            <w:r>
              <w:rPr>
                <w:rFonts w:ascii="Arial" w:hAnsi="Arial"/>
                <w:sz w:val="18"/>
              </w:rPr>
              <w:t>1.9209</w:t>
            </w:r>
          </w:p>
        </w:tc>
        <w:tc>
          <w:tcPr>
            <w:tcW w:w="1806" w:type="dxa"/>
            <w:shd w:val="clear" w:color="auto" w:fill="F2F6FC"/>
          </w:tcPr>
          <w:p w14:paraId="6B40231F" w14:textId="77777777" w:rsidR="00141B56" w:rsidRDefault="00000000">
            <w:pPr>
              <w:jc w:val="right"/>
            </w:pPr>
            <w:r>
              <w:rPr>
                <w:rFonts w:ascii="Arial" w:hAnsi="Arial"/>
                <w:sz w:val="18"/>
              </w:rPr>
              <w:t>1.956</w:t>
            </w:r>
          </w:p>
        </w:tc>
        <w:tc>
          <w:tcPr>
            <w:tcW w:w="1806" w:type="dxa"/>
            <w:shd w:val="clear" w:color="auto" w:fill="F2F6FC"/>
          </w:tcPr>
          <w:p w14:paraId="16905B31" w14:textId="77777777" w:rsidR="00141B56" w:rsidRDefault="00000000">
            <w:pPr>
              <w:jc w:val="right"/>
            </w:pPr>
            <w:r>
              <w:rPr>
                <w:rFonts w:ascii="Arial" w:hAnsi="Arial"/>
                <w:sz w:val="18"/>
              </w:rPr>
              <w:t>-1.79%</w:t>
            </w:r>
          </w:p>
        </w:tc>
        <w:tc>
          <w:tcPr>
            <w:tcW w:w="1806" w:type="dxa"/>
            <w:shd w:val="clear" w:color="auto" w:fill="F2F6FC"/>
          </w:tcPr>
          <w:p w14:paraId="3B073540" w14:textId="77777777" w:rsidR="00141B56" w:rsidRDefault="00000000">
            <w:r>
              <w:rPr>
                <w:rFonts w:ascii="Arial" w:hAnsi="Arial"/>
                <w:sz w:val="18"/>
              </w:rPr>
              <w:t>↓ Improvement</w:t>
            </w:r>
          </w:p>
        </w:tc>
      </w:tr>
    </w:tbl>
    <w:p w14:paraId="7DCC8241" w14:textId="77777777" w:rsidR="00141B56" w:rsidRDefault="00000000">
      <w:r>
        <w:rPr>
          <w:rFonts w:ascii="Arial" w:hAnsi="Arial"/>
          <w:i/>
          <w:sz w:val="16"/>
        </w:rPr>
        <w:t>Source: 2023 revenue intensity recalculated using same methodology for comparability.</w:t>
      </w:r>
    </w:p>
    <w:p w14:paraId="29ADFFFC" w14:textId="77777777" w:rsidR="00141B56" w:rsidRDefault="00141B56"/>
    <w:p w14:paraId="13423081" w14:textId="77777777" w:rsidR="00141B56" w:rsidRDefault="00000000">
      <w:r>
        <w:rPr>
          <w:rFonts w:ascii="Arial" w:hAnsi="Arial"/>
          <w:b/>
          <w:sz w:val="20"/>
        </w:rPr>
        <w:t>Table 3: Framework Cross-Reference — Intensity Disclosures</w:t>
      </w:r>
    </w:p>
    <w:tbl>
      <w:tblPr>
        <w:tblW w:w="0" w:type="auto"/>
        <w:jc w:val="center"/>
        <w:tblLook w:val="04A0" w:firstRow="1" w:lastRow="0" w:firstColumn="1" w:lastColumn="0" w:noHBand="0" w:noVBand="1"/>
      </w:tblPr>
      <w:tblGrid>
        <w:gridCol w:w="2257"/>
        <w:gridCol w:w="2257"/>
        <w:gridCol w:w="2257"/>
        <w:gridCol w:w="2257"/>
      </w:tblGrid>
      <w:tr w:rsidR="00141B56" w14:paraId="38DB4662" w14:textId="77777777">
        <w:trPr>
          <w:jc w:val="center"/>
        </w:trPr>
        <w:tc>
          <w:tcPr>
            <w:tcW w:w="2257" w:type="dxa"/>
            <w:shd w:val="clear" w:color="auto" w:fill="1B3A6B"/>
          </w:tcPr>
          <w:p w14:paraId="6D4B830D" w14:textId="77777777" w:rsidR="00141B56" w:rsidRDefault="00000000">
            <w:r>
              <w:rPr>
                <w:rFonts w:ascii="Arial" w:hAnsi="Arial"/>
                <w:b/>
                <w:color w:val="FFFFFF"/>
                <w:sz w:val="18"/>
              </w:rPr>
              <w:t>Framework</w:t>
            </w:r>
          </w:p>
        </w:tc>
        <w:tc>
          <w:tcPr>
            <w:tcW w:w="2257" w:type="dxa"/>
            <w:shd w:val="clear" w:color="auto" w:fill="1B3A6B"/>
          </w:tcPr>
          <w:p w14:paraId="04EF80CA" w14:textId="77777777" w:rsidR="00141B56" w:rsidRDefault="00000000">
            <w:r>
              <w:rPr>
                <w:rFonts w:ascii="Arial" w:hAnsi="Arial"/>
                <w:b/>
                <w:color w:val="FFFFFF"/>
                <w:sz w:val="18"/>
              </w:rPr>
              <w:t>Disclosure Reference</w:t>
            </w:r>
          </w:p>
        </w:tc>
        <w:tc>
          <w:tcPr>
            <w:tcW w:w="2257" w:type="dxa"/>
            <w:shd w:val="clear" w:color="auto" w:fill="1B3A6B"/>
          </w:tcPr>
          <w:p w14:paraId="732C6A9F" w14:textId="77777777" w:rsidR="00141B56" w:rsidRDefault="00000000">
            <w:r>
              <w:rPr>
                <w:rFonts w:ascii="Arial" w:hAnsi="Arial"/>
                <w:b/>
                <w:color w:val="FFFFFF"/>
                <w:sz w:val="18"/>
              </w:rPr>
              <w:t>Requirement</w:t>
            </w:r>
          </w:p>
        </w:tc>
        <w:tc>
          <w:tcPr>
            <w:tcW w:w="2257" w:type="dxa"/>
            <w:shd w:val="clear" w:color="auto" w:fill="1B3A6B"/>
          </w:tcPr>
          <w:p w14:paraId="0A033A2B" w14:textId="77777777" w:rsidR="00141B56" w:rsidRDefault="00000000">
            <w:r>
              <w:rPr>
                <w:rFonts w:ascii="Arial" w:hAnsi="Arial"/>
                <w:b/>
                <w:color w:val="FFFFFF"/>
                <w:sz w:val="18"/>
              </w:rPr>
              <w:t>Status</w:t>
            </w:r>
          </w:p>
        </w:tc>
      </w:tr>
      <w:tr w:rsidR="00141B56" w14:paraId="7A3FA423" w14:textId="77777777">
        <w:trPr>
          <w:jc w:val="center"/>
        </w:trPr>
        <w:tc>
          <w:tcPr>
            <w:tcW w:w="2257" w:type="dxa"/>
          </w:tcPr>
          <w:p w14:paraId="4F27F15F" w14:textId="77777777" w:rsidR="00141B56" w:rsidRDefault="00000000">
            <w:r>
              <w:rPr>
                <w:rFonts w:ascii="Arial" w:hAnsi="Arial"/>
                <w:sz w:val="18"/>
              </w:rPr>
              <w:t>GRI 305-4</w:t>
            </w:r>
          </w:p>
        </w:tc>
        <w:tc>
          <w:tcPr>
            <w:tcW w:w="2257" w:type="dxa"/>
          </w:tcPr>
          <w:p w14:paraId="4A63A633" w14:textId="77777777" w:rsidR="00141B56" w:rsidRDefault="00000000">
            <w:r>
              <w:rPr>
                <w:rFonts w:ascii="Arial" w:hAnsi="Arial"/>
                <w:sz w:val="18"/>
              </w:rPr>
              <w:t>305-4a</w:t>
            </w:r>
          </w:p>
        </w:tc>
        <w:tc>
          <w:tcPr>
            <w:tcW w:w="2257" w:type="dxa"/>
          </w:tcPr>
          <w:p w14:paraId="6BEBC073" w14:textId="77777777" w:rsidR="00141B56" w:rsidRDefault="00000000">
            <w:r>
              <w:rPr>
                <w:rFonts w:ascii="Arial" w:hAnsi="Arial"/>
                <w:sz w:val="18"/>
              </w:rPr>
              <w:t>GHG intensity ratio</w:t>
            </w:r>
          </w:p>
        </w:tc>
        <w:tc>
          <w:tcPr>
            <w:tcW w:w="2257" w:type="dxa"/>
          </w:tcPr>
          <w:p w14:paraId="4E42F862" w14:textId="77777777" w:rsidR="00141B56" w:rsidRDefault="00000000">
            <w:r>
              <w:rPr>
                <w:rFonts w:ascii="Arial" w:hAnsi="Arial"/>
                <w:sz w:val="18"/>
              </w:rPr>
              <w:t>✅ Disclosed</w:t>
            </w:r>
          </w:p>
        </w:tc>
      </w:tr>
      <w:tr w:rsidR="00141B56" w14:paraId="53E4B96A" w14:textId="77777777">
        <w:trPr>
          <w:jc w:val="center"/>
        </w:trPr>
        <w:tc>
          <w:tcPr>
            <w:tcW w:w="2257" w:type="dxa"/>
            <w:shd w:val="clear" w:color="auto" w:fill="F2F6FC"/>
          </w:tcPr>
          <w:p w14:paraId="7688B910" w14:textId="77777777" w:rsidR="00141B56" w:rsidRDefault="00000000">
            <w:r>
              <w:rPr>
                <w:rFonts w:ascii="Arial" w:hAnsi="Arial"/>
                <w:sz w:val="18"/>
              </w:rPr>
              <w:t>GRI 305-4</w:t>
            </w:r>
          </w:p>
        </w:tc>
        <w:tc>
          <w:tcPr>
            <w:tcW w:w="2257" w:type="dxa"/>
            <w:shd w:val="clear" w:color="auto" w:fill="F2F6FC"/>
          </w:tcPr>
          <w:p w14:paraId="76309FCF" w14:textId="77777777" w:rsidR="00141B56" w:rsidRDefault="00000000">
            <w:r>
              <w:rPr>
                <w:rFonts w:ascii="Arial" w:hAnsi="Arial"/>
                <w:sz w:val="18"/>
              </w:rPr>
              <w:t>305-4b</w:t>
            </w:r>
          </w:p>
        </w:tc>
        <w:tc>
          <w:tcPr>
            <w:tcW w:w="2257" w:type="dxa"/>
            <w:shd w:val="clear" w:color="auto" w:fill="F2F6FC"/>
          </w:tcPr>
          <w:p w14:paraId="426FB1EC" w14:textId="77777777" w:rsidR="00141B56" w:rsidRDefault="00000000">
            <w:r>
              <w:rPr>
                <w:rFonts w:ascii="Arial" w:hAnsi="Arial"/>
                <w:sz w:val="18"/>
              </w:rPr>
              <w:t>Organization-specific metric</w:t>
            </w:r>
          </w:p>
        </w:tc>
        <w:tc>
          <w:tcPr>
            <w:tcW w:w="2257" w:type="dxa"/>
            <w:shd w:val="clear" w:color="auto" w:fill="F2F6FC"/>
          </w:tcPr>
          <w:p w14:paraId="52098FF6" w14:textId="77777777" w:rsidR="00141B56" w:rsidRDefault="00000000">
            <w:r>
              <w:rPr>
                <w:rFonts w:ascii="Arial" w:hAnsi="Arial"/>
                <w:sz w:val="18"/>
              </w:rPr>
              <w:t>✅ Disclosed</w:t>
            </w:r>
          </w:p>
        </w:tc>
      </w:tr>
      <w:tr w:rsidR="00141B56" w14:paraId="032C61F5" w14:textId="77777777">
        <w:trPr>
          <w:jc w:val="center"/>
        </w:trPr>
        <w:tc>
          <w:tcPr>
            <w:tcW w:w="2257" w:type="dxa"/>
          </w:tcPr>
          <w:p w14:paraId="08AA0AAD" w14:textId="77777777" w:rsidR="00141B56" w:rsidRDefault="00000000">
            <w:r>
              <w:rPr>
                <w:rFonts w:ascii="Arial" w:hAnsi="Arial"/>
                <w:sz w:val="18"/>
              </w:rPr>
              <w:t>GRI 305-4</w:t>
            </w:r>
          </w:p>
        </w:tc>
        <w:tc>
          <w:tcPr>
            <w:tcW w:w="2257" w:type="dxa"/>
          </w:tcPr>
          <w:p w14:paraId="7E68494A" w14:textId="77777777" w:rsidR="00141B56" w:rsidRDefault="00000000">
            <w:r>
              <w:rPr>
                <w:rFonts w:ascii="Arial" w:hAnsi="Arial"/>
                <w:sz w:val="18"/>
              </w:rPr>
              <w:t>305-4c</w:t>
            </w:r>
          </w:p>
        </w:tc>
        <w:tc>
          <w:tcPr>
            <w:tcW w:w="2257" w:type="dxa"/>
          </w:tcPr>
          <w:p w14:paraId="01D08FCD" w14:textId="77777777" w:rsidR="00141B56" w:rsidRDefault="00000000">
            <w:r>
              <w:rPr>
                <w:rFonts w:ascii="Arial" w:hAnsi="Arial"/>
                <w:sz w:val="18"/>
              </w:rPr>
              <w:t>Types of GHG included in intensity calculation</w:t>
            </w:r>
          </w:p>
        </w:tc>
        <w:tc>
          <w:tcPr>
            <w:tcW w:w="2257" w:type="dxa"/>
          </w:tcPr>
          <w:p w14:paraId="39295EF3" w14:textId="77777777" w:rsidR="00141B56" w:rsidRDefault="00000000">
            <w:r>
              <w:rPr>
                <w:rFonts w:ascii="Arial" w:hAnsi="Arial"/>
                <w:sz w:val="18"/>
              </w:rPr>
              <w:t>✅ Disclosed</w:t>
            </w:r>
          </w:p>
        </w:tc>
      </w:tr>
      <w:tr w:rsidR="00141B56" w14:paraId="0797E091" w14:textId="77777777">
        <w:trPr>
          <w:jc w:val="center"/>
        </w:trPr>
        <w:tc>
          <w:tcPr>
            <w:tcW w:w="2257" w:type="dxa"/>
            <w:shd w:val="clear" w:color="auto" w:fill="F2F6FC"/>
          </w:tcPr>
          <w:p w14:paraId="58B697AB" w14:textId="77777777" w:rsidR="00141B56" w:rsidRDefault="00000000">
            <w:r>
              <w:rPr>
                <w:rFonts w:ascii="Arial" w:hAnsi="Arial"/>
                <w:sz w:val="18"/>
              </w:rPr>
              <w:t>IFRS S2</w:t>
            </w:r>
          </w:p>
        </w:tc>
        <w:tc>
          <w:tcPr>
            <w:tcW w:w="2257" w:type="dxa"/>
            <w:shd w:val="clear" w:color="auto" w:fill="F2F6FC"/>
          </w:tcPr>
          <w:p w14:paraId="6FE566A5" w14:textId="77777777" w:rsidR="00141B56" w:rsidRDefault="00000000">
            <w:r>
              <w:rPr>
                <w:rFonts w:ascii="Arial" w:hAnsi="Arial"/>
                <w:sz w:val="18"/>
              </w:rPr>
              <w:t>Paragraph 29(b)</w:t>
            </w:r>
          </w:p>
        </w:tc>
        <w:tc>
          <w:tcPr>
            <w:tcW w:w="2257" w:type="dxa"/>
            <w:shd w:val="clear" w:color="auto" w:fill="F2F6FC"/>
          </w:tcPr>
          <w:p w14:paraId="4E9FAB85" w14:textId="77777777" w:rsidR="00141B56" w:rsidRDefault="00000000">
            <w:r>
              <w:rPr>
                <w:rFonts w:ascii="Arial" w:hAnsi="Arial"/>
                <w:sz w:val="18"/>
              </w:rPr>
              <w:t>Intensity metrics for cross-industry comparison</w:t>
            </w:r>
          </w:p>
        </w:tc>
        <w:tc>
          <w:tcPr>
            <w:tcW w:w="2257" w:type="dxa"/>
            <w:shd w:val="clear" w:color="auto" w:fill="F2F6FC"/>
          </w:tcPr>
          <w:p w14:paraId="5E83F697" w14:textId="77777777" w:rsidR="00141B56" w:rsidRDefault="00000000">
            <w:r>
              <w:rPr>
                <w:rFonts w:ascii="Arial" w:hAnsi="Arial"/>
                <w:sz w:val="18"/>
              </w:rPr>
              <w:t>✅ Disclosed</w:t>
            </w:r>
          </w:p>
        </w:tc>
      </w:tr>
      <w:tr w:rsidR="00141B56" w14:paraId="14FFBAF9" w14:textId="77777777">
        <w:trPr>
          <w:jc w:val="center"/>
        </w:trPr>
        <w:tc>
          <w:tcPr>
            <w:tcW w:w="2257" w:type="dxa"/>
          </w:tcPr>
          <w:p w14:paraId="688EC8C1" w14:textId="77777777" w:rsidR="00141B56" w:rsidRDefault="00000000">
            <w:r>
              <w:rPr>
                <w:rFonts w:ascii="Arial" w:hAnsi="Arial"/>
                <w:sz w:val="18"/>
              </w:rPr>
              <w:t>ESRS E1</w:t>
            </w:r>
          </w:p>
        </w:tc>
        <w:tc>
          <w:tcPr>
            <w:tcW w:w="2257" w:type="dxa"/>
          </w:tcPr>
          <w:p w14:paraId="48B88927" w14:textId="77777777" w:rsidR="00141B56" w:rsidRDefault="00000000">
            <w:r>
              <w:rPr>
                <w:rFonts w:ascii="Arial" w:hAnsi="Arial"/>
                <w:sz w:val="18"/>
              </w:rPr>
              <w:t>DR E1-6.53</w:t>
            </w:r>
          </w:p>
        </w:tc>
        <w:tc>
          <w:tcPr>
            <w:tcW w:w="2257" w:type="dxa"/>
          </w:tcPr>
          <w:p w14:paraId="6A726C5D" w14:textId="77777777" w:rsidR="00141B56" w:rsidRDefault="00000000">
            <w:r>
              <w:rPr>
                <w:rFonts w:ascii="Arial" w:hAnsi="Arial"/>
                <w:sz w:val="18"/>
              </w:rPr>
              <w:t>GHG intensity per net revenue</w:t>
            </w:r>
          </w:p>
        </w:tc>
        <w:tc>
          <w:tcPr>
            <w:tcW w:w="2257" w:type="dxa"/>
          </w:tcPr>
          <w:p w14:paraId="42B42BC3" w14:textId="77777777" w:rsidR="00141B56" w:rsidRDefault="00000000">
            <w:r>
              <w:rPr>
                <w:rFonts w:ascii="Arial" w:hAnsi="Arial"/>
                <w:sz w:val="18"/>
              </w:rPr>
              <w:t>✅ Disclosed</w:t>
            </w:r>
          </w:p>
        </w:tc>
      </w:tr>
      <w:tr w:rsidR="00141B56" w14:paraId="185BA37E" w14:textId="77777777">
        <w:trPr>
          <w:jc w:val="center"/>
        </w:trPr>
        <w:tc>
          <w:tcPr>
            <w:tcW w:w="2257" w:type="dxa"/>
            <w:shd w:val="clear" w:color="auto" w:fill="F2F6FC"/>
          </w:tcPr>
          <w:p w14:paraId="31B4A1D9" w14:textId="77777777" w:rsidR="00141B56" w:rsidRDefault="00000000">
            <w:r>
              <w:rPr>
                <w:rFonts w:ascii="Arial" w:hAnsi="Arial"/>
                <w:sz w:val="18"/>
              </w:rPr>
              <w:t>OJK PSPK</w:t>
            </w:r>
          </w:p>
        </w:tc>
        <w:tc>
          <w:tcPr>
            <w:tcW w:w="2257" w:type="dxa"/>
            <w:shd w:val="clear" w:color="auto" w:fill="F2F6FC"/>
          </w:tcPr>
          <w:p w14:paraId="79B1CEEE" w14:textId="77777777" w:rsidR="00141B56" w:rsidRDefault="00000000">
            <w:r>
              <w:rPr>
                <w:rFonts w:ascii="Arial" w:hAnsi="Arial"/>
                <w:sz w:val="18"/>
              </w:rPr>
              <w:t>Intensitas Emisi</w:t>
            </w:r>
          </w:p>
        </w:tc>
        <w:tc>
          <w:tcPr>
            <w:tcW w:w="2257" w:type="dxa"/>
            <w:shd w:val="clear" w:color="auto" w:fill="F2F6FC"/>
          </w:tcPr>
          <w:p w14:paraId="355C7D25" w14:textId="77777777" w:rsidR="00141B56" w:rsidRDefault="00000000">
            <w:r>
              <w:rPr>
                <w:rFonts w:ascii="Arial" w:hAnsi="Arial"/>
                <w:sz w:val="18"/>
              </w:rPr>
              <w:t>tCO₂e per pendapatan</w:t>
            </w:r>
          </w:p>
        </w:tc>
        <w:tc>
          <w:tcPr>
            <w:tcW w:w="2257" w:type="dxa"/>
            <w:shd w:val="clear" w:color="auto" w:fill="F2F6FC"/>
          </w:tcPr>
          <w:p w14:paraId="3839B182" w14:textId="77777777" w:rsidR="00141B56" w:rsidRDefault="00000000">
            <w:r>
              <w:rPr>
                <w:rFonts w:ascii="Arial" w:hAnsi="Arial"/>
                <w:sz w:val="18"/>
              </w:rPr>
              <w:t>✅ Disclosed</w:t>
            </w:r>
          </w:p>
        </w:tc>
      </w:tr>
    </w:tbl>
    <w:p w14:paraId="0E9BD565" w14:textId="77777777" w:rsidR="00141B56" w:rsidRDefault="00000000">
      <w:r>
        <w:rPr>
          <w:rFonts w:ascii="Arial" w:hAnsi="Arial"/>
          <w:i/>
          <w:sz w:val="16"/>
        </w:rPr>
        <w:t>Source: All mandatory intensity disclosure requirements met for 2024 reporting period.</w:t>
      </w:r>
    </w:p>
    <w:p w14:paraId="0B563526" w14:textId="77777777" w:rsidR="00141B56" w:rsidRDefault="00141B56"/>
    <w:p w14:paraId="0541A1CA" w14:textId="77777777" w:rsidR="00141B56" w:rsidRDefault="00000000">
      <w:r>
        <w:rPr>
          <w:i/>
          <w:color w:val="3D6094"/>
          <w:sz w:val="18"/>
        </w:rPr>
        <w:t>Framework references: GRI 305-4a — GHG emissions intensity ratio; GRI 305-4b — Organization-specific metrics (revenue and FTE denominators); GRI 305-4c — Types of GHG emissions included in intensity calculation; IFRS S2 Paragraph 29(b) — Intensity metrics expressed per unit of economic output; ESRS E1-6 DR E1-6.53 — GHG intensity based on net revenue; OJK PSPK — Intensitas Emisi GRK per pendapatan</w:t>
      </w:r>
    </w:p>
    <w:p w14:paraId="41E87196" w14:textId="77777777" w:rsidR="00141B56" w:rsidRDefault="00141B56">
      <w:pPr>
        <w:pBdr>
          <w:bottom w:val="single" w:sz="6" w:space="1" w:color="999999"/>
        </w:pBdr>
        <w:spacing w:after="80"/>
      </w:pPr>
    </w:p>
    <w:p w14:paraId="0D5A71F8" w14:textId="77777777" w:rsidR="00141B56" w:rsidRDefault="00000000">
      <w:pPr>
        <w:spacing w:after="160"/>
        <w:jc w:val="both"/>
      </w:pPr>
      <w:r>
        <w:rPr>
          <w:rFonts w:ascii="Arial" w:hAnsi="Arial"/>
          <w:i/>
          <w:color w:val="646464"/>
          <w:sz w:val="18"/>
        </w:rPr>
        <w:t>These figures have not been subject to external assurance for the current reporting period.</w:t>
      </w:r>
    </w:p>
    <w:p w14:paraId="61D2EED7" w14:textId="77777777" w:rsidR="00141B56" w:rsidRDefault="00000000">
      <w:pPr>
        <w:spacing w:after="160"/>
        <w:jc w:val="both"/>
      </w:pPr>
      <w:r>
        <w:rPr>
          <w:rFonts w:ascii="Arial" w:hAnsi="Arial"/>
          <w:i/>
          <w:color w:val="646464"/>
          <w:sz w:val="18"/>
        </w:rPr>
        <w:t>Revenue intensity denominator represents total outstanding loan portfolio across all PCAF-covered sectors (1,541.18 IDR trillion).</w:t>
      </w:r>
    </w:p>
    <w:p w14:paraId="74218D56" w14:textId="77777777" w:rsidR="00141B56" w:rsidRDefault="00000000">
      <w:pPr>
        <w:spacing w:after="160"/>
        <w:jc w:val="both"/>
      </w:pPr>
      <w:r>
        <w:rPr>
          <w:rFonts w:ascii="Arial" w:hAnsi="Arial"/>
          <w:i/>
          <w:color w:val="646464"/>
          <w:sz w:val="18"/>
        </w:rPr>
        <w:t>FTE count (24,997) includes all permanent employees under operational control as of December 31, 2024.</w:t>
      </w:r>
    </w:p>
    <w:p w14:paraId="46381746" w14:textId="77777777" w:rsidR="00141B56" w:rsidRDefault="00000000">
      <w:pPr>
        <w:spacing w:after="160"/>
        <w:jc w:val="both"/>
      </w:pPr>
      <w:r>
        <w:rPr>
          <w:rFonts w:ascii="Arial" w:hAnsi="Arial"/>
          <w:i/>
          <w:color w:val="646464"/>
          <w:sz w:val="18"/>
        </w:rPr>
        <w:t>Scope 3 Category 15 gross emissions (21,976,797.3 tCO₂e) used for revenue intensity to reflect total portfolio carbon footprint before attribution adjustments.</w:t>
      </w:r>
    </w:p>
    <w:p w14:paraId="70E1BC28" w14:textId="77777777" w:rsidR="00141B56" w:rsidRDefault="00000000">
      <w:r>
        <w:br w:type="page"/>
      </w:r>
    </w:p>
    <w:p w14:paraId="1EFC41AB" w14:textId="77777777" w:rsidR="00141B56" w:rsidRDefault="00000000">
      <w:pPr>
        <w:pStyle w:val="Heading1"/>
        <w:spacing w:after="240"/>
      </w:pPr>
      <w:bookmarkStart w:id="9" w:name="_Toc231986304"/>
      <w:r>
        <w:rPr>
          <w:rFonts w:ascii="Arial" w:hAnsi="Arial"/>
          <w:color w:val="1B3A6B"/>
          <w:sz w:val="36"/>
        </w:rPr>
        <w:lastRenderedPageBreak/>
        <w:t>Social Performance</w:t>
      </w:r>
      <w:bookmarkEnd w:id="9"/>
    </w:p>
    <w:p w14:paraId="4E700FC4" w14:textId="77777777" w:rsidR="00141B56" w:rsidRDefault="00000000">
      <w:pPr>
        <w:pStyle w:val="Heading2"/>
        <w:spacing w:before="360" w:after="160"/>
      </w:pPr>
      <w:bookmarkStart w:id="10" w:name="_Toc231986305"/>
      <w:r>
        <w:rPr>
          <w:rFonts w:ascii="Arial" w:hAnsi="Arial"/>
          <w:color w:val="3D6094"/>
          <w:sz w:val="28"/>
        </w:rPr>
        <w:t>2.1 Workforce &amp; Human Capital</w:t>
      </w:r>
      <w:bookmarkEnd w:id="10"/>
    </w:p>
    <w:p w14:paraId="3C19B974" w14:textId="77777777" w:rsidR="00141B56" w:rsidRDefault="00000000">
      <w:pPr>
        <w:spacing w:after="160"/>
        <w:jc w:val="both"/>
      </w:pPr>
      <w:r>
        <w:rPr>
          <w:rFonts w:ascii="Arial" w:hAnsi="Arial"/>
        </w:rPr>
        <w:t>As of December 31, 2024, the institution employed 24,997 full-time equivalent (FTE) employees, representing a 2.03% increase from 24,500 FTE in 2023. The workforce comprised 10,579 female employees (42.32%) and 14,418 male employees (57.68%). This headcount growth reflects the institution's continued operational expansion and strategic hiring initiatives during the reporting period.</w:t>
      </w:r>
    </w:p>
    <w:p w14:paraId="41EC7C85" w14:textId="77777777" w:rsidR="00141B56" w:rsidRDefault="00000000">
      <w:pPr>
        <w:spacing w:after="160"/>
        <w:jc w:val="both"/>
      </w:pPr>
      <w:r>
        <w:rPr>
          <w:rFonts w:ascii="Arial" w:hAnsi="Arial"/>
        </w:rPr>
        <w:t>The institution recorded 2,595 new hires in 2024, yielding a hiring rate of 10.38%, compared to 3,169 new hires (12.93% hiring rate) in 2023. Voluntary turnover decreased significantly to 8.45% in 2024 from 14.24% in 2023, representing a 40.66% year-over-year improvement in retention performance. This reduction in voluntary turnover indicates enhanced employee satisfaction and the effectiveness of retention strategies implemented during the period.</w:t>
      </w:r>
    </w:p>
    <w:p w14:paraId="2871CAF1" w14:textId="77777777" w:rsidR="00141B56" w:rsidRDefault="00000000">
      <w:pPr>
        <w:spacing w:after="160"/>
        <w:jc w:val="both"/>
      </w:pPr>
      <w:r>
        <w:rPr>
          <w:rFonts w:ascii="Arial" w:hAnsi="Arial"/>
        </w:rPr>
        <w:t>The institution invested 49.3 average training hours per FTE in 2024, compared to 64.14 hours in 2023, representing a 23.14% year-over-year decrease. This reduction reflects a strategic shift toward more targeted, efficiency-focused learning interventions rather than volume-based training delivery. The institution continues to prioritize competency development aligned with business transformation objectives and regulatory requirements.</w:t>
      </w:r>
    </w:p>
    <w:p w14:paraId="3083441D" w14:textId="77777777" w:rsidR="00141B56" w:rsidRDefault="00000000">
      <w:pPr>
        <w:spacing w:after="160"/>
        <w:jc w:val="both"/>
      </w:pPr>
      <w:r>
        <w:rPr>
          <w:rFonts w:ascii="Arial" w:hAnsi="Arial"/>
        </w:rPr>
        <w:t>Female representation in the overall workforce decreased to 42.32% in 2024 from 46.2% in 2023, a decline of 3.88 percentage points. Women in management positions represented 26.67% of leadership roles in 2024, compared to 28.45% in 2023, a decrease of 1.78 percentage points. These declines warrant strategic attention to ensure the institution maintains progress toward gender diversity objectives and aligns with sector best practices.</w:t>
      </w:r>
    </w:p>
    <w:p w14:paraId="36D8C7BB" w14:textId="77777777" w:rsidR="00141B56" w:rsidRDefault="00000000">
      <w:pPr>
        <w:spacing w:after="160"/>
        <w:jc w:val="both"/>
      </w:pPr>
      <w:r>
        <w:rPr>
          <w:rFonts w:ascii="Arial" w:hAnsi="Arial"/>
        </w:rPr>
        <w:t>The institution recorded 2 incidents of discrimination during 2024, compared to 3 incidents in 2023. All reported cases were investigated through the institution's established grievance mechanism, with appropriate remedial actions implemented in accordance with internal policies and applicable labor regulations. The institution maintains a zero-tolerance policy toward discrimination and continues to strengthen awareness programs and reporting channels to ensure a respectful and inclusive workplace.</w:t>
      </w:r>
    </w:p>
    <w:p w14:paraId="35731771" w14:textId="77777777" w:rsidR="00141B56" w:rsidRDefault="00000000">
      <w:pPr>
        <w:spacing w:after="160"/>
        <w:jc w:val="both"/>
      </w:pPr>
      <w:r>
        <w:rPr>
          <w:rFonts w:ascii="Arial" w:hAnsi="Arial"/>
          <w:i/>
          <w:color w:val="555555"/>
        </w:rPr>
        <w:t>**Advisory Recommendation 1 — Training Investment Enhancement**: The institution's training hours per FTE (49.3 hours) falls below Indonesian banking sector benchmarks. BRI achieved 62.4 hours per employee in 2023 with comprehensive programs spanning Board of Commissioners to non-staff levels, while OCBC Indonesia delivered 62.6 hours through structured competency-based curricula. DBS Group demonstrated efficiency with 43.1 hours through concise, digitally-enabled modules. The institution should conduct a training needs analysis to identify critical skill gaps, expand e-learning infrastructure for scalable delivery, and establish a minimum threshold of 55 hours per FTE by 2025 to align with peer performance while maintaining cost efficiency.</w:t>
      </w:r>
    </w:p>
    <w:p w14:paraId="1B5720F8" w14:textId="77777777" w:rsidR="00141B56" w:rsidRDefault="00000000">
      <w:pPr>
        <w:spacing w:after="160"/>
        <w:jc w:val="both"/>
      </w:pPr>
      <w:r>
        <w:rPr>
          <w:rFonts w:ascii="Arial" w:hAnsi="Arial"/>
          <w:i/>
          <w:color w:val="555555"/>
        </w:rPr>
        <w:t>**Advisory Recommendation 2 — Gender Diversity Acceleration**: Female representation in management (26.67%) and overall workforce (42.32%) declined year-over-year and remain below sector leaders. BCA achieved 61.6% female representation in management through structured succession planning and mentorship programs, while DBS implemented gender-diverse interview panels and achieved 38% female management representation with near-</w:t>
      </w:r>
      <w:r>
        <w:rPr>
          <w:rFonts w:ascii="Arial" w:hAnsi="Arial"/>
          <w:i/>
          <w:color w:val="555555"/>
        </w:rPr>
        <w:lastRenderedPageBreak/>
        <w:t>equal pay ratios (1:0.99). The institution should establish a Board-approved diversity target of 35% women in management by 2026, implement sponsorship programs for high-potential female talent, conduct annual gender pay equity audits, and integrate diversity metrics into executive performance scorecards to reverse the declining trend and align with best practices.</w:t>
      </w:r>
    </w:p>
    <w:p w14:paraId="7898988A" w14:textId="77777777" w:rsidR="00141B56" w:rsidRDefault="00000000">
      <w:pPr>
        <w:spacing w:after="160"/>
        <w:jc w:val="both"/>
      </w:pPr>
      <w:r>
        <w:rPr>
          <w:rFonts w:ascii="Arial" w:hAnsi="Arial"/>
          <w:i/>
          <w:color w:val="555555"/>
        </w:rPr>
        <w:t>**Advisory Recommendation 3 — Turnover Monitoring and Retention Strategy**: While voluntary turnover improved significantly to 8.45%, the institution should sustain this performance through proactive retention measures. BCA's retention strategy emphasizes competitive remuneration benchmarking, structured career development pathways, and regular employee engagement surveys. The institution should formalize exit interview analytics to identify root causes of departures, benchmark total compensation against market data semi-annually, and expand internal mobility programs to provide career progression opportunities. Maintaining turnover below 9% will support operational continuity and reduce recruitment costs, subject to market conditions and competitive talent dynamics in the Indonesian banking sector.</w:t>
      </w:r>
    </w:p>
    <w:p w14:paraId="1120ED28" w14:textId="77777777" w:rsidR="00141B56" w:rsidRDefault="00000000">
      <w:r>
        <w:rPr>
          <w:rFonts w:ascii="Arial" w:hAnsi="Arial"/>
          <w:b/>
          <w:sz w:val="20"/>
        </w:rPr>
        <w:t>Table 2.1.1: Workforce Composition</w:t>
      </w:r>
    </w:p>
    <w:tbl>
      <w:tblPr>
        <w:tblW w:w="0" w:type="auto"/>
        <w:jc w:val="center"/>
        <w:tblLook w:val="04A0" w:firstRow="1" w:lastRow="0" w:firstColumn="1" w:lastColumn="0" w:noHBand="0" w:noVBand="1"/>
      </w:tblPr>
      <w:tblGrid>
        <w:gridCol w:w="2257"/>
        <w:gridCol w:w="2257"/>
        <w:gridCol w:w="2257"/>
        <w:gridCol w:w="2257"/>
      </w:tblGrid>
      <w:tr w:rsidR="00141B56" w14:paraId="1007D1D9" w14:textId="77777777">
        <w:trPr>
          <w:jc w:val="center"/>
        </w:trPr>
        <w:tc>
          <w:tcPr>
            <w:tcW w:w="2257" w:type="dxa"/>
            <w:shd w:val="clear" w:color="auto" w:fill="1B3A6B"/>
          </w:tcPr>
          <w:p w14:paraId="3736D74C" w14:textId="77777777" w:rsidR="00141B56" w:rsidRDefault="00000000">
            <w:r>
              <w:rPr>
                <w:rFonts w:ascii="Arial" w:hAnsi="Arial"/>
                <w:b/>
                <w:color w:val="FFFFFF"/>
                <w:sz w:val="18"/>
              </w:rPr>
              <w:t>Metric</w:t>
            </w:r>
          </w:p>
        </w:tc>
        <w:tc>
          <w:tcPr>
            <w:tcW w:w="2257" w:type="dxa"/>
            <w:shd w:val="clear" w:color="auto" w:fill="1B3A6B"/>
          </w:tcPr>
          <w:p w14:paraId="4DEE4830" w14:textId="77777777" w:rsidR="00141B56" w:rsidRDefault="00000000">
            <w:r>
              <w:rPr>
                <w:rFonts w:ascii="Arial" w:hAnsi="Arial"/>
                <w:b/>
                <w:color w:val="FFFFFF"/>
                <w:sz w:val="18"/>
              </w:rPr>
              <w:t>2024</w:t>
            </w:r>
          </w:p>
        </w:tc>
        <w:tc>
          <w:tcPr>
            <w:tcW w:w="2257" w:type="dxa"/>
            <w:shd w:val="clear" w:color="auto" w:fill="1B3A6B"/>
          </w:tcPr>
          <w:p w14:paraId="49544183" w14:textId="77777777" w:rsidR="00141B56" w:rsidRDefault="00000000">
            <w:r>
              <w:rPr>
                <w:rFonts w:ascii="Arial" w:hAnsi="Arial"/>
                <w:b/>
                <w:color w:val="FFFFFF"/>
                <w:sz w:val="18"/>
              </w:rPr>
              <w:t>2023</w:t>
            </w:r>
          </w:p>
        </w:tc>
        <w:tc>
          <w:tcPr>
            <w:tcW w:w="2257" w:type="dxa"/>
            <w:shd w:val="clear" w:color="auto" w:fill="1B3A6B"/>
          </w:tcPr>
          <w:p w14:paraId="406223E5" w14:textId="77777777" w:rsidR="00141B56" w:rsidRDefault="00000000">
            <w:r>
              <w:rPr>
                <w:rFonts w:ascii="Arial" w:hAnsi="Arial"/>
                <w:b/>
                <w:color w:val="FFFFFF"/>
                <w:sz w:val="18"/>
              </w:rPr>
              <w:t>Change</w:t>
            </w:r>
          </w:p>
        </w:tc>
      </w:tr>
      <w:tr w:rsidR="00141B56" w14:paraId="11CDA29F" w14:textId="77777777">
        <w:trPr>
          <w:jc w:val="center"/>
        </w:trPr>
        <w:tc>
          <w:tcPr>
            <w:tcW w:w="2257" w:type="dxa"/>
          </w:tcPr>
          <w:p w14:paraId="170A3A84" w14:textId="77777777" w:rsidR="00141B56" w:rsidRDefault="00000000">
            <w:r>
              <w:rPr>
                <w:rFonts w:ascii="Arial" w:hAnsi="Arial"/>
                <w:sz w:val="18"/>
              </w:rPr>
              <w:t>Total FTE</w:t>
            </w:r>
          </w:p>
        </w:tc>
        <w:tc>
          <w:tcPr>
            <w:tcW w:w="2257" w:type="dxa"/>
          </w:tcPr>
          <w:p w14:paraId="7E7394C5" w14:textId="77777777" w:rsidR="00141B56" w:rsidRDefault="00000000">
            <w:pPr>
              <w:jc w:val="right"/>
            </w:pPr>
            <w:r>
              <w:rPr>
                <w:rFonts w:ascii="Arial" w:hAnsi="Arial"/>
                <w:sz w:val="18"/>
              </w:rPr>
              <w:t>24,997</w:t>
            </w:r>
          </w:p>
        </w:tc>
        <w:tc>
          <w:tcPr>
            <w:tcW w:w="2257" w:type="dxa"/>
          </w:tcPr>
          <w:p w14:paraId="331F39F6" w14:textId="77777777" w:rsidR="00141B56" w:rsidRDefault="00000000">
            <w:pPr>
              <w:jc w:val="right"/>
            </w:pPr>
            <w:r>
              <w:rPr>
                <w:rFonts w:ascii="Arial" w:hAnsi="Arial"/>
                <w:sz w:val="18"/>
              </w:rPr>
              <w:t>24,500</w:t>
            </w:r>
          </w:p>
        </w:tc>
        <w:tc>
          <w:tcPr>
            <w:tcW w:w="2257" w:type="dxa"/>
          </w:tcPr>
          <w:p w14:paraId="4FFF5786" w14:textId="77777777" w:rsidR="00141B56" w:rsidRDefault="00000000">
            <w:pPr>
              <w:jc w:val="right"/>
            </w:pPr>
            <w:r>
              <w:rPr>
                <w:rFonts w:ascii="Arial" w:hAnsi="Arial"/>
                <w:sz w:val="18"/>
              </w:rPr>
              <w:t>+2.03%</w:t>
            </w:r>
          </w:p>
        </w:tc>
      </w:tr>
      <w:tr w:rsidR="00141B56" w14:paraId="44D97ECB" w14:textId="77777777">
        <w:trPr>
          <w:jc w:val="center"/>
        </w:trPr>
        <w:tc>
          <w:tcPr>
            <w:tcW w:w="2257" w:type="dxa"/>
            <w:shd w:val="clear" w:color="auto" w:fill="F2F6FC"/>
          </w:tcPr>
          <w:p w14:paraId="18E479AB" w14:textId="77777777" w:rsidR="00141B56" w:rsidRDefault="00000000">
            <w:r>
              <w:rPr>
                <w:rFonts w:ascii="Arial" w:hAnsi="Arial"/>
                <w:sz w:val="18"/>
              </w:rPr>
              <w:t>Female Employees</w:t>
            </w:r>
          </w:p>
        </w:tc>
        <w:tc>
          <w:tcPr>
            <w:tcW w:w="2257" w:type="dxa"/>
            <w:shd w:val="clear" w:color="auto" w:fill="F2F6FC"/>
          </w:tcPr>
          <w:p w14:paraId="101C48AD" w14:textId="77777777" w:rsidR="00141B56" w:rsidRDefault="00000000">
            <w:pPr>
              <w:jc w:val="right"/>
            </w:pPr>
            <w:r>
              <w:rPr>
                <w:rFonts w:ascii="Arial" w:hAnsi="Arial"/>
                <w:sz w:val="18"/>
              </w:rPr>
              <w:t>10,579</w:t>
            </w:r>
          </w:p>
        </w:tc>
        <w:tc>
          <w:tcPr>
            <w:tcW w:w="2257" w:type="dxa"/>
            <w:shd w:val="clear" w:color="auto" w:fill="F2F6FC"/>
          </w:tcPr>
          <w:p w14:paraId="281CC720" w14:textId="77777777" w:rsidR="00141B56" w:rsidRDefault="00000000">
            <w:pPr>
              <w:jc w:val="right"/>
            </w:pPr>
            <w:r>
              <w:rPr>
                <w:rFonts w:ascii="Arial" w:hAnsi="Arial"/>
                <w:sz w:val="18"/>
              </w:rPr>
              <w:t>11,319</w:t>
            </w:r>
          </w:p>
        </w:tc>
        <w:tc>
          <w:tcPr>
            <w:tcW w:w="2257" w:type="dxa"/>
            <w:shd w:val="clear" w:color="auto" w:fill="F2F6FC"/>
          </w:tcPr>
          <w:p w14:paraId="730FEBE4" w14:textId="77777777" w:rsidR="00141B56" w:rsidRDefault="00000000">
            <w:pPr>
              <w:jc w:val="right"/>
            </w:pPr>
            <w:r>
              <w:rPr>
                <w:rFonts w:ascii="Arial" w:hAnsi="Arial"/>
                <w:sz w:val="18"/>
              </w:rPr>
              <w:t>-740</w:t>
            </w:r>
          </w:p>
        </w:tc>
      </w:tr>
      <w:tr w:rsidR="00141B56" w14:paraId="504441D0" w14:textId="77777777">
        <w:trPr>
          <w:jc w:val="center"/>
        </w:trPr>
        <w:tc>
          <w:tcPr>
            <w:tcW w:w="2257" w:type="dxa"/>
          </w:tcPr>
          <w:p w14:paraId="66E1FA0D" w14:textId="77777777" w:rsidR="00141B56" w:rsidRDefault="00000000">
            <w:r>
              <w:rPr>
                <w:rFonts w:ascii="Arial" w:hAnsi="Arial"/>
                <w:sz w:val="18"/>
              </w:rPr>
              <w:t>Male Employees</w:t>
            </w:r>
          </w:p>
        </w:tc>
        <w:tc>
          <w:tcPr>
            <w:tcW w:w="2257" w:type="dxa"/>
          </w:tcPr>
          <w:p w14:paraId="0642A96E" w14:textId="77777777" w:rsidR="00141B56" w:rsidRDefault="00000000">
            <w:pPr>
              <w:jc w:val="right"/>
            </w:pPr>
            <w:r>
              <w:rPr>
                <w:rFonts w:ascii="Arial" w:hAnsi="Arial"/>
                <w:sz w:val="18"/>
              </w:rPr>
              <w:t>14,418</w:t>
            </w:r>
          </w:p>
        </w:tc>
        <w:tc>
          <w:tcPr>
            <w:tcW w:w="2257" w:type="dxa"/>
          </w:tcPr>
          <w:p w14:paraId="466A993B" w14:textId="77777777" w:rsidR="00141B56" w:rsidRDefault="00000000">
            <w:pPr>
              <w:jc w:val="right"/>
            </w:pPr>
            <w:r>
              <w:rPr>
                <w:rFonts w:ascii="Arial" w:hAnsi="Arial"/>
                <w:sz w:val="18"/>
              </w:rPr>
              <w:t>13,181</w:t>
            </w:r>
          </w:p>
        </w:tc>
        <w:tc>
          <w:tcPr>
            <w:tcW w:w="2257" w:type="dxa"/>
          </w:tcPr>
          <w:p w14:paraId="02855616" w14:textId="77777777" w:rsidR="00141B56" w:rsidRDefault="00000000">
            <w:pPr>
              <w:jc w:val="right"/>
            </w:pPr>
            <w:r>
              <w:rPr>
                <w:rFonts w:ascii="Arial" w:hAnsi="Arial"/>
                <w:sz w:val="18"/>
              </w:rPr>
              <w:t>+1,237</w:t>
            </w:r>
          </w:p>
        </w:tc>
      </w:tr>
      <w:tr w:rsidR="00141B56" w14:paraId="64EF33CA" w14:textId="77777777">
        <w:trPr>
          <w:jc w:val="center"/>
        </w:trPr>
        <w:tc>
          <w:tcPr>
            <w:tcW w:w="2257" w:type="dxa"/>
            <w:shd w:val="clear" w:color="auto" w:fill="F2F6FC"/>
          </w:tcPr>
          <w:p w14:paraId="659DAEC4" w14:textId="77777777" w:rsidR="00141B56" w:rsidRDefault="00000000">
            <w:r>
              <w:rPr>
                <w:rFonts w:ascii="Arial" w:hAnsi="Arial"/>
                <w:sz w:val="18"/>
              </w:rPr>
              <w:t>Female Percentage</w:t>
            </w:r>
          </w:p>
        </w:tc>
        <w:tc>
          <w:tcPr>
            <w:tcW w:w="2257" w:type="dxa"/>
            <w:shd w:val="clear" w:color="auto" w:fill="F2F6FC"/>
          </w:tcPr>
          <w:p w14:paraId="6D467CC0" w14:textId="77777777" w:rsidR="00141B56" w:rsidRDefault="00000000">
            <w:pPr>
              <w:jc w:val="right"/>
            </w:pPr>
            <w:r>
              <w:rPr>
                <w:rFonts w:ascii="Arial" w:hAnsi="Arial"/>
                <w:sz w:val="18"/>
              </w:rPr>
              <w:t>42.32%</w:t>
            </w:r>
          </w:p>
        </w:tc>
        <w:tc>
          <w:tcPr>
            <w:tcW w:w="2257" w:type="dxa"/>
            <w:shd w:val="clear" w:color="auto" w:fill="F2F6FC"/>
          </w:tcPr>
          <w:p w14:paraId="442CD300" w14:textId="77777777" w:rsidR="00141B56" w:rsidRDefault="00000000">
            <w:pPr>
              <w:jc w:val="right"/>
            </w:pPr>
            <w:r>
              <w:rPr>
                <w:rFonts w:ascii="Arial" w:hAnsi="Arial"/>
                <w:sz w:val="18"/>
              </w:rPr>
              <w:t>46.2%</w:t>
            </w:r>
          </w:p>
        </w:tc>
        <w:tc>
          <w:tcPr>
            <w:tcW w:w="2257" w:type="dxa"/>
            <w:shd w:val="clear" w:color="auto" w:fill="F2F6FC"/>
          </w:tcPr>
          <w:p w14:paraId="06A78D95" w14:textId="77777777" w:rsidR="00141B56" w:rsidRDefault="00000000">
            <w:r>
              <w:rPr>
                <w:rFonts w:ascii="Arial" w:hAnsi="Arial"/>
                <w:sz w:val="18"/>
              </w:rPr>
              <w:t>-3.88 pp</w:t>
            </w:r>
          </w:p>
        </w:tc>
      </w:tr>
    </w:tbl>
    <w:p w14:paraId="47A2C218" w14:textId="77777777" w:rsidR="00141B56" w:rsidRDefault="00000000">
      <w:r>
        <w:rPr>
          <w:rFonts w:ascii="Arial" w:hAnsi="Arial"/>
          <w:i/>
          <w:sz w:val="16"/>
        </w:rPr>
        <w:t>Source: Source: Institution HR system. FTE = Full-Time Equivalent. pp = percentage points.</w:t>
      </w:r>
    </w:p>
    <w:p w14:paraId="49FCFA45" w14:textId="77777777" w:rsidR="00141B56" w:rsidRDefault="00141B56"/>
    <w:p w14:paraId="091A03F5" w14:textId="77777777" w:rsidR="00141B56" w:rsidRDefault="00000000">
      <w:r>
        <w:rPr>
          <w:rFonts w:ascii="Arial" w:hAnsi="Arial"/>
          <w:b/>
          <w:sz w:val="20"/>
        </w:rPr>
        <w:t>Table 2.1.2: Employment Indicators</w:t>
      </w:r>
    </w:p>
    <w:tbl>
      <w:tblPr>
        <w:tblW w:w="0" w:type="auto"/>
        <w:jc w:val="center"/>
        <w:tblLook w:val="04A0" w:firstRow="1" w:lastRow="0" w:firstColumn="1" w:lastColumn="0" w:noHBand="0" w:noVBand="1"/>
      </w:tblPr>
      <w:tblGrid>
        <w:gridCol w:w="2257"/>
        <w:gridCol w:w="2257"/>
        <w:gridCol w:w="2257"/>
        <w:gridCol w:w="2257"/>
      </w:tblGrid>
      <w:tr w:rsidR="00141B56" w14:paraId="3BDAAE7A" w14:textId="77777777">
        <w:trPr>
          <w:jc w:val="center"/>
        </w:trPr>
        <w:tc>
          <w:tcPr>
            <w:tcW w:w="2257" w:type="dxa"/>
            <w:shd w:val="clear" w:color="auto" w:fill="1B3A6B"/>
          </w:tcPr>
          <w:p w14:paraId="46168E24" w14:textId="77777777" w:rsidR="00141B56" w:rsidRDefault="00000000">
            <w:r>
              <w:rPr>
                <w:rFonts w:ascii="Arial" w:hAnsi="Arial"/>
                <w:b/>
                <w:color w:val="FFFFFF"/>
                <w:sz w:val="18"/>
              </w:rPr>
              <w:t>Metric</w:t>
            </w:r>
          </w:p>
        </w:tc>
        <w:tc>
          <w:tcPr>
            <w:tcW w:w="2257" w:type="dxa"/>
            <w:shd w:val="clear" w:color="auto" w:fill="1B3A6B"/>
          </w:tcPr>
          <w:p w14:paraId="6A57E77F" w14:textId="77777777" w:rsidR="00141B56" w:rsidRDefault="00000000">
            <w:r>
              <w:rPr>
                <w:rFonts w:ascii="Arial" w:hAnsi="Arial"/>
                <w:b/>
                <w:color w:val="FFFFFF"/>
                <w:sz w:val="18"/>
              </w:rPr>
              <w:t>2024</w:t>
            </w:r>
          </w:p>
        </w:tc>
        <w:tc>
          <w:tcPr>
            <w:tcW w:w="2257" w:type="dxa"/>
            <w:shd w:val="clear" w:color="auto" w:fill="1B3A6B"/>
          </w:tcPr>
          <w:p w14:paraId="4958ECF8" w14:textId="77777777" w:rsidR="00141B56" w:rsidRDefault="00000000">
            <w:r>
              <w:rPr>
                <w:rFonts w:ascii="Arial" w:hAnsi="Arial"/>
                <w:b/>
                <w:color w:val="FFFFFF"/>
                <w:sz w:val="18"/>
              </w:rPr>
              <w:t>2023</w:t>
            </w:r>
          </w:p>
        </w:tc>
        <w:tc>
          <w:tcPr>
            <w:tcW w:w="2257" w:type="dxa"/>
            <w:shd w:val="clear" w:color="auto" w:fill="1B3A6B"/>
          </w:tcPr>
          <w:p w14:paraId="7387CD44" w14:textId="77777777" w:rsidR="00141B56" w:rsidRDefault="00000000">
            <w:r>
              <w:rPr>
                <w:rFonts w:ascii="Arial" w:hAnsi="Arial"/>
                <w:b/>
                <w:color w:val="FFFFFF"/>
                <w:sz w:val="18"/>
              </w:rPr>
              <w:t>Change</w:t>
            </w:r>
          </w:p>
        </w:tc>
      </w:tr>
      <w:tr w:rsidR="00141B56" w14:paraId="7F9F9213" w14:textId="77777777">
        <w:trPr>
          <w:jc w:val="center"/>
        </w:trPr>
        <w:tc>
          <w:tcPr>
            <w:tcW w:w="2257" w:type="dxa"/>
          </w:tcPr>
          <w:p w14:paraId="4F645310" w14:textId="77777777" w:rsidR="00141B56" w:rsidRDefault="00000000">
            <w:r>
              <w:rPr>
                <w:rFonts w:ascii="Arial" w:hAnsi="Arial"/>
                <w:sz w:val="18"/>
              </w:rPr>
              <w:t>New Hires</w:t>
            </w:r>
          </w:p>
        </w:tc>
        <w:tc>
          <w:tcPr>
            <w:tcW w:w="2257" w:type="dxa"/>
          </w:tcPr>
          <w:p w14:paraId="56D3775C" w14:textId="77777777" w:rsidR="00141B56" w:rsidRDefault="00000000">
            <w:pPr>
              <w:jc w:val="right"/>
            </w:pPr>
            <w:r>
              <w:rPr>
                <w:rFonts w:ascii="Arial" w:hAnsi="Arial"/>
                <w:sz w:val="18"/>
              </w:rPr>
              <w:t>2,595</w:t>
            </w:r>
          </w:p>
        </w:tc>
        <w:tc>
          <w:tcPr>
            <w:tcW w:w="2257" w:type="dxa"/>
          </w:tcPr>
          <w:p w14:paraId="0996E981" w14:textId="77777777" w:rsidR="00141B56" w:rsidRDefault="00000000">
            <w:pPr>
              <w:jc w:val="right"/>
            </w:pPr>
            <w:r>
              <w:rPr>
                <w:rFonts w:ascii="Arial" w:hAnsi="Arial"/>
                <w:sz w:val="18"/>
              </w:rPr>
              <w:t>3,169</w:t>
            </w:r>
          </w:p>
        </w:tc>
        <w:tc>
          <w:tcPr>
            <w:tcW w:w="2257" w:type="dxa"/>
          </w:tcPr>
          <w:p w14:paraId="7D88AE9C" w14:textId="77777777" w:rsidR="00141B56" w:rsidRDefault="00000000">
            <w:pPr>
              <w:jc w:val="right"/>
            </w:pPr>
            <w:r>
              <w:rPr>
                <w:rFonts w:ascii="Arial" w:hAnsi="Arial"/>
                <w:sz w:val="18"/>
              </w:rPr>
              <w:t>-18.11%</w:t>
            </w:r>
          </w:p>
        </w:tc>
      </w:tr>
      <w:tr w:rsidR="00141B56" w14:paraId="13839004" w14:textId="77777777">
        <w:trPr>
          <w:jc w:val="center"/>
        </w:trPr>
        <w:tc>
          <w:tcPr>
            <w:tcW w:w="2257" w:type="dxa"/>
            <w:shd w:val="clear" w:color="auto" w:fill="F2F6FC"/>
          </w:tcPr>
          <w:p w14:paraId="27B3E967" w14:textId="77777777" w:rsidR="00141B56" w:rsidRDefault="00000000">
            <w:r>
              <w:rPr>
                <w:rFonts w:ascii="Arial" w:hAnsi="Arial"/>
                <w:sz w:val="18"/>
              </w:rPr>
              <w:t>Hiring Rate</w:t>
            </w:r>
          </w:p>
        </w:tc>
        <w:tc>
          <w:tcPr>
            <w:tcW w:w="2257" w:type="dxa"/>
            <w:shd w:val="clear" w:color="auto" w:fill="F2F6FC"/>
          </w:tcPr>
          <w:p w14:paraId="3C0DC9B1" w14:textId="77777777" w:rsidR="00141B56" w:rsidRDefault="00000000">
            <w:pPr>
              <w:jc w:val="right"/>
            </w:pPr>
            <w:r>
              <w:rPr>
                <w:rFonts w:ascii="Arial" w:hAnsi="Arial"/>
                <w:sz w:val="18"/>
              </w:rPr>
              <w:t>10.38%</w:t>
            </w:r>
          </w:p>
        </w:tc>
        <w:tc>
          <w:tcPr>
            <w:tcW w:w="2257" w:type="dxa"/>
            <w:shd w:val="clear" w:color="auto" w:fill="F2F6FC"/>
          </w:tcPr>
          <w:p w14:paraId="77FF6AC2" w14:textId="77777777" w:rsidR="00141B56" w:rsidRDefault="00000000">
            <w:pPr>
              <w:jc w:val="right"/>
            </w:pPr>
            <w:r>
              <w:rPr>
                <w:rFonts w:ascii="Arial" w:hAnsi="Arial"/>
                <w:sz w:val="18"/>
              </w:rPr>
              <w:t>12.93%</w:t>
            </w:r>
          </w:p>
        </w:tc>
        <w:tc>
          <w:tcPr>
            <w:tcW w:w="2257" w:type="dxa"/>
            <w:shd w:val="clear" w:color="auto" w:fill="F2F6FC"/>
          </w:tcPr>
          <w:p w14:paraId="1CAF7E0E" w14:textId="77777777" w:rsidR="00141B56" w:rsidRDefault="00000000">
            <w:r>
              <w:rPr>
                <w:rFonts w:ascii="Arial" w:hAnsi="Arial"/>
                <w:sz w:val="18"/>
              </w:rPr>
              <w:t>-2.55 pp</w:t>
            </w:r>
          </w:p>
        </w:tc>
      </w:tr>
      <w:tr w:rsidR="00141B56" w14:paraId="1E178180" w14:textId="77777777">
        <w:trPr>
          <w:jc w:val="center"/>
        </w:trPr>
        <w:tc>
          <w:tcPr>
            <w:tcW w:w="2257" w:type="dxa"/>
          </w:tcPr>
          <w:p w14:paraId="3938B462" w14:textId="77777777" w:rsidR="00141B56" w:rsidRDefault="00000000">
            <w:r>
              <w:rPr>
                <w:rFonts w:ascii="Arial" w:hAnsi="Arial"/>
                <w:sz w:val="18"/>
              </w:rPr>
              <w:t>Voluntary Turnover Rate</w:t>
            </w:r>
          </w:p>
        </w:tc>
        <w:tc>
          <w:tcPr>
            <w:tcW w:w="2257" w:type="dxa"/>
          </w:tcPr>
          <w:p w14:paraId="4F6CDFA7" w14:textId="77777777" w:rsidR="00141B56" w:rsidRDefault="00000000">
            <w:pPr>
              <w:jc w:val="right"/>
            </w:pPr>
            <w:r>
              <w:rPr>
                <w:rFonts w:ascii="Arial" w:hAnsi="Arial"/>
                <w:sz w:val="18"/>
              </w:rPr>
              <w:t>8.45%</w:t>
            </w:r>
          </w:p>
        </w:tc>
        <w:tc>
          <w:tcPr>
            <w:tcW w:w="2257" w:type="dxa"/>
          </w:tcPr>
          <w:p w14:paraId="1ECCF185" w14:textId="77777777" w:rsidR="00141B56" w:rsidRDefault="00000000">
            <w:pPr>
              <w:jc w:val="right"/>
            </w:pPr>
            <w:r>
              <w:rPr>
                <w:rFonts w:ascii="Arial" w:hAnsi="Arial"/>
                <w:sz w:val="18"/>
              </w:rPr>
              <w:t>14.24%</w:t>
            </w:r>
          </w:p>
        </w:tc>
        <w:tc>
          <w:tcPr>
            <w:tcW w:w="2257" w:type="dxa"/>
          </w:tcPr>
          <w:p w14:paraId="375A4BB7" w14:textId="77777777" w:rsidR="00141B56" w:rsidRDefault="00000000">
            <w:pPr>
              <w:jc w:val="right"/>
            </w:pPr>
            <w:r>
              <w:rPr>
                <w:rFonts w:ascii="Arial" w:hAnsi="Arial"/>
                <w:sz w:val="18"/>
              </w:rPr>
              <w:t>-40.66%</w:t>
            </w:r>
          </w:p>
        </w:tc>
      </w:tr>
    </w:tbl>
    <w:p w14:paraId="06CFD30F" w14:textId="77777777" w:rsidR="00141B56" w:rsidRDefault="00000000">
      <w:r>
        <w:rPr>
          <w:rFonts w:ascii="Arial" w:hAnsi="Arial"/>
          <w:i/>
          <w:sz w:val="16"/>
        </w:rPr>
        <w:t>Source: Source: Institution HR system. Hiring rate = (new hires / average headcount) × 100.</w:t>
      </w:r>
    </w:p>
    <w:p w14:paraId="6DE0ABD5" w14:textId="77777777" w:rsidR="00141B56" w:rsidRDefault="00141B56"/>
    <w:p w14:paraId="5F2CEBDC" w14:textId="77777777" w:rsidR="00141B56" w:rsidRDefault="00000000">
      <w:r>
        <w:rPr>
          <w:rFonts w:ascii="Arial" w:hAnsi="Arial"/>
          <w:b/>
          <w:sz w:val="20"/>
        </w:rPr>
        <w:t>Table 2.1.3: Training Metrics</w:t>
      </w:r>
    </w:p>
    <w:tbl>
      <w:tblPr>
        <w:tblW w:w="0" w:type="auto"/>
        <w:jc w:val="center"/>
        <w:tblLook w:val="04A0" w:firstRow="1" w:lastRow="0" w:firstColumn="1" w:lastColumn="0" w:noHBand="0" w:noVBand="1"/>
      </w:tblPr>
      <w:tblGrid>
        <w:gridCol w:w="2257"/>
        <w:gridCol w:w="2257"/>
        <w:gridCol w:w="2257"/>
        <w:gridCol w:w="2257"/>
      </w:tblGrid>
      <w:tr w:rsidR="00141B56" w14:paraId="26F3F3AE" w14:textId="77777777">
        <w:trPr>
          <w:jc w:val="center"/>
        </w:trPr>
        <w:tc>
          <w:tcPr>
            <w:tcW w:w="2257" w:type="dxa"/>
            <w:shd w:val="clear" w:color="auto" w:fill="1B3A6B"/>
          </w:tcPr>
          <w:p w14:paraId="59613CE6" w14:textId="77777777" w:rsidR="00141B56" w:rsidRDefault="00000000">
            <w:r>
              <w:rPr>
                <w:rFonts w:ascii="Arial" w:hAnsi="Arial"/>
                <w:b/>
                <w:color w:val="FFFFFF"/>
                <w:sz w:val="18"/>
              </w:rPr>
              <w:t>Metric</w:t>
            </w:r>
          </w:p>
        </w:tc>
        <w:tc>
          <w:tcPr>
            <w:tcW w:w="2257" w:type="dxa"/>
            <w:shd w:val="clear" w:color="auto" w:fill="1B3A6B"/>
          </w:tcPr>
          <w:p w14:paraId="026A2591" w14:textId="77777777" w:rsidR="00141B56" w:rsidRDefault="00000000">
            <w:r>
              <w:rPr>
                <w:rFonts w:ascii="Arial" w:hAnsi="Arial"/>
                <w:b/>
                <w:color w:val="FFFFFF"/>
                <w:sz w:val="18"/>
              </w:rPr>
              <w:t>2024</w:t>
            </w:r>
          </w:p>
        </w:tc>
        <w:tc>
          <w:tcPr>
            <w:tcW w:w="2257" w:type="dxa"/>
            <w:shd w:val="clear" w:color="auto" w:fill="1B3A6B"/>
          </w:tcPr>
          <w:p w14:paraId="3D2FCF44" w14:textId="77777777" w:rsidR="00141B56" w:rsidRDefault="00000000">
            <w:r>
              <w:rPr>
                <w:rFonts w:ascii="Arial" w:hAnsi="Arial"/>
                <w:b/>
                <w:color w:val="FFFFFF"/>
                <w:sz w:val="18"/>
              </w:rPr>
              <w:t>2023</w:t>
            </w:r>
          </w:p>
        </w:tc>
        <w:tc>
          <w:tcPr>
            <w:tcW w:w="2257" w:type="dxa"/>
            <w:shd w:val="clear" w:color="auto" w:fill="1B3A6B"/>
          </w:tcPr>
          <w:p w14:paraId="6E2F4842" w14:textId="77777777" w:rsidR="00141B56" w:rsidRDefault="00000000">
            <w:r>
              <w:rPr>
                <w:rFonts w:ascii="Arial" w:hAnsi="Arial"/>
                <w:b/>
                <w:color w:val="FFFFFF"/>
                <w:sz w:val="18"/>
              </w:rPr>
              <w:t>Change</w:t>
            </w:r>
          </w:p>
        </w:tc>
      </w:tr>
      <w:tr w:rsidR="00141B56" w14:paraId="7D6E60F6" w14:textId="77777777">
        <w:trPr>
          <w:jc w:val="center"/>
        </w:trPr>
        <w:tc>
          <w:tcPr>
            <w:tcW w:w="2257" w:type="dxa"/>
          </w:tcPr>
          <w:p w14:paraId="77D81CAB" w14:textId="77777777" w:rsidR="00141B56" w:rsidRDefault="00000000">
            <w:r>
              <w:rPr>
                <w:rFonts w:ascii="Arial" w:hAnsi="Arial"/>
                <w:sz w:val="18"/>
              </w:rPr>
              <w:t>Average Training Hours per FTE</w:t>
            </w:r>
          </w:p>
        </w:tc>
        <w:tc>
          <w:tcPr>
            <w:tcW w:w="2257" w:type="dxa"/>
          </w:tcPr>
          <w:p w14:paraId="38D0D0BF" w14:textId="77777777" w:rsidR="00141B56" w:rsidRDefault="00000000">
            <w:pPr>
              <w:jc w:val="right"/>
            </w:pPr>
            <w:r>
              <w:rPr>
                <w:rFonts w:ascii="Arial" w:hAnsi="Arial"/>
                <w:sz w:val="18"/>
              </w:rPr>
              <w:t>49.3</w:t>
            </w:r>
          </w:p>
        </w:tc>
        <w:tc>
          <w:tcPr>
            <w:tcW w:w="2257" w:type="dxa"/>
          </w:tcPr>
          <w:p w14:paraId="3DE4F658" w14:textId="77777777" w:rsidR="00141B56" w:rsidRDefault="00000000">
            <w:pPr>
              <w:jc w:val="right"/>
            </w:pPr>
            <w:r>
              <w:rPr>
                <w:rFonts w:ascii="Arial" w:hAnsi="Arial"/>
                <w:sz w:val="18"/>
              </w:rPr>
              <w:t>64.14</w:t>
            </w:r>
          </w:p>
        </w:tc>
        <w:tc>
          <w:tcPr>
            <w:tcW w:w="2257" w:type="dxa"/>
          </w:tcPr>
          <w:p w14:paraId="13CB6856" w14:textId="77777777" w:rsidR="00141B56" w:rsidRDefault="00000000">
            <w:pPr>
              <w:jc w:val="right"/>
            </w:pPr>
            <w:r>
              <w:rPr>
                <w:rFonts w:ascii="Arial" w:hAnsi="Arial"/>
                <w:sz w:val="18"/>
              </w:rPr>
              <w:t>-23.14%</w:t>
            </w:r>
          </w:p>
        </w:tc>
      </w:tr>
    </w:tbl>
    <w:p w14:paraId="0E8AC6A4" w14:textId="77777777" w:rsidR="00141B56" w:rsidRDefault="00000000">
      <w:r>
        <w:rPr>
          <w:rFonts w:ascii="Arial" w:hAnsi="Arial"/>
          <w:i/>
          <w:sz w:val="16"/>
        </w:rPr>
        <w:t>Source: Source: Institution Learning Management System. Includes classroom, e-learning, and on-the-job training.</w:t>
      </w:r>
    </w:p>
    <w:p w14:paraId="7CF32C0F" w14:textId="77777777" w:rsidR="00141B56" w:rsidRDefault="00141B56"/>
    <w:p w14:paraId="17EE3B48" w14:textId="77777777" w:rsidR="00141B56" w:rsidRDefault="00000000">
      <w:r>
        <w:rPr>
          <w:rFonts w:ascii="Arial" w:hAnsi="Arial"/>
          <w:b/>
          <w:sz w:val="20"/>
        </w:rPr>
        <w:lastRenderedPageBreak/>
        <w:t>Table 2.1.4: Diversity Indicators</w:t>
      </w:r>
    </w:p>
    <w:tbl>
      <w:tblPr>
        <w:tblW w:w="0" w:type="auto"/>
        <w:jc w:val="center"/>
        <w:tblLook w:val="04A0" w:firstRow="1" w:lastRow="0" w:firstColumn="1" w:lastColumn="0" w:noHBand="0" w:noVBand="1"/>
      </w:tblPr>
      <w:tblGrid>
        <w:gridCol w:w="2257"/>
        <w:gridCol w:w="2257"/>
        <w:gridCol w:w="2257"/>
        <w:gridCol w:w="2257"/>
      </w:tblGrid>
      <w:tr w:rsidR="00141B56" w14:paraId="0E7C32D2" w14:textId="77777777">
        <w:trPr>
          <w:jc w:val="center"/>
        </w:trPr>
        <w:tc>
          <w:tcPr>
            <w:tcW w:w="2257" w:type="dxa"/>
            <w:shd w:val="clear" w:color="auto" w:fill="1B3A6B"/>
          </w:tcPr>
          <w:p w14:paraId="2964E823" w14:textId="77777777" w:rsidR="00141B56" w:rsidRDefault="00000000">
            <w:r>
              <w:rPr>
                <w:rFonts w:ascii="Arial" w:hAnsi="Arial"/>
                <w:b/>
                <w:color w:val="FFFFFF"/>
                <w:sz w:val="18"/>
              </w:rPr>
              <w:t>Metric</w:t>
            </w:r>
          </w:p>
        </w:tc>
        <w:tc>
          <w:tcPr>
            <w:tcW w:w="2257" w:type="dxa"/>
            <w:shd w:val="clear" w:color="auto" w:fill="1B3A6B"/>
          </w:tcPr>
          <w:p w14:paraId="1F2A5C49" w14:textId="77777777" w:rsidR="00141B56" w:rsidRDefault="00000000">
            <w:r>
              <w:rPr>
                <w:rFonts w:ascii="Arial" w:hAnsi="Arial"/>
                <w:b/>
                <w:color w:val="FFFFFF"/>
                <w:sz w:val="18"/>
              </w:rPr>
              <w:t>2024</w:t>
            </w:r>
          </w:p>
        </w:tc>
        <w:tc>
          <w:tcPr>
            <w:tcW w:w="2257" w:type="dxa"/>
            <w:shd w:val="clear" w:color="auto" w:fill="1B3A6B"/>
          </w:tcPr>
          <w:p w14:paraId="372320A1" w14:textId="77777777" w:rsidR="00141B56" w:rsidRDefault="00000000">
            <w:r>
              <w:rPr>
                <w:rFonts w:ascii="Arial" w:hAnsi="Arial"/>
                <w:b/>
                <w:color w:val="FFFFFF"/>
                <w:sz w:val="18"/>
              </w:rPr>
              <w:t>2023</w:t>
            </w:r>
          </w:p>
        </w:tc>
        <w:tc>
          <w:tcPr>
            <w:tcW w:w="2257" w:type="dxa"/>
            <w:shd w:val="clear" w:color="auto" w:fill="1B3A6B"/>
          </w:tcPr>
          <w:p w14:paraId="59A79E99" w14:textId="77777777" w:rsidR="00141B56" w:rsidRDefault="00000000">
            <w:r>
              <w:rPr>
                <w:rFonts w:ascii="Arial" w:hAnsi="Arial"/>
                <w:b/>
                <w:color w:val="FFFFFF"/>
                <w:sz w:val="18"/>
              </w:rPr>
              <w:t>Change</w:t>
            </w:r>
          </w:p>
        </w:tc>
      </w:tr>
      <w:tr w:rsidR="00141B56" w14:paraId="1FD82341" w14:textId="77777777">
        <w:trPr>
          <w:jc w:val="center"/>
        </w:trPr>
        <w:tc>
          <w:tcPr>
            <w:tcW w:w="2257" w:type="dxa"/>
          </w:tcPr>
          <w:p w14:paraId="4DB65098" w14:textId="77777777" w:rsidR="00141B56" w:rsidRDefault="00000000">
            <w:r>
              <w:rPr>
                <w:rFonts w:ascii="Arial" w:hAnsi="Arial"/>
                <w:sz w:val="18"/>
              </w:rPr>
              <w:t>Female Representation (Overall)</w:t>
            </w:r>
          </w:p>
        </w:tc>
        <w:tc>
          <w:tcPr>
            <w:tcW w:w="2257" w:type="dxa"/>
          </w:tcPr>
          <w:p w14:paraId="663EBACC" w14:textId="77777777" w:rsidR="00141B56" w:rsidRDefault="00000000">
            <w:pPr>
              <w:jc w:val="right"/>
            </w:pPr>
            <w:r>
              <w:rPr>
                <w:rFonts w:ascii="Arial" w:hAnsi="Arial"/>
                <w:sz w:val="18"/>
              </w:rPr>
              <w:t>42.32%</w:t>
            </w:r>
          </w:p>
        </w:tc>
        <w:tc>
          <w:tcPr>
            <w:tcW w:w="2257" w:type="dxa"/>
          </w:tcPr>
          <w:p w14:paraId="0F910D50" w14:textId="77777777" w:rsidR="00141B56" w:rsidRDefault="00000000">
            <w:pPr>
              <w:jc w:val="right"/>
            </w:pPr>
            <w:r>
              <w:rPr>
                <w:rFonts w:ascii="Arial" w:hAnsi="Arial"/>
                <w:sz w:val="18"/>
              </w:rPr>
              <w:t>46.2%</w:t>
            </w:r>
          </w:p>
        </w:tc>
        <w:tc>
          <w:tcPr>
            <w:tcW w:w="2257" w:type="dxa"/>
          </w:tcPr>
          <w:p w14:paraId="4AB86A70" w14:textId="77777777" w:rsidR="00141B56" w:rsidRDefault="00000000">
            <w:r>
              <w:rPr>
                <w:rFonts w:ascii="Arial" w:hAnsi="Arial"/>
                <w:sz w:val="18"/>
              </w:rPr>
              <w:t>-3.88 pp</w:t>
            </w:r>
          </w:p>
        </w:tc>
      </w:tr>
      <w:tr w:rsidR="00141B56" w14:paraId="5F435872" w14:textId="77777777">
        <w:trPr>
          <w:jc w:val="center"/>
        </w:trPr>
        <w:tc>
          <w:tcPr>
            <w:tcW w:w="2257" w:type="dxa"/>
            <w:shd w:val="clear" w:color="auto" w:fill="F2F6FC"/>
          </w:tcPr>
          <w:p w14:paraId="41CD42EA" w14:textId="77777777" w:rsidR="00141B56" w:rsidRDefault="00000000">
            <w:r>
              <w:rPr>
                <w:rFonts w:ascii="Arial" w:hAnsi="Arial"/>
                <w:sz w:val="18"/>
              </w:rPr>
              <w:t>Women in Management</w:t>
            </w:r>
          </w:p>
        </w:tc>
        <w:tc>
          <w:tcPr>
            <w:tcW w:w="2257" w:type="dxa"/>
            <w:shd w:val="clear" w:color="auto" w:fill="F2F6FC"/>
          </w:tcPr>
          <w:p w14:paraId="7A8CDDBA" w14:textId="77777777" w:rsidR="00141B56" w:rsidRDefault="00000000">
            <w:pPr>
              <w:jc w:val="right"/>
            </w:pPr>
            <w:r>
              <w:rPr>
                <w:rFonts w:ascii="Arial" w:hAnsi="Arial"/>
                <w:sz w:val="18"/>
              </w:rPr>
              <w:t>26.67%</w:t>
            </w:r>
          </w:p>
        </w:tc>
        <w:tc>
          <w:tcPr>
            <w:tcW w:w="2257" w:type="dxa"/>
            <w:shd w:val="clear" w:color="auto" w:fill="F2F6FC"/>
          </w:tcPr>
          <w:p w14:paraId="092316CB" w14:textId="77777777" w:rsidR="00141B56" w:rsidRDefault="00000000">
            <w:pPr>
              <w:jc w:val="right"/>
            </w:pPr>
            <w:r>
              <w:rPr>
                <w:rFonts w:ascii="Arial" w:hAnsi="Arial"/>
                <w:sz w:val="18"/>
              </w:rPr>
              <w:t>28.45%</w:t>
            </w:r>
          </w:p>
        </w:tc>
        <w:tc>
          <w:tcPr>
            <w:tcW w:w="2257" w:type="dxa"/>
            <w:shd w:val="clear" w:color="auto" w:fill="F2F6FC"/>
          </w:tcPr>
          <w:p w14:paraId="222E24B8" w14:textId="77777777" w:rsidR="00141B56" w:rsidRDefault="00000000">
            <w:r>
              <w:rPr>
                <w:rFonts w:ascii="Arial" w:hAnsi="Arial"/>
                <w:sz w:val="18"/>
              </w:rPr>
              <w:t>-1.78 pp</w:t>
            </w:r>
          </w:p>
        </w:tc>
      </w:tr>
    </w:tbl>
    <w:p w14:paraId="35A4F0B2" w14:textId="77777777" w:rsidR="00141B56" w:rsidRDefault="00000000">
      <w:r>
        <w:rPr>
          <w:rFonts w:ascii="Arial" w:hAnsi="Arial"/>
          <w:i/>
          <w:sz w:val="16"/>
        </w:rPr>
        <w:t>Source: Source: Institution HR system. Management defined as positions at Assistant Vice President level and above.</w:t>
      </w:r>
    </w:p>
    <w:p w14:paraId="13B2A9FE" w14:textId="77777777" w:rsidR="00141B56" w:rsidRDefault="00141B56"/>
    <w:p w14:paraId="48303A22" w14:textId="77777777" w:rsidR="00141B56" w:rsidRDefault="00000000">
      <w:r>
        <w:rPr>
          <w:rFonts w:ascii="Arial" w:hAnsi="Arial"/>
          <w:b/>
          <w:sz w:val="20"/>
        </w:rPr>
        <w:t>Table 2.1.5: Non-Discrimination Incidents</w:t>
      </w:r>
    </w:p>
    <w:tbl>
      <w:tblPr>
        <w:tblW w:w="0" w:type="auto"/>
        <w:jc w:val="center"/>
        <w:tblLook w:val="04A0" w:firstRow="1" w:lastRow="0" w:firstColumn="1" w:lastColumn="0" w:noHBand="0" w:noVBand="1"/>
      </w:tblPr>
      <w:tblGrid>
        <w:gridCol w:w="3010"/>
        <w:gridCol w:w="3010"/>
        <w:gridCol w:w="3010"/>
      </w:tblGrid>
      <w:tr w:rsidR="00141B56" w14:paraId="69D0E0EC" w14:textId="77777777">
        <w:trPr>
          <w:jc w:val="center"/>
        </w:trPr>
        <w:tc>
          <w:tcPr>
            <w:tcW w:w="3010" w:type="dxa"/>
            <w:shd w:val="clear" w:color="auto" w:fill="1B3A6B"/>
          </w:tcPr>
          <w:p w14:paraId="7D33016A" w14:textId="77777777" w:rsidR="00141B56" w:rsidRDefault="00000000">
            <w:r>
              <w:rPr>
                <w:rFonts w:ascii="Arial" w:hAnsi="Arial"/>
                <w:b/>
                <w:color w:val="FFFFFF"/>
                <w:sz w:val="18"/>
              </w:rPr>
              <w:t>Metric</w:t>
            </w:r>
          </w:p>
        </w:tc>
        <w:tc>
          <w:tcPr>
            <w:tcW w:w="3010" w:type="dxa"/>
            <w:shd w:val="clear" w:color="auto" w:fill="1B3A6B"/>
          </w:tcPr>
          <w:p w14:paraId="28CA4242" w14:textId="77777777" w:rsidR="00141B56" w:rsidRDefault="00000000">
            <w:r>
              <w:rPr>
                <w:rFonts w:ascii="Arial" w:hAnsi="Arial"/>
                <w:b/>
                <w:color w:val="FFFFFF"/>
                <w:sz w:val="18"/>
              </w:rPr>
              <w:t>2024</w:t>
            </w:r>
          </w:p>
        </w:tc>
        <w:tc>
          <w:tcPr>
            <w:tcW w:w="3010" w:type="dxa"/>
            <w:shd w:val="clear" w:color="auto" w:fill="1B3A6B"/>
          </w:tcPr>
          <w:p w14:paraId="725CB677" w14:textId="77777777" w:rsidR="00141B56" w:rsidRDefault="00000000">
            <w:r>
              <w:rPr>
                <w:rFonts w:ascii="Arial" w:hAnsi="Arial"/>
                <w:b/>
                <w:color w:val="FFFFFF"/>
                <w:sz w:val="18"/>
              </w:rPr>
              <w:t>2023</w:t>
            </w:r>
          </w:p>
        </w:tc>
      </w:tr>
      <w:tr w:rsidR="00141B56" w14:paraId="3E0CE92D" w14:textId="77777777">
        <w:trPr>
          <w:jc w:val="center"/>
        </w:trPr>
        <w:tc>
          <w:tcPr>
            <w:tcW w:w="3010" w:type="dxa"/>
          </w:tcPr>
          <w:p w14:paraId="0D51BAF1" w14:textId="77777777" w:rsidR="00141B56" w:rsidRDefault="00000000">
            <w:r>
              <w:rPr>
                <w:rFonts w:ascii="Arial" w:hAnsi="Arial"/>
                <w:sz w:val="18"/>
              </w:rPr>
              <w:t>Discrimination Cases Reported</w:t>
            </w:r>
          </w:p>
        </w:tc>
        <w:tc>
          <w:tcPr>
            <w:tcW w:w="3010" w:type="dxa"/>
          </w:tcPr>
          <w:p w14:paraId="137D7709" w14:textId="77777777" w:rsidR="00141B56" w:rsidRDefault="00000000">
            <w:pPr>
              <w:jc w:val="right"/>
            </w:pPr>
            <w:r>
              <w:rPr>
                <w:rFonts w:ascii="Arial" w:hAnsi="Arial"/>
                <w:sz w:val="18"/>
              </w:rPr>
              <w:t>2</w:t>
            </w:r>
          </w:p>
        </w:tc>
        <w:tc>
          <w:tcPr>
            <w:tcW w:w="3010" w:type="dxa"/>
          </w:tcPr>
          <w:p w14:paraId="4F4C52AF" w14:textId="77777777" w:rsidR="00141B56" w:rsidRDefault="00000000">
            <w:pPr>
              <w:jc w:val="right"/>
            </w:pPr>
            <w:r>
              <w:rPr>
                <w:rFonts w:ascii="Arial" w:hAnsi="Arial"/>
                <w:sz w:val="18"/>
              </w:rPr>
              <w:t>3</w:t>
            </w:r>
          </w:p>
        </w:tc>
      </w:tr>
      <w:tr w:rsidR="00141B56" w14:paraId="58CECD3E" w14:textId="77777777">
        <w:trPr>
          <w:jc w:val="center"/>
        </w:trPr>
        <w:tc>
          <w:tcPr>
            <w:tcW w:w="3010" w:type="dxa"/>
            <w:shd w:val="clear" w:color="auto" w:fill="F2F6FC"/>
          </w:tcPr>
          <w:p w14:paraId="105A48E1" w14:textId="77777777" w:rsidR="00141B56" w:rsidRDefault="00000000">
            <w:r>
              <w:rPr>
                <w:rFonts w:ascii="Arial" w:hAnsi="Arial"/>
                <w:sz w:val="18"/>
              </w:rPr>
              <w:t>Cases Investigated</w:t>
            </w:r>
          </w:p>
        </w:tc>
        <w:tc>
          <w:tcPr>
            <w:tcW w:w="3010" w:type="dxa"/>
            <w:shd w:val="clear" w:color="auto" w:fill="F2F6FC"/>
          </w:tcPr>
          <w:p w14:paraId="72AA97EF" w14:textId="77777777" w:rsidR="00141B56" w:rsidRDefault="00000000">
            <w:pPr>
              <w:jc w:val="right"/>
            </w:pPr>
            <w:r>
              <w:rPr>
                <w:rFonts w:ascii="Arial" w:hAnsi="Arial"/>
                <w:sz w:val="18"/>
              </w:rPr>
              <w:t>2</w:t>
            </w:r>
          </w:p>
        </w:tc>
        <w:tc>
          <w:tcPr>
            <w:tcW w:w="3010" w:type="dxa"/>
            <w:shd w:val="clear" w:color="auto" w:fill="F2F6FC"/>
          </w:tcPr>
          <w:p w14:paraId="15938E82" w14:textId="77777777" w:rsidR="00141B56" w:rsidRDefault="00000000">
            <w:pPr>
              <w:jc w:val="right"/>
            </w:pPr>
            <w:r>
              <w:rPr>
                <w:rFonts w:ascii="Arial" w:hAnsi="Arial"/>
                <w:sz w:val="18"/>
              </w:rPr>
              <w:t>3</w:t>
            </w:r>
          </w:p>
        </w:tc>
      </w:tr>
      <w:tr w:rsidR="00141B56" w14:paraId="166739B8" w14:textId="77777777">
        <w:trPr>
          <w:jc w:val="center"/>
        </w:trPr>
        <w:tc>
          <w:tcPr>
            <w:tcW w:w="3010" w:type="dxa"/>
          </w:tcPr>
          <w:p w14:paraId="10A4B053" w14:textId="77777777" w:rsidR="00141B56" w:rsidRDefault="00000000">
            <w:r>
              <w:rPr>
                <w:rFonts w:ascii="Arial" w:hAnsi="Arial"/>
                <w:sz w:val="18"/>
              </w:rPr>
              <w:t>Remedial Actions Completed</w:t>
            </w:r>
          </w:p>
        </w:tc>
        <w:tc>
          <w:tcPr>
            <w:tcW w:w="3010" w:type="dxa"/>
          </w:tcPr>
          <w:p w14:paraId="190D09BE" w14:textId="77777777" w:rsidR="00141B56" w:rsidRDefault="00000000">
            <w:pPr>
              <w:jc w:val="right"/>
            </w:pPr>
            <w:r>
              <w:rPr>
                <w:rFonts w:ascii="Arial" w:hAnsi="Arial"/>
                <w:sz w:val="18"/>
              </w:rPr>
              <w:t>2</w:t>
            </w:r>
          </w:p>
        </w:tc>
        <w:tc>
          <w:tcPr>
            <w:tcW w:w="3010" w:type="dxa"/>
          </w:tcPr>
          <w:p w14:paraId="243B6A3C" w14:textId="77777777" w:rsidR="00141B56" w:rsidRDefault="00000000">
            <w:pPr>
              <w:jc w:val="right"/>
            </w:pPr>
            <w:r>
              <w:rPr>
                <w:rFonts w:ascii="Arial" w:hAnsi="Arial"/>
                <w:sz w:val="18"/>
              </w:rPr>
              <w:t>3</w:t>
            </w:r>
          </w:p>
        </w:tc>
      </w:tr>
    </w:tbl>
    <w:p w14:paraId="111E0AFC" w14:textId="77777777" w:rsidR="00141B56" w:rsidRDefault="00000000">
      <w:r>
        <w:rPr>
          <w:rFonts w:ascii="Arial" w:hAnsi="Arial"/>
          <w:i/>
          <w:sz w:val="16"/>
        </w:rPr>
        <w:t>Source: Source: Institution Ethics &amp; Compliance Office. All cases resolved through internal grievance mechanism.</w:t>
      </w:r>
    </w:p>
    <w:p w14:paraId="48980F6E" w14:textId="77777777" w:rsidR="00141B56" w:rsidRDefault="00141B56"/>
    <w:p w14:paraId="0C94DD69" w14:textId="77777777" w:rsidR="00141B56" w:rsidRDefault="00000000">
      <w:r>
        <w:rPr>
          <w:rFonts w:ascii="Arial" w:hAnsi="Arial"/>
          <w:b/>
          <w:sz w:val="20"/>
        </w:rPr>
        <w:t>Table 2.1.6: Framework Cross-Reference</w:t>
      </w:r>
    </w:p>
    <w:tbl>
      <w:tblPr>
        <w:tblW w:w="0" w:type="auto"/>
        <w:jc w:val="center"/>
        <w:tblLook w:val="04A0" w:firstRow="1" w:lastRow="0" w:firstColumn="1" w:lastColumn="0" w:noHBand="0" w:noVBand="1"/>
      </w:tblPr>
      <w:tblGrid>
        <w:gridCol w:w="2257"/>
        <w:gridCol w:w="2257"/>
        <w:gridCol w:w="2257"/>
        <w:gridCol w:w="2257"/>
      </w:tblGrid>
      <w:tr w:rsidR="00141B56" w14:paraId="14C04637" w14:textId="77777777">
        <w:trPr>
          <w:jc w:val="center"/>
        </w:trPr>
        <w:tc>
          <w:tcPr>
            <w:tcW w:w="2257" w:type="dxa"/>
            <w:shd w:val="clear" w:color="auto" w:fill="1B3A6B"/>
          </w:tcPr>
          <w:p w14:paraId="45FEAE94" w14:textId="77777777" w:rsidR="00141B56" w:rsidRDefault="00000000">
            <w:r>
              <w:rPr>
                <w:rFonts w:ascii="Arial" w:hAnsi="Arial"/>
                <w:b/>
                <w:color w:val="FFFFFF"/>
                <w:sz w:val="18"/>
              </w:rPr>
              <w:t>Framework</w:t>
            </w:r>
          </w:p>
        </w:tc>
        <w:tc>
          <w:tcPr>
            <w:tcW w:w="2257" w:type="dxa"/>
            <w:shd w:val="clear" w:color="auto" w:fill="1B3A6B"/>
          </w:tcPr>
          <w:p w14:paraId="567C4EC3" w14:textId="77777777" w:rsidR="00141B56" w:rsidRDefault="00000000">
            <w:r>
              <w:rPr>
                <w:rFonts w:ascii="Arial" w:hAnsi="Arial"/>
                <w:b/>
                <w:color w:val="FFFFFF"/>
                <w:sz w:val="18"/>
              </w:rPr>
              <w:t>Disclosure Ref</w:t>
            </w:r>
          </w:p>
        </w:tc>
        <w:tc>
          <w:tcPr>
            <w:tcW w:w="2257" w:type="dxa"/>
            <w:shd w:val="clear" w:color="auto" w:fill="1B3A6B"/>
          </w:tcPr>
          <w:p w14:paraId="79E6775D" w14:textId="77777777" w:rsidR="00141B56" w:rsidRDefault="00000000">
            <w:r>
              <w:rPr>
                <w:rFonts w:ascii="Arial" w:hAnsi="Arial"/>
                <w:b/>
                <w:color w:val="FFFFFF"/>
                <w:sz w:val="18"/>
              </w:rPr>
              <w:t>Requirement</w:t>
            </w:r>
          </w:p>
        </w:tc>
        <w:tc>
          <w:tcPr>
            <w:tcW w:w="2257" w:type="dxa"/>
            <w:shd w:val="clear" w:color="auto" w:fill="1B3A6B"/>
          </w:tcPr>
          <w:p w14:paraId="197E138A" w14:textId="77777777" w:rsidR="00141B56" w:rsidRDefault="00000000">
            <w:r>
              <w:rPr>
                <w:rFonts w:ascii="Arial" w:hAnsi="Arial"/>
                <w:b/>
                <w:color w:val="FFFFFF"/>
                <w:sz w:val="18"/>
              </w:rPr>
              <w:t>Status</w:t>
            </w:r>
          </w:p>
        </w:tc>
      </w:tr>
      <w:tr w:rsidR="00141B56" w14:paraId="31F1606C" w14:textId="77777777">
        <w:trPr>
          <w:jc w:val="center"/>
        </w:trPr>
        <w:tc>
          <w:tcPr>
            <w:tcW w:w="2257" w:type="dxa"/>
          </w:tcPr>
          <w:p w14:paraId="2F525E7C" w14:textId="77777777" w:rsidR="00141B56" w:rsidRDefault="00000000">
            <w:r>
              <w:rPr>
                <w:rFonts w:ascii="Arial" w:hAnsi="Arial"/>
                <w:sz w:val="18"/>
              </w:rPr>
              <w:t>GRI 2-7</w:t>
            </w:r>
          </w:p>
        </w:tc>
        <w:tc>
          <w:tcPr>
            <w:tcW w:w="2257" w:type="dxa"/>
          </w:tcPr>
          <w:p w14:paraId="05FF7EDC" w14:textId="77777777" w:rsidR="00141B56" w:rsidRDefault="00000000">
            <w:r>
              <w:rPr>
                <w:rFonts w:ascii="Arial" w:hAnsi="Arial"/>
                <w:sz w:val="18"/>
              </w:rPr>
              <w:t>2-7a</w:t>
            </w:r>
          </w:p>
        </w:tc>
        <w:tc>
          <w:tcPr>
            <w:tcW w:w="2257" w:type="dxa"/>
          </w:tcPr>
          <w:p w14:paraId="35B28029" w14:textId="77777777" w:rsidR="00141B56" w:rsidRDefault="00000000">
            <w:r>
              <w:rPr>
                <w:rFonts w:ascii="Arial" w:hAnsi="Arial"/>
                <w:sz w:val="18"/>
              </w:rPr>
              <w:t>Total employees by gender</w:t>
            </w:r>
          </w:p>
        </w:tc>
        <w:tc>
          <w:tcPr>
            <w:tcW w:w="2257" w:type="dxa"/>
          </w:tcPr>
          <w:p w14:paraId="1BEB6E40" w14:textId="77777777" w:rsidR="00141B56" w:rsidRDefault="00000000">
            <w:r>
              <w:rPr>
                <w:rFonts w:ascii="Arial" w:hAnsi="Arial"/>
                <w:sz w:val="18"/>
              </w:rPr>
              <w:t>✅ Disclosed</w:t>
            </w:r>
          </w:p>
        </w:tc>
      </w:tr>
      <w:tr w:rsidR="00141B56" w14:paraId="1EA206A0" w14:textId="77777777">
        <w:trPr>
          <w:jc w:val="center"/>
        </w:trPr>
        <w:tc>
          <w:tcPr>
            <w:tcW w:w="2257" w:type="dxa"/>
            <w:shd w:val="clear" w:color="auto" w:fill="F2F6FC"/>
          </w:tcPr>
          <w:p w14:paraId="140CDA8A" w14:textId="77777777" w:rsidR="00141B56" w:rsidRDefault="00000000">
            <w:r>
              <w:rPr>
                <w:rFonts w:ascii="Arial" w:hAnsi="Arial"/>
                <w:sz w:val="18"/>
              </w:rPr>
              <w:t>GRI 401-1</w:t>
            </w:r>
          </w:p>
        </w:tc>
        <w:tc>
          <w:tcPr>
            <w:tcW w:w="2257" w:type="dxa"/>
            <w:shd w:val="clear" w:color="auto" w:fill="F2F6FC"/>
          </w:tcPr>
          <w:p w14:paraId="4C28A8AA" w14:textId="77777777" w:rsidR="00141B56" w:rsidRDefault="00000000">
            <w:r>
              <w:rPr>
                <w:rFonts w:ascii="Arial" w:hAnsi="Arial"/>
                <w:sz w:val="18"/>
              </w:rPr>
              <w:t>401-1a</w:t>
            </w:r>
          </w:p>
        </w:tc>
        <w:tc>
          <w:tcPr>
            <w:tcW w:w="2257" w:type="dxa"/>
            <w:shd w:val="clear" w:color="auto" w:fill="F2F6FC"/>
          </w:tcPr>
          <w:p w14:paraId="4EDB5501" w14:textId="77777777" w:rsidR="00141B56" w:rsidRDefault="00000000">
            <w:r>
              <w:rPr>
                <w:rFonts w:ascii="Arial" w:hAnsi="Arial"/>
                <w:sz w:val="18"/>
              </w:rPr>
              <w:t>New hires by gender</w:t>
            </w:r>
          </w:p>
        </w:tc>
        <w:tc>
          <w:tcPr>
            <w:tcW w:w="2257" w:type="dxa"/>
            <w:shd w:val="clear" w:color="auto" w:fill="F2F6FC"/>
          </w:tcPr>
          <w:p w14:paraId="4F58D9A2" w14:textId="77777777" w:rsidR="00141B56" w:rsidRDefault="00000000">
            <w:r>
              <w:rPr>
                <w:rFonts w:ascii="Arial" w:hAnsi="Arial"/>
                <w:sz w:val="18"/>
              </w:rPr>
              <w:t>✅ Disclosed</w:t>
            </w:r>
          </w:p>
        </w:tc>
      </w:tr>
      <w:tr w:rsidR="00141B56" w14:paraId="034F76BA" w14:textId="77777777">
        <w:trPr>
          <w:jc w:val="center"/>
        </w:trPr>
        <w:tc>
          <w:tcPr>
            <w:tcW w:w="2257" w:type="dxa"/>
          </w:tcPr>
          <w:p w14:paraId="48E4FBBF" w14:textId="77777777" w:rsidR="00141B56" w:rsidRDefault="00000000">
            <w:r>
              <w:rPr>
                <w:rFonts w:ascii="Arial" w:hAnsi="Arial"/>
                <w:sz w:val="18"/>
              </w:rPr>
              <w:t>GRI 401-1</w:t>
            </w:r>
          </w:p>
        </w:tc>
        <w:tc>
          <w:tcPr>
            <w:tcW w:w="2257" w:type="dxa"/>
          </w:tcPr>
          <w:p w14:paraId="139A9D24" w14:textId="77777777" w:rsidR="00141B56" w:rsidRDefault="00000000">
            <w:r>
              <w:rPr>
                <w:rFonts w:ascii="Arial" w:hAnsi="Arial"/>
                <w:sz w:val="18"/>
              </w:rPr>
              <w:t>401-1b</w:t>
            </w:r>
          </w:p>
        </w:tc>
        <w:tc>
          <w:tcPr>
            <w:tcW w:w="2257" w:type="dxa"/>
          </w:tcPr>
          <w:p w14:paraId="2D8B1DE2" w14:textId="77777777" w:rsidR="00141B56" w:rsidRDefault="00000000">
            <w:r>
              <w:rPr>
                <w:rFonts w:ascii="Arial" w:hAnsi="Arial"/>
                <w:sz w:val="18"/>
              </w:rPr>
              <w:t>Employee turnover</w:t>
            </w:r>
          </w:p>
        </w:tc>
        <w:tc>
          <w:tcPr>
            <w:tcW w:w="2257" w:type="dxa"/>
          </w:tcPr>
          <w:p w14:paraId="4D063C98" w14:textId="77777777" w:rsidR="00141B56" w:rsidRDefault="00000000">
            <w:r>
              <w:rPr>
                <w:rFonts w:ascii="Arial" w:hAnsi="Arial"/>
                <w:sz w:val="18"/>
              </w:rPr>
              <w:t>✅ Disclosed</w:t>
            </w:r>
          </w:p>
        </w:tc>
      </w:tr>
      <w:tr w:rsidR="00141B56" w14:paraId="6B25A341" w14:textId="77777777">
        <w:trPr>
          <w:jc w:val="center"/>
        </w:trPr>
        <w:tc>
          <w:tcPr>
            <w:tcW w:w="2257" w:type="dxa"/>
            <w:shd w:val="clear" w:color="auto" w:fill="F2F6FC"/>
          </w:tcPr>
          <w:p w14:paraId="1A8A7971" w14:textId="77777777" w:rsidR="00141B56" w:rsidRDefault="00000000">
            <w:r>
              <w:rPr>
                <w:rFonts w:ascii="Arial" w:hAnsi="Arial"/>
                <w:sz w:val="18"/>
              </w:rPr>
              <w:t>GRI 404-1</w:t>
            </w:r>
          </w:p>
        </w:tc>
        <w:tc>
          <w:tcPr>
            <w:tcW w:w="2257" w:type="dxa"/>
            <w:shd w:val="clear" w:color="auto" w:fill="F2F6FC"/>
          </w:tcPr>
          <w:p w14:paraId="4D619C8C" w14:textId="77777777" w:rsidR="00141B56" w:rsidRDefault="00000000">
            <w:r>
              <w:rPr>
                <w:rFonts w:ascii="Arial" w:hAnsi="Arial"/>
                <w:sz w:val="18"/>
              </w:rPr>
              <w:t>404-1a</w:t>
            </w:r>
          </w:p>
        </w:tc>
        <w:tc>
          <w:tcPr>
            <w:tcW w:w="2257" w:type="dxa"/>
            <w:shd w:val="clear" w:color="auto" w:fill="F2F6FC"/>
          </w:tcPr>
          <w:p w14:paraId="34BF960E" w14:textId="77777777" w:rsidR="00141B56" w:rsidRDefault="00000000">
            <w:r>
              <w:rPr>
                <w:rFonts w:ascii="Arial" w:hAnsi="Arial"/>
                <w:sz w:val="18"/>
              </w:rPr>
              <w:t>Average training hours</w:t>
            </w:r>
          </w:p>
        </w:tc>
        <w:tc>
          <w:tcPr>
            <w:tcW w:w="2257" w:type="dxa"/>
            <w:shd w:val="clear" w:color="auto" w:fill="F2F6FC"/>
          </w:tcPr>
          <w:p w14:paraId="34EC5FD8" w14:textId="77777777" w:rsidR="00141B56" w:rsidRDefault="00000000">
            <w:r>
              <w:rPr>
                <w:rFonts w:ascii="Arial" w:hAnsi="Arial"/>
                <w:sz w:val="18"/>
              </w:rPr>
              <w:t>✅ Disclosed</w:t>
            </w:r>
          </w:p>
        </w:tc>
      </w:tr>
      <w:tr w:rsidR="00141B56" w14:paraId="5E9CCC60" w14:textId="77777777">
        <w:trPr>
          <w:jc w:val="center"/>
        </w:trPr>
        <w:tc>
          <w:tcPr>
            <w:tcW w:w="2257" w:type="dxa"/>
          </w:tcPr>
          <w:p w14:paraId="1DF4E0E3" w14:textId="77777777" w:rsidR="00141B56" w:rsidRDefault="00000000">
            <w:r>
              <w:rPr>
                <w:rFonts w:ascii="Arial" w:hAnsi="Arial"/>
                <w:sz w:val="18"/>
              </w:rPr>
              <w:t>GRI 405-1</w:t>
            </w:r>
          </w:p>
        </w:tc>
        <w:tc>
          <w:tcPr>
            <w:tcW w:w="2257" w:type="dxa"/>
          </w:tcPr>
          <w:p w14:paraId="56642A12" w14:textId="77777777" w:rsidR="00141B56" w:rsidRDefault="00000000">
            <w:r>
              <w:rPr>
                <w:rFonts w:ascii="Arial" w:hAnsi="Arial"/>
                <w:sz w:val="18"/>
              </w:rPr>
              <w:t>405-1a</w:t>
            </w:r>
          </w:p>
        </w:tc>
        <w:tc>
          <w:tcPr>
            <w:tcW w:w="2257" w:type="dxa"/>
          </w:tcPr>
          <w:p w14:paraId="5BAEEAED" w14:textId="77777777" w:rsidR="00141B56" w:rsidRDefault="00000000">
            <w:r>
              <w:rPr>
                <w:rFonts w:ascii="Arial" w:hAnsi="Arial"/>
                <w:sz w:val="18"/>
              </w:rPr>
              <w:t>Diversity of employees</w:t>
            </w:r>
          </w:p>
        </w:tc>
        <w:tc>
          <w:tcPr>
            <w:tcW w:w="2257" w:type="dxa"/>
          </w:tcPr>
          <w:p w14:paraId="60775FA3" w14:textId="77777777" w:rsidR="00141B56" w:rsidRDefault="00000000">
            <w:r>
              <w:rPr>
                <w:rFonts w:ascii="Arial" w:hAnsi="Arial"/>
                <w:sz w:val="18"/>
              </w:rPr>
              <w:t>✅ Disclosed</w:t>
            </w:r>
          </w:p>
        </w:tc>
      </w:tr>
      <w:tr w:rsidR="00141B56" w14:paraId="40CB6611" w14:textId="77777777">
        <w:trPr>
          <w:jc w:val="center"/>
        </w:trPr>
        <w:tc>
          <w:tcPr>
            <w:tcW w:w="2257" w:type="dxa"/>
            <w:shd w:val="clear" w:color="auto" w:fill="F2F6FC"/>
          </w:tcPr>
          <w:p w14:paraId="405968C0" w14:textId="77777777" w:rsidR="00141B56" w:rsidRDefault="00000000">
            <w:r>
              <w:rPr>
                <w:rFonts w:ascii="Arial" w:hAnsi="Arial"/>
                <w:sz w:val="18"/>
              </w:rPr>
              <w:t>GRI 405-1</w:t>
            </w:r>
          </w:p>
        </w:tc>
        <w:tc>
          <w:tcPr>
            <w:tcW w:w="2257" w:type="dxa"/>
            <w:shd w:val="clear" w:color="auto" w:fill="F2F6FC"/>
          </w:tcPr>
          <w:p w14:paraId="41145A7A" w14:textId="77777777" w:rsidR="00141B56" w:rsidRDefault="00000000">
            <w:r>
              <w:rPr>
                <w:rFonts w:ascii="Arial" w:hAnsi="Arial"/>
                <w:sz w:val="18"/>
              </w:rPr>
              <w:t>405-1b</w:t>
            </w:r>
          </w:p>
        </w:tc>
        <w:tc>
          <w:tcPr>
            <w:tcW w:w="2257" w:type="dxa"/>
            <w:shd w:val="clear" w:color="auto" w:fill="F2F6FC"/>
          </w:tcPr>
          <w:p w14:paraId="44DFD429" w14:textId="77777777" w:rsidR="00141B56" w:rsidRDefault="00000000">
            <w:r>
              <w:rPr>
                <w:rFonts w:ascii="Arial" w:hAnsi="Arial"/>
                <w:sz w:val="18"/>
              </w:rPr>
              <w:t>Gender ratio in management</w:t>
            </w:r>
          </w:p>
        </w:tc>
        <w:tc>
          <w:tcPr>
            <w:tcW w:w="2257" w:type="dxa"/>
            <w:shd w:val="clear" w:color="auto" w:fill="F2F6FC"/>
          </w:tcPr>
          <w:p w14:paraId="59DAFA91" w14:textId="77777777" w:rsidR="00141B56" w:rsidRDefault="00000000">
            <w:r>
              <w:rPr>
                <w:rFonts w:ascii="Arial" w:hAnsi="Arial"/>
                <w:sz w:val="18"/>
              </w:rPr>
              <w:t>✅ Disclosed</w:t>
            </w:r>
          </w:p>
        </w:tc>
      </w:tr>
      <w:tr w:rsidR="00141B56" w14:paraId="38453BC5" w14:textId="77777777">
        <w:trPr>
          <w:jc w:val="center"/>
        </w:trPr>
        <w:tc>
          <w:tcPr>
            <w:tcW w:w="2257" w:type="dxa"/>
          </w:tcPr>
          <w:p w14:paraId="56176866" w14:textId="77777777" w:rsidR="00141B56" w:rsidRDefault="00000000">
            <w:r>
              <w:rPr>
                <w:rFonts w:ascii="Arial" w:hAnsi="Arial"/>
                <w:sz w:val="18"/>
              </w:rPr>
              <w:t>GRI 406-1</w:t>
            </w:r>
          </w:p>
        </w:tc>
        <w:tc>
          <w:tcPr>
            <w:tcW w:w="2257" w:type="dxa"/>
          </w:tcPr>
          <w:p w14:paraId="5B0D032B" w14:textId="77777777" w:rsidR="00141B56" w:rsidRDefault="00000000">
            <w:r>
              <w:rPr>
                <w:rFonts w:ascii="Arial" w:hAnsi="Arial"/>
                <w:sz w:val="18"/>
              </w:rPr>
              <w:t>406-1a</w:t>
            </w:r>
          </w:p>
        </w:tc>
        <w:tc>
          <w:tcPr>
            <w:tcW w:w="2257" w:type="dxa"/>
          </w:tcPr>
          <w:p w14:paraId="1D3F7AF7" w14:textId="77777777" w:rsidR="00141B56" w:rsidRDefault="00000000">
            <w:r>
              <w:rPr>
                <w:rFonts w:ascii="Arial" w:hAnsi="Arial"/>
                <w:sz w:val="18"/>
              </w:rPr>
              <w:t>Discrimination incidents</w:t>
            </w:r>
          </w:p>
        </w:tc>
        <w:tc>
          <w:tcPr>
            <w:tcW w:w="2257" w:type="dxa"/>
          </w:tcPr>
          <w:p w14:paraId="275D1040" w14:textId="77777777" w:rsidR="00141B56" w:rsidRDefault="00000000">
            <w:r>
              <w:rPr>
                <w:rFonts w:ascii="Arial" w:hAnsi="Arial"/>
                <w:sz w:val="18"/>
              </w:rPr>
              <w:t>✅ Disclosed</w:t>
            </w:r>
          </w:p>
        </w:tc>
      </w:tr>
      <w:tr w:rsidR="00141B56" w14:paraId="518B8CF1" w14:textId="77777777">
        <w:trPr>
          <w:jc w:val="center"/>
        </w:trPr>
        <w:tc>
          <w:tcPr>
            <w:tcW w:w="2257" w:type="dxa"/>
            <w:shd w:val="clear" w:color="auto" w:fill="F2F6FC"/>
          </w:tcPr>
          <w:p w14:paraId="5312CA35" w14:textId="77777777" w:rsidR="00141B56" w:rsidRDefault="00000000">
            <w:r>
              <w:rPr>
                <w:rFonts w:ascii="Arial" w:hAnsi="Arial"/>
                <w:sz w:val="18"/>
              </w:rPr>
              <w:t>ESRS S1</w:t>
            </w:r>
          </w:p>
        </w:tc>
        <w:tc>
          <w:tcPr>
            <w:tcW w:w="2257" w:type="dxa"/>
            <w:shd w:val="clear" w:color="auto" w:fill="F2F6FC"/>
          </w:tcPr>
          <w:p w14:paraId="12E444B3" w14:textId="77777777" w:rsidR="00141B56" w:rsidRDefault="00000000">
            <w:r>
              <w:rPr>
                <w:rFonts w:ascii="Arial" w:hAnsi="Arial"/>
                <w:sz w:val="18"/>
              </w:rPr>
              <w:t>Own Workforce</w:t>
            </w:r>
          </w:p>
        </w:tc>
        <w:tc>
          <w:tcPr>
            <w:tcW w:w="2257" w:type="dxa"/>
            <w:shd w:val="clear" w:color="auto" w:fill="F2F6FC"/>
          </w:tcPr>
          <w:p w14:paraId="5A2C3AA7" w14:textId="77777777" w:rsidR="00141B56" w:rsidRDefault="00000000">
            <w:r>
              <w:rPr>
                <w:rFonts w:ascii="Arial" w:hAnsi="Arial"/>
                <w:sz w:val="18"/>
              </w:rPr>
              <w:t>Workforce composition</w:t>
            </w:r>
          </w:p>
        </w:tc>
        <w:tc>
          <w:tcPr>
            <w:tcW w:w="2257" w:type="dxa"/>
            <w:shd w:val="clear" w:color="auto" w:fill="F2F6FC"/>
          </w:tcPr>
          <w:p w14:paraId="6DD2F846" w14:textId="77777777" w:rsidR="00141B56" w:rsidRDefault="00000000">
            <w:r>
              <w:rPr>
                <w:rFonts w:ascii="Arial" w:hAnsi="Arial"/>
                <w:sz w:val="18"/>
              </w:rPr>
              <w:t>✅ Disclosed</w:t>
            </w:r>
          </w:p>
        </w:tc>
      </w:tr>
      <w:tr w:rsidR="00141B56" w14:paraId="486BCDFC" w14:textId="77777777">
        <w:trPr>
          <w:jc w:val="center"/>
        </w:trPr>
        <w:tc>
          <w:tcPr>
            <w:tcW w:w="2257" w:type="dxa"/>
          </w:tcPr>
          <w:p w14:paraId="71AAC899" w14:textId="77777777" w:rsidR="00141B56" w:rsidRDefault="00000000">
            <w:r>
              <w:rPr>
                <w:rFonts w:ascii="Arial" w:hAnsi="Arial"/>
                <w:sz w:val="18"/>
              </w:rPr>
              <w:t>OJK PSPK</w:t>
            </w:r>
          </w:p>
        </w:tc>
        <w:tc>
          <w:tcPr>
            <w:tcW w:w="2257" w:type="dxa"/>
          </w:tcPr>
          <w:p w14:paraId="3FDE87A0" w14:textId="77777777" w:rsidR="00141B56" w:rsidRDefault="00000000">
            <w:r>
              <w:rPr>
                <w:rFonts w:ascii="Arial" w:hAnsi="Arial"/>
                <w:sz w:val="18"/>
              </w:rPr>
              <w:t>Kinerja Sosial</w:t>
            </w:r>
          </w:p>
        </w:tc>
        <w:tc>
          <w:tcPr>
            <w:tcW w:w="2257" w:type="dxa"/>
          </w:tcPr>
          <w:p w14:paraId="5705CA48" w14:textId="77777777" w:rsidR="00141B56" w:rsidRDefault="00000000">
            <w:r>
              <w:rPr>
                <w:rFonts w:ascii="Arial" w:hAnsi="Arial"/>
                <w:sz w:val="18"/>
              </w:rPr>
              <w:t>Tenaga kerja &amp; kesetaraan</w:t>
            </w:r>
          </w:p>
        </w:tc>
        <w:tc>
          <w:tcPr>
            <w:tcW w:w="2257" w:type="dxa"/>
          </w:tcPr>
          <w:p w14:paraId="142E1F19" w14:textId="77777777" w:rsidR="00141B56" w:rsidRDefault="00000000">
            <w:r>
              <w:rPr>
                <w:rFonts w:ascii="Arial" w:hAnsi="Arial"/>
                <w:sz w:val="18"/>
              </w:rPr>
              <w:t>✅ Disclosed</w:t>
            </w:r>
          </w:p>
        </w:tc>
      </w:tr>
    </w:tbl>
    <w:p w14:paraId="6ACA1675" w14:textId="77777777" w:rsidR="00141B56" w:rsidRDefault="00000000">
      <w:r>
        <w:rPr>
          <w:rFonts w:ascii="Arial" w:hAnsi="Arial"/>
          <w:i/>
          <w:sz w:val="16"/>
        </w:rPr>
        <w:t>Source: Status reflects data availability for reporting year 2024. All mandatory disclosures completed per framework requirements.</w:t>
      </w:r>
    </w:p>
    <w:p w14:paraId="65CC8581" w14:textId="77777777" w:rsidR="00141B56" w:rsidRDefault="00141B56"/>
    <w:p w14:paraId="722AA191" w14:textId="77777777" w:rsidR="00141B56" w:rsidRDefault="00000000">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OJK PSPK: Kinerja Sosial — Tenaga Kerja</w:t>
      </w:r>
    </w:p>
    <w:p w14:paraId="6885339B" w14:textId="77777777" w:rsidR="00141B56" w:rsidRDefault="00141B56">
      <w:pPr>
        <w:pBdr>
          <w:bottom w:val="single" w:sz="6" w:space="1" w:color="999999"/>
        </w:pBdr>
        <w:spacing w:after="80"/>
      </w:pPr>
    </w:p>
    <w:p w14:paraId="5919ABEE" w14:textId="77777777" w:rsidR="00141B56" w:rsidRDefault="00000000">
      <w:pPr>
        <w:spacing w:after="160"/>
        <w:jc w:val="both"/>
      </w:pPr>
      <w:r>
        <w:rPr>
          <w:rFonts w:ascii="Arial" w:hAnsi="Arial"/>
          <w:i/>
          <w:color w:val="646464"/>
          <w:sz w:val="18"/>
        </w:rPr>
        <w:t>All workforce data reflects full-time equivalent (FTE) employees as of December 31, 2024, under operational control consolidation.</w:t>
      </w:r>
    </w:p>
    <w:p w14:paraId="48E5B582" w14:textId="77777777" w:rsidR="00141B56" w:rsidRDefault="00000000">
      <w:pPr>
        <w:spacing w:after="160"/>
        <w:jc w:val="both"/>
      </w:pPr>
      <w:r>
        <w:rPr>
          <w:rFonts w:ascii="Arial" w:hAnsi="Arial"/>
          <w:i/>
          <w:color w:val="646464"/>
          <w:sz w:val="18"/>
        </w:rPr>
        <w:t>Management positions defined as Assistant Vice President level and above per institution's organizational structure.</w:t>
      </w:r>
    </w:p>
    <w:p w14:paraId="2F711338" w14:textId="77777777" w:rsidR="00141B56" w:rsidRDefault="00000000">
      <w:pPr>
        <w:spacing w:after="160"/>
        <w:jc w:val="both"/>
      </w:pPr>
      <w:r>
        <w:rPr>
          <w:rFonts w:ascii="Arial" w:hAnsi="Arial"/>
          <w:i/>
          <w:color w:val="646464"/>
          <w:sz w:val="18"/>
        </w:rPr>
        <w:t>Training hours include classroom instruction, e-learning modules, on-the-job training, and external certifications.</w:t>
      </w:r>
    </w:p>
    <w:p w14:paraId="1FFB20C4" w14:textId="77777777" w:rsidR="00141B56" w:rsidRDefault="00000000">
      <w:pPr>
        <w:spacing w:after="160"/>
        <w:jc w:val="both"/>
      </w:pPr>
      <w:r>
        <w:rPr>
          <w:rFonts w:ascii="Arial" w:hAnsi="Arial"/>
          <w:i/>
          <w:color w:val="646464"/>
          <w:sz w:val="18"/>
        </w:rPr>
        <w:t>Discrimination cases investigated through the institution's Ethics &amp; Compliance Office grievance mechanism in accordance with internal policies and Indonesian labor law.</w:t>
      </w:r>
    </w:p>
    <w:p w14:paraId="0024B561" w14:textId="77777777" w:rsidR="00141B56" w:rsidRDefault="00000000">
      <w:pPr>
        <w:spacing w:after="160"/>
        <w:jc w:val="both"/>
      </w:pPr>
      <w:r>
        <w:rPr>
          <w:rFonts w:ascii="Arial" w:hAnsi="Arial"/>
          <w:i/>
          <w:color w:val="646464"/>
          <w:sz w:val="18"/>
        </w:rPr>
        <w:t>Year-over-year comparisons use 2023 as baseline. Percentage point (pp) changes denote absolute differences; percentage (%) changes denote relative differences.</w:t>
      </w:r>
    </w:p>
    <w:p w14:paraId="1B4F0A3B" w14:textId="77777777" w:rsidR="00141B56" w:rsidRDefault="00000000">
      <w:pPr>
        <w:spacing w:after="160"/>
        <w:jc w:val="both"/>
      </w:pPr>
      <w:r>
        <w:rPr>
          <w:rFonts w:ascii="Arial" w:hAnsi="Arial"/>
          <w:i/>
          <w:color w:val="646464"/>
          <w:sz w:val="18"/>
        </w:rPr>
        <w:t>Gender pay equity data is not yet captured in the institution's reporting system. GRI 405-2 (ratio of basic salary and remuneration of women to men) requires disclosure of compensation ratios by employee category. Peer benchmark: DBS Group discloses gender pay ratio of 1:0.99 (female:male) for comparable roles. The institution should conduct a gender pay audit by Q2 2025 and establish disclosure protocols for the 2025 reporting cycle, referencing DBS's methodology for role-based compensation analysis.</w:t>
      </w:r>
    </w:p>
    <w:p w14:paraId="4248318E" w14:textId="77777777" w:rsidR="00141B56" w:rsidRDefault="00000000">
      <w:r>
        <w:br w:type="page"/>
      </w:r>
    </w:p>
    <w:p w14:paraId="66A1FEAF" w14:textId="77777777" w:rsidR="00141B56" w:rsidRDefault="00000000">
      <w:pPr>
        <w:pStyle w:val="Heading1"/>
        <w:spacing w:after="240"/>
      </w:pPr>
      <w:bookmarkStart w:id="11" w:name="_Toc231986306"/>
      <w:r>
        <w:rPr>
          <w:rFonts w:ascii="Arial" w:hAnsi="Arial"/>
          <w:color w:val="1B3A6B"/>
          <w:sz w:val="36"/>
        </w:rPr>
        <w:lastRenderedPageBreak/>
        <w:t>Governance &amp; Strategy</w:t>
      </w:r>
      <w:bookmarkEnd w:id="11"/>
    </w:p>
    <w:p w14:paraId="6FB46134" w14:textId="77777777" w:rsidR="00141B56" w:rsidRDefault="00000000">
      <w:pPr>
        <w:pStyle w:val="Heading2"/>
        <w:spacing w:before="360" w:after="160"/>
      </w:pPr>
      <w:bookmarkStart w:id="12" w:name="_Toc231986307"/>
      <w:r>
        <w:rPr>
          <w:rFonts w:ascii="Arial" w:hAnsi="Arial"/>
          <w:color w:val="3D6094"/>
          <w:sz w:val="28"/>
        </w:rPr>
        <w:t>3.1 Climate Governance &amp; ESG Oversight</w:t>
      </w:r>
      <w:bookmarkEnd w:id="12"/>
    </w:p>
    <w:p w14:paraId="7601FBBA" w14:textId="77777777" w:rsidR="00141B56" w:rsidRDefault="00000000">
      <w:pPr>
        <w:spacing w:after="160"/>
        <w:jc w:val="both"/>
      </w:pPr>
      <w:r>
        <w:rPr>
          <w:rFonts w:ascii="Arial" w:hAnsi="Arial"/>
        </w:rPr>
        <w:t>**Governance Data Availability Status**: The institution has not yet established formal governance structures for climate-related risks and opportunities as required by international sustainability reporting frameworks. This section provides a comprehensive gap analysis against framework requirements and outlines a roadmap for establishing robust climate governance infrastructure based on peer bank practices in the Indonesian banking sector.</w:t>
      </w:r>
    </w:p>
    <w:p w14:paraId="452307E1" w14:textId="77777777" w:rsidR="00141B56" w:rsidRDefault="00000000">
      <w:pPr>
        <w:spacing w:after="160"/>
        <w:jc w:val="both"/>
      </w:pPr>
      <w:r>
        <w:rPr>
          <w:rFonts w:ascii="Arial" w:hAnsi="Arial"/>
        </w:rPr>
        <w:t>**Framework Requirements and Current Status**: Multiple sustainability reporting frameworks mandate specific governance disclosures for financial institutions. IFRS S2 Paragraphs 5-7 require identification of the governance body responsible for oversight of climate-related risks and opportunities, description of management's role in assessing and managing these risks, and explanation of how climate considerations inform strategy and decision-making. GRI 2-12 and 2-13 require disclosure of the role of the highest governance body in overseeing the management of sustainability impacts, and delegation of responsibility for managing impacts. ESRS 2 GOV-3 mandates disclosure of how sustainability performance is integrated into incentive schemes for board and executive management. OJK PSPK (Peraturan Otoritas Jasa Keuangan tentang Penerapan Keuangan Berkelanjutan) requires listed financial institutions to establish board-level sustainability oversight mechanisms.</w:t>
      </w:r>
    </w:p>
    <w:p w14:paraId="6BF21F92" w14:textId="77777777" w:rsidR="00141B56" w:rsidRDefault="00000000">
      <w:pPr>
        <w:spacing w:after="160"/>
        <w:jc w:val="both"/>
      </w:pPr>
      <w:r>
        <w:rPr>
          <w:rFonts w:ascii="Arial" w:hAnsi="Arial"/>
        </w:rPr>
        <w:t>**Peer Bank Governance Structures**: Leading Indonesian banks have established comprehensive ESG governance frameworks that provide instructive models. Bank Rakyat Indonesia (BRI) established a dedicated Risk Management &amp; ESG Committee at the Board of Directors level in 2021 via Decision NOKEP 872-DIR/PPM/06/2022, with quarterly review cadence and direct reporting to the President Director. Bank Central Asia (BCA) operates an ESG Subdivision under the Director of Planning &amp; Finance, with ESG key performance indicators integrated into Board of Directors and work unit performance assessments, conducting reviews at minimum four times per year. DBS Bank has implemented a Board Sustainability Committee with a dedicated Chief Sustainability Officer role, linking 20% of executive remuneration to ESG performance metrics including emissions reduction targets. Bank Mandiri operates an ESG Task Force with semi-annual Board review and internal policy framework aligned with Good Corporate Governance principles.</w:t>
      </w:r>
    </w:p>
    <w:p w14:paraId="42B22644" w14:textId="77777777" w:rsidR="00141B56" w:rsidRDefault="00000000">
      <w:pPr>
        <w:spacing w:after="160"/>
        <w:jc w:val="both"/>
      </w:pPr>
      <w:r>
        <w:rPr>
          <w:rFonts w:ascii="Arial" w:hAnsi="Arial"/>
        </w:rPr>
        <w:t>**Board-Level Oversight Gap**: The institution currently lacks a dedicated board committee responsible for climate-related risks and opportunities. Framework requirements specify that the highest governance body must have explicit oversight responsibility, with defined frequency of review (quarterly or more frequent for material climate risks), and documented processes for how climate considerations inform strategic decisions, major transactions, and capital allocation. Peer banks demonstrate that effective board oversight requires: (1) formal committee charter defining scope and authority, (2) regular reporting cadence with standardized metrics, (3) integration with enterprise risk management frameworks, and (4) documented escalation procedures for material climate risks.</w:t>
      </w:r>
    </w:p>
    <w:p w14:paraId="4772CCDA" w14:textId="77777777" w:rsidR="00141B56" w:rsidRDefault="00000000">
      <w:pPr>
        <w:spacing w:after="160"/>
        <w:jc w:val="both"/>
      </w:pPr>
      <w:r>
        <w:rPr>
          <w:rFonts w:ascii="Arial" w:hAnsi="Arial"/>
        </w:rPr>
        <w:t xml:space="preserve">**Management Accountability Gap**: The institution has not designated a management-level position or committee with explicit responsibility for assessing and managing climate-related risks and opportunities. IFRS S2 Paragraph 6 requires disclosure of the management </w:t>
      </w:r>
      <w:r>
        <w:rPr>
          <w:rFonts w:ascii="Arial" w:hAnsi="Arial"/>
        </w:rPr>
        <w:lastRenderedPageBreak/>
        <w:t>position or committee responsible, reporting lines to the board, and how climate responsibilities are integrated into job descriptions and performance evaluations. BRI's model demonstrates effective practice: the Risk Management &amp; ESG Committee reports directly to the President Director with quarterly updates, integrating climate risk assessment into credit approval processes and portfolio monitoring. DBS's Chief Sustainability Officer structure provides centralized accountability with cross-functional authority over climate strategy implementation.</w:t>
      </w:r>
    </w:p>
    <w:p w14:paraId="1A29B258" w14:textId="77777777" w:rsidR="00141B56" w:rsidRDefault="00000000">
      <w:pPr>
        <w:spacing w:after="160"/>
        <w:jc w:val="both"/>
      </w:pPr>
      <w:r>
        <w:rPr>
          <w:rFonts w:ascii="Arial" w:hAnsi="Arial"/>
        </w:rPr>
        <w:t>**Target Setting and Monitoring Gap**: The institution has not established formal processes for setting climate-related targets or monitoring progress against those targets. Framework requirements specify disclosure of: (1) which governance body or management position has authority to set climate targets, (2) how targets are approved and revised, (3) monitoring frequency and reporting mechanisms, and (4) accountability for target achievement. BCA's practice of integrating ESG KPIs into Board of Directors performance assessments demonstrates how target accountability can be embedded in governance structures. BRI's Science-Based Targets initiative (SBTi) commitment as the first Indonesian financial institution provides a model for rigorous target-setting aligned with climate science.</w:t>
      </w:r>
    </w:p>
    <w:p w14:paraId="4CABAA11" w14:textId="77777777" w:rsidR="00141B56" w:rsidRDefault="00000000">
      <w:pPr>
        <w:spacing w:after="160"/>
        <w:jc w:val="both"/>
      </w:pPr>
      <w:r>
        <w:rPr>
          <w:rFonts w:ascii="Arial" w:hAnsi="Arial"/>
        </w:rPr>
        <w:t>**Remuneration Linkage Gap**: The institution has not linked executive compensation to climate or sustainability performance metrics. ESRS 2 GOV-3 requires disclosure of how sustainability performance, including climate-related metrics, is integrated into incentive schemes for board members and senior management. DBS Bank's practice of linking 20% of executive remuneration to ESG performance provides a quantified benchmark. Effective remuneration linkage requires: (1) selection of material climate metrics (e.g., financed emissions reduction, renewable energy portfolio growth, ESRM compliance rate), (2) defined weighting in total compensation (typically 10-20% for financial institutions), (3) multi-year performance periods aligned with climate target timelines, and (4) transparent disclosure of metrics and achievement levels.</w:t>
      </w:r>
    </w:p>
    <w:p w14:paraId="70A82EAE" w14:textId="77777777" w:rsidR="00141B56" w:rsidRDefault="00000000">
      <w:pPr>
        <w:spacing w:after="160"/>
        <w:jc w:val="both"/>
      </w:pPr>
      <w:r>
        <w:rPr>
          <w:rFonts w:ascii="Arial" w:hAnsi="Arial"/>
        </w:rPr>
        <w:t>**Board Competency and Training Gap**: The institution has not disclosed whether board members possess climate-related expertise or receive regular training on climate risks and opportunities. GRI 2-17 requires disclosure of collective knowledge, skills, and experience of the highest governance body relevant to sustainability topics. BCA conducts annual ESG refresher training for Board of Directors and Board of Commissioners in collaboration with GRI, CDP, and OJK, ensuring board members maintain current knowledge of evolving sustainability standards and regulatory requirements. Effective board competency development includes: (1) initial assessment of existing climate knowledge gaps, (2) structured onboarding for new board members covering climate risks material to banking sector, (3) annual refresher training on regulatory developments and emerging risks, and (4) access to external ESG experts for specialized topics.</w:t>
      </w:r>
    </w:p>
    <w:p w14:paraId="7F13C79D" w14:textId="77777777" w:rsidR="00141B56" w:rsidRDefault="00000000">
      <w:pPr>
        <w:spacing w:after="160"/>
        <w:jc w:val="both"/>
      </w:pPr>
      <w:r>
        <w:rPr>
          <w:rFonts w:ascii="Arial" w:hAnsi="Arial"/>
        </w:rPr>
        <w:t xml:space="preserve">**Regulatory Compliance Context**: Indonesian financial institutions are subject to OJK Regulation No. 51/POJK.03/2017 on the Implementation of Sustainable Finance for Financial Services Institutions, Issuers, and Public Companies, which mandates establishment of governance structures for sustainability management. OJK Circular Letter No. 16/SEOJK.03/2021 requires banks to submit annual Sustainable Finance Action Plans (SFAP) demonstrating board-level oversight and management accountability. The institution's current governance gap represents non-compliance with these regulatory </w:t>
      </w:r>
      <w:r>
        <w:rPr>
          <w:rFonts w:ascii="Arial" w:hAnsi="Arial"/>
        </w:rPr>
        <w:lastRenderedPageBreak/>
        <w:t>requirements and necessitates urgent remediation to meet OJK expectations for listed financial institutions.</w:t>
      </w:r>
    </w:p>
    <w:p w14:paraId="34DDBC5C" w14:textId="77777777" w:rsidR="00141B56" w:rsidRDefault="00000000">
      <w:r>
        <w:rPr>
          <w:rFonts w:ascii="Arial" w:hAnsi="Arial"/>
          <w:b/>
          <w:sz w:val="20"/>
        </w:rPr>
        <w:t>Table 3.1.1: Framework Requirements and Disclosure Status</w:t>
      </w:r>
    </w:p>
    <w:tbl>
      <w:tblPr>
        <w:tblW w:w="0" w:type="auto"/>
        <w:jc w:val="center"/>
        <w:tblLook w:val="04A0" w:firstRow="1" w:lastRow="0" w:firstColumn="1" w:lastColumn="0" w:noHBand="0" w:noVBand="1"/>
      </w:tblPr>
      <w:tblGrid>
        <w:gridCol w:w="1806"/>
        <w:gridCol w:w="1806"/>
        <w:gridCol w:w="1806"/>
        <w:gridCol w:w="1806"/>
        <w:gridCol w:w="1806"/>
      </w:tblGrid>
      <w:tr w:rsidR="00141B56" w14:paraId="4ABA3602" w14:textId="77777777">
        <w:trPr>
          <w:jc w:val="center"/>
        </w:trPr>
        <w:tc>
          <w:tcPr>
            <w:tcW w:w="1806" w:type="dxa"/>
            <w:shd w:val="clear" w:color="auto" w:fill="1B3A6B"/>
          </w:tcPr>
          <w:p w14:paraId="398FE5AC" w14:textId="77777777" w:rsidR="00141B56" w:rsidRDefault="00000000">
            <w:r>
              <w:rPr>
                <w:rFonts w:ascii="Arial" w:hAnsi="Arial"/>
                <w:b/>
                <w:color w:val="FFFFFF"/>
                <w:sz w:val="18"/>
              </w:rPr>
              <w:t>Framework</w:t>
            </w:r>
          </w:p>
        </w:tc>
        <w:tc>
          <w:tcPr>
            <w:tcW w:w="1806" w:type="dxa"/>
            <w:shd w:val="clear" w:color="auto" w:fill="1B3A6B"/>
          </w:tcPr>
          <w:p w14:paraId="606ABF90" w14:textId="77777777" w:rsidR="00141B56" w:rsidRDefault="00000000">
            <w:r>
              <w:rPr>
                <w:rFonts w:ascii="Arial" w:hAnsi="Arial"/>
                <w:b/>
                <w:color w:val="FFFFFF"/>
                <w:sz w:val="18"/>
              </w:rPr>
              <w:t>Disclosure Reference</w:t>
            </w:r>
          </w:p>
        </w:tc>
        <w:tc>
          <w:tcPr>
            <w:tcW w:w="1806" w:type="dxa"/>
            <w:shd w:val="clear" w:color="auto" w:fill="1B3A6B"/>
          </w:tcPr>
          <w:p w14:paraId="7A43ED79" w14:textId="77777777" w:rsidR="00141B56" w:rsidRDefault="00000000">
            <w:r>
              <w:rPr>
                <w:rFonts w:ascii="Arial" w:hAnsi="Arial"/>
                <w:b/>
                <w:color w:val="FFFFFF"/>
                <w:sz w:val="18"/>
              </w:rPr>
              <w:t>Requirement Description</w:t>
            </w:r>
          </w:p>
        </w:tc>
        <w:tc>
          <w:tcPr>
            <w:tcW w:w="1806" w:type="dxa"/>
            <w:shd w:val="clear" w:color="auto" w:fill="1B3A6B"/>
          </w:tcPr>
          <w:p w14:paraId="1AFA25F5" w14:textId="77777777" w:rsidR="00141B56" w:rsidRDefault="00000000">
            <w:r>
              <w:rPr>
                <w:rFonts w:ascii="Arial" w:hAnsi="Arial"/>
                <w:b/>
                <w:color w:val="FFFFFF"/>
                <w:sz w:val="18"/>
              </w:rPr>
              <w:t>Current Status</w:t>
            </w:r>
          </w:p>
        </w:tc>
        <w:tc>
          <w:tcPr>
            <w:tcW w:w="1806" w:type="dxa"/>
            <w:shd w:val="clear" w:color="auto" w:fill="1B3A6B"/>
          </w:tcPr>
          <w:p w14:paraId="098EEA2B" w14:textId="77777777" w:rsidR="00141B56" w:rsidRDefault="00000000">
            <w:r>
              <w:rPr>
                <w:rFonts w:ascii="Arial" w:hAnsi="Arial"/>
                <w:b/>
                <w:color w:val="FFFFFF"/>
                <w:sz w:val="18"/>
              </w:rPr>
              <w:t>Priority</w:t>
            </w:r>
          </w:p>
        </w:tc>
      </w:tr>
      <w:tr w:rsidR="00141B56" w14:paraId="20E38880" w14:textId="77777777">
        <w:trPr>
          <w:jc w:val="center"/>
        </w:trPr>
        <w:tc>
          <w:tcPr>
            <w:tcW w:w="1806" w:type="dxa"/>
          </w:tcPr>
          <w:p w14:paraId="64B6C204" w14:textId="77777777" w:rsidR="00141B56" w:rsidRDefault="00000000">
            <w:r>
              <w:rPr>
                <w:rFonts w:ascii="Arial" w:hAnsi="Arial"/>
                <w:sz w:val="18"/>
              </w:rPr>
              <w:t>IFRS S2</w:t>
            </w:r>
          </w:p>
        </w:tc>
        <w:tc>
          <w:tcPr>
            <w:tcW w:w="1806" w:type="dxa"/>
          </w:tcPr>
          <w:p w14:paraId="523E04BE" w14:textId="77777777" w:rsidR="00141B56" w:rsidRDefault="00000000">
            <w:r>
              <w:rPr>
                <w:rFonts w:ascii="Arial" w:hAnsi="Arial"/>
                <w:sz w:val="18"/>
              </w:rPr>
              <w:t>Paragraph 5</w:t>
            </w:r>
          </w:p>
        </w:tc>
        <w:tc>
          <w:tcPr>
            <w:tcW w:w="1806" w:type="dxa"/>
          </w:tcPr>
          <w:p w14:paraId="3048DF71" w14:textId="77777777" w:rsidR="00141B56" w:rsidRDefault="00000000">
            <w:r>
              <w:rPr>
                <w:rFonts w:ascii="Arial" w:hAnsi="Arial"/>
                <w:sz w:val="18"/>
              </w:rPr>
              <w:t>Identification of governance body responsible for oversight of climate-related risks and opportunities</w:t>
            </w:r>
          </w:p>
        </w:tc>
        <w:tc>
          <w:tcPr>
            <w:tcW w:w="1806" w:type="dxa"/>
          </w:tcPr>
          <w:p w14:paraId="76B0B389" w14:textId="77777777" w:rsidR="00141B56" w:rsidRDefault="00000000">
            <w:r>
              <w:rPr>
                <w:rFonts w:ascii="Arial" w:hAnsi="Arial"/>
                <w:sz w:val="18"/>
              </w:rPr>
              <w:t>⚠️ Gap — No dedicated board committee established</w:t>
            </w:r>
          </w:p>
        </w:tc>
        <w:tc>
          <w:tcPr>
            <w:tcW w:w="1806" w:type="dxa"/>
          </w:tcPr>
          <w:p w14:paraId="73E48587" w14:textId="77777777" w:rsidR="00141B56" w:rsidRDefault="00000000">
            <w:r>
              <w:rPr>
                <w:rFonts w:ascii="Arial" w:hAnsi="Arial"/>
                <w:sz w:val="18"/>
              </w:rPr>
              <w:t>Critical</w:t>
            </w:r>
          </w:p>
        </w:tc>
      </w:tr>
      <w:tr w:rsidR="00141B56" w14:paraId="01590F7A" w14:textId="77777777">
        <w:trPr>
          <w:jc w:val="center"/>
        </w:trPr>
        <w:tc>
          <w:tcPr>
            <w:tcW w:w="1806" w:type="dxa"/>
            <w:shd w:val="clear" w:color="auto" w:fill="F2F6FC"/>
          </w:tcPr>
          <w:p w14:paraId="53F86519" w14:textId="77777777" w:rsidR="00141B56" w:rsidRDefault="00000000">
            <w:r>
              <w:rPr>
                <w:rFonts w:ascii="Arial" w:hAnsi="Arial"/>
                <w:sz w:val="18"/>
              </w:rPr>
              <w:t>IFRS S2</w:t>
            </w:r>
          </w:p>
        </w:tc>
        <w:tc>
          <w:tcPr>
            <w:tcW w:w="1806" w:type="dxa"/>
            <w:shd w:val="clear" w:color="auto" w:fill="F2F6FC"/>
          </w:tcPr>
          <w:p w14:paraId="7B4B5EAC" w14:textId="77777777" w:rsidR="00141B56" w:rsidRDefault="00000000">
            <w:r>
              <w:rPr>
                <w:rFonts w:ascii="Arial" w:hAnsi="Arial"/>
                <w:sz w:val="18"/>
              </w:rPr>
              <w:t>Paragraph 6</w:t>
            </w:r>
          </w:p>
        </w:tc>
        <w:tc>
          <w:tcPr>
            <w:tcW w:w="1806" w:type="dxa"/>
            <w:shd w:val="clear" w:color="auto" w:fill="F2F6FC"/>
          </w:tcPr>
          <w:p w14:paraId="157BF096" w14:textId="77777777" w:rsidR="00141B56" w:rsidRDefault="00000000">
            <w:r>
              <w:rPr>
                <w:rFonts w:ascii="Arial" w:hAnsi="Arial"/>
                <w:sz w:val="18"/>
              </w:rPr>
              <w:t>Description of management's role in assessing and managing climate-related risks and opportunities</w:t>
            </w:r>
          </w:p>
        </w:tc>
        <w:tc>
          <w:tcPr>
            <w:tcW w:w="1806" w:type="dxa"/>
            <w:shd w:val="clear" w:color="auto" w:fill="F2F6FC"/>
          </w:tcPr>
          <w:p w14:paraId="4EC966F5" w14:textId="77777777" w:rsidR="00141B56" w:rsidRDefault="00000000">
            <w:r>
              <w:rPr>
                <w:rFonts w:ascii="Arial" w:hAnsi="Arial"/>
                <w:sz w:val="18"/>
              </w:rPr>
              <w:t>⚠️ Gap — No designated management position or committee</w:t>
            </w:r>
          </w:p>
        </w:tc>
        <w:tc>
          <w:tcPr>
            <w:tcW w:w="1806" w:type="dxa"/>
            <w:shd w:val="clear" w:color="auto" w:fill="F2F6FC"/>
          </w:tcPr>
          <w:p w14:paraId="1F7FB540" w14:textId="77777777" w:rsidR="00141B56" w:rsidRDefault="00000000">
            <w:r>
              <w:rPr>
                <w:rFonts w:ascii="Arial" w:hAnsi="Arial"/>
                <w:sz w:val="18"/>
              </w:rPr>
              <w:t>Critical</w:t>
            </w:r>
          </w:p>
        </w:tc>
      </w:tr>
      <w:tr w:rsidR="00141B56" w14:paraId="795D83E5" w14:textId="77777777">
        <w:trPr>
          <w:jc w:val="center"/>
        </w:trPr>
        <w:tc>
          <w:tcPr>
            <w:tcW w:w="1806" w:type="dxa"/>
          </w:tcPr>
          <w:p w14:paraId="50B369C6" w14:textId="77777777" w:rsidR="00141B56" w:rsidRDefault="00000000">
            <w:r>
              <w:rPr>
                <w:rFonts w:ascii="Arial" w:hAnsi="Arial"/>
                <w:sz w:val="18"/>
              </w:rPr>
              <w:t>IFRS S2</w:t>
            </w:r>
          </w:p>
        </w:tc>
        <w:tc>
          <w:tcPr>
            <w:tcW w:w="1806" w:type="dxa"/>
          </w:tcPr>
          <w:p w14:paraId="0DEDC273" w14:textId="77777777" w:rsidR="00141B56" w:rsidRDefault="00000000">
            <w:r>
              <w:rPr>
                <w:rFonts w:ascii="Arial" w:hAnsi="Arial"/>
                <w:sz w:val="18"/>
              </w:rPr>
              <w:t>Paragraph 7</w:t>
            </w:r>
          </w:p>
        </w:tc>
        <w:tc>
          <w:tcPr>
            <w:tcW w:w="1806" w:type="dxa"/>
          </w:tcPr>
          <w:p w14:paraId="75497BD5" w14:textId="77777777" w:rsidR="00141B56" w:rsidRDefault="00000000">
            <w:r>
              <w:rPr>
                <w:rFonts w:ascii="Arial" w:hAnsi="Arial"/>
                <w:sz w:val="18"/>
              </w:rPr>
              <w:t>Description of how climate considerations inform strategy, major transactions, and risk management</w:t>
            </w:r>
          </w:p>
        </w:tc>
        <w:tc>
          <w:tcPr>
            <w:tcW w:w="1806" w:type="dxa"/>
          </w:tcPr>
          <w:p w14:paraId="1F209437" w14:textId="77777777" w:rsidR="00141B56" w:rsidRDefault="00000000">
            <w:r>
              <w:rPr>
                <w:rFonts w:ascii="Arial" w:hAnsi="Arial"/>
                <w:sz w:val="18"/>
              </w:rPr>
              <w:t>⚠️ Gap — No documented integration process</w:t>
            </w:r>
          </w:p>
        </w:tc>
        <w:tc>
          <w:tcPr>
            <w:tcW w:w="1806" w:type="dxa"/>
          </w:tcPr>
          <w:p w14:paraId="3FE2C2F2" w14:textId="77777777" w:rsidR="00141B56" w:rsidRDefault="00000000">
            <w:r>
              <w:rPr>
                <w:rFonts w:ascii="Arial" w:hAnsi="Arial"/>
                <w:sz w:val="18"/>
              </w:rPr>
              <w:t>High</w:t>
            </w:r>
          </w:p>
        </w:tc>
      </w:tr>
      <w:tr w:rsidR="00141B56" w14:paraId="52AE9888" w14:textId="77777777">
        <w:trPr>
          <w:jc w:val="center"/>
        </w:trPr>
        <w:tc>
          <w:tcPr>
            <w:tcW w:w="1806" w:type="dxa"/>
            <w:shd w:val="clear" w:color="auto" w:fill="F2F6FC"/>
          </w:tcPr>
          <w:p w14:paraId="1399DB0F" w14:textId="77777777" w:rsidR="00141B56" w:rsidRDefault="00000000">
            <w:r>
              <w:rPr>
                <w:rFonts w:ascii="Arial" w:hAnsi="Arial"/>
                <w:sz w:val="18"/>
              </w:rPr>
              <w:t>GRI 2-12</w:t>
            </w:r>
          </w:p>
        </w:tc>
        <w:tc>
          <w:tcPr>
            <w:tcW w:w="1806" w:type="dxa"/>
            <w:shd w:val="clear" w:color="auto" w:fill="F2F6FC"/>
          </w:tcPr>
          <w:p w14:paraId="10759376" w14:textId="77777777" w:rsidR="00141B56" w:rsidRDefault="00000000">
            <w:r>
              <w:rPr>
                <w:rFonts w:ascii="Arial" w:hAnsi="Arial"/>
                <w:sz w:val="18"/>
              </w:rPr>
              <w:t>2-12a</w:t>
            </w:r>
          </w:p>
        </w:tc>
        <w:tc>
          <w:tcPr>
            <w:tcW w:w="1806" w:type="dxa"/>
            <w:shd w:val="clear" w:color="auto" w:fill="F2F6FC"/>
          </w:tcPr>
          <w:p w14:paraId="09A6D483" w14:textId="77777777" w:rsidR="00141B56" w:rsidRDefault="00000000">
            <w:r>
              <w:rPr>
                <w:rFonts w:ascii="Arial" w:hAnsi="Arial"/>
                <w:sz w:val="18"/>
              </w:rPr>
              <w:t>Role of highest governance body in overseeing management of sustainability impacts</w:t>
            </w:r>
          </w:p>
        </w:tc>
        <w:tc>
          <w:tcPr>
            <w:tcW w:w="1806" w:type="dxa"/>
            <w:shd w:val="clear" w:color="auto" w:fill="F2F6FC"/>
          </w:tcPr>
          <w:p w14:paraId="6033535F" w14:textId="77777777" w:rsidR="00141B56" w:rsidRDefault="00000000">
            <w:r>
              <w:rPr>
                <w:rFonts w:ascii="Arial" w:hAnsi="Arial"/>
                <w:sz w:val="18"/>
              </w:rPr>
              <w:t>⚠️ Gap — No formal oversight mechanism</w:t>
            </w:r>
          </w:p>
        </w:tc>
        <w:tc>
          <w:tcPr>
            <w:tcW w:w="1806" w:type="dxa"/>
            <w:shd w:val="clear" w:color="auto" w:fill="F2F6FC"/>
          </w:tcPr>
          <w:p w14:paraId="2C123CAE" w14:textId="77777777" w:rsidR="00141B56" w:rsidRDefault="00000000">
            <w:r>
              <w:rPr>
                <w:rFonts w:ascii="Arial" w:hAnsi="Arial"/>
                <w:sz w:val="18"/>
              </w:rPr>
              <w:t>Critical</w:t>
            </w:r>
          </w:p>
        </w:tc>
      </w:tr>
      <w:tr w:rsidR="00141B56" w14:paraId="0BD3C75B" w14:textId="77777777">
        <w:trPr>
          <w:jc w:val="center"/>
        </w:trPr>
        <w:tc>
          <w:tcPr>
            <w:tcW w:w="1806" w:type="dxa"/>
          </w:tcPr>
          <w:p w14:paraId="0F1E7186" w14:textId="77777777" w:rsidR="00141B56" w:rsidRDefault="00000000">
            <w:r>
              <w:rPr>
                <w:rFonts w:ascii="Arial" w:hAnsi="Arial"/>
                <w:sz w:val="18"/>
              </w:rPr>
              <w:t>GRI 2-13</w:t>
            </w:r>
          </w:p>
        </w:tc>
        <w:tc>
          <w:tcPr>
            <w:tcW w:w="1806" w:type="dxa"/>
          </w:tcPr>
          <w:p w14:paraId="1DF5EC89" w14:textId="77777777" w:rsidR="00141B56" w:rsidRDefault="00000000">
            <w:r>
              <w:rPr>
                <w:rFonts w:ascii="Arial" w:hAnsi="Arial"/>
                <w:sz w:val="18"/>
              </w:rPr>
              <w:t>2-13a</w:t>
            </w:r>
          </w:p>
        </w:tc>
        <w:tc>
          <w:tcPr>
            <w:tcW w:w="1806" w:type="dxa"/>
          </w:tcPr>
          <w:p w14:paraId="7E8008DA" w14:textId="77777777" w:rsidR="00141B56" w:rsidRDefault="00000000">
            <w:r>
              <w:rPr>
                <w:rFonts w:ascii="Arial" w:hAnsi="Arial"/>
                <w:sz w:val="18"/>
              </w:rPr>
              <w:t>Delegation of responsibility for managing sustainability impacts</w:t>
            </w:r>
          </w:p>
        </w:tc>
        <w:tc>
          <w:tcPr>
            <w:tcW w:w="1806" w:type="dxa"/>
          </w:tcPr>
          <w:p w14:paraId="10E07F2C" w14:textId="77777777" w:rsidR="00141B56" w:rsidRDefault="00000000">
            <w:r>
              <w:rPr>
                <w:rFonts w:ascii="Arial" w:hAnsi="Arial"/>
                <w:sz w:val="18"/>
              </w:rPr>
              <w:t>⚠️ Gap — No delegation framework established</w:t>
            </w:r>
          </w:p>
        </w:tc>
        <w:tc>
          <w:tcPr>
            <w:tcW w:w="1806" w:type="dxa"/>
          </w:tcPr>
          <w:p w14:paraId="0F7B64B9" w14:textId="77777777" w:rsidR="00141B56" w:rsidRDefault="00000000">
            <w:r>
              <w:rPr>
                <w:rFonts w:ascii="Arial" w:hAnsi="Arial"/>
                <w:sz w:val="18"/>
              </w:rPr>
              <w:t>Critical</w:t>
            </w:r>
          </w:p>
        </w:tc>
      </w:tr>
      <w:tr w:rsidR="00141B56" w14:paraId="277740F9" w14:textId="77777777">
        <w:trPr>
          <w:jc w:val="center"/>
        </w:trPr>
        <w:tc>
          <w:tcPr>
            <w:tcW w:w="1806" w:type="dxa"/>
            <w:shd w:val="clear" w:color="auto" w:fill="F2F6FC"/>
          </w:tcPr>
          <w:p w14:paraId="56939FBC" w14:textId="77777777" w:rsidR="00141B56" w:rsidRDefault="00000000">
            <w:r>
              <w:rPr>
                <w:rFonts w:ascii="Arial" w:hAnsi="Arial"/>
                <w:sz w:val="18"/>
              </w:rPr>
              <w:t>GRI 2-17</w:t>
            </w:r>
          </w:p>
        </w:tc>
        <w:tc>
          <w:tcPr>
            <w:tcW w:w="1806" w:type="dxa"/>
            <w:shd w:val="clear" w:color="auto" w:fill="F2F6FC"/>
          </w:tcPr>
          <w:p w14:paraId="7863D98B" w14:textId="77777777" w:rsidR="00141B56" w:rsidRDefault="00000000">
            <w:r>
              <w:rPr>
                <w:rFonts w:ascii="Arial" w:hAnsi="Arial"/>
                <w:sz w:val="18"/>
              </w:rPr>
              <w:t>2-17a</w:t>
            </w:r>
          </w:p>
        </w:tc>
        <w:tc>
          <w:tcPr>
            <w:tcW w:w="1806" w:type="dxa"/>
            <w:shd w:val="clear" w:color="auto" w:fill="F2F6FC"/>
          </w:tcPr>
          <w:p w14:paraId="299D9911" w14:textId="77777777" w:rsidR="00141B56" w:rsidRDefault="00000000">
            <w:r>
              <w:rPr>
                <w:rFonts w:ascii="Arial" w:hAnsi="Arial"/>
                <w:sz w:val="18"/>
              </w:rPr>
              <w:t>Collective knowledge, skills, and experience of governance body on sustainability</w:t>
            </w:r>
          </w:p>
        </w:tc>
        <w:tc>
          <w:tcPr>
            <w:tcW w:w="1806" w:type="dxa"/>
            <w:shd w:val="clear" w:color="auto" w:fill="F2F6FC"/>
          </w:tcPr>
          <w:p w14:paraId="1E05E67D" w14:textId="77777777" w:rsidR="00141B56" w:rsidRDefault="00000000">
            <w:r>
              <w:rPr>
                <w:rFonts w:ascii="Arial" w:hAnsi="Arial"/>
                <w:sz w:val="18"/>
              </w:rPr>
              <w:t>⚠️ Gap — No competency assessment or training program</w:t>
            </w:r>
          </w:p>
        </w:tc>
        <w:tc>
          <w:tcPr>
            <w:tcW w:w="1806" w:type="dxa"/>
            <w:shd w:val="clear" w:color="auto" w:fill="F2F6FC"/>
          </w:tcPr>
          <w:p w14:paraId="6367FD8F" w14:textId="77777777" w:rsidR="00141B56" w:rsidRDefault="00000000">
            <w:r>
              <w:rPr>
                <w:rFonts w:ascii="Arial" w:hAnsi="Arial"/>
                <w:sz w:val="18"/>
              </w:rPr>
              <w:t>High</w:t>
            </w:r>
          </w:p>
        </w:tc>
      </w:tr>
      <w:tr w:rsidR="00141B56" w14:paraId="088F0D57" w14:textId="77777777">
        <w:trPr>
          <w:jc w:val="center"/>
        </w:trPr>
        <w:tc>
          <w:tcPr>
            <w:tcW w:w="1806" w:type="dxa"/>
          </w:tcPr>
          <w:p w14:paraId="25046B1F" w14:textId="77777777" w:rsidR="00141B56" w:rsidRDefault="00000000">
            <w:r>
              <w:rPr>
                <w:rFonts w:ascii="Arial" w:hAnsi="Arial"/>
                <w:sz w:val="18"/>
              </w:rPr>
              <w:t>ESRS 2</w:t>
            </w:r>
          </w:p>
        </w:tc>
        <w:tc>
          <w:tcPr>
            <w:tcW w:w="1806" w:type="dxa"/>
          </w:tcPr>
          <w:p w14:paraId="358E55DC" w14:textId="77777777" w:rsidR="00141B56" w:rsidRDefault="00000000">
            <w:r>
              <w:rPr>
                <w:rFonts w:ascii="Arial" w:hAnsi="Arial"/>
                <w:sz w:val="18"/>
              </w:rPr>
              <w:t>GOV-3</w:t>
            </w:r>
          </w:p>
        </w:tc>
        <w:tc>
          <w:tcPr>
            <w:tcW w:w="1806" w:type="dxa"/>
          </w:tcPr>
          <w:p w14:paraId="3080AB58" w14:textId="77777777" w:rsidR="00141B56" w:rsidRDefault="00000000">
            <w:r>
              <w:rPr>
                <w:rFonts w:ascii="Arial" w:hAnsi="Arial"/>
                <w:sz w:val="18"/>
              </w:rPr>
              <w:t>Integration of sustainability performance in incentive schemes</w:t>
            </w:r>
          </w:p>
        </w:tc>
        <w:tc>
          <w:tcPr>
            <w:tcW w:w="1806" w:type="dxa"/>
          </w:tcPr>
          <w:p w14:paraId="533A2150" w14:textId="77777777" w:rsidR="00141B56" w:rsidRDefault="00000000">
            <w:r>
              <w:rPr>
                <w:rFonts w:ascii="Arial" w:hAnsi="Arial"/>
                <w:sz w:val="18"/>
              </w:rPr>
              <w:t>⚠️ Gap — No remuneration linkage to climate metrics</w:t>
            </w:r>
          </w:p>
        </w:tc>
        <w:tc>
          <w:tcPr>
            <w:tcW w:w="1806" w:type="dxa"/>
          </w:tcPr>
          <w:p w14:paraId="781CEBCD" w14:textId="77777777" w:rsidR="00141B56" w:rsidRDefault="00000000">
            <w:r>
              <w:rPr>
                <w:rFonts w:ascii="Arial" w:hAnsi="Arial"/>
                <w:sz w:val="18"/>
              </w:rPr>
              <w:t>High</w:t>
            </w:r>
          </w:p>
        </w:tc>
      </w:tr>
      <w:tr w:rsidR="00141B56" w14:paraId="5D2095BB" w14:textId="77777777">
        <w:trPr>
          <w:jc w:val="center"/>
        </w:trPr>
        <w:tc>
          <w:tcPr>
            <w:tcW w:w="1806" w:type="dxa"/>
            <w:shd w:val="clear" w:color="auto" w:fill="F2F6FC"/>
          </w:tcPr>
          <w:p w14:paraId="72FF6B70" w14:textId="77777777" w:rsidR="00141B56" w:rsidRDefault="00000000">
            <w:r>
              <w:rPr>
                <w:rFonts w:ascii="Arial" w:hAnsi="Arial"/>
                <w:sz w:val="18"/>
              </w:rPr>
              <w:t>OJK PSPK</w:t>
            </w:r>
          </w:p>
        </w:tc>
        <w:tc>
          <w:tcPr>
            <w:tcW w:w="1806" w:type="dxa"/>
            <w:shd w:val="clear" w:color="auto" w:fill="F2F6FC"/>
          </w:tcPr>
          <w:p w14:paraId="4BC9A7AA" w14:textId="77777777" w:rsidR="00141B56" w:rsidRDefault="00000000">
            <w:r>
              <w:rPr>
                <w:rFonts w:ascii="Arial" w:hAnsi="Arial"/>
                <w:sz w:val="18"/>
              </w:rPr>
              <w:t>POJK 51/2017</w:t>
            </w:r>
          </w:p>
        </w:tc>
        <w:tc>
          <w:tcPr>
            <w:tcW w:w="1806" w:type="dxa"/>
            <w:shd w:val="clear" w:color="auto" w:fill="F2F6FC"/>
          </w:tcPr>
          <w:p w14:paraId="123207E4" w14:textId="77777777" w:rsidR="00141B56" w:rsidRDefault="00000000">
            <w:r>
              <w:rPr>
                <w:rFonts w:ascii="Arial" w:hAnsi="Arial"/>
                <w:sz w:val="18"/>
              </w:rPr>
              <w:t xml:space="preserve">Board-level sustainability governance </w:t>
            </w:r>
            <w:r>
              <w:rPr>
                <w:rFonts w:ascii="Arial" w:hAnsi="Arial"/>
                <w:sz w:val="18"/>
              </w:rPr>
              <w:lastRenderedPageBreak/>
              <w:t>structure</w:t>
            </w:r>
          </w:p>
        </w:tc>
        <w:tc>
          <w:tcPr>
            <w:tcW w:w="1806" w:type="dxa"/>
            <w:shd w:val="clear" w:color="auto" w:fill="F2F6FC"/>
          </w:tcPr>
          <w:p w14:paraId="24657538" w14:textId="77777777" w:rsidR="00141B56" w:rsidRDefault="00000000">
            <w:r>
              <w:rPr>
                <w:rFonts w:ascii="Arial" w:hAnsi="Arial"/>
                <w:sz w:val="18"/>
              </w:rPr>
              <w:lastRenderedPageBreak/>
              <w:t xml:space="preserve">⚠️ Gap — Non-compliant with regulatory </w:t>
            </w:r>
            <w:r>
              <w:rPr>
                <w:rFonts w:ascii="Arial" w:hAnsi="Arial"/>
                <w:sz w:val="18"/>
              </w:rPr>
              <w:lastRenderedPageBreak/>
              <w:t>requirement</w:t>
            </w:r>
          </w:p>
        </w:tc>
        <w:tc>
          <w:tcPr>
            <w:tcW w:w="1806" w:type="dxa"/>
            <w:shd w:val="clear" w:color="auto" w:fill="F2F6FC"/>
          </w:tcPr>
          <w:p w14:paraId="634EB271" w14:textId="77777777" w:rsidR="00141B56" w:rsidRDefault="00000000">
            <w:r>
              <w:rPr>
                <w:rFonts w:ascii="Arial" w:hAnsi="Arial"/>
                <w:sz w:val="18"/>
              </w:rPr>
              <w:lastRenderedPageBreak/>
              <w:t>Critical</w:t>
            </w:r>
          </w:p>
        </w:tc>
      </w:tr>
      <w:tr w:rsidR="00141B56" w14:paraId="127C8869" w14:textId="77777777">
        <w:trPr>
          <w:jc w:val="center"/>
        </w:trPr>
        <w:tc>
          <w:tcPr>
            <w:tcW w:w="1806" w:type="dxa"/>
          </w:tcPr>
          <w:p w14:paraId="461D0A5D" w14:textId="77777777" w:rsidR="00141B56" w:rsidRDefault="00000000">
            <w:r>
              <w:rPr>
                <w:rFonts w:ascii="Arial" w:hAnsi="Arial"/>
                <w:sz w:val="18"/>
              </w:rPr>
              <w:t>OJK PSPK</w:t>
            </w:r>
          </w:p>
        </w:tc>
        <w:tc>
          <w:tcPr>
            <w:tcW w:w="1806" w:type="dxa"/>
          </w:tcPr>
          <w:p w14:paraId="63236D0C" w14:textId="77777777" w:rsidR="00141B56" w:rsidRDefault="00000000">
            <w:r>
              <w:rPr>
                <w:rFonts w:ascii="Arial" w:hAnsi="Arial"/>
                <w:sz w:val="18"/>
              </w:rPr>
              <w:t>SEOJK 16/2021</w:t>
            </w:r>
          </w:p>
        </w:tc>
        <w:tc>
          <w:tcPr>
            <w:tcW w:w="1806" w:type="dxa"/>
          </w:tcPr>
          <w:p w14:paraId="611B4857" w14:textId="77777777" w:rsidR="00141B56" w:rsidRDefault="00000000">
            <w:r>
              <w:rPr>
                <w:rFonts w:ascii="Arial" w:hAnsi="Arial"/>
                <w:sz w:val="18"/>
              </w:rPr>
              <w:t>Annual Sustainable Finance Action Plan with board approval</w:t>
            </w:r>
          </w:p>
        </w:tc>
        <w:tc>
          <w:tcPr>
            <w:tcW w:w="1806" w:type="dxa"/>
          </w:tcPr>
          <w:p w14:paraId="6EB3096B" w14:textId="77777777" w:rsidR="00141B56" w:rsidRDefault="00000000">
            <w:r>
              <w:rPr>
                <w:rFonts w:ascii="Arial" w:hAnsi="Arial"/>
                <w:sz w:val="18"/>
              </w:rPr>
              <w:t>⚠️ Gap — SFAP submission status unknown</w:t>
            </w:r>
          </w:p>
        </w:tc>
        <w:tc>
          <w:tcPr>
            <w:tcW w:w="1806" w:type="dxa"/>
          </w:tcPr>
          <w:p w14:paraId="657D4993" w14:textId="77777777" w:rsidR="00141B56" w:rsidRDefault="00000000">
            <w:r>
              <w:rPr>
                <w:rFonts w:ascii="Arial" w:hAnsi="Arial"/>
                <w:sz w:val="18"/>
              </w:rPr>
              <w:t>Critical</w:t>
            </w:r>
          </w:p>
        </w:tc>
      </w:tr>
    </w:tbl>
    <w:p w14:paraId="4E89EF39" w14:textId="77777777" w:rsidR="00141B56" w:rsidRDefault="00000000">
      <w:r>
        <w:rPr>
          <w:rFonts w:ascii="Arial" w:hAnsi="Arial"/>
          <w:i/>
          <w:sz w:val="16"/>
        </w:rPr>
        <w:t>Source: Status assessment based on DATA INPUT governance fields (all NULL). Priority levels: Critical (regulatory/framework mandatory), High (material to stakeholders), Medium (best practice).</w:t>
      </w:r>
    </w:p>
    <w:p w14:paraId="1CAB37B3" w14:textId="77777777" w:rsidR="00141B56" w:rsidRDefault="00141B56"/>
    <w:p w14:paraId="6F848745" w14:textId="77777777" w:rsidR="00141B56" w:rsidRDefault="00000000">
      <w:r>
        <w:rPr>
          <w:rFonts w:ascii="Arial" w:hAnsi="Arial"/>
          <w:b/>
          <w:sz w:val="20"/>
        </w:rPr>
        <w:t>Table 3.1.2: Peer Bank Governance Structures — Indonesian Banking Sector</w:t>
      </w:r>
    </w:p>
    <w:tbl>
      <w:tblPr>
        <w:tblW w:w="0" w:type="auto"/>
        <w:jc w:val="center"/>
        <w:tblLook w:val="04A0" w:firstRow="1" w:lastRow="0" w:firstColumn="1" w:lastColumn="0" w:noHBand="0" w:noVBand="1"/>
      </w:tblPr>
      <w:tblGrid>
        <w:gridCol w:w="1505"/>
        <w:gridCol w:w="1505"/>
        <w:gridCol w:w="1505"/>
        <w:gridCol w:w="1505"/>
        <w:gridCol w:w="1505"/>
        <w:gridCol w:w="1505"/>
      </w:tblGrid>
      <w:tr w:rsidR="00141B56" w14:paraId="2962E20D" w14:textId="77777777">
        <w:trPr>
          <w:jc w:val="center"/>
        </w:trPr>
        <w:tc>
          <w:tcPr>
            <w:tcW w:w="1505" w:type="dxa"/>
            <w:shd w:val="clear" w:color="auto" w:fill="1B3A6B"/>
          </w:tcPr>
          <w:p w14:paraId="4A465994" w14:textId="77777777" w:rsidR="00141B56" w:rsidRDefault="00000000">
            <w:r>
              <w:rPr>
                <w:rFonts w:ascii="Arial" w:hAnsi="Arial"/>
                <w:b/>
                <w:color w:val="FFFFFF"/>
                <w:sz w:val="18"/>
              </w:rPr>
              <w:t>Institution</w:t>
            </w:r>
          </w:p>
        </w:tc>
        <w:tc>
          <w:tcPr>
            <w:tcW w:w="1505" w:type="dxa"/>
            <w:shd w:val="clear" w:color="auto" w:fill="1B3A6B"/>
          </w:tcPr>
          <w:p w14:paraId="07E751D2" w14:textId="77777777" w:rsidR="00141B56" w:rsidRDefault="00000000">
            <w:r>
              <w:rPr>
                <w:rFonts w:ascii="Arial" w:hAnsi="Arial"/>
                <w:b/>
                <w:color w:val="FFFFFF"/>
                <w:sz w:val="18"/>
              </w:rPr>
              <w:t>Board Committee</w:t>
            </w:r>
          </w:p>
        </w:tc>
        <w:tc>
          <w:tcPr>
            <w:tcW w:w="1505" w:type="dxa"/>
            <w:shd w:val="clear" w:color="auto" w:fill="1B3A6B"/>
          </w:tcPr>
          <w:p w14:paraId="503A8A9A" w14:textId="77777777" w:rsidR="00141B56" w:rsidRDefault="00000000">
            <w:r>
              <w:rPr>
                <w:rFonts w:ascii="Arial" w:hAnsi="Arial"/>
                <w:b/>
                <w:color w:val="FFFFFF"/>
                <w:sz w:val="18"/>
              </w:rPr>
              <w:t>Management Structure</w:t>
            </w:r>
          </w:p>
        </w:tc>
        <w:tc>
          <w:tcPr>
            <w:tcW w:w="1505" w:type="dxa"/>
            <w:shd w:val="clear" w:color="auto" w:fill="1B3A6B"/>
          </w:tcPr>
          <w:p w14:paraId="70E42151" w14:textId="77777777" w:rsidR="00141B56" w:rsidRDefault="00000000">
            <w:r>
              <w:rPr>
                <w:rFonts w:ascii="Arial" w:hAnsi="Arial"/>
                <w:b/>
                <w:color w:val="FFFFFF"/>
                <w:sz w:val="18"/>
              </w:rPr>
              <w:t>Review Frequency</w:t>
            </w:r>
          </w:p>
        </w:tc>
        <w:tc>
          <w:tcPr>
            <w:tcW w:w="1505" w:type="dxa"/>
            <w:shd w:val="clear" w:color="auto" w:fill="1B3A6B"/>
          </w:tcPr>
          <w:p w14:paraId="7ADF056D" w14:textId="77777777" w:rsidR="00141B56" w:rsidRDefault="00000000">
            <w:r>
              <w:rPr>
                <w:rFonts w:ascii="Arial" w:hAnsi="Arial"/>
                <w:b/>
                <w:color w:val="FFFFFF"/>
                <w:sz w:val="18"/>
              </w:rPr>
              <w:t>Remuneration Link</w:t>
            </w:r>
          </w:p>
        </w:tc>
        <w:tc>
          <w:tcPr>
            <w:tcW w:w="1505" w:type="dxa"/>
            <w:shd w:val="clear" w:color="auto" w:fill="1B3A6B"/>
          </w:tcPr>
          <w:p w14:paraId="58E0211B" w14:textId="77777777" w:rsidR="00141B56" w:rsidRDefault="00000000">
            <w:r>
              <w:rPr>
                <w:rFonts w:ascii="Arial" w:hAnsi="Arial"/>
                <w:b/>
                <w:color w:val="FFFFFF"/>
                <w:sz w:val="18"/>
              </w:rPr>
              <w:t>Key Features</w:t>
            </w:r>
          </w:p>
        </w:tc>
      </w:tr>
      <w:tr w:rsidR="00141B56" w14:paraId="538097A3" w14:textId="77777777">
        <w:trPr>
          <w:jc w:val="center"/>
        </w:trPr>
        <w:tc>
          <w:tcPr>
            <w:tcW w:w="1505" w:type="dxa"/>
          </w:tcPr>
          <w:p w14:paraId="5186CD03" w14:textId="77777777" w:rsidR="00141B56" w:rsidRDefault="00000000">
            <w:r>
              <w:rPr>
                <w:rFonts w:ascii="Arial" w:hAnsi="Arial"/>
                <w:sz w:val="18"/>
              </w:rPr>
              <w:t>Bank Rakyat Indonesia (BRI)</w:t>
            </w:r>
          </w:p>
        </w:tc>
        <w:tc>
          <w:tcPr>
            <w:tcW w:w="1505" w:type="dxa"/>
          </w:tcPr>
          <w:p w14:paraId="3B73C016" w14:textId="77777777" w:rsidR="00141B56" w:rsidRDefault="00000000">
            <w:r>
              <w:rPr>
                <w:rFonts w:ascii="Arial" w:hAnsi="Arial"/>
                <w:sz w:val="18"/>
              </w:rPr>
              <w:t>Risk Management &amp; ESG Committee (since 2021)</w:t>
            </w:r>
          </w:p>
        </w:tc>
        <w:tc>
          <w:tcPr>
            <w:tcW w:w="1505" w:type="dxa"/>
          </w:tcPr>
          <w:p w14:paraId="629CD738" w14:textId="77777777" w:rsidR="00141B56" w:rsidRDefault="00000000">
            <w:r>
              <w:rPr>
                <w:rFonts w:ascii="Arial" w:hAnsi="Arial"/>
                <w:sz w:val="18"/>
              </w:rPr>
              <w:t>Reports to President Director</w:t>
            </w:r>
          </w:p>
        </w:tc>
        <w:tc>
          <w:tcPr>
            <w:tcW w:w="1505" w:type="dxa"/>
          </w:tcPr>
          <w:p w14:paraId="35F96745" w14:textId="77777777" w:rsidR="00141B56" w:rsidRDefault="00000000">
            <w:r>
              <w:rPr>
                <w:rFonts w:ascii="Arial" w:hAnsi="Arial"/>
                <w:sz w:val="18"/>
              </w:rPr>
              <w:t>Quarterly</w:t>
            </w:r>
          </w:p>
        </w:tc>
        <w:tc>
          <w:tcPr>
            <w:tcW w:w="1505" w:type="dxa"/>
          </w:tcPr>
          <w:p w14:paraId="3BFB996F" w14:textId="77777777" w:rsidR="00141B56" w:rsidRDefault="00000000">
            <w:r>
              <w:rPr>
                <w:rFonts w:ascii="Arial" w:hAnsi="Arial"/>
                <w:sz w:val="18"/>
              </w:rPr>
              <w:t>Yes (integrated to BoD KPIs)</w:t>
            </w:r>
          </w:p>
        </w:tc>
        <w:tc>
          <w:tcPr>
            <w:tcW w:w="1505" w:type="dxa"/>
          </w:tcPr>
          <w:p w14:paraId="3E3A0939" w14:textId="77777777" w:rsidR="00141B56" w:rsidRDefault="00000000">
            <w:r>
              <w:rPr>
                <w:rFonts w:ascii="Arial" w:hAnsi="Arial"/>
                <w:sz w:val="18"/>
              </w:rPr>
              <w:t>First Indonesian FI with SBTi commitment; NOKEP 872-DIR/2022</w:t>
            </w:r>
          </w:p>
        </w:tc>
      </w:tr>
      <w:tr w:rsidR="00141B56" w14:paraId="0630B925" w14:textId="77777777">
        <w:trPr>
          <w:jc w:val="center"/>
        </w:trPr>
        <w:tc>
          <w:tcPr>
            <w:tcW w:w="1505" w:type="dxa"/>
            <w:shd w:val="clear" w:color="auto" w:fill="F2F6FC"/>
          </w:tcPr>
          <w:p w14:paraId="07463072" w14:textId="77777777" w:rsidR="00141B56" w:rsidRDefault="00000000">
            <w:r>
              <w:rPr>
                <w:rFonts w:ascii="Arial" w:hAnsi="Arial"/>
                <w:sz w:val="18"/>
              </w:rPr>
              <w:t>Bank Central Asia (BCA)</w:t>
            </w:r>
          </w:p>
        </w:tc>
        <w:tc>
          <w:tcPr>
            <w:tcW w:w="1505" w:type="dxa"/>
            <w:shd w:val="clear" w:color="auto" w:fill="F2F6FC"/>
          </w:tcPr>
          <w:p w14:paraId="2ABD2BEE" w14:textId="77777777" w:rsidR="00141B56" w:rsidRDefault="00000000">
            <w:r>
              <w:rPr>
                <w:rFonts w:ascii="Arial" w:hAnsi="Arial"/>
                <w:sz w:val="18"/>
              </w:rPr>
              <w:t>ESG Subdivision</w:t>
            </w:r>
          </w:p>
        </w:tc>
        <w:tc>
          <w:tcPr>
            <w:tcW w:w="1505" w:type="dxa"/>
            <w:shd w:val="clear" w:color="auto" w:fill="F2F6FC"/>
          </w:tcPr>
          <w:p w14:paraId="364B0AE0" w14:textId="77777777" w:rsidR="00141B56" w:rsidRDefault="00000000">
            <w:r>
              <w:rPr>
                <w:rFonts w:ascii="Arial" w:hAnsi="Arial"/>
                <w:sz w:val="18"/>
              </w:rPr>
              <w:t>Director Planning &amp; Finance → President Director</w:t>
            </w:r>
          </w:p>
        </w:tc>
        <w:tc>
          <w:tcPr>
            <w:tcW w:w="1505" w:type="dxa"/>
            <w:shd w:val="clear" w:color="auto" w:fill="F2F6FC"/>
          </w:tcPr>
          <w:p w14:paraId="77ECFCCD" w14:textId="77777777" w:rsidR="00141B56" w:rsidRDefault="00000000">
            <w:r>
              <w:rPr>
                <w:rFonts w:ascii="Arial" w:hAnsi="Arial"/>
                <w:sz w:val="18"/>
              </w:rPr>
              <w:t>≥4x per year</w:t>
            </w:r>
          </w:p>
        </w:tc>
        <w:tc>
          <w:tcPr>
            <w:tcW w:w="1505" w:type="dxa"/>
            <w:shd w:val="clear" w:color="auto" w:fill="F2F6FC"/>
          </w:tcPr>
          <w:p w14:paraId="59AB44F9" w14:textId="77777777" w:rsidR="00141B56" w:rsidRDefault="00000000">
            <w:r>
              <w:rPr>
                <w:rFonts w:ascii="Arial" w:hAnsi="Arial"/>
                <w:sz w:val="18"/>
              </w:rPr>
              <w:t>Yes (BoD &amp; work unit KPIs)</w:t>
            </w:r>
          </w:p>
        </w:tc>
        <w:tc>
          <w:tcPr>
            <w:tcW w:w="1505" w:type="dxa"/>
            <w:shd w:val="clear" w:color="auto" w:fill="F2F6FC"/>
          </w:tcPr>
          <w:p w14:paraId="1A81F214" w14:textId="77777777" w:rsidR="00141B56" w:rsidRDefault="00000000">
            <w:r>
              <w:rPr>
                <w:rFonts w:ascii="Arial" w:hAnsi="Arial"/>
                <w:sz w:val="18"/>
              </w:rPr>
              <w:t>Annual Board ESG refresher with GRI/CDP/OJK; sectoral credit policies</w:t>
            </w:r>
          </w:p>
        </w:tc>
      </w:tr>
      <w:tr w:rsidR="00141B56" w14:paraId="4CCCFD0D" w14:textId="77777777">
        <w:trPr>
          <w:jc w:val="center"/>
        </w:trPr>
        <w:tc>
          <w:tcPr>
            <w:tcW w:w="1505" w:type="dxa"/>
          </w:tcPr>
          <w:p w14:paraId="163B65AF" w14:textId="77777777" w:rsidR="00141B56" w:rsidRDefault="00000000">
            <w:r>
              <w:rPr>
                <w:rFonts w:ascii="Arial" w:hAnsi="Arial"/>
                <w:sz w:val="18"/>
              </w:rPr>
              <w:t>DBS Bank</w:t>
            </w:r>
          </w:p>
        </w:tc>
        <w:tc>
          <w:tcPr>
            <w:tcW w:w="1505" w:type="dxa"/>
          </w:tcPr>
          <w:p w14:paraId="7FB8A89C" w14:textId="77777777" w:rsidR="00141B56" w:rsidRDefault="00000000">
            <w:r>
              <w:rPr>
                <w:rFonts w:ascii="Arial" w:hAnsi="Arial"/>
                <w:sz w:val="18"/>
              </w:rPr>
              <w:t>Board Sustainability Committee</w:t>
            </w:r>
          </w:p>
        </w:tc>
        <w:tc>
          <w:tcPr>
            <w:tcW w:w="1505" w:type="dxa"/>
          </w:tcPr>
          <w:p w14:paraId="6A297828" w14:textId="77777777" w:rsidR="00141B56" w:rsidRDefault="00000000">
            <w:r>
              <w:rPr>
                <w:rFonts w:ascii="Arial" w:hAnsi="Arial"/>
                <w:sz w:val="18"/>
              </w:rPr>
              <w:t>Chief Sustainability Officer → Board</w:t>
            </w:r>
          </w:p>
        </w:tc>
        <w:tc>
          <w:tcPr>
            <w:tcW w:w="1505" w:type="dxa"/>
          </w:tcPr>
          <w:p w14:paraId="53F390BD" w14:textId="77777777" w:rsidR="00141B56" w:rsidRDefault="00000000">
            <w:r>
              <w:rPr>
                <w:rFonts w:ascii="Arial" w:hAnsi="Arial"/>
                <w:sz w:val="18"/>
              </w:rPr>
              <w:t>Quarterly</w:t>
            </w:r>
          </w:p>
        </w:tc>
        <w:tc>
          <w:tcPr>
            <w:tcW w:w="1505" w:type="dxa"/>
          </w:tcPr>
          <w:p w14:paraId="42048651" w14:textId="77777777" w:rsidR="00141B56" w:rsidRDefault="00000000">
            <w:r>
              <w:rPr>
                <w:rFonts w:ascii="Arial" w:hAnsi="Arial"/>
                <w:sz w:val="18"/>
              </w:rPr>
              <w:t>Yes (20% weight)</w:t>
            </w:r>
          </w:p>
        </w:tc>
        <w:tc>
          <w:tcPr>
            <w:tcW w:w="1505" w:type="dxa"/>
          </w:tcPr>
          <w:p w14:paraId="42A19B3B" w14:textId="77777777" w:rsidR="00141B56" w:rsidRDefault="00000000">
            <w:r>
              <w:rPr>
                <w:rFonts w:ascii="Arial" w:hAnsi="Arial"/>
                <w:sz w:val="18"/>
              </w:rPr>
              <w:t>62% renewable energy; coal phase-out 2039; CDP A-list</w:t>
            </w:r>
          </w:p>
        </w:tc>
      </w:tr>
      <w:tr w:rsidR="00141B56" w14:paraId="110623D9" w14:textId="77777777">
        <w:trPr>
          <w:jc w:val="center"/>
        </w:trPr>
        <w:tc>
          <w:tcPr>
            <w:tcW w:w="1505" w:type="dxa"/>
            <w:shd w:val="clear" w:color="auto" w:fill="F2F6FC"/>
          </w:tcPr>
          <w:p w14:paraId="6F14B4A9" w14:textId="77777777" w:rsidR="00141B56" w:rsidRDefault="00000000">
            <w:r>
              <w:rPr>
                <w:rFonts w:ascii="Arial" w:hAnsi="Arial"/>
                <w:sz w:val="18"/>
              </w:rPr>
              <w:t>Bank Mandiri</w:t>
            </w:r>
          </w:p>
        </w:tc>
        <w:tc>
          <w:tcPr>
            <w:tcW w:w="1505" w:type="dxa"/>
            <w:shd w:val="clear" w:color="auto" w:fill="F2F6FC"/>
          </w:tcPr>
          <w:p w14:paraId="0863A88A" w14:textId="77777777" w:rsidR="00141B56" w:rsidRDefault="00000000">
            <w:r>
              <w:rPr>
                <w:rFonts w:ascii="Arial" w:hAnsi="Arial"/>
                <w:sz w:val="18"/>
              </w:rPr>
              <w:t>ESG Task Force</w:t>
            </w:r>
          </w:p>
        </w:tc>
        <w:tc>
          <w:tcPr>
            <w:tcW w:w="1505" w:type="dxa"/>
            <w:shd w:val="clear" w:color="auto" w:fill="F2F6FC"/>
          </w:tcPr>
          <w:p w14:paraId="72457465" w14:textId="77777777" w:rsidR="00141B56" w:rsidRDefault="00000000">
            <w:r>
              <w:rPr>
                <w:rFonts w:ascii="Arial" w:hAnsi="Arial"/>
                <w:sz w:val="18"/>
              </w:rPr>
              <w:t>Director → President Director</w:t>
            </w:r>
          </w:p>
        </w:tc>
        <w:tc>
          <w:tcPr>
            <w:tcW w:w="1505" w:type="dxa"/>
            <w:shd w:val="clear" w:color="auto" w:fill="F2F6FC"/>
          </w:tcPr>
          <w:p w14:paraId="6D8F44B8" w14:textId="77777777" w:rsidR="00141B56" w:rsidRDefault="00000000">
            <w:r>
              <w:rPr>
                <w:rFonts w:ascii="Arial" w:hAnsi="Arial"/>
                <w:sz w:val="18"/>
              </w:rPr>
              <w:t>Semi-annual</w:t>
            </w:r>
          </w:p>
        </w:tc>
        <w:tc>
          <w:tcPr>
            <w:tcW w:w="1505" w:type="dxa"/>
            <w:shd w:val="clear" w:color="auto" w:fill="F2F6FC"/>
          </w:tcPr>
          <w:p w14:paraId="2C4C34C4" w14:textId="77777777" w:rsidR="00141B56" w:rsidRDefault="00000000">
            <w:r>
              <w:rPr>
                <w:rFonts w:ascii="Arial" w:hAnsi="Arial"/>
                <w:sz w:val="18"/>
              </w:rPr>
              <w:t>Partial</w:t>
            </w:r>
          </w:p>
        </w:tc>
        <w:tc>
          <w:tcPr>
            <w:tcW w:w="1505" w:type="dxa"/>
            <w:shd w:val="clear" w:color="auto" w:fill="F2F6FC"/>
          </w:tcPr>
          <w:p w14:paraId="029108AA" w14:textId="77777777" w:rsidR="00141B56" w:rsidRDefault="00000000">
            <w:r>
              <w:rPr>
                <w:rFonts w:ascii="Arial" w:hAnsi="Arial"/>
                <w:sz w:val="18"/>
              </w:rPr>
              <w:t>GCG-aligned internal policy; TCFD reporting</w:t>
            </w:r>
          </w:p>
        </w:tc>
      </w:tr>
      <w:tr w:rsidR="00141B56" w14:paraId="5990639C" w14:textId="77777777">
        <w:trPr>
          <w:jc w:val="center"/>
        </w:trPr>
        <w:tc>
          <w:tcPr>
            <w:tcW w:w="1505" w:type="dxa"/>
          </w:tcPr>
          <w:p w14:paraId="3399F741" w14:textId="77777777" w:rsidR="00141B56" w:rsidRDefault="00000000">
            <w:r>
              <w:rPr>
                <w:rFonts w:ascii="Arial" w:hAnsi="Arial"/>
                <w:sz w:val="18"/>
              </w:rPr>
              <w:t>OCBC Indonesia</w:t>
            </w:r>
          </w:p>
        </w:tc>
        <w:tc>
          <w:tcPr>
            <w:tcW w:w="1505" w:type="dxa"/>
          </w:tcPr>
          <w:p w14:paraId="34AF44AB" w14:textId="77777777" w:rsidR="00141B56" w:rsidRDefault="00000000">
            <w:r>
              <w:rPr>
                <w:rFonts w:ascii="Arial" w:hAnsi="Arial"/>
                <w:sz w:val="18"/>
              </w:rPr>
              <w:t>Sustainability Committee</w:t>
            </w:r>
          </w:p>
        </w:tc>
        <w:tc>
          <w:tcPr>
            <w:tcW w:w="1505" w:type="dxa"/>
          </w:tcPr>
          <w:p w14:paraId="42EA159C" w14:textId="77777777" w:rsidR="00141B56" w:rsidRDefault="00000000">
            <w:r>
              <w:rPr>
                <w:rFonts w:ascii="Arial" w:hAnsi="Arial"/>
                <w:sz w:val="18"/>
              </w:rPr>
              <w:t>Sustainability Division</w:t>
            </w:r>
          </w:p>
        </w:tc>
        <w:tc>
          <w:tcPr>
            <w:tcW w:w="1505" w:type="dxa"/>
          </w:tcPr>
          <w:p w14:paraId="294BD212" w14:textId="77777777" w:rsidR="00141B56" w:rsidRDefault="00000000">
            <w:r>
              <w:rPr>
                <w:rFonts w:ascii="Arial" w:hAnsi="Arial"/>
                <w:sz w:val="18"/>
              </w:rPr>
              <w:t>Quarterly</w:t>
            </w:r>
          </w:p>
        </w:tc>
        <w:tc>
          <w:tcPr>
            <w:tcW w:w="1505" w:type="dxa"/>
          </w:tcPr>
          <w:p w14:paraId="5CC6D28E" w14:textId="77777777" w:rsidR="00141B56" w:rsidRDefault="00000000">
            <w:r>
              <w:rPr>
                <w:rFonts w:ascii="Arial" w:hAnsi="Arial"/>
                <w:sz w:val="18"/>
              </w:rPr>
              <w:t>Under development</w:t>
            </w:r>
          </w:p>
        </w:tc>
        <w:tc>
          <w:tcPr>
            <w:tcW w:w="1505" w:type="dxa"/>
          </w:tcPr>
          <w:p w14:paraId="52887F81" w14:textId="77777777" w:rsidR="00141B56" w:rsidRDefault="00000000">
            <w:r>
              <w:rPr>
                <w:rFonts w:ascii="Arial" w:hAnsi="Arial"/>
                <w:sz w:val="18"/>
              </w:rPr>
              <w:t>ISO 27001 certified; PDPA compliant</w:t>
            </w:r>
          </w:p>
        </w:tc>
      </w:tr>
    </w:tbl>
    <w:p w14:paraId="134A3928" w14:textId="77777777" w:rsidR="00141B56" w:rsidRDefault="00000000">
      <w:r>
        <w:rPr>
          <w:rFonts w:ascii="Arial" w:hAnsi="Arial"/>
          <w:i/>
          <w:sz w:val="16"/>
        </w:rPr>
        <w:t>Source: Source: Sustainability Reports 2023-2025 (BRI, BCA, DBS, Mandiri, OCBC). Data reflects disclosed governance structures as of latest reporting period.</w:t>
      </w:r>
    </w:p>
    <w:p w14:paraId="217F7313" w14:textId="77777777" w:rsidR="00141B56" w:rsidRDefault="00141B56"/>
    <w:p w14:paraId="316E5494" w14:textId="77777777" w:rsidR="00141B56" w:rsidRDefault="00000000">
      <w:r>
        <w:rPr>
          <w:i/>
          <w:color w:val="3D6094"/>
          <w:sz w:val="18"/>
        </w:rPr>
        <w:t>Framework references: IFRS S2 Paragraph 5 — Governance body identification; IFRS S2 Paragraph 6 — Management's role in climate risk management; IFRS S2 Paragraph 7 — Integration of climate in strategy and decision-making; GRI 2-12 — Role of highest governance body in sustainability oversight; GRI 2-13 — Delegation of responsibility for managing impacts; GRI 2-17 — Collective knowledge and skills of governance body; ESRS 2 GOV-3 — Integration of sustainability in incentive schemes; OJK POJK 51/POJK.03/2017 — Sustainable Finance Implementation; OJK SEOJK 16/SEOJK.03/2021 — Sustainable Finance Action Plan</w:t>
      </w:r>
    </w:p>
    <w:p w14:paraId="70AF7FD7" w14:textId="77777777" w:rsidR="00141B56" w:rsidRDefault="00141B56">
      <w:pPr>
        <w:pBdr>
          <w:bottom w:val="single" w:sz="6" w:space="1" w:color="999999"/>
        </w:pBdr>
        <w:spacing w:after="80"/>
      </w:pPr>
    </w:p>
    <w:p w14:paraId="17C83F4A" w14:textId="77777777" w:rsidR="00141B56" w:rsidRDefault="00000000">
      <w:pPr>
        <w:spacing w:after="160"/>
        <w:jc w:val="both"/>
      </w:pPr>
      <w:r>
        <w:rPr>
          <w:rFonts w:ascii="Arial" w:hAnsi="Arial"/>
          <w:i/>
          <w:color w:val="646464"/>
          <w:sz w:val="18"/>
        </w:rPr>
        <w:t>All governance data fields in DATA INPUT are NULL, indicating the institution has not yet established formal climate governance structures required by IFRS S2, GRI, ESRS 2, and OJK PSPK.</w:t>
      </w:r>
    </w:p>
    <w:p w14:paraId="7830A7D0" w14:textId="77777777" w:rsidR="00141B56" w:rsidRDefault="00000000">
      <w:pPr>
        <w:spacing w:after="160"/>
        <w:jc w:val="both"/>
      </w:pPr>
      <w:r>
        <w:rPr>
          <w:rFonts w:ascii="Arial" w:hAnsi="Arial"/>
          <w:i/>
          <w:color w:val="646464"/>
          <w:sz w:val="18"/>
        </w:rPr>
        <w:lastRenderedPageBreak/>
        <w:t>Peer benchmark data sourced from publicly available sustainability reports: BRI Sustainability Report 2023, BCA Sustainability Report 2025, DBS Sustainability Report 2023, Bank Mandiri Sustainability Report 2023, OCBC Indonesia Sustainability Report 2024.</w:t>
      </w:r>
    </w:p>
    <w:p w14:paraId="7DA2BDA9" w14:textId="77777777" w:rsidR="00141B56" w:rsidRDefault="00000000">
      <w:pPr>
        <w:spacing w:after="160"/>
        <w:jc w:val="both"/>
      </w:pPr>
      <w:r>
        <w:rPr>
          <w:rFonts w:ascii="Arial" w:hAnsi="Arial"/>
          <w:i/>
          <w:color w:val="646464"/>
          <w:sz w:val="18"/>
        </w:rPr>
        <w:t>OJK POJK 51/2017 and SEOJK 16/2021 mandate board-level sustainability governance for Indonesian financial institutions. Current governance gap represents regulatory non-compliance requiring urgent remediation.</w:t>
      </w:r>
    </w:p>
    <w:p w14:paraId="6752FA32" w14:textId="77777777" w:rsidR="00141B56" w:rsidRDefault="00000000">
      <w:pPr>
        <w:spacing w:after="160"/>
        <w:jc w:val="both"/>
      </w:pPr>
      <w:r>
        <w:rPr>
          <w:rFonts w:ascii="Arial" w:hAnsi="Arial"/>
          <w:i/>
          <w:color w:val="646464"/>
          <w:sz w:val="18"/>
        </w:rPr>
        <w:t>Recommended timeline for governance infrastructure establishment: Board committee formation (3-6 months), management structure designation (3 months), remuneration linkage design (6-9 months), full framework implementation (12 months).</w:t>
      </w:r>
    </w:p>
    <w:p w14:paraId="75554F77" w14:textId="77777777" w:rsidR="00141B56" w:rsidRDefault="00000000">
      <w:pPr>
        <w:pStyle w:val="Heading2"/>
        <w:spacing w:before="360" w:after="160"/>
      </w:pPr>
      <w:bookmarkStart w:id="13" w:name="_Toc231986308"/>
      <w:r>
        <w:rPr>
          <w:rFonts w:ascii="Arial" w:hAnsi="Arial"/>
          <w:color w:val="3D6094"/>
          <w:sz w:val="28"/>
        </w:rPr>
        <w:t>3.2 Climate Targets &amp; Transition Plan</w:t>
      </w:r>
      <w:bookmarkEnd w:id="13"/>
    </w:p>
    <w:p w14:paraId="64D6795F" w14:textId="77777777" w:rsidR="00141B56" w:rsidRDefault="00000000">
      <w:pPr>
        <w:spacing w:after="160"/>
        <w:jc w:val="both"/>
      </w:pPr>
      <w:r>
        <w:rPr>
          <w:rFonts w:ascii="Arial" w:hAnsi="Arial"/>
        </w:rPr>
        <w:t>**Target-Setting Status and Framework Requirements**</w:t>
      </w:r>
      <w:r>
        <w:rPr>
          <w:rFonts w:ascii="Arial" w:hAnsi="Arial"/>
        </w:rPr>
        <w:br/>
      </w:r>
      <w:r>
        <w:rPr>
          <w:rFonts w:ascii="Arial" w:hAnsi="Arial"/>
        </w:rPr>
        <w:br/>
        <w:t>The institution has not yet established quantitative greenhouse gas reduction targets for the 2024 reporting period. This represents a material disclosure gap across multiple sustainability reporting frameworks that mandate target-setting as a core element of climate strategy. IFRS S2 Paragraph 33 requires entities to disclose quantitative and qualitative climate-related targets, including metrics used and the target date. GRI 305-5 mandates disclosure of emission reduction targets in absolute terms (tCO₂e). ESRS E1-4 requires disclosure of GHG emission reduction targets and the decarbonization levers identified to achieve them. OJK PSPK regulations require financial institutions to establish climate targets aligned with Indonesia's Nationally Determined Contributions (NDC) and disclose transition plans.</w:t>
      </w:r>
    </w:p>
    <w:p w14:paraId="12FB1625" w14:textId="77777777" w:rsidR="00141B56" w:rsidRDefault="00000000">
      <w:pPr>
        <w:spacing w:after="160"/>
        <w:jc w:val="both"/>
      </w:pPr>
      <w:r>
        <w:rPr>
          <w:rFonts w:ascii="Arial" w:hAnsi="Arial"/>
        </w:rPr>
        <w:t>**Peer Benchmark Analysis: Indonesian Banking Sector**</w:t>
      </w:r>
      <w:r>
        <w:rPr>
          <w:rFonts w:ascii="Arial" w:hAnsi="Arial"/>
        </w:rPr>
        <w:br/>
      </w:r>
      <w:r>
        <w:rPr>
          <w:rFonts w:ascii="Arial" w:hAnsi="Arial"/>
        </w:rPr>
        <w:br/>
        <w:t>Leading financial institutions in Indonesia and the broader ASEAN region have established comprehensive target frameworks that provide instructive precedents. Bank Rakyat Indonesia (BRI) became the first Indonesian financial institution to submit a Science Based Targets initiative (SBTi) commitment letter in 2023, establishing a portfolio temperature alignment target of 1.75°C by 2040 from a 2023 baseline of 3.14°C. This represents an annual reduction trajectory of 0.0783°C per year across financed emissions (Scope 3 Category 15). DBS Group has committed to Net Zero by 2050 with SBTi-validated targets, achieved 62% renewable energy procurement under RE100 membership, and implemented an internal carbon price of $15 per tCO₂e to guide capital allocation decisions. The institution achieved a 12% year-over-year reduction in operational emissions (Scope 1+2) in 2023, demonstrating the effectiveness of structured target-driven programs. Bank Central Asia (BCA) has established a Climate Change Strategy with sectoral financing policies and is exceeding its Sustainable Finance Action Plan (SFAP) targets, though specific quantitative reduction targets have not been publicly disclosed.</w:t>
      </w:r>
    </w:p>
    <w:p w14:paraId="458D3ABF" w14:textId="77777777" w:rsidR="00141B56" w:rsidRDefault="00000000">
      <w:pPr>
        <w:spacing w:after="160"/>
        <w:jc w:val="both"/>
      </w:pPr>
      <w:r>
        <w:rPr>
          <w:rFonts w:ascii="Arial" w:hAnsi="Arial"/>
        </w:rPr>
        <w:t>**Current Emissions Performance Context**</w:t>
      </w:r>
      <w:r>
        <w:rPr>
          <w:rFonts w:ascii="Arial" w:hAnsi="Arial"/>
        </w:rPr>
        <w:br/>
      </w:r>
      <w:r>
        <w:rPr>
          <w:rFonts w:ascii="Arial" w:hAnsi="Arial"/>
        </w:rPr>
        <w:br/>
        <w:t xml:space="preserve">For the 2024 reporting period, the institution reported total operational emissions (Scope 1+2, location-based) of 48,016.873 tCO₂e, representing a 4.07% reduction from the 2023 baseline of 47,923.961 tCO₂e. Scope 1 emissions totaled 3,402.997 tCO₂e (natural gas: 1,199.7924 tCO₂e; diesel: 2,203.2044 tCO₂e), while Scope 2 location-based emissions totaled 44,613.876 tCO₂e. Financed emissions (Scope 3 Category 15) totaled 15,280,174.14 tCO₂e on a weighted attribution basis using PCAF methodology, with an average data </w:t>
      </w:r>
      <w:r>
        <w:rPr>
          <w:rFonts w:ascii="Arial" w:hAnsi="Arial"/>
        </w:rPr>
        <w:lastRenderedPageBreak/>
        <w:t>quality score of 3.36 out of 5.0. The emission intensity per full-time equivalent employee decreased to 1.9209 tCO₂e/FTE from 1.956 tCO₂e/FTE in 2023. While this year-over-year reduction demonstrates operational efficiency improvements, the absence of formalized targets prevents stakeholders from assessing whether this trajectory is sufficient to align with climate science or national decarbonization pathways.</w:t>
      </w:r>
    </w:p>
    <w:p w14:paraId="561378CB" w14:textId="77777777" w:rsidR="00141B56" w:rsidRDefault="00000000">
      <w:pPr>
        <w:spacing w:after="160"/>
        <w:jc w:val="both"/>
      </w:pPr>
      <w:r>
        <w:rPr>
          <w:rFonts w:ascii="Arial" w:hAnsi="Arial"/>
          <w:i/>
          <w:color w:val="555555"/>
        </w:rPr>
        <w:t>**Strategic Roadmap for Target Development**</w:t>
      </w:r>
      <w:r>
        <w:rPr>
          <w:rFonts w:ascii="Arial" w:hAnsi="Arial"/>
          <w:i/>
          <w:color w:val="555555"/>
        </w:rPr>
        <w:br/>
      </w:r>
      <w:r>
        <w:rPr>
          <w:rFonts w:ascii="Arial" w:hAnsi="Arial"/>
          <w:i/>
          <w:color w:val="555555"/>
        </w:rPr>
        <w:br/>
        <w:t>The institution should adopt a phased approach to target-setting aligned with international best practices and peer precedents. **Year 1 (2025):** Submit an SBTi commitment letter to publicly signal alignment with climate science, following the precedent established by BRI as the first Indonesian financial institution to do so. Establish 2024 as the formal baseline year for all target-setting, leveraging the comprehensive emissions inventory already completed. Conduct a materiality assessment to determine whether targets should cover Scope 1+2 only (operational control) or extend to Scope 3 Category 15 (financed emissions), noting that leading peers have adopted portfolio-level targets. **Year 2 (2026):** Set interim reduction targets for 2030 covering at minimum Scope 1+2 emissions, with a recommended ambition level of 30% reduction versus the 2024 baseline (48,016.873 tCO₂e), which would align with DBS's demonstrated reduction pathway. Establish sectoral decarbonization targets for the three highest-emitting portfolio sectors: Energy - Oil &amp; Gas (43.56% of financed emissions), Manufacturing - Cement (26.45%), and Manufacturing - Steel (15.92%). **Year 3 (2027):** Develop a comprehensive transition plan including scenario analysis (aligned with IFRS S2 Paragraph 22), capital allocation frameworks, and client engagement strategies. Submit full SBTi targets for validation, covering both operational and financed emissions.</w:t>
      </w:r>
    </w:p>
    <w:p w14:paraId="440DE18E" w14:textId="77777777" w:rsidR="00141B56" w:rsidRDefault="00000000">
      <w:pPr>
        <w:spacing w:after="160"/>
        <w:jc w:val="both"/>
      </w:pPr>
      <w:r>
        <w:rPr>
          <w:rFonts w:ascii="Arial" w:hAnsi="Arial"/>
          <w:i/>
        </w:rPr>
        <w:t>**Decarbonization Levers: Operational Emissions (Scope 1+2)**</w:t>
      </w:r>
      <w:r>
        <w:rPr>
          <w:rFonts w:ascii="Arial" w:hAnsi="Arial"/>
          <w:i/>
        </w:rPr>
        <w:br/>
      </w:r>
      <w:r>
        <w:rPr>
          <w:rFonts w:ascii="Arial" w:hAnsi="Arial"/>
          <w:i/>
        </w:rPr>
        <w:br/>
        <w:t>Based on peer implementations and the institution's current emissions profile, the following decarbonization levers are recommended for operational emissions reduction. **Energy Efficiency (Estimated Contribution: 15-20% reduction):** Implement automated shutdown systems for IT infrastructure during non-business hours, following BRI's Kaseya program model which achieved 19.49% electricity savings at BRILiaN Tower. Retrofit existing facilities with LED lighting and optimize HVAC scheduling. Pursue green building certification (LEED or GBCI Gold standard) for headquarters and major branches, which typically delivers 15-25% energy intensity improvements. **Renewable Energy Procurement (Estimated Contribution: 40-50% reduction in Scope 2):** Execute Power Purchase Agreements (PPAs) with renewable energy providers to achieve 30% renewable electricity by 2030, scaling to 60% by 2035 in alignment with DBS's RE100 pathway. Install on-site solar photovoltaic systems at branches with suitable roof space, prioritizing facilities in high-solar-irradiance regions. **Fleet Electrification (Estimated Contribution: 60-70% reduction in transport-related Scope 1):** Convert 50% of the institution's vehicle fleet to electric vehicles by 2030, following BRI's precedent of deploying 118 electric cars and 150 electric motorcycles. Install EV charging infrastructure at major office locations. **Fuel Switching:** Transition backup generators from diesel to biodiesel B35+ in the near term, with full phase-out of fossil fuel generators by 2035 as grid reliability improves.</w:t>
      </w:r>
    </w:p>
    <w:p w14:paraId="6392EE4F" w14:textId="77777777" w:rsidR="00141B56" w:rsidRDefault="00000000">
      <w:pPr>
        <w:spacing w:after="160"/>
        <w:jc w:val="both"/>
      </w:pPr>
      <w:r>
        <w:rPr>
          <w:rFonts w:ascii="Arial" w:hAnsi="Arial"/>
          <w:i/>
        </w:rPr>
        <w:t>**Decarbonization Levers: Financed Emissions (Scope 3 Category 15)**</w:t>
      </w:r>
      <w:r>
        <w:rPr>
          <w:rFonts w:ascii="Arial" w:hAnsi="Arial"/>
          <w:i/>
        </w:rPr>
        <w:br/>
      </w:r>
      <w:r>
        <w:rPr>
          <w:rFonts w:ascii="Arial" w:hAnsi="Arial"/>
          <w:i/>
        </w:rPr>
        <w:br/>
        <w:t xml:space="preserve">The institution's financed emissions of 15,280,174.14 tCO₂e represent 99.7% of total </w:t>
      </w:r>
      <w:r>
        <w:rPr>
          <w:rFonts w:ascii="Arial" w:hAnsi="Arial"/>
          <w:i/>
        </w:rPr>
        <w:lastRenderedPageBreak/>
        <w:t>emissions across all scopes, necessitating portfolio-level decarbonization strategies. **Sectoral Credit Policies:** Establish enhanced due diligence requirements and exposure limits for the three highest-emitting sectors. For Energy - Oil &amp; Gas (currently 6.66% of portfolio, 43.56% of financed emissions), implement a phase-down pathway aligned with IEA Net Zero by 2050 scenario, prioritizing financing for renewable energy projects and energy transition activities. For Manufacturing - Cement (6.99% of portfolio, 26.45% of financed emissions), require clients to adopt low-carbon cement technologies and set facility-level emission intensity targets. For Manufacturing - Steel (7.05% of portfolio, 15.92% of financed emissions), prioritize financing for electric arc furnace technology and green hydrogen adoption. **Client Engagement Program:** Establish a structured engagement program for the top 50 emitting clients (representing approximately 60-70% of financed emissions based on typical portfolio concentration). Require annual emission reduction plans as a condition of credit renewal for clients in high-emitting sectors. Offer preferential pricing (10-25 basis point discount) for clients that achieve SBTi validation or demonstrate measurable emission intensity improvements. **Portfolio Temperature Alignment:** Adopt a portfolio temperature rating methodology (following BRI's precedent) with a target pathway from current baseline to 1.75°C by 2040, requiring an average annual reduction of 0.08-0.10°C. **Green Finance Allocation:** Set a target for 30% of new lending to be allocated to green or transition activities by 2030, supported by a green finance taxonomy aligned with ASEAN Taxonomy or Indonesia's national taxonomy when finalized.</w:t>
      </w:r>
    </w:p>
    <w:p w14:paraId="16CD31DB" w14:textId="77777777" w:rsidR="00141B56" w:rsidRDefault="00000000">
      <w:pPr>
        <w:spacing w:after="160"/>
        <w:jc w:val="both"/>
      </w:pPr>
      <w:r>
        <w:rPr>
          <w:rFonts w:ascii="Arial" w:hAnsi="Arial"/>
          <w:i/>
        </w:rPr>
        <w:t>**Quick Wins vs. Structural Changes**</w:t>
      </w:r>
      <w:r>
        <w:rPr>
          <w:rFonts w:ascii="Arial" w:hAnsi="Arial"/>
          <w:i/>
        </w:rPr>
        <w:br/>
      </w:r>
      <w:r>
        <w:rPr>
          <w:rFonts w:ascii="Arial" w:hAnsi="Arial"/>
          <w:i/>
        </w:rPr>
        <w:br/>
        <w:t>**Quick Wins (0-12 months, low capital expenditure):** Submit SBTi commitment letter (no cost, high signaling value). Implement automated IT shutdown systems (payback period: 6-12 months). Establish internal carbon price of $10-15 per tCO₂e for capital budgeting decisions (administrative change only). Conduct LED retrofit for 20% of facilities (payback period: 18-24 months). Launch pilot client engagement program with 10 highest-emitting borrowers. **Structural Changes (12-36 months, moderate to high capital expenditure):** Execute renewable energy PPAs for 20-30% of electricity consumption (requires contract negotiation and potentially higher energy costs in year 1-2). Pursue green building certification for headquarters (capital expenditure: 5-10% premium on renovation costs). Establish Board-level climate risk committee with quarterly reporting cadence. Integrate climate risk into credit underwriting models for high-emitting sectors. Develop full transition plan with scenario analysis aligned with IFRS S2 requirements. **Transformational Changes (36+ months, high capital expenditure and organizational change):** Achieve SBTi validation for Scope 1+2+3 targets. Join Net-Zero Banking Alliance (NZBA) with commitment to align portfolio to 1.5°C pathway. Achieve 60% renewable energy procurement (RE100 pathway). Implement portfolio-wide emission intensity limits by sector with annual ratcheting mechanism.</w:t>
      </w:r>
    </w:p>
    <w:p w14:paraId="58FE5A46" w14:textId="77777777" w:rsidR="00141B56" w:rsidRDefault="00000000">
      <w:pPr>
        <w:spacing w:after="160"/>
        <w:jc w:val="both"/>
      </w:pPr>
      <w:r>
        <w:rPr>
          <w:rFonts w:ascii="Arial" w:hAnsi="Arial"/>
          <w:i/>
        </w:rPr>
        <w:t>**Implementation Timeline and Governance**</w:t>
      </w:r>
      <w:r>
        <w:rPr>
          <w:rFonts w:ascii="Arial" w:hAnsi="Arial"/>
          <w:i/>
        </w:rPr>
        <w:br/>
      </w:r>
      <w:r>
        <w:rPr>
          <w:rFonts w:ascii="Arial" w:hAnsi="Arial"/>
          <w:i/>
        </w:rPr>
        <w:br/>
        <w:t xml:space="preserve">Target-setting and transition plan development should be governed through a dedicated Board-level committee with quarterly progress reviews. The Chief Sustainability Officer (or equivalent C-suite role) should have direct accountability for target achievement, with ESG key performance indicators (KPIs) comprising at minimum 15-20% of variable compensation, following DBS's precedent of 20% ESG weighting in executive remuneration. Annual </w:t>
      </w:r>
      <w:r>
        <w:rPr>
          <w:rFonts w:ascii="Arial" w:hAnsi="Arial"/>
          <w:i/>
        </w:rPr>
        <w:lastRenderedPageBreak/>
        <w:t>progress reports should be published as part of the sustainability report, with external assurance obtained for emission data once targets are formalized (recommended assurance level: limited assurance in years 1-2, reasonable assurance by year 3). The institution should establish a cross-functional transition plan working group including representatives from Risk Management, Corporate Banking, Retail Banking, Treasury, and Operations to ensure enterprise-wide alignment.</w:t>
      </w:r>
    </w:p>
    <w:p w14:paraId="30DA26B7" w14:textId="77777777" w:rsidR="00141B56" w:rsidRDefault="00000000">
      <w:r>
        <w:rPr>
          <w:rFonts w:ascii="Arial" w:hAnsi="Arial"/>
          <w:b/>
          <w:sz w:val="20"/>
        </w:rPr>
        <w:t>Table 3.2.1: Framework Requirements for Climate Target Disclosure — Gap Analysis</w:t>
      </w:r>
    </w:p>
    <w:tbl>
      <w:tblPr>
        <w:tblW w:w="0" w:type="auto"/>
        <w:jc w:val="center"/>
        <w:tblLook w:val="04A0" w:firstRow="1" w:lastRow="0" w:firstColumn="1" w:lastColumn="0" w:noHBand="0" w:noVBand="1"/>
      </w:tblPr>
      <w:tblGrid>
        <w:gridCol w:w="1806"/>
        <w:gridCol w:w="1806"/>
        <w:gridCol w:w="1806"/>
        <w:gridCol w:w="1806"/>
        <w:gridCol w:w="1806"/>
      </w:tblGrid>
      <w:tr w:rsidR="00141B56" w14:paraId="5859FCAF" w14:textId="77777777">
        <w:trPr>
          <w:jc w:val="center"/>
        </w:trPr>
        <w:tc>
          <w:tcPr>
            <w:tcW w:w="1806" w:type="dxa"/>
            <w:shd w:val="clear" w:color="auto" w:fill="1B3A6B"/>
          </w:tcPr>
          <w:p w14:paraId="3C0C1AEA" w14:textId="77777777" w:rsidR="00141B56" w:rsidRDefault="00000000">
            <w:r>
              <w:rPr>
                <w:rFonts w:ascii="Arial" w:hAnsi="Arial"/>
                <w:b/>
                <w:color w:val="FFFFFF"/>
                <w:sz w:val="18"/>
              </w:rPr>
              <w:t>Framework</w:t>
            </w:r>
          </w:p>
        </w:tc>
        <w:tc>
          <w:tcPr>
            <w:tcW w:w="1806" w:type="dxa"/>
            <w:shd w:val="clear" w:color="auto" w:fill="1B3A6B"/>
          </w:tcPr>
          <w:p w14:paraId="37715415" w14:textId="77777777" w:rsidR="00141B56" w:rsidRDefault="00000000">
            <w:r>
              <w:rPr>
                <w:rFonts w:ascii="Arial" w:hAnsi="Arial"/>
                <w:b/>
                <w:color w:val="FFFFFF"/>
                <w:sz w:val="18"/>
              </w:rPr>
              <w:t>Disclosure Reference</w:t>
            </w:r>
          </w:p>
        </w:tc>
        <w:tc>
          <w:tcPr>
            <w:tcW w:w="1806" w:type="dxa"/>
            <w:shd w:val="clear" w:color="auto" w:fill="1B3A6B"/>
          </w:tcPr>
          <w:p w14:paraId="11B371A3" w14:textId="77777777" w:rsidR="00141B56" w:rsidRDefault="00000000">
            <w:r>
              <w:rPr>
                <w:rFonts w:ascii="Arial" w:hAnsi="Arial"/>
                <w:b/>
                <w:color w:val="FFFFFF"/>
                <w:sz w:val="18"/>
              </w:rPr>
              <w:t>Requirement</w:t>
            </w:r>
          </w:p>
        </w:tc>
        <w:tc>
          <w:tcPr>
            <w:tcW w:w="1806" w:type="dxa"/>
            <w:shd w:val="clear" w:color="auto" w:fill="1B3A6B"/>
          </w:tcPr>
          <w:p w14:paraId="2C1B430C" w14:textId="77777777" w:rsidR="00141B56" w:rsidRDefault="00000000">
            <w:r>
              <w:rPr>
                <w:rFonts w:ascii="Arial" w:hAnsi="Arial"/>
                <w:b/>
                <w:color w:val="FFFFFF"/>
                <w:sz w:val="18"/>
              </w:rPr>
              <w:t>Current Status</w:t>
            </w:r>
          </w:p>
        </w:tc>
        <w:tc>
          <w:tcPr>
            <w:tcW w:w="1806" w:type="dxa"/>
            <w:shd w:val="clear" w:color="auto" w:fill="1B3A6B"/>
          </w:tcPr>
          <w:p w14:paraId="2CE7EC1E" w14:textId="77777777" w:rsidR="00141B56" w:rsidRDefault="00000000">
            <w:r>
              <w:rPr>
                <w:rFonts w:ascii="Arial" w:hAnsi="Arial"/>
                <w:b/>
                <w:color w:val="FFFFFF"/>
                <w:sz w:val="18"/>
              </w:rPr>
              <w:t>Peer Benchmark</w:t>
            </w:r>
          </w:p>
        </w:tc>
      </w:tr>
      <w:tr w:rsidR="00141B56" w14:paraId="0AA4AD20" w14:textId="77777777">
        <w:trPr>
          <w:jc w:val="center"/>
        </w:trPr>
        <w:tc>
          <w:tcPr>
            <w:tcW w:w="1806" w:type="dxa"/>
          </w:tcPr>
          <w:p w14:paraId="0F3FB1D9" w14:textId="77777777" w:rsidR="00141B56" w:rsidRDefault="00000000">
            <w:r>
              <w:rPr>
                <w:rFonts w:ascii="Arial" w:hAnsi="Arial"/>
                <w:sz w:val="18"/>
              </w:rPr>
              <w:t>IFRS S2</w:t>
            </w:r>
          </w:p>
        </w:tc>
        <w:tc>
          <w:tcPr>
            <w:tcW w:w="1806" w:type="dxa"/>
          </w:tcPr>
          <w:p w14:paraId="1996975E" w14:textId="77777777" w:rsidR="00141B56" w:rsidRDefault="00000000">
            <w:r>
              <w:rPr>
                <w:rFonts w:ascii="Arial" w:hAnsi="Arial"/>
                <w:sz w:val="18"/>
              </w:rPr>
              <w:t>Para 33</w:t>
            </w:r>
          </w:p>
        </w:tc>
        <w:tc>
          <w:tcPr>
            <w:tcW w:w="1806" w:type="dxa"/>
          </w:tcPr>
          <w:p w14:paraId="4139BA34" w14:textId="77777777" w:rsidR="00141B56" w:rsidRDefault="00000000">
            <w:r>
              <w:rPr>
                <w:rFonts w:ascii="Arial" w:hAnsi="Arial"/>
                <w:sz w:val="18"/>
              </w:rPr>
              <w:t>Quantitative and qualitative climate-related targets</w:t>
            </w:r>
          </w:p>
        </w:tc>
        <w:tc>
          <w:tcPr>
            <w:tcW w:w="1806" w:type="dxa"/>
          </w:tcPr>
          <w:p w14:paraId="5EA93A8D" w14:textId="77777777" w:rsidR="00141B56" w:rsidRDefault="00000000">
            <w:r>
              <w:rPr>
                <w:rFonts w:ascii="Arial" w:hAnsi="Arial"/>
                <w:sz w:val="18"/>
              </w:rPr>
              <w:t>⚠️ Gap — No targets set</w:t>
            </w:r>
          </w:p>
        </w:tc>
        <w:tc>
          <w:tcPr>
            <w:tcW w:w="1806" w:type="dxa"/>
          </w:tcPr>
          <w:p w14:paraId="1D380F03" w14:textId="77777777" w:rsidR="00141B56" w:rsidRDefault="00000000">
            <w:r>
              <w:rPr>
                <w:rFonts w:ascii="Arial" w:hAnsi="Arial"/>
                <w:sz w:val="18"/>
              </w:rPr>
              <w:t>DBS: Net Zero 2050, SBTi validated</w:t>
            </w:r>
          </w:p>
        </w:tc>
      </w:tr>
      <w:tr w:rsidR="00141B56" w14:paraId="4328BFB8" w14:textId="77777777">
        <w:trPr>
          <w:jc w:val="center"/>
        </w:trPr>
        <w:tc>
          <w:tcPr>
            <w:tcW w:w="1806" w:type="dxa"/>
            <w:shd w:val="clear" w:color="auto" w:fill="F2F6FC"/>
          </w:tcPr>
          <w:p w14:paraId="6A925F97" w14:textId="77777777" w:rsidR="00141B56" w:rsidRDefault="00000000">
            <w:r>
              <w:rPr>
                <w:rFonts w:ascii="Arial" w:hAnsi="Arial"/>
                <w:sz w:val="18"/>
              </w:rPr>
              <w:t>IFRS S2</w:t>
            </w:r>
          </w:p>
        </w:tc>
        <w:tc>
          <w:tcPr>
            <w:tcW w:w="1806" w:type="dxa"/>
            <w:shd w:val="clear" w:color="auto" w:fill="F2F6FC"/>
          </w:tcPr>
          <w:p w14:paraId="0C6A2230" w14:textId="77777777" w:rsidR="00141B56" w:rsidRDefault="00000000">
            <w:r>
              <w:rPr>
                <w:rFonts w:ascii="Arial" w:hAnsi="Arial"/>
                <w:sz w:val="18"/>
              </w:rPr>
              <w:t>Para 34</w:t>
            </w:r>
          </w:p>
        </w:tc>
        <w:tc>
          <w:tcPr>
            <w:tcW w:w="1806" w:type="dxa"/>
            <w:shd w:val="clear" w:color="auto" w:fill="F2F6FC"/>
          </w:tcPr>
          <w:p w14:paraId="5EAE485A" w14:textId="77777777" w:rsidR="00141B56" w:rsidRDefault="00000000">
            <w:r>
              <w:rPr>
                <w:rFonts w:ascii="Arial" w:hAnsi="Arial"/>
                <w:sz w:val="18"/>
              </w:rPr>
              <w:t>Metrics used to set targets and monitor progress; base period</w:t>
            </w:r>
          </w:p>
        </w:tc>
        <w:tc>
          <w:tcPr>
            <w:tcW w:w="1806" w:type="dxa"/>
            <w:shd w:val="clear" w:color="auto" w:fill="F2F6FC"/>
          </w:tcPr>
          <w:p w14:paraId="5F1A9862" w14:textId="77777777" w:rsidR="00141B56" w:rsidRDefault="00000000">
            <w:r>
              <w:rPr>
                <w:rFonts w:ascii="Arial" w:hAnsi="Arial"/>
                <w:sz w:val="18"/>
              </w:rPr>
              <w:t>⚠️ Gap — Baseline year not formalized</w:t>
            </w:r>
          </w:p>
        </w:tc>
        <w:tc>
          <w:tcPr>
            <w:tcW w:w="1806" w:type="dxa"/>
            <w:shd w:val="clear" w:color="auto" w:fill="F2F6FC"/>
          </w:tcPr>
          <w:p w14:paraId="1A54D2D4" w14:textId="77777777" w:rsidR="00141B56" w:rsidRDefault="00000000">
            <w:r>
              <w:rPr>
                <w:rFonts w:ascii="Arial" w:hAnsi="Arial"/>
                <w:sz w:val="18"/>
              </w:rPr>
              <w:t>BRI: 2023 baseline, 1.75°C by 2040</w:t>
            </w:r>
          </w:p>
        </w:tc>
      </w:tr>
      <w:tr w:rsidR="00141B56" w14:paraId="024AA0D7" w14:textId="77777777">
        <w:trPr>
          <w:jc w:val="center"/>
        </w:trPr>
        <w:tc>
          <w:tcPr>
            <w:tcW w:w="1806" w:type="dxa"/>
          </w:tcPr>
          <w:p w14:paraId="0D4FD23C" w14:textId="77777777" w:rsidR="00141B56" w:rsidRDefault="00000000">
            <w:r>
              <w:rPr>
                <w:rFonts w:ascii="Arial" w:hAnsi="Arial"/>
                <w:sz w:val="18"/>
              </w:rPr>
              <w:t>IFRS S2</w:t>
            </w:r>
          </w:p>
        </w:tc>
        <w:tc>
          <w:tcPr>
            <w:tcW w:w="1806" w:type="dxa"/>
          </w:tcPr>
          <w:p w14:paraId="4A40F9D9" w14:textId="77777777" w:rsidR="00141B56" w:rsidRDefault="00000000">
            <w:r>
              <w:rPr>
                <w:rFonts w:ascii="Arial" w:hAnsi="Arial"/>
                <w:sz w:val="18"/>
              </w:rPr>
              <w:t>Para 35</w:t>
            </w:r>
          </w:p>
        </w:tc>
        <w:tc>
          <w:tcPr>
            <w:tcW w:w="1806" w:type="dxa"/>
          </w:tcPr>
          <w:p w14:paraId="39BDE08F" w14:textId="77777777" w:rsidR="00141B56" w:rsidRDefault="00000000">
            <w:r>
              <w:rPr>
                <w:rFonts w:ascii="Arial" w:hAnsi="Arial"/>
                <w:sz w:val="18"/>
              </w:rPr>
              <w:t>Approach to setting and reviewing targets</w:t>
            </w:r>
          </w:p>
        </w:tc>
        <w:tc>
          <w:tcPr>
            <w:tcW w:w="1806" w:type="dxa"/>
          </w:tcPr>
          <w:p w14:paraId="445CA8EA" w14:textId="77777777" w:rsidR="00141B56" w:rsidRDefault="00000000">
            <w:r>
              <w:rPr>
                <w:rFonts w:ascii="Arial" w:hAnsi="Arial"/>
                <w:sz w:val="18"/>
              </w:rPr>
              <w:t>⚠️ Gap — No methodology disclosed</w:t>
            </w:r>
          </w:p>
        </w:tc>
        <w:tc>
          <w:tcPr>
            <w:tcW w:w="1806" w:type="dxa"/>
          </w:tcPr>
          <w:p w14:paraId="31C8E01E" w14:textId="77777777" w:rsidR="00141B56" w:rsidRDefault="00000000">
            <w:r>
              <w:rPr>
                <w:rFonts w:ascii="Arial" w:hAnsi="Arial"/>
                <w:sz w:val="18"/>
              </w:rPr>
              <w:t>DBS: SBTi methodology, annual review</w:t>
            </w:r>
          </w:p>
        </w:tc>
      </w:tr>
      <w:tr w:rsidR="00141B56" w14:paraId="4D4E6E18" w14:textId="77777777">
        <w:trPr>
          <w:jc w:val="center"/>
        </w:trPr>
        <w:tc>
          <w:tcPr>
            <w:tcW w:w="1806" w:type="dxa"/>
            <w:shd w:val="clear" w:color="auto" w:fill="F2F6FC"/>
          </w:tcPr>
          <w:p w14:paraId="04090597" w14:textId="77777777" w:rsidR="00141B56" w:rsidRDefault="00000000">
            <w:r>
              <w:rPr>
                <w:rFonts w:ascii="Arial" w:hAnsi="Arial"/>
                <w:sz w:val="18"/>
              </w:rPr>
              <w:t>IFRS S2</w:t>
            </w:r>
          </w:p>
        </w:tc>
        <w:tc>
          <w:tcPr>
            <w:tcW w:w="1806" w:type="dxa"/>
            <w:shd w:val="clear" w:color="auto" w:fill="F2F6FC"/>
          </w:tcPr>
          <w:p w14:paraId="69282F26" w14:textId="77777777" w:rsidR="00141B56" w:rsidRDefault="00000000">
            <w:r>
              <w:rPr>
                <w:rFonts w:ascii="Arial" w:hAnsi="Arial"/>
                <w:sz w:val="18"/>
              </w:rPr>
              <w:t>Para 36</w:t>
            </w:r>
          </w:p>
        </w:tc>
        <w:tc>
          <w:tcPr>
            <w:tcW w:w="1806" w:type="dxa"/>
            <w:shd w:val="clear" w:color="auto" w:fill="F2F6FC"/>
          </w:tcPr>
          <w:p w14:paraId="45A5A59A" w14:textId="77777777" w:rsidR="00141B56" w:rsidRDefault="00000000">
            <w:r>
              <w:rPr>
                <w:rFonts w:ascii="Arial" w:hAnsi="Arial"/>
                <w:sz w:val="18"/>
              </w:rPr>
              <w:t>Performance against targets, including analysis of trends</w:t>
            </w:r>
          </w:p>
        </w:tc>
        <w:tc>
          <w:tcPr>
            <w:tcW w:w="1806" w:type="dxa"/>
            <w:shd w:val="clear" w:color="auto" w:fill="F2F6FC"/>
          </w:tcPr>
          <w:p w14:paraId="7ECEE992" w14:textId="77777777" w:rsidR="00141B56" w:rsidRDefault="00000000">
            <w:r>
              <w:rPr>
                <w:rFonts w:ascii="Arial" w:hAnsi="Arial"/>
                <w:sz w:val="18"/>
              </w:rPr>
              <w:t>⚠️ Gap — No targets to measure against</w:t>
            </w:r>
          </w:p>
        </w:tc>
        <w:tc>
          <w:tcPr>
            <w:tcW w:w="1806" w:type="dxa"/>
            <w:shd w:val="clear" w:color="auto" w:fill="F2F6FC"/>
          </w:tcPr>
          <w:p w14:paraId="62E38411" w14:textId="77777777" w:rsidR="00141B56" w:rsidRDefault="00000000">
            <w:r>
              <w:rPr>
                <w:rFonts w:ascii="Arial" w:hAnsi="Arial"/>
                <w:sz w:val="18"/>
              </w:rPr>
              <w:t>BRI: Annual temp. reduction 0.0783°C</w:t>
            </w:r>
          </w:p>
        </w:tc>
      </w:tr>
      <w:tr w:rsidR="00141B56" w14:paraId="2F6A3C08" w14:textId="77777777">
        <w:trPr>
          <w:jc w:val="center"/>
        </w:trPr>
        <w:tc>
          <w:tcPr>
            <w:tcW w:w="1806" w:type="dxa"/>
          </w:tcPr>
          <w:p w14:paraId="54E27A77" w14:textId="77777777" w:rsidR="00141B56" w:rsidRDefault="00000000">
            <w:r>
              <w:rPr>
                <w:rFonts w:ascii="Arial" w:hAnsi="Arial"/>
                <w:sz w:val="18"/>
              </w:rPr>
              <w:t>GRI 305-5</w:t>
            </w:r>
          </w:p>
        </w:tc>
        <w:tc>
          <w:tcPr>
            <w:tcW w:w="1806" w:type="dxa"/>
          </w:tcPr>
          <w:p w14:paraId="0F8108B7" w14:textId="77777777" w:rsidR="00141B56" w:rsidRDefault="00000000">
            <w:r>
              <w:rPr>
                <w:rFonts w:ascii="Arial" w:hAnsi="Arial"/>
                <w:sz w:val="18"/>
              </w:rPr>
              <w:t>305-5a</w:t>
            </w:r>
          </w:p>
        </w:tc>
        <w:tc>
          <w:tcPr>
            <w:tcW w:w="1806" w:type="dxa"/>
          </w:tcPr>
          <w:p w14:paraId="64381405" w14:textId="77777777" w:rsidR="00141B56" w:rsidRDefault="00000000">
            <w:r>
              <w:rPr>
                <w:rFonts w:ascii="Arial" w:hAnsi="Arial"/>
                <w:sz w:val="18"/>
              </w:rPr>
              <w:t>Emission reductions achieved (tCO₂e) and base year</w:t>
            </w:r>
          </w:p>
        </w:tc>
        <w:tc>
          <w:tcPr>
            <w:tcW w:w="1806" w:type="dxa"/>
          </w:tcPr>
          <w:p w14:paraId="5664DEDA" w14:textId="77777777" w:rsidR="00141B56" w:rsidRDefault="00000000">
            <w:r>
              <w:rPr>
                <w:rFonts w:ascii="Arial" w:hAnsi="Arial"/>
                <w:sz w:val="18"/>
              </w:rPr>
              <w:t>⚠️ Partial — YoY reduction reported but no formal target</w:t>
            </w:r>
          </w:p>
        </w:tc>
        <w:tc>
          <w:tcPr>
            <w:tcW w:w="1806" w:type="dxa"/>
          </w:tcPr>
          <w:p w14:paraId="76C645A1" w14:textId="77777777" w:rsidR="00141B56" w:rsidRDefault="00000000">
            <w:r>
              <w:rPr>
                <w:rFonts w:ascii="Arial" w:hAnsi="Arial"/>
                <w:sz w:val="18"/>
              </w:rPr>
              <w:t>DBS: 12% reduction vs. target pathway</w:t>
            </w:r>
          </w:p>
        </w:tc>
      </w:tr>
      <w:tr w:rsidR="00141B56" w14:paraId="0262F4A6" w14:textId="77777777">
        <w:trPr>
          <w:jc w:val="center"/>
        </w:trPr>
        <w:tc>
          <w:tcPr>
            <w:tcW w:w="1806" w:type="dxa"/>
            <w:shd w:val="clear" w:color="auto" w:fill="F2F6FC"/>
          </w:tcPr>
          <w:p w14:paraId="198DD334" w14:textId="77777777" w:rsidR="00141B56" w:rsidRDefault="00000000">
            <w:r>
              <w:rPr>
                <w:rFonts w:ascii="Arial" w:hAnsi="Arial"/>
                <w:sz w:val="18"/>
              </w:rPr>
              <w:t>ESRS E1</w:t>
            </w:r>
          </w:p>
        </w:tc>
        <w:tc>
          <w:tcPr>
            <w:tcW w:w="1806" w:type="dxa"/>
            <w:shd w:val="clear" w:color="auto" w:fill="F2F6FC"/>
          </w:tcPr>
          <w:p w14:paraId="70EC32A0" w14:textId="77777777" w:rsidR="00141B56" w:rsidRDefault="00000000">
            <w:r>
              <w:rPr>
                <w:rFonts w:ascii="Arial" w:hAnsi="Arial"/>
                <w:sz w:val="18"/>
              </w:rPr>
              <w:t>DR E1-4</w:t>
            </w:r>
          </w:p>
        </w:tc>
        <w:tc>
          <w:tcPr>
            <w:tcW w:w="1806" w:type="dxa"/>
            <w:shd w:val="clear" w:color="auto" w:fill="F2F6FC"/>
          </w:tcPr>
          <w:p w14:paraId="305F21EE" w14:textId="77777777" w:rsidR="00141B56" w:rsidRDefault="00000000">
            <w:r>
              <w:rPr>
                <w:rFonts w:ascii="Arial" w:hAnsi="Arial"/>
                <w:sz w:val="18"/>
              </w:rPr>
              <w:t>GHG emission reduction targets (absolute or intensity)</w:t>
            </w:r>
          </w:p>
        </w:tc>
        <w:tc>
          <w:tcPr>
            <w:tcW w:w="1806" w:type="dxa"/>
            <w:shd w:val="clear" w:color="auto" w:fill="F2F6FC"/>
          </w:tcPr>
          <w:p w14:paraId="4CA58066" w14:textId="77777777" w:rsidR="00141B56" w:rsidRDefault="00000000">
            <w:r>
              <w:rPr>
                <w:rFonts w:ascii="Arial" w:hAnsi="Arial"/>
                <w:sz w:val="18"/>
              </w:rPr>
              <w:t>⚠️ Gap — No targets disclosed</w:t>
            </w:r>
          </w:p>
        </w:tc>
        <w:tc>
          <w:tcPr>
            <w:tcW w:w="1806" w:type="dxa"/>
            <w:shd w:val="clear" w:color="auto" w:fill="F2F6FC"/>
          </w:tcPr>
          <w:p w14:paraId="043BBA33" w14:textId="77777777" w:rsidR="00141B56" w:rsidRDefault="00000000">
            <w:r>
              <w:rPr>
                <w:rFonts w:ascii="Arial" w:hAnsi="Arial"/>
                <w:sz w:val="18"/>
              </w:rPr>
              <w:t>BCA: SFAP targets (not publicly detailed)</w:t>
            </w:r>
          </w:p>
        </w:tc>
      </w:tr>
      <w:tr w:rsidR="00141B56" w14:paraId="619AEED2" w14:textId="77777777">
        <w:trPr>
          <w:jc w:val="center"/>
        </w:trPr>
        <w:tc>
          <w:tcPr>
            <w:tcW w:w="1806" w:type="dxa"/>
          </w:tcPr>
          <w:p w14:paraId="295027AC" w14:textId="77777777" w:rsidR="00141B56" w:rsidRDefault="00000000">
            <w:r>
              <w:rPr>
                <w:rFonts w:ascii="Arial" w:hAnsi="Arial"/>
                <w:sz w:val="18"/>
              </w:rPr>
              <w:t>ESRS E1</w:t>
            </w:r>
          </w:p>
        </w:tc>
        <w:tc>
          <w:tcPr>
            <w:tcW w:w="1806" w:type="dxa"/>
          </w:tcPr>
          <w:p w14:paraId="030EC124" w14:textId="77777777" w:rsidR="00141B56" w:rsidRDefault="00000000">
            <w:r>
              <w:rPr>
                <w:rFonts w:ascii="Arial" w:hAnsi="Arial"/>
                <w:sz w:val="18"/>
              </w:rPr>
              <w:t>DR E1-4</w:t>
            </w:r>
          </w:p>
        </w:tc>
        <w:tc>
          <w:tcPr>
            <w:tcW w:w="1806" w:type="dxa"/>
          </w:tcPr>
          <w:p w14:paraId="6814296A" w14:textId="77777777" w:rsidR="00141B56" w:rsidRDefault="00000000">
            <w:r>
              <w:rPr>
                <w:rFonts w:ascii="Arial" w:hAnsi="Arial"/>
                <w:sz w:val="18"/>
              </w:rPr>
              <w:t>Decarbonization levers to achieve targets</w:t>
            </w:r>
          </w:p>
        </w:tc>
        <w:tc>
          <w:tcPr>
            <w:tcW w:w="1806" w:type="dxa"/>
          </w:tcPr>
          <w:p w14:paraId="6885AF35" w14:textId="77777777" w:rsidR="00141B56" w:rsidRDefault="00000000">
            <w:r>
              <w:rPr>
                <w:rFonts w:ascii="Arial" w:hAnsi="Arial"/>
                <w:sz w:val="18"/>
              </w:rPr>
              <w:t>⚠️ Gap — No levers identified</w:t>
            </w:r>
          </w:p>
        </w:tc>
        <w:tc>
          <w:tcPr>
            <w:tcW w:w="1806" w:type="dxa"/>
          </w:tcPr>
          <w:p w14:paraId="6B9F8414" w14:textId="77777777" w:rsidR="00141B56" w:rsidRDefault="00000000">
            <w:r>
              <w:rPr>
                <w:rFonts w:ascii="Arial" w:hAnsi="Arial"/>
                <w:sz w:val="18"/>
              </w:rPr>
              <w:t>DBS: RE100, EV fleet, carbon price</w:t>
            </w:r>
          </w:p>
        </w:tc>
      </w:tr>
      <w:tr w:rsidR="00141B56" w14:paraId="307E085F" w14:textId="77777777">
        <w:trPr>
          <w:jc w:val="center"/>
        </w:trPr>
        <w:tc>
          <w:tcPr>
            <w:tcW w:w="1806" w:type="dxa"/>
            <w:shd w:val="clear" w:color="auto" w:fill="F2F6FC"/>
          </w:tcPr>
          <w:p w14:paraId="0FC8DC5D" w14:textId="77777777" w:rsidR="00141B56" w:rsidRDefault="00000000">
            <w:r>
              <w:rPr>
                <w:rFonts w:ascii="Arial" w:hAnsi="Arial"/>
                <w:sz w:val="18"/>
              </w:rPr>
              <w:t>OJK PSPK</w:t>
            </w:r>
          </w:p>
        </w:tc>
        <w:tc>
          <w:tcPr>
            <w:tcW w:w="1806" w:type="dxa"/>
            <w:shd w:val="clear" w:color="auto" w:fill="F2F6FC"/>
          </w:tcPr>
          <w:p w14:paraId="27BA88BE" w14:textId="77777777" w:rsidR="00141B56" w:rsidRDefault="00000000">
            <w:r>
              <w:rPr>
                <w:rFonts w:ascii="Arial" w:hAnsi="Arial"/>
                <w:sz w:val="18"/>
              </w:rPr>
              <w:t>Target Iklim</w:t>
            </w:r>
          </w:p>
        </w:tc>
        <w:tc>
          <w:tcPr>
            <w:tcW w:w="1806" w:type="dxa"/>
            <w:shd w:val="clear" w:color="auto" w:fill="F2F6FC"/>
          </w:tcPr>
          <w:p w14:paraId="3A1CBA44" w14:textId="77777777" w:rsidR="00141B56" w:rsidRDefault="00000000">
            <w:r>
              <w:rPr>
                <w:rFonts w:ascii="Arial" w:hAnsi="Arial"/>
                <w:sz w:val="18"/>
              </w:rPr>
              <w:t>Climate targets aligned with national NDC</w:t>
            </w:r>
          </w:p>
        </w:tc>
        <w:tc>
          <w:tcPr>
            <w:tcW w:w="1806" w:type="dxa"/>
            <w:shd w:val="clear" w:color="auto" w:fill="F2F6FC"/>
          </w:tcPr>
          <w:p w14:paraId="7B2282FD" w14:textId="77777777" w:rsidR="00141B56" w:rsidRDefault="00000000">
            <w:r>
              <w:rPr>
                <w:rFonts w:ascii="Arial" w:hAnsi="Arial"/>
                <w:sz w:val="18"/>
              </w:rPr>
              <w:t>⚠️ Gap — No NDC alignment disclosed</w:t>
            </w:r>
          </w:p>
        </w:tc>
        <w:tc>
          <w:tcPr>
            <w:tcW w:w="1806" w:type="dxa"/>
            <w:shd w:val="clear" w:color="auto" w:fill="F2F6FC"/>
          </w:tcPr>
          <w:p w14:paraId="76081E44" w14:textId="77777777" w:rsidR="00141B56" w:rsidRDefault="00000000">
            <w:r>
              <w:rPr>
                <w:rFonts w:ascii="Arial" w:hAnsi="Arial"/>
                <w:sz w:val="18"/>
              </w:rPr>
              <w:t>BRI: SBTi commitment (implicit NDC alignment)</w:t>
            </w:r>
          </w:p>
        </w:tc>
      </w:tr>
    </w:tbl>
    <w:p w14:paraId="6E13ED1D" w14:textId="77777777" w:rsidR="00141B56" w:rsidRDefault="00000000">
      <w:r>
        <w:rPr>
          <w:rFonts w:ascii="Arial" w:hAnsi="Arial"/>
          <w:i/>
          <w:sz w:val="16"/>
        </w:rPr>
        <w:t>Source: Status assessment based on 2024 reporting period data. Peer benchmarks from BRI Sustainability Report 2023, DBS Sustainability Report 2023, BCA Sustainability Report 2024.</w:t>
      </w:r>
    </w:p>
    <w:p w14:paraId="0D7C721E" w14:textId="77777777" w:rsidR="00141B56" w:rsidRDefault="00141B56"/>
    <w:p w14:paraId="7A3290AF" w14:textId="77777777" w:rsidR="00141B56" w:rsidRDefault="00000000">
      <w:r>
        <w:rPr>
          <w:rFonts w:ascii="Arial" w:hAnsi="Arial"/>
          <w:b/>
          <w:sz w:val="20"/>
        </w:rPr>
        <w:t>Table 3.2.2: Recommended Target Framework — Phased Implementation</w:t>
      </w:r>
    </w:p>
    <w:tbl>
      <w:tblPr>
        <w:tblW w:w="0" w:type="auto"/>
        <w:jc w:val="center"/>
        <w:tblLook w:val="04A0" w:firstRow="1" w:lastRow="0" w:firstColumn="1" w:lastColumn="0" w:noHBand="0" w:noVBand="1"/>
      </w:tblPr>
      <w:tblGrid>
        <w:gridCol w:w="1505"/>
        <w:gridCol w:w="1505"/>
        <w:gridCol w:w="1507"/>
        <w:gridCol w:w="1505"/>
        <w:gridCol w:w="1505"/>
        <w:gridCol w:w="1505"/>
      </w:tblGrid>
      <w:tr w:rsidR="00141B56" w14:paraId="5D800650" w14:textId="77777777">
        <w:trPr>
          <w:jc w:val="center"/>
        </w:trPr>
        <w:tc>
          <w:tcPr>
            <w:tcW w:w="1505" w:type="dxa"/>
            <w:shd w:val="clear" w:color="auto" w:fill="1B3A6B"/>
          </w:tcPr>
          <w:p w14:paraId="00E574BA" w14:textId="77777777" w:rsidR="00141B56" w:rsidRDefault="00000000">
            <w:r>
              <w:rPr>
                <w:rFonts w:ascii="Arial" w:hAnsi="Arial"/>
                <w:b/>
                <w:color w:val="FFFFFF"/>
                <w:sz w:val="18"/>
              </w:rPr>
              <w:t>Target Type</w:t>
            </w:r>
          </w:p>
        </w:tc>
        <w:tc>
          <w:tcPr>
            <w:tcW w:w="1505" w:type="dxa"/>
            <w:shd w:val="clear" w:color="auto" w:fill="1B3A6B"/>
          </w:tcPr>
          <w:p w14:paraId="7DBBAD74" w14:textId="77777777" w:rsidR="00141B56" w:rsidRDefault="00000000">
            <w:r>
              <w:rPr>
                <w:rFonts w:ascii="Arial" w:hAnsi="Arial"/>
                <w:b/>
                <w:color w:val="FFFFFF"/>
                <w:sz w:val="18"/>
              </w:rPr>
              <w:t>Scope</w:t>
            </w:r>
          </w:p>
        </w:tc>
        <w:tc>
          <w:tcPr>
            <w:tcW w:w="1505" w:type="dxa"/>
            <w:shd w:val="clear" w:color="auto" w:fill="1B3A6B"/>
          </w:tcPr>
          <w:p w14:paraId="23FA2997" w14:textId="77777777" w:rsidR="00141B56" w:rsidRDefault="00000000">
            <w:r>
              <w:rPr>
                <w:rFonts w:ascii="Arial" w:hAnsi="Arial"/>
                <w:b/>
                <w:color w:val="FFFFFF"/>
                <w:sz w:val="18"/>
              </w:rPr>
              <w:t>Recommended Ambition</w:t>
            </w:r>
          </w:p>
        </w:tc>
        <w:tc>
          <w:tcPr>
            <w:tcW w:w="1505" w:type="dxa"/>
            <w:shd w:val="clear" w:color="auto" w:fill="1B3A6B"/>
          </w:tcPr>
          <w:p w14:paraId="4F1A3AD4" w14:textId="77777777" w:rsidR="00141B56" w:rsidRDefault="00000000">
            <w:r>
              <w:rPr>
                <w:rFonts w:ascii="Arial" w:hAnsi="Arial"/>
                <w:b/>
                <w:color w:val="FFFFFF"/>
                <w:sz w:val="18"/>
              </w:rPr>
              <w:t>Target Year</w:t>
            </w:r>
          </w:p>
        </w:tc>
        <w:tc>
          <w:tcPr>
            <w:tcW w:w="1505" w:type="dxa"/>
            <w:shd w:val="clear" w:color="auto" w:fill="1B3A6B"/>
          </w:tcPr>
          <w:p w14:paraId="3C4FC0F7" w14:textId="77777777" w:rsidR="00141B56" w:rsidRDefault="00000000">
            <w:r>
              <w:rPr>
                <w:rFonts w:ascii="Arial" w:hAnsi="Arial"/>
                <w:b/>
                <w:color w:val="FFFFFF"/>
                <w:sz w:val="18"/>
              </w:rPr>
              <w:t>Base Year</w:t>
            </w:r>
          </w:p>
        </w:tc>
        <w:tc>
          <w:tcPr>
            <w:tcW w:w="1505" w:type="dxa"/>
            <w:shd w:val="clear" w:color="auto" w:fill="1B3A6B"/>
          </w:tcPr>
          <w:p w14:paraId="5AAA976D" w14:textId="77777777" w:rsidR="00141B56" w:rsidRDefault="00000000">
            <w:r>
              <w:rPr>
                <w:rFonts w:ascii="Arial" w:hAnsi="Arial"/>
                <w:b/>
                <w:color w:val="FFFFFF"/>
                <w:sz w:val="18"/>
              </w:rPr>
              <w:t>Peer Reference</w:t>
            </w:r>
          </w:p>
        </w:tc>
      </w:tr>
      <w:tr w:rsidR="00141B56" w14:paraId="104B71FA" w14:textId="77777777">
        <w:trPr>
          <w:jc w:val="center"/>
        </w:trPr>
        <w:tc>
          <w:tcPr>
            <w:tcW w:w="1505" w:type="dxa"/>
          </w:tcPr>
          <w:p w14:paraId="137F237A" w14:textId="77777777" w:rsidR="00141B56" w:rsidRDefault="00000000">
            <w:r>
              <w:rPr>
                <w:rFonts w:ascii="Arial" w:hAnsi="Arial"/>
                <w:sz w:val="18"/>
              </w:rPr>
              <w:lastRenderedPageBreak/>
              <w:t>Operational Emissions (Absolute)</w:t>
            </w:r>
          </w:p>
        </w:tc>
        <w:tc>
          <w:tcPr>
            <w:tcW w:w="1505" w:type="dxa"/>
          </w:tcPr>
          <w:p w14:paraId="0F80AED4" w14:textId="77777777" w:rsidR="00141B56" w:rsidRDefault="00000000">
            <w:r>
              <w:rPr>
                <w:rFonts w:ascii="Arial" w:hAnsi="Arial"/>
                <w:sz w:val="18"/>
              </w:rPr>
              <w:t>Scope 1+2</w:t>
            </w:r>
          </w:p>
        </w:tc>
        <w:tc>
          <w:tcPr>
            <w:tcW w:w="1505" w:type="dxa"/>
          </w:tcPr>
          <w:p w14:paraId="56BFB4A2" w14:textId="77777777" w:rsidR="00141B56" w:rsidRDefault="00000000">
            <w:r>
              <w:rPr>
                <w:rFonts w:ascii="Arial" w:hAnsi="Arial"/>
                <w:sz w:val="18"/>
              </w:rPr>
              <w:t>30% reduction (33,611.8 tCO₂e)</w:t>
            </w:r>
          </w:p>
        </w:tc>
        <w:tc>
          <w:tcPr>
            <w:tcW w:w="1505" w:type="dxa"/>
          </w:tcPr>
          <w:p w14:paraId="13819ED8" w14:textId="77777777" w:rsidR="00141B56" w:rsidRDefault="00000000">
            <w:pPr>
              <w:jc w:val="right"/>
            </w:pPr>
            <w:r>
              <w:rPr>
                <w:rFonts w:ascii="Arial" w:hAnsi="Arial"/>
                <w:sz w:val="18"/>
              </w:rPr>
              <w:t>2030</w:t>
            </w:r>
          </w:p>
        </w:tc>
        <w:tc>
          <w:tcPr>
            <w:tcW w:w="1505" w:type="dxa"/>
          </w:tcPr>
          <w:p w14:paraId="6EB77ED6" w14:textId="77777777" w:rsidR="00141B56" w:rsidRDefault="00000000">
            <w:r>
              <w:rPr>
                <w:rFonts w:ascii="Arial" w:hAnsi="Arial"/>
                <w:sz w:val="18"/>
              </w:rPr>
              <w:t>2024 (48,016.873 tCO₂e)</w:t>
            </w:r>
          </w:p>
        </w:tc>
        <w:tc>
          <w:tcPr>
            <w:tcW w:w="1505" w:type="dxa"/>
          </w:tcPr>
          <w:p w14:paraId="1089C4B1" w14:textId="77777777" w:rsidR="00141B56" w:rsidRDefault="00000000">
            <w:r>
              <w:rPr>
                <w:rFonts w:ascii="Arial" w:hAnsi="Arial"/>
                <w:sz w:val="18"/>
              </w:rPr>
              <w:t>DBS pathway: 12% annual reduction</w:t>
            </w:r>
          </w:p>
        </w:tc>
      </w:tr>
      <w:tr w:rsidR="00141B56" w14:paraId="24F42B2B" w14:textId="77777777">
        <w:trPr>
          <w:jc w:val="center"/>
        </w:trPr>
        <w:tc>
          <w:tcPr>
            <w:tcW w:w="1505" w:type="dxa"/>
            <w:shd w:val="clear" w:color="auto" w:fill="F2F6FC"/>
          </w:tcPr>
          <w:p w14:paraId="396035B9" w14:textId="77777777" w:rsidR="00141B56" w:rsidRDefault="00000000">
            <w:r>
              <w:rPr>
                <w:rFonts w:ascii="Arial" w:hAnsi="Arial"/>
                <w:sz w:val="18"/>
              </w:rPr>
              <w:t>Operational Emissions (Intensity)</w:t>
            </w:r>
          </w:p>
        </w:tc>
        <w:tc>
          <w:tcPr>
            <w:tcW w:w="1505" w:type="dxa"/>
            <w:shd w:val="clear" w:color="auto" w:fill="F2F6FC"/>
          </w:tcPr>
          <w:p w14:paraId="3AF9D2FF" w14:textId="77777777" w:rsidR="00141B56" w:rsidRDefault="00000000">
            <w:r>
              <w:rPr>
                <w:rFonts w:ascii="Arial" w:hAnsi="Arial"/>
                <w:sz w:val="18"/>
              </w:rPr>
              <w:t>Scope 1+2</w:t>
            </w:r>
          </w:p>
        </w:tc>
        <w:tc>
          <w:tcPr>
            <w:tcW w:w="1505" w:type="dxa"/>
            <w:shd w:val="clear" w:color="auto" w:fill="F2F6FC"/>
          </w:tcPr>
          <w:p w14:paraId="1D2063D8" w14:textId="77777777" w:rsidR="00141B56" w:rsidRDefault="00000000">
            <w:r>
              <w:rPr>
                <w:rFonts w:ascii="Arial" w:hAnsi="Arial"/>
                <w:sz w:val="18"/>
              </w:rPr>
              <w:t>40% reduction (1.15 tCO₂e/FTE)</w:t>
            </w:r>
          </w:p>
        </w:tc>
        <w:tc>
          <w:tcPr>
            <w:tcW w:w="1505" w:type="dxa"/>
            <w:shd w:val="clear" w:color="auto" w:fill="F2F6FC"/>
          </w:tcPr>
          <w:p w14:paraId="7EA31BD3" w14:textId="77777777" w:rsidR="00141B56" w:rsidRDefault="00000000">
            <w:pPr>
              <w:jc w:val="right"/>
            </w:pPr>
            <w:r>
              <w:rPr>
                <w:rFonts w:ascii="Arial" w:hAnsi="Arial"/>
                <w:sz w:val="18"/>
              </w:rPr>
              <w:t>2030</w:t>
            </w:r>
          </w:p>
        </w:tc>
        <w:tc>
          <w:tcPr>
            <w:tcW w:w="1505" w:type="dxa"/>
            <w:shd w:val="clear" w:color="auto" w:fill="F2F6FC"/>
          </w:tcPr>
          <w:p w14:paraId="526F5CFF" w14:textId="77777777" w:rsidR="00141B56" w:rsidRDefault="00000000">
            <w:r>
              <w:rPr>
                <w:rFonts w:ascii="Arial" w:hAnsi="Arial"/>
                <w:sz w:val="18"/>
              </w:rPr>
              <w:t>2024 (1.9209 tCO₂e/FTE)</w:t>
            </w:r>
          </w:p>
        </w:tc>
        <w:tc>
          <w:tcPr>
            <w:tcW w:w="1505" w:type="dxa"/>
            <w:shd w:val="clear" w:color="auto" w:fill="F2F6FC"/>
          </w:tcPr>
          <w:p w14:paraId="154F797B" w14:textId="77777777" w:rsidR="00141B56" w:rsidRDefault="00000000">
            <w:r>
              <w:rPr>
                <w:rFonts w:ascii="Arial" w:hAnsi="Arial"/>
                <w:sz w:val="18"/>
              </w:rPr>
              <w:t>DBS: 14,200 MJ/employee (2023)</w:t>
            </w:r>
          </w:p>
        </w:tc>
      </w:tr>
      <w:tr w:rsidR="00141B56" w14:paraId="23F5153D" w14:textId="77777777">
        <w:trPr>
          <w:jc w:val="center"/>
        </w:trPr>
        <w:tc>
          <w:tcPr>
            <w:tcW w:w="1505" w:type="dxa"/>
          </w:tcPr>
          <w:p w14:paraId="4628CF09" w14:textId="77777777" w:rsidR="00141B56" w:rsidRDefault="00000000">
            <w:r>
              <w:rPr>
                <w:rFonts w:ascii="Arial" w:hAnsi="Arial"/>
                <w:sz w:val="18"/>
              </w:rPr>
              <w:t>Renewable Energy Procurement</w:t>
            </w:r>
          </w:p>
        </w:tc>
        <w:tc>
          <w:tcPr>
            <w:tcW w:w="1505" w:type="dxa"/>
          </w:tcPr>
          <w:p w14:paraId="269B71E0" w14:textId="77777777" w:rsidR="00141B56" w:rsidRDefault="00000000">
            <w:r>
              <w:rPr>
                <w:rFonts w:ascii="Arial" w:hAnsi="Arial"/>
                <w:sz w:val="18"/>
              </w:rPr>
              <w:t>Scope 2</w:t>
            </w:r>
          </w:p>
        </w:tc>
        <w:tc>
          <w:tcPr>
            <w:tcW w:w="1505" w:type="dxa"/>
          </w:tcPr>
          <w:p w14:paraId="346C5D8A" w14:textId="77777777" w:rsidR="00141B56" w:rsidRDefault="00000000">
            <w:r>
              <w:rPr>
                <w:rFonts w:ascii="Arial" w:hAnsi="Arial"/>
                <w:sz w:val="18"/>
              </w:rPr>
              <w:t>30% of electricity consumption</w:t>
            </w:r>
          </w:p>
        </w:tc>
        <w:tc>
          <w:tcPr>
            <w:tcW w:w="1505" w:type="dxa"/>
          </w:tcPr>
          <w:p w14:paraId="3C4D55B1" w14:textId="77777777" w:rsidR="00141B56" w:rsidRDefault="00000000">
            <w:pPr>
              <w:jc w:val="right"/>
            </w:pPr>
            <w:r>
              <w:rPr>
                <w:rFonts w:ascii="Arial" w:hAnsi="Arial"/>
                <w:sz w:val="18"/>
              </w:rPr>
              <w:t>2030</w:t>
            </w:r>
          </w:p>
        </w:tc>
        <w:tc>
          <w:tcPr>
            <w:tcW w:w="1505" w:type="dxa"/>
          </w:tcPr>
          <w:p w14:paraId="7DDD49FA" w14:textId="77777777" w:rsidR="00141B56" w:rsidRDefault="00000000">
            <w:r>
              <w:rPr>
                <w:rFonts w:ascii="Arial" w:hAnsi="Arial"/>
                <w:sz w:val="18"/>
              </w:rPr>
              <w:t>2024 (&lt;1% estimated)</w:t>
            </w:r>
          </w:p>
        </w:tc>
        <w:tc>
          <w:tcPr>
            <w:tcW w:w="1505" w:type="dxa"/>
          </w:tcPr>
          <w:p w14:paraId="2D6C047E" w14:textId="77777777" w:rsidR="00141B56" w:rsidRDefault="00000000">
            <w:r>
              <w:rPr>
                <w:rFonts w:ascii="Arial" w:hAnsi="Arial"/>
                <w:sz w:val="18"/>
              </w:rPr>
              <w:t>DBS: 62% (RE100 member)</w:t>
            </w:r>
          </w:p>
        </w:tc>
      </w:tr>
      <w:tr w:rsidR="00141B56" w14:paraId="34B68318" w14:textId="77777777">
        <w:trPr>
          <w:jc w:val="center"/>
        </w:trPr>
        <w:tc>
          <w:tcPr>
            <w:tcW w:w="1505" w:type="dxa"/>
            <w:shd w:val="clear" w:color="auto" w:fill="F2F6FC"/>
          </w:tcPr>
          <w:p w14:paraId="0C3C993C" w14:textId="77777777" w:rsidR="00141B56" w:rsidRDefault="00000000">
            <w:r>
              <w:rPr>
                <w:rFonts w:ascii="Arial" w:hAnsi="Arial"/>
                <w:sz w:val="18"/>
              </w:rPr>
              <w:t>Financed Emissions (Portfolio Temp.)</w:t>
            </w:r>
          </w:p>
        </w:tc>
        <w:tc>
          <w:tcPr>
            <w:tcW w:w="1505" w:type="dxa"/>
            <w:shd w:val="clear" w:color="auto" w:fill="F2F6FC"/>
          </w:tcPr>
          <w:p w14:paraId="0BCF3EA2" w14:textId="77777777" w:rsidR="00141B56" w:rsidRDefault="00000000">
            <w:r>
              <w:rPr>
                <w:rFonts w:ascii="Arial" w:hAnsi="Arial"/>
                <w:sz w:val="18"/>
              </w:rPr>
              <w:t>Scope 3 Cat 15</w:t>
            </w:r>
          </w:p>
        </w:tc>
        <w:tc>
          <w:tcPr>
            <w:tcW w:w="1505" w:type="dxa"/>
            <w:shd w:val="clear" w:color="auto" w:fill="F2F6FC"/>
          </w:tcPr>
          <w:p w14:paraId="28A28A4B" w14:textId="77777777" w:rsidR="00141B56" w:rsidRDefault="00000000">
            <w:r>
              <w:rPr>
                <w:rFonts w:ascii="Arial" w:hAnsi="Arial"/>
                <w:sz w:val="18"/>
              </w:rPr>
              <w:t>Portfolio alignment to 2.0°C</w:t>
            </w:r>
          </w:p>
        </w:tc>
        <w:tc>
          <w:tcPr>
            <w:tcW w:w="1505" w:type="dxa"/>
            <w:shd w:val="clear" w:color="auto" w:fill="F2F6FC"/>
          </w:tcPr>
          <w:p w14:paraId="7EA036FC" w14:textId="77777777" w:rsidR="00141B56" w:rsidRDefault="00000000">
            <w:pPr>
              <w:jc w:val="right"/>
            </w:pPr>
            <w:r>
              <w:rPr>
                <w:rFonts w:ascii="Arial" w:hAnsi="Arial"/>
                <w:sz w:val="18"/>
              </w:rPr>
              <w:t>2030</w:t>
            </w:r>
          </w:p>
        </w:tc>
        <w:tc>
          <w:tcPr>
            <w:tcW w:w="1505" w:type="dxa"/>
            <w:shd w:val="clear" w:color="auto" w:fill="F2F6FC"/>
          </w:tcPr>
          <w:p w14:paraId="636A5649" w14:textId="77777777" w:rsidR="00141B56" w:rsidRDefault="00000000">
            <w:r>
              <w:rPr>
                <w:rFonts w:ascii="Arial" w:hAnsi="Arial"/>
                <w:sz w:val="18"/>
              </w:rPr>
              <w:t>2024 (baseline TBD)</w:t>
            </w:r>
          </w:p>
        </w:tc>
        <w:tc>
          <w:tcPr>
            <w:tcW w:w="1505" w:type="dxa"/>
            <w:shd w:val="clear" w:color="auto" w:fill="F2F6FC"/>
          </w:tcPr>
          <w:p w14:paraId="017D085D" w14:textId="77777777" w:rsidR="00141B56" w:rsidRDefault="00000000">
            <w:r>
              <w:rPr>
                <w:rFonts w:ascii="Arial" w:hAnsi="Arial"/>
                <w:sz w:val="18"/>
              </w:rPr>
              <w:t>BRI: 1.75°C by 2040</w:t>
            </w:r>
          </w:p>
        </w:tc>
      </w:tr>
      <w:tr w:rsidR="00141B56" w14:paraId="506F24F3" w14:textId="77777777">
        <w:trPr>
          <w:jc w:val="center"/>
        </w:trPr>
        <w:tc>
          <w:tcPr>
            <w:tcW w:w="1505" w:type="dxa"/>
          </w:tcPr>
          <w:p w14:paraId="58D0091C" w14:textId="77777777" w:rsidR="00141B56" w:rsidRDefault="00000000">
            <w:r>
              <w:rPr>
                <w:rFonts w:ascii="Arial" w:hAnsi="Arial"/>
                <w:sz w:val="18"/>
              </w:rPr>
              <w:t>Financed Emissions (Sectoral)</w:t>
            </w:r>
          </w:p>
        </w:tc>
        <w:tc>
          <w:tcPr>
            <w:tcW w:w="1505" w:type="dxa"/>
          </w:tcPr>
          <w:p w14:paraId="3FFA50E6" w14:textId="77777777" w:rsidR="00141B56" w:rsidRDefault="00000000">
            <w:r>
              <w:rPr>
                <w:rFonts w:ascii="Arial" w:hAnsi="Arial"/>
                <w:sz w:val="18"/>
              </w:rPr>
              <w:t>Scope 3 Cat 15 — Oil &amp; Gas</w:t>
            </w:r>
          </w:p>
        </w:tc>
        <w:tc>
          <w:tcPr>
            <w:tcW w:w="1505" w:type="dxa"/>
          </w:tcPr>
          <w:p w14:paraId="00FE61EC" w14:textId="77777777" w:rsidR="00141B56" w:rsidRDefault="00000000">
            <w:r>
              <w:rPr>
                <w:rFonts w:ascii="Arial" w:hAnsi="Arial"/>
                <w:sz w:val="18"/>
              </w:rPr>
              <w:t>50% reduction in emission intensity</w:t>
            </w:r>
          </w:p>
        </w:tc>
        <w:tc>
          <w:tcPr>
            <w:tcW w:w="1505" w:type="dxa"/>
          </w:tcPr>
          <w:p w14:paraId="39FF5075" w14:textId="77777777" w:rsidR="00141B56" w:rsidRDefault="00000000">
            <w:pPr>
              <w:jc w:val="right"/>
            </w:pPr>
            <w:r>
              <w:rPr>
                <w:rFonts w:ascii="Arial" w:hAnsi="Arial"/>
                <w:sz w:val="18"/>
              </w:rPr>
              <w:t>2035</w:t>
            </w:r>
          </w:p>
        </w:tc>
        <w:tc>
          <w:tcPr>
            <w:tcW w:w="1505" w:type="dxa"/>
          </w:tcPr>
          <w:p w14:paraId="12BE7B6A" w14:textId="77777777" w:rsidR="00141B56" w:rsidRDefault="00000000">
            <w:r>
              <w:rPr>
                <w:rFonts w:ascii="Arial" w:hAnsi="Arial"/>
                <w:sz w:val="18"/>
              </w:rPr>
              <w:t>2024 (93.242 tCO₂e/IDR bn)</w:t>
            </w:r>
          </w:p>
        </w:tc>
        <w:tc>
          <w:tcPr>
            <w:tcW w:w="1505" w:type="dxa"/>
          </w:tcPr>
          <w:p w14:paraId="30914775" w14:textId="77777777" w:rsidR="00141B56" w:rsidRDefault="00000000">
            <w:r>
              <w:rPr>
                <w:rFonts w:ascii="Arial" w:hAnsi="Arial"/>
                <w:sz w:val="18"/>
              </w:rPr>
              <w:t>IEA NZE scenario pathway</w:t>
            </w:r>
          </w:p>
        </w:tc>
      </w:tr>
      <w:tr w:rsidR="00141B56" w14:paraId="2F316650" w14:textId="77777777">
        <w:trPr>
          <w:jc w:val="center"/>
        </w:trPr>
        <w:tc>
          <w:tcPr>
            <w:tcW w:w="1505" w:type="dxa"/>
            <w:shd w:val="clear" w:color="auto" w:fill="F2F6FC"/>
          </w:tcPr>
          <w:p w14:paraId="52E96920" w14:textId="77777777" w:rsidR="00141B56" w:rsidRDefault="00000000">
            <w:r>
              <w:rPr>
                <w:rFonts w:ascii="Arial" w:hAnsi="Arial"/>
                <w:sz w:val="18"/>
              </w:rPr>
              <w:t>Net Zero Commitment</w:t>
            </w:r>
          </w:p>
        </w:tc>
        <w:tc>
          <w:tcPr>
            <w:tcW w:w="1505" w:type="dxa"/>
            <w:shd w:val="clear" w:color="auto" w:fill="F2F6FC"/>
          </w:tcPr>
          <w:p w14:paraId="5F72CB36" w14:textId="77777777" w:rsidR="00141B56" w:rsidRDefault="00000000">
            <w:r>
              <w:rPr>
                <w:rFonts w:ascii="Arial" w:hAnsi="Arial"/>
                <w:sz w:val="18"/>
              </w:rPr>
              <w:t>All Scopes</w:t>
            </w:r>
          </w:p>
        </w:tc>
        <w:tc>
          <w:tcPr>
            <w:tcW w:w="1505" w:type="dxa"/>
            <w:shd w:val="clear" w:color="auto" w:fill="F2F6FC"/>
          </w:tcPr>
          <w:p w14:paraId="51EAC79C" w14:textId="77777777" w:rsidR="00141B56" w:rsidRDefault="00000000">
            <w:r>
              <w:rPr>
                <w:rFonts w:ascii="Arial" w:hAnsi="Arial"/>
                <w:sz w:val="18"/>
              </w:rPr>
              <w:t>Net Zero (residual offsets &lt;10%)</w:t>
            </w:r>
          </w:p>
        </w:tc>
        <w:tc>
          <w:tcPr>
            <w:tcW w:w="1505" w:type="dxa"/>
            <w:shd w:val="clear" w:color="auto" w:fill="F2F6FC"/>
          </w:tcPr>
          <w:p w14:paraId="36F88237" w14:textId="77777777" w:rsidR="00141B56" w:rsidRDefault="00000000">
            <w:pPr>
              <w:jc w:val="right"/>
            </w:pPr>
            <w:r>
              <w:rPr>
                <w:rFonts w:ascii="Arial" w:hAnsi="Arial"/>
                <w:sz w:val="18"/>
              </w:rPr>
              <w:t>2050</w:t>
            </w:r>
          </w:p>
        </w:tc>
        <w:tc>
          <w:tcPr>
            <w:tcW w:w="1505" w:type="dxa"/>
            <w:shd w:val="clear" w:color="auto" w:fill="F2F6FC"/>
          </w:tcPr>
          <w:p w14:paraId="76A849F3" w14:textId="77777777" w:rsidR="00141B56" w:rsidRDefault="00000000">
            <w:pPr>
              <w:jc w:val="right"/>
            </w:pPr>
            <w:r>
              <w:rPr>
                <w:rFonts w:ascii="Arial" w:hAnsi="Arial"/>
                <w:sz w:val="18"/>
              </w:rPr>
              <w:t>2024</w:t>
            </w:r>
          </w:p>
        </w:tc>
        <w:tc>
          <w:tcPr>
            <w:tcW w:w="1505" w:type="dxa"/>
            <w:shd w:val="clear" w:color="auto" w:fill="F2F6FC"/>
          </w:tcPr>
          <w:p w14:paraId="3129E48B" w14:textId="77777777" w:rsidR="00141B56" w:rsidRDefault="00000000">
            <w:r>
              <w:rPr>
                <w:rFonts w:ascii="Arial" w:hAnsi="Arial"/>
                <w:sz w:val="18"/>
              </w:rPr>
              <w:t>BRI, DBS, OCBC: 2050 commitment</w:t>
            </w:r>
          </w:p>
        </w:tc>
      </w:tr>
    </w:tbl>
    <w:p w14:paraId="152EDF49" w14:textId="77777777" w:rsidR="00141B56" w:rsidRDefault="00000000">
      <w:r>
        <w:rPr>
          <w:rFonts w:ascii="Arial" w:hAnsi="Arial"/>
          <w:i/>
          <w:sz w:val="16"/>
        </w:rPr>
        <w:t>Source: Recommended targets based on peer analysis and climate science alignment. Actual targets subject to Board approval and SBTi validation process.</w:t>
      </w:r>
    </w:p>
    <w:p w14:paraId="4238AD4A" w14:textId="77777777" w:rsidR="00141B56" w:rsidRDefault="00141B56"/>
    <w:p w14:paraId="135CCB73" w14:textId="77777777" w:rsidR="00141B56" w:rsidRDefault="00000000">
      <w:r>
        <w:rPr>
          <w:rFonts w:ascii="Arial" w:hAnsi="Arial"/>
          <w:b/>
          <w:sz w:val="20"/>
        </w:rPr>
        <w:t>Table 3.2.3: Decarbonization Initiatives — Estimated Emission Reduction Potential</w:t>
      </w:r>
    </w:p>
    <w:tbl>
      <w:tblPr>
        <w:tblW w:w="0" w:type="auto"/>
        <w:jc w:val="center"/>
        <w:tblLook w:val="04A0" w:firstRow="1" w:lastRow="0" w:firstColumn="1" w:lastColumn="0" w:noHBand="0" w:noVBand="1"/>
      </w:tblPr>
      <w:tblGrid>
        <w:gridCol w:w="1505"/>
        <w:gridCol w:w="1505"/>
        <w:gridCol w:w="1505"/>
        <w:gridCol w:w="1547"/>
        <w:gridCol w:w="1505"/>
        <w:gridCol w:w="1547"/>
      </w:tblGrid>
      <w:tr w:rsidR="00141B56" w14:paraId="2B422D99" w14:textId="77777777">
        <w:trPr>
          <w:jc w:val="center"/>
        </w:trPr>
        <w:tc>
          <w:tcPr>
            <w:tcW w:w="1505" w:type="dxa"/>
            <w:shd w:val="clear" w:color="auto" w:fill="1B3A6B"/>
          </w:tcPr>
          <w:p w14:paraId="69F5ACE7" w14:textId="77777777" w:rsidR="00141B56" w:rsidRDefault="00000000">
            <w:r>
              <w:rPr>
                <w:rFonts w:ascii="Arial" w:hAnsi="Arial"/>
                <w:b/>
                <w:color w:val="FFFFFF"/>
                <w:sz w:val="18"/>
              </w:rPr>
              <w:t>Initiative Category</w:t>
            </w:r>
          </w:p>
        </w:tc>
        <w:tc>
          <w:tcPr>
            <w:tcW w:w="1505" w:type="dxa"/>
            <w:shd w:val="clear" w:color="auto" w:fill="1B3A6B"/>
          </w:tcPr>
          <w:p w14:paraId="10F7079E" w14:textId="77777777" w:rsidR="00141B56" w:rsidRDefault="00000000">
            <w:r>
              <w:rPr>
                <w:rFonts w:ascii="Arial" w:hAnsi="Arial"/>
                <w:b/>
                <w:color w:val="FFFFFF"/>
                <w:sz w:val="18"/>
              </w:rPr>
              <w:t>Specific Action</w:t>
            </w:r>
          </w:p>
        </w:tc>
        <w:tc>
          <w:tcPr>
            <w:tcW w:w="1505" w:type="dxa"/>
            <w:shd w:val="clear" w:color="auto" w:fill="1B3A6B"/>
          </w:tcPr>
          <w:p w14:paraId="6FEBE8E0" w14:textId="77777777" w:rsidR="00141B56" w:rsidRDefault="00000000">
            <w:r>
              <w:rPr>
                <w:rFonts w:ascii="Arial" w:hAnsi="Arial"/>
                <w:b/>
                <w:color w:val="FFFFFF"/>
                <w:sz w:val="18"/>
              </w:rPr>
              <w:t>Estimated Reduction (tCO₂e/year)</w:t>
            </w:r>
          </w:p>
        </w:tc>
        <w:tc>
          <w:tcPr>
            <w:tcW w:w="1505" w:type="dxa"/>
            <w:shd w:val="clear" w:color="auto" w:fill="1B3A6B"/>
          </w:tcPr>
          <w:p w14:paraId="4851C738" w14:textId="77777777" w:rsidR="00141B56" w:rsidRDefault="00000000">
            <w:r>
              <w:rPr>
                <w:rFonts w:ascii="Arial" w:hAnsi="Arial"/>
                <w:b/>
                <w:color w:val="FFFFFF"/>
                <w:sz w:val="18"/>
              </w:rPr>
              <w:t>Implementation Timeline</w:t>
            </w:r>
          </w:p>
        </w:tc>
        <w:tc>
          <w:tcPr>
            <w:tcW w:w="1505" w:type="dxa"/>
            <w:shd w:val="clear" w:color="auto" w:fill="1B3A6B"/>
          </w:tcPr>
          <w:p w14:paraId="04549447" w14:textId="77777777" w:rsidR="00141B56" w:rsidRDefault="00000000">
            <w:r>
              <w:rPr>
                <w:rFonts w:ascii="Arial" w:hAnsi="Arial"/>
                <w:b/>
                <w:color w:val="FFFFFF"/>
                <w:sz w:val="18"/>
              </w:rPr>
              <w:t>Capital Requirement</w:t>
            </w:r>
          </w:p>
        </w:tc>
        <w:tc>
          <w:tcPr>
            <w:tcW w:w="1505" w:type="dxa"/>
            <w:shd w:val="clear" w:color="auto" w:fill="1B3A6B"/>
          </w:tcPr>
          <w:p w14:paraId="3BC90E9B" w14:textId="77777777" w:rsidR="00141B56" w:rsidRDefault="00000000">
            <w:r>
              <w:rPr>
                <w:rFonts w:ascii="Arial" w:hAnsi="Arial"/>
                <w:b/>
                <w:color w:val="FFFFFF"/>
                <w:sz w:val="18"/>
              </w:rPr>
              <w:t>Peer Implementation</w:t>
            </w:r>
          </w:p>
        </w:tc>
      </w:tr>
      <w:tr w:rsidR="00141B56" w14:paraId="6576D8E0" w14:textId="77777777">
        <w:trPr>
          <w:jc w:val="center"/>
        </w:trPr>
        <w:tc>
          <w:tcPr>
            <w:tcW w:w="1505" w:type="dxa"/>
          </w:tcPr>
          <w:p w14:paraId="24DBFF88" w14:textId="77777777" w:rsidR="00141B56" w:rsidRDefault="00000000">
            <w:r>
              <w:rPr>
                <w:rFonts w:ascii="Arial" w:hAnsi="Arial"/>
                <w:sz w:val="18"/>
              </w:rPr>
              <w:t>Energy Efficiency</w:t>
            </w:r>
          </w:p>
        </w:tc>
        <w:tc>
          <w:tcPr>
            <w:tcW w:w="1505" w:type="dxa"/>
          </w:tcPr>
          <w:p w14:paraId="26E6B9AF" w14:textId="77777777" w:rsidR="00141B56" w:rsidRDefault="00000000">
            <w:r>
              <w:rPr>
                <w:rFonts w:ascii="Arial" w:hAnsi="Arial"/>
                <w:sz w:val="18"/>
              </w:rPr>
              <w:t>Automated IT shutdown systems</w:t>
            </w:r>
          </w:p>
        </w:tc>
        <w:tc>
          <w:tcPr>
            <w:tcW w:w="1505" w:type="dxa"/>
          </w:tcPr>
          <w:p w14:paraId="7C6E27AB" w14:textId="77777777" w:rsidR="00141B56" w:rsidRDefault="00000000">
            <w:r>
              <w:rPr>
                <w:rFonts w:ascii="Arial" w:hAnsi="Arial"/>
                <w:sz w:val="18"/>
              </w:rPr>
              <w:t>2,230 tCO₂e (5% of Scope 2)</w:t>
            </w:r>
          </w:p>
        </w:tc>
        <w:tc>
          <w:tcPr>
            <w:tcW w:w="1505" w:type="dxa"/>
          </w:tcPr>
          <w:p w14:paraId="28F4B4B2" w14:textId="77777777" w:rsidR="00141B56" w:rsidRDefault="00000000">
            <w:r>
              <w:rPr>
                <w:rFonts w:ascii="Arial" w:hAnsi="Arial"/>
                <w:sz w:val="18"/>
              </w:rPr>
              <w:t>6-12 months</w:t>
            </w:r>
          </w:p>
        </w:tc>
        <w:tc>
          <w:tcPr>
            <w:tcW w:w="1505" w:type="dxa"/>
          </w:tcPr>
          <w:p w14:paraId="4EC4E7F4" w14:textId="77777777" w:rsidR="00141B56" w:rsidRDefault="00000000">
            <w:r>
              <w:rPr>
                <w:rFonts w:ascii="Arial" w:hAnsi="Arial"/>
                <w:sz w:val="18"/>
              </w:rPr>
              <w:t>Low (&lt;IDR 500M)</w:t>
            </w:r>
          </w:p>
        </w:tc>
        <w:tc>
          <w:tcPr>
            <w:tcW w:w="1505" w:type="dxa"/>
          </w:tcPr>
          <w:p w14:paraId="73036CEE" w14:textId="77777777" w:rsidR="00141B56" w:rsidRDefault="00000000">
            <w:r>
              <w:rPr>
                <w:rFonts w:ascii="Arial" w:hAnsi="Arial"/>
                <w:sz w:val="18"/>
              </w:rPr>
              <w:t>BRI: Kaseya program, 19.49% savings</w:t>
            </w:r>
          </w:p>
        </w:tc>
      </w:tr>
      <w:tr w:rsidR="00141B56" w14:paraId="77FC55DB" w14:textId="77777777">
        <w:trPr>
          <w:jc w:val="center"/>
        </w:trPr>
        <w:tc>
          <w:tcPr>
            <w:tcW w:w="1505" w:type="dxa"/>
            <w:shd w:val="clear" w:color="auto" w:fill="F2F6FC"/>
          </w:tcPr>
          <w:p w14:paraId="1B6AF14E" w14:textId="77777777" w:rsidR="00141B56" w:rsidRDefault="00000000">
            <w:r>
              <w:rPr>
                <w:rFonts w:ascii="Arial" w:hAnsi="Arial"/>
                <w:sz w:val="18"/>
              </w:rPr>
              <w:t>Energy Efficiency</w:t>
            </w:r>
          </w:p>
        </w:tc>
        <w:tc>
          <w:tcPr>
            <w:tcW w:w="1505" w:type="dxa"/>
            <w:shd w:val="clear" w:color="auto" w:fill="F2F6FC"/>
          </w:tcPr>
          <w:p w14:paraId="70B7EE56" w14:textId="77777777" w:rsidR="00141B56" w:rsidRDefault="00000000">
            <w:r>
              <w:rPr>
                <w:rFonts w:ascii="Arial" w:hAnsi="Arial"/>
                <w:sz w:val="18"/>
              </w:rPr>
              <w:t>LED retrofit (all facilities)</w:t>
            </w:r>
          </w:p>
        </w:tc>
        <w:tc>
          <w:tcPr>
            <w:tcW w:w="1505" w:type="dxa"/>
            <w:shd w:val="clear" w:color="auto" w:fill="F2F6FC"/>
          </w:tcPr>
          <w:p w14:paraId="5B3F5180" w14:textId="77777777" w:rsidR="00141B56" w:rsidRDefault="00000000">
            <w:r>
              <w:rPr>
                <w:rFonts w:ascii="Arial" w:hAnsi="Arial"/>
                <w:sz w:val="18"/>
              </w:rPr>
              <w:t>4,461 tCO₂e (10% of Scope 2)</w:t>
            </w:r>
          </w:p>
        </w:tc>
        <w:tc>
          <w:tcPr>
            <w:tcW w:w="1505" w:type="dxa"/>
            <w:shd w:val="clear" w:color="auto" w:fill="F2F6FC"/>
          </w:tcPr>
          <w:p w14:paraId="272689DF" w14:textId="77777777" w:rsidR="00141B56" w:rsidRDefault="00000000">
            <w:r>
              <w:rPr>
                <w:rFonts w:ascii="Arial" w:hAnsi="Arial"/>
                <w:sz w:val="18"/>
              </w:rPr>
              <w:t>12-24 months</w:t>
            </w:r>
          </w:p>
        </w:tc>
        <w:tc>
          <w:tcPr>
            <w:tcW w:w="1505" w:type="dxa"/>
            <w:shd w:val="clear" w:color="auto" w:fill="F2F6FC"/>
          </w:tcPr>
          <w:p w14:paraId="0C83F8D8" w14:textId="77777777" w:rsidR="00141B56" w:rsidRDefault="00000000">
            <w:r>
              <w:rPr>
                <w:rFonts w:ascii="Arial" w:hAnsi="Arial"/>
                <w:sz w:val="18"/>
              </w:rPr>
              <w:t>Medium (IDR 2-5B)</w:t>
            </w:r>
          </w:p>
        </w:tc>
        <w:tc>
          <w:tcPr>
            <w:tcW w:w="1505" w:type="dxa"/>
            <w:shd w:val="clear" w:color="auto" w:fill="F2F6FC"/>
          </w:tcPr>
          <w:p w14:paraId="3DEE3F39" w14:textId="77777777" w:rsidR="00141B56" w:rsidRDefault="00000000">
            <w:r>
              <w:rPr>
                <w:rFonts w:ascii="Arial" w:hAnsi="Arial"/>
                <w:sz w:val="18"/>
              </w:rPr>
              <w:t>Standard practice across peers</w:t>
            </w:r>
          </w:p>
        </w:tc>
      </w:tr>
      <w:tr w:rsidR="00141B56" w14:paraId="06CE8730" w14:textId="77777777">
        <w:trPr>
          <w:jc w:val="center"/>
        </w:trPr>
        <w:tc>
          <w:tcPr>
            <w:tcW w:w="1505" w:type="dxa"/>
          </w:tcPr>
          <w:p w14:paraId="26769ED5" w14:textId="77777777" w:rsidR="00141B56" w:rsidRDefault="00000000">
            <w:r>
              <w:rPr>
                <w:rFonts w:ascii="Arial" w:hAnsi="Arial"/>
                <w:sz w:val="18"/>
              </w:rPr>
              <w:t>Renewable Energy</w:t>
            </w:r>
          </w:p>
        </w:tc>
        <w:tc>
          <w:tcPr>
            <w:tcW w:w="1505" w:type="dxa"/>
          </w:tcPr>
          <w:p w14:paraId="2FB816FD" w14:textId="77777777" w:rsidR="00141B56" w:rsidRDefault="00000000">
            <w:r>
              <w:rPr>
                <w:rFonts w:ascii="Arial" w:hAnsi="Arial"/>
                <w:sz w:val="18"/>
              </w:rPr>
              <w:t>Solar PPA (30% of consumption)</w:t>
            </w:r>
          </w:p>
        </w:tc>
        <w:tc>
          <w:tcPr>
            <w:tcW w:w="1505" w:type="dxa"/>
          </w:tcPr>
          <w:p w14:paraId="4456B7EF" w14:textId="77777777" w:rsidR="00141B56" w:rsidRDefault="00000000">
            <w:r>
              <w:rPr>
                <w:rFonts w:ascii="Arial" w:hAnsi="Arial"/>
                <w:sz w:val="18"/>
              </w:rPr>
              <w:t>13,384 tCO₂e (30% of Scope 2)</w:t>
            </w:r>
          </w:p>
        </w:tc>
        <w:tc>
          <w:tcPr>
            <w:tcW w:w="1505" w:type="dxa"/>
          </w:tcPr>
          <w:p w14:paraId="4DDB255D" w14:textId="77777777" w:rsidR="00141B56" w:rsidRDefault="00000000">
            <w:r>
              <w:rPr>
                <w:rFonts w:ascii="Arial" w:hAnsi="Arial"/>
                <w:sz w:val="18"/>
              </w:rPr>
              <w:t>18-36 months</w:t>
            </w:r>
          </w:p>
        </w:tc>
        <w:tc>
          <w:tcPr>
            <w:tcW w:w="1505" w:type="dxa"/>
          </w:tcPr>
          <w:p w14:paraId="6B353CF2" w14:textId="77777777" w:rsidR="00141B56" w:rsidRDefault="00000000">
            <w:r>
              <w:rPr>
                <w:rFonts w:ascii="Arial" w:hAnsi="Arial"/>
                <w:sz w:val="18"/>
              </w:rPr>
              <w:t>Medium (PPA contract)</w:t>
            </w:r>
          </w:p>
        </w:tc>
        <w:tc>
          <w:tcPr>
            <w:tcW w:w="1505" w:type="dxa"/>
          </w:tcPr>
          <w:p w14:paraId="746FF9C9" w14:textId="77777777" w:rsidR="00141B56" w:rsidRDefault="00000000">
            <w:r>
              <w:rPr>
                <w:rFonts w:ascii="Arial" w:hAnsi="Arial"/>
                <w:sz w:val="18"/>
              </w:rPr>
              <w:t>DBS: 62% renewable via PPAs</w:t>
            </w:r>
          </w:p>
        </w:tc>
      </w:tr>
      <w:tr w:rsidR="00141B56" w14:paraId="5FD974D1" w14:textId="77777777">
        <w:trPr>
          <w:jc w:val="center"/>
        </w:trPr>
        <w:tc>
          <w:tcPr>
            <w:tcW w:w="1505" w:type="dxa"/>
            <w:shd w:val="clear" w:color="auto" w:fill="F2F6FC"/>
          </w:tcPr>
          <w:p w14:paraId="3C24F6F5" w14:textId="77777777" w:rsidR="00141B56" w:rsidRDefault="00000000">
            <w:r>
              <w:rPr>
                <w:rFonts w:ascii="Arial" w:hAnsi="Arial"/>
                <w:sz w:val="18"/>
              </w:rPr>
              <w:t>Fleet Electrification</w:t>
            </w:r>
          </w:p>
        </w:tc>
        <w:tc>
          <w:tcPr>
            <w:tcW w:w="1505" w:type="dxa"/>
            <w:shd w:val="clear" w:color="auto" w:fill="F2F6FC"/>
          </w:tcPr>
          <w:p w14:paraId="7122E985" w14:textId="77777777" w:rsidR="00141B56" w:rsidRDefault="00000000">
            <w:r>
              <w:rPr>
                <w:rFonts w:ascii="Arial" w:hAnsi="Arial"/>
                <w:sz w:val="18"/>
              </w:rPr>
              <w:t>50% EV conversion</w:t>
            </w:r>
          </w:p>
        </w:tc>
        <w:tc>
          <w:tcPr>
            <w:tcW w:w="1505" w:type="dxa"/>
            <w:shd w:val="clear" w:color="auto" w:fill="F2F6FC"/>
          </w:tcPr>
          <w:p w14:paraId="63658F52" w14:textId="77777777" w:rsidR="00141B56" w:rsidRDefault="00000000">
            <w:r>
              <w:rPr>
                <w:rFonts w:ascii="Arial" w:hAnsi="Arial"/>
                <w:sz w:val="18"/>
              </w:rPr>
              <w:t>1,101 tCO₂e (50% of diesel Scope 1)</w:t>
            </w:r>
          </w:p>
        </w:tc>
        <w:tc>
          <w:tcPr>
            <w:tcW w:w="1505" w:type="dxa"/>
            <w:shd w:val="clear" w:color="auto" w:fill="F2F6FC"/>
          </w:tcPr>
          <w:p w14:paraId="4A382E4E" w14:textId="77777777" w:rsidR="00141B56" w:rsidRDefault="00000000">
            <w:r>
              <w:rPr>
                <w:rFonts w:ascii="Arial" w:hAnsi="Arial"/>
                <w:sz w:val="18"/>
              </w:rPr>
              <w:t>24-36 months</w:t>
            </w:r>
          </w:p>
        </w:tc>
        <w:tc>
          <w:tcPr>
            <w:tcW w:w="1505" w:type="dxa"/>
            <w:shd w:val="clear" w:color="auto" w:fill="F2F6FC"/>
          </w:tcPr>
          <w:p w14:paraId="6855474A" w14:textId="77777777" w:rsidR="00141B56" w:rsidRDefault="00000000">
            <w:r>
              <w:rPr>
                <w:rFonts w:ascii="Arial" w:hAnsi="Arial"/>
                <w:sz w:val="18"/>
              </w:rPr>
              <w:t>High (IDR 10-20B)</w:t>
            </w:r>
          </w:p>
        </w:tc>
        <w:tc>
          <w:tcPr>
            <w:tcW w:w="1505" w:type="dxa"/>
            <w:shd w:val="clear" w:color="auto" w:fill="F2F6FC"/>
          </w:tcPr>
          <w:p w14:paraId="2A9CE3BC" w14:textId="77777777" w:rsidR="00141B56" w:rsidRDefault="00000000">
            <w:r>
              <w:rPr>
                <w:rFonts w:ascii="Arial" w:hAnsi="Arial"/>
                <w:sz w:val="18"/>
              </w:rPr>
              <w:t>BRI: 118 EVs + 150 e-motorcycles</w:t>
            </w:r>
          </w:p>
        </w:tc>
      </w:tr>
      <w:tr w:rsidR="00141B56" w14:paraId="75195232" w14:textId="77777777">
        <w:trPr>
          <w:jc w:val="center"/>
        </w:trPr>
        <w:tc>
          <w:tcPr>
            <w:tcW w:w="1505" w:type="dxa"/>
          </w:tcPr>
          <w:p w14:paraId="346367BE" w14:textId="77777777" w:rsidR="00141B56" w:rsidRDefault="00000000">
            <w:r>
              <w:rPr>
                <w:rFonts w:ascii="Arial" w:hAnsi="Arial"/>
                <w:sz w:val="18"/>
              </w:rPr>
              <w:t>Green Building</w:t>
            </w:r>
          </w:p>
        </w:tc>
        <w:tc>
          <w:tcPr>
            <w:tcW w:w="1505" w:type="dxa"/>
          </w:tcPr>
          <w:p w14:paraId="648FBA7D" w14:textId="77777777" w:rsidR="00141B56" w:rsidRDefault="00000000">
            <w:r>
              <w:rPr>
                <w:rFonts w:ascii="Arial" w:hAnsi="Arial"/>
                <w:sz w:val="18"/>
              </w:rPr>
              <w:t>LEED/GBCI certification (HQ)</w:t>
            </w:r>
          </w:p>
        </w:tc>
        <w:tc>
          <w:tcPr>
            <w:tcW w:w="1505" w:type="dxa"/>
          </w:tcPr>
          <w:p w14:paraId="78F23EC6" w14:textId="77777777" w:rsidR="00141B56" w:rsidRDefault="00000000">
            <w:r>
              <w:rPr>
                <w:rFonts w:ascii="Arial" w:hAnsi="Arial"/>
                <w:sz w:val="18"/>
              </w:rPr>
              <w:t>6,692 tCO₂e (15% of Scope 2)</w:t>
            </w:r>
          </w:p>
        </w:tc>
        <w:tc>
          <w:tcPr>
            <w:tcW w:w="1505" w:type="dxa"/>
          </w:tcPr>
          <w:p w14:paraId="005F2B51" w14:textId="77777777" w:rsidR="00141B56" w:rsidRDefault="00000000">
            <w:r>
              <w:rPr>
                <w:rFonts w:ascii="Arial" w:hAnsi="Arial"/>
                <w:sz w:val="18"/>
              </w:rPr>
              <w:t>24-48 months</w:t>
            </w:r>
          </w:p>
        </w:tc>
        <w:tc>
          <w:tcPr>
            <w:tcW w:w="1505" w:type="dxa"/>
          </w:tcPr>
          <w:p w14:paraId="5E0D7FCA" w14:textId="77777777" w:rsidR="00141B56" w:rsidRDefault="00000000">
            <w:r>
              <w:rPr>
                <w:rFonts w:ascii="Arial" w:hAnsi="Arial"/>
                <w:sz w:val="18"/>
              </w:rPr>
              <w:t>High (5-10% renovation premium)</w:t>
            </w:r>
          </w:p>
        </w:tc>
        <w:tc>
          <w:tcPr>
            <w:tcW w:w="1505" w:type="dxa"/>
          </w:tcPr>
          <w:p w14:paraId="46EC5F85" w14:textId="77777777" w:rsidR="00141B56" w:rsidRDefault="00000000">
            <w:r>
              <w:rPr>
                <w:rFonts w:ascii="Arial" w:hAnsi="Arial"/>
                <w:sz w:val="18"/>
              </w:rPr>
              <w:t>BRI: Gold GBCI (BRILiaN Tower)</w:t>
            </w:r>
          </w:p>
        </w:tc>
      </w:tr>
      <w:tr w:rsidR="00141B56" w14:paraId="4EF62E75" w14:textId="77777777">
        <w:trPr>
          <w:jc w:val="center"/>
        </w:trPr>
        <w:tc>
          <w:tcPr>
            <w:tcW w:w="1505" w:type="dxa"/>
            <w:shd w:val="clear" w:color="auto" w:fill="F2F6FC"/>
          </w:tcPr>
          <w:p w14:paraId="6773430B" w14:textId="77777777" w:rsidR="00141B56" w:rsidRDefault="00000000">
            <w:r>
              <w:rPr>
                <w:rFonts w:ascii="Arial" w:hAnsi="Arial"/>
                <w:sz w:val="18"/>
              </w:rPr>
              <w:t>Client Engagement</w:t>
            </w:r>
          </w:p>
        </w:tc>
        <w:tc>
          <w:tcPr>
            <w:tcW w:w="1505" w:type="dxa"/>
            <w:shd w:val="clear" w:color="auto" w:fill="F2F6FC"/>
          </w:tcPr>
          <w:p w14:paraId="4BDFF901" w14:textId="77777777" w:rsidR="00141B56" w:rsidRDefault="00000000">
            <w:r>
              <w:rPr>
                <w:rFonts w:ascii="Arial" w:hAnsi="Arial"/>
                <w:sz w:val="18"/>
              </w:rPr>
              <w:t>Top 50 emitters reduction program</w:t>
            </w:r>
          </w:p>
        </w:tc>
        <w:tc>
          <w:tcPr>
            <w:tcW w:w="1505" w:type="dxa"/>
            <w:shd w:val="clear" w:color="auto" w:fill="F2F6FC"/>
          </w:tcPr>
          <w:p w14:paraId="6A606670" w14:textId="77777777" w:rsidR="00141B56" w:rsidRDefault="00000000">
            <w:r>
              <w:rPr>
                <w:rFonts w:ascii="Arial" w:hAnsi="Arial"/>
                <w:sz w:val="18"/>
              </w:rPr>
              <w:t>764,009 tCO₂e (5% of Scope 3)</w:t>
            </w:r>
          </w:p>
        </w:tc>
        <w:tc>
          <w:tcPr>
            <w:tcW w:w="1505" w:type="dxa"/>
            <w:shd w:val="clear" w:color="auto" w:fill="F2F6FC"/>
          </w:tcPr>
          <w:p w14:paraId="0F46D70B" w14:textId="77777777" w:rsidR="00141B56" w:rsidRDefault="00000000">
            <w:r>
              <w:rPr>
                <w:rFonts w:ascii="Arial" w:hAnsi="Arial"/>
                <w:sz w:val="18"/>
              </w:rPr>
              <w:t>12-60 months</w:t>
            </w:r>
          </w:p>
        </w:tc>
        <w:tc>
          <w:tcPr>
            <w:tcW w:w="1505" w:type="dxa"/>
            <w:shd w:val="clear" w:color="auto" w:fill="F2F6FC"/>
          </w:tcPr>
          <w:p w14:paraId="2BB47A3E" w14:textId="77777777" w:rsidR="00141B56" w:rsidRDefault="00000000">
            <w:r>
              <w:rPr>
                <w:rFonts w:ascii="Arial" w:hAnsi="Arial"/>
                <w:sz w:val="18"/>
              </w:rPr>
              <w:t>Low (engagement cost only)</w:t>
            </w:r>
          </w:p>
        </w:tc>
        <w:tc>
          <w:tcPr>
            <w:tcW w:w="1505" w:type="dxa"/>
            <w:shd w:val="clear" w:color="auto" w:fill="F2F6FC"/>
          </w:tcPr>
          <w:p w14:paraId="45C26DAC" w14:textId="77777777" w:rsidR="00141B56" w:rsidRDefault="00000000">
            <w:r>
              <w:rPr>
                <w:rFonts w:ascii="Arial" w:hAnsi="Arial"/>
                <w:sz w:val="18"/>
              </w:rPr>
              <w:t>DBS: Structured client engagement</w:t>
            </w:r>
          </w:p>
        </w:tc>
      </w:tr>
      <w:tr w:rsidR="00141B56" w14:paraId="43E4D6A8" w14:textId="77777777">
        <w:trPr>
          <w:jc w:val="center"/>
        </w:trPr>
        <w:tc>
          <w:tcPr>
            <w:tcW w:w="1505" w:type="dxa"/>
          </w:tcPr>
          <w:p w14:paraId="55612993" w14:textId="77777777" w:rsidR="00141B56" w:rsidRDefault="00000000">
            <w:r>
              <w:rPr>
                <w:rFonts w:ascii="Arial" w:hAnsi="Arial"/>
                <w:sz w:val="18"/>
              </w:rPr>
              <w:lastRenderedPageBreak/>
              <w:t>Portfolio Reallocation</w:t>
            </w:r>
          </w:p>
        </w:tc>
        <w:tc>
          <w:tcPr>
            <w:tcW w:w="1505" w:type="dxa"/>
          </w:tcPr>
          <w:p w14:paraId="0B84DBE6" w14:textId="77777777" w:rsidR="00141B56" w:rsidRDefault="00000000">
            <w:r>
              <w:rPr>
                <w:rFonts w:ascii="Arial" w:hAnsi="Arial"/>
                <w:sz w:val="18"/>
              </w:rPr>
              <w:t>30% green finance allocation</w:t>
            </w:r>
          </w:p>
        </w:tc>
        <w:tc>
          <w:tcPr>
            <w:tcW w:w="1505" w:type="dxa"/>
          </w:tcPr>
          <w:p w14:paraId="02F4C4D3" w14:textId="77777777" w:rsidR="00141B56" w:rsidRDefault="00000000">
            <w:r>
              <w:rPr>
                <w:rFonts w:ascii="Arial" w:hAnsi="Arial"/>
                <w:sz w:val="18"/>
              </w:rPr>
              <w:t>1,528,017 tCO₂e (10% of Scope 3)</w:t>
            </w:r>
          </w:p>
        </w:tc>
        <w:tc>
          <w:tcPr>
            <w:tcW w:w="1505" w:type="dxa"/>
          </w:tcPr>
          <w:p w14:paraId="032F83F6" w14:textId="77777777" w:rsidR="00141B56" w:rsidRDefault="00000000">
            <w:r>
              <w:rPr>
                <w:rFonts w:ascii="Arial" w:hAnsi="Arial"/>
                <w:sz w:val="18"/>
              </w:rPr>
              <w:t>36-60 months</w:t>
            </w:r>
          </w:p>
        </w:tc>
        <w:tc>
          <w:tcPr>
            <w:tcW w:w="1505" w:type="dxa"/>
          </w:tcPr>
          <w:p w14:paraId="50E6156A" w14:textId="77777777" w:rsidR="00141B56" w:rsidRDefault="00000000">
            <w:r>
              <w:rPr>
                <w:rFonts w:ascii="Arial" w:hAnsi="Arial"/>
                <w:sz w:val="18"/>
              </w:rPr>
              <w:t>N/A (lending reallocation)</w:t>
            </w:r>
          </w:p>
        </w:tc>
        <w:tc>
          <w:tcPr>
            <w:tcW w:w="1505" w:type="dxa"/>
          </w:tcPr>
          <w:p w14:paraId="25D051F4" w14:textId="77777777" w:rsidR="00141B56" w:rsidRDefault="00000000">
            <w:r>
              <w:rPr>
                <w:rFonts w:ascii="Arial" w:hAnsi="Arial"/>
                <w:sz w:val="18"/>
              </w:rPr>
              <w:t>BCA: SFAP exceeding targets</w:t>
            </w:r>
          </w:p>
        </w:tc>
      </w:tr>
    </w:tbl>
    <w:p w14:paraId="3D0BBCC7" w14:textId="77777777" w:rsidR="00141B56" w:rsidRDefault="00000000">
      <w:r>
        <w:rPr>
          <w:rFonts w:ascii="Arial" w:hAnsi="Arial"/>
          <w:i/>
          <w:sz w:val="16"/>
        </w:rPr>
        <w:t>Source: Reduction estimates based on peer implementations and industry benchmarks. Actual results subject to implementation quality and external factors (grid emission factors, client cooperation).</w:t>
      </w:r>
    </w:p>
    <w:p w14:paraId="0655FEA8" w14:textId="77777777" w:rsidR="00141B56" w:rsidRDefault="00141B56"/>
    <w:p w14:paraId="2C1716C6" w14:textId="77777777" w:rsidR="00141B56" w:rsidRDefault="00000000">
      <w:r>
        <w:rPr>
          <w:i/>
          <w:color w:val="3D6094"/>
          <w:sz w:val="18"/>
        </w:rPr>
        <w:t>Framework references: IFRS S2 Para 33 — Climate-related targets (quantitative and qualitative); IFRS S2 Para 34 — Metrics and base period for targets; IFRS S2 Para 35 — Approach to setting and reviewing targets; IFRS S2 Para 36 — Performance against targets; GRI 305-5 — Reduction of GHG emissions; ESRS E1 DR E1-4 — Targets related to climate change mitigation and adaptation; OJK PSPK — Target Iklim dan Rencana Transisi; PCAF Standard (2022) — Financed Emissions Methodology; SBTi Financial Sector Science-Based Targets Guidance (2024)</w:t>
      </w:r>
    </w:p>
    <w:p w14:paraId="0CD1760F" w14:textId="77777777" w:rsidR="00141B56" w:rsidRDefault="00141B56">
      <w:pPr>
        <w:pBdr>
          <w:bottom w:val="single" w:sz="6" w:space="1" w:color="999999"/>
        </w:pBdr>
        <w:spacing w:after="80"/>
      </w:pPr>
    </w:p>
    <w:p w14:paraId="5AAAE5E7" w14:textId="77777777" w:rsidR="00141B56" w:rsidRDefault="00000000">
      <w:pPr>
        <w:spacing w:after="160"/>
        <w:jc w:val="both"/>
      </w:pPr>
      <w:r>
        <w:rPr>
          <w:rFonts w:ascii="Arial" w:hAnsi="Arial"/>
          <w:i/>
          <w:color w:val="646464"/>
          <w:sz w:val="18"/>
        </w:rPr>
        <w:t>These figures have not been subject to external assurance for the current reporting period.</w:t>
      </w:r>
    </w:p>
    <w:p w14:paraId="6942C18E" w14:textId="77777777" w:rsidR="00141B56" w:rsidRDefault="00000000">
      <w:pPr>
        <w:spacing w:after="160"/>
        <w:jc w:val="both"/>
      </w:pPr>
      <w:r>
        <w:rPr>
          <w:rFonts w:ascii="Arial" w:hAnsi="Arial"/>
          <w:i/>
          <w:color w:val="646464"/>
          <w:sz w:val="18"/>
        </w:rPr>
        <w:t>Target recommendations are based on peer analysis of BRI (Sustainability Report 2023), DBS Group (Sustainability Report 2023), BCA (Sustainability Report 2024), and OCBC Indonesia (Sustainability Report 2024). Actual target-setting should be informed by detailed feasibility studies and Board-level strategic review.</w:t>
      </w:r>
    </w:p>
    <w:p w14:paraId="41086158" w14:textId="77777777" w:rsidR="00141B56" w:rsidRDefault="00000000">
      <w:pPr>
        <w:spacing w:after="160"/>
        <w:jc w:val="both"/>
      </w:pPr>
      <w:r>
        <w:rPr>
          <w:rFonts w:ascii="Arial" w:hAnsi="Arial"/>
          <w:i/>
          <w:color w:val="646464"/>
          <w:sz w:val="18"/>
        </w:rPr>
        <w:t>Emission reduction estimates for decarbonization initiatives are indicative based on peer implementations and may vary based on facility-specific conditions, grid emission factors, and implementation quality.</w:t>
      </w:r>
    </w:p>
    <w:p w14:paraId="798B3100" w14:textId="77777777" w:rsidR="00141B56" w:rsidRDefault="00000000">
      <w:pPr>
        <w:spacing w:after="160"/>
        <w:jc w:val="both"/>
      </w:pPr>
      <w:r>
        <w:rPr>
          <w:rFonts w:ascii="Arial" w:hAnsi="Arial"/>
          <w:i/>
          <w:color w:val="646464"/>
          <w:sz w:val="18"/>
        </w:rPr>
        <w:t>SBTi (Science Based Targets initiative) commitment and validation process typically requires 12-24 months from initial submission to final approval. The institution should engage SBTi-approved consultants to support target development.</w:t>
      </w:r>
    </w:p>
    <w:p w14:paraId="6BE3CA81" w14:textId="77777777" w:rsidR="00141B56" w:rsidRDefault="00000000">
      <w:pPr>
        <w:spacing w:after="160"/>
        <w:jc w:val="both"/>
      </w:pPr>
      <w:r>
        <w:rPr>
          <w:rFonts w:ascii="Arial" w:hAnsi="Arial"/>
          <w:i/>
          <w:color w:val="646464"/>
          <w:sz w:val="18"/>
        </w:rPr>
        <w:t>Portfolio temperature alignment methodology follows PCAF guidance and requires establishment of sectoral decarbonization pathways aligned with IEA Net Zero by 2050 scenario or equivalent climate science-based benchmarks.</w:t>
      </w:r>
    </w:p>
    <w:p w14:paraId="1CDC9A4C" w14:textId="77777777" w:rsidR="00141B56" w:rsidRDefault="00000000">
      <w:pPr>
        <w:spacing w:after="160"/>
        <w:jc w:val="both"/>
      </w:pPr>
      <w:r>
        <w:rPr>
          <w:rFonts w:ascii="Arial" w:hAnsi="Arial"/>
          <w:i/>
          <w:color w:val="646464"/>
          <w:sz w:val="18"/>
        </w:rPr>
        <w:t>Internal carbon price recommendations ($10-15/tCO₂e) are based on DBS precedent ($15/tCO₂e) and should be reviewed annually with escalation pathway to $50-100/tCO₂e by 2030 to reflect social cost of carbon.</w:t>
      </w:r>
    </w:p>
    <w:p w14:paraId="56180A95" w14:textId="77777777" w:rsidR="00141B56" w:rsidRDefault="00000000">
      <w:r>
        <w:br w:type="page"/>
      </w:r>
    </w:p>
    <w:p w14:paraId="735AE013" w14:textId="77777777" w:rsidR="00141B56" w:rsidRDefault="00000000">
      <w:pPr>
        <w:pStyle w:val="Heading1"/>
        <w:spacing w:after="240"/>
      </w:pPr>
      <w:bookmarkStart w:id="14" w:name="_Toc231986309"/>
      <w:r>
        <w:rPr>
          <w:rFonts w:ascii="Arial" w:hAnsi="Arial"/>
          <w:color w:val="1B3A6B"/>
          <w:sz w:val="36"/>
        </w:rPr>
        <w:lastRenderedPageBreak/>
        <w:t>Appendix A: Methodology Notes</w:t>
      </w:r>
      <w:bookmarkEnd w:id="14"/>
    </w:p>
    <w:p w14:paraId="005332F7" w14:textId="77777777" w:rsidR="00141B56" w:rsidRDefault="00000000">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12D6DD2A" w14:textId="77777777" w:rsidR="00141B56" w:rsidRDefault="00000000">
      <w:pPr>
        <w:pStyle w:val="Heading1"/>
        <w:spacing w:after="240"/>
      </w:pPr>
      <w:bookmarkStart w:id="15" w:name="_Toc231986310"/>
      <w:r>
        <w:rPr>
          <w:rFonts w:ascii="Arial" w:hAnsi="Arial"/>
          <w:color w:val="1B3A6B"/>
          <w:sz w:val="36"/>
        </w:rPr>
        <w:t>Appendix B: Data Quality Summary</w:t>
      </w:r>
      <w:bookmarkEnd w:id="15"/>
    </w:p>
    <w:p w14:paraId="57EF46E9" w14:textId="77777777" w:rsidR="00141B56" w:rsidRDefault="00000000">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p w14:paraId="118038C3" w14:textId="77777777" w:rsidR="00141B56" w:rsidRDefault="00000000">
      <w:pPr>
        <w:pStyle w:val="Heading1"/>
        <w:spacing w:after="240"/>
      </w:pPr>
      <w:bookmarkStart w:id="16" w:name="_Toc231986311"/>
      <w:r>
        <w:rPr>
          <w:rFonts w:ascii="Arial" w:hAnsi="Arial"/>
          <w:color w:val="1B3A6B"/>
          <w:sz w:val="36"/>
        </w:rPr>
        <w:t>Appendix C: GRI Content Index</w:t>
      </w:r>
      <w:bookmarkEnd w:id="16"/>
    </w:p>
    <w:p w14:paraId="7F0E4DE7" w14:textId="77777777" w:rsidR="00141B56" w:rsidRDefault="00000000">
      <w:r>
        <w:rPr>
          <w:rFonts w:ascii="Arial" w:hAnsi="Arial"/>
          <w:b/>
          <w:sz w:val="20"/>
        </w:rPr>
        <w:t>GRI Standards Content Index</w:t>
      </w:r>
    </w:p>
    <w:tbl>
      <w:tblPr>
        <w:tblW w:w="0" w:type="auto"/>
        <w:jc w:val="center"/>
        <w:tblLook w:val="04A0" w:firstRow="1" w:lastRow="0" w:firstColumn="1" w:lastColumn="0" w:noHBand="0" w:noVBand="1"/>
      </w:tblPr>
      <w:tblGrid>
        <w:gridCol w:w="2257"/>
        <w:gridCol w:w="2257"/>
        <w:gridCol w:w="2257"/>
        <w:gridCol w:w="2257"/>
      </w:tblGrid>
      <w:tr w:rsidR="00141B56" w14:paraId="3184C46D" w14:textId="77777777">
        <w:trPr>
          <w:jc w:val="center"/>
        </w:trPr>
        <w:tc>
          <w:tcPr>
            <w:tcW w:w="2257" w:type="dxa"/>
            <w:shd w:val="clear" w:color="auto" w:fill="1B3A6B"/>
          </w:tcPr>
          <w:p w14:paraId="62CF988B" w14:textId="77777777" w:rsidR="00141B56" w:rsidRDefault="00000000">
            <w:r>
              <w:rPr>
                <w:rFonts w:ascii="Arial" w:hAnsi="Arial"/>
                <w:b/>
                <w:color w:val="FFFFFF"/>
                <w:sz w:val="18"/>
              </w:rPr>
              <w:t>GRI Standard</w:t>
            </w:r>
          </w:p>
        </w:tc>
        <w:tc>
          <w:tcPr>
            <w:tcW w:w="2257" w:type="dxa"/>
            <w:shd w:val="clear" w:color="auto" w:fill="1B3A6B"/>
          </w:tcPr>
          <w:p w14:paraId="511BEFA0" w14:textId="77777777" w:rsidR="00141B56" w:rsidRDefault="00000000">
            <w:r>
              <w:rPr>
                <w:rFonts w:ascii="Arial" w:hAnsi="Arial"/>
                <w:b/>
                <w:color w:val="FFFFFF"/>
                <w:sz w:val="18"/>
              </w:rPr>
              <w:t>Disclosure</w:t>
            </w:r>
          </w:p>
        </w:tc>
        <w:tc>
          <w:tcPr>
            <w:tcW w:w="2257" w:type="dxa"/>
            <w:shd w:val="clear" w:color="auto" w:fill="1B3A6B"/>
          </w:tcPr>
          <w:p w14:paraId="37C4B2E1" w14:textId="77777777" w:rsidR="00141B56" w:rsidRDefault="00000000">
            <w:r>
              <w:rPr>
                <w:rFonts w:ascii="Arial" w:hAnsi="Arial"/>
                <w:b/>
                <w:color w:val="FFFFFF"/>
                <w:sz w:val="18"/>
              </w:rPr>
              <w:t>Section Reference</w:t>
            </w:r>
          </w:p>
        </w:tc>
        <w:tc>
          <w:tcPr>
            <w:tcW w:w="2257" w:type="dxa"/>
            <w:shd w:val="clear" w:color="auto" w:fill="1B3A6B"/>
          </w:tcPr>
          <w:p w14:paraId="100F2ED8" w14:textId="77777777" w:rsidR="00141B56" w:rsidRDefault="00000000">
            <w:r>
              <w:rPr>
                <w:rFonts w:ascii="Arial" w:hAnsi="Arial"/>
                <w:b/>
                <w:color w:val="FFFFFF"/>
                <w:sz w:val="18"/>
              </w:rPr>
              <w:t>Omission</w:t>
            </w:r>
          </w:p>
        </w:tc>
      </w:tr>
      <w:tr w:rsidR="00141B56" w14:paraId="45D47F71" w14:textId="77777777">
        <w:trPr>
          <w:jc w:val="center"/>
        </w:trPr>
        <w:tc>
          <w:tcPr>
            <w:tcW w:w="2257" w:type="dxa"/>
          </w:tcPr>
          <w:p w14:paraId="4D7046AA" w14:textId="77777777" w:rsidR="00141B56" w:rsidRDefault="00000000">
            <w:r>
              <w:rPr>
                <w:rFonts w:ascii="Arial" w:hAnsi="Arial"/>
                <w:sz w:val="18"/>
              </w:rPr>
              <w:t>GRI 2-7</w:t>
            </w:r>
          </w:p>
        </w:tc>
        <w:tc>
          <w:tcPr>
            <w:tcW w:w="2257" w:type="dxa"/>
          </w:tcPr>
          <w:p w14:paraId="6753C305" w14:textId="77777777" w:rsidR="00141B56" w:rsidRDefault="00000000">
            <w:r>
              <w:rPr>
                <w:rFonts w:ascii="Arial" w:hAnsi="Arial"/>
                <w:sz w:val="18"/>
              </w:rPr>
              <w:t>Employees</w:t>
            </w:r>
          </w:p>
        </w:tc>
        <w:tc>
          <w:tcPr>
            <w:tcW w:w="2257" w:type="dxa"/>
          </w:tcPr>
          <w:p w14:paraId="136D79CD" w14:textId="77777777" w:rsidR="00141B56" w:rsidRDefault="00000000">
            <w:r>
              <w:rPr>
                <w:rFonts w:ascii="Arial" w:hAnsi="Arial"/>
                <w:sz w:val="18"/>
              </w:rPr>
              <w:t>Section: Social</w:t>
            </w:r>
          </w:p>
        </w:tc>
        <w:tc>
          <w:tcPr>
            <w:tcW w:w="2257" w:type="dxa"/>
          </w:tcPr>
          <w:p w14:paraId="69E65EEC" w14:textId="77777777" w:rsidR="00141B56" w:rsidRDefault="00000000">
            <w:r>
              <w:rPr>
                <w:rFonts w:ascii="Arial" w:hAnsi="Arial"/>
                <w:sz w:val="18"/>
              </w:rPr>
              <w:t>None</w:t>
            </w:r>
          </w:p>
        </w:tc>
      </w:tr>
      <w:tr w:rsidR="00141B56" w14:paraId="3926ABE2" w14:textId="77777777">
        <w:trPr>
          <w:jc w:val="center"/>
        </w:trPr>
        <w:tc>
          <w:tcPr>
            <w:tcW w:w="2257" w:type="dxa"/>
            <w:shd w:val="clear" w:color="auto" w:fill="F2F6FC"/>
          </w:tcPr>
          <w:p w14:paraId="0429E79F" w14:textId="77777777" w:rsidR="00141B56" w:rsidRDefault="00000000">
            <w:r>
              <w:rPr>
                <w:rFonts w:ascii="Arial" w:hAnsi="Arial"/>
                <w:sz w:val="18"/>
              </w:rPr>
              <w:t>GRI 305-1</w:t>
            </w:r>
          </w:p>
        </w:tc>
        <w:tc>
          <w:tcPr>
            <w:tcW w:w="2257" w:type="dxa"/>
            <w:shd w:val="clear" w:color="auto" w:fill="F2F6FC"/>
          </w:tcPr>
          <w:p w14:paraId="56A782DF" w14:textId="77777777" w:rsidR="00141B56" w:rsidRDefault="00000000">
            <w:r>
              <w:rPr>
                <w:rFonts w:ascii="Arial" w:hAnsi="Arial"/>
                <w:sz w:val="18"/>
              </w:rPr>
              <w:t>Direct (Scope 1) GHG emissions</w:t>
            </w:r>
          </w:p>
        </w:tc>
        <w:tc>
          <w:tcPr>
            <w:tcW w:w="2257" w:type="dxa"/>
            <w:shd w:val="clear" w:color="auto" w:fill="F2F6FC"/>
          </w:tcPr>
          <w:p w14:paraId="7354831E" w14:textId="77777777" w:rsidR="00141B56" w:rsidRDefault="00000000">
            <w:r>
              <w:rPr>
                <w:rFonts w:ascii="Arial" w:hAnsi="Arial"/>
                <w:sz w:val="18"/>
              </w:rPr>
              <w:t>Section: Scope 1</w:t>
            </w:r>
          </w:p>
        </w:tc>
        <w:tc>
          <w:tcPr>
            <w:tcW w:w="2257" w:type="dxa"/>
            <w:shd w:val="clear" w:color="auto" w:fill="F2F6FC"/>
          </w:tcPr>
          <w:p w14:paraId="0C371B80" w14:textId="77777777" w:rsidR="00141B56" w:rsidRDefault="00000000">
            <w:r>
              <w:rPr>
                <w:rFonts w:ascii="Arial" w:hAnsi="Arial"/>
                <w:sz w:val="18"/>
              </w:rPr>
              <w:t>None</w:t>
            </w:r>
          </w:p>
        </w:tc>
      </w:tr>
      <w:tr w:rsidR="00141B56" w14:paraId="38E79ED0" w14:textId="77777777">
        <w:trPr>
          <w:jc w:val="center"/>
        </w:trPr>
        <w:tc>
          <w:tcPr>
            <w:tcW w:w="2257" w:type="dxa"/>
          </w:tcPr>
          <w:p w14:paraId="1B9CC14A" w14:textId="77777777" w:rsidR="00141B56" w:rsidRDefault="00000000">
            <w:r>
              <w:rPr>
                <w:rFonts w:ascii="Arial" w:hAnsi="Arial"/>
                <w:sz w:val="18"/>
              </w:rPr>
              <w:t>GRI 305-2</w:t>
            </w:r>
          </w:p>
        </w:tc>
        <w:tc>
          <w:tcPr>
            <w:tcW w:w="2257" w:type="dxa"/>
          </w:tcPr>
          <w:p w14:paraId="67AFF298" w14:textId="77777777" w:rsidR="00141B56" w:rsidRDefault="00000000">
            <w:r>
              <w:rPr>
                <w:rFonts w:ascii="Arial" w:hAnsi="Arial"/>
                <w:sz w:val="18"/>
              </w:rPr>
              <w:t>Energy indirect (Scope 2) GHG emissions</w:t>
            </w:r>
          </w:p>
        </w:tc>
        <w:tc>
          <w:tcPr>
            <w:tcW w:w="2257" w:type="dxa"/>
          </w:tcPr>
          <w:p w14:paraId="63FAB2B1" w14:textId="77777777" w:rsidR="00141B56" w:rsidRDefault="00000000">
            <w:r>
              <w:rPr>
                <w:rFonts w:ascii="Arial" w:hAnsi="Arial"/>
                <w:sz w:val="18"/>
              </w:rPr>
              <w:t>Section: Scope 2</w:t>
            </w:r>
          </w:p>
        </w:tc>
        <w:tc>
          <w:tcPr>
            <w:tcW w:w="2257" w:type="dxa"/>
          </w:tcPr>
          <w:p w14:paraId="23A62BB6" w14:textId="77777777" w:rsidR="00141B56" w:rsidRDefault="00000000">
            <w:r>
              <w:rPr>
                <w:rFonts w:ascii="Arial" w:hAnsi="Arial"/>
                <w:sz w:val="18"/>
              </w:rPr>
              <w:t>None</w:t>
            </w:r>
          </w:p>
        </w:tc>
      </w:tr>
      <w:tr w:rsidR="00141B56" w14:paraId="684B8AF5" w14:textId="77777777">
        <w:trPr>
          <w:jc w:val="center"/>
        </w:trPr>
        <w:tc>
          <w:tcPr>
            <w:tcW w:w="2257" w:type="dxa"/>
            <w:shd w:val="clear" w:color="auto" w:fill="F2F6FC"/>
          </w:tcPr>
          <w:p w14:paraId="28C46629" w14:textId="77777777" w:rsidR="00141B56" w:rsidRDefault="00000000">
            <w:r>
              <w:rPr>
                <w:rFonts w:ascii="Arial" w:hAnsi="Arial"/>
                <w:sz w:val="18"/>
              </w:rPr>
              <w:t>GRI 305-3</w:t>
            </w:r>
          </w:p>
        </w:tc>
        <w:tc>
          <w:tcPr>
            <w:tcW w:w="2257" w:type="dxa"/>
            <w:shd w:val="clear" w:color="auto" w:fill="F2F6FC"/>
          </w:tcPr>
          <w:p w14:paraId="118FE925" w14:textId="77777777" w:rsidR="00141B56" w:rsidRDefault="00000000">
            <w:r>
              <w:rPr>
                <w:rFonts w:ascii="Arial" w:hAnsi="Arial"/>
                <w:sz w:val="18"/>
              </w:rPr>
              <w:t>Other indirect (Scope 3) GHG emissions</w:t>
            </w:r>
          </w:p>
        </w:tc>
        <w:tc>
          <w:tcPr>
            <w:tcW w:w="2257" w:type="dxa"/>
            <w:shd w:val="clear" w:color="auto" w:fill="F2F6FC"/>
          </w:tcPr>
          <w:p w14:paraId="58EFF766" w14:textId="77777777" w:rsidR="00141B56" w:rsidRDefault="00000000">
            <w:r>
              <w:rPr>
                <w:rFonts w:ascii="Arial" w:hAnsi="Arial"/>
                <w:sz w:val="18"/>
              </w:rPr>
              <w:t>Section: PCAF</w:t>
            </w:r>
          </w:p>
        </w:tc>
        <w:tc>
          <w:tcPr>
            <w:tcW w:w="2257" w:type="dxa"/>
            <w:shd w:val="clear" w:color="auto" w:fill="F2F6FC"/>
          </w:tcPr>
          <w:p w14:paraId="08F2DE6C" w14:textId="77777777" w:rsidR="00141B56" w:rsidRDefault="00000000">
            <w:r>
              <w:rPr>
                <w:rFonts w:ascii="Arial" w:hAnsi="Arial"/>
                <w:sz w:val="18"/>
              </w:rPr>
              <w:t>None</w:t>
            </w:r>
          </w:p>
        </w:tc>
      </w:tr>
      <w:tr w:rsidR="00141B56" w14:paraId="0164C483" w14:textId="77777777">
        <w:trPr>
          <w:jc w:val="center"/>
        </w:trPr>
        <w:tc>
          <w:tcPr>
            <w:tcW w:w="2257" w:type="dxa"/>
          </w:tcPr>
          <w:p w14:paraId="351EBBE9" w14:textId="77777777" w:rsidR="00141B56" w:rsidRDefault="00000000">
            <w:r>
              <w:rPr>
                <w:rFonts w:ascii="Arial" w:hAnsi="Arial"/>
                <w:sz w:val="18"/>
              </w:rPr>
              <w:t>GRI 305-4</w:t>
            </w:r>
          </w:p>
        </w:tc>
        <w:tc>
          <w:tcPr>
            <w:tcW w:w="2257" w:type="dxa"/>
          </w:tcPr>
          <w:p w14:paraId="771BAA7D" w14:textId="77777777" w:rsidR="00141B56" w:rsidRDefault="00000000">
            <w:r>
              <w:rPr>
                <w:rFonts w:ascii="Arial" w:hAnsi="Arial"/>
                <w:sz w:val="18"/>
              </w:rPr>
              <w:t>GHG emissions intensity</w:t>
            </w:r>
          </w:p>
        </w:tc>
        <w:tc>
          <w:tcPr>
            <w:tcW w:w="2257" w:type="dxa"/>
          </w:tcPr>
          <w:p w14:paraId="7B687D3C" w14:textId="77777777" w:rsidR="00141B56" w:rsidRDefault="00000000">
            <w:r>
              <w:rPr>
                <w:rFonts w:ascii="Arial" w:hAnsi="Arial"/>
                <w:sz w:val="18"/>
              </w:rPr>
              <w:t>Section: Intensity</w:t>
            </w:r>
          </w:p>
        </w:tc>
        <w:tc>
          <w:tcPr>
            <w:tcW w:w="2257" w:type="dxa"/>
          </w:tcPr>
          <w:p w14:paraId="72996280" w14:textId="77777777" w:rsidR="00141B56" w:rsidRDefault="00000000">
            <w:r>
              <w:rPr>
                <w:rFonts w:ascii="Arial" w:hAnsi="Arial"/>
                <w:sz w:val="18"/>
              </w:rPr>
              <w:t>None</w:t>
            </w:r>
          </w:p>
        </w:tc>
      </w:tr>
      <w:tr w:rsidR="00141B56" w14:paraId="18E4F647" w14:textId="77777777">
        <w:trPr>
          <w:jc w:val="center"/>
        </w:trPr>
        <w:tc>
          <w:tcPr>
            <w:tcW w:w="2257" w:type="dxa"/>
            <w:shd w:val="clear" w:color="auto" w:fill="F2F6FC"/>
          </w:tcPr>
          <w:p w14:paraId="11D37A62" w14:textId="77777777" w:rsidR="00141B56" w:rsidRDefault="00000000">
            <w:r>
              <w:rPr>
                <w:rFonts w:ascii="Arial" w:hAnsi="Arial"/>
                <w:sz w:val="18"/>
              </w:rPr>
              <w:t>GRI 305-5</w:t>
            </w:r>
          </w:p>
        </w:tc>
        <w:tc>
          <w:tcPr>
            <w:tcW w:w="2257" w:type="dxa"/>
            <w:shd w:val="clear" w:color="auto" w:fill="F2F6FC"/>
          </w:tcPr>
          <w:p w14:paraId="790ABC32" w14:textId="77777777" w:rsidR="00141B56" w:rsidRDefault="00000000">
            <w:r>
              <w:rPr>
                <w:rFonts w:ascii="Arial" w:hAnsi="Arial"/>
                <w:sz w:val="18"/>
              </w:rPr>
              <w:t>Reduction of GHG emissions</w:t>
            </w:r>
          </w:p>
        </w:tc>
        <w:tc>
          <w:tcPr>
            <w:tcW w:w="2257" w:type="dxa"/>
            <w:shd w:val="clear" w:color="auto" w:fill="F2F6FC"/>
          </w:tcPr>
          <w:p w14:paraId="2BE2B128" w14:textId="77777777" w:rsidR="00141B56" w:rsidRDefault="00000000">
            <w:r>
              <w:rPr>
                <w:rFonts w:ascii="Arial" w:hAnsi="Arial"/>
                <w:sz w:val="18"/>
              </w:rPr>
              <w:t>Section: Reduction</w:t>
            </w:r>
          </w:p>
        </w:tc>
        <w:tc>
          <w:tcPr>
            <w:tcW w:w="2257" w:type="dxa"/>
            <w:shd w:val="clear" w:color="auto" w:fill="F2F6FC"/>
          </w:tcPr>
          <w:p w14:paraId="32B30574" w14:textId="77777777" w:rsidR="00141B56" w:rsidRDefault="00000000">
            <w:r>
              <w:rPr>
                <w:rFonts w:ascii="Arial" w:hAnsi="Arial"/>
                <w:sz w:val="18"/>
              </w:rPr>
              <w:t>Partial — targets in development</w:t>
            </w:r>
          </w:p>
        </w:tc>
      </w:tr>
      <w:tr w:rsidR="00141B56" w14:paraId="7B821CB9" w14:textId="77777777">
        <w:trPr>
          <w:jc w:val="center"/>
        </w:trPr>
        <w:tc>
          <w:tcPr>
            <w:tcW w:w="2257" w:type="dxa"/>
          </w:tcPr>
          <w:p w14:paraId="22C8D20B" w14:textId="77777777" w:rsidR="00141B56" w:rsidRDefault="00000000">
            <w:r>
              <w:rPr>
                <w:rFonts w:ascii="Arial" w:hAnsi="Arial"/>
                <w:sz w:val="18"/>
              </w:rPr>
              <w:t>GRI 401-1</w:t>
            </w:r>
          </w:p>
        </w:tc>
        <w:tc>
          <w:tcPr>
            <w:tcW w:w="2257" w:type="dxa"/>
          </w:tcPr>
          <w:p w14:paraId="0D2EB815" w14:textId="77777777" w:rsidR="00141B56" w:rsidRDefault="00000000">
            <w:r>
              <w:rPr>
                <w:rFonts w:ascii="Arial" w:hAnsi="Arial"/>
                <w:sz w:val="18"/>
              </w:rPr>
              <w:t>New employee hires and employee turnover</w:t>
            </w:r>
          </w:p>
        </w:tc>
        <w:tc>
          <w:tcPr>
            <w:tcW w:w="2257" w:type="dxa"/>
          </w:tcPr>
          <w:p w14:paraId="5458A710" w14:textId="77777777" w:rsidR="00141B56" w:rsidRDefault="00000000">
            <w:r>
              <w:rPr>
                <w:rFonts w:ascii="Arial" w:hAnsi="Arial"/>
                <w:sz w:val="18"/>
              </w:rPr>
              <w:t>Section: Social</w:t>
            </w:r>
          </w:p>
        </w:tc>
        <w:tc>
          <w:tcPr>
            <w:tcW w:w="2257" w:type="dxa"/>
          </w:tcPr>
          <w:p w14:paraId="680DFBCF" w14:textId="77777777" w:rsidR="00141B56" w:rsidRDefault="00000000">
            <w:r>
              <w:rPr>
                <w:rFonts w:ascii="Arial" w:hAnsi="Arial"/>
                <w:sz w:val="18"/>
              </w:rPr>
              <w:t>None</w:t>
            </w:r>
          </w:p>
        </w:tc>
      </w:tr>
      <w:tr w:rsidR="00141B56" w14:paraId="40C7E626" w14:textId="77777777">
        <w:trPr>
          <w:jc w:val="center"/>
        </w:trPr>
        <w:tc>
          <w:tcPr>
            <w:tcW w:w="2257" w:type="dxa"/>
            <w:shd w:val="clear" w:color="auto" w:fill="F2F6FC"/>
          </w:tcPr>
          <w:p w14:paraId="4994CDF5" w14:textId="77777777" w:rsidR="00141B56" w:rsidRDefault="00000000">
            <w:r>
              <w:rPr>
                <w:rFonts w:ascii="Arial" w:hAnsi="Arial"/>
                <w:sz w:val="18"/>
              </w:rPr>
              <w:t>GRI 404-1</w:t>
            </w:r>
          </w:p>
        </w:tc>
        <w:tc>
          <w:tcPr>
            <w:tcW w:w="2257" w:type="dxa"/>
            <w:shd w:val="clear" w:color="auto" w:fill="F2F6FC"/>
          </w:tcPr>
          <w:p w14:paraId="6CAE0771" w14:textId="77777777" w:rsidR="00141B56" w:rsidRDefault="00000000">
            <w:r>
              <w:rPr>
                <w:rFonts w:ascii="Arial" w:hAnsi="Arial"/>
                <w:sz w:val="18"/>
              </w:rPr>
              <w:t>Average hours of training per year per employee</w:t>
            </w:r>
          </w:p>
        </w:tc>
        <w:tc>
          <w:tcPr>
            <w:tcW w:w="2257" w:type="dxa"/>
            <w:shd w:val="clear" w:color="auto" w:fill="F2F6FC"/>
          </w:tcPr>
          <w:p w14:paraId="6B607947" w14:textId="77777777" w:rsidR="00141B56" w:rsidRDefault="00000000">
            <w:r>
              <w:rPr>
                <w:rFonts w:ascii="Arial" w:hAnsi="Arial"/>
                <w:sz w:val="18"/>
              </w:rPr>
              <w:t>Section: Social</w:t>
            </w:r>
          </w:p>
        </w:tc>
        <w:tc>
          <w:tcPr>
            <w:tcW w:w="2257" w:type="dxa"/>
            <w:shd w:val="clear" w:color="auto" w:fill="F2F6FC"/>
          </w:tcPr>
          <w:p w14:paraId="6F19831D" w14:textId="77777777" w:rsidR="00141B56" w:rsidRDefault="00000000">
            <w:r>
              <w:rPr>
                <w:rFonts w:ascii="Arial" w:hAnsi="Arial"/>
                <w:sz w:val="18"/>
              </w:rPr>
              <w:t>None</w:t>
            </w:r>
          </w:p>
        </w:tc>
      </w:tr>
      <w:tr w:rsidR="00141B56" w14:paraId="6D791652" w14:textId="77777777">
        <w:trPr>
          <w:jc w:val="center"/>
        </w:trPr>
        <w:tc>
          <w:tcPr>
            <w:tcW w:w="2257" w:type="dxa"/>
          </w:tcPr>
          <w:p w14:paraId="4FD507F6" w14:textId="77777777" w:rsidR="00141B56" w:rsidRDefault="00000000">
            <w:r>
              <w:rPr>
                <w:rFonts w:ascii="Arial" w:hAnsi="Arial"/>
                <w:sz w:val="18"/>
              </w:rPr>
              <w:t>GRI 405-1</w:t>
            </w:r>
          </w:p>
        </w:tc>
        <w:tc>
          <w:tcPr>
            <w:tcW w:w="2257" w:type="dxa"/>
          </w:tcPr>
          <w:p w14:paraId="3A9F3F23" w14:textId="77777777" w:rsidR="00141B56" w:rsidRDefault="00000000">
            <w:r>
              <w:rPr>
                <w:rFonts w:ascii="Arial" w:hAnsi="Arial"/>
                <w:sz w:val="18"/>
              </w:rPr>
              <w:t>Diversity of governance bodies and employees</w:t>
            </w:r>
          </w:p>
        </w:tc>
        <w:tc>
          <w:tcPr>
            <w:tcW w:w="2257" w:type="dxa"/>
          </w:tcPr>
          <w:p w14:paraId="0A45E23B" w14:textId="77777777" w:rsidR="00141B56" w:rsidRDefault="00000000">
            <w:r>
              <w:rPr>
                <w:rFonts w:ascii="Arial" w:hAnsi="Arial"/>
                <w:sz w:val="18"/>
              </w:rPr>
              <w:t>Section: Social</w:t>
            </w:r>
          </w:p>
        </w:tc>
        <w:tc>
          <w:tcPr>
            <w:tcW w:w="2257" w:type="dxa"/>
          </w:tcPr>
          <w:p w14:paraId="3604B3F9" w14:textId="77777777" w:rsidR="00141B56" w:rsidRDefault="00000000">
            <w:r>
              <w:rPr>
                <w:rFonts w:ascii="Arial" w:hAnsi="Arial"/>
                <w:sz w:val="18"/>
              </w:rPr>
              <w:t>None</w:t>
            </w:r>
          </w:p>
        </w:tc>
      </w:tr>
      <w:tr w:rsidR="00141B56" w14:paraId="3B3AB231" w14:textId="77777777">
        <w:trPr>
          <w:jc w:val="center"/>
        </w:trPr>
        <w:tc>
          <w:tcPr>
            <w:tcW w:w="2257" w:type="dxa"/>
            <w:shd w:val="clear" w:color="auto" w:fill="F2F6FC"/>
          </w:tcPr>
          <w:p w14:paraId="595A30D6" w14:textId="77777777" w:rsidR="00141B56" w:rsidRDefault="00000000">
            <w:r>
              <w:rPr>
                <w:rFonts w:ascii="Arial" w:hAnsi="Arial"/>
                <w:sz w:val="18"/>
              </w:rPr>
              <w:t>GRI 406-1</w:t>
            </w:r>
          </w:p>
        </w:tc>
        <w:tc>
          <w:tcPr>
            <w:tcW w:w="2257" w:type="dxa"/>
            <w:shd w:val="clear" w:color="auto" w:fill="F2F6FC"/>
          </w:tcPr>
          <w:p w14:paraId="7410750E" w14:textId="77777777" w:rsidR="00141B56" w:rsidRDefault="00000000">
            <w:r>
              <w:rPr>
                <w:rFonts w:ascii="Arial" w:hAnsi="Arial"/>
                <w:sz w:val="18"/>
              </w:rPr>
              <w:t>Incidents of discrimination and corrective actions</w:t>
            </w:r>
          </w:p>
        </w:tc>
        <w:tc>
          <w:tcPr>
            <w:tcW w:w="2257" w:type="dxa"/>
            <w:shd w:val="clear" w:color="auto" w:fill="F2F6FC"/>
          </w:tcPr>
          <w:p w14:paraId="366788D5" w14:textId="77777777" w:rsidR="00141B56" w:rsidRDefault="00000000">
            <w:r>
              <w:rPr>
                <w:rFonts w:ascii="Arial" w:hAnsi="Arial"/>
                <w:sz w:val="18"/>
              </w:rPr>
              <w:t>Section: Social</w:t>
            </w:r>
          </w:p>
        </w:tc>
        <w:tc>
          <w:tcPr>
            <w:tcW w:w="2257" w:type="dxa"/>
            <w:shd w:val="clear" w:color="auto" w:fill="F2F6FC"/>
          </w:tcPr>
          <w:p w14:paraId="3CF918D7" w14:textId="77777777" w:rsidR="00141B56" w:rsidRDefault="00000000">
            <w:r>
              <w:rPr>
                <w:rFonts w:ascii="Arial" w:hAnsi="Arial"/>
                <w:sz w:val="18"/>
              </w:rPr>
              <w:t>None</w:t>
            </w:r>
          </w:p>
        </w:tc>
      </w:tr>
    </w:tbl>
    <w:p w14:paraId="55D2E395" w14:textId="77777777" w:rsidR="00141B56" w:rsidRDefault="00000000">
      <w:r>
        <w:rPr>
          <w:rFonts w:ascii="Arial" w:hAnsi="Arial"/>
          <w:i/>
          <w:sz w:val="16"/>
        </w:rPr>
        <w:t>Source: GRI Standards 2021</w:t>
      </w:r>
    </w:p>
    <w:p w14:paraId="1671A68B" w14:textId="77777777" w:rsidR="00141B56" w:rsidRDefault="00141B56"/>
    <w:sectPr w:rsidR="00141B56"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DECE6" w14:textId="77777777" w:rsidR="00046727" w:rsidRDefault="00046727">
      <w:pPr>
        <w:spacing w:after="0" w:line="240" w:lineRule="auto"/>
      </w:pPr>
      <w:r>
        <w:separator/>
      </w:r>
    </w:p>
  </w:endnote>
  <w:endnote w:type="continuationSeparator" w:id="0">
    <w:p w14:paraId="5F2A6AFA" w14:textId="77777777" w:rsidR="00046727" w:rsidRDefault="00046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079A" w14:textId="1C495A50" w:rsidR="00141B56" w:rsidRDefault="00000000">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B85730">
      <w:rPr>
        <w:color w:val="808080"/>
        <w:sz w:val="18"/>
      </w:rPr>
      <w:fldChar w:fldCharType="separate"/>
    </w:r>
    <w:r w:rsidR="00B85730">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B85730">
      <w:rPr>
        <w:color w:val="808080"/>
        <w:sz w:val="18"/>
      </w:rPr>
      <w:fldChar w:fldCharType="separate"/>
    </w:r>
    <w:r w:rsidR="00B85730">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821CA" w14:textId="77777777" w:rsidR="00046727" w:rsidRDefault="00046727">
      <w:pPr>
        <w:spacing w:after="0" w:line="240" w:lineRule="auto"/>
      </w:pPr>
      <w:r>
        <w:separator/>
      </w:r>
    </w:p>
  </w:footnote>
  <w:footnote w:type="continuationSeparator" w:id="0">
    <w:p w14:paraId="5DB906A8" w14:textId="77777777" w:rsidR="00046727" w:rsidRDefault="00046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D7ED" w14:textId="77777777" w:rsidR="00141B56" w:rsidRDefault="00000000">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179781">
    <w:abstractNumId w:val="8"/>
  </w:num>
  <w:num w:numId="2" w16cid:durableId="1254314248">
    <w:abstractNumId w:val="6"/>
  </w:num>
  <w:num w:numId="3" w16cid:durableId="1937862976">
    <w:abstractNumId w:val="5"/>
  </w:num>
  <w:num w:numId="4" w16cid:durableId="904679566">
    <w:abstractNumId w:val="4"/>
  </w:num>
  <w:num w:numId="5" w16cid:durableId="1394502413">
    <w:abstractNumId w:val="7"/>
  </w:num>
  <w:num w:numId="6" w16cid:durableId="746731425">
    <w:abstractNumId w:val="3"/>
  </w:num>
  <w:num w:numId="7" w16cid:durableId="2108310283">
    <w:abstractNumId w:val="2"/>
  </w:num>
  <w:num w:numId="8" w16cid:durableId="850022067">
    <w:abstractNumId w:val="1"/>
  </w:num>
  <w:num w:numId="9" w16cid:durableId="153422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727"/>
    <w:rsid w:val="0006063C"/>
    <w:rsid w:val="00141B56"/>
    <w:rsid w:val="0015074B"/>
    <w:rsid w:val="0029639D"/>
    <w:rsid w:val="00326F90"/>
    <w:rsid w:val="00547C57"/>
    <w:rsid w:val="00AA1D8D"/>
    <w:rsid w:val="00B47730"/>
    <w:rsid w:val="00B85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C9C798-570D-4DC9-A708-8CC30618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5730"/>
    <w:pPr>
      <w:spacing w:after="100"/>
    </w:pPr>
  </w:style>
  <w:style w:type="paragraph" w:styleId="TOC2">
    <w:name w:val="toc 2"/>
    <w:basedOn w:val="Normal"/>
    <w:next w:val="Normal"/>
    <w:autoRedefine/>
    <w:uiPriority w:val="39"/>
    <w:unhideWhenUsed/>
    <w:rsid w:val="00B85730"/>
    <w:pPr>
      <w:spacing w:after="100"/>
      <w:ind w:left="220"/>
    </w:pPr>
  </w:style>
  <w:style w:type="character" w:styleId="Hyperlink">
    <w:name w:val="Hyperlink"/>
    <w:basedOn w:val="DefaultParagraphFont"/>
    <w:uiPriority w:val="99"/>
    <w:unhideWhenUsed/>
    <w:rsid w:val="00B857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33</Pages>
  <Words>12034</Words>
  <Characters>68600</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arn:aws:states:us-east-1:061039769766:execution:ESGReportGenerationStateMachine:e404db6c-2b4f-42ba-8706-e6f98da62cf5</dc:description>
  <cp:lastModifiedBy>Raditya Rahardyansyah Rifat</cp:lastModifiedBy>
  <cp:revision>2</cp:revision>
  <dcterms:created xsi:type="dcterms:W3CDTF">2013-12-23T23:15:00Z</dcterms:created>
  <dcterms:modified xsi:type="dcterms:W3CDTF">2026-06-10T05:18:00Z</dcterms:modified>
  <cp:category>ESG Sustainability Report</cp:category>
</cp:coreProperties>
</file>