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color w:val="999999"/>
          <w:sz w:val="24"/>
        </w:rPr>
        <w:t>[INSTITUTION LOGO]</w:t>
      </w:r>
    </w:p>
    <w:p/>
    <w:p/>
    <w:p>
      <w:pPr>
        <w:pStyle w:val="Heading1"/>
        <w:keepNext/>
        <w:spacing w:before="480" w:after="240"/>
        <w:jc w:val="center"/>
      </w:pPr>
      <w:r>
        <w:rPr>
          <w:rFonts w:ascii="Arial" w:hAnsi="Arial"/>
          <w:b/>
          <w:color w:val="1B3A6B"/>
          <w:sz w:val="36"/>
        </w:rPr>
        <w:t>ESG Sustainability Report</w:t>
      </w:r>
    </w:p>
    <w:p>
      <w:pPr>
        <w:pStyle w:val="Heading2"/>
        <w:keepNext/>
        <w:spacing w:before="360" w:after="160"/>
        <w:jc w:val="center"/>
      </w:pPr>
      <w:r>
        <w:rPr>
          <w:rFonts w:ascii="Arial" w:hAnsi="Arial"/>
          <w:b/>
          <w:color w:val="3D6094"/>
          <w:sz w:val="28"/>
        </w:rPr>
        <w:t>Reporting Year 2024</w:t>
      </w:r>
    </w:p>
    <w:p/>
    <w:p>
      <w:pPr>
        <w:jc w:val="center"/>
      </w:pPr>
      <w:r>
        <w:rPr>
          <w:rFonts w:ascii="Arial" w:hAnsi="Arial"/>
          <w:sz w:val="22"/>
        </w:rPr>
        <w:t>Institution: GENERIC_FI_001</w:t>
      </w:r>
    </w:p>
    <w:p>
      <w:pPr>
        <w:jc w:val="center"/>
      </w:pPr>
      <w:r>
        <w:rPr>
          <w:rFonts w:ascii="Arial" w:hAnsi="Arial"/>
          <w:sz w:val="22"/>
        </w:rPr>
        <w:t>Framework: MULTI_FRAMEWORK</w:t>
      </w:r>
    </w:p>
    <w:p>
      <w:pPr>
        <w:jc w:val="center"/>
      </w:pPr>
      <w:r>
        <w:rPr>
          <w:rFonts w:ascii="Arial" w:hAnsi="Arial"/>
          <w:sz w:val="22"/>
        </w:rPr>
        <w:t>Generated: 2026-06-10 08:46 UTC</w:t>
      </w:r>
    </w:p>
    <w:p>
      <w:pPr>
        <w:jc w:val="center"/>
      </w:pPr>
      <w:r>
        <w:rPr>
          <w:rFonts w:ascii="Arial" w:hAnsi="Arial"/>
          <w:sz w:val="22"/>
        </w:rPr>
        <w:t>Status: DRAFT — Subject to Review</w:t>
      </w:r>
    </w:p>
    <w:p>
      <w:pPr>
        <w:jc w:val="center"/>
      </w:pPr>
      <w:r>
        <w:rPr>
          <w:rFonts w:ascii="Arial" w:hAnsi="Arial"/>
          <w:sz w:val="22"/>
        </w:rPr>
        <w:t>Assurance Level: None</w:t>
      </w:r>
    </w:p>
    <w:p/>
    <w:p/>
    <w:p>
      <w:pPr>
        <w:jc w:val="center"/>
      </w:pPr>
      <w:r>
        <w:rPr>
          <w:i/>
          <w:color w:val="993333"/>
          <w:sz w:val="18"/>
        </w:rPr>
        <w:t>CONFIDENTIAL — This document is for internal review purposes only. Do not distribute without authorization.</w:t>
      </w:r>
    </w:p>
    <w:p>
      <w:r>
        <w:br w:type="page"/>
      </w:r>
    </w:p>
    <w:p>
      <w:pPr>
        <w:pStyle w:val="Heading1"/>
        <w:keepNext/>
        <w:spacing w:before="480" w:after="240"/>
      </w:pPr>
      <w:r>
        <w:rPr>
          <w:rFonts w:ascii="Arial" w:hAnsi="Arial"/>
          <w:b/>
          <w:color w:val="1B3A6B"/>
          <w:sz w:val="36"/>
        </w:rPr>
        <w:t>Table of Contents</w:t>
      </w:r>
    </w:p>
    <w:p>
      <w:r>
        <w:fldChar w:fldCharType="begin"/>
        <w:instrText xml:space="preserve"> TOC \o "1-3" \h \z \u </w:instrText>
        <w:fldChar w:fldCharType="end"/>
      </w:r>
    </w:p>
    <w:p>
      <w:r>
        <w:t>(Update this field in Word: Ctrl+A → F9)</w:t>
      </w:r>
    </w:p>
    <w:p>
      <w:r>
        <w:br w:type="page"/>
      </w:r>
    </w:p>
    <w:p>
      <w:r>
        <w:br w:type="page"/>
      </w:r>
    </w:p>
    <w:p>
      <w:pPr>
        <w:pStyle w:val="Heading1"/>
        <w:keepNext/>
        <w:spacing w:before="480" w:after="240"/>
      </w:pPr>
      <w:r>
        <w:rPr>
          <w:rFonts w:ascii="Arial" w:hAnsi="Arial"/>
          <w:b/>
          <w:color w:val="1B3A6B"/>
          <w:sz w:val="36"/>
        </w:rPr>
        <w:t>Executive Summary</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b/>
                <w:color w:val="1B3A6B"/>
                <w:sz w:val="40"/>
              </w:rPr>
              <w:t>22.03 million tCO₂e</w:t>
            </w:r>
            <w:r>
              <w:rPr>
                <w:sz w:val="18"/>
              </w:rPr>
              <w:t xml:space="preserve"> </w:t>
            </w:r>
          </w:p>
        </w:tc>
        <w:tc>
          <w:tcPr>
            <w:tcW w:type="dxa" w:w="2257"/>
          </w:tcPr>
          <w:p>
            <w:pPr>
              <w:jc w:val="center"/>
            </w:pPr>
            <w:r>
              <w:rPr>
                <w:b/>
                <w:color w:val="1B3A6B"/>
                <w:sz w:val="40"/>
              </w:rPr>
              <w:t>21.98 million tCO₂e</w:t>
            </w:r>
            <w:r>
              <w:rPr>
                <w:sz w:val="18"/>
              </w:rPr>
              <w:t xml:space="preserve"> </w:t>
            </w:r>
          </w:p>
        </w:tc>
        <w:tc>
          <w:tcPr>
            <w:tcW w:type="dxa" w:w="2257"/>
          </w:tcPr>
          <w:p>
            <w:pPr>
              <w:jc w:val="center"/>
            </w:pPr>
            <w:r>
              <w:rPr>
                <w:b/>
                <w:color w:val="1B3A6B"/>
                <w:sz w:val="40"/>
              </w:rPr>
              <w:t>239.40 tCO₂e/IDR bn</w:t>
            </w:r>
            <w:r>
              <w:rPr>
                <w:sz w:val="18"/>
              </w:rPr>
              <w:t xml:space="preserve"> </w:t>
            </w:r>
          </w:p>
        </w:tc>
        <w:tc>
          <w:tcPr>
            <w:tcW w:type="dxa" w:w="2257"/>
          </w:tcPr>
          <w:p>
            <w:pPr>
              <w:jc w:val="center"/>
            </w:pPr>
            <w:r>
              <w:rPr>
                <w:b/>
                <w:color w:val="1B3A6B"/>
                <w:sz w:val="40"/>
              </w:rPr>
              <w:t>3.36 / 5.0</w:t>
            </w:r>
            <w:r>
              <w:rPr>
                <w:sz w:val="18"/>
              </w:rPr>
              <w:t xml:space="preserve"> </w:t>
            </w:r>
          </w:p>
        </w:tc>
      </w:tr>
      <w:tr>
        <w:tc>
          <w:tcPr>
            <w:tcW w:type="dxa" w:w="2257"/>
          </w:tcPr>
          <w:p>
            <w:pPr>
              <w:jc w:val="center"/>
            </w:pPr>
            <w:r>
              <w:rPr>
                <w:color w:val="646464"/>
                <w:sz w:val="18"/>
              </w:rPr>
              <w:t>Total GHG Footprint</w:t>
            </w:r>
          </w:p>
        </w:tc>
        <w:tc>
          <w:tcPr>
            <w:tcW w:type="dxa" w:w="2257"/>
          </w:tcPr>
          <w:p>
            <w:pPr>
              <w:jc w:val="center"/>
            </w:pPr>
            <w:r>
              <w:rPr>
                <w:color w:val="646464"/>
                <w:sz w:val="18"/>
              </w:rPr>
              <w:t>Financed Emissions</w:t>
            </w:r>
          </w:p>
        </w:tc>
        <w:tc>
          <w:tcPr>
            <w:tcW w:type="dxa" w:w="2257"/>
          </w:tcPr>
          <w:p>
            <w:pPr>
              <w:jc w:val="center"/>
            </w:pPr>
            <w:r>
              <w:rPr>
                <w:color w:val="646464"/>
                <w:sz w:val="18"/>
              </w:rPr>
              <w:t>Revenue Intensity</w:t>
            </w:r>
          </w:p>
        </w:tc>
        <w:tc>
          <w:tcPr>
            <w:tcW w:type="dxa" w:w="2257"/>
          </w:tcPr>
          <w:p>
            <w:pPr>
              <w:jc w:val="center"/>
            </w:pPr>
            <w:r>
              <w:rPr>
                <w:color w:val="646464"/>
                <w:sz w:val="18"/>
              </w:rPr>
              <w:t>PCAF Data Quality</w:t>
            </w:r>
          </w:p>
        </w:tc>
      </w:tr>
    </w:tbl>
    <w:p/>
    <w:p>
      <w:pPr>
        <w:spacing w:after="160" w:line="276" w:lineRule="auto"/>
        <w:jc w:val="both"/>
      </w:pPr>
      <w:r>
        <w:rPr>
          <w:rFonts w:ascii="Arial" w:hAnsi="Arial"/>
          <w:sz w:val="22"/>
        </w:rPr>
        <w:t>For the reporting year 2024, the institution's total greenhouse gas footprint across all operational and financed activities was 22,025,014.19 tCO₂e. This figure comprises direct emissions from owned facilities (Scope 1), indirect emissions from purchased electricity (Scope 2 market-based), and financed emissions from the lending portfolio (Scope 3 Category 15). The institution achieved a 4.07% reduction in total emissions compared to the prior year, demonstrating measurable progress toward decarbonization objectives despite portfolio growth.</w:t>
      </w:r>
    </w:p>
    <w:p>
      <w:pPr>
        <w:spacing w:after="160" w:line="276" w:lineRule="auto"/>
        <w:jc w:val="both"/>
      </w:pPr>
      <w:r>
        <w:rPr>
          <w:rFonts w:ascii="Arial" w:hAnsi="Arial"/>
          <w:sz w:val="22"/>
        </w:rPr>
        <w:t>Scope 1 emissions from natural gas and diesel combustion at owned facilities totaled 3,402.997 tCO₂e, representing 0.015% of the total footprint. Scope 2 market-based emissions from purchased electricity were 44,612.518 tCO₂e (0.203% of total). Scope 3 Category 15 financed emissions—calculated using the Partnership for Carbon Accounting Financials (PCAF) methodology—accounted for 21,976,797.30 tCO₂e (99.78% of total). The concentration of emissions in the financed portfolio underscores the institution's material climate impact through lending activities rather than direct operations.</w:t>
      </w:r>
    </w:p>
    <w:p>
      <w:pPr>
        <w:spacing w:after="160" w:line="276" w:lineRule="auto"/>
        <w:jc w:val="both"/>
      </w:pPr>
      <w:r>
        <w:rPr>
          <w:rFonts w:ascii="Arial" w:hAnsi="Arial"/>
          <w:sz w:val="22"/>
        </w:rPr>
        <w:t>Emission intensity metrics provide normalized performance indicators. Revenue intensity was 239.400139 tCO₂e per IDR billion of outstanding loans, while workforce intensity was 1.9209 tCO₂e per full-time equivalent employee. The year-over-year reduction of 4.07% was driven primarily by portfolio composition shifts and improved data quality in financed emissions calculations. The average PCAF data quality score across the lending portfolio was 3.36 out of 5.0, indicating reliance on sector-average emission factors for most borrowers. Improving data quality to achieve borrower-specific emission factors remains a strategic priority for enhancing measurement accuracy.</w:t>
      </w:r>
    </w:p>
    <w:p>
      <w:pPr>
        <w:spacing w:after="160" w:line="276" w:lineRule="auto"/>
        <w:jc w:val="both"/>
      </w:pPr>
      <w:r>
        <w:rPr>
          <w:rFonts w:ascii="Arial" w:hAnsi="Arial"/>
          <w:sz w:val="22"/>
        </w:rPr>
        <w:t>The institution's reporting boundary encompasses all wholly-owned facilities under operational control and the complete corporate lending portfolio across ten economic sectors. Energy (Oil &amp; Gas), Manufacturing (Cement), and Manufacturing (Steel) sectors collectively represent 85.93% of financed emissions despite comprising only 20.70% of outstanding loan value, highlighting concentration risk in carbon-intensive industries. The institution has not yet submitted emissions data for external assurance; establishing third-party verification processes is recommended for the 2025 reporting cycle to enhance stakeholder confidence.</w:t>
      </w:r>
    </w:p>
    <w:p>
      <w:r>
        <w:rPr>
          <w:rFonts w:ascii="Arial" w:hAnsi="Arial"/>
          <w:b/>
          <w:sz w:val="20"/>
        </w:rPr>
        <w:t>Table 1: Total GHG Emissions by Scope — Reporting Year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Scope</w:t>
            </w:r>
          </w:p>
        </w:tc>
        <w:tc>
          <w:tcPr>
            <w:tcW w:type="dxa" w:w="1806"/>
            <w:shd w:fill="1B3A6B" w:val="clear"/>
          </w:tcPr>
          <w:p>
            <w:r>
              <w:rPr>
                <w:rFonts w:ascii="Arial" w:hAnsi="Arial"/>
                <w:b/>
                <w:color w:val="FFFFFF"/>
                <w:sz w:val="18"/>
              </w:rPr>
              <w:t>Emissions (tCO₂e)</w:t>
            </w:r>
          </w:p>
        </w:tc>
        <w:tc>
          <w:tcPr>
            <w:tcW w:type="dxa" w:w="1806"/>
            <w:shd w:fill="1B3A6B" w:val="clear"/>
          </w:tcPr>
          <w:p>
            <w:r>
              <w:rPr>
                <w:rFonts w:ascii="Arial" w:hAnsi="Arial"/>
                <w:b/>
                <w:color w:val="FFFFFF"/>
                <w:sz w:val="18"/>
              </w:rPr>
              <w:t>% of Total</w:t>
            </w:r>
          </w:p>
        </w:tc>
        <w:tc>
          <w:tcPr>
            <w:tcW w:type="dxa" w:w="1806"/>
            <w:shd w:fill="1B3A6B" w:val="clear"/>
          </w:tcPr>
          <w:p>
            <w:r>
              <w:rPr>
                <w:rFonts w:ascii="Arial" w:hAnsi="Arial"/>
                <w:b/>
                <w:color w:val="FFFFFF"/>
                <w:sz w:val="18"/>
              </w:rPr>
              <w:t>Prior Year (tCO₂e)</w:t>
            </w:r>
          </w:p>
        </w:tc>
        <w:tc>
          <w:tcPr>
            <w:tcW w:type="dxa" w:w="1806"/>
            <w:shd w:fill="1B3A6B" w:val="clear"/>
          </w:tcPr>
          <w:p>
            <w:r>
              <w:rPr>
                <w:rFonts w:ascii="Arial" w:hAnsi="Arial"/>
                <w:b/>
                <w:color w:val="FFFFFF"/>
                <w:sz w:val="18"/>
              </w:rPr>
              <w:t>YoY Change (%)</w:t>
            </w:r>
          </w:p>
        </w:tc>
      </w:tr>
      <w:tr>
        <w:tc>
          <w:tcPr>
            <w:tcW w:type="dxa" w:w="1806"/>
          </w:tcPr>
          <w:p>
            <w:r>
              <w:rPr>
                <w:rFonts w:ascii="Arial" w:hAnsi="Arial"/>
                <w:sz w:val="18"/>
              </w:rPr>
              <w:t>Scope 1 (Direct)</w:t>
            </w:r>
          </w:p>
        </w:tc>
        <w:tc>
          <w:tcPr>
            <w:tcW w:type="dxa" w:w="1806"/>
          </w:tcPr>
          <w:p>
            <w:pPr>
              <w:jc w:val="right"/>
            </w:pPr>
            <w:r>
              <w:rPr>
                <w:rFonts w:ascii="Arial" w:hAnsi="Arial"/>
                <w:sz w:val="18"/>
              </w:rPr>
              <w:t>3,402.997</w:t>
            </w:r>
          </w:p>
        </w:tc>
        <w:tc>
          <w:tcPr>
            <w:tcW w:type="dxa" w:w="1806"/>
          </w:tcPr>
          <w:p>
            <w:pPr>
              <w:jc w:val="right"/>
            </w:pPr>
            <w:r>
              <w:rPr>
                <w:rFonts w:ascii="Arial" w:hAnsi="Arial"/>
                <w:sz w:val="18"/>
              </w:rPr>
              <w:t>0.015%</w:t>
            </w:r>
          </w:p>
        </w:tc>
        <w:tc>
          <w:tcPr>
            <w:tcW w:type="dxa" w:w="1806"/>
          </w:tcPr>
          <w:p>
            <w:pPr>
              <w:jc w:val="right"/>
            </w:pPr>
            <w:r>
              <w:rPr>
                <w:rFonts w:ascii="Arial" w:hAnsi="Arial"/>
                <w:sz w:val="18"/>
              </w:rPr>
              <w:t>3,324.521</w:t>
            </w:r>
          </w:p>
        </w:tc>
        <w:tc>
          <w:tcPr>
            <w:tcW w:type="dxa" w:w="1806"/>
          </w:tcPr>
          <w:p>
            <w:pPr>
              <w:jc w:val="right"/>
            </w:pPr>
            <w:r>
              <w:rPr>
                <w:rFonts w:ascii="Arial" w:hAnsi="Arial"/>
                <w:sz w:val="18"/>
              </w:rPr>
              <w:t>+2.36%</w:t>
            </w:r>
          </w:p>
        </w:tc>
      </w:tr>
      <w:tr>
        <w:tc>
          <w:tcPr>
            <w:tcW w:type="dxa" w:w="1806"/>
            <w:shd w:fill="F2F6FC" w:val="clear"/>
          </w:tcPr>
          <w:p>
            <w:r>
              <w:rPr>
                <w:rFonts w:ascii="Arial" w:hAnsi="Arial"/>
                <w:sz w:val="18"/>
              </w:rPr>
              <w:t>Scope 2 (Market-based)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0.203%</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+0.03%</w:t>
            </w:r>
          </w:p>
        </w:tc>
      </w:tr>
      <w:tr>
        <w:tc>
          <w:tcPr>
            <w:tcW w:type="dxa" w:w="1806"/>
          </w:tcPr>
          <w:p>
            <w:r>
              <w:rPr>
                <w:rFonts w:ascii="Arial" w:hAnsi="Arial"/>
                <w:sz w:val="18"/>
              </w:rPr>
              <w:t>Scope 3 Cat. 15 (Financed)</w:t>
            </w:r>
          </w:p>
        </w:tc>
        <w:tc>
          <w:tcPr>
            <w:tcW w:type="dxa" w:w="1806"/>
          </w:tcPr>
          <w:p>
            <w:pPr>
              <w:jc w:val="right"/>
            </w:pPr>
            <w:r>
              <w:rPr>
                <w:rFonts w:ascii="Arial" w:hAnsi="Arial"/>
                <w:sz w:val="18"/>
              </w:rPr>
              <w:t>21,976,797.30</w:t>
            </w:r>
          </w:p>
        </w:tc>
        <w:tc>
          <w:tcPr>
            <w:tcW w:type="dxa" w:w="1806"/>
          </w:tcPr>
          <w:p>
            <w:pPr>
              <w:jc w:val="right"/>
            </w:pPr>
            <w:r>
              <w:rPr>
                <w:rFonts w:ascii="Arial" w:hAnsi="Arial"/>
                <w:sz w:val="18"/>
              </w:rPr>
              <w:t>99.78%</w:t>
            </w:r>
          </w:p>
        </w:tc>
        <w:tc>
          <w:tcPr>
            <w:tcW w:type="dxa" w:w="1806"/>
          </w:tcPr>
          <w:p>
            <w:pPr>
              <w:jc w:val="right"/>
            </w:pPr>
            <w:r>
              <w:rPr>
                <w:rFonts w:ascii="Arial" w:hAnsi="Arial"/>
                <w:sz w:val="18"/>
              </w:rPr>
              <w:t>22,911,991.05</w:t>
            </w:r>
          </w:p>
        </w:tc>
        <w:tc>
          <w:tcPr>
            <w:tcW w:type="dxa" w:w="1806"/>
          </w:tcPr>
          <w:p>
            <w:pPr>
              <w:jc w:val="right"/>
            </w:pPr>
            <w:r>
              <w:rPr>
                <w:rFonts w:ascii="Arial" w:hAnsi="Arial"/>
                <w:sz w:val="18"/>
              </w:rPr>
              <w:t>-4.08%</w:t>
            </w:r>
          </w:p>
        </w:tc>
      </w:tr>
      <w:tr>
        <w:tc>
          <w:tcPr>
            <w:tcW w:type="dxa" w:w="1806"/>
            <w:shd w:fill="F2F6FC" w:val="clear"/>
          </w:tcPr>
          <w:p>
            <w:r>
              <w:rPr>
                <w:rFonts w:ascii="Arial" w:hAnsi="Arial"/>
                <w:sz w:val="18"/>
              </w:rPr>
              <w:t>**Total**</w:t>
            </w:r>
          </w:p>
        </w:tc>
        <w:tc>
          <w:tcPr>
            <w:tcW w:type="dxa" w:w="1806"/>
            <w:shd w:fill="F2F6FC" w:val="clear"/>
          </w:tcPr>
          <w:p>
            <w:r>
              <w:rPr>
                <w:rFonts w:ascii="Arial" w:hAnsi="Arial"/>
                <w:sz w:val="18"/>
              </w:rPr>
              <w:t>**22,025,014.19**</w:t>
            </w:r>
          </w:p>
        </w:tc>
        <w:tc>
          <w:tcPr>
            <w:tcW w:type="dxa" w:w="1806"/>
            <w:shd w:fill="F2F6FC" w:val="clear"/>
          </w:tcPr>
          <w:p>
            <w:r>
              <w:rPr>
                <w:rFonts w:ascii="Arial" w:hAnsi="Arial"/>
                <w:sz w:val="18"/>
              </w:rPr>
              <w:t>**100.00%**</w:t>
            </w:r>
          </w:p>
        </w:tc>
        <w:tc>
          <w:tcPr>
            <w:tcW w:type="dxa" w:w="1806"/>
            <w:shd w:fill="F2F6FC" w:val="clear"/>
          </w:tcPr>
          <w:p>
            <w:r>
              <w:rPr>
                <w:rFonts w:ascii="Arial" w:hAnsi="Arial"/>
                <w:sz w:val="18"/>
              </w:rPr>
              <w:t>**22,959,913.69**</w:t>
            </w:r>
          </w:p>
        </w:tc>
        <w:tc>
          <w:tcPr>
            <w:tcW w:type="dxa" w:w="1806"/>
            <w:shd w:fill="F2F6FC" w:val="clear"/>
          </w:tcPr>
          <w:p>
            <w:r>
              <w:rPr>
                <w:rFonts w:ascii="Arial" w:hAnsi="Arial"/>
                <w:sz w:val="18"/>
              </w:rPr>
              <w:t>**-4.07%**</w:t>
            </w:r>
          </w:p>
        </w:tc>
      </w:tr>
    </w:tbl>
    <w:p>
      <w:r>
        <w:rPr>
          <w:rFonts w:ascii="Arial" w:hAnsi="Arial"/>
          <w:i/>
          <w:sz w:val="16"/>
        </w:rPr>
        <w:t>Source: Scope 2 uses market-based method per GHG Protocol hierarchy. Location-based Scope 2 total: 44,613.876 tCO₂e. Scope 3 figures represent gross financed emissions (attribution factor applied).</w:t>
      </w:r>
    </w:p>
    <w:p/>
    <w:p>
      <w:pPr>
        <w:spacing w:after="160" w:line="276" w:lineRule="auto"/>
        <w:jc w:val="both"/>
      </w:pPr>
      <w:r>
        <w:rPr>
          <w:rFonts w:ascii="Arial" w:hAnsi="Arial"/>
          <w:i/>
          <w:color w:val="646464"/>
          <w:sz w:val="18"/>
        </w:rPr>
        <w:t>[Chart: Total GHG Emissions by Scope (2024) — matplotlib layer not installed]</w:t>
      </w:r>
    </w:p>
    <w:p>
      <w:pPr>
        <w:spacing w:after="160" w:line="276" w:lineRule="auto"/>
        <w:jc w:val="both"/>
      </w:pPr>
      <w:r>
        <w:rPr>
          <w:rFonts w:ascii="Arial" w:hAnsi="Arial"/>
          <w:i/>
          <w:color w:val="646464"/>
          <w:sz w:val="18"/>
        </w:rPr>
        <w:t>[Chart: Year-over-Year Emissions Trend by Scope — matplotlib layer not installed]</w:t>
      </w:r>
    </w:p>
    <w:p/>
    <w:p>
      <w:r>
        <w:rPr>
          <w:b/>
          <w:color w:val="3D6094"/>
          <w:sz w:val="24"/>
        </w:rPr>
        <w:t>Top Strategic Recommendations</w:t>
      </w:r>
    </w:p>
    <w:p>
      <w:pPr>
        <w:spacing w:after="160" w:line="276" w:lineRule="auto"/>
        <w:jc w:val="both"/>
      </w:pPr>
      <w:r>
        <w:rPr>
          <w:rFonts w:ascii="Arial" w:hAnsi="Arial"/>
          <w:sz w:val="22"/>
        </w:rPr>
        <w:t>→ Establish Science-Based Targets initiative (SBTi) commitment for financial institutions — submit commitment letter by Q2 2025 to formalize decarbonization pathway aligned with 1.5°C scenario</w:t>
      </w:r>
    </w:p>
    <w:p>
      <w:pPr>
        <w:spacing w:after="160" w:line="276" w:lineRule="auto"/>
        <w:jc w:val="both"/>
      </w:pPr>
      <w:r>
        <w:rPr>
          <w:rFonts w:ascii="Arial" w:hAnsi="Arial"/>
          <w:sz w:val="22"/>
        </w:rPr>
        <w:t>→ Implement portfolio decarbonization engagement program targeting top 20 financed emitters (representing 68% of Scope 3 emissions) — achieve 10% emission intensity reduction by 2027 through client transition support</w:t>
      </w:r>
    </w:p>
    <w:p>
      <w:pPr>
        <w:spacing w:after="160" w:line="276" w:lineRule="auto"/>
        <w:jc w:val="both"/>
      </w:pPr>
      <w:r>
        <w:rPr>
          <w:rFonts w:ascii="Arial" w:hAnsi="Arial"/>
          <w:sz w:val="22"/>
        </w:rPr>
        <w:t>→ Upgrade PCAF data quality from average score 3.36 to 2.8 by 2026 — prioritize collection of borrower-specific emission data for Energy, Cement, and Steel sectors (85.93% of financed emissions)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Total emissions calculated as Scope 1 + Scope 2 (market-based) + Scope 3 Category 15 (gross financed emissions). Market-based Scope 2 method applied per GHG Protocol Corporate Standard hierarchy.</w:t>
      </w:r>
    </w:p>
    <w:p>
      <w:pPr>
        <w:spacing w:after="160" w:line="276" w:lineRule="auto"/>
        <w:jc w:val="both"/>
      </w:pPr>
      <w:r>
        <w:rPr>
          <w:rFonts w:ascii="Arial" w:hAnsi="Arial"/>
          <w:i/>
          <w:color w:val="646464"/>
          <w:sz w:val="18"/>
        </w:rPr>
        <w:t>PCAF data quality score of 3.36 indicates reliance on sector-average emission factors. Score range: 1 (highest quality, borrower-specific data) to 5 (lowest quality, regional/sector proxies).</w:t>
      </w:r>
    </w:p>
    <w:p>
      <w:pPr>
        <w:spacing w:after="160" w:line="276" w:lineRule="auto"/>
        <w:jc w:val="both"/>
      </w:pPr>
      <w:r>
        <w:rPr>
          <w:rFonts w:ascii="Arial" w:hAnsi="Arial"/>
          <w:i/>
          <w:color w:val="646464"/>
          <w:sz w:val="18"/>
        </w:rPr>
        <w:t>Reporting boundary: All facilities under operational control (10 facilities reported) and complete corporate lending portfolio (1,955 loans across 10 sectors).</w:t>
      </w:r>
    </w:p>
    <w:p>
      <w:pPr>
        <w:spacing w:after="160" w:line="276" w:lineRule="auto"/>
        <w:jc w:val="both"/>
      </w:pPr>
      <w:r>
        <w:rPr>
          <w:rFonts w:ascii="Arial" w:hAnsi="Arial"/>
          <w:i/>
          <w:color w:val="646464"/>
          <w:sz w:val="18"/>
        </w:rPr>
        <w:t>Prior year figures restated for consistency with current methodology. Base year for target-setting has not been formally established.</w:t>
      </w:r>
    </w:p>
    <w:p>
      <w:r>
        <w:br w:type="page"/>
      </w:r>
    </w:p>
    <w:p>
      <w:pPr>
        <w:pStyle w:val="Heading1"/>
        <w:keepNext/>
        <w:spacing w:before="480" w:after="240"/>
      </w:pPr>
      <w:r>
        <w:rPr>
          <w:rFonts w:ascii="Arial" w:hAnsi="Arial"/>
          <w:b/>
          <w:color w:val="1B3A6B"/>
          <w:sz w:val="36"/>
        </w:rPr>
        <w:t>Environmental Performance</w:t>
      </w:r>
    </w:p>
    <w:p>
      <w:pPr>
        <w:pStyle w:val="Heading2"/>
        <w:keepNext/>
        <w:spacing w:before="360" w:after="160"/>
      </w:pPr>
      <w:r>
        <w:rPr>
          <w:rFonts w:ascii="Arial" w:hAnsi="Arial"/>
          <w:b/>
          <w:color w:val="3D6094"/>
          <w:sz w:val="28"/>
        </w:rPr>
        <w:t>1.1 Direct GHG Emissions — Scope 1</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b/>
                <w:color w:val="1B3A6B"/>
                <w:sz w:val="40"/>
              </w:rPr>
              <w:t>3,403.0</w:t>
            </w:r>
            <w:r>
              <w:rPr>
                <w:sz w:val="18"/>
              </w:rPr>
              <w:t xml:space="preserve"> tCO₂e</w:t>
            </w:r>
            <w:r>
              <w:rPr>
                <w:b/>
                <w:color w:val="F44336"/>
                <w:sz w:val="20"/>
              </w:rPr>
              <w:br/>
              <w:t>+2.36% YoY</w:t>
            </w:r>
          </w:p>
        </w:tc>
        <w:tc>
          <w:tcPr>
            <w:tcW w:type="dxa" w:w="2257"/>
          </w:tcPr>
          <w:p>
            <w:pPr>
              <w:jc w:val="center"/>
            </w:pPr>
            <w:r>
              <w:rPr>
                <w:b/>
                <w:color w:val="1B3A6B"/>
                <w:sz w:val="40"/>
              </w:rPr>
              <w:t>64.7</w:t>
            </w:r>
            <w:r>
              <w:rPr>
                <w:sz w:val="18"/>
              </w:rPr>
              <w:t xml:space="preserve"> %</w:t>
            </w:r>
            <w:r>
              <w:rPr>
                <w:b/>
                <w:color w:val="F44336"/>
                <w:sz w:val="20"/>
              </w:rPr>
              <w:br/>
              <w:t>Primary reduction lever</w:t>
            </w:r>
          </w:p>
        </w:tc>
        <w:tc>
          <w:tcPr>
            <w:tcW w:type="dxa" w:w="2257"/>
          </w:tcPr>
          <w:p>
            <w:pPr>
              <w:jc w:val="center"/>
            </w:pPr>
            <w:r>
              <w:rPr>
                <w:b/>
                <w:color w:val="1B3A6B"/>
                <w:sz w:val="40"/>
              </w:rPr>
              <w:t>19.1</w:t>
            </w:r>
            <w:r>
              <w:rPr>
                <w:sz w:val="18"/>
              </w:rPr>
              <w:t xml:space="preserve"> % of Scope 1</w:t>
            </w:r>
            <w:r>
              <w:rPr>
                <w:b/>
                <w:color w:val="F44336"/>
                <w:sz w:val="20"/>
              </w:rPr>
              <w:br/>
              <w:t>High concentration risk</w:t>
            </w:r>
          </w:p>
        </w:tc>
        <w:tc>
          <w:tcPr>
            <w:tcW w:type="dxa" w:w="2257"/>
          </w:tcPr>
          <w:p>
            <w:pPr>
              <w:jc w:val="center"/>
            </w:pPr>
            <w:r>
              <w:rPr>
                <w:b/>
                <w:color w:val="1B3A6B"/>
                <w:sz w:val="40"/>
              </w:rPr>
              <w:t>-14.4</w:t>
            </w:r>
            <w:r>
              <w:rPr>
                <w:sz w:val="18"/>
              </w:rPr>
              <w:t xml:space="preserve"> pp</w:t>
            </w:r>
            <w:r>
              <w:rPr>
                <w:b/>
                <w:color w:val="F44336"/>
                <w:sz w:val="20"/>
              </w:rPr>
              <w:br/>
              <w:t>vs. DBS (-12%) and BRI (-3.2%)</w:t>
            </w:r>
          </w:p>
        </w:tc>
      </w:tr>
      <w:tr>
        <w:tc>
          <w:tcPr>
            <w:tcW w:type="dxa" w:w="2257"/>
          </w:tcPr>
          <w:p>
            <w:pPr>
              <w:jc w:val="center"/>
            </w:pPr>
            <w:r>
              <w:rPr>
                <w:color w:val="646464"/>
                <w:sz w:val="18"/>
              </w:rPr>
              <w:t>Total Scope 1 Emissions</w:t>
            </w:r>
          </w:p>
        </w:tc>
        <w:tc>
          <w:tcPr>
            <w:tcW w:type="dxa" w:w="2257"/>
          </w:tcPr>
          <w:p>
            <w:pPr>
              <w:jc w:val="center"/>
            </w:pPr>
            <w:r>
              <w:rPr>
                <w:color w:val="646464"/>
                <w:sz w:val="18"/>
              </w:rPr>
              <w:t>Diesel Contribution</w:t>
            </w:r>
          </w:p>
        </w:tc>
        <w:tc>
          <w:tcPr>
            <w:tcW w:type="dxa" w:w="2257"/>
          </w:tcPr>
          <w:p>
            <w:pPr>
              <w:jc w:val="center"/>
            </w:pPr>
            <w:r>
              <w:rPr>
                <w:color w:val="646464"/>
                <w:sz w:val="18"/>
              </w:rPr>
              <w:t>Top 5 Facilities Share</w:t>
            </w:r>
          </w:p>
        </w:tc>
        <w:tc>
          <w:tcPr>
            <w:tcW w:type="dxa" w:w="2257"/>
          </w:tcPr>
          <w:p>
            <w:pPr>
              <w:jc w:val="center"/>
            </w:pPr>
            <w:r>
              <w:rPr>
                <w:color w:val="646464"/>
                <w:sz w:val="18"/>
              </w:rPr>
              <w:t>Peer Performance Gap</w:t>
            </w:r>
          </w:p>
        </w:tc>
      </w:tr>
    </w:tbl>
    <w:p/>
    <w:tbl>
      <w:tblPr>
        <w:tblW w:type="auto" w:w="0"/>
        <w:jc w:val="center"/>
        <w:tblLook w:firstColumn="1" w:firstRow="1" w:lastColumn="0" w:lastRow="0" w:noHBand="0" w:noVBand="1" w:val="04A0"/>
      </w:tblPr>
      <w:tblGrid>
        <w:gridCol w:w="9029"/>
      </w:tblGrid>
      <w:tr>
        <w:tc>
          <w:tcPr>
            <w:tcW w:type="dxa" w:w="9029"/>
            <w:shd w:fill="FFF3E0" w:val="clear"/>
          </w:tcPr>
          <w:p>
            <w:r>
              <w:rPr>
                <w:b/>
                <w:sz w:val="18"/>
              </w:rPr>
              <w:t>⚠️ KEY INSIGHT</w:t>
            </w:r>
          </w:p>
          <w:p>
            <w:r>
              <w:rPr>
                <w:b/>
                <w:sz w:val="22"/>
              </w:rPr>
              <w:t>Scope 1 naik 2.36% sementara peers turun 8-12% — diesel over-reliance adalah gap driver utama</w:t>
            </w:r>
          </w:p>
          <w:p>
            <w:r>
              <w:rPr>
                <w:sz w:val="20"/>
              </w:rPr>
              <w:t>Emisi diesel meningkat 3.66% akibat ekspansi cabang dan ketergantungan pada genset backup. DBS dan BRI mencapai reduksi signifikan melalui solar+battery dan EV fleet. Tanpa intervensi, gap dengan peers akan melebar menjadi 15-20 poin persentase pada 2026, meningkatkan risiko ESG rating downgrade dan tekanan investor.</w:t>
            </w:r>
          </w:p>
        </w:tc>
      </w:tr>
    </w:tbl>
    <w:p/>
    <w:p>
      <w:pPr>
        <w:spacing w:after="160" w:line="276" w:lineRule="auto"/>
        <w:jc w:val="both"/>
      </w:pPr>
      <w:r>
        <w:rPr>
          <w:rFonts w:ascii="Arial" w:hAnsi="Arial"/>
          <w:sz w:val="22"/>
        </w:rPr>
        <w:t>The institution's gross direct (Scope 1) greenhouse gas emissions for the reporting period ending December 31, 2024, totaled 3402.997 metric tons of carbon dioxide equivalent (tCO₂e). These emissions arise from fuel combustion in stationary and mobile sources under the institution's operational control, encompassing all facilities, branches, and vehicle fleets where the institution holds operational authority as defined by the GHG Protocol Corporate Standard. This disclosure satisfies the requirements of GRI 305-1a, IFRS S2 Paragraph 29(a)(i), ESRS E1-6 DR E1-6.44, and OJK PSPK guidelines for direct GHG emissions reporting.</w:t>
      </w:r>
    </w:p>
    <w:p>
      <w:pPr>
        <w:spacing w:after="160" w:line="276" w:lineRule="auto"/>
        <w:jc w:val="both"/>
      </w:pPr>
      <w:r>
        <w:rPr>
          <w:rFonts w:ascii="Arial" w:hAnsi="Arial"/>
          <w:sz w:val="22"/>
        </w:rPr>
        <w:t>Scope 1 emissions originate from two primary combustion sources: natural gas consumption in building heating and backup power systems contributed 1199.7924 tCO₂e (35.3% of total Scope 1), while diesel fuel combustion in emergency generators and vehicle fleets accounted for 2203.2044 tCO₂e (64.7% of total Scope 1). The diesel-dominant emission profile reflects the institution's reliance on backup power generation during grid instability events and operational vehicle requirements across the branch network. This source breakdown enables targeted reduction strategies aligned with the institution's decarbonization pathway.</w:t>
      </w:r>
    </w:p>
    <w:p>
      <w:pPr>
        <w:spacing w:after="160" w:line="276" w:lineRule="auto"/>
        <w:jc w:val="both"/>
      </w:pPr>
      <w:r>
        <w:rPr>
          <w:rFonts w:ascii="Arial" w:hAnsi="Arial"/>
          <w:i/>
          <w:sz w:val="22"/>
        </w:rPr>
        <w:t>The institution applies the operational control consolidation approach as specified in the GHG Protocol Corporate Standard (Revised Edition, 2015), whereby 100% of emissions from facilities and assets under operational control are included in the inventory boundary. Emission factors for natural gas and diesel combustion are sourced from the Indonesian Ministry of Energy and Mineral Resources (ESDM) 2023 National Emission Factor Database, with natural gas calculated at 56.1 kgCO₂e/GJ and diesel at 2.7 kgCO₂e/liter. Global Warming Potential (GWP) values follow the IPCC Sixth Assessment Report (AR6) with a 100-year time horizon: CO₂ = 1, CH₄ = 29.8, N₂O = 273.0. The inventory includes three greenhouse gases—carbon dioxide (CO₂), methane (CH₄), and nitrous oxide (N₂O)—which collectively represent &gt;99% of combustion-related emissions. Hydrofluorocarbons (HFCs), perfluorocarbons (PFCs), sulfur hexafluoride (SF₆), and nitrogen trifluoride (NF₃) are excluded as the institution does not operate refrigeration systems or industrial processes that generate these gases in material quantities.</w:t>
      </w:r>
    </w:p>
    <w:p>
      <w:pPr>
        <w:spacing w:after="160" w:line="276" w:lineRule="auto"/>
        <w:jc w:val="both"/>
      </w:pPr>
      <w:r>
        <w:rPr>
          <w:rFonts w:ascii="Arial" w:hAnsi="Arial"/>
          <w:sz w:val="22"/>
        </w:rPr>
        <w:t>Year-over-year analysis reveals a 2.36% increase in Scope 1 emissions compared to the prior reporting period (2023: 3324.521 tCO₂e), representing an absolute increase of 78.476 tCO₂e. This upward trend contrasts with peer institutions in the Indonesian banking sector, where DBS Group achieved a 12% reduction, BRI reduced emissions by 3.2%, and Bank Mandiri decreased by 5.1% over comparable periods. The institution's increase is attributable to two operational factors: (1) expansion of the branch network by 14 locations during 2024, each requiring diesel backup generators for business continuity compliance under OJK operational resilience standards, and (2) increased diesel consumption per facility due to 23% more frequent grid outages in Q2-Q3 2024 compared to 2023, as documented in facility energy logs. Natural gas consumption remained stable year-over-year (2024: 1199.7924 tCO₂e vs. 2023: 1199.0321 tCO₂e, +0.06%), while diesel emissions increased 3.66% (2024: 2203.2044 tCO₂e vs. 2023: 2125.4888 tCO₂e).</w:t>
      </w:r>
    </w:p>
    <w:p>
      <w:pPr>
        <w:spacing w:after="160" w:line="276" w:lineRule="auto"/>
        <w:jc w:val="both"/>
      </w:pPr>
      <w:r>
        <w:rPr>
          <w:rFonts w:ascii="Arial" w:hAnsi="Arial"/>
          <w:sz w:val="22"/>
        </w:rPr>
        <w:t>Facility-level emissions analysis identifies concentration risk in the institution's largest operational sites. The top five emitting facilities—FAC-0197 (147.7152 tCO₂e), FAC-0198 (137.8381 tCO₂e), FAC-0200 (131.4422 tCO₂e), FAC-0196 (124.4219 tCO₂e), and FAC-0199 (109.4122 tCO₂e)—collectively account for 650.8296 tCO₂e, representing 19.1% of total Scope 1 emissions despite comprising only 2.5% of the facility count. These five sites are regional headquarters with high diesel generator runtime due to legacy electrical infrastructure and absence of on-site renewable energy systems. FAC-0197 exhibits the highest diesel intensity at 82.5404 tCO₂e from 32,105 liters consumed, indicating potential for solar-plus-battery storage retrofits to reduce generator dependency. All ten facilities listed in the detailed breakdown achieved Data Quality Score 1 (highest quality per PCAF methodology), reflecting direct metering of fuel consumption with monthly reconciliation against supplier invoices.</w:t>
      </w:r>
    </w:p>
    <w:p>
      <w:pPr>
        <w:spacing w:after="160" w:line="276" w:lineRule="auto"/>
        <w:jc w:val="both"/>
      </w:pPr>
      <w:r>
        <w:rPr>
          <w:rFonts w:ascii="Arial" w:hAnsi="Arial"/>
          <w:i/>
          <w:color w:val="646464"/>
          <w:sz w:val="18"/>
        </w:rPr>
        <w:t>These figures have not been subject to external assurance for the current reporting period. The institution plans to engage a third-party verification provider for limited assurance on Scope 1 and Scope 2 emissions data in the 2025 reporting cycle, aligning with emerging investor expectations and preparation for potential CSRD applicability to Indonesian subsidiaries of EU parent entities.</w:t>
      </w:r>
    </w:p>
    <w:p>
      <w:r>
        <w:rPr>
          <w:rFonts w:ascii="Arial" w:hAnsi="Arial"/>
          <w:b/>
          <w:sz w:val="20"/>
        </w:rPr>
        <w:t>Table 1.1.1: Scope 1 Emissions by Source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Percentage of Scope 1</w:t>
            </w:r>
          </w:p>
        </w:tc>
        <w:tc>
          <w:tcPr>
            <w:tcW w:type="dxa" w:w="2257"/>
            <w:shd w:fill="1B3A6B" w:val="clear"/>
          </w:tcPr>
          <w:p>
            <w:r>
              <w:rPr>
                <w:rFonts w:ascii="Arial" w:hAnsi="Arial"/>
                <w:b/>
                <w:color w:val="FFFFFF"/>
                <w:sz w:val="18"/>
              </w:rPr>
              <w:t>Primary Use Case</w:t>
            </w:r>
          </w:p>
        </w:tc>
      </w:tr>
      <w:tr>
        <w:tc>
          <w:tcPr>
            <w:tcW w:type="dxa" w:w="2257"/>
          </w:tcPr>
          <w:p>
            <w:r>
              <w:rPr>
                <w:rFonts w:ascii="Arial" w:hAnsi="Arial"/>
                <w:sz w:val="18"/>
              </w:rPr>
              <w:t>Natural Gas Combustion</w:t>
            </w:r>
          </w:p>
        </w:tc>
        <w:tc>
          <w:tcPr>
            <w:tcW w:type="dxa" w:w="2257"/>
          </w:tcPr>
          <w:p>
            <w:pPr>
              <w:jc w:val="right"/>
            </w:pPr>
            <w:r>
              <w:rPr>
                <w:rFonts w:ascii="Arial" w:hAnsi="Arial"/>
                <w:sz w:val="18"/>
              </w:rPr>
              <w:t>1,199.7924</w:t>
            </w:r>
          </w:p>
        </w:tc>
        <w:tc>
          <w:tcPr>
            <w:tcW w:type="dxa" w:w="2257"/>
          </w:tcPr>
          <w:p>
            <w:pPr>
              <w:jc w:val="right"/>
            </w:pPr>
            <w:r>
              <w:rPr>
                <w:rFonts w:ascii="Arial" w:hAnsi="Arial"/>
                <w:sz w:val="18"/>
              </w:rPr>
              <w:t>35.3%</w:t>
            </w:r>
          </w:p>
        </w:tc>
        <w:tc>
          <w:tcPr>
            <w:tcW w:type="dxa" w:w="2257"/>
          </w:tcPr>
          <w:p>
            <w:r>
              <w:rPr>
                <w:rFonts w:ascii="Arial" w:hAnsi="Arial"/>
                <w:sz w:val="18"/>
              </w:rPr>
              <w:t>Building heating, backup power</w:t>
            </w:r>
          </w:p>
        </w:tc>
      </w:tr>
      <w:tr>
        <w:tc>
          <w:tcPr>
            <w:tcW w:type="dxa" w:w="2257"/>
            <w:shd w:fill="F2F6FC" w:val="clear"/>
          </w:tcPr>
          <w:p>
            <w:r>
              <w:rPr>
                <w:rFonts w:ascii="Arial" w:hAnsi="Arial"/>
                <w:sz w:val="18"/>
              </w:rPr>
              <w:t>Diesel Combustion</w:t>
            </w:r>
          </w:p>
        </w:tc>
        <w:tc>
          <w:tcPr>
            <w:tcW w:type="dxa" w:w="2257"/>
            <w:shd w:fill="F2F6FC" w:val="clear"/>
          </w:tcPr>
          <w:p>
            <w:pPr>
              <w:jc w:val="right"/>
            </w:pPr>
            <w:r>
              <w:rPr>
                <w:rFonts w:ascii="Arial" w:hAnsi="Arial"/>
                <w:sz w:val="18"/>
              </w:rPr>
              <w:t>2,203.2044</w:t>
            </w:r>
          </w:p>
        </w:tc>
        <w:tc>
          <w:tcPr>
            <w:tcW w:type="dxa" w:w="2257"/>
            <w:shd w:fill="F2F6FC" w:val="clear"/>
          </w:tcPr>
          <w:p>
            <w:pPr>
              <w:jc w:val="right"/>
            </w:pPr>
            <w:r>
              <w:rPr>
                <w:rFonts w:ascii="Arial" w:hAnsi="Arial"/>
                <w:sz w:val="18"/>
              </w:rPr>
              <w:t>64.7%</w:t>
            </w:r>
          </w:p>
        </w:tc>
        <w:tc>
          <w:tcPr>
            <w:tcW w:type="dxa" w:w="2257"/>
            <w:shd w:fill="F2F6FC" w:val="clear"/>
          </w:tcPr>
          <w:p>
            <w:r>
              <w:rPr>
                <w:rFonts w:ascii="Arial" w:hAnsi="Arial"/>
                <w:sz w:val="18"/>
              </w:rPr>
              <w:t>Emergency generators, vehicle fleet</w:t>
            </w:r>
          </w:p>
        </w:tc>
      </w:tr>
      <w:tr>
        <w:tc>
          <w:tcPr>
            <w:tcW w:type="dxa" w:w="2257"/>
          </w:tcPr>
          <w:p>
            <w:r>
              <w:rPr>
                <w:rFonts w:ascii="Arial" w:hAnsi="Arial"/>
                <w:sz w:val="18"/>
              </w:rPr>
              <w:t>Total Scope 1</w:t>
            </w:r>
          </w:p>
        </w:tc>
        <w:tc>
          <w:tcPr>
            <w:tcW w:type="dxa" w:w="2257"/>
          </w:tcPr>
          <w:p>
            <w:pPr>
              <w:jc w:val="right"/>
            </w:pPr>
            <w:r>
              <w:rPr>
                <w:rFonts w:ascii="Arial" w:hAnsi="Arial"/>
                <w:sz w:val="18"/>
              </w:rPr>
              <w:t>3,402.997</w:t>
            </w:r>
          </w:p>
        </w:tc>
        <w:tc>
          <w:tcPr>
            <w:tcW w:type="dxa" w:w="2257"/>
          </w:tcPr>
          <w:p>
            <w:pPr>
              <w:jc w:val="right"/>
            </w:pPr>
            <w:r>
              <w:rPr>
                <w:rFonts w:ascii="Arial" w:hAnsi="Arial"/>
                <w:sz w:val="18"/>
              </w:rPr>
              <w:t>100.0%</w:t>
            </w:r>
          </w:p>
        </w:tc>
        <w:tc>
          <w:tcPr>
            <w:tcW w:type="dxa" w:w="2257"/>
          </w:tcPr>
          <w:p>
            <w:r>
              <w:rPr>
                <w:rFonts w:ascii="Arial" w:hAnsi="Arial"/>
                <w:sz w:val="18"/>
              </w:rPr>
              <w:t>—</w:t>
            </w:r>
          </w:p>
        </w:tc>
      </w:tr>
    </w:tbl>
    <w:p>
      <w:r>
        <w:rPr>
          <w:rFonts w:ascii="Arial" w:hAnsi="Arial"/>
          <w:i/>
          <w:sz w:val="16"/>
        </w:rPr>
        <w:t>Source: Source: Institution energy consumption records, 2024. Emission factors: ESDM 2023 National Database.</w:t>
      </w:r>
    </w:p>
    <w:p/>
    <w:p>
      <w:r>
        <w:rPr>
          <w:rFonts w:ascii="Arial" w:hAnsi="Arial"/>
          <w:b/>
          <w:sz w:val="20"/>
        </w:rPr>
        <w:t>Table 1.1.2: Year-over-Year Scope 1 Emissions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Percentage Change</w:t>
            </w:r>
          </w:p>
        </w:tc>
      </w:tr>
      <w:tr>
        <w:tc>
          <w:tcPr>
            <w:tcW w:type="dxa" w:w="1806"/>
          </w:tcPr>
          <w:p>
            <w:r>
              <w:rPr>
                <w:rFonts w:ascii="Arial" w:hAnsi="Arial"/>
                <w:sz w:val="18"/>
              </w:rPr>
              <w:t>Natural Gas (tCO₂e)</w:t>
            </w:r>
          </w:p>
        </w:tc>
        <w:tc>
          <w:tcPr>
            <w:tcW w:type="dxa" w:w="1806"/>
          </w:tcPr>
          <w:p>
            <w:pPr>
              <w:jc w:val="right"/>
            </w:pPr>
            <w:r>
              <w:rPr>
                <w:rFonts w:ascii="Arial" w:hAnsi="Arial"/>
                <w:sz w:val="18"/>
              </w:rPr>
              <w:t>1,199.0321</w:t>
            </w:r>
          </w:p>
        </w:tc>
        <w:tc>
          <w:tcPr>
            <w:tcW w:type="dxa" w:w="1806"/>
          </w:tcPr>
          <w:p>
            <w:pPr>
              <w:jc w:val="right"/>
            </w:pPr>
            <w:r>
              <w:rPr>
                <w:rFonts w:ascii="Arial" w:hAnsi="Arial"/>
                <w:sz w:val="18"/>
              </w:rPr>
              <w:t>1,199.7924</w:t>
            </w:r>
          </w:p>
        </w:tc>
        <w:tc>
          <w:tcPr>
            <w:tcW w:type="dxa" w:w="1806"/>
          </w:tcPr>
          <w:p>
            <w:pPr>
              <w:jc w:val="right"/>
            </w:pPr>
            <w:r>
              <w:rPr>
                <w:rFonts w:ascii="Arial" w:hAnsi="Arial"/>
                <w:sz w:val="18"/>
              </w:rPr>
              <w:t>+0.7603</w:t>
            </w:r>
          </w:p>
        </w:tc>
        <w:tc>
          <w:tcPr>
            <w:tcW w:type="dxa" w:w="1806"/>
          </w:tcPr>
          <w:p>
            <w:pPr>
              <w:jc w:val="right"/>
            </w:pPr>
            <w:r>
              <w:rPr>
                <w:rFonts w:ascii="Arial" w:hAnsi="Arial"/>
                <w:sz w:val="18"/>
              </w:rPr>
              <w:t>+0.06%</w:t>
            </w:r>
          </w:p>
        </w:tc>
      </w:tr>
      <w:tr>
        <w:tc>
          <w:tcPr>
            <w:tcW w:type="dxa" w:w="1806"/>
            <w:shd w:fill="F2F6FC" w:val="clear"/>
          </w:tcPr>
          <w:p>
            <w:r>
              <w:rPr>
                <w:rFonts w:ascii="Arial" w:hAnsi="Arial"/>
                <w:sz w:val="18"/>
              </w:rPr>
              <w:t>Diesel (tCO₂e)</w:t>
            </w:r>
          </w:p>
        </w:tc>
        <w:tc>
          <w:tcPr>
            <w:tcW w:type="dxa" w:w="1806"/>
            <w:shd w:fill="F2F6FC" w:val="clear"/>
          </w:tcPr>
          <w:p>
            <w:pPr>
              <w:jc w:val="right"/>
            </w:pPr>
            <w:r>
              <w:rPr>
                <w:rFonts w:ascii="Arial" w:hAnsi="Arial"/>
                <w:sz w:val="18"/>
              </w:rPr>
              <w:t>2,125.4888</w:t>
            </w:r>
          </w:p>
        </w:tc>
        <w:tc>
          <w:tcPr>
            <w:tcW w:type="dxa" w:w="1806"/>
            <w:shd w:fill="F2F6FC" w:val="clear"/>
          </w:tcPr>
          <w:p>
            <w:pPr>
              <w:jc w:val="right"/>
            </w:pPr>
            <w:r>
              <w:rPr>
                <w:rFonts w:ascii="Arial" w:hAnsi="Arial"/>
                <w:sz w:val="18"/>
              </w:rPr>
              <w:t>2,203.2044</w:t>
            </w:r>
          </w:p>
        </w:tc>
        <w:tc>
          <w:tcPr>
            <w:tcW w:type="dxa" w:w="1806"/>
            <w:shd w:fill="F2F6FC" w:val="clear"/>
          </w:tcPr>
          <w:p>
            <w:pPr>
              <w:jc w:val="right"/>
            </w:pPr>
            <w:r>
              <w:rPr>
                <w:rFonts w:ascii="Arial" w:hAnsi="Arial"/>
                <w:sz w:val="18"/>
              </w:rPr>
              <w:t>+77.7156</w:t>
            </w:r>
          </w:p>
        </w:tc>
        <w:tc>
          <w:tcPr>
            <w:tcW w:type="dxa" w:w="1806"/>
            <w:shd w:fill="F2F6FC" w:val="clear"/>
          </w:tcPr>
          <w:p>
            <w:pPr>
              <w:jc w:val="right"/>
            </w:pPr>
            <w:r>
              <w:rPr>
                <w:rFonts w:ascii="Arial" w:hAnsi="Arial"/>
                <w:sz w:val="18"/>
              </w:rPr>
              <w:t>+3.66%</w:t>
            </w:r>
          </w:p>
        </w:tc>
      </w:tr>
      <w:tr>
        <w:tc>
          <w:tcPr>
            <w:tcW w:type="dxa" w:w="1806"/>
          </w:tcPr>
          <w:p>
            <w:r>
              <w:rPr>
                <w:rFonts w:ascii="Arial" w:hAnsi="Arial"/>
                <w:sz w:val="18"/>
              </w:rPr>
              <w:t>Total Scope 1 (tCO₂e)</w:t>
            </w:r>
          </w:p>
        </w:tc>
        <w:tc>
          <w:tcPr>
            <w:tcW w:type="dxa" w:w="1806"/>
          </w:tcPr>
          <w:p>
            <w:pPr>
              <w:jc w:val="right"/>
            </w:pPr>
            <w:r>
              <w:rPr>
                <w:rFonts w:ascii="Arial" w:hAnsi="Arial"/>
                <w:sz w:val="18"/>
              </w:rPr>
              <w:t>3,324.521</w:t>
            </w:r>
          </w:p>
        </w:tc>
        <w:tc>
          <w:tcPr>
            <w:tcW w:type="dxa" w:w="1806"/>
          </w:tcPr>
          <w:p>
            <w:pPr>
              <w:jc w:val="right"/>
            </w:pPr>
            <w:r>
              <w:rPr>
                <w:rFonts w:ascii="Arial" w:hAnsi="Arial"/>
                <w:sz w:val="18"/>
              </w:rPr>
              <w:t>3,402.997</w:t>
            </w:r>
          </w:p>
        </w:tc>
        <w:tc>
          <w:tcPr>
            <w:tcW w:type="dxa" w:w="1806"/>
          </w:tcPr>
          <w:p>
            <w:pPr>
              <w:jc w:val="right"/>
            </w:pPr>
            <w:r>
              <w:rPr>
                <w:rFonts w:ascii="Arial" w:hAnsi="Arial"/>
                <w:sz w:val="18"/>
              </w:rPr>
              <w:t>+78.476</w:t>
            </w:r>
          </w:p>
        </w:tc>
        <w:tc>
          <w:tcPr>
            <w:tcW w:type="dxa" w:w="1806"/>
          </w:tcPr>
          <w:p>
            <w:pPr>
              <w:jc w:val="right"/>
            </w:pPr>
            <w:r>
              <w:rPr>
                <w:rFonts w:ascii="Arial" w:hAnsi="Arial"/>
                <w:sz w:val="18"/>
              </w:rPr>
              <w:t>+2.36%</w:t>
            </w:r>
          </w:p>
        </w:tc>
      </w:tr>
    </w:tbl>
    <w:p>
      <w:r>
        <w:rPr>
          <w:rFonts w:ascii="Arial" w:hAnsi="Arial"/>
          <w:i/>
          <w:sz w:val="16"/>
        </w:rPr>
        <w:t>Source: Source: Institution GHG inventory, 2023-2024.</w:t>
      </w:r>
    </w:p>
    <w:p/>
    <w:p>
      <w:r>
        <w:rPr>
          <w:rFonts w:ascii="Arial" w:hAnsi="Arial"/>
          <w:b/>
          <w:sz w:val="20"/>
        </w:rPr>
        <w:t>Table 1.1.3: Top 10 Emitting Facilities — Scope 1 Breakdown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Facility ID</w:t>
            </w:r>
          </w:p>
        </w:tc>
        <w:tc>
          <w:tcPr>
            <w:tcW w:type="dxa" w:w="1806"/>
            <w:shd w:fill="1B3A6B" w:val="clear"/>
          </w:tcPr>
          <w:p>
            <w:r>
              <w:rPr>
                <w:rFonts w:ascii="Arial" w:hAnsi="Arial"/>
                <w:b/>
                <w:color w:val="FFFFFF"/>
                <w:sz w:val="18"/>
              </w:rPr>
              <w:t>Total Scope 1 (tCO₂e)</w:t>
            </w:r>
          </w:p>
        </w:tc>
        <w:tc>
          <w:tcPr>
            <w:tcW w:type="dxa" w:w="1806"/>
            <w:shd w:fill="1B3A6B" w:val="clear"/>
          </w:tcPr>
          <w:p>
            <w:r>
              <w:rPr>
                <w:rFonts w:ascii="Arial" w:hAnsi="Arial"/>
                <w:b/>
                <w:color w:val="FFFFFF"/>
                <w:sz w:val="18"/>
              </w:rPr>
              <w:t>Natural Gas (tCO₂e)</w:t>
            </w:r>
          </w:p>
        </w:tc>
        <w:tc>
          <w:tcPr>
            <w:tcW w:type="dxa" w:w="1806"/>
            <w:shd w:fill="1B3A6B" w:val="clear"/>
          </w:tcPr>
          <w:p>
            <w:r>
              <w:rPr>
                <w:rFonts w:ascii="Arial" w:hAnsi="Arial"/>
                <w:b/>
                <w:color w:val="FFFFFF"/>
                <w:sz w:val="18"/>
              </w:rPr>
              <w:t>Diesel (tCO₂e)</w:t>
            </w:r>
          </w:p>
        </w:tc>
        <w:tc>
          <w:tcPr>
            <w:tcW w:type="dxa" w:w="1806"/>
            <w:shd w:fill="1B3A6B" w:val="clear"/>
          </w:tcPr>
          <w:p>
            <w:r>
              <w:rPr>
                <w:rFonts w:ascii="Arial" w:hAnsi="Arial"/>
                <w:b/>
                <w:color w:val="FFFFFF"/>
                <w:sz w:val="18"/>
              </w:rPr>
              <w:t>Data Quality Score</w:t>
            </w:r>
          </w:p>
        </w:tc>
      </w:tr>
      <w:tr>
        <w:tc>
          <w:tcPr>
            <w:tcW w:type="dxa" w:w="1806"/>
          </w:tcPr>
          <w:p>
            <w:r>
              <w:rPr>
                <w:rFonts w:ascii="Arial" w:hAnsi="Arial"/>
                <w:sz w:val="18"/>
              </w:rPr>
              <w:t>FAC-0197</w:t>
            </w:r>
          </w:p>
        </w:tc>
        <w:tc>
          <w:tcPr>
            <w:tcW w:type="dxa" w:w="1806"/>
          </w:tcPr>
          <w:p>
            <w:pPr>
              <w:jc w:val="right"/>
            </w:pPr>
            <w:r>
              <w:rPr>
                <w:rFonts w:ascii="Arial" w:hAnsi="Arial"/>
                <w:sz w:val="18"/>
              </w:rPr>
              <w:t>147.7152</w:t>
            </w:r>
          </w:p>
        </w:tc>
        <w:tc>
          <w:tcPr>
            <w:tcW w:type="dxa" w:w="1806"/>
          </w:tcPr>
          <w:p>
            <w:pPr>
              <w:jc w:val="right"/>
            </w:pPr>
            <w:r>
              <w:rPr>
                <w:rFonts w:ascii="Arial" w:hAnsi="Arial"/>
                <w:sz w:val="18"/>
              </w:rPr>
              <w:t>65.1748</w:t>
            </w:r>
          </w:p>
        </w:tc>
        <w:tc>
          <w:tcPr>
            <w:tcW w:type="dxa" w:w="1806"/>
          </w:tcPr>
          <w:p>
            <w:pPr>
              <w:jc w:val="right"/>
            </w:pPr>
            <w:r>
              <w:rPr>
                <w:rFonts w:ascii="Arial" w:hAnsi="Arial"/>
                <w:sz w:val="18"/>
              </w:rPr>
              <w:t>82.5404</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FAC-0198</w:t>
            </w:r>
          </w:p>
        </w:tc>
        <w:tc>
          <w:tcPr>
            <w:tcW w:type="dxa" w:w="1806"/>
            <w:shd w:fill="F2F6FC" w:val="clear"/>
          </w:tcPr>
          <w:p>
            <w:pPr>
              <w:jc w:val="right"/>
            </w:pPr>
            <w:r>
              <w:rPr>
                <w:rFonts w:ascii="Arial" w:hAnsi="Arial"/>
                <w:sz w:val="18"/>
              </w:rPr>
              <w:t>137.8381</w:t>
            </w:r>
          </w:p>
        </w:tc>
        <w:tc>
          <w:tcPr>
            <w:tcW w:type="dxa" w:w="1806"/>
            <w:shd w:fill="F2F6FC" w:val="clear"/>
          </w:tcPr>
          <w:p>
            <w:pPr>
              <w:jc w:val="right"/>
            </w:pPr>
            <w:r>
              <w:rPr>
                <w:rFonts w:ascii="Arial" w:hAnsi="Arial"/>
                <w:sz w:val="18"/>
              </w:rPr>
              <w:t>54.4460</w:t>
            </w:r>
          </w:p>
        </w:tc>
        <w:tc>
          <w:tcPr>
            <w:tcW w:type="dxa" w:w="1806"/>
            <w:shd w:fill="F2F6FC" w:val="clear"/>
          </w:tcPr>
          <w:p>
            <w:pPr>
              <w:jc w:val="right"/>
            </w:pPr>
            <w:r>
              <w:rPr>
                <w:rFonts w:ascii="Arial" w:hAnsi="Arial"/>
                <w:sz w:val="18"/>
              </w:rPr>
              <w:t>83.3921</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FAC-0200</w:t>
            </w:r>
          </w:p>
        </w:tc>
        <w:tc>
          <w:tcPr>
            <w:tcW w:type="dxa" w:w="1806"/>
          </w:tcPr>
          <w:p>
            <w:pPr>
              <w:jc w:val="right"/>
            </w:pPr>
            <w:r>
              <w:rPr>
                <w:rFonts w:ascii="Arial" w:hAnsi="Arial"/>
                <w:sz w:val="18"/>
              </w:rPr>
              <w:t>131.4422</w:t>
            </w:r>
          </w:p>
        </w:tc>
        <w:tc>
          <w:tcPr>
            <w:tcW w:type="dxa" w:w="1806"/>
          </w:tcPr>
          <w:p>
            <w:pPr>
              <w:jc w:val="right"/>
            </w:pPr>
            <w:r>
              <w:rPr>
                <w:rFonts w:ascii="Arial" w:hAnsi="Arial"/>
                <w:sz w:val="18"/>
              </w:rPr>
              <w:t>57.0202</w:t>
            </w:r>
          </w:p>
        </w:tc>
        <w:tc>
          <w:tcPr>
            <w:tcW w:type="dxa" w:w="1806"/>
          </w:tcPr>
          <w:p>
            <w:pPr>
              <w:jc w:val="right"/>
            </w:pPr>
            <w:r>
              <w:rPr>
                <w:rFonts w:ascii="Arial" w:hAnsi="Arial"/>
                <w:sz w:val="18"/>
              </w:rPr>
              <w:t>74.4220</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FAC-0196</w:t>
            </w:r>
          </w:p>
        </w:tc>
        <w:tc>
          <w:tcPr>
            <w:tcW w:type="dxa" w:w="1806"/>
            <w:shd w:fill="F2F6FC" w:val="clear"/>
          </w:tcPr>
          <w:p>
            <w:pPr>
              <w:jc w:val="right"/>
            </w:pPr>
            <w:r>
              <w:rPr>
                <w:rFonts w:ascii="Arial" w:hAnsi="Arial"/>
                <w:sz w:val="18"/>
              </w:rPr>
              <w:t>124.4219</w:t>
            </w:r>
          </w:p>
        </w:tc>
        <w:tc>
          <w:tcPr>
            <w:tcW w:type="dxa" w:w="1806"/>
            <w:shd w:fill="F2F6FC" w:val="clear"/>
          </w:tcPr>
          <w:p>
            <w:pPr>
              <w:jc w:val="right"/>
            </w:pPr>
            <w:r>
              <w:rPr>
                <w:rFonts w:ascii="Arial" w:hAnsi="Arial"/>
                <w:sz w:val="18"/>
              </w:rPr>
              <w:t>51.7527</w:t>
            </w:r>
          </w:p>
        </w:tc>
        <w:tc>
          <w:tcPr>
            <w:tcW w:type="dxa" w:w="1806"/>
            <w:shd w:fill="F2F6FC" w:val="clear"/>
          </w:tcPr>
          <w:p>
            <w:pPr>
              <w:jc w:val="right"/>
            </w:pPr>
            <w:r>
              <w:rPr>
                <w:rFonts w:ascii="Arial" w:hAnsi="Arial"/>
                <w:sz w:val="18"/>
              </w:rPr>
              <w:t>72.6692</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FAC-0199</w:t>
            </w:r>
          </w:p>
        </w:tc>
        <w:tc>
          <w:tcPr>
            <w:tcW w:type="dxa" w:w="1806"/>
          </w:tcPr>
          <w:p>
            <w:pPr>
              <w:jc w:val="right"/>
            </w:pPr>
            <w:r>
              <w:rPr>
                <w:rFonts w:ascii="Arial" w:hAnsi="Arial"/>
                <w:sz w:val="18"/>
              </w:rPr>
              <w:t>109.4122</w:t>
            </w:r>
          </w:p>
        </w:tc>
        <w:tc>
          <w:tcPr>
            <w:tcW w:type="dxa" w:w="1806"/>
          </w:tcPr>
          <w:p>
            <w:pPr>
              <w:jc w:val="right"/>
            </w:pPr>
            <w:r>
              <w:rPr>
                <w:rFonts w:ascii="Arial" w:hAnsi="Arial"/>
                <w:sz w:val="18"/>
              </w:rPr>
              <w:t>52.0150</w:t>
            </w:r>
          </w:p>
        </w:tc>
        <w:tc>
          <w:tcPr>
            <w:tcW w:type="dxa" w:w="1806"/>
          </w:tcPr>
          <w:p>
            <w:pPr>
              <w:jc w:val="right"/>
            </w:pPr>
            <w:r>
              <w:rPr>
                <w:rFonts w:ascii="Arial" w:hAnsi="Arial"/>
                <w:sz w:val="18"/>
              </w:rPr>
              <w:t>57.3972</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FAC-0193</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0.0000</w:t>
            </w:r>
          </w:p>
        </w:tc>
        <w:tc>
          <w:tcPr>
            <w:tcW w:type="dxa" w:w="1806"/>
            <w:shd w:fill="F2F6FC" w:val="clear"/>
          </w:tcPr>
          <w:p>
            <w:pPr>
              <w:jc w:val="right"/>
            </w:pPr>
            <w:r>
              <w:rPr>
                <w:rFonts w:ascii="Arial" w:hAnsi="Arial"/>
                <w:sz w:val="18"/>
              </w:rPr>
              <w:t>72.3228</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FAC-0215</w:t>
            </w:r>
          </w:p>
        </w:tc>
        <w:tc>
          <w:tcPr>
            <w:tcW w:type="dxa" w:w="1806"/>
          </w:tcPr>
          <w:p>
            <w:pPr>
              <w:jc w:val="right"/>
            </w:pPr>
            <w:r>
              <w:rPr>
                <w:rFonts w:ascii="Arial" w:hAnsi="Arial"/>
                <w:sz w:val="18"/>
              </w:rPr>
              <w:t>70.6057</w:t>
            </w:r>
          </w:p>
        </w:tc>
        <w:tc>
          <w:tcPr>
            <w:tcW w:type="dxa" w:w="1806"/>
          </w:tcPr>
          <w:p>
            <w:pPr>
              <w:jc w:val="right"/>
            </w:pPr>
            <w:r>
              <w:rPr>
                <w:rFonts w:ascii="Arial" w:hAnsi="Arial"/>
                <w:sz w:val="18"/>
              </w:rPr>
              <w:t>23.5860</w:t>
            </w:r>
          </w:p>
        </w:tc>
        <w:tc>
          <w:tcPr>
            <w:tcW w:type="dxa" w:w="1806"/>
          </w:tcPr>
          <w:p>
            <w:pPr>
              <w:jc w:val="right"/>
            </w:pPr>
            <w:r>
              <w:rPr>
                <w:rFonts w:ascii="Arial" w:hAnsi="Arial"/>
                <w:sz w:val="18"/>
              </w:rPr>
              <w:t>47.0197</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FAC-0191</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0.0000</w:t>
            </w:r>
          </w:p>
        </w:tc>
        <w:tc>
          <w:tcPr>
            <w:tcW w:type="dxa" w:w="1806"/>
            <w:shd w:fill="F2F6FC" w:val="clear"/>
          </w:tcPr>
          <w:p>
            <w:pPr>
              <w:jc w:val="right"/>
            </w:pPr>
            <w:r>
              <w:rPr>
                <w:rFonts w:ascii="Arial" w:hAnsi="Arial"/>
                <w:sz w:val="18"/>
              </w:rPr>
              <w:t>67.3744</w:t>
            </w:r>
          </w:p>
        </w:tc>
        <w:tc>
          <w:tcPr>
            <w:tcW w:type="dxa" w:w="1806"/>
            <w:shd w:fill="F2F6FC" w:val="clear"/>
          </w:tcPr>
          <w:p>
            <w:pPr>
              <w:jc w:val="right"/>
            </w:pPr>
            <w:r>
              <w:rPr>
                <w:rFonts w:ascii="Arial" w:hAnsi="Arial"/>
                <w:sz w:val="18"/>
              </w:rPr>
              <w:t>1</w:t>
            </w:r>
          </w:p>
        </w:tc>
      </w:tr>
      <w:tr>
        <w:tc>
          <w:tcPr>
            <w:tcW w:type="dxa" w:w="1806"/>
          </w:tcPr>
          <w:p>
            <w:r>
              <w:rPr>
                <w:rFonts w:ascii="Arial" w:hAnsi="Arial"/>
                <w:sz w:val="18"/>
              </w:rPr>
              <w:t>FAC-0181</w:t>
            </w:r>
          </w:p>
        </w:tc>
        <w:tc>
          <w:tcPr>
            <w:tcW w:type="dxa" w:w="1806"/>
          </w:tcPr>
          <w:p>
            <w:pPr>
              <w:jc w:val="right"/>
            </w:pPr>
            <w:r>
              <w:rPr>
                <w:rFonts w:ascii="Arial" w:hAnsi="Arial"/>
                <w:sz w:val="18"/>
              </w:rPr>
              <w:t>63.7580</w:t>
            </w:r>
          </w:p>
        </w:tc>
        <w:tc>
          <w:tcPr>
            <w:tcW w:type="dxa" w:w="1806"/>
          </w:tcPr>
          <w:p>
            <w:pPr>
              <w:jc w:val="right"/>
            </w:pPr>
            <w:r>
              <w:rPr>
                <w:rFonts w:ascii="Arial" w:hAnsi="Arial"/>
                <w:sz w:val="18"/>
              </w:rPr>
              <w:t>0.0000</w:t>
            </w:r>
          </w:p>
        </w:tc>
        <w:tc>
          <w:tcPr>
            <w:tcW w:type="dxa" w:w="1806"/>
          </w:tcPr>
          <w:p>
            <w:pPr>
              <w:jc w:val="right"/>
            </w:pPr>
            <w:r>
              <w:rPr>
                <w:rFonts w:ascii="Arial" w:hAnsi="Arial"/>
                <w:sz w:val="18"/>
              </w:rPr>
              <w:t>63.7580</w:t>
            </w:r>
          </w:p>
        </w:tc>
        <w:tc>
          <w:tcPr>
            <w:tcW w:type="dxa" w:w="1806"/>
          </w:tcPr>
          <w:p>
            <w:pPr>
              <w:jc w:val="right"/>
            </w:pPr>
            <w:r>
              <w:rPr>
                <w:rFonts w:ascii="Arial" w:hAnsi="Arial"/>
                <w:sz w:val="18"/>
              </w:rPr>
              <w:t>1</w:t>
            </w:r>
          </w:p>
        </w:tc>
      </w:tr>
      <w:tr>
        <w:tc>
          <w:tcPr>
            <w:tcW w:type="dxa" w:w="1806"/>
            <w:shd w:fill="F2F6FC" w:val="clear"/>
          </w:tcPr>
          <w:p>
            <w:r>
              <w:rPr>
                <w:rFonts w:ascii="Arial" w:hAnsi="Arial"/>
                <w:sz w:val="18"/>
              </w:rPr>
              <w:t>FAC-0208</w:t>
            </w:r>
          </w:p>
        </w:tc>
        <w:tc>
          <w:tcPr>
            <w:tcW w:type="dxa" w:w="1806"/>
            <w:shd w:fill="F2F6FC" w:val="clear"/>
          </w:tcPr>
          <w:p>
            <w:pPr>
              <w:jc w:val="right"/>
            </w:pPr>
            <w:r>
              <w:rPr>
                <w:rFonts w:ascii="Arial" w:hAnsi="Arial"/>
                <w:sz w:val="18"/>
              </w:rPr>
              <w:t>63.5152</w:t>
            </w:r>
          </w:p>
        </w:tc>
        <w:tc>
          <w:tcPr>
            <w:tcW w:type="dxa" w:w="1806"/>
            <w:shd w:fill="F2F6FC" w:val="clear"/>
          </w:tcPr>
          <w:p>
            <w:pPr>
              <w:jc w:val="right"/>
            </w:pPr>
            <w:r>
              <w:rPr>
                <w:rFonts w:ascii="Arial" w:hAnsi="Arial"/>
                <w:sz w:val="18"/>
              </w:rPr>
              <w:t>23.7606</w:t>
            </w:r>
          </w:p>
        </w:tc>
        <w:tc>
          <w:tcPr>
            <w:tcW w:type="dxa" w:w="1806"/>
            <w:shd w:fill="F2F6FC" w:val="clear"/>
          </w:tcPr>
          <w:p>
            <w:pPr>
              <w:jc w:val="right"/>
            </w:pPr>
            <w:r>
              <w:rPr>
                <w:rFonts w:ascii="Arial" w:hAnsi="Arial"/>
                <w:sz w:val="18"/>
              </w:rPr>
              <w:t>39.7546</w:t>
            </w:r>
          </w:p>
        </w:tc>
        <w:tc>
          <w:tcPr>
            <w:tcW w:type="dxa" w:w="1806"/>
            <w:shd w:fill="F2F6FC" w:val="clear"/>
          </w:tcPr>
          <w:p>
            <w:pPr>
              <w:jc w:val="right"/>
            </w:pPr>
            <w:r>
              <w:rPr>
                <w:rFonts w:ascii="Arial" w:hAnsi="Arial"/>
                <w:sz w:val="18"/>
              </w:rPr>
              <w:t>1</w:t>
            </w:r>
          </w:p>
        </w:tc>
      </w:tr>
    </w:tbl>
    <w:p>
      <w:r>
        <w:rPr>
          <w:rFonts w:ascii="Arial" w:hAnsi="Arial"/>
          <w:i/>
          <w:sz w:val="16"/>
        </w:rPr>
        <w:t>Source: Source: Facility-level energy monitoring system, 2024. Data Quality Score 1 = highest quality (direct metering).</w:t>
      </w:r>
    </w:p>
    <w:p/>
    <w:p>
      <w:r>
        <w:rPr>
          <w:rFonts w:ascii="Arial" w:hAnsi="Arial"/>
          <w:b/>
          <w:sz w:val="20"/>
        </w:rPr>
        <w:t>Table 1.1.4: Framework Cross-Reference — Scope 1 Disclosure Compliance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305-1</w:t>
            </w:r>
          </w:p>
        </w:tc>
        <w:tc>
          <w:tcPr>
            <w:tcW w:type="dxa" w:w="2257"/>
          </w:tcPr>
          <w:p>
            <w:r>
              <w:rPr>
                <w:rFonts w:ascii="Arial" w:hAnsi="Arial"/>
                <w:sz w:val="18"/>
              </w:rPr>
              <w:t>305-1a</w:t>
            </w:r>
          </w:p>
        </w:tc>
        <w:tc>
          <w:tcPr>
            <w:tcW w:type="dxa" w:w="2257"/>
          </w:tcPr>
          <w:p>
            <w:r>
              <w:rPr>
                <w:rFonts w:ascii="Arial" w:hAnsi="Arial"/>
                <w:sz w:val="18"/>
              </w:rPr>
              <w:t>Gross direct (Scope 1) GHG emissions in tCO₂e</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305-1b</w:t>
            </w:r>
          </w:p>
        </w:tc>
        <w:tc>
          <w:tcPr>
            <w:tcW w:type="dxa" w:w="2257"/>
            <w:shd w:fill="F2F6FC" w:val="clear"/>
          </w:tcPr>
          <w:p>
            <w:r>
              <w:rPr>
                <w:rFonts w:ascii="Arial" w:hAnsi="Arial"/>
                <w:sz w:val="18"/>
              </w:rPr>
              <w:t>Gases included (CO₂, CH₄, N₂O)</w:t>
            </w:r>
          </w:p>
        </w:tc>
        <w:tc>
          <w:tcPr>
            <w:tcW w:type="dxa" w:w="2257"/>
            <w:shd w:fill="F2F6FC" w:val="clear"/>
          </w:tcPr>
          <w:p>
            <w:r>
              <w:rPr>
                <w:rFonts w:ascii="Arial" w:hAnsi="Arial"/>
                <w:sz w:val="18"/>
              </w:rPr>
              <w:t>✅ Disclosed</w:t>
            </w:r>
          </w:p>
        </w:tc>
      </w:tr>
      <w:tr>
        <w:tc>
          <w:tcPr>
            <w:tcW w:type="dxa" w:w="2257"/>
          </w:tcPr>
          <w:p>
            <w:r>
              <w:rPr>
                <w:rFonts w:ascii="Arial" w:hAnsi="Arial"/>
                <w:sz w:val="18"/>
              </w:rPr>
              <w:t>GRI 305-1</w:t>
            </w:r>
          </w:p>
        </w:tc>
        <w:tc>
          <w:tcPr>
            <w:tcW w:type="dxa" w:w="2257"/>
          </w:tcPr>
          <w:p>
            <w:r>
              <w:rPr>
                <w:rFonts w:ascii="Arial" w:hAnsi="Arial"/>
                <w:sz w:val="18"/>
              </w:rPr>
              <w:t>305-1c</w:t>
            </w:r>
          </w:p>
        </w:tc>
        <w:tc>
          <w:tcPr>
            <w:tcW w:type="dxa" w:w="2257"/>
          </w:tcPr>
          <w:p>
            <w:r>
              <w:rPr>
                <w:rFonts w:ascii="Arial" w:hAnsi="Arial"/>
                <w:sz w:val="18"/>
              </w:rPr>
              <w:t>Biogenic CO₂ emissions separately</w:t>
            </w:r>
          </w:p>
        </w:tc>
        <w:tc>
          <w:tcPr>
            <w:tcW w:type="dxa" w:w="2257"/>
          </w:tcPr>
          <w:p>
            <w:r>
              <w:rPr>
                <w:rFonts w:ascii="Arial" w:hAnsi="Arial"/>
                <w:sz w:val="18"/>
              </w:rPr>
              <w:t>N/A — No biogenic sources</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305-1e</w:t>
            </w:r>
          </w:p>
        </w:tc>
        <w:tc>
          <w:tcPr>
            <w:tcW w:type="dxa" w:w="2257"/>
            <w:shd w:fill="F2F6FC" w:val="clear"/>
          </w:tcPr>
          <w:p>
            <w:r>
              <w:rPr>
                <w:rFonts w:ascii="Arial" w:hAnsi="Arial"/>
                <w:sz w:val="18"/>
              </w:rPr>
              <w:t>Emission factors and GWP source</w:t>
            </w:r>
          </w:p>
        </w:tc>
        <w:tc>
          <w:tcPr>
            <w:tcW w:type="dxa" w:w="2257"/>
            <w:shd w:fill="F2F6FC" w:val="clear"/>
          </w:tcPr>
          <w:p>
            <w:r>
              <w:rPr>
                <w:rFonts w:ascii="Arial" w:hAnsi="Arial"/>
                <w:sz w:val="18"/>
              </w:rPr>
              <w:t>✅ Disclosed</w:t>
            </w:r>
          </w:p>
        </w:tc>
      </w:tr>
      <w:tr>
        <w:tc>
          <w:tcPr>
            <w:tcW w:type="dxa" w:w="2257"/>
          </w:tcPr>
          <w:p>
            <w:r>
              <w:rPr>
                <w:rFonts w:ascii="Arial" w:hAnsi="Arial"/>
                <w:sz w:val="18"/>
              </w:rPr>
              <w:t>GRI 305-1</w:t>
            </w:r>
          </w:p>
        </w:tc>
        <w:tc>
          <w:tcPr>
            <w:tcW w:type="dxa" w:w="2257"/>
          </w:tcPr>
          <w:p>
            <w:r>
              <w:rPr>
                <w:rFonts w:ascii="Arial" w:hAnsi="Arial"/>
                <w:sz w:val="18"/>
              </w:rPr>
              <w:t>305-1f</w:t>
            </w:r>
          </w:p>
        </w:tc>
        <w:tc>
          <w:tcPr>
            <w:tcW w:type="dxa" w:w="2257"/>
          </w:tcPr>
          <w:p>
            <w:r>
              <w:rPr>
                <w:rFonts w:ascii="Arial" w:hAnsi="Arial"/>
                <w:sz w:val="18"/>
              </w:rPr>
              <w:t>Consolidation approach</w:t>
            </w:r>
          </w:p>
        </w:tc>
        <w:tc>
          <w:tcPr>
            <w:tcW w:type="dxa" w:w="2257"/>
          </w:tcPr>
          <w:p>
            <w:r>
              <w:rPr>
                <w:rFonts w:ascii="Arial" w:hAnsi="Arial"/>
                <w:sz w:val="18"/>
              </w:rPr>
              <w:t>✅ Disclosed</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305-1g</w:t>
            </w:r>
          </w:p>
        </w:tc>
        <w:tc>
          <w:tcPr>
            <w:tcW w:type="dxa" w:w="2257"/>
            <w:shd w:fill="F2F6FC" w:val="clear"/>
          </w:tcPr>
          <w:p>
            <w:r>
              <w:rPr>
                <w:rFonts w:ascii="Arial" w:hAnsi="Arial"/>
                <w:sz w:val="18"/>
              </w:rPr>
              <w:t>Standards/methodologies used</w:t>
            </w:r>
          </w:p>
        </w:tc>
        <w:tc>
          <w:tcPr>
            <w:tcW w:type="dxa" w:w="2257"/>
            <w:shd w:fill="F2F6FC" w:val="clear"/>
          </w:tcPr>
          <w:p>
            <w:r>
              <w:rPr>
                <w:rFonts w:ascii="Arial" w:hAnsi="Arial"/>
                <w:sz w:val="18"/>
              </w:rPr>
              <w:t>✅ Disclosed</w:t>
            </w:r>
          </w:p>
        </w:tc>
      </w:tr>
      <w:tr>
        <w:tc>
          <w:tcPr>
            <w:tcW w:type="dxa" w:w="2257"/>
          </w:tcPr>
          <w:p>
            <w:r>
              <w:rPr>
                <w:rFonts w:ascii="Arial" w:hAnsi="Arial"/>
                <w:sz w:val="18"/>
              </w:rPr>
              <w:t>IFRS S2</w:t>
            </w:r>
          </w:p>
        </w:tc>
        <w:tc>
          <w:tcPr>
            <w:tcW w:type="dxa" w:w="2257"/>
          </w:tcPr>
          <w:p>
            <w:r>
              <w:rPr>
                <w:rFonts w:ascii="Arial" w:hAnsi="Arial"/>
                <w:sz w:val="18"/>
              </w:rPr>
              <w:t>Para 29(a)(i)</w:t>
            </w:r>
          </w:p>
        </w:tc>
        <w:tc>
          <w:tcPr>
            <w:tcW w:type="dxa" w:w="2257"/>
          </w:tcPr>
          <w:p>
            <w:r>
              <w:rPr>
                <w:rFonts w:ascii="Arial" w:hAnsi="Arial"/>
                <w:sz w:val="18"/>
              </w:rPr>
              <w:t>Absolute gross Scope 1 GHG emissions</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29(b)</w:t>
            </w:r>
          </w:p>
        </w:tc>
        <w:tc>
          <w:tcPr>
            <w:tcW w:type="dxa" w:w="2257"/>
            <w:shd w:fill="F2F6FC" w:val="clear"/>
          </w:tcPr>
          <w:p>
            <w:r>
              <w:rPr>
                <w:rFonts w:ascii="Arial" w:hAnsi="Arial"/>
                <w:sz w:val="18"/>
              </w:rPr>
              <w:t>Amount of change (trend over time)</w:t>
            </w:r>
          </w:p>
        </w:tc>
        <w:tc>
          <w:tcPr>
            <w:tcW w:type="dxa" w:w="2257"/>
            <w:shd w:fill="F2F6FC" w:val="clear"/>
          </w:tcPr>
          <w:p>
            <w:r>
              <w:rPr>
                <w:rFonts w:ascii="Arial" w:hAnsi="Arial"/>
                <w:sz w:val="18"/>
              </w:rPr>
              <w:t>✅ Disclosed</w:t>
            </w:r>
          </w:p>
        </w:tc>
      </w:tr>
      <w:tr>
        <w:tc>
          <w:tcPr>
            <w:tcW w:type="dxa" w:w="2257"/>
          </w:tcPr>
          <w:p>
            <w:r>
              <w:rPr>
                <w:rFonts w:ascii="Arial" w:hAnsi="Arial"/>
                <w:sz w:val="18"/>
              </w:rPr>
              <w:t>IFRS S2</w:t>
            </w:r>
          </w:p>
        </w:tc>
        <w:tc>
          <w:tcPr>
            <w:tcW w:type="dxa" w:w="2257"/>
          </w:tcPr>
          <w:p>
            <w:r>
              <w:rPr>
                <w:rFonts w:ascii="Arial" w:hAnsi="Arial"/>
                <w:sz w:val="18"/>
              </w:rPr>
              <w:t>Para 29(c)</w:t>
            </w:r>
          </w:p>
        </w:tc>
        <w:tc>
          <w:tcPr>
            <w:tcW w:type="dxa" w:w="2257"/>
          </w:tcPr>
          <w:p>
            <w:r>
              <w:rPr>
                <w:rFonts w:ascii="Arial" w:hAnsi="Arial"/>
                <w:sz w:val="18"/>
              </w:rPr>
              <w:t>Measurement approach</w:t>
            </w:r>
          </w:p>
        </w:tc>
        <w:tc>
          <w:tcPr>
            <w:tcW w:type="dxa" w:w="2257"/>
          </w:tcPr>
          <w:p>
            <w:r>
              <w:rPr>
                <w:rFonts w:ascii="Arial" w:hAnsi="Arial"/>
                <w:sz w:val="18"/>
              </w:rPr>
              <w: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DR E1-6.44</w:t>
            </w:r>
          </w:p>
        </w:tc>
        <w:tc>
          <w:tcPr>
            <w:tcW w:type="dxa" w:w="2257"/>
            <w:shd w:fill="F2F6FC" w:val="clear"/>
          </w:tcPr>
          <w:p>
            <w:r>
              <w:rPr>
                <w:rFonts w:ascii="Arial" w:hAnsi="Arial"/>
                <w:sz w:val="18"/>
              </w:rPr>
              <w:t>Gross Scope 1 GHG emissions</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AR 39(a)</w:t>
            </w:r>
          </w:p>
        </w:tc>
        <w:tc>
          <w:tcPr>
            <w:tcW w:type="dxa" w:w="2257"/>
          </w:tcPr>
          <w:p>
            <w:r>
              <w:rPr>
                <w:rFonts w:ascii="Arial" w:hAnsi="Arial"/>
                <w:sz w:val="18"/>
              </w:rPr>
              <w:t>GHG Protocol Corporate Standard applied</w:t>
            </w:r>
          </w:p>
        </w:tc>
        <w:tc>
          <w:tcPr>
            <w:tcW w:type="dxa" w:w="2257"/>
          </w:tcPr>
          <w:p>
            <w:r>
              <w:rPr>
                <w:rFonts w:ascii="Arial" w:hAnsi="Arial"/>
                <w:sz w:val="18"/>
              </w:rPr>
              <w:t>✅ Disclosed</w:t>
            </w:r>
          </w:p>
        </w:tc>
      </w:tr>
      <w:tr>
        <w:tc>
          <w:tcPr>
            <w:tcW w:type="dxa" w:w="2257"/>
            <w:shd w:fill="F2F6FC" w:val="clear"/>
          </w:tcPr>
          <w:p>
            <w:r>
              <w:rPr>
                <w:rFonts w:ascii="Arial" w:hAnsi="Arial"/>
                <w:sz w:val="18"/>
              </w:rPr>
              <w:t>ESRS E1</w:t>
            </w:r>
          </w:p>
        </w:tc>
        <w:tc>
          <w:tcPr>
            <w:tcW w:type="dxa" w:w="2257"/>
            <w:shd w:fill="F2F6FC" w:val="clear"/>
          </w:tcPr>
          <w:p>
            <w:r>
              <w:rPr>
                <w:rFonts w:ascii="Arial" w:hAnsi="Arial"/>
                <w:sz w:val="18"/>
              </w:rPr>
              <w:t>AR 39(c)</w:t>
            </w:r>
          </w:p>
        </w:tc>
        <w:tc>
          <w:tcPr>
            <w:tcW w:type="dxa" w:w="2257"/>
            <w:shd w:fill="F2F6FC" w:val="clear"/>
          </w:tcPr>
          <w:p>
            <w:r>
              <w:rPr>
                <w:rFonts w:ascii="Arial" w:hAnsi="Arial"/>
                <w:sz w:val="18"/>
              </w:rPr>
              <w:t>CO₂, CH₄, N₂O included</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AR 39(d)</w:t>
            </w:r>
          </w:p>
        </w:tc>
        <w:tc>
          <w:tcPr>
            <w:tcW w:type="dxa" w:w="2257"/>
          </w:tcPr>
          <w:p>
            <w:r>
              <w:rPr>
                <w:rFonts w:ascii="Arial" w:hAnsi="Arial"/>
                <w:sz w:val="18"/>
              </w:rPr>
              <w:t>IPCC AR6 GWP values used</w:t>
            </w:r>
          </w:p>
        </w:tc>
        <w:tc>
          <w:tcPr>
            <w:tcW w:type="dxa" w:w="2257"/>
          </w:tcPr>
          <w:p>
            <w:r>
              <w:rPr>
                <w:rFonts w:ascii="Arial" w:hAnsi="Arial"/>
                <w:sz w:val="18"/>
              </w:rPr>
              <w:t>✅ Disclosed</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GRK Langsung</w:t>
            </w:r>
          </w:p>
        </w:tc>
        <w:tc>
          <w:tcPr>
            <w:tcW w:type="dxa" w:w="2257"/>
            <w:shd w:fill="F2F6FC" w:val="clear"/>
          </w:tcPr>
          <w:p>
            <w:r>
              <w:rPr>
                <w:rFonts w:ascii="Arial" w:hAnsi="Arial"/>
                <w:sz w:val="18"/>
              </w:rPr>
              <w:t>Emisi Lingkup 1 (tCO₂e)</w:t>
            </w:r>
          </w:p>
        </w:tc>
        <w:tc>
          <w:tcPr>
            <w:tcW w:type="dxa" w:w="2257"/>
            <w:shd w:fill="F2F6FC" w:val="clear"/>
          </w:tcPr>
          <w:p>
            <w:r>
              <w:rPr>
                <w:rFonts w:ascii="Arial" w:hAnsi="Arial"/>
                <w:sz w:val="18"/>
              </w:rPr>
              <w:t>✅ Disclosed</w:t>
            </w:r>
          </w:p>
        </w:tc>
      </w:tr>
    </w:tbl>
    <w:p>
      <w:r>
        <w:rPr>
          <w:rFonts w:ascii="Arial" w:hAnsi="Arial"/>
          <w:i/>
          <w:sz w:val="16"/>
        </w:rPr>
        <w:t>Source: Status: ✅ = Fully disclosed; ⚠️ = Partial disclosure; ❌ = Not disclosed; N/A = Not applicable.</w:t>
      </w:r>
    </w:p>
    <w:p/>
    <w:p>
      <w:pPr>
        <w:spacing w:after="160" w:line="276" w:lineRule="auto"/>
        <w:jc w:val="both"/>
      </w:pPr>
      <w:r>
        <w:rPr>
          <w:rFonts w:ascii="Arial" w:hAnsi="Arial"/>
          <w:i/>
          <w:color w:val="646464"/>
          <w:sz w:val="18"/>
        </w:rPr>
        <w:t>[Chart: Scope 1 Emissions by Source (2024) — matplotlib layer not installed]</w:t>
      </w:r>
    </w:p>
    <w:p>
      <w:pPr>
        <w:spacing w:after="160" w:line="276" w:lineRule="auto"/>
        <w:jc w:val="both"/>
      </w:pPr>
      <w:r>
        <w:rPr>
          <w:rFonts w:ascii="Arial" w:hAnsi="Arial"/>
          <w:i/>
          <w:color w:val="646464"/>
          <w:sz w:val="18"/>
        </w:rPr>
        <w:t>[Chart: Scope 1 Emissions: Year-over-Year Comparison — matplotlib layer not installed]</w:t>
      </w:r>
    </w:p>
    <w:p>
      <w:pPr>
        <w:spacing w:after="160" w:line="276" w:lineRule="auto"/>
        <w:jc w:val="both"/>
      </w:pPr>
      <w:r>
        <w:rPr>
          <w:rFonts w:ascii="Arial" w:hAnsi="Arial"/>
          <w:i/>
          <w:color w:val="646464"/>
          <w:sz w:val="18"/>
        </w:rPr>
        <w:t>[Chart: Top 10 Emitting Facilities — Scope 1 (2024) — matplotlib layer not installed]</w:t>
      </w:r>
    </w:p>
    <w:p>
      <w:pPr>
        <w:spacing w:after="160" w:line="276" w:lineRule="auto"/>
        <w:jc w:val="both"/>
      </w:pPr>
      <w:r>
        <w:rPr>
          <w:rFonts w:ascii="Arial" w:hAnsi="Arial"/>
          <w:i/>
          <w:color w:val="646464"/>
          <w:sz w:val="18"/>
        </w:rPr>
        <w:t>[Chart: Scope 1 YoY Change: Institution vs. Peers — matplotlib layer not installed]</w:t>
      </w:r>
    </w:p>
    <w:p/>
    <w:p>
      <w:r>
        <w:rPr>
          <w:b/>
          <w:color w:val="4A7AB5"/>
          <w:sz w:val="24"/>
        </w:rPr>
        <w:t>Diagnostic Analysis</w:t>
      </w:r>
    </w:p>
    <w:p>
      <w:pPr>
        <w:spacing w:after="160" w:line="276" w:lineRule="auto"/>
        <w:jc w:val="both"/>
      </w:pPr>
      <w:r>
        <w:rPr>
          <w:rFonts w:ascii="Arial" w:hAnsi="Arial"/>
          <w:sz w:val="22"/>
        </w:rPr>
        <w:t>Tren kenaikan Scope 1 disebabkan oleh dua faktor struktural: (1) ekspansi jaringan cabang sebanyak 14 lokasi pada 2024 yang masing-masing memerlukan genset diesel untuk kepatuhan business continuity per standar OJK, dan (2) peningkatan frekuensi pemadaman listrik sebesar 23% di Q2-Q3 2024 yang memaksa runtime genset lebih tinggi. Konsumsi gas alam stabil (+0.06%), menunjukkan bahwa diesel adalah satu-satunya driver pertumbuhan emisi. Konsentrasi 64.7% emisi pada diesel menciptakan exposure tinggi terhadap volatilitas harga BBM dan risiko regulasi carbon pricing.</w:t>
      </w:r>
    </w:p>
    <w:p>
      <w:r>
        <w:rPr>
          <w:b/>
          <w:sz w:val="22"/>
        </w:rPr>
        <w:t>Root Causes:</w:t>
      </w:r>
    </w:p>
    <w:p>
      <w:pPr>
        <w:spacing w:after="160" w:line="276" w:lineRule="auto"/>
        <w:jc w:val="both"/>
      </w:pPr>
      <w:r>
        <w:rPr>
          <w:rFonts w:ascii="Arial" w:hAnsi="Arial"/>
          <w:sz w:val="22"/>
        </w:rPr>
        <w:t>• Ekspansi operasional: 14 cabang baru pada 2024, masing-masing dengan genset diesel 50-100 kVA untuk backup power compliance</w:t>
      </w:r>
    </w:p>
    <w:p>
      <w:pPr>
        <w:spacing w:after="160" w:line="276" w:lineRule="auto"/>
        <w:jc w:val="both"/>
      </w:pPr>
      <w:r>
        <w:rPr>
          <w:rFonts w:ascii="Arial" w:hAnsi="Arial"/>
          <w:sz w:val="22"/>
        </w:rPr>
        <w:t>• Ketergantungan genset: 23% peningkatan frekuensi pemadaman listrik di Q2-Q3 2024 vs 2023, meningkatkan runtime genset dari rata-rata 120 jam/tahun menjadi 148 jam/tahun per fasilitas</w:t>
      </w:r>
    </w:p>
    <w:p>
      <w:pPr>
        <w:spacing w:after="160" w:line="276" w:lineRule="auto"/>
        <w:jc w:val="both"/>
      </w:pPr>
      <w:r>
        <w:rPr>
          <w:rFonts w:ascii="Arial" w:hAnsi="Arial"/>
          <w:sz w:val="22"/>
        </w:rPr>
        <w:t>• Infrastruktur legacy: 3 dari 10 fasilitas tertinggi (FAC-0193, FAC-0191, FAC-0181) tidak memiliki akses gas alam, 100% bergantung pada diesel</w:t>
      </w:r>
    </w:p>
    <w:p>
      <w:pPr>
        <w:spacing w:after="160" w:line="276" w:lineRule="auto"/>
        <w:jc w:val="both"/>
      </w:pPr>
      <w:r>
        <w:rPr>
          <w:rFonts w:ascii="Arial" w:hAnsi="Arial"/>
          <w:sz w:val="22"/>
        </w:rPr>
        <w:t>• Tidak ada renewable backup: Zero fasilitas dengan solar+battery system untuk mengurangi ketergantungan genset diesel</w:t>
      </w:r>
    </w:p>
    <w:p>
      <w:r>
        <w:rPr>
          <w:b/>
          <w:sz w:val="22"/>
        </w:rPr>
        <w:t>Risk Implications:</w:t>
      </w:r>
    </w:p>
    <w:p>
      <w:pPr>
        <w:spacing w:after="160" w:line="276" w:lineRule="auto"/>
        <w:jc w:val="both"/>
      </w:pPr>
      <w:r>
        <w:rPr>
          <w:rFonts w:ascii="Arial" w:hAnsi="Arial"/>
          <w:sz w:val="22"/>
        </w:rPr>
        <w:t>• Risiko regulasi: Jika Indonesia menerapkan carbon tax IDR 75/kgCO₂e (sesuai draft RUU Carbon Pricing), biaya tambahan Scope 1 mencapai IDR 255 juta/tahun, meningkat 35% jika emisi diesel terus tumbuh 3.66% annually</w:t>
      </w:r>
    </w:p>
    <w:p>
      <w:pPr>
        <w:spacing w:after="160" w:line="276" w:lineRule="auto"/>
        <w:jc w:val="both"/>
      </w:pPr>
      <w:r>
        <w:rPr>
          <w:rFonts w:ascii="Arial" w:hAnsi="Arial"/>
          <w:sz w:val="22"/>
        </w:rPr>
        <w:t>• Risiko reputasi: Gap dengan peers (DBS -12%, BRI -3.2%) akan terlihat dalam peer benchmarking oleh investor institusional dan ESG rating agencies, berpotensi menurunkan MSCI rating dari current level</w:t>
      </w:r>
    </w:p>
    <w:p>
      <w:pPr>
        <w:spacing w:after="160" w:line="276" w:lineRule="auto"/>
        <w:jc w:val="both"/>
      </w:pPr>
      <w:r>
        <w:rPr>
          <w:rFonts w:ascii="Arial" w:hAnsi="Arial"/>
          <w:sz w:val="22"/>
        </w:rPr>
        <w:t>• Risiko operasional: Over-reliance pada diesel menciptakan exposure terhadap volatilitas harga BBM (naik 18% pada 2023-2024) dan risiko supply disruption di daerah remote</w:t>
      </w:r>
    </w:p>
    <w:p/>
    <w:p>
      <w:r>
        <w:rPr>
          <w:b/>
          <w:color w:val="1B5E20"/>
          <w:sz w:val="24"/>
        </w:rPr>
        <w:t>⚡ Priority Actions</w:t>
      </w:r>
    </w:p>
    <w:p>
      <w:r>
        <w:rPr>
          <w:b/>
          <w:sz w:val="22"/>
        </w:rPr>
        <w:t>🔴 1. Install solar PV (500 kWp total) + battery storage (1 MWh) at top 5 diesel-intensive facilities (FAC-0197, FAC-0198, FAC-0200, FAC-0196, FAC-0199) to reduce genset runtime by 60-70%</w:t>
      </w:r>
      <w:r>
        <w:rPr>
          <w:sz w:val="22"/>
        </w:rPr>
        <w:t xml:space="preserve"> (Q3 2025 (design), Q1 2026 (commissioning))</w:t>
      </w:r>
    </w:p>
    <w:p>
      <w:pPr>
        <w:spacing w:after="160" w:line="276" w:lineRule="auto"/>
        <w:jc w:val="both"/>
      </w:pPr>
      <w:r>
        <w:rPr>
          <w:rFonts w:ascii="Arial" w:hAnsi="Arial"/>
          <w:sz w:val="22"/>
        </w:rPr>
        <w:t xml:space="preserve">    → Expected: 450 tCO₂e annual reduction (13.2% of total Scope 1), IDR 720 million/year diesel cost savings</w:t>
      </w:r>
    </w:p>
    <w:p>
      <w:pPr>
        <w:spacing w:after="160" w:line="276" w:lineRule="auto"/>
        <w:jc w:val="both"/>
      </w:pPr>
      <w:r>
        <w:rPr>
          <w:rFonts w:ascii="Arial" w:hAnsi="Arial"/>
          <w:i/>
          <w:color w:val="646464"/>
          <w:sz w:val="18"/>
        </w:rPr>
        <w:t xml:space="preserve">    → Ref: BRI Green Network — solar panel deployment at branches achieved measurable emission reductions; BRILiaN Tower green building saved 19.49% electricity</w:t>
      </w:r>
    </w:p>
    <w:p>
      <w:r>
        <w:rPr>
          <w:b/>
          <w:sz w:val="22"/>
        </w:rPr>
        <w:t>🔴 2. Pilot EV fleet conversion: Replace 20% of operational vehicles (50 units) in Jakarta region with electric vehicles, install charging infrastructure at 10 high-traffic branches</w:t>
      </w:r>
      <w:r>
        <w:rPr>
          <w:sz w:val="22"/>
        </w:rPr>
        <w:t xml:space="preserve"> (Q4 2025 (procurement), Q1 2026 (deployment))</w:t>
      </w:r>
    </w:p>
    <w:p>
      <w:pPr>
        <w:spacing w:after="160" w:line="276" w:lineRule="auto"/>
        <w:jc w:val="both"/>
      </w:pPr>
      <w:r>
        <w:rPr>
          <w:rFonts w:ascii="Arial" w:hAnsi="Arial"/>
          <w:sz w:val="22"/>
        </w:rPr>
        <w:t xml:space="preserve">    → Expected: 120 tCO₂e annual reduction from vehicle fleet, 15% reduction in diesel vehicle emissions</w:t>
      </w:r>
    </w:p>
    <w:p>
      <w:pPr>
        <w:spacing w:after="160" w:line="276" w:lineRule="auto"/>
        <w:jc w:val="both"/>
      </w:pPr>
      <w:r>
        <w:rPr>
          <w:rFonts w:ascii="Arial" w:hAnsi="Arial"/>
          <w:i/>
          <w:color w:val="646464"/>
          <w:sz w:val="18"/>
        </w:rPr>
        <w:t xml:space="preserve">    → Ref: BRI deployed 118 EV cars + 150 EV motorcycles; DBS Group implemented comprehensive EV charging infrastructure</w:t>
      </w:r>
    </w:p>
    <w:p>
      <w:r>
        <w:rPr>
          <w:b/>
          <w:sz w:val="22"/>
        </w:rPr>
        <w:t>🔴 3. Engage third-party verification provider for limited assurance on Scope 1+2 emissions (2025 reporting cycle), progressing to reasonable assurance by 2027 to support SBTi submission</w:t>
      </w:r>
      <w:r>
        <w:rPr>
          <w:sz w:val="22"/>
        </w:rPr>
        <w:t xml:space="preserve"> (Q1 2025 (provider selection), Q3 2025 (assurance complete))</w:t>
      </w:r>
    </w:p>
    <w:p>
      <w:pPr>
        <w:spacing w:after="160" w:line="276" w:lineRule="auto"/>
        <w:jc w:val="both"/>
      </w:pPr>
      <w:r>
        <w:rPr>
          <w:rFonts w:ascii="Arial" w:hAnsi="Arial"/>
          <w:sz w:val="22"/>
        </w:rPr>
        <w:t xml:space="preserve">    → Expected: Enhanced ESG rating credibility, prerequisite for SBTi commitment, improved investor confidence</w:t>
      </w:r>
    </w:p>
    <w:p>
      <w:pPr>
        <w:spacing w:after="160" w:line="276" w:lineRule="auto"/>
        <w:jc w:val="both"/>
      </w:pPr>
      <w:r>
        <w:rPr>
          <w:rFonts w:ascii="Arial" w:hAnsi="Arial"/>
          <w:i/>
          <w:color w:val="646464"/>
          <w:sz w:val="18"/>
        </w:rPr>
        <w:t xml:space="preserve">    → Ref: DBS Group (MSCI AA, CDP A-) and BRI (SBTi committed) both leverage third-party assured emissions data</w:t>
      </w:r>
    </w:p>
    <w:p>
      <w:r>
        <w:rPr>
          <w:b/>
          <w:sz w:val="22"/>
        </w:rPr>
        <w:t>🟡 4. Pursue GBCI/LEED green building certification for top 10 emitting facilities, implement BEMS (Building Energy Management System) with automated HVAC scheduling, LED retrofits, elevator optimization</w:t>
      </w:r>
      <w:r>
        <w:rPr>
          <w:sz w:val="22"/>
        </w:rPr>
        <w:t xml:space="preserve"> (Q4 2025 (initiation), Q2 2027 (first 3 facilities certified))</w:t>
      </w:r>
    </w:p>
    <w:p>
      <w:pPr>
        <w:spacing w:after="160" w:line="276" w:lineRule="auto"/>
        <w:jc w:val="both"/>
      </w:pPr>
      <w:r>
        <w:rPr>
          <w:rFonts w:ascii="Arial" w:hAnsi="Arial"/>
          <w:sz w:val="22"/>
        </w:rPr>
        <w:t xml:space="preserve">    → Expected: 15-20% energy intensity reduction per facility, 180-240 tCO₂e reduction across 10 facilities over 3 years</w:t>
      </w:r>
    </w:p>
    <w:p>
      <w:pPr>
        <w:spacing w:after="160" w:line="276" w:lineRule="auto"/>
        <w:jc w:val="both"/>
      </w:pPr>
      <w:r>
        <w:rPr>
          <w:rFonts w:ascii="Arial" w:hAnsi="Arial"/>
          <w:i/>
          <w:color w:val="646464"/>
          <w:sz w:val="18"/>
        </w:rPr>
        <w:t xml:space="preserve">    → Ref: BRI BRILiaN Tower — GBCI Gold certification achieved 19.49% electricity savings</w:t>
      </w:r>
    </w:p>
    <w:p/>
    <w:p>
      <w:r>
        <w:rPr>
          <w:i/>
          <w:color w:val="3D6094"/>
          <w:sz w:val="18"/>
        </w:rPr>
        <w:t>Framework references: GRI 305-1a; GRI 305-1b; GRI 305-1e; GRI 305-1f; GRI 305-1g; IFRS S2 Para 29(a)(i); IFRS S2 Para 29(b); IFRS S2 Para 29(c); ESRS E1-6 DR E1-6.44; ESRS E1 AR 39(a); ESRS E1 AR 39(c); ESRS E1 AR 39(d); OJK PSPK — Emisi GRK Langsung</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Emission factors sourced from Indonesian Ministry of Energy and Mineral Resources (ESDM) 2023 National Emission Factor Database.</w:t>
      </w:r>
    </w:p>
    <w:p>
      <w:pPr>
        <w:spacing w:after="160" w:line="276" w:lineRule="auto"/>
        <w:jc w:val="both"/>
      </w:pPr>
      <w:r>
        <w:rPr>
          <w:rFonts w:ascii="Arial" w:hAnsi="Arial"/>
          <w:i/>
          <w:color w:val="646464"/>
          <w:sz w:val="18"/>
        </w:rPr>
        <w:t>Global Warming Potential (GWP) values follow IPCC Sixth Assessment Report (AR6): CH₄ = 29.8, N₂O = 273.0.</w:t>
      </w:r>
    </w:p>
    <w:p>
      <w:pPr>
        <w:spacing w:after="160" w:line="276" w:lineRule="auto"/>
        <w:jc w:val="both"/>
      </w:pPr>
      <w:r>
        <w:rPr>
          <w:rFonts w:ascii="Arial" w:hAnsi="Arial"/>
          <w:i/>
          <w:color w:val="646464"/>
          <w:sz w:val="18"/>
        </w:rPr>
        <w:t>Operational control consolidation approach applied per GHG Protocol Corporate Standard (2015).</w:t>
      </w:r>
    </w:p>
    <w:p>
      <w:pPr>
        <w:spacing w:after="160" w:line="276" w:lineRule="auto"/>
        <w:jc w:val="both"/>
      </w:pPr>
      <w:r>
        <w:rPr>
          <w:rFonts w:ascii="Arial" w:hAnsi="Arial"/>
          <w:i/>
          <w:color w:val="646464"/>
          <w:sz w:val="18"/>
        </w:rPr>
        <w:t>Data Quality Score 1 indicates direct metering with monthly reconciliation against supplier invoices (highest quality per PCAF methodology).</w:t>
      </w:r>
    </w:p>
    <w:p>
      <w:pPr>
        <w:pStyle w:val="Heading2"/>
        <w:keepNext/>
        <w:spacing w:before="360" w:after="160"/>
      </w:pPr>
      <w:r>
        <w:rPr>
          <w:rFonts w:ascii="Arial" w:hAnsi="Arial"/>
          <w:b/>
          <w:color w:val="3D6094"/>
          <w:sz w:val="28"/>
        </w:rPr>
        <w:t>1.2 Energy Indirect GHG Emissions — Scope 2</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b/>
                <w:color w:val="1B3A6B"/>
                <w:sz w:val="40"/>
              </w:rPr>
              <w:t>44,614</w:t>
            </w:r>
            <w:r>
              <w:rPr>
                <w:sz w:val="18"/>
              </w:rPr>
              <w:t xml:space="preserve"> tCO₂e</w:t>
            </w:r>
            <w:r>
              <w:rPr>
                <w:b/>
                <w:color w:val="4CAF50"/>
                <w:sz w:val="20"/>
              </w:rPr>
              <w:br/>
              <w:t>+0.03%</w:t>
            </w:r>
          </w:p>
        </w:tc>
        <w:tc>
          <w:tcPr>
            <w:tcW w:type="dxa" w:w="2257"/>
          </w:tcPr>
          <w:p>
            <w:pPr>
              <w:jc w:val="center"/>
            </w:pPr>
            <w:r>
              <w:rPr>
                <w:b/>
                <w:color w:val="1B3A6B"/>
                <w:sz w:val="40"/>
              </w:rPr>
              <w:t>44,613</w:t>
            </w:r>
            <w:r>
              <w:rPr>
                <w:sz w:val="18"/>
              </w:rPr>
              <w:t xml:space="preserve"> tCO₂e</w:t>
            </w:r>
            <w:r>
              <w:rPr>
                <w:b/>
                <w:color w:val="4CAF50"/>
                <w:sz w:val="20"/>
              </w:rPr>
              <w:br/>
              <w:t>+0.03%</w:t>
            </w:r>
          </w:p>
        </w:tc>
        <w:tc>
          <w:tcPr>
            <w:tcW w:type="dxa" w:w="2257"/>
          </w:tcPr>
          <w:p>
            <w:pPr>
              <w:jc w:val="center"/>
            </w:pPr>
            <w:r>
              <w:rPr>
                <w:b/>
                <w:color w:val="1B3A6B"/>
                <w:sz w:val="40"/>
              </w:rPr>
              <w:t>0</w:t>
            </w:r>
            <w:r>
              <w:rPr>
                <w:sz w:val="18"/>
              </w:rPr>
              <w:t xml:space="preserve"> %</w:t>
            </w:r>
            <w:r>
              <w:rPr>
                <w:b/>
                <w:color w:val="F44336"/>
                <w:sz w:val="20"/>
              </w:rPr>
              <w:br/>
              <w:t>vs. DBS 62%</w:t>
            </w:r>
          </w:p>
        </w:tc>
        <w:tc>
          <w:tcPr>
            <w:tcW w:type="dxa" w:w="2257"/>
          </w:tcPr>
          <w:p>
            <w:pPr>
              <w:jc w:val="center"/>
            </w:pPr>
            <w:r>
              <w:rPr>
                <w:b/>
                <w:color w:val="1B3A6B"/>
                <w:sz w:val="40"/>
              </w:rPr>
              <w:t>0.7886</w:t>
            </w:r>
            <w:r>
              <w:rPr>
                <w:sz w:val="18"/>
              </w:rPr>
              <w:t xml:space="preserve"> kgCO₂/kWh</w:t>
            </w:r>
            <w:r>
              <w:rPr>
                <w:b/>
                <w:color w:val="4CAF50"/>
                <w:sz w:val="20"/>
              </w:rPr>
              <w:br/>
              <w:t>PLN 2023</w:t>
            </w:r>
          </w:p>
        </w:tc>
      </w:tr>
      <w:tr>
        <w:tc>
          <w:tcPr>
            <w:tcW w:type="dxa" w:w="2257"/>
          </w:tcPr>
          <w:p>
            <w:pPr>
              <w:jc w:val="center"/>
            </w:pPr>
            <w:r>
              <w:rPr>
                <w:color w:val="646464"/>
                <w:sz w:val="18"/>
              </w:rPr>
              <w:t>Scope 2 Location-Based</w:t>
            </w:r>
          </w:p>
        </w:tc>
        <w:tc>
          <w:tcPr>
            <w:tcW w:type="dxa" w:w="2257"/>
          </w:tcPr>
          <w:p>
            <w:pPr>
              <w:jc w:val="center"/>
            </w:pPr>
            <w:r>
              <w:rPr>
                <w:color w:val="646464"/>
                <w:sz w:val="18"/>
              </w:rPr>
              <w:t>Scope 2 Market-Based</w:t>
            </w:r>
          </w:p>
        </w:tc>
        <w:tc>
          <w:tcPr>
            <w:tcW w:type="dxa" w:w="2257"/>
          </w:tcPr>
          <w:p>
            <w:pPr>
              <w:jc w:val="center"/>
            </w:pPr>
            <w:r>
              <w:rPr>
                <w:color w:val="646464"/>
                <w:sz w:val="18"/>
              </w:rPr>
              <w:t>Renewable Energy Coverage</w:t>
            </w:r>
          </w:p>
        </w:tc>
        <w:tc>
          <w:tcPr>
            <w:tcW w:type="dxa" w:w="2257"/>
          </w:tcPr>
          <w:p>
            <w:pPr>
              <w:jc w:val="center"/>
            </w:pPr>
            <w:r>
              <w:rPr>
                <w:color w:val="646464"/>
                <w:sz w:val="18"/>
              </w:rPr>
              <w:t>Grid Emission Factor</w:t>
            </w:r>
          </w:p>
        </w:tc>
      </w:tr>
    </w:tbl>
    <w:p/>
    <w:tbl>
      <w:tblPr>
        <w:tblW w:type="auto" w:w="0"/>
        <w:jc w:val="center"/>
        <w:tblLook w:firstColumn="1" w:firstRow="1" w:lastColumn="0" w:lastRow="0" w:noHBand="0" w:noVBand="1" w:val="04A0"/>
      </w:tblPr>
      <w:tblGrid>
        <w:gridCol w:w="9029"/>
      </w:tblGrid>
      <w:tr>
        <w:tc>
          <w:tcPr>
            <w:tcW w:type="dxa" w:w="9029"/>
            <w:shd w:fill="FFF3E0" w:val="clear"/>
          </w:tcPr>
          <w:p>
            <w:r>
              <w:rPr>
                <w:b/>
                <w:sz w:val="18"/>
              </w:rPr>
              <w:t>⚠️ KEY INSIGHT</w:t>
            </w:r>
          </w:p>
          <w:p>
            <w:r>
              <w:rPr>
                <w:b/>
                <w:sz w:val="22"/>
              </w:rPr>
              <w:t>Scope 2 flat at 44,614 tCO₂e while DBS cut 12% via 62% renewable — zero RE procurement is critical gap</w:t>
            </w:r>
          </w:p>
          <w:p>
            <w:r>
              <w:rPr>
                <w:sz w:val="20"/>
              </w:rPr>
              <w:t>The institution's Scope 2 emissions remained essentially unchanged year-over-year, with 0% renewable energy coverage. This contrasts sharply with regional leaders like DBS (62% renewable, -12% YoY) and BRI (19.49% energy savings via efficiency). Without renewable procurement or efficiency programs, the institution risks falling further behind peers as investors and regulators increasingly scrutinize climate action.</w:t>
            </w:r>
          </w:p>
        </w:tc>
      </w:tr>
    </w:tbl>
    <w:p/>
    <w:p>
      <w:pPr>
        <w:spacing w:after="160" w:line="276" w:lineRule="auto"/>
        <w:jc w:val="both"/>
      </w:pPr>
      <w:r>
        <w:rPr>
          <w:rFonts w:ascii="Arial" w:hAnsi="Arial"/>
          <w:sz w:val="22"/>
        </w:rPr>
        <w:t>For the reporting period ending December 31, 2024, the institution's Scope 2 energy indirect greenhouse gas emissions totaled 44,613.876 tCO₂e under the location-based method and 44,612.518 tCO₂e under the market-based method. This dual reporting approach is mandated by the GHG Protocol Scope 2 Guidance (2015) and aligns with disclosure requirements under GRI 305-2, IFRS S2 Paragraph 29(a)(ii), ESRS E1-6 DR E1-6.46, and OJK PSPK regulations. The minimal difference of 1.358 tCO₂e between the two methods indicates that the institution has not yet procured contractual instruments such as Renewable Energy Certificates (RECs) or entered into Power Purchase Agreements (PPAs) with renewable energy providers for the current reporting period.</w:t>
      </w:r>
    </w:p>
    <w:p>
      <w:pPr>
        <w:spacing w:after="160" w:line="276" w:lineRule="auto"/>
        <w:jc w:val="both"/>
      </w:pPr>
      <w:r>
        <w:rPr>
          <w:rFonts w:ascii="Arial" w:hAnsi="Arial"/>
          <w:i/>
          <w:sz w:val="22"/>
        </w:rPr>
        <w:t>The location-based method reflects emissions from purchased electricity using the average grid emission factor for the Indonesian electricity system. The institution applied the PLN 2023 grid emission factor of 0.7886 kgCO₂/kWh, sourced from PT PLN (Persero)'s published sustainability data. This factor represents the weighted average carbon intensity of Indonesia's national grid, which remains heavily reliant on coal-fired generation. The market-based method, by contrast, reflects emissions from electricity that the organization has purposefully chosen through contractual instruments. In the absence of such instruments, the market-based figure defaults to the residual mix or, where unavailable, the location-based factor. For 2024, the institution did not apply any RECs or renewable PPAs, resulting in near-identical figures under both methods.</w:t>
      </w:r>
    </w:p>
    <w:p>
      <w:pPr>
        <w:spacing w:after="160" w:line="276" w:lineRule="auto"/>
        <w:jc w:val="both"/>
      </w:pPr>
      <w:r>
        <w:rPr>
          <w:rFonts w:ascii="Arial" w:hAnsi="Arial"/>
          <w:sz w:val="22"/>
        </w:rPr>
        <w:t>Scope 2 emissions decreased by 0.03% year-over-year, from 44,599.440 tCO₂e (location-based) in 2023 to 44,613.876 tCO₂e in 2024. This marginal increase of 14.436 tCO₂e represents operational stability rather than significant expansion or reduction in electricity consumption. The institution's Scope 2 emissions intensity per full-time equivalent employee remained relatively flat, indicating that workforce growth was proportional to energy consumption patterns. However, this stability contrasts sharply with peer institutions that have achieved substantial reductions through renewable energy procurement and energy efficiency programs.</w:t>
      </w:r>
    </w:p>
    <w:p>
      <w:pPr>
        <w:spacing w:after="160" w:line="276" w:lineRule="auto"/>
        <w:jc w:val="both"/>
      </w:pPr>
      <w:r>
        <w:rPr>
          <w:rFonts w:ascii="Arial" w:hAnsi="Arial"/>
          <w:sz w:val="22"/>
        </w:rPr>
        <w:t>The institution has not yet implemented contractual instruments to reduce its market-based Scope 2 emissions. No Renewable Energy Certificates (RECs) were applied during the reporting period, and renewable energy coverage stands at 0%. This represents a significant gap compared to leading regional peers. The absence of renewable procurement strategies limits the institution's ability to demonstrate climate leadership and exposes it to transition risks as Indonesia's energy sector evolves and carbon pricing mechanisms are introduced.</w:t>
      </w:r>
    </w:p>
    <w:p>
      <w:r>
        <w:rPr>
          <w:rFonts w:ascii="Arial" w:hAnsi="Arial"/>
          <w:b/>
          <w:sz w:val="20"/>
        </w:rPr>
        <w:t>Table 1.2.1: Scope 2 Energy Indirect GHG Emissions — Dual Reporting</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Method</w:t>
            </w:r>
          </w:p>
        </w:tc>
        <w:tc>
          <w:tcPr>
            <w:tcW w:type="dxa" w:w="1806"/>
            <w:shd w:fill="1B3A6B" w:val="clear"/>
          </w:tcPr>
          <w:p>
            <w:r>
              <w:rPr>
                <w:rFonts w:ascii="Arial" w:hAnsi="Arial"/>
                <w:b/>
                <w:color w:val="FFFFFF"/>
                <w:sz w:val="18"/>
              </w:rPr>
              <w:t>Scope 2 Emissions (tCO₂e)</w:t>
            </w:r>
          </w:p>
        </w:tc>
        <w:tc>
          <w:tcPr>
            <w:tcW w:type="dxa" w:w="1806"/>
            <w:shd w:fill="1B3A6B" w:val="clear"/>
          </w:tcPr>
          <w:p>
            <w:r>
              <w:rPr>
                <w:rFonts w:ascii="Arial" w:hAnsi="Arial"/>
                <w:b/>
                <w:color w:val="FFFFFF"/>
                <w:sz w:val="18"/>
              </w:rPr>
              <w:t>Prior Year (tCO₂e)</w:t>
            </w:r>
          </w:p>
        </w:tc>
        <w:tc>
          <w:tcPr>
            <w:tcW w:type="dxa" w:w="1806"/>
            <w:shd w:fill="1B3A6B" w:val="clear"/>
          </w:tcPr>
          <w:p>
            <w:r>
              <w:rPr>
                <w:rFonts w:ascii="Arial" w:hAnsi="Arial"/>
                <w:b/>
                <w:color w:val="FFFFFF"/>
                <w:sz w:val="18"/>
              </w:rPr>
              <w:t>Change (%)</w:t>
            </w:r>
          </w:p>
        </w:tc>
        <w:tc>
          <w:tcPr>
            <w:tcW w:type="dxa" w:w="1806"/>
            <w:shd w:fill="1B3A6B" w:val="clear"/>
          </w:tcPr>
          <w:p>
            <w:r>
              <w:rPr>
                <w:rFonts w:ascii="Arial" w:hAnsi="Arial"/>
                <w:b/>
                <w:color w:val="FFFFFF"/>
                <w:sz w:val="18"/>
              </w:rPr>
              <w:t>Grid Emission Factor</w:t>
            </w:r>
          </w:p>
        </w:tc>
      </w:tr>
      <w:tr>
        <w:tc>
          <w:tcPr>
            <w:tcW w:type="dxa" w:w="1806"/>
          </w:tcPr>
          <w:p>
            <w:r>
              <w:rPr>
                <w:rFonts w:ascii="Arial" w:hAnsi="Arial"/>
                <w:sz w:val="18"/>
              </w:rPr>
              <w:t>Location-based</w:t>
            </w:r>
          </w:p>
        </w:tc>
        <w:tc>
          <w:tcPr>
            <w:tcW w:type="dxa" w:w="1806"/>
          </w:tcPr>
          <w:p>
            <w:pPr>
              <w:jc w:val="right"/>
            </w:pPr>
            <w:r>
              <w:rPr>
                <w:rFonts w:ascii="Arial" w:hAnsi="Arial"/>
                <w:sz w:val="18"/>
              </w:rPr>
              <w:t>44,613.876</w:t>
            </w:r>
          </w:p>
        </w:tc>
        <w:tc>
          <w:tcPr>
            <w:tcW w:type="dxa" w:w="1806"/>
          </w:tcPr>
          <w:p>
            <w:pPr>
              <w:jc w:val="right"/>
            </w:pPr>
            <w:r>
              <w:rPr>
                <w:rFonts w:ascii="Arial" w:hAnsi="Arial"/>
                <w:sz w:val="18"/>
              </w:rPr>
              <w:t>44,599.440</w:t>
            </w:r>
          </w:p>
        </w:tc>
        <w:tc>
          <w:tcPr>
            <w:tcW w:type="dxa" w:w="1806"/>
          </w:tcPr>
          <w:p>
            <w:pPr>
              <w:jc w:val="right"/>
            </w:pPr>
            <w:r>
              <w:rPr>
                <w:rFonts w:ascii="Arial" w:hAnsi="Arial"/>
                <w:sz w:val="18"/>
              </w:rPr>
              <w:t>+0.03%</w:t>
            </w:r>
          </w:p>
        </w:tc>
        <w:tc>
          <w:tcPr>
            <w:tcW w:type="dxa" w:w="1806"/>
          </w:tcPr>
          <w:p>
            <w:r>
              <w:rPr>
                <w:rFonts w:ascii="Arial" w:hAnsi="Arial"/>
                <w:sz w:val="18"/>
              </w:rPr>
              <w:t>0.7886 kgCO₂/kWh (PLN 2023)</w:t>
            </w:r>
          </w:p>
        </w:tc>
      </w:tr>
      <w:tr>
        <w:tc>
          <w:tcPr>
            <w:tcW w:type="dxa" w:w="1806"/>
            <w:shd w:fill="F2F6FC" w:val="clear"/>
          </w:tcPr>
          <w:p>
            <w:r>
              <w:rPr>
                <w:rFonts w:ascii="Arial" w:hAnsi="Arial"/>
                <w:sz w:val="18"/>
              </w:rPr>
              <w:t>Market-based</w:t>
            </w:r>
          </w:p>
        </w:tc>
        <w:tc>
          <w:tcPr>
            <w:tcW w:type="dxa" w:w="1806"/>
            <w:shd w:fill="F2F6FC" w:val="clear"/>
          </w:tcPr>
          <w:p>
            <w:pPr>
              <w:jc w:val="right"/>
            </w:pPr>
            <w:r>
              <w:rPr>
                <w:rFonts w:ascii="Arial" w:hAnsi="Arial"/>
                <w:sz w:val="18"/>
              </w:rPr>
              <w:t>44,612.518</w:t>
            </w:r>
          </w:p>
        </w:tc>
        <w:tc>
          <w:tcPr>
            <w:tcW w:type="dxa" w:w="1806"/>
            <w:shd w:fill="F2F6FC" w:val="clear"/>
          </w:tcPr>
          <w:p>
            <w:pPr>
              <w:jc w:val="right"/>
            </w:pPr>
            <w:r>
              <w:rPr>
                <w:rFonts w:ascii="Arial" w:hAnsi="Arial"/>
                <w:sz w:val="18"/>
              </w:rPr>
              <w:t>44,598.118</w:t>
            </w:r>
          </w:p>
        </w:tc>
        <w:tc>
          <w:tcPr>
            <w:tcW w:type="dxa" w:w="1806"/>
            <w:shd w:fill="F2F6FC" w:val="clear"/>
          </w:tcPr>
          <w:p>
            <w:pPr>
              <w:jc w:val="right"/>
            </w:pPr>
            <w:r>
              <w:rPr>
                <w:rFonts w:ascii="Arial" w:hAnsi="Arial"/>
                <w:sz w:val="18"/>
              </w:rPr>
              <w:t>+0.03%</w:t>
            </w:r>
          </w:p>
        </w:tc>
        <w:tc>
          <w:tcPr>
            <w:tcW w:type="dxa" w:w="1806"/>
            <w:shd w:fill="F2F6FC" w:val="clear"/>
          </w:tcPr>
          <w:p>
            <w:r>
              <w:rPr>
                <w:rFonts w:ascii="Arial" w:hAnsi="Arial"/>
                <w:sz w:val="18"/>
              </w:rPr>
              <w:t>0.7886 kgCO₂/kWh (no RECs applied)</w:t>
            </w:r>
          </w:p>
        </w:tc>
      </w:tr>
      <w:tr>
        <w:tc>
          <w:tcPr>
            <w:tcW w:type="dxa" w:w="1806"/>
          </w:tcPr>
          <w:p>
            <w:r>
              <w:rPr>
                <w:rFonts w:ascii="Arial" w:hAnsi="Arial"/>
                <w:sz w:val="18"/>
              </w:rPr>
              <w:t>Difference</w:t>
            </w:r>
          </w:p>
        </w:tc>
        <w:tc>
          <w:tcPr>
            <w:tcW w:type="dxa" w:w="1806"/>
          </w:tcPr>
          <w:p>
            <w:pPr>
              <w:jc w:val="right"/>
            </w:pPr>
            <w:r>
              <w:rPr>
                <w:rFonts w:ascii="Arial" w:hAnsi="Arial"/>
                <w:sz w:val="18"/>
              </w:rPr>
              <w:t>1.358</w:t>
            </w:r>
          </w:p>
        </w:tc>
        <w:tc>
          <w:tcPr>
            <w:tcW w:type="dxa" w:w="1806"/>
          </w:tcPr>
          <w:p>
            <w:pPr>
              <w:jc w:val="right"/>
            </w:pPr>
            <w:r>
              <w:rPr>
                <w:rFonts w:ascii="Arial" w:hAnsi="Arial"/>
                <w:sz w:val="18"/>
              </w:rPr>
              <w:t>1.322</w:t>
            </w:r>
          </w:p>
        </w:tc>
        <w:tc>
          <w:tcPr>
            <w:tcW w:type="dxa" w:w="1806"/>
          </w:tcPr>
          <w:p>
            <w:r>
              <w:rPr>
                <w:rFonts w:ascii="Arial" w:hAnsi="Arial"/>
                <w:sz w:val="18"/>
              </w:rPr>
              <w:t>—</w:t>
            </w:r>
          </w:p>
        </w:tc>
        <w:tc>
          <w:tcPr>
            <w:tcW w:type="dxa" w:w="1806"/>
          </w:tcPr>
          <w:p>
            <w:r>
              <w:rPr>
                <w:rFonts w:ascii="Arial" w:hAnsi="Arial"/>
                <w:sz w:val="18"/>
              </w:rPr>
              <w:t>—</w:t>
            </w:r>
          </w:p>
        </w:tc>
      </w:tr>
    </w:tbl>
    <w:p>
      <w:r>
        <w:rPr>
          <w:rFonts w:ascii="Arial" w:hAnsi="Arial"/>
          <w:i/>
          <w:sz w:val="16"/>
        </w:rPr>
        <w:t>Source: Source: Internal energy consumption data; PLN 2023 grid emission factor. Calculated per GHG Protocol Scope 2 Guidance (2015).</w:t>
      </w:r>
    </w:p>
    <w:p/>
    <w:p>
      <w:r>
        <w:rPr>
          <w:rFonts w:ascii="Arial" w:hAnsi="Arial"/>
          <w:b/>
          <w:sz w:val="20"/>
        </w:rPr>
        <w:t>Table 1.2.2: Framework Cross-Reference — Scope 2 Disclosure Compliance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305-2</w:t>
            </w:r>
          </w:p>
        </w:tc>
        <w:tc>
          <w:tcPr>
            <w:tcW w:type="dxa" w:w="2257"/>
          </w:tcPr>
          <w:p>
            <w:r>
              <w:rPr>
                <w:rFonts w:ascii="Arial" w:hAnsi="Arial"/>
                <w:sz w:val="18"/>
              </w:rPr>
              <w:t>305-2a</w:t>
            </w:r>
          </w:p>
        </w:tc>
        <w:tc>
          <w:tcPr>
            <w:tcW w:type="dxa" w:w="2257"/>
          </w:tcPr>
          <w:p>
            <w:r>
              <w:rPr>
                <w:rFonts w:ascii="Arial" w:hAnsi="Arial"/>
                <w:sz w:val="18"/>
              </w:rPr>
              <w:t>Gross location-based Scope 2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305-2b</w:t>
            </w:r>
          </w:p>
        </w:tc>
        <w:tc>
          <w:tcPr>
            <w:tcW w:type="dxa" w:w="2257"/>
            <w:shd w:fill="F2F6FC" w:val="clear"/>
          </w:tcPr>
          <w:p>
            <w:r>
              <w:rPr>
                <w:rFonts w:ascii="Arial" w:hAnsi="Arial"/>
                <w:sz w:val="18"/>
              </w:rPr>
              <w:t>Gross market-based Scope 2 GHG emissions in metric tons of CO₂ equivalent</w:t>
            </w:r>
          </w:p>
        </w:tc>
        <w:tc>
          <w:tcPr>
            <w:tcW w:type="dxa" w:w="2257"/>
            <w:shd w:fill="F2F6FC" w:val="clear"/>
          </w:tcPr>
          <w:p>
            <w:r>
              <w:rPr>
                <w:rFonts w:ascii="Arial" w:hAnsi="Arial"/>
                <w:sz w:val="18"/>
              </w:rPr>
              <w:t>✅ Disclosed</w:t>
            </w:r>
          </w:p>
        </w:tc>
      </w:tr>
      <w:tr>
        <w:tc>
          <w:tcPr>
            <w:tcW w:type="dxa" w:w="2257"/>
          </w:tcPr>
          <w:p>
            <w:r>
              <w:rPr>
                <w:rFonts w:ascii="Arial" w:hAnsi="Arial"/>
                <w:sz w:val="18"/>
              </w:rPr>
              <w:t>GRI 305-2</w:t>
            </w:r>
          </w:p>
        </w:tc>
        <w:tc>
          <w:tcPr>
            <w:tcW w:type="dxa" w:w="2257"/>
          </w:tcPr>
          <w:p>
            <w:r>
              <w:rPr>
                <w:rFonts w:ascii="Arial" w:hAnsi="Arial"/>
                <w:sz w:val="18"/>
              </w:rPr>
              <w:t>305-2c</w:t>
            </w:r>
          </w:p>
        </w:tc>
        <w:tc>
          <w:tcPr>
            <w:tcW w:type="dxa" w:w="2257"/>
          </w:tcPr>
          <w:p>
            <w:r>
              <w:rPr>
                <w:rFonts w:ascii="Arial" w:hAnsi="Arial"/>
                <w:sz w:val="18"/>
              </w:rPr>
              <w:t>Gases included in the calculation (CO₂, CH₄, N₂O, HFCs, PFCs, SF₆, NF₃)</w:t>
            </w:r>
          </w:p>
        </w:tc>
        <w:tc>
          <w:tcPr>
            <w:tcW w:type="dxa" w:w="2257"/>
          </w:tcPr>
          <w:p>
            <w:r>
              <w:rPr>
                <w:rFonts w:ascii="Arial" w:hAnsi="Arial"/>
                <w:sz w:val="18"/>
              </w:rPr>
              <w:t>✅ CO₂ only (electricity)</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305-2d</w:t>
            </w:r>
          </w:p>
        </w:tc>
        <w:tc>
          <w:tcPr>
            <w:tcW w:type="dxa" w:w="2257"/>
            <w:shd w:fill="F2F6FC" w:val="clear"/>
          </w:tcPr>
          <w:p>
            <w:r>
              <w:rPr>
                <w:rFonts w:ascii="Arial" w:hAnsi="Arial"/>
                <w:sz w:val="18"/>
              </w:rPr>
              <w:t>Base year for calculation, rationale, and emissions in base year</w:t>
            </w:r>
          </w:p>
        </w:tc>
        <w:tc>
          <w:tcPr>
            <w:tcW w:type="dxa" w:w="2257"/>
            <w:shd w:fill="F2F6FC" w:val="clear"/>
          </w:tcPr>
          <w:p>
            <w:r>
              <w:rPr>
                <w:rFonts w:ascii="Arial" w:hAnsi="Arial"/>
                <w:sz w:val="18"/>
              </w:rPr>
              <w:t>⚠️ Base year not disclosed</w:t>
            </w:r>
          </w:p>
        </w:tc>
      </w:tr>
      <w:tr>
        <w:tc>
          <w:tcPr>
            <w:tcW w:type="dxa" w:w="2257"/>
          </w:tcPr>
          <w:p>
            <w:r>
              <w:rPr>
                <w:rFonts w:ascii="Arial" w:hAnsi="Arial"/>
                <w:sz w:val="18"/>
              </w:rPr>
              <w:t>GRI 305-2</w:t>
            </w:r>
          </w:p>
        </w:tc>
        <w:tc>
          <w:tcPr>
            <w:tcW w:type="dxa" w:w="2257"/>
          </w:tcPr>
          <w:p>
            <w:r>
              <w:rPr>
                <w:rFonts w:ascii="Arial" w:hAnsi="Arial"/>
                <w:sz w:val="18"/>
              </w:rPr>
              <w:t>305-2e</w:t>
            </w:r>
          </w:p>
        </w:tc>
        <w:tc>
          <w:tcPr>
            <w:tcW w:type="dxa" w:w="2257"/>
          </w:tcPr>
          <w:p>
            <w:r>
              <w:rPr>
                <w:rFonts w:ascii="Arial" w:hAnsi="Arial"/>
                <w:sz w:val="18"/>
              </w:rPr>
              <w:t>Source of emission factors and global warming potential rates used</w:t>
            </w:r>
          </w:p>
        </w:tc>
        <w:tc>
          <w:tcPr>
            <w:tcW w:type="dxa" w:w="2257"/>
          </w:tcPr>
          <w:p>
            <w:r>
              <w:rPr>
                <w:rFonts w:ascii="Arial" w:hAnsi="Arial"/>
                <w:sz w:val="18"/>
              </w:rPr>
              <w:t>✅ PLN 2023, IPCC AR5</w:t>
            </w:r>
          </w:p>
        </w:tc>
      </w:tr>
      <w:tr>
        <w:tc>
          <w:tcPr>
            <w:tcW w:type="dxa" w:w="2257"/>
            <w:shd w:fill="F2F6FC" w:val="clear"/>
          </w:tcPr>
          <w:p>
            <w:r>
              <w:rPr>
                <w:rFonts w:ascii="Arial" w:hAnsi="Arial"/>
                <w:sz w:val="18"/>
              </w:rPr>
              <w:t>GRI 305-2</w:t>
            </w:r>
          </w:p>
        </w:tc>
        <w:tc>
          <w:tcPr>
            <w:tcW w:type="dxa" w:w="2257"/>
            <w:shd w:fill="F2F6FC" w:val="clear"/>
          </w:tcPr>
          <w:p>
            <w:r>
              <w:rPr>
                <w:rFonts w:ascii="Arial" w:hAnsi="Arial"/>
                <w:sz w:val="18"/>
              </w:rPr>
              <w:t>305-2f</w:t>
            </w:r>
          </w:p>
        </w:tc>
        <w:tc>
          <w:tcPr>
            <w:tcW w:type="dxa" w:w="2257"/>
            <w:shd w:fill="F2F6FC" w:val="clear"/>
          </w:tcPr>
          <w:p>
            <w:r>
              <w:rPr>
                <w:rFonts w:ascii="Arial" w:hAnsi="Arial"/>
                <w:sz w:val="18"/>
              </w:rPr>
              <w:t>Consolidation approach (equity share, financial control, operational control)</w:t>
            </w:r>
          </w:p>
        </w:tc>
        <w:tc>
          <w:tcPr>
            <w:tcW w:type="dxa" w:w="2257"/>
            <w:shd w:fill="F2F6FC" w:val="clear"/>
          </w:tcPr>
          <w:p>
            <w:r>
              <w:rPr>
                <w:rFonts w:ascii="Arial" w:hAnsi="Arial"/>
                <w:sz w:val="18"/>
              </w:rPr>
              <w:t>✅ Operational control</w:t>
            </w:r>
          </w:p>
        </w:tc>
      </w:tr>
      <w:tr>
        <w:tc>
          <w:tcPr>
            <w:tcW w:type="dxa" w:w="2257"/>
          </w:tcPr>
          <w:p>
            <w:r>
              <w:rPr>
                <w:rFonts w:ascii="Arial" w:hAnsi="Arial"/>
                <w:sz w:val="18"/>
              </w:rPr>
              <w:t>GRI 305-2</w:t>
            </w:r>
          </w:p>
        </w:tc>
        <w:tc>
          <w:tcPr>
            <w:tcW w:type="dxa" w:w="2257"/>
          </w:tcPr>
          <w:p>
            <w:r>
              <w:rPr>
                <w:rFonts w:ascii="Arial" w:hAnsi="Arial"/>
                <w:sz w:val="18"/>
              </w:rPr>
              <w:t>305-2g</w:t>
            </w:r>
          </w:p>
        </w:tc>
        <w:tc>
          <w:tcPr>
            <w:tcW w:type="dxa" w:w="2257"/>
          </w:tcPr>
          <w:p>
            <w:r>
              <w:rPr>
                <w:rFonts w:ascii="Arial" w:hAnsi="Arial"/>
                <w:sz w:val="18"/>
              </w:rPr>
              <w:t>Standards, methodologies, assumptions, and/or calculation tools used</w:t>
            </w:r>
          </w:p>
        </w:tc>
        <w:tc>
          <w:tcPr>
            <w:tcW w:type="dxa" w:w="2257"/>
          </w:tcPr>
          <w:p>
            <w:r>
              <w:rPr>
                <w:rFonts w:ascii="Arial" w:hAnsi="Arial"/>
                <w:sz w:val="18"/>
              </w:rPr>
              <w:t>✅ GHG Protocol Scope 2 Guidance</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29(a)(ii)</w:t>
            </w:r>
          </w:p>
        </w:tc>
        <w:tc>
          <w:tcPr>
            <w:tcW w:type="dxa" w:w="2257"/>
            <w:shd w:fill="F2F6FC" w:val="clear"/>
          </w:tcPr>
          <w:p>
            <w:r>
              <w:rPr>
                <w:rFonts w:ascii="Arial" w:hAnsi="Arial"/>
                <w:sz w:val="18"/>
              </w:rPr>
              <w:t>Absolute gross Scope 2 GHG emissions (location-based)</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DR E1-6.46</w:t>
            </w:r>
          </w:p>
        </w:tc>
        <w:tc>
          <w:tcPr>
            <w:tcW w:type="dxa" w:w="2257"/>
          </w:tcPr>
          <w:p>
            <w:r>
              <w:rPr>
                <w:rFonts w:ascii="Arial" w:hAnsi="Arial"/>
                <w:sz w:val="18"/>
              </w:rPr>
              <w:t>Gross Scope 2 GHG emissions (location-based and market-based)</w:t>
            </w:r>
          </w:p>
        </w:tc>
        <w:tc>
          <w:tcPr>
            <w:tcW w:type="dxa" w:w="2257"/>
          </w:tcPr>
          <w:p>
            <w:r>
              <w:rPr>
                <w:rFonts w:ascii="Arial" w:hAnsi="Arial"/>
                <w:sz w:val="18"/>
              </w:rPr>
              <w:t>✅ Disclosed</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Lingkup 2</w:t>
            </w:r>
          </w:p>
        </w:tc>
        <w:tc>
          <w:tcPr>
            <w:tcW w:type="dxa" w:w="2257"/>
            <w:shd w:fill="F2F6FC" w:val="clear"/>
          </w:tcPr>
          <w:p>
            <w:r>
              <w:rPr>
                <w:rFonts w:ascii="Arial" w:hAnsi="Arial"/>
                <w:sz w:val="18"/>
              </w:rPr>
              <w:t>Emisi GRK tidak langsung dari konsumsi energi yang dibeli</w:t>
            </w:r>
          </w:p>
        </w:tc>
        <w:tc>
          <w:tcPr>
            <w:tcW w:type="dxa" w:w="2257"/>
            <w:shd w:fill="F2F6FC" w:val="clear"/>
          </w:tcPr>
          <w:p>
            <w:r>
              <w:rPr>
                <w:rFonts w:ascii="Arial" w:hAnsi="Arial"/>
                <w:sz w:val="18"/>
              </w:rPr>
              <w:t>✅ Disclosed</w:t>
            </w:r>
          </w:p>
        </w:tc>
      </w:tr>
    </w:tbl>
    <w:p>
      <w:r>
        <w:rPr>
          <w:rFonts w:ascii="Arial" w:hAnsi="Arial"/>
          <w:i/>
          <w:sz w:val="16"/>
        </w:rPr>
        <w:t>Source: Compliance assessment based on 2024 reporting period data availability.</w:t>
      </w:r>
    </w:p>
    <w:p/>
    <w:p>
      <w:pPr>
        <w:spacing w:after="160" w:line="276" w:lineRule="auto"/>
        <w:jc w:val="both"/>
      </w:pPr>
      <w:r>
        <w:rPr>
          <w:rFonts w:ascii="Arial" w:hAnsi="Arial"/>
          <w:i/>
          <w:color w:val="646464"/>
          <w:sz w:val="18"/>
        </w:rPr>
        <w:t>[Chart: Scope 2 Emissions Year-over-Year Comparison (Location-Based) — matplotlib layer not installed]</w:t>
      </w:r>
    </w:p>
    <w:p>
      <w:pPr>
        <w:spacing w:after="160" w:line="276" w:lineRule="auto"/>
        <w:jc w:val="both"/>
      </w:pPr>
      <w:r>
        <w:rPr>
          <w:rFonts w:ascii="Arial" w:hAnsi="Arial"/>
          <w:i/>
          <w:color w:val="646464"/>
          <w:sz w:val="18"/>
        </w:rPr>
        <w:t>[Chart: Scope 2 Dual Reporting — Location vs. Market-Based (2024) — matplotlib layer not installed]</w:t>
      </w:r>
    </w:p>
    <w:p>
      <w:pPr>
        <w:spacing w:after="160" w:line="276" w:lineRule="auto"/>
        <w:jc w:val="both"/>
      </w:pPr>
      <w:r>
        <w:rPr>
          <w:rFonts w:ascii="Arial" w:hAnsi="Arial"/>
          <w:i/>
          <w:color w:val="646464"/>
          <w:sz w:val="18"/>
        </w:rPr>
        <w:t>[Chart: Renewable Electricity Coverage — Peer Comparison (2023-2024) — matplotlib layer not installed]</w:t>
      </w:r>
    </w:p>
    <w:p/>
    <w:p>
      <w:r>
        <w:rPr>
          <w:b/>
          <w:color w:val="4A7AB5"/>
          <w:sz w:val="24"/>
        </w:rPr>
        <w:t>Diagnostic Analysis</w:t>
      </w:r>
    </w:p>
    <w:p>
      <w:pPr>
        <w:spacing w:after="160" w:line="276" w:lineRule="auto"/>
        <w:jc w:val="both"/>
      </w:pPr>
      <w:r>
        <w:rPr>
          <w:rFonts w:ascii="Arial" w:hAnsi="Arial"/>
          <w:sz w:val="22"/>
        </w:rPr>
        <w:t>The institution's Scope 2 emissions stability masks a strategic gap: while absolute emissions have not increased significantly, the lack of renewable energy procurement and energy efficiency initiatives positions the institution unfavorably against peers who are actively decarbonizing their operations. The 0% renewable coverage indicates no contractual instruments (RECs, PPAs) have been deployed, and the absence of year-over-year intensity improvements suggests limited operational efficiency gains. This stagnation occurs as Indonesia's grid remains carbon-intensive (0.7886 kgCO₂/kWh) and as peer banks demonstrate that 10-20% reductions are achievable through targeted interventions.</w:t>
      </w:r>
    </w:p>
    <w:p>
      <w:r>
        <w:rPr>
          <w:b/>
          <w:sz w:val="22"/>
        </w:rPr>
        <w:t>Root Causes:</w:t>
      </w:r>
    </w:p>
    <w:p>
      <w:pPr>
        <w:spacing w:after="160" w:line="276" w:lineRule="auto"/>
        <w:jc w:val="both"/>
      </w:pPr>
      <w:r>
        <w:rPr>
          <w:rFonts w:ascii="Arial" w:hAnsi="Arial"/>
          <w:sz w:val="22"/>
        </w:rPr>
        <w:t>• No renewable energy procurement strategy: Zero RECs or PPAs applied during reporting period, resulting in 100% reliance on grid electricity with high carbon intensity.</w:t>
      </w:r>
    </w:p>
    <w:p>
      <w:pPr>
        <w:spacing w:after="160" w:line="276" w:lineRule="auto"/>
        <w:jc w:val="both"/>
      </w:pPr>
      <w:r>
        <w:rPr>
          <w:rFonts w:ascii="Arial" w:hAnsi="Arial"/>
          <w:sz w:val="22"/>
        </w:rPr>
        <w:t>• Limited energy efficiency programs: No evidence of systematic LED retrofits, HVAC optimization, or automated shutdown systems comparable to BRI's Kaseya program.</w:t>
      </w:r>
    </w:p>
    <w:p>
      <w:pPr>
        <w:spacing w:after="160" w:line="276" w:lineRule="auto"/>
        <w:jc w:val="both"/>
      </w:pPr>
      <w:r>
        <w:rPr>
          <w:rFonts w:ascii="Arial" w:hAnsi="Arial"/>
          <w:sz w:val="22"/>
        </w:rPr>
        <w:t>• Absence of green building certifications: Unlike BRI (Green Building Gold GBCI), the institution has not pursued third-party validation of energy management practices.</w:t>
      </w:r>
    </w:p>
    <w:p>
      <w:pPr>
        <w:spacing w:after="160" w:line="276" w:lineRule="auto"/>
        <w:jc w:val="both"/>
      </w:pPr>
      <w:r>
        <w:rPr>
          <w:rFonts w:ascii="Arial" w:hAnsi="Arial"/>
          <w:sz w:val="22"/>
        </w:rPr>
        <w:t>• No base year or science-based targets: Lack of formal baseline and reduction targets limits accountability and strategic planning for Scope 2 decarbonization.</w:t>
      </w:r>
    </w:p>
    <w:p>
      <w:r>
        <w:rPr>
          <w:b/>
          <w:sz w:val="22"/>
        </w:rPr>
        <w:t>Risk Implications:</w:t>
      </w:r>
    </w:p>
    <w:p>
      <w:pPr>
        <w:spacing w:after="160" w:line="276" w:lineRule="auto"/>
        <w:jc w:val="both"/>
      </w:pPr>
      <w:r>
        <w:rPr>
          <w:rFonts w:ascii="Arial" w:hAnsi="Arial"/>
          <w:sz w:val="22"/>
        </w:rPr>
        <w:t>• Regulatory risk: OJK POJK 51/2017 and SEOJK 16/2021 require financial institutions to manage environmental risks, including operational emissions. Stagnant Scope 2 performance may attract regulatory scrutiny.</w:t>
      </w:r>
    </w:p>
    <w:p>
      <w:pPr>
        <w:spacing w:after="160" w:line="276" w:lineRule="auto"/>
        <w:jc w:val="both"/>
      </w:pPr>
      <w:r>
        <w:rPr>
          <w:rFonts w:ascii="Arial" w:hAnsi="Arial"/>
          <w:sz w:val="22"/>
        </w:rPr>
        <w:t>• Reputational risk: ESG rating agencies (MSCI, Sustainalytics) penalize lack of renewable energy procurement and energy efficiency. Peer gap will widen as DBS, BRI, and BCA advance their climate strategies.</w:t>
      </w:r>
    </w:p>
    <w:p>
      <w:pPr>
        <w:spacing w:after="160" w:line="276" w:lineRule="auto"/>
        <w:jc w:val="both"/>
      </w:pPr>
      <w:r>
        <w:rPr>
          <w:rFonts w:ascii="Arial" w:hAnsi="Arial"/>
          <w:sz w:val="22"/>
        </w:rPr>
        <w:t>• Financial risk: Exposure to future carbon pricing mechanisms (Indonesia's carbon market under UU 7/2021) without mitigation strategy. Estimated liability: IDR 1.56 billion annually at IDR 35/kgCO₂e carbon price.</w:t>
      </w:r>
    </w:p>
    <w:p>
      <w:pPr>
        <w:spacing w:after="160" w:line="276" w:lineRule="auto"/>
        <w:jc w:val="both"/>
      </w:pPr>
      <w:r>
        <w:rPr>
          <w:rFonts w:ascii="Arial" w:hAnsi="Arial"/>
          <w:sz w:val="22"/>
        </w:rPr>
        <w:t>• Investor expectations: Institutional investors increasingly require RE100 commitments or equivalent renewable targets. Zero renewable coverage may impact access to green financing and ESG-linked loans.</w:t>
      </w:r>
    </w:p>
    <w:p/>
    <w:p>
      <w:r>
        <w:rPr>
          <w:b/>
          <w:color w:val="1B5E20"/>
          <w:sz w:val="24"/>
        </w:rPr>
        <w:t>⚡ Priority Actions</w:t>
      </w:r>
    </w:p>
    <w:p>
      <w:r>
        <w:rPr>
          <w:b/>
          <w:sz w:val="22"/>
        </w:rPr>
        <w:t>🔴 1. Execute pilot Power Purchase Agreement (PPA) with solar provider for top 10 energy-consuming branches (estimated 15-20% of total electricity consumption). Structure as 10-year PPA with fixed pricing to hedge against grid tariff increases.</w:t>
      </w:r>
      <w:r>
        <w:rPr>
          <w:sz w:val="22"/>
        </w:rPr>
        <w:t xml:space="preserve"> (Q2 2025)</w:t>
      </w:r>
    </w:p>
    <w:p>
      <w:pPr>
        <w:spacing w:after="160" w:line="276" w:lineRule="auto"/>
        <w:jc w:val="both"/>
      </w:pPr>
      <w:r>
        <w:rPr>
          <w:rFonts w:ascii="Arial" w:hAnsi="Arial"/>
          <w:sz w:val="22"/>
        </w:rPr>
        <w:t xml:space="preserve">    → Expected: ~8,900 tCO₂e reduction (20% of Scope 2 market-based emissions)</w:t>
      </w:r>
    </w:p>
    <w:p>
      <w:pPr>
        <w:spacing w:after="160" w:line="276" w:lineRule="auto"/>
        <w:jc w:val="both"/>
      </w:pPr>
      <w:r>
        <w:rPr>
          <w:rFonts w:ascii="Arial" w:hAnsi="Arial"/>
          <w:i/>
          <w:color w:val="646464"/>
          <w:sz w:val="18"/>
        </w:rPr>
        <w:t xml:space="preserve">    → Ref: DBS Bank — 62% renewable electricity via PPAs and RECs, achieved 12% YoY Scope 2 reduction</w:t>
      </w:r>
    </w:p>
    <w:p>
      <w:r>
        <w:rPr>
          <w:b/>
          <w:sz w:val="22"/>
        </w:rPr>
        <w:t>🔴 2. Deploy comprehensive LED retrofit program across all 250+ branches, coupled with HVAC smart controls and elevator scheduling. Implement Kaseya-style automated shutdown system for non-critical equipment during off-peak hours.</w:t>
      </w:r>
      <w:r>
        <w:rPr>
          <w:sz w:val="22"/>
        </w:rPr>
        <w:t xml:space="preserve"> (Q3 2025)</w:t>
      </w:r>
    </w:p>
    <w:p>
      <w:pPr>
        <w:spacing w:after="160" w:line="276" w:lineRule="auto"/>
        <w:jc w:val="both"/>
      </w:pPr>
      <w:r>
        <w:rPr>
          <w:rFonts w:ascii="Arial" w:hAnsi="Arial"/>
          <w:sz w:val="22"/>
        </w:rPr>
        <w:t xml:space="preserve">    → Expected: ~2,200 tCO₂e reduction (5% of Scope 2 via energy efficiency)</w:t>
      </w:r>
    </w:p>
    <w:p>
      <w:pPr>
        <w:spacing w:after="160" w:line="276" w:lineRule="auto"/>
        <w:jc w:val="both"/>
      </w:pPr>
      <w:r>
        <w:rPr>
          <w:rFonts w:ascii="Arial" w:hAnsi="Arial"/>
          <w:i/>
          <w:color w:val="646464"/>
          <w:sz w:val="18"/>
        </w:rPr>
        <w:t xml:space="preserve">    → Ref: BRI — 19.49% electricity savings through green building program and Kaseya automated shutdown system</w:t>
      </w:r>
    </w:p>
    <w:p>
      <w:r>
        <w:rPr>
          <w:b/>
          <w:sz w:val="22"/>
        </w:rPr>
        <w:t>🟡 3. Initiate Green Building certification process for headquarters and 3 largest regional offices. Engage GBCI (Green Building Council Indonesia) for Gold-level certification, integrating energy monitoring systems and renewable energy readiness.</w:t>
      </w:r>
      <w:r>
        <w:rPr>
          <w:sz w:val="22"/>
        </w:rPr>
        <w:t xml:space="preserve"> (Q1 2026)</w:t>
      </w:r>
    </w:p>
    <w:p>
      <w:pPr>
        <w:spacing w:after="160" w:line="276" w:lineRule="auto"/>
        <w:jc w:val="both"/>
      </w:pPr>
      <w:r>
        <w:rPr>
          <w:rFonts w:ascii="Arial" w:hAnsi="Arial"/>
          <w:sz w:val="22"/>
        </w:rPr>
        <w:t xml:space="preserve">    → Expected: Indirect — improves ESG governance score, enables systematic energy tracking, enhances MSCI/Sustainalytics ratings</w:t>
      </w:r>
    </w:p>
    <w:p>
      <w:pPr>
        <w:spacing w:after="160" w:line="276" w:lineRule="auto"/>
        <w:jc w:val="both"/>
      </w:pPr>
      <w:r>
        <w:rPr>
          <w:rFonts w:ascii="Arial" w:hAnsi="Arial"/>
          <w:i/>
          <w:color w:val="646464"/>
          <w:sz w:val="18"/>
        </w:rPr>
        <w:t xml:space="preserve">    → Ref: BRI — Green Building Gold GBCI certification for headquarters, integrated with energy management system</w:t>
      </w:r>
    </w:p>
    <w:p>
      <w:r>
        <w:rPr>
          <w:b/>
          <w:sz w:val="22"/>
        </w:rPr>
        <w:t>🟡 4. Establish formal base year (recommend 2024) and submit Letter of Commitment to Science Based Targets initiative (SBTi) for Scope 1+2 emissions. Set interim target: 25% reduction in Scope 2 intensity (tCO₂e/FTE) by 2030 vs. 2024 baseline.</w:t>
      </w:r>
      <w:r>
        <w:rPr>
          <w:sz w:val="22"/>
        </w:rPr>
        <w:t xml:space="preserve"> (Q4 2025)</w:t>
      </w:r>
    </w:p>
    <w:p>
      <w:pPr>
        <w:spacing w:after="160" w:line="276" w:lineRule="auto"/>
        <w:jc w:val="both"/>
      </w:pPr>
      <w:r>
        <w:rPr>
          <w:rFonts w:ascii="Arial" w:hAnsi="Arial"/>
          <w:sz w:val="22"/>
        </w:rPr>
        <w:t xml:space="preserve">    → Expected: Governance improvement — aligns with IFRS S2 target disclosure requirements, enhances investor confidence</w:t>
      </w:r>
    </w:p>
    <w:p>
      <w:pPr>
        <w:spacing w:after="160" w:line="276" w:lineRule="auto"/>
        <w:jc w:val="both"/>
      </w:pPr>
      <w:r>
        <w:rPr>
          <w:rFonts w:ascii="Arial" w:hAnsi="Arial"/>
          <w:i/>
          <w:color w:val="646464"/>
          <w:sz w:val="18"/>
        </w:rPr>
        <w:t xml:space="preserve">    → Ref: BRI — First Indonesian financial institution to commit to SBTi, targeting 1.75°C portfolio temperature alignment by 2040</w:t>
      </w:r>
    </w:p>
    <w:p/>
    <w:p>
      <w:r>
        <w:rPr>
          <w:i/>
          <w:color w:val="3D6094"/>
          <w:sz w:val="18"/>
        </w:rPr>
        <w:t>Framework references: GRI 305-2a; GRI 305-2b; GRI 305-2e; GRI 305-2f; GRI 305-2g; IFRS S2 Para 29(a)(ii); ESRS E1-6 DR E1-6.46; OJK PSPK — Emisi GRK Lingkup 2; GHG Protocol Scope 2 Guidance (2015)</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The institution has not established a formal base year for GHG emissions tracking. Establishing a base year aligned with science-based target methodologies is recommended for future reporting cycles.</w:t>
      </w:r>
    </w:p>
    <w:p>
      <w:pPr>
        <w:spacing w:after="160" w:line="276" w:lineRule="auto"/>
        <w:jc w:val="both"/>
      </w:pPr>
      <w:r>
        <w:rPr>
          <w:rFonts w:ascii="Arial" w:hAnsi="Arial"/>
          <w:i/>
          <w:color w:val="646464"/>
          <w:sz w:val="18"/>
        </w:rPr>
        <w:t>Market-based emissions equal location-based emissions due to the absence of contractual instruments (RECs, PPAs) during the reporting period.</w:t>
      </w:r>
    </w:p>
    <w:p>
      <w:pPr>
        <w:spacing w:after="160" w:line="276" w:lineRule="auto"/>
        <w:jc w:val="both"/>
      </w:pPr>
      <w:r>
        <w:rPr>
          <w:rFonts w:ascii="Arial" w:hAnsi="Arial"/>
          <w:i/>
          <w:color w:val="646464"/>
          <w:sz w:val="18"/>
        </w:rPr>
        <w:t>Grid emission factor sourced from PT PLN (Persero) 2023 sustainability report. Future updates will reflect annual grid factor revisions as published by PLN.</w:t>
      </w:r>
    </w:p>
    <w:p>
      <w:pPr>
        <w:pStyle w:val="Heading2"/>
        <w:keepNext/>
        <w:spacing w:before="360" w:after="160"/>
      </w:pPr>
      <w:r>
        <w:rPr>
          <w:rFonts w:ascii="Arial" w:hAnsi="Arial"/>
          <w:b/>
          <w:color w:val="3D6094"/>
          <w:sz w:val="28"/>
        </w:rPr>
        <w:t>1.3 Financed Emissions — Scope 3 Category 15</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b/>
                <w:color w:val="1B3A6B"/>
                <w:sz w:val="40"/>
              </w:rPr>
              <w:t>21.98</w:t>
            </w:r>
            <w:r>
              <w:rPr>
                <w:sz w:val="18"/>
              </w:rPr>
              <w:t xml:space="preserve"> million tCO₂e</w:t>
            </w:r>
            <w:r>
              <w:rPr>
                <w:b/>
                <w:color w:val="4CAF50"/>
                <w:sz w:val="20"/>
              </w:rPr>
              <w:br/>
              <w:t>-4.07% YoY</w:t>
            </w:r>
          </w:p>
        </w:tc>
        <w:tc>
          <w:tcPr>
            <w:tcW w:type="dxa" w:w="2257"/>
          </w:tcPr>
          <w:p>
            <w:pPr>
              <w:jc w:val="center"/>
            </w:pPr>
            <w:r>
              <w:rPr>
                <w:b/>
                <w:color w:val="1B3A6B"/>
                <w:sz w:val="40"/>
              </w:rPr>
              <w:t>15.28</w:t>
            </w:r>
            <w:r>
              <w:rPr>
                <w:sz w:val="18"/>
              </w:rPr>
              <w:t xml:space="preserve"> million tCO₂e</w:t>
            </w:r>
            <w:r>
              <w:rPr>
                <w:b/>
                <w:color w:val="4CAF50"/>
                <w:sz w:val="20"/>
              </w:rPr>
              <w:br/>
              <w:t>-1.90% YoY</w:t>
            </w:r>
          </w:p>
        </w:tc>
        <w:tc>
          <w:tcPr>
            <w:tcW w:type="dxa" w:w="2257"/>
          </w:tcPr>
          <w:p>
            <w:pPr>
              <w:jc w:val="center"/>
            </w:pPr>
            <w:r>
              <w:rPr>
                <w:b/>
                <w:color w:val="1B3A6B"/>
                <w:sz w:val="40"/>
              </w:rPr>
              <w:t>239.4</w:t>
            </w:r>
            <w:r>
              <w:rPr>
                <w:sz w:val="18"/>
              </w:rPr>
              <w:t xml:space="preserve"> tCO₂e/IDR bn</w:t>
            </w:r>
            <w:r>
              <w:rPr>
                <w:b/>
                <w:color w:val="4CAF50"/>
                <w:sz w:val="20"/>
              </w:rPr>
              <w:br/>
              <w:t>-11.36% YoY</w:t>
            </w:r>
          </w:p>
        </w:tc>
        <w:tc>
          <w:tcPr>
            <w:tcW w:type="dxa" w:w="2257"/>
          </w:tcPr>
          <w:p>
            <w:pPr>
              <w:jc w:val="center"/>
            </w:pPr>
            <w:r>
              <w:rPr>
                <w:b/>
                <w:color w:val="1B3A6B"/>
                <w:sz w:val="40"/>
              </w:rPr>
              <w:t>3.36</w:t>
            </w:r>
            <w:r>
              <w:rPr>
                <w:sz w:val="18"/>
              </w:rPr>
              <w:t xml:space="preserve"> score (1-5)</w:t>
            </w:r>
            <w:r>
              <w:rPr>
                <w:b/>
                <w:color w:val="F44336"/>
                <w:sz w:val="20"/>
              </w:rPr>
              <w:br/>
              <w:t>vs peer target 3.0</w:t>
            </w:r>
          </w:p>
        </w:tc>
      </w:tr>
      <w:tr>
        <w:tc>
          <w:tcPr>
            <w:tcW w:type="dxa" w:w="2257"/>
          </w:tcPr>
          <w:p>
            <w:pPr>
              <w:jc w:val="center"/>
            </w:pPr>
            <w:r>
              <w:rPr>
                <w:color w:val="646464"/>
                <w:sz w:val="18"/>
              </w:rPr>
              <w:t>Gross Financed Emissions</w:t>
            </w:r>
          </w:p>
        </w:tc>
        <w:tc>
          <w:tcPr>
            <w:tcW w:type="dxa" w:w="2257"/>
          </w:tcPr>
          <w:p>
            <w:pPr>
              <w:jc w:val="center"/>
            </w:pPr>
            <w:r>
              <w:rPr>
                <w:color w:val="646464"/>
                <w:sz w:val="18"/>
              </w:rPr>
              <w:t>Weighted Financed Emissions</w:t>
            </w:r>
          </w:p>
        </w:tc>
        <w:tc>
          <w:tcPr>
            <w:tcW w:type="dxa" w:w="2257"/>
          </w:tcPr>
          <w:p>
            <w:pPr>
              <w:jc w:val="center"/>
            </w:pPr>
            <w:r>
              <w:rPr>
                <w:color w:val="646464"/>
                <w:sz w:val="18"/>
              </w:rPr>
              <w:t>Emission Intensity</w:t>
            </w:r>
          </w:p>
        </w:tc>
        <w:tc>
          <w:tcPr>
            <w:tcW w:type="dxa" w:w="2257"/>
          </w:tcPr>
          <w:p>
            <w:pPr>
              <w:jc w:val="center"/>
            </w:pPr>
            <w:r>
              <w:rPr>
                <w:color w:val="646464"/>
                <w:sz w:val="18"/>
              </w:rPr>
              <w:t>PCAF Data Quality Score</w:t>
            </w:r>
          </w:p>
        </w:tc>
      </w:tr>
    </w:tbl>
    <w:p/>
    <w:tbl>
      <w:tblPr>
        <w:tblW w:type="auto" w:w="0"/>
        <w:jc w:val="center"/>
        <w:tblLook w:firstColumn="1" w:firstRow="1" w:lastColumn="0" w:lastRow="0" w:noHBand="0" w:noVBand="1" w:val="04A0"/>
      </w:tblPr>
      <w:tblGrid>
        <w:gridCol w:w="9029"/>
      </w:tblGrid>
      <w:tr>
        <w:tc>
          <w:tcPr>
            <w:tcW w:type="dxa" w:w="9029"/>
            <w:shd w:fill="FFF3E0" w:val="clear"/>
          </w:tcPr>
          <w:p>
            <w:r>
              <w:rPr>
                <w:b/>
                <w:sz w:val="18"/>
              </w:rPr>
              <w:t>⚠️ KEY INSIGHT</w:t>
            </w:r>
          </w:p>
          <w:p>
            <w:r>
              <w:rPr>
                <w:b/>
                <w:sz w:val="22"/>
              </w:rPr>
              <w:t>Financed emissions turun 4.07% YoY, namun Oil &amp; Gas masih dominasi 43.56% — peer BRI sudah commit SBTi dengan target 1.75°C</w:t>
            </w:r>
          </w:p>
          <w:p>
            <w:r>
              <w:rPr>
                <w:sz w:val="20"/>
              </w:rPr>
              <w:t>Portfolio decarbonization outpaced portfolio growth (+2.03%), menghasilkan intensity improvement 11.36%. Namun, konsentrasi emisi di 3 sektor (Oil &amp; Gas, Cement, Steel = 85.93%) menciptakan transition risk exposure. Data quality score 3.36 masih di bawah best practice threshold 3.0, membatasi assurance readiness dan akurasi target-setting.</w:t>
            </w:r>
          </w:p>
        </w:tc>
      </w:tr>
    </w:tbl>
    <w:p/>
    <w:p>
      <w:pPr>
        <w:spacing w:after="160" w:line="276" w:lineRule="auto"/>
        <w:jc w:val="both"/>
      </w:pPr>
      <w:r>
        <w:rPr>
          <w:rFonts w:ascii="Arial" w:hAnsi="Arial"/>
          <w:sz w:val="22"/>
        </w:rPr>
        <w:t>The institution's financed emissions for the 2024 reporting period totaled 21,976,797.3 tCO₂e on a gross basis and 15,280,174.14 tCO₂e on a confidence-weighted basis. These figures represent the greenhouse gas emissions attributable to the institution's lending and investment portfolio, calculated in accordance with the Partnership for Carbon Accounting Financials (PCAF) Global GHG Accounting and Reporting Standard Part A (2022). The distinction between gross and weighted emissions reflects the application of data quality confidence factors, where weighted emissions account for the uncertainty inherent in estimation methodologies across different data quality tiers.</w:t>
      </w:r>
    </w:p>
    <w:p>
      <w:pPr>
        <w:spacing w:after="160" w:line="276" w:lineRule="auto"/>
        <w:jc w:val="both"/>
      </w:pPr>
      <w:r>
        <w:rPr>
          <w:rFonts w:ascii="Arial" w:hAnsi="Arial"/>
          <w:i/>
          <w:sz w:val="22"/>
        </w:rPr>
        <w:t>Financed emissions are calculated using the attribution factor methodology prescribed by PCAF. The attribution factor represents the ratio of the institution's outstanding amount to the borrower's total enterprise value (equity plus debt). For each financed entity, the institution's share of emissions equals the entity's total annual emissions multiplied by this attribution factor. The formula is expressed as: Financed Emissions = Borrower Emissions × (Outstanding Amount ÷ Total Enterprise Value). This approach ensures proportional allocation of emissions responsibility across all creditors and equity holders of the financed entity.</w:t>
      </w:r>
    </w:p>
    <w:p>
      <w:pPr>
        <w:spacing w:after="160" w:line="276" w:lineRule="auto"/>
        <w:jc w:val="both"/>
      </w:pPr>
      <w:r>
        <w:rPr>
          <w:rFonts w:ascii="Arial" w:hAnsi="Arial"/>
          <w:i/>
          <w:sz w:val="22"/>
        </w:rPr>
        <w:t>The institution's financed emissions calculation covers corporate loans across ten economic sectors, representing 100% of the institution's corporate lending portfolio valued at IDR 1,541.18 trillion. Asset classes included in this assessment comprise corporate loans and project finance facilities. The methodology aligns with PCAF's sector-specific guidance, including the mandatory reporting of Scope 3 emissions for borrowers in the energy (oil &amp; gas) and mining sectors as required from 2021 onward, and the expanded sector coverage (transportation, construction, buildings, materials, industrial activities) required from 2023 onward per the EU Technical Expert Group phase-in approach adopted by PCAF.</w:t>
      </w:r>
    </w:p>
    <w:p>
      <w:pPr>
        <w:spacing w:after="160" w:line="276" w:lineRule="auto"/>
        <w:jc w:val="both"/>
      </w:pPr>
      <w:r>
        <w:rPr>
          <w:rFonts w:ascii="Arial" w:hAnsi="Arial"/>
          <w:i/>
          <w:sz w:val="22"/>
        </w:rPr>
        <w:t>The gross financed emissions figure of 21,976,797.3 tCO₂e represents the total emissions calculated using the attribution methodology without adjustment for data quality. The confidence-weighted figure of 15,280,174.14 tCO₂e applies PCAF data quality scores (ranging from 1 for highest quality to 5 for lowest quality) as confidence factors. Specifically, emissions calculated using Score 1 data (verified reported emissions) receive a 100% confidence factor, Score 2 data (unverified reported emissions) receives 90%, Score 3 data (physical activity-based estimates) receives 70%, Score 4 data (economic activity-based estimates using revenue) receives 50%, and Score 5 data (economic activity-based estimates using sector averages) receives 30%. The weighted emissions are systematically lower than gross emissions because the confidence factors reduce the contribution of lower-quality estimates, reflecting the greater uncertainty in those calculations. This dual reporting approach provides transparency regarding both the institution's maximum potential emissions exposure (gross) and the emissions figure adjusted for estimation reliability (weighted).</w:t>
      </w:r>
    </w:p>
    <w:p>
      <w:pPr>
        <w:spacing w:after="160" w:line="276" w:lineRule="auto"/>
        <w:jc w:val="both"/>
      </w:pPr>
      <w:r>
        <w:rPr>
          <w:rFonts w:ascii="Arial" w:hAnsi="Arial"/>
          <w:sz w:val="22"/>
        </w:rPr>
        <w:t>The portfolio-weighted average PCAF data quality score for the institution's financed emissions calculation is 3.36 out of 5, indicating that the majority of emissions estimates rely on physical activity-based data (Score 3) or economic activity-based data using borrower-specific revenue (Score 4). This score reflects a portfolio where primary physical activity data or borrower-specific financial data is available for most exposures, but verified emissions reports from borrowers remain limited. The data quality distribution shows that no exposures achieved Score 1 (verified reported emissions), approximately 8% achieved Score 2 (unverified reported emissions), 52% achieved Score 3 (physical activity-based), 35% achieved Score 4 (economic activity-based with revenue), and 5% required Score 5 (sector average proxies). The institution has established a data quality improvement roadmap targeting an average score of 3.0 or better by 2026 through enhanced borrower engagement and integration of emissions data requests into credit review processes.</w:t>
      </w:r>
    </w:p>
    <w:p>
      <w:pPr>
        <w:spacing w:after="160" w:line="276" w:lineRule="auto"/>
        <w:jc w:val="both"/>
      </w:pPr>
      <w:r>
        <w:rPr>
          <w:rFonts w:ascii="Arial" w:hAnsi="Arial"/>
          <w:sz w:val="22"/>
        </w:rPr>
        <w:t>Comparison with the prior reporting period (2023) shows gross financed emissions decreased by 4.07% from 22,911,991.05 tCO₂e to 21,976,797.3 tCO₂e, while confidence-weighted emissions decreased by 1.90% from 15,576,239.57 tCO₂e to 15,280,174.14 tCO₂e. The larger percentage decrease in gross emissions compared to weighted emissions indicates that the portfolio's data quality improved year-over-year, as higher-quality data sources (which receive higher confidence factors) were obtained for a greater proportion of the portfolio. The absolute reduction in financed emissions occurred despite a 2.03% increase in total portfolio outstanding, demonstrating that the institution's portfolio composition shifted toward lower-emission-intensity sectors and that engagement with high-emitting borrowers yielded measurable emissions reductions.</w:t>
      </w:r>
    </w:p>
    <w:p>
      <w:pPr>
        <w:spacing w:after="160" w:line="276" w:lineRule="auto"/>
        <w:jc w:val="both"/>
      </w:pPr>
      <w:r>
        <w:rPr>
          <w:rFonts w:ascii="Arial" w:hAnsi="Arial"/>
          <w:sz w:val="22"/>
        </w:rPr>
        <w:t>The institution's financed emissions intensity per billion IDR of portfolio outstanding is 239.400139 tCO₂e/IDR billion (gross basis) and 166.5 tCO₂e/IDR billion (weighted basis) for 2024. This represents an 11.36% improvement from the 2023 gross intensity of 270.116632 tCO₂e/IDR billion. The intensity metric normalizes emissions for portfolio growth and provides a more accurate measure of the institution's progress in decarbonizing its lending activities. The year-over-year intensity improvement reflects both the absolute emissions reduction and the strategic reallocation of capital toward lower-carbon sectors, particularly the 16.27% portfolio allocation to commercial real estate and 13.41% to financial services, which collectively represent only 1.39% of total financed emissions.</w:t>
      </w:r>
    </w:p>
    <w:p>
      <w:r>
        <w:rPr>
          <w:rFonts w:ascii="Arial" w:hAnsi="Arial"/>
          <w:b/>
          <w:sz w:val="20"/>
        </w:rPr>
        <w:t>Table 1.3.1: Financed Emissions by Economic Sector (2024)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Sector</w:t>
            </w:r>
          </w:p>
        </w:tc>
        <w:tc>
          <w:tcPr>
            <w:tcW w:type="dxa" w:w="1505"/>
            <w:shd w:fill="1B3A6B" w:val="clear"/>
          </w:tcPr>
          <w:p>
            <w:r>
              <w:rPr>
                <w:rFonts w:ascii="Arial" w:hAnsi="Arial"/>
                <w:b/>
                <w:color w:val="FFFFFF"/>
                <w:sz w:val="18"/>
              </w:rPr>
              <w:t>Gross Emissions (tCO₂e)</w:t>
            </w:r>
          </w:p>
        </w:tc>
        <w:tc>
          <w:tcPr>
            <w:tcW w:type="dxa" w:w="1505"/>
            <w:shd w:fill="1B3A6B" w:val="clear"/>
          </w:tcPr>
          <w:p>
            <w:r>
              <w:rPr>
                <w:rFonts w:ascii="Arial" w:hAnsi="Arial"/>
                <w:b/>
                <w:color w:val="FFFFFF"/>
                <w:sz w:val="18"/>
              </w:rPr>
              <w:t>Weighted Emissions (tCO₂e)</w:t>
            </w:r>
          </w:p>
        </w:tc>
        <w:tc>
          <w:tcPr>
            <w:tcW w:type="dxa" w:w="1505"/>
            <w:shd w:fill="1B3A6B" w:val="clear"/>
          </w:tcPr>
          <w:p>
            <w:r>
              <w:rPr>
                <w:rFonts w:ascii="Arial" w:hAnsi="Arial"/>
                <w:b/>
                <w:color w:val="FFFFFF"/>
                <w:sz w:val="18"/>
              </w:rPr>
              <w:t>Portfolio Share (%)</w:t>
            </w:r>
          </w:p>
        </w:tc>
        <w:tc>
          <w:tcPr>
            <w:tcW w:type="dxa" w:w="1505"/>
            <w:shd w:fill="1B3A6B" w:val="clear"/>
          </w:tcPr>
          <w:p>
            <w:r>
              <w:rPr>
                <w:rFonts w:ascii="Arial" w:hAnsi="Arial"/>
                <w:b/>
                <w:color w:val="FFFFFF"/>
                <w:sz w:val="18"/>
              </w:rPr>
              <w:t>Emissions Share (%)</w:t>
            </w:r>
          </w:p>
        </w:tc>
        <w:tc>
          <w:tcPr>
            <w:tcW w:type="dxa" w:w="1505"/>
            <w:shd w:fill="1B3A6B" w:val="clear"/>
          </w:tcPr>
          <w:p>
            <w:r>
              <w:rPr>
                <w:rFonts w:ascii="Arial" w:hAnsi="Arial"/>
                <w:b/>
                <w:color w:val="FFFFFF"/>
                <w:sz w:val="18"/>
              </w:rPr>
              <w:t>Avg PCAF Score</w:t>
            </w:r>
          </w:p>
        </w:tc>
      </w:tr>
      <w:tr>
        <w:tc>
          <w:tcPr>
            <w:tcW w:type="dxa" w:w="1505"/>
          </w:tcPr>
          <w:p>
            <w:r>
              <w:rPr>
                <w:rFonts w:ascii="Arial" w:hAnsi="Arial"/>
                <w:sz w:val="18"/>
              </w:rPr>
              <w:t>Energy - Oil &amp; Gas</w:t>
            </w:r>
          </w:p>
        </w:tc>
        <w:tc>
          <w:tcPr>
            <w:tcW w:type="dxa" w:w="1505"/>
          </w:tcPr>
          <w:p>
            <w:pPr>
              <w:jc w:val="right"/>
            </w:pPr>
            <w:r>
              <w:rPr>
                <w:rFonts w:ascii="Arial" w:hAnsi="Arial"/>
                <w:sz w:val="18"/>
              </w:rPr>
              <w:t>9,573,144.27</w:t>
            </w:r>
          </w:p>
        </w:tc>
        <w:tc>
          <w:tcPr>
            <w:tcW w:type="dxa" w:w="1505"/>
          </w:tcPr>
          <w:p>
            <w:pPr>
              <w:jc w:val="right"/>
            </w:pPr>
            <w:r>
              <w:rPr>
                <w:rFonts w:ascii="Arial" w:hAnsi="Arial"/>
                <w:sz w:val="18"/>
              </w:rPr>
              <w:t>6,753,948.71</w:t>
            </w:r>
          </w:p>
        </w:tc>
        <w:tc>
          <w:tcPr>
            <w:tcW w:type="dxa" w:w="1505"/>
          </w:tcPr>
          <w:p>
            <w:pPr>
              <w:jc w:val="right"/>
            </w:pPr>
            <w:r>
              <w:rPr>
                <w:rFonts w:ascii="Arial" w:hAnsi="Arial"/>
                <w:sz w:val="18"/>
              </w:rPr>
              <w:t>6.66</w:t>
            </w:r>
          </w:p>
        </w:tc>
        <w:tc>
          <w:tcPr>
            <w:tcW w:type="dxa" w:w="1505"/>
          </w:tcPr>
          <w:p>
            <w:pPr>
              <w:jc w:val="right"/>
            </w:pPr>
            <w:r>
              <w:rPr>
                <w:rFonts w:ascii="Arial" w:hAnsi="Arial"/>
                <w:sz w:val="18"/>
              </w:rPr>
              <w:t>43.56</w:t>
            </w:r>
          </w:p>
        </w:tc>
        <w:tc>
          <w:tcPr>
            <w:tcW w:type="dxa" w:w="1505"/>
          </w:tcPr>
          <w:p>
            <w:pPr>
              <w:jc w:val="right"/>
            </w:pPr>
            <w:r>
              <w:rPr>
                <w:rFonts w:ascii="Arial" w:hAnsi="Arial"/>
                <w:sz w:val="18"/>
              </w:rPr>
              <w:t>3.32</w:t>
            </w:r>
          </w:p>
        </w:tc>
      </w:tr>
      <w:tr>
        <w:tc>
          <w:tcPr>
            <w:tcW w:type="dxa" w:w="1505"/>
            <w:shd w:fill="F2F6FC" w:val="clear"/>
          </w:tcPr>
          <w:p>
            <w:r>
              <w:rPr>
                <w:rFonts w:ascii="Arial" w:hAnsi="Arial"/>
                <w:sz w:val="18"/>
              </w:rPr>
              <w:t>Manufacturing - Cement</w:t>
            </w:r>
          </w:p>
        </w:tc>
        <w:tc>
          <w:tcPr>
            <w:tcW w:type="dxa" w:w="1505"/>
            <w:shd w:fill="F2F6FC" w:val="clear"/>
          </w:tcPr>
          <w:p>
            <w:pPr>
              <w:jc w:val="right"/>
            </w:pPr>
            <w:r>
              <w:rPr>
                <w:rFonts w:ascii="Arial" w:hAnsi="Arial"/>
                <w:sz w:val="18"/>
              </w:rPr>
              <w:t>5,813,830.91</w:t>
            </w:r>
          </w:p>
        </w:tc>
        <w:tc>
          <w:tcPr>
            <w:tcW w:type="dxa" w:w="1505"/>
            <w:shd w:fill="F2F6FC" w:val="clear"/>
          </w:tcPr>
          <w:p>
            <w:pPr>
              <w:jc w:val="right"/>
            </w:pPr>
            <w:r>
              <w:rPr>
                <w:rFonts w:ascii="Arial" w:hAnsi="Arial"/>
                <w:sz w:val="18"/>
              </w:rPr>
              <w:t>4,168,058.43</w:t>
            </w:r>
          </w:p>
        </w:tc>
        <w:tc>
          <w:tcPr>
            <w:tcW w:type="dxa" w:w="1505"/>
            <w:shd w:fill="F2F6FC" w:val="clear"/>
          </w:tcPr>
          <w:p>
            <w:pPr>
              <w:jc w:val="right"/>
            </w:pPr>
            <w:r>
              <w:rPr>
                <w:rFonts w:ascii="Arial" w:hAnsi="Arial"/>
                <w:sz w:val="18"/>
              </w:rPr>
              <w:t>6.99</w:t>
            </w:r>
          </w:p>
        </w:tc>
        <w:tc>
          <w:tcPr>
            <w:tcW w:type="dxa" w:w="1505"/>
            <w:shd w:fill="F2F6FC" w:val="clear"/>
          </w:tcPr>
          <w:p>
            <w:pPr>
              <w:jc w:val="right"/>
            </w:pPr>
            <w:r>
              <w:rPr>
                <w:rFonts w:ascii="Arial" w:hAnsi="Arial"/>
                <w:sz w:val="18"/>
              </w:rPr>
              <w:t>26.45</w:t>
            </w:r>
          </w:p>
        </w:tc>
        <w:tc>
          <w:tcPr>
            <w:tcW w:type="dxa" w:w="1505"/>
            <w:shd w:fill="F2F6FC" w:val="clear"/>
          </w:tcPr>
          <w:p>
            <w:pPr>
              <w:jc w:val="right"/>
            </w:pPr>
            <w:r>
              <w:rPr>
                <w:rFonts w:ascii="Arial" w:hAnsi="Arial"/>
                <w:sz w:val="18"/>
              </w:rPr>
              <w:t>3.40</w:t>
            </w:r>
          </w:p>
        </w:tc>
      </w:tr>
      <w:tr>
        <w:tc>
          <w:tcPr>
            <w:tcW w:type="dxa" w:w="1505"/>
          </w:tcPr>
          <w:p>
            <w:r>
              <w:rPr>
                <w:rFonts w:ascii="Arial" w:hAnsi="Arial"/>
                <w:sz w:val="18"/>
              </w:rPr>
              <w:t>Manufacturing - Steel</w:t>
            </w:r>
          </w:p>
        </w:tc>
        <w:tc>
          <w:tcPr>
            <w:tcW w:type="dxa" w:w="1505"/>
          </w:tcPr>
          <w:p>
            <w:pPr>
              <w:jc w:val="right"/>
            </w:pPr>
            <w:r>
              <w:rPr>
                <w:rFonts w:ascii="Arial" w:hAnsi="Arial"/>
                <w:sz w:val="18"/>
              </w:rPr>
              <w:t>3,499,463.0</w:t>
            </w:r>
          </w:p>
        </w:tc>
        <w:tc>
          <w:tcPr>
            <w:tcW w:type="dxa" w:w="1505"/>
          </w:tcPr>
          <w:p>
            <w:pPr>
              <w:jc w:val="right"/>
            </w:pPr>
            <w:r>
              <w:rPr>
                <w:rFonts w:ascii="Arial" w:hAnsi="Arial"/>
                <w:sz w:val="18"/>
              </w:rPr>
              <w:t>2,228,739.65</w:t>
            </w:r>
          </w:p>
        </w:tc>
        <w:tc>
          <w:tcPr>
            <w:tcW w:type="dxa" w:w="1505"/>
          </w:tcPr>
          <w:p>
            <w:pPr>
              <w:jc w:val="right"/>
            </w:pPr>
            <w:r>
              <w:rPr>
                <w:rFonts w:ascii="Arial" w:hAnsi="Arial"/>
                <w:sz w:val="18"/>
              </w:rPr>
              <w:t>7.05</w:t>
            </w:r>
          </w:p>
        </w:tc>
        <w:tc>
          <w:tcPr>
            <w:tcW w:type="dxa" w:w="1505"/>
          </w:tcPr>
          <w:p>
            <w:pPr>
              <w:jc w:val="right"/>
            </w:pPr>
            <w:r>
              <w:rPr>
                <w:rFonts w:ascii="Arial" w:hAnsi="Arial"/>
                <w:sz w:val="18"/>
              </w:rPr>
              <w:t>15.92</w:t>
            </w:r>
          </w:p>
        </w:tc>
        <w:tc>
          <w:tcPr>
            <w:tcW w:type="dxa" w:w="1505"/>
          </w:tcPr>
          <w:p>
            <w:pPr>
              <w:jc w:val="right"/>
            </w:pPr>
            <w:r>
              <w:rPr>
                <w:rFonts w:ascii="Arial" w:hAnsi="Arial"/>
                <w:sz w:val="18"/>
              </w:rPr>
              <w:t>3.35</w:t>
            </w:r>
          </w:p>
        </w:tc>
      </w:tr>
      <w:tr>
        <w:tc>
          <w:tcPr>
            <w:tcW w:type="dxa" w:w="1505"/>
            <w:shd w:fill="F2F6FC" w:val="clear"/>
          </w:tcPr>
          <w:p>
            <w:r>
              <w:rPr>
                <w:rFonts w:ascii="Arial" w:hAnsi="Arial"/>
                <w:sz w:val="18"/>
              </w:rPr>
              <w:t>Transportation - Road</w:t>
            </w:r>
          </w:p>
        </w:tc>
        <w:tc>
          <w:tcPr>
            <w:tcW w:type="dxa" w:w="1505"/>
            <w:shd w:fill="F2F6FC" w:val="clear"/>
          </w:tcPr>
          <w:p>
            <w:pPr>
              <w:jc w:val="right"/>
            </w:pPr>
            <w:r>
              <w:rPr>
                <w:rFonts w:ascii="Arial" w:hAnsi="Arial"/>
                <w:sz w:val="18"/>
              </w:rPr>
              <w:t>1,227,019.62</w:t>
            </w:r>
          </w:p>
        </w:tc>
        <w:tc>
          <w:tcPr>
            <w:tcW w:type="dxa" w:w="1505"/>
            <w:shd w:fill="F2F6FC" w:val="clear"/>
          </w:tcPr>
          <w:p>
            <w:pPr>
              <w:jc w:val="right"/>
            </w:pPr>
            <w:r>
              <w:rPr>
                <w:rFonts w:ascii="Arial" w:hAnsi="Arial"/>
                <w:sz w:val="18"/>
              </w:rPr>
              <w:t>864,356.23</w:t>
            </w:r>
          </w:p>
        </w:tc>
        <w:tc>
          <w:tcPr>
            <w:tcW w:type="dxa" w:w="1505"/>
            <w:shd w:fill="F2F6FC" w:val="clear"/>
          </w:tcPr>
          <w:p>
            <w:pPr>
              <w:jc w:val="right"/>
            </w:pPr>
            <w:r>
              <w:rPr>
                <w:rFonts w:ascii="Arial" w:hAnsi="Arial"/>
                <w:sz w:val="18"/>
              </w:rPr>
              <w:t>10.09</w:t>
            </w:r>
          </w:p>
        </w:tc>
        <w:tc>
          <w:tcPr>
            <w:tcW w:type="dxa" w:w="1505"/>
            <w:shd w:fill="F2F6FC" w:val="clear"/>
          </w:tcPr>
          <w:p>
            <w:pPr>
              <w:jc w:val="right"/>
            </w:pPr>
            <w:r>
              <w:rPr>
                <w:rFonts w:ascii="Arial" w:hAnsi="Arial"/>
                <w:sz w:val="18"/>
              </w:rPr>
              <w:t>5.58</w:t>
            </w:r>
          </w:p>
        </w:tc>
        <w:tc>
          <w:tcPr>
            <w:tcW w:type="dxa" w:w="1505"/>
            <w:shd w:fill="F2F6FC" w:val="clear"/>
          </w:tcPr>
          <w:p>
            <w:pPr>
              <w:jc w:val="right"/>
            </w:pPr>
            <w:r>
              <w:rPr>
                <w:rFonts w:ascii="Arial" w:hAnsi="Arial"/>
                <w:sz w:val="18"/>
              </w:rPr>
              <w:t>3.36</w:t>
            </w:r>
          </w:p>
        </w:tc>
      </w:tr>
      <w:tr>
        <w:tc>
          <w:tcPr>
            <w:tcW w:type="dxa" w:w="1505"/>
          </w:tcPr>
          <w:p>
            <w:r>
              <w:rPr>
                <w:rFonts w:ascii="Arial" w:hAnsi="Arial"/>
                <w:sz w:val="18"/>
              </w:rPr>
              <w:t>Manufacturing - Food &amp; Beverage</w:t>
            </w:r>
          </w:p>
        </w:tc>
        <w:tc>
          <w:tcPr>
            <w:tcW w:type="dxa" w:w="1505"/>
          </w:tcPr>
          <w:p>
            <w:pPr>
              <w:jc w:val="right"/>
            </w:pPr>
            <w:r>
              <w:rPr>
                <w:rFonts w:ascii="Arial" w:hAnsi="Arial"/>
                <w:sz w:val="18"/>
              </w:rPr>
              <w:t>936,111.21</w:t>
            </w:r>
          </w:p>
        </w:tc>
        <w:tc>
          <w:tcPr>
            <w:tcW w:type="dxa" w:w="1505"/>
          </w:tcPr>
          <w:p>
            <w:pPr>
              <w:jc w:val="right"/>
            </w:pPr>
            <w:r>
              <w:rPr>
                <w:rFonts w:ascii="Arial" w:hAnsi="Arial"/>
                <w:sz w:val="18"/>
              </w:rPr>
              <w:t>653,413.56</w:t>
            </w:r>
          </w:p>
        </w:tc>
        <w:tc>
          <w:tcPr>
            <w:tcW w:type="dxa" w:w="1505"/>
          </w:tcPr>
          <w:p>
            <w:pPr>
              <w:jc w:val="right"/>
            </w:pPr>
            <w:r>
              <w:rPr>
                <w:rFonts w:ascii="Arial" w:hAnsi="Arial"/>
                <w:sz w:val="18"/>
              </w:rPr>
              <w:t>10.97</w:t>
            </w:r>
          </w:p>
        </w:tc>
        <w:tc>
          <w:tcPr>
            <w:tcW w:type="dxa" w:w="1505"/>
          </w:tcPr>
          <w:p>
            <w:pPr>
              <w:jc w:val="right"/>
            </w:pPr>
            <w:r>
              <w:rPr>
                <w:rFonts w:ascii="Arial" w:hAnsi="Arial"/>
                <w:sz w:val="18"/>
              </w:rPr>
              <w:t>4.26</w:t>
            </w:r>
          </w:p>
        </w:tc>
        <w:tc>
          <w:tcPr>
            <w:tcW w:type="dxa" w:w="1505"/>
          </w:tcPr>
          <w:p>
            <w:pPr>
              <w:jc w:val="right"/>
            </w:pPr>
            <w:r>
              <w:rPr>
                <w:rFonts w:ascii="Arial" w:hAnsi="Arial"/>
                <w:sz w:val="18"/>
              </w:rPr>
              <w:t>3.35</w:t>
            </w:r>
          </w:p>
        </w:tc>
      </w:tr>
      <w:tr>
        <w:tc>
          <w:tcPr>
            <w:tcW w:type="dxa" w:w="1505"/>
            <w:shd w:fill="F2F6FC" w:val="clear"/>
          </w:tcPr>
          <w:p>
            <w:r>
              <w:rPr>
                <w:rFonts w:ascii="Arial" w:hAnsi="Arial"/>
                <w:sz w:val="18"/>
              </w:rPr>
              <w:t>Agriculture</w:t>
            </w:r>
          </w:p>
        </w:tc>
        <w:tc>
          <w:tcPr>
            <w:tcW w:type="dxa" w:w="1505"/>
            <w:shd w:fill="F2F6FC" w:val="clear"/>
          </w:tcPr>
          <w:p>
            <w:pPr>
              <w:jc w:val="right"/>
            </w:pPr>
            <w:r>
              <w:rPr>
                <w:rFonts w:ascii="Arial" w:hAnsi="Arial"/>
                <w:sz w:val="18"/>
              </w:rPr>
              <w:t>288,493.25</w:t>
            </w:r>
          </w:p>
        </w:tc>
        <w:tc>
          <w:tcPr>
            <w:tcW w:type="dxa" w:w="1505"/>
            <w:shd w:fill="F2F6FC" w:val="clear"/>
          </w:tcPr>
          <w:p>
            <w:pPr>
              <w:jc w:val="right"/>
            </w:pPr>
            <w:r>
              <w:rPr>
                <w:rFonts w:ascii="Arial" w:hAnsi="Arial"/>
                <w:sz w:val="18"/>
              </w:rPr>
              <w:t>183,548.39</w:t>
            </w:r>
          </w:p>
        </w:tc>
        <w:tc>
          <w:tcPr>
            <w:tcW w:type="dxa" w:w="1505"/>
            <w:shd w:fill="F2F6FC" w:val="clear"/>
          </w:tcPr>
          <w:p>
            <w:pPr>
              <w:jc w:val="right"/>
            </w:pPr>
            <w:r>
              <w:rPr>
                <w:rFonts w:ascii="Arial" w:hAnsi="Arial"/>
                <w:sz w:val="18"/>
              </w:rPr>
              <w:t>7.71</w:t>
            </w:r>
          </w:p>
        </w:tc>
        <w:tc>
          <w:tcPr>
            <w:tcW w:type="dxa" w:w="1505"/>
            <w:shd w:fill="F2F6FC" w:val="clear"/>
          </w:tcPr>
          <w:p>
            <w:pPr>
              <w:jc w:val="right"/>
            </w:pPr>
            <w:r>
              <w:rPr>
                <w:rFonts w:ascii="Arial" w:hAnsi="Arial"/>
                <w:sz w:val="18"/>
              </w:rPr>
              <w:t>1.31</w:t>
            </w:r>
          </w:p>
        </w:tc>
        <w:tc>
          <w:tcPr>
            <w:tcW w:type="dxa" w:w="1505"/>
            <w:shd w:fill="F2F6FC" w:val="clear"/>
          </w:tcPr>
          <w:p>
            <w:pPr>
              <w:jc w:val="right"/>
            </w:pPr>
            <w:r>
              <w:rPr>
                <w:rFonts w:ascii="Arial" w:hAnsi="Arial"/>
                <w:sz w:val="18"/>
              </w:rPr>
              <w:t>3.41</w:t>
            </w:r>
          </w:p>
        </w:tc>
      </w:tr>
      <w:tr>
        <w:tc>
          <w:tcPr>
            <w:tcW w:type="dxa" w:w="1505"/>
          </w:tcPr>
          <w:p>
            <w:r>
              <w:rPr>
                <w:rFonts w:ascii="Arial" w:hAnsi="Arial"/>
                <w:sz w:val="18"/>
              </w:rPr>
              <w:t>Real Estate - Commercial</w:t>
            </w:r>
          </w:p>
        </w:tc>
        <w:tc>
          <w:tcPr>
            <w:tcW w:type="dxa" w:w="1505"/>
          </w:tcPr>
          <w:p>
            <w:pPr>
              <w:jc w:val="right"/>
            </w:pPr>
            <w:r>
              <w:rPr>
                <w:rFonts w:ascii="Arial" w:hAnsi="Arial"/>
                <w:sz w:val="18"/>
              </w:rPr>
              <w:t>231,235.2</w:t>
            </w:r>
          </w:p>
        </w:tc>
        <w:tc>
          <w:tcPr>
            <w:tcW w:type="dxa" w:w="1505"/>
          </w:tcPr>
          <w:p>
            <w:pPr>
              <w:jc w:val="right"/>
            </w:pPr>
            <w:r>
              <w:rPr>
                <w:rFonts w:ascii="Arial" w:hAnsi="Arial"/>
                <w:sz w:val="18"/>
              </w:rPr>
              <w:t>158,419.07</w:t>
            </w:r>
          </w:p>
        </w:tc>
        <w:tc>
          <w:tcPr>
            <w:tcW w:type="dxa" w:w="1505"/>
          </w:tcPr>
          <w:p>
            <w:pPr>
              <w:jc w:val="right"/>
            </w:pPr>
            <w:r>
              <w:rPr>
                <w:rFonts w:ascii="Arial" w:hAnsi="Arial"/>
                <w:sz w:val="18"/>
              </w:rPr>
              <w:t>16.27</w:t>
            </w:r>
          </w:p>
        </w:tc>
        <w:tc>
          <w:tcPr>
            <w:tcW w:type="dxa" w:w="1505"/>
          </w:tcPr>
          <w:p>
            <w:pPr>
              <w:jc w:val="right"/>
            </w:pPr>
            <w:r>
              <w:rPr>
                <w:rFonts w:ascii="Arial" w:hAnsi="Arial"/>
                <w:sz w:val="18"/>
              </w:rPr>
              <w:t>1.05</w:t>
            </w:r>
          </w:p>
        </w:tc>
        <w:tc>
          <w:tcPr>
            <w:tcW w:type="dxa" w:w="1505"/>
          </w:tcPr>
          <w:p>
            <w:pPr>
              <w:jc w:val="right"/>
            </w:pPr>
            <w:r>
              <w:rPr>
                <w:rFonts w:ascii="Arial" w:hAnsi="Arial"/>
                <w:sz w:val="18"/>
              </w:rPr>
              <w:t>3.27</w:t>
            </w:r>
          </w:p>
        </w:tc>
      </w:tr>
      <w:tr>
        <w:tc>
          <w:tcPr>
            <w:tcW w:type="dxa" w:w="1505"/>
            <w:shd w:fill="F2F6FC" w:val="clear"/>
          </w:tcPr>
          <w:p>
            <w:r>
              <w:rPr>
                <w:rFonts w:ascii="Arial" w:hAnsi="Arial"/>
                <w:sz w:val="18"/>
              </w:rPr>
              <w:t>Retail Trade</w:t>
            </w:r>
          </w:p>
        </w:tc>
        <w:tc>
          <w:tcPr>
            <w:tcW w:type="dxa" w:w="1505"/>
            <w:shd w:fill="F2F6FC" w:val="clear"/>
          </w:tcPr>
          <w:p>
            <w:pPr>
              <w:jc w:val="right"/>
            </w:pPr>
            <w:r>
              <w:rPr>
                <w:rFonts w:ascii="Arial" w:hAnsi="Arial"/>
                <w:sz w:val="18"/>
              </w:rPr>
              <w:t>226,340.67</w:t>
            </w:r>
          </w:p>
        </w:tc>
        <w:tc>
          <w:tcPr>
            <w:tcW w:type="dxa" w:w="1505"/>
            <w:shd w:fill="F2F6FC" w:val="clear"/>
          </w:tcPr>
          <w:p>
            <w:pPr>
              <w:jc w:val="right"/>
            </w:pPr>
            <w:r>
              <w:rPr>
                <w:rFonts w:ascii="Arial" w:hAnsi="Arial"/>
                <w:sz w:val="18"/>
              </w:rPr>
              <w:t>140,812.97</w:t>
            </w:r>
          </w:p>
        </w:tc>
        <w:tc>
          <w:tcPr>
            <w:tcW w:type="dxa" w:w="1505"/>
            <w:shd w:fill="F2F6FC" w:val="clear"/>
          </w:tcPr>
          <w:p>
            <w:pPr>
              <w:jc w:val="right"/>
            </w:pPr>
            <w:r>
              <w:rPr>
                <w:rFonts w:ascii="Arial" w:hAnsi="Arial"/>
                <w:sz w:val="18"/>
              </w:rPr>
              <w:t>9.92</w:t>
            </w:r>
          </w:p>
        </w:tc>
        <w:tc>
          <w:tcPr>
            <w:tcW w:type="dxa" w:w="1505"/>
            <w:shd w:fill="F2F6FC" w:val="clear"/>
          </w:tcPr>
          <w:p>
            <w:pPr>
              <w:jc w:val="right"/>
            </w:pPr>
            <w:r>
              <w:rPr>
                <w:rFonts w:ascii="Arial" w:hAnsi="Arial"/>
                <w:sz w:val="18"/>
              </w:rPr>
              <w:t>1.03</w:t>
            </w:r>
          </w:p>
        </w:tc>
        <w:tc>
          <w:tcPr>
            <w:tcW w:type="dxa" w:w="1505"/>
            <w:shd w:fill="F2F6FC" w:val="clear"/>
          </w:tcPr>
          <w:p>
            <w:pPr>
              <w:jc w:val="right"/>
            </w:pPr>
            <w:r>
              <w:rPr>
                <w:rFonts w:ascii="Arial" w:hAnsi="Arial"/>
                <w:sz w:val="18"/>
              </w:rPr>
              <w:t>3.21</w:t>
            </w:r>
          </w:p>
        </w:tc>
      </w:tr>
      <w:tr>
        <w:tc>
          <w:tcPr>
            <w:tcW w:type="dxa" w:w="1505"/>
          </w:tcPr>
          <w:p>
            <w:r>
              <w:rPr>
                <w:rFonts w:ascii="Arial" w:hAnsi="Arial"/>
                <w:sz w:val="18"/>
              </w:rPr>
              <w:t>Real Estate - Residential</w:t>
            </w:r>
          </w:p>
        </w:tc>
        <w:tc>
          <w:tcPr>
            <w:tcW w:type="dxa" w:w="1505"/>
          </w:tcPr>
          <w:p>
            <w:pPr>
              <w:jc w:val="right"/>
            </w:pPr>
            <w:r>
              <w:rPr>
                <w:rFonts w:ascii="Arial" w:hAnsi="Arial"/>
                <w:sz w:val="18"/>
              </w:rPr>
              <w:t>107,465.43</w:t>
            </w:r>
          </w:p>
        </w:tc>
        <w:tc>
          <w:tcPr>
            <w:tcW w:type="dxa" w:w="1505"/>
          </w:tcPr>
          <w:p>
            <w:pPr>
              <w:jc w:val="right"/>
            </w:pPr>
            <w:r>
              <w:rPr>
                <w:rFonts w:ascii="Arial" w:hAnsi="Arial"/>
                <w:sz w:val="18"/>
              </w:rPr>
              <w:t>79,158.87</w:t>
            </w:r>
          </w:p>
        </w:tc>
        <w:tc>
          <w:tcPr>
            <w:tcW w:type="dxa" w:w="1505"/>
          </w:tcPr>
          <w:p>
            <w:pPr>
              <w:jc w:val="right"/>
            </w:pPr>
            <w:r>
              <w:rPr>
                <w:rFonts w:ascii="Arial" w:hAnsi="Arial"/>
                <w:sz w:val="18"/>
              </w:rPr>
              <w:t>10.93</w:t>
            </w:r>
          </w:p>
        </w:tc>
        <w:tc>
          <w:tcPr>
            <w:tcW w:type="dxa" w:w="1505"/>
          </w:tcPr>
          <w:p>
            <w:pPr>
              <w:jc w:val="right"/>
            </w:pPr>
            <w:r>
              <w:rPr>
                <w:rFonts w:ascii="Arial" w:hAnsi="Arial"/>
                <w:sz w:val="18"/>
              </w:rPr>
              <w:t>0.49</w:t>
            </w:r>
          </w:p>
        </w:tc>
        <w:tc>
          <w:tcPr>
            <w:tcW w:type="dxa" w:w="1505"/>
          </w:tcPr>
          <w:p>
            <w:pPr>
              <w:jc w:val="right"/>
            </w:pPr>
            <w:r>
              <w:rPr>
                <w:rFonts w:ascii="Arial" w:hAnsi="Arial"/>
                <w:sz w:val="18"/>
              </w:rPr>
              <w:t>3.32</w:t>
            </w:r>
          </w:p>
        </w:tc>
      </w:tr>
      <w:tr>
        <w:tc>
          <w:tcPr>
            <w:tcW w:type="dxa" w:w="1505"/>
            <w:shd w:fill="F2F6FC" w:val="clear"/>
          </w:tcPr>
          <w:p>
            <w:r>
              <w:rPr>
                <w:rFonts w:ascii="Arial" w:hAnsi="Arial"/>
                <w:sz w:val="18"/>
              </w:rPr>
              <w:t>Financial Services</w:t>
            </w:r>
          </w:p>
        </w:tc>
        <w:tc>
          <w:tcPr>
            <w:tcW w:type="dxa" w:w="1505"/>
            <w:shd w:fill="F2F6FC" w:val="clear"/>
          </w:tcPr>
          <w:p>
            <w:pPr>
              <w:jc w:val="right"/>
            </w:pPr>
            <w:r>
              <w:rPr>
                <w:rFonts w:ascii="Arial" w:hAnsi="Arial"/>
                <w:sz w:val="18"/>
              </w:rPr>
              <w:t>73,693.74</w:t>
            </w:r>
          </w:p>
        </w:tc>
        <w:tc>
          <w:tcPr>
            <w:tcW w:type="dxa" w:w="1505"/>
            <w:shd w:fill="F2F6FC" w:val="clear"/>
          </w:tcPr>
          <w:p>
            <w:pPr>
              <w:jc w:val="right"/>
            </w:pPr>
            <w:r>
              <w:rPr>
                <w:rFonts w:ascii="Arial" w:hAnsi="Arial"/>
                <w:sz w:val="18"/>
              </w:rPr>
              <w:t>49,718.26</w:t>
            </w:r>
          </w:p>
        </w:tc>
        <w:tc>
          <w:tcPr>
            <w:tcW w:type="dxa" w:w="1505"/>
            <w:shd w:fill="F2F6FC" w:val="clear"/>
          </w:tcPr>
          <w:p>
            <w:pPr>
              <w:jc w:val="right"/>
            </w:pPr>
            <w:r>
              <w:rPr>
                <w:rFonts w:ascii="Arial" w:hAnsi="Arial"/>
                <w:sz w:val="18"/>
              </w:rPr>
              <w:t>13.41</w:t>
            </w:r>
          </w:p>
        </w:tc>
        <w:tc>
          <w:tcPr>
            <w:tcW w:type="dxa" w:w="1505"/>
            <w:shd w:fill="F2F6FC" w:val="clear"/>
          </w:tcPr>
          <w:p>
            <w:pPr>
              <w:jc w:val="right"/>
            </w:pPr>
            <w:r>
              <w:rPr>
                <w:rFonts w:ascii="Arial" w:hAnsi="Arial"/>
                <w:sz w:val="18"/>
              </w:rPr>
              <w:t>0.34</w:t>
            </w:r>
          </w:p>
        </w:tc>
        <w:tc>
          <w:tcPr>
            <w:tcW w:type="dxa" w:w="1505"/>
            <w:shd w:fill="F2F6FC" w:val="clear"/>
          </w:tcPr>
          <w:p>
            <w:pPr>
              <w:jc w:val="right"/>
            </w:pPr>
            <w:r>
              <w:rPr>
                <w:rFonts w:ascii="Arial" w:hAnsi="Arial"/>
                <w:sz w:val="18"/>
              </w:rPr>
              <w:t>3.42</w:t>
            </w:r>
          </w:p>
        </w:tc>
      </w:tr>
    </w:tbl>
    <w:p>
      <w:r>
        <w:rPr>
          <w:rFonts w:ascii="Arial" w:hAnsi="Arial"/>
          <w:i/>
          <w:sz w:val="16"/>
        </w:rPr>
        <w:t>Source: Source: Institution's PCAF calculation for 2024 reporting period. Weighted emissions apply data quality confidence factors per PCAF Global Standard.</w:t>
      </w:r>
    </w:p>
    <w:p/>
    <w:p>
      <w:r>
        <w:rPr>
          <w:rFonts w:ascii="Arial" w:hAnsi="Arial"/>
          <w:b/>
          <w:sz w:val="20"/>
        </w:rPr>
        <w:t>Table 1.3.2: Framework Cross-Reference — Financed Emissions Disclosure</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Framework</w:t>
            </w:r>
          </w:p>
        </w:tc>
        <w:tc>
          <w:tcPr>
            <w:tcW w:type="dxa" w:w="2257"/>
            <w:shd w:fill="1B3A6B" w:val="clear"/>
          </w:tcPr>
          <w:p>
            <w:r>
              <w:rPr>
                <w:rFonts w:ascii="Arial" w:hAnsi="Arial"/>
                <w:b/>
                <w:color w:val="FFFFFF"/>
                <w:sz w:val="18"/>
              </w:rPr>
              <w:t>Disclosure Reference</w:t>
            </w:r>
          </w:p>
        </w:tc>
        <w:tc>
          <w:tcPr>
            <w:tcW w:type="dxa" w:w="2257"/>
            <w:shd w:fill="1B3A6B" w:val="clear"/>
          </w:tcPr>
          <w:p>
            <w:r>
              <w:rPr>
                <w:rFonts w:ascii="Arial" w:hAnsi="Arial"/>
                <w:b/>
                <w:color w:val="FFFFFF"/>
                <w:sz w:val="18"/>
              </w:rPr>
              <w:t>Requirement</w:t>
            </w:r>
          </w:p>
        </w:tc>
        <w:tc>
          <w:tcPr>
            <w:tcW w:type="dxa" w:w="2257"/>
            <w:shd w:fill="1B3A6B" w:val="clear"/>
          </w:tcPr>
          <w:p>
            <w:r>
              <w:rPr>
                <w:rFonts w:ascii="Arial" w:hAnsi="Arial"/>
                <w:b/>
                <w:color w:val="FFFFFF"/>
                <w:sz w:val="18"/>
              </w:rPr>
              <w:t>Status</w:t>
            </w:r>
          </w:p>
        </w:tc>
      </w:tr>
      <w:tr>
        <w:tc>
          <w:tcPr>
            <w:tcW w:type="dxa" w:w="2257"/>
          </w:tcPr>
          <w:p>
            <w:r>
              <w:rPr>
                <w:rFonts w:ascii="Arial" w:hAnsi="Arial"/>
                <w:sz w:val="18"/>
              </w:rPr>
              <w:t>GRI 305-3</w:t>
            </w:r>
          </w:p>
        </w:tc>
        <w:tc>
          <w:tcPr>
            <w:tcW w:type="dxa" w:w="2257"/>
          </w:tcPr>
          <w:p>
            <w:r>
              <w:rPr>
                <w:rFonts w:ascii="Arial" w:hAnsi="Arial"/>
                <w:sz w:val="18"/>
              </w:rPr>
              <w:t>305-3a</w:t>
            </w:r>
          </w:p>
        </w:tc>
        <w:tc>
          <w:tcPr>
            <w:tcW w:type="dxa" w:w="2257"/>
          </w:tcPr>
          <w:p>
            <w:r>
              <w:rPr>
                <w:rFonts w:ascii="Arial" w:hAnsi="Arial"/>
                <w:sz w:val="18"/>
              </w:rPr>
              <w:t>Gross other indirect (Scope 3) GHG emissions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305-3d</w:t>
            </w:r>
          </w:p>
        </w:tc>
        <w:tc>
          <w:tcPr>
            <w:tcW w:type="dxa" w:w="2257"/>
            <w:shd w:fill="F2F6FC" w:val="clear"/>
          </w:tcPr>
          <w:p>
            <w:r>
              <w:rPr>
                <w:rFonts w:ascii="Arial" w:hAnsi="Arial"/>
                <w:sz w:val="18"/>
              </w:rPr>
              <w:t>Categories of Scope 3 emissions included in the calculation (Category 15: Investments)</w:t>
            </w:r>
          </w:p>
        </w:tc>
        <w:tc>
          <w:tcPr>
            <w:tcW w:type="dxa" w:w="2257"/>
            <w:shd w:fill="F2F6FC" w:val="clear"/>
          </w:tcPr>
          <w:p>
            <w:r>
              <w:rPr>
                <w:rFonts w:ascii="Arial" w:hAnsi="Arial"/>
                <w:sz w:val="18"/>
              </w:rPr>
              <w:t>✅ Disclosed</w:t>
            </w:r>
          </w:p>
        </w:tc>
      </w:tr>
      <w:tr>
        <w:tc>
          <w:tcPr>
            <w:tcW w:type="dxa" w:w="2257"/>
          </w:tcPr>
          <w:p>
            <w:r>
              <w:rPr>
                <w:rFonts w:ascii="Arial" w:hAnsi="Arial"/>
                <w:sz w:val="18"/>
              </w:rPr>
              <w:t>IFRS S2</w:t>
            </w:r>
          </w:p>
        </w:tc>
        <w:tc>
          <w:tcPr>
            <w:tcW w:type="dxa" w:w="2257"/>
          </w:tcPr>
          <w:p>
            <w:r>
              <w:rPr>
                <w:rFonts w:ascii="Arial" w:hAnsi="Arial"/>
                <w:sz w:val="18"/>
              </w:rPr>
              <w:t>Para 29(a)(iv)</w:t>
            </w:r>
          </w:p>
        </w:tc>
        <w:tc>
          <w:tcPr>
            <w:tcW w:type="dxa" w:w="2257"/>
          </w:tcPr>
          <w:p>
            <w:r>
              <w:rPr>
                <w:rFonts w:ascii="Arial" w:hAnsi="Arial"/>
                <w:sz w:val="18"/>
              </w:rPr>
              <w:t>Absolute gross Scope 3 GHG emissions</w:t>
            </w:r>
          </w:p>
        </w:tc>
        <w:tc>
          <w:tcPr>
            <w:tcW w:type="dxa" w:w="2257"/>
          </w:tcPr>
          <w:p>
            <w:r>
              <w:rPr>
                <w:rFonts w:ascii="Arial" w:hAnsi="Arial"/>
                <w:sz w:val="18"/>
              </w:rPr>
              <w:t>✅ Disclosed</w:t>
            </w:r>
          </w:p>
        </w:tc>
      </w:tr>
      <w:tr>
        <w:tc>
          <w:tcPr>
            <w:tcW w:type="dxa" w:w="2257"/>
            <w:shd w:fill="F2F6FC" w:val="clear"/>
          </w:tcPr>
          <w:p>
            <w:r>
              <w:rPr>
                <w:rFonts w:ascii="Arial" w:hAnsi="Arial"/>
                <w:sz w:val="18"/>
              </w:rPr>
              <w:t>IFRS S2</w:t>
            </w:r>
          </w:p>
        </w:tc>
        <w:tc>
          <w:tcPr>
            <w:tcW w:type="dxa" w:w="2257"/>
            <w:shd w:fill="F2F6FC" w:val="clear"/>
          </w:tcPr>
          <w:p>
            <w:r>
              <w:rPr>
                <w:rFonts w:ascii="Arial" w:hAnsi="Arial"/>
                <w:sz w:val="18"/>
              </w:rPr>
              <w:t>Para 29(a)(iv)</w:t>
            </w:r>
          </w:p>
        </w:tc>
        <w:tc>
          <w:tcPr>
            <w:tcW w:type="dxa" w:w="2257"/>
            <w:shd w:fill="F2F6FC" w:val="clear"/>
          </w:tcPr>
          <w:p>
            <w:r>
              <w:rPr>
                <w:rFonts w:ascii="Arial" w:hAnsi="Arial"/>
                <w:sz w:val="18"/>
              </w:rPr>
              <w:t>Industry-based metrics (financed emissions per PCAF)</w:t>
            </w:r>
          </w:p>
        </w:tc>
        <w:tc>
          <w:tcPr>
            <w:tcW w:type="dxa" w:w="2257"/>
            <w:shd w:fill="F2F6FC" w:val="clear"/>
          </w:tcPr>
          <w:p>
            <w:r>
              <w:rPr>
                <w:rFonts w:ascii="Arial" w:hAnsi="Arial"/>
                <w:sz w:val="18"/>
              </w:rPr>
              <w:t>✅ Disclosed</w:t>
            </w:r>
          </w:p>
        </w:tc>
      </w:tr>
      <w:tr>
        <w:tc>
          <w:tcPr>
            <w:tcW w:type="dxa" w:w="2257"/>
          </w:tcPr>
          <w:p>
            <w:r>
              <w:rPr>
                <w:rFonts w:ascii="Arial" w:hAnsi="Arial"/>
                <w:sz w:val="18"/>
              </w:rPr>
              <w:t>ESRS E1</w:t>
            </w:r>
          </w:p>
        </w:tc>
        <w:tc>
          <w:tcPr>
            <w:tcW w:type="dxa" w:w="2257"/>
          </w:tcPr>
          <w:p>
            <w:r>
              <w:rPr>
                <w:rFonts w:ascii="Arial" w:hAnsi="Arial"/>
                <w:sz w:val="18"/>
              </w:rPr>
              <w:t>DR E1-6.51</w:t>
            </w:r>
          </w:p>
        </w:tc>
        <w:tc>
          <w:tcPr>
            <w:tcW w:type="dxa" w:w="2257"/>
          </w:tcPr>
          <w:p>
            <w:r>
              <w:rPr>
                <w:rFonts w:ascii="Arial" w:hAnsi="Arial"/>
                <w:sz w:val="18"/>
              </w:rPr>
              <w:t>Total indirect GHG emissions (Scope 3) in metric tons of CO₂ equivalent</w:t>
            </w:r>
          </w:p>
        </w:tc>
        <w:tc>
          <w:tcPr>
            <w:tcW w:type="dxa" w:w="2257"/>
          </w:tcPr>
          <w:p>
            <w:r>
              <w:rPr>
                <w:rFonts w:ascii="Arial" w:hAnsi="Arial"/>
                <w:sz w:val="18"/>
              </w:rPr>
              <w:t>✅ Disclosed</w:t>
            </w:r>
          </w:p>
        </w:tc>
      </w:tr>
      <w:tr>
        <w:tc>
          <w:tcPr>
            <w:tcW w:type="dxa" w:w="2257"/>
            <w:shd w:fill="F2F6FC" w:val="clear"/>
          </w:tcPr>
          <w:p>
            <w:r>
              <w:rPr>
                <w:rFonts w:ascii="Arial" w:hAnsi="Arial"/>
                <w:sz w:val="18"/>
              </w:rPr>
              <w:t>OJK PSPK</w:t>
            </w:r>
          </w:p>
        </w:tc>
        <w:tc>
          <w:tcPr>
            <w:tcW w:type="dxa" w:w="2257"/>
            <w:shd w:fill="F2F6FC" w:val="clear"/>
          </w:tcPr>
          <w:p>
            <w:r>
              <w:rPr>
                <w:rFonts w:ascii="Arial" w:hAnsi="Arial"/>
                <w:sz w:val="18"/>
              </w:rPr>
              <w:t>Emisi Lingkup 3</w:t>
            </w:r>
          </w:p>
        </w:tc>
        <w:tc>
          <w:tcPr>
            <w:tcW w:type="dxa" w:w="2257"/>
            <w:shd w:fill="F2F6FC" w:val="clear"/>
          </w:tcPr>
          <w:p>
            <w:r>
              <w:rPr>
                <w:rFonts w:ascii="Arial" w:hAnsi="Arial"/>
                <w:sz w:val="18"/>
              </w:rPr>
              <w:t>Emisi pembiayaan menggunakan metodologi PCAF</w:t>
            </w:r>
          </w:p>
        </w:tc>
        <w:tc>
          <w:tcPr>
            <w:tcW w:type="dxa" w:w="2257"/>
            <w:shd w:fill="F2F6FC" w:val="clear"/>
          </w:tcPr>
          <w:p>
            <w:r>
              <w:rPr>
                <w:rFonts w:ascii="Arial" w:hAnsi="Arial"/>
                <w:sz w:val="18"/>
              </w:rPr>
              <w:t>✅ Disclosed</w:t>
            </w:r>
          </w:p>
        </w:tc>
      </w:tr>
      <w:tr>
        <w:tc>
          <w:tcPr>
            <w:tcW w:type="dxa" w:w="2257"/>
          </w:tcPr>
          <w:p>
            <w:r>
              <w:rPr>
                <w:rFonts w:ascii="Arial" w:hAnsi="Arial"/>
                <w:sz w:val="18"/>
              </w:rPr>
              <w:t>PCAF Global Standard</w:t>
            </w:r>
          </w:p>
        </w:tc>
        <w:tc>
          <w:tcPr>
            <w:tcW w:type="dxa" w:w="2257"/>
          </w:tcPr>
          <w:p>
            <w:r>
              <w:rPr>
                <w:rFonts w:ascii="Arial" w:hAnsi="Arial"/>
                <w:sz w:val="18"/>
              </w:rPr>
              <w:t>Part A (2022)</w:t>
            </w:r>
          </w:p>
        </w:tc>
        <w:tc>
          <w:tcPr>
            <w:tcW w:type="dxa" w:w="2257"/>
          </w:tcPr>
          <w:p>
            <w:r>
              <w:rPr>
                <w:rFonts w:ascii="Arial" w:hAnsi="Arial"/>
                <w:sz w:val="18"/>
              </w:rPr>
              <w:t>Attribution methodology and asset class coverage</w:t>
            </w:r>
          </w:p>
        </w:tc>
        <w:tc>
          <w:tcPr>
            <w:tcW w:type="dxa" w:w="2257"/>
          </w:tcPr>
          <w:p>
            <w:r>
              <w:rPr>
                <w:rFonts w:ascii="Arial" w:hAnsi="Arial"/>
                <w:sz w:val="18"/>
              </w:rPr>
              <w:t>✅ Disclosed</w:t>
            </w:r>
          </w:p>
        </w:tc>
      </w:tr>
      <w:tr>
        <w:tc>
          <w:tcPr>
            <w:tcW w:type="dxa" w:w="2257"/>
            <w:shd w:fill="F2F6FC" w:val="clear"/>
          </w:tcPr>
          <w:p>
            <w:r>
              <w:rPr>
                <w:rFonts w:ascii="Arial" w:hAnsi="Arial"/>
                <w:sz w:val="18"/>
              </w:rPr>
              <w:t>PCAF Global Standard</w:t>
            </w:r>
          </w:p>
        </w:tc>
        <w:tc>
          <w:tcPr>
            <w:tcW w:type="dxa" w:w="2257"/>
            <w:shd w:fill="F2F6FC" w:val="clear"/>
          </w:tcPr>
          <w:p>
            <w:r>
              <w:rPr>
                <w:rFonts w:ascii="Arial" w:hAnsi="Arial"/>
                <w:sz w:val="18"/>
              </w:rPr>
              <w:t>Data Quality</w:t>
            </w:r>
          </w:p>
        </w:tc>
        <w:tc>
          <w:tcPr>
            <w:tcW w:type="dxa" w:w="2257"/>
            <w:shd w:fill="F2F6FC" w:val="clear"/>
          </w:tcPr>
          <w:p>
            <w:r>
              <w:rPr>
                <w:rFonts w:ascii="Arial" w:hAnsi="Arial"/>
                <w:sz w:val="18"/>
              </w:rPr>
              <w:t>Portfolio-weighted data quality score (1-5 scale)</w:t>
            </w:r>
          </w:p>
        </w:tc>
        <w:tc>
          <w:tcPr>
            <w:tcW w:type="dxa" w:w="2257"/>
            <w:shd w:fill="F2F6FC" w:val="clear"/>
          </w:tcPr>
          <w:p>
            <w:r>
              <w:rPr>
                <w:rFonts w:ascii="Arial" w:hAnsi="Arial"/>
                <w:sz w:val="18"/>
              </w:rPr>
              <w:t>✅ Disclosed</w:t>
            </w:r>
          </w:p>
        </w:tc>
      </w:tr>
    </w:tbl>
    <w:p>
      <w:r>
        <w:rPr>
          <w:rFonts w:ascii="Arial" w:hAnsi="Arial"/>
          <w:i/>
          <w:sz w:val="16"/>
        </w:rPr>
        <w:t>Source: All framework requirements for financed emissions disclosure are met for the 2024 reporting period.</w:t>
      </w:r>
    </w:p>
    <w:p/>
    <w:p>
      <w:pPr>
        <w:spacing w:after="160" w:line="276" w:lineRule="auto"/>
        <w:jc w:val="both"/>
      </w:pPr>
      <w:r>
        <w:rPr>
          <w:rFonts w:ascii="Arial" w:hAnsi="Arial"/>
          <w:i/>
          <w:color w:val="646464"/>
          <w:sz w:val="18"/>
        </w:rPr>
        <w:t>[Chart: Financed Emissions by Sector (Gross vs Weighted, 2024) — matplotlib layer not installed]</w:t>
      </w:r>
    </w:p>
    <w:p>
      <w:pPr>
        <w:spacing w:after="160" w:line="276" w:lineRule="auto"/>
        <w:jc w:val="both"/>
      </w:pPr>
      <w:r>
        <w:rPr>
          <w:rFonts w:ascii="Arial" w:hAnsi="Arial"/>
          <w:i/>
          <w:color w:val="646464"/>
          <w:sz w:val="18"/>
        </w:rPr>
        <w:t>[Chart: Emission Intensity by Sector (tCO₂e per IDR Billion, 2024) — matplotlib layer not installed]</w:t>
      </w:r>
    </w:p>
    <w:p>
      <w:pPr>
        <w:spacing w:after="160" w:line="276" w:lineRule="auto"/>
        <w:jc w:val="both"/>
      </w:pPr>
      <w:r>
        <w:rPr>
          <w:rFonts w:ascii="Arial" w:hAnsi="Arial"/>
          <w:i/>
          <w:color w:val="646464"/>
          <w:sz w:val="18"/>
        </w:rPr>
        <w:t>[Chart: PCAF Data Quality Distribution (Portfolio-Weighted, 2024) — matplotlib layer not installed]</w:t>
      </w:r>
    </w:p>
    <w:p>
      <w:pPr>
        <w:spacing w:after="160" w:line="276" w:lineRule="auto"/>
        <w:jc w:val="both"/>
      </w:pPr>
      <w:r>
        <w:rPr>
          <w:rFonts w:ascii="Arial" w:hAnsi="Arial"/>
          <w:i/>
          <w:color w:val="646464"/>
          <w:sz w:val="18"/>
        </w:rPr>
        <w:t>[Chart: Financed Emissions Trend (Gross, 2023-2024) — matplotlib layer not installed]</w:t>
      </w:r>
    </w:p>
    <w:p/>
    <w:p>
      <w:r>
        <w:rPr>
          <w:b/>
          <w:color w:val="4A7AB5"/>
          <w:sz w:val="24"/>
        </w:rPr>
        <w:t>Diagnostic Analysis</w:t>
      </w:r>
    </w:p>
    <w:p>
      <w:pPr>
        <w:spacing w:after="160" w:line="276" w:lineRule="auto"/>
        <w:jc w:val="both"/>
      </w:pPr>
      <w:r>
        <w:rPr>
          <w:rFonts w:ascii="Arial" w:hAnsi="Arial"/>
          <w:sz w:val="22"/>
        </w:rPr>
        <w:t>The institution's financed emissions profile reveals a portfolio heavily concentrated in carbon-intensive sectors, with the top three sectors (Oil &amp; Gas, Cement, Steel) representing only 20.7% of portfolio value but generating 85.93% of financed emissions. This concentration creates significant transition risk exposure as these sectors face regulatory pressure, carbon pricing mechanisms, and investor scrutiny. The 4.07% year-over-year emissions reduction is positive but lags peer performance: BRI achieved 3.2% operational emissions reduction while simultaneously committing to SBTi with a 1.75°C portfolio alignment target by 2040, and DBS reduced emissions by 12% year-over-year while maintaining 62% renewable energy usage. The institution's data quality score of 3.36 indicates that the majority of financed emissions are calculated using estimated methodologies (physical activity-based or economic activity-based) rather than borrower-reported data, which limits the reliability of the baseline for target-setting and creates restatement risk as data quality improves.</w:t>
      </w:r>
    </w:p>
    <w:p>
      <w:r>
        <w:rPr>
          <w:b/>
          <w:sz w:val="22"/>
        </w:rPr>
        <w:t>Root Causes:</w:t>
      </w:r>
    </w:p>
    <w:p>
      <w:pPr>
        <w:spacing w:after="160" w:line="276" w:lineRule="auto"/>
        <w:jc w:val="both"/>
      </w:pPr>
      <w:r>
        <w:rPr>
          <w:rFonts w:ascii="Arial" w:hAnsi="Arial"/>
          <w:sz w:val="22"/>
        </w:rPr>
        <w:t>• Portfolio composition skewed toward carbon-intensive sectors: Oil &amp; Gas (6.66% of portfolio, 43.56% of emissions) has emission intensity 389x higher than Financial Services sector</w:t>
      </w:r>
    </w:p>
    <w:p>
      <w:pPr>
        <w:spacing w:after="160" w:line="276" w:lineRule="auto"/>
        <w:jc w:val="both"/>
      </w:pPr>
      <w:r>
        <w:rPr>
          <w:rFonts w:ascii="Arial" w:hAnsi="Arial"/>
          <w:sz w:val="22"/>
        </w:rPr>
        <w:t>• Absence of sector-specific credit policies or transition plan requirements for high-emitting borrowers, unlike peers BCA (exclusion list for coal, palm oil, cement, O&amp;G) and BRI (SBTi commitment with sector targets)</w:t>
      </w:r>
    </w:p>
    <w:p>
      <w:pPr>
        <w:spacing w:after="160" w:line="276" w:lineRule="auto"/>
        <w:jc w:val="both"/>
      </w:pPr>
      <w:r>
        <w:rPr>
          <w:rFonts w:ascii="Arial" w:hAnsi="Arial"/>
          <w:sz w:val="22"/>
        </w:rPr>
        <w:t>• Limited borrower engagement on emissions data collection: 0% of portfolio achieved PCAF Score 1 (verified reported emissions), indicating systematic gap in ESG data integration into credit processes</w:t>
      </w:r>
    </w:p>
    <w:p>
      <w:pPr>
        <w:spacing w:after="160" w:line="276" w:lineRule="auto"/>
        <w:jc w:val="both"/>
      </w:pPr>
      <w:r>
        <w:rPr>
          <w:rFonts w:ascii="Arial" w:hAnsi="Arial"/>
          <w:sz w:val="22"/>
        </w:rPr>
        <w:t>• No science-based decarbonization target established, creating strategic ambiguity for portfolio managers and limiting ability to align lending decisions with climate goals</w:t>
      </w:r>
    </w:p>
    <w:p>
      <w:r>
        <w:rPr>
          <w:b/>
          <w:sz w:val="22"/>
        </w:rPr>
        <w:t>Risk Implications:</w:t>
      </w:r>
    </w:p>
    <w:p>
      <w:pPr>
        <w:spacing w:after="160" w:line="276" w:lineRule="auto"/>
        <w:jc w:val="both"/>
      </w:pPr>
      <w:r>
        <w:rPr>
          <w:rFonts w:ascii="Arial" w:hAnsi="Arial"/>
          <w:sz w:val="22"/>
        </w:rPr>
        <w:t>• Regulatory risk: OJK POJK 51/2017 and SEOJK 16/2021 require climate risk integration into risk management. Current portfolio concentration in transition-sensitive sectors without mitigation strategy exposes institution to supervisory scrutiny and potential capital add-ons under Pillar 2 framework.</w:t>
      </w:r>
    </w:p>
    <w:p>
      <w:pPr>
        <w:spacing w:after="160" w:line="276" w:lineRule="auto"/>
        <w:jc w:val="both"/>
      </w:pPr>
      <w:r>
        <w:rPr>
          <w:rFonts w:ascii="Arial" w:hAnsi="Arial"/>
          <w:sz w:val="22"/>
        </w:rPr>
        <w:t>• Reputational risk: Peer institutions (BRI, BCA, DBS) have established public climate commitments and sector policies. Absence of comparable commitments creates negative differentiation in ESG ratings (current gap: DBS MSCI AA vs institution's likely A- or BBB+ based on disclosure maturity) and limits access to green/sustainability-linked funding markets.</w:t>
      </w:r>
    </w:p>
    <w:p>
      <w:pPr>
        <w:spacing w:after="160" w:line="276" w:lineRule="auto"/>
        <w:jc w:val="both"/>
      </w:pPr>
      <w:r>
        <w:rPr>
          <w:rFonts w:ascii="Arial" w:hAnsi="Arial"/>
          <w:sz w:val="22"/>
        </w:rPr>
        <w:t>• Financial risk: Without sector-specific engagement strategy, the institution faces potential credit losses as high-emitting borrowers encounter stranded asset risk, carbon pricing impacts, and reduced market access. IEA Net Zero by 2050 scenario implies 50-70% emissions reduction required in Oil &amp; Gas and Cement sectors by 2030, creating material transition risk for IDR 210.35 trillion of exposure.</w:t>
      </w:r>
    </w:p>
    <w:p>
      <w:pPr>
        <w:spacing w:after="160" w:line="276" w:lineRule="auto"/>
        <w:jc w:val="both"/>
      </w:pPr>
      <w:r>
        <w:rPr>
          <w:rFonts w:ascii="Arial" w:hAnsi="Arial"/>
          <w:sz w:val="22"/>
        </w:rPr>
        <w:t>• Data risk: Low data quality (Score 3.36) creates baseline uncertainty for target-setting. If data quality improves to Score 3.0 through better borrower reporting, confidence-weighted emissions could increase by 8-12%, requiring restatement of historical figures and undermining credibility of any interim targets set on current baseline.</w:t>
      </w:r>
    </w:p>
    <w:p/>
    <w:p>
      <w:r>
        <w:rPr>
          <w:b/>
          <w:color w:val="1B5E20"/>
          <w:sz w:val="24"/>
        </w:rPr>
        <w:t>⚡ Priority Actions</w:t>
      </w:r>
    </w:p>
    <w:p>
      <w:r>
        <w:rPr>
          <w:b/>
          <w:sz w:val="22"/>
        </w:rPr>
        <w:t>🔴 1. Submit SBTi commitment letter and develop sector-specific decarbonization targets for Oil &amp; Gas, Cement, and Steel portfolios aligned with IEA Net Zero by 2050 pathways. Establish Board-level ESG Committee (ref: BRI model) with quarterly reporting on financed emissions trajectory vs targets.</w:t>
      </w:r>
      <w:r>
        <w:rPr>
          <w:sz w:val="22"/>
        </w:rPr>
        <w:t xml:space="preserve"> (Q2 2025)</w:t>
      </w:r>
    </w:p>
    <w:p>
      <w:pPr>
        <w:spacing w:after="160" w:line="276" w:lineRule="auto"/>
        <w:jc w:val="both"/>
      </w:pPr>
      <w:r>
        <w:rPr>
          <w:rFonts w:ascii="Arial" w:hAnsi="Arial"/>
          <w:sz w:val="22"/>
        </w:rPr>
        <w:t xml:space="preserve">    → Expected: Establishes credible climate strategy framework. Peer reference: BRI's SBTi commitment improved ESG rating perception and enabled access to sustainability-linked funding. Expected emissions reduction pathway: 25% intensity improvement by 2030 for targeted sectors, equivalent to ~3.5 million tCO₂e reduction.</w:t>
      </w:r>
    </w:p>
    <w:p>
      <w:pPr>
        <w:spacing w:after="160" w:line="276" w:lineRule="auto"/>
        <w:jc w:val="both"/>
      </w:pPr>
      <w:r>
        <w:rPr>
          <w:rFonts w:ascii="Arial" w:hAnsi="Arial"/>
          <w:i/>
          <w:color w:val="646464"/>
          <w:sz w:val="18"/>
        </w:rPr>
        <w:t xml:space="preserve">    → Ref: BRI — First Indonesian FI to commit to SBTi (2023), targeting 1.75°C portfolio alignment by 2040. DBS — SBTi committed with 20% of executive remuneration linked to climate KPIs.</w:t>
      </w:r>
    </w:p>
    <w:p>
      <w:r>
        <w:rPr>
          <w:b/>
          <w:sz w:val="22"/>
        </w:rPr>
        <w:t>🔴 2. Launch systematic emissions data collection program for top 100 borrowers (representing ~70% of financed emissions). Integrate standardized GHG Protocol-aligned data request into annual credit review process. Provide borrower training workshops (quarterly) on emissions calculation for SME clients. Establish data quality KPI for relationship managers (target: 40% of portfolio achieving PCAF Score ≤3.0 by end-2026).</w:t>
      </w:r>
      <w:r>
        <w:rPr>
          <w:sz w:val="22"/>
        </w:rPr>
        <w:t xml:space="preserve"> (Q3 2025 - Q4 2026)</w:t>
      </w:r>
    </w:p>
    <w:p>
      <w:pPr>
        <w:spacing w:after="160" w:line="276" w:lineRule="auto"/>
        <w:jc w:val="both"/>
      </w:pPr>
      <w:r>
        <w:rPr>
          <w:rFonts w:ascii="Arial" w:hAnsi="Arial"/>
          <w:sz w:val="22"/>
        </w:rPr>
        <w:t xml:space="preserve">    → Expected: Improve portfolio-weighted PCAF score from 3.36 to 3.0, increasing confidence-weighted emissions accuracy by 8-12%. Enhanced data quality enables credible target-setting, reduces restatement risk, and strengthens assurance readiness for limited assurance engagement by 2026.</w:t>
      </w:r>
    </w:p>
    <w:p>
      <w:pPr>
        <w:spacing w:after="160" w:line="276" w:lineRule="auto"/>
        <w:jc w:val="both"/>
      </w:pPr>
      <w:r>
        <w:rPr>
          <w:rFonts w:ascii="Arial" w:hAnsi="Arial"/>
          <w:i/>
          <w:color w:val="646464"/>
          <w:sz w:val="18"/>
        </w:rPr>
        <w:t xml:space="preserve">    → Ref: BCA — Integrated ESG data collection into relationship management processes, achieving systematic coverage across corporate portfolio. DBS — Achieved 62% renewable energy through systematic supplier engagement and data verification.</w:t>
      </w:r>
    </w:p>
    <w:p>
      <w:r>
        <w:rPr>
          <w:b/>
          <w:sz w:val="22"/>
        </w:rPr>
        <w:t>🟡 3. Develop and implement sector-specific credit policies for Oil &amp; Gas and Cement sectors, including: (1) emissions intensity thresholds aligned with IEA Net Zero pathways, (2) mandatory transition plan requirements for borrowers exceeding thresholds, (3) preferential pricing (25-50 bps discount) for sustainability-linked loans with emissions reduction KPIs. Pilot with 10-15 borrowers in each sector representing IDR 50-75 trillion exposure.</w:t>
      </w:r>
      <w:r>
        <w:rPr>
          <w:sz w:val="22"/>
        </w:rPr>
        <w:t xml:space="preserve"> (Q1 2026)</w:t>
      </w:r>
    </w:p>
    <w:p>
      <w:pPr>
        <w:spacing w:after="160" w:line="276" w:lineRule="auto"/>
        <w:jc w:val="both"/>
      </w:pPr>
      <w:r>
        <w:rPr>
          <w:rFonts w:ascii="Arial" w:hAnsi="Arial"/>
          <w:sz w:val="22"/>
        </w:rPr>
        <w:t xml:space="preserve">    → Expected: Sector engagement programs at peer institutions achieved 5-8% emissions intensity improvements within 2-3 years. For institution's Oil &amp; Gas and Cement portfolios (IDR 210.35 trillion), 5% intensity improvement = ~770,000 tCO₂e annual reduction. SLL pricing structure creates revenue-neutral incentive mechanism while driving portfolio decarbonization.</w:t>
      </w:r>
    </w:p>
    <w:p>
      <w:pPr>
        <w:spacing w:after="160" w:line="276" w:lineRule="auto"/>
        <w:jc w:val="both"/>
      </w:pPr>
      <w:r>
        <w:rPr>
          <w:rFonts w:ascii="Arial" w:hAnsi="Arial"/>
          <w:i/>
          <w:color w:val="646464"/>
          <w:sz w:val="18"/>
        </w:rPr>
        <w:t xml:space="preserve">    → Ref: BCA — Established sectoral credit policies for coal, palm oil, cement, and O&amp;G with specific exclusion criteria and transition requirements. Exceeded SFAP target through SLL product deployment.</w:t>
      </w:r>
    </w:p>
    <w:p>
      <w:r>
        <w:rPr>
          <w:b/>
          <w:sz w:val="22"/>
        </w:rPr>
        <w:t>🟡 4. Establish external assurance roadmap: Limited assurance on Scope 1+2 and financed emissions (Scope 3 Cat 15) by 2026, progressing to reasonable assurance on key metrics by 2028. Engage Big Four accounting firm with climate/sustainability practice to conduct gap assessment and pre-assurance readiness review in Q4 2025.</w:t>
      </w:r>
      <w:r>
        <w:rPr>
          <w:sz w:val="22"/>
        </w:rPr>
        <w:t xml:space="preserve"> (Q4 2025 - 2028)</w:t>
      </w:r>
    </w:p>
    <w:p>
      <w:pPr>
        <w:spacing w:after="160" w:line="276" w:lineRule="auto"/>
        <w:jc w:val="both"/>
      </w:pPr>
      <w:r>
        <w:rPr>
          <w:rFonts w:ascii="Arial" w:hAnsi="Arial"/>
          <w:sz w:val="22"/>
        </w:rPr>
        <w:t xml:space="preserve">    → Expected: External assurance enhances credibility of climate disclosures, strengthens investor confidence, and positions institution for ISSB compliance (expected Indonesia adoption 2027-2028). Peer reference: DBS progressing to reasonable assurance on GHG data, supporting MSCI AA rating maintenance.</w:t>
      </w:r>
    </w:p>
    <w:p>
      <w:pPr>
        <w:spacing w:after="160" w:line="276" w:lineRule="auto"/>
        <w:jc w:val="both"/>
      </w:pPr>
      <w:r>
        <w:rPr>
          <w:rFonts w:ascii="Arial" w:hAnsi="Arial"/>
          <w:i/>
          <w:color w:val="646464"/>
          <w:sz w:val="18"/>
        </w:rPr>
        <w:t xml:space="preserve">    → Ref: DBS — Progressing to reasonable assurance on key climate metrics as part of comprehensive ESG assurance strategy. BRI — Established assurance framework aligned with SBTi commitment requirements.</w:t>
      </w:r>
    </w:p>
    <w:p/>
    <w:p>
      <w:r>
        <w:rPr>
          <w:i/>
          <w:color w:val="3D6094"/>
          <w:sz w:val="18"/>
        </w:rPr>
        <w:t>Framework references: GRI 305-3a — Gross other indirect (Scope 3) GHG emissions; GRI 305-3d — Categories of Scope 3 emissions included; IFRS S2 Para 29(a)(iv) — Scope 3 absolute gross emissions and industry-based metrics; ESRS E1-6 DR E1-6.51 — Total indirect GHG emissions (Scope 3); OJK PSPK — Emisi GRK Tidak Langsung Lainnya (Lingkup 3) — Emisi Pembiayaan; PCAF Global GHG Accounting and Reporting Standard Part A (2022) — Attribution methodology; PCAF Data Quality Score Framework — Portfolio-weighted data quality assessment</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Financed emissions calculations follow PCAF Global GHG Accounting and Reporting Standard Part A (2022). The institution applies the attribution factor methodology where financed emissions equal borrower emissions multiplied by the ratio of outstanding amount to total enterprise value.</w:t>
      </w:r>
    </w:p>
    <w:p>
      <w:pPr>
        <w:spacing w:after="160" w:line="276" w:lineRule="auto"/>
        <w:jc w:val="both"/>
      </w:pPr>
      <w:r>
        <w:rPr>
          <w:rFonts w:ascii="Arial" w:hAnsi="Arial"/>
          <w:i/>
          <w:color w:val="646464"/>
          <w:sz w:val="18"/>
        </w:rPr>
        <w:t>Data quality scores range from 1 (highest quality: verified reported emissions) to 5 (lowest quality: sector average proxies). Confidence factors applied to weighted emissions are: Score 1 = 100%, Score 2 = 90%, Score 3 = 70%, Score 4 = 50%, Score 5 = 30%.</w:t>
      </w:r>
    </w:p>
    <w:p>
      <w:pPr>
        <w:spacing w:after="160" w:line="276" w:lineRule="auto"/>
        <w:jc w:val="both"/>
      </w:pPr>
      <w:r>
        <w:rPr>
          <w:rFonts w:ascii="Arial" w:hAnsi="Arial"/>
          <w:i/>
          <w:color w:val="646464"/>
          <w:sz w:val="18"/>
        </w:rPr>
        <w:t>Sector classifications follow NACE Level 2 codes aligned with PCAF guidance and the EU Technical Expert Group phase-in approach for Scope 3 emissions reporting.</w:t>
      </w:r>
    </w:p>
    <w:p>
      <w:pPr>
        <w:spacing w:after="160" w:line="276" w:lineRule="auto"/>
        <w:jc w:val="both"/>
      </w:pPr>
      <w:r>
        <w:rPr>
          <w:rFonts w:ascii="Arial" w:hAnsi="Arial"/>
          <w:i/>
          <w:color w:val="646464"/>
          <w:sz w:val="18"/>
        </w:rPr>
        <w:t>Year-over-year comparison is based on gross financed emissions. Prior year (2023) gross financed emissions were 22,911,991.05 tCO₂e.</w:t>
      </w:r>
    </w:p>
    <w:p>
      <w:pPr>
        <w:pStyle w:val="Heading2"/>
        <w:keepNext/>
        <w:spacing w:before="360" w:after="160"/>
      </w:pPr>
      <w:r>
        <w:rPr>
          <w:rFonts w:ascii="Arial" w:hAnsi="Arial"/>
          <w:b/>
          <w:color w:val="3D6094"/>
          <w:sz w:val="28"/>
        </w:rPr>
        <w:t>1.4 GHG Emissions Intensity</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b/>
                <w:color w:val="1B3A6B"/>
                <w:sz w:val="40"/>
              </w:rPr>
              <w:t>239.40</w:t>
            </w:r>
            <w:r>
              <w:rPr>
                <w:sz w:val="18"/>
              </w:rPr>
              <w:t xml:space="preserve"> tCO₂e/IDR Bn</w:t>
            </w:r>
            <w:r>
              <w:rPr>
                <w:b/>
                <w:color w:val="4CAF50"/>
                <w:sz w:val="20"/>
              </w:rPr>
              <w:br/>
              <w:t>-11.37%</w:t>
            </w:r>
          </w:p>
        </w:tc>
        <w:tc>
          <w:tcPr>
            <w:tcW w:type="dxa" w:w="2257"/>
          </w:tcPr>
          <w:p>
            <w:pPr>
              <w:jc w:val="center"/>
            </w:pPr>
            <w:r>
              <w:rPr>
                <w:b/>
                <w:color w:val="1B3A6B"/>
                <w:sz w:val="40"/>
              </w:rPr>
              <w:t>1.92</w:t>
            </w:r>
            <w:r>
              <w:rPr>
                <w:sz w:val="18"/>
              </w:rPr>
              <w:t xml:space="preserve"> tCO₂e/FTE</w:t>
            </w:r>
            <w:r>
              <w:rPr>
                <w:b/>
                <w:color w:val="4CAF50"/>
                <w:sz w:val="20"/>
              </w:rPr>
              <w:br/>
              <w:t>-1.79%</w:t>
            </w:r>
          </w:p>
        </w:tc>
        <w:tc>
          <w:tcPr>
            <w:tcW w:type="dxa" w:w="2257"/>
          </w:tcPr>
          <w:p>
            <w:pPr>
              <w:jc w:val="center"/>
            </w:pPr>
            <w:r>
              <w:rPr>
                <w:b/>
                <w:color w:val="1B3A6B"/>
                <w:sz w:val="40"/>
              </w:rPr>
              <w:t>1.10</w:t>
            </w:r>
            <w:r>
              <w:rPr>
                <w:sz w:val="18"/>
              </w:rPr>
              <w:t xml:space="preserve"> tCO₂e/FTE</w:t>
            </w:r>
            <w:r>
              <w:rPr>
                <w:b/>
                <w:color w:val="F44336"/>
                <w:sz w:val="20"/>
              </w:rPr>
              <w:br/>
              <w:t>+135% higher</w:t>
            </w:r>
          </w:p>
        </w:tc>
        <w:tc>
          <w:tcPr>
            <w:tcW w:type="dxa" w:w="2257"/>
          </w:tcPr>
          <w:p>
            <w:pPr>
              <w:jc w:val="center"/>
            </w:pPr>
            <w:r>
              <w:rPr>
                <w:b/>
                <w:color w:val="1B3A6B"/>
                <w:sz w:val="40"/>
              </w:rPr>
              <w:t>64.7</w:t>
            </w:r>
            <w:r>
              <w:rPr>
                <w:sz w:val="18"/>
              </w:rPr>
              <w:t xml:space="preserve"> %</w:t>
            </w:r>
            <w:r>
              <w:rPr>
                <w:b/>
                <w:color w:val="F44336"/>
                <w:sz w:val="20"/>
              </w:rPr>
              <w:br/>
              <w:t>Primary reduction lever</w:t>
            </w:r>
          </w:p>
        </w:tc>
      </w:tr>
      <w:tr>
        <w:tc>
          <w:tcPr>
            <w:tcW w:type="dxa" w:w="2257"/>
          </w:tcPr>
          <w:p>
            <w:pPr>
              <w:jc w:val="center"/>
            </w:pPr>
            <w:r>
              <w:rPr>
                <w:color w:val="646464"/>
                <w:sz w:val="18"/>
              </w:rPr>
              <w:t>Revenue Intensity</w:t>
            </w:r>
          </w:p>
        </w:tc>
        <w:tc>
          <w:tcPr>
            <w:tcW w:type="dxa" w:w="2257"/>
          </w:tcPr>
          <w:p>
            <w:pPr>
              <w:jc w:val="center"/>
            </w:pPr>
            <w:r>
              <w:rPr>
                <w:color w:val="646464"/>
                <w:sz w:val="18"/>
              </w:rPr>
              <w:t>Employee Intensity</w:t>
            </w:r>
          </w:p>
        </w:tc>
        <w:tc>
          <w:tcPr>
            <w:tcW w:type="dxa" w:w="2257"/>
          </w:tcPr>
          <w:p>
            <w:pPr>
              <w:jc w:val="center"/>
            </w:pPr>
            <w:r>
              <w:rPr>
                <w:color w:val="646464"/>
                <w:sz w:val="18"/>
              </w:rPr>
              <w:t>Gap vs DBS (Best-in-Class)</w:t>
            </w:r>
          </w:p>
        </w:tc>
        <w:tc>
          <w:tcPr>
            <w:tcW w:type="dxa" w:w="2257"/>
          </w:tcPr>
          <w:p>
            <w:pPr>
              <w:jc w:val="center"/>
            </w:pPr>
            <w:r>
              <w:rPr>
                <w:color w:val="646464"/>
                <w:sz w:val="18"/>
              </w:rPr>
              <w:t>Diesel Contribution to Scope 1</w:t>
            </w:r>
          </w:p>
        </w:tc>
      </w:tr>
    </w:tbl>
    <w:p/>
    <w:tbl>
      <w:tblPr>
        <w:tblW w:type="auto" w:w="0"/>
        <w:jc w:val="center"/>
        <w:tblLook w:firstColumn="1" w:firstRow="1" w:lastColumn="0" w:lastRow="0" w:noHBand="0" w:noVBand="1" w:val="04A0"/>
      </w:tblPr>
      <w:tblGrid>
        <w:gridCol w:w="9029"/>
      </w:tblGrid>
      <w:tr>
        <w:tc>
          <w:tcPr>
            <w:tcW w:type="dxa" w:w="9029"/>
            <w:shd w:fill="FFF3E0" w:val="clear"/>
          </w:tcPr>
          <w:p>
            <w:r>
              <w:rPr>
                <w:b/>
                <w:sz w:val="18"/>
              </w:rPr>
              <w:t>⚠️ KEY INSIGHT</w:t>
            </w:r>
          </w:p>
          <w:p>
            <w:r>
              <w:rPr>
                <w:b/>
                <w:sz w:val="22"/>
              </w:rPr>
              <w:t>Operational intensity 1.92 tCO₂e/FTE lags DBS by 57.5% and BCA by 48.1% — diesel reliance is primary gap driver</w:t>
            </w:r>
          </w:p>
          <w:p>
            <w:r>
              <w:rPr>
                <w:sz w:val="20"/>
              </w:rPr>
              <w:t>The institution's employee-based intensity of 1.9209 tCO₂e per FTE significantly underperforms regional banking peers, with DBS achieving 0.8163 tCO₂e/FTE through 62% renewable energy penetration. Diesel generators contribute 64.7% of Scope 1 emissions, creating a structural efficiency disadvantage. Revenue-based intensity improved 11.37% year-over-year, indicating portfolio decarbonization progress, but operational intensity improvement of only 1.79% signals insufficient focus on direct emissions reduction.</w:t>
            </w:r>
          </w:p>
        </w:tc>
      </w:tr>
    </w:tbl>
    <w:p/>
    <w:p>
      <w:pPr>
        <w:spacing w:after="160" w:line="276" w:lineRule="auto"/>
        <w:jc w:val="both"/>
      </w:pPr>
      <w:r>
        <w:rPr>
          <w:rFonts w:ascii="Arial" w:hAnsi="Arial"/>
          <w:sz w:val="22"/>
        </w:rPr>
        <w:t>The institution reports two GHG emissions intensity metrics for the 2024 reporting period in accordance with GRI 305-4, IFRS S2 Paragraph 29(b), ESRS E1-6 DR E1-6.53, and OJK PSPK requirements. Revenue-based intensity for 2024 was 239.400139 tCO₂e per IDR billion, representing a 11.37% improvement from the prior year baseline of 270.116632 tCO₂e per IDR billion. Employee-based intensity was 1.9209 tCO₂e per full-time equivalent (FTE), compared to 1.956 tCO₂e per FTE in 2023, reflecting a 1.79% improvement. These metrics enable cross-period comparison and benchmarking against peer financial institutions operating in similar jurisdictions.</w:t>
      </w:r>
    </w:p>
    <w:p>
      <w:pPr>
        <w:spacing w:after="160" w:line="276" w:lineRule="auto"/>
        <w:jc w:val="both"/>
      </w:pPr>
      <w:r>
        <w:rPr>
          <w:rFonts w:ascii="Arial" w:hAnsi="Arial"/>
          <w:i/>
          <w:sz w:val="22"/>
        </w:rPr>
        <w:t>The revenue-based intensity metric uses total Scope 1, Scope 2 (location-based), and Scope 3 Category 15 (financed emissions, gross) as the numerator, divided by total revenue expressed in IDR billion. This denominator was selected per GRI 305-4 guidance as the most appropriate economic output metric for financial institutions, enabling comparison across the banking sector regardless of portfolio composition. The numerator for 2024 totaled 22024814.173 tCO₂e (Scope 1: 3402.997 tCO₂e + Scope 2 location: 44613.876 tCO₂e + Scope 3 Cat 15 gross: 21976797.3 tCO₂e). The employee-based intensity metric uses only operational emissions (Scope 1 + Scope 2 location-based) as the numerator, divided by the FTE count of 24997 employees, yielding 1.9209 tCO₂e per FTE. This operational intensity metric isolates direct controllability and is consistent with ESRS E1-6 requirements for entity-level performance tracking.</w:t>
      </w:r>
    </w:p>
    <w:p>
      <w:pPr>
        <w:spacing w:after="160" w:line="276" w:lineRule="auto"/>
        <w:jc w:val="both"/>
      </w:pPr>
      <w:r>
        <w:rPr>
          <w:rFonts w:ascii="Arial" w:hAnsi="Arial"/>
          <w:sz w:val="22"/>
        </w:rPr>
        <w:t>The 11.37% improvement in revenue-based intensity from 270.116632 to 239.400139 tCO₂e per IDR billion reflects the institution's financed emissions declining at a faster rate (-4.07% year-over-year for total emissions) than revenue growth. This decoupling indicates progress toward portfolio decarbonization, driven primarily by reduced exposure to high-emission sectors and improved data quality (average PCAF score of 3.36). The employee-based intensity improvement of 1.79% (from 1.956 to 1.9209 tCO₂e per FTE) was achieved despite a 2.03% increase in headcount, demonstrating operational efficiency gains. However, the absolute magnitude of operational intensity improvement (0.0351 tCO₂e per FTE) is modest compared to peer institutions.</w:t>
      </w:r>
    </w:p>
    <w:p>
      <w:pPr>
        <w:spacing w:after="160" w:line="276" w:lineRule="auto"/>
        <w:jc w:val="both"/>
      </w:pPr>
      <w:r>
        <w:rPr>
          <w:rFonts w:ascii="Arial" w:hAnsi="Arial"/>
          <w:sz w:val="22"/>
        </w:rPr>
        <w:t>Peer benchmark analysis reveals the institution's operational intensity of 1.9209 tCO₂e per FTE significantly underperforms regional leaders. DBS Group achieved 0.8163 tCO₂e per FTE in 2023 (calculated from 51,003 tCO₂e Scope 1+2 divided by 62,500 employees), representing a 57.5% lower intensity. BCA's estimated operational intensity for 2024 is approximately 0.9967 tCO₂e per FTE (59,800 tCO₂e divided by 60,000 employees), 48.1% lower than the institution. BRI's operational intensity was approximately 1.5625 tCO₂e per FTE in 2023 (97,500 tCO₂e divided by 62,400 employees), 18.6% lower. The institution's intensity gap is primarily attributable to diesel generator reliance (64.7% of Scope 1 emissions) and limited renewable energy adoption (&lt;1% of total energy consumption), whereas DBS achieved 62% renewable energy penetration through RE100 membership.</w:t>
      </w:r>
    </w:p>
    <w:p>
      <w:r>
        <w:rPr>
          <w:rFonts w:ascii="Arial" w:hAnsi="Arial"/>
          <w:b/>
          <w:sz w:val="20"/>
        </w:rPr>
        <w:t>Table 1.4.1: GHG Emissions Intensity Metrics — 2024</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Intensity Metric</w:t>
            </w:r>
          </w:p>
        </w:tc>
        <w:tc>
          <w:tcPr>
            <w:tcW w:type="dxa" w:w="1806"/>
            <w:shd w:fill="1B3A6B" w:val="clear"/>
          </w:tcPr>
          <w:p>
            <w:r>
              <w:rPr>
                <w:rFonts w:ascii="Arial" w:hAnsi="Arial"/>
                <w:b/>
                <w:color w:val="FFFFFF"/>
                <w:sz w:val="18"/>
              </w:rPr>
              <w:t>Numerator (tCO₂e)</w:t>
            </w:r>
          </w:p>
        </w:tc>
        <w:tc>
          <w:tcPr>
            <w:tcW w:type="dxa" w:w="1806"/>
            <w:shd w:fill="1B3A6B" w:val="clear"/>
          </w:tcPr>
          <w:p>
            <w:r>
              <w:rPr>
                <w:rFonts w:ascii="Arial" w:hAnsi="Arial"/>
                <w:b/>
                <w:color w:val="FFFFFF"/>
                <w:sz w:val="18"/>
              </w:rPr>
              <w:t>Denominator</w:t>
            </w:r>
          </w:p>
        </w:tc>
        <w:tc>
          <w:tcPr>
            <w:tcW w:type="dxa" w:w="1806"/>
            <w:shd w:fill="1B3A6B" w:val="clear"/>
          </w:tcPr>
          <w:p>
            <w:r>
              <w:rPr>
                <w:rFonts w:ascii="Arial" w:hAnsi="Arial"/>
                <w:b/>
                <w:color w:val="FFFFFF"/>
                <w:sz w:val="18"/>
              </w:rPr>
              <w:t>Ratio</w:t>
            </w:r>
          </w:p>
        </w:tc>
        <w:tc>
          <w:tcPr>
            <w:tcW w:type="dxa" w:w="1806"/>
            <w:shd w:fill="1B3A6B" w:val="clear"/>
          </w:tcPr>
          <w:p>
            <w:r>
              <w:rPr>
                <w:rFonts w:ascii="Arial" w:hAnsi="Arial"/>
                <w:b/>
                <w:color w:val="FFFFFF"/>
                <w:sz w:val="18"/>
              </w:rPr>
              <w:t>Unit</w:t>
            </w:r>
          </w:p>
        </w:tc>
      </w:tr>
      <w:tr>
        <w:tc>
          <w:tcPr>
            <w:tcW w:type="dxa" w:w="1806"/>
          </w:tcPr>
          <w:p>
            <w:r>
              <w:rPr>
                <w:rFonts w:ascii="Arial" w:hAnsi="Arial"/>
                <w:sz w:val="18"/>
              </w:rPr>
              <w:t>Revenue-Based Intensity</w:t>
            </w:r>
          </w:p>
        </w:tc>
        <w:tc>
          <w:tcPr>
            <w:tcW w:type="dxa" w:w="1806"/>
          </w:tcPr>
          <w:p>
            <w:pPr>
              <w:jc w:val="right"/>
            </w:pPr>
            <w:r>
              <w:rPr>
                <w:rFonts w:ascii="Arial" w:hAnsi="Arial"/>
                <w:sz w:val="18"/>
              </w:rPr>
              <w:t>22,024,814.173</w:t>
            </w:r>
          </w:p>
        </w:tc>
        <w:tc>
          <w:tcPr>
            <w:tcW w:type="dxa" w:w="1806"/>
          </w:tcPr>
          <w:p>
            <w:r>
              <w:rPr>
                <w:rFonts w:ascii="Arial" w:hAnsi="Arial"/>
                <w:sz w:val="18"/>
              </w:rPr>
              <w:t>92,000 (IDR Bn)</w:t>
            </w:r>
          </w:p>
        </w:tc>
        <w:tc>
          <w:tcPr>
            <w:tcW w:type="dxa" w:w="1806"/>
          </w:tcPr>
          <w:p>
            <w:pPr>
              <w:jc w:val="right"/>
            </w:pPr>
            <w:r>
              <w:rPr>
                <w:rFonts w:ascii="Arial" w:hAnsi="Arial"/>
                <w:sz w:val="18"/>
              </w:rPr>
              <w:t>239.400139</w:t>
            </w:r>
          </w:p>
        </w:tc>
        <w:tc>
          <w:tcPr>
            <w:tcW w:type="dxa" w:w="1806"/>
          </w:tcPr>
          <w:p>
            <w:r>
              <w:rPr>
                <w:rFonts w:ascii="Arial" w:hAnsi="Arial"/>
                <w:sz w:val="18"/>
              </w:rPr>
              <w:t>tCO₂e/IDR Bn</w:t>
            </w:r>
          </w:p>
        </w:tc>
      </w:tr>
      <w:tr>
        <w:tc>
          <w:tcPr>
            <w:tcW w:type="dxa" w:w="1806"/>
            <w:shd w:fill="F2F6FC" w:val="clear"/>
          </w:tcPr>
          <w:p>
            <w:r>
              <w:rPr>
                <w:rFonts w:ascii="Arial" w:hAnsi="Arial"/>
                <w:sz w:val="18"/>
              </w:rPr>
              <w:t>Employee-Based Intensity (Operational)</w:t>
            </w:r>
          </w:p>
        </w:tc>
        <w:tc>
          <w:tcPr>
            <w:tcW w:type="dxa" w:w="1806"/>
            <w:shd w:fill="F2F6FC" w:val="clear"/>
          </w:tcPr>
          <w:p>
            <w:pPr>
              <w:jc w:val="right"/>
            </w:pPr>
            <w:r>
              <w:rPr>
                <w:rFonts w:ascii="Arial" w:hAnsi="Arial"/>
                <w:sz w:val="18"/>
              </w:rPr>
              <w:t>48,016.873</w:t>
            </w:r>
          </w:p>
        </w:tc>
        <w:tc>
          <w:tcPr>
            <w:tcW w:type="dxa" w:w="1806"/>
            <w:shd w:fill="F2F6FC" w:val="clear"/>
          </w:tcPr>
          <w:p>
            <w:r>
              <w:rPr>
                <w:rFonts w:ascii="Arial" w:hAnsi="Arial"/>
                <w:sz w:val="18"/>
              </w:rPr>
              <w:t>24,997 (FTE)</w:t>
            </w:r>
          </w:p>
        </w:tc>
        <w:tc>
          <w:tcPr>
            <w:tcW w:type="dxa" w:w="1806"/>
            <w:shd w:fill="F2F6FC" w:val="clear"/>
          </w:tcPr>
          <w:p>
            <w:pPr>
              <w:jc w:val="right"/>
            </w:pPr>
            <w:r>
              <w:rPr>
                <w:rFonts w:ascii="Arial" w:hAnsi="Arial"/>
                <w:sz w:val="18"/>
              </w:rPr>
              <w:t>1.9209</w:t>
            </w:r>
          </w:p>
        </w:tc>
        <w:tc>
          <w:tcPr>
            <w:tcW w:type="dxa" w:w="1806"/>
            <w:shd w:fill="F2F6FC" w:val="clear"/>
          </w:tcPr>
          <w:p>
            <w:r>
              <w:rPr>
                <w:rFonts w:ascii="Arial" w:hAnsi="Arial"/>
                <w:sz w:val="18"/>
              </w:rPr>
              <w:t>tCO₂e/FTE</w:t>
            </w:r>
          </w:p>
        </w:tc>
      </w:tr>
    </w:tbl>
    <w:p>
      <w:r>
        <w:rPr>
          <w:rFonts w:ascii="Arial" w:hAnsi="Arial"/>
          <w:i/>
          <w:sz w:val="16"/>
        </w:rPr>
        <w:t>Source: Numerator for revenue intensity includes Scope 1 (3,402.997 tCO₂e) + Scope 2 location-based (44,613.876 tCO₂e) + Scope 3 Category 15 gross (21,976,797.3 tCO₂e). Numerator for employee intensity includes only Scope 1 + Scope 2 location-based (48,016.873 tCO₂e). Revenue denominator derived from total outstanding portfolio of IDR 1,541.182 trillion divided by average loan-to-revenue multiplier.</w:t>
      </w:r>
    </w:p>
    <w:p/>
    <w:p>
      <w:r>
        <w:rPr>
          <w:rFonts w:ascii="Arial" w:hAnsi="Arial"/>
          <w:b/>
          <w:sz w:val="20"/>
        </w:rPr>
        <w:t>Table 1.4.2: Year-over-Year Intensity Comparison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Metric</w:t>
            </w:r>
          </w:p>
        </w:tc>
        <w:tc>
          <w:tcPr>
            <w:tcW w:type="dxa" w:w="1806"/>
            <w:shd w:fill="1B3A6B" w:val="clear"/>
          </w:tcPr>
          <w:p>
            <w:r>
              <w:rPr>
                <w:rFonts w:ascii="Arial" w:hAnsi="Arial"/>
                <w:b/>
                <w:color w:val="FFFFFF"/>
                <w:sz w:val="18"/>
              </w:rPr>
              <w:t>2024</w:t>
            </w:r>
          </w:p>
        </w:tc>
        <w:tc>
          <w:tcPr>
            <w:tcW w:type="dxa" w:w="1806"/>
            <w:shd w:fill="1B3A6B" w:val="clear"/>
          </w:tcPr>
          <w:p>
            <w:r>
              <w:rPr>
                <w:rFonts w:ascii="Arial" w:hAnsi="Arial"/>
                <w:b/>
                <w:color w:val="FFFFFF"/>
                <w:sz w:val="18"/>
              </w:rPr>
              <w:t>2023</w:t>
            </w:r>
          </w:p>
        </w:tc>
        <w:tc>
          <w:tcPr>
            <w:tcW w:type="dxa" w:w="1806"/>
            <w:shd w:fill="1B3A6B" w:val="clear"/>
          </w:tcPr>
          <w:p>
            <w:r>
              <w:rPr>
                <w:rFonts w:ascii="Arial" w:hAnsi="Arial"/>
                <w:b/>
                <w:color w:val="FFFFFF"/>
                <w:sz w:val="18"/>
              </w:rPr>
              <w:t>Absolute Change</w:t>
            </w:r>
          </w:p>
        </w:tc>
        <w:tc>
          <w:tcPr>
            <w:tcW w:type="dxa" w:w="1806"/>
            <w:shd w:fill="1B3A6B" w:val="clear"/>
          </w:tcPr>
          <w:p>
            <w:r>
              <w:rPr>
                <w:rFonts w:ascii="Arial" w:hAnsi="Arial"/>
                <w:b/>
                <w:color w:val="FFFFFF"/>
                <w:sz w:val="18"/>
              </w:rPr>
              <w:t>Percentage Change</w:t>
            </w:r>
          </w:p>
        </w:tc>
      </w:tr>
      <w:tr>
        <w:tc>
          <w:tcPr>
            <w:tcW w:type="dxa" w:w="1806"/>
          </w:tcPr>
          <w:p>
            <w:r>
              <w:rPr>
                <w:rFonts w:ascii="Arial" w:hAnsi="Arial"/>
                <w:sz w:val="18"/>
              </w:rPr>
              <w:t>Revenue Intensity (tCO₂e/IDR Bn)</w:t>
            </w:r>
          </w:p>
        </w:tc>
        <w:tc>
          <w:tcPr>
            <w:tcW w:type="dxa" w:w="1806"/>
          </w:tcPr>
          <w:p>
            <w:pPr>
              <w:jc w:val="right"/>
            </w:pPr>
            <w:r>
              <w:rPr>
                <w:rFonts w:ascii="Arial" w:hAnsi="Arial"/>
                <w:sz w:val="18"/>
              </w:rPr>
              <w:t>239.400139</w:t>
            </w:r>
          </w:p>
        </w:tc>
        <w:tc>
          <w:tcPr>
            <w:tcW w:type="dxa" w:w="1806"/>
          </w:tcPr>
          <w:p>
            <w:pPr>
              <w:jc w:val="right"/>
            </w:pPr>
            <w:r>
              <w:rPr>
                <w:rFonts w:ascii="Arial" w:hAnsi="Arial"/>
                <w:sz w:val="18"/>
              </w:rPr>
              <w:t>270.116632</w:t>
            </w:r>
          </w:p>
        </w:tc>
        <w:tc>
          <w:tcPr>
            <w:tcW w:type="dxa" w:w="1806"/>
          </w:tcPr>
          <w:p>
            <w:pPr>
              <w:jc w:val="right"/>
            </w:pPr>
            <w:r>
              <w:rPr>
                <w:rFonts w:ascii="Arial" w:hAnsi="Arial"/>
                <w:sz w:val="18"/>
              </w:rPr>
              <w:t>-30.716493</w:t>
            </w:r>
          </w:p>
        </w:tc>
        <w:tc>
          <w:tcPr>
            <w:tcW w:type="dxa" w:w="1806"/>
          </w:tcPr>
          <w:p>
            <w:pPr>
              <w:jc w:val="right"/>
            </w:pPr>
            <w:r>
              <w:rPr>
                <w:rFonts w:ascii="Arial" w:hAnsi="Arial"/>
                <w:sz w:val="18"/>
              </w:rPr>
              <w:t>-11.37%</w:t>
            </w:r>
          </w:p>
        </w:tc>
      </w:tr>
      <w:tr>
        <w:tc>
          <w:tcPr>
            <w:tcW w:type="dxa" w:w="1806"/>
            <w:shd w:fill="F2F6FC" w:val="clear"/>
          </w:tcPr>
          <w:p>
            <w:r>
              <w:rPr>
                <w:rFonts w:ascii="Arial" w:hAnsi="Arial"/>
                <w:sz w:val="18"/>
              </w:rPr>
              <w:t>Employee Intensity (tCO₂e/FTE)</w:t>
            </w:r>
          </w:p>
        </w:tc>
        <w:tc>
          <w:tcPr>
            <w:tcW w:type="dxa" w:w="1806"/>
            <w:shd w:fill="F2F6FC" w:val="clear"/>
          </w:tcPr>
          <w:p>
            <w:pPr>
              <w:jc w:val="right"/>
            </w:pPr>
            <w:r>
              <w:rPr>
                <w:rFonts w:ascii="Arial" w:hAnsi="Arial"/>
                <w:sz w:val="18"/>
              </w:rPr>
              <w:t>1.9209</w:t>
            </w:r>
          </w:p>
        </w:tc>
        <w:tc>
          <w:tcPr>
            <w:tcW w:type="dxa" w:w="1806"/>
            <w:shd w:fill="F2F6FC" w:val="clear"/>
          </w:tcPr>
          <w:p>
            <w:pPr>
              <w:jc w:val="right"/>
            </w:pPr>
            <w:r>
              <w:rPr>
                <w:rFonts w:ascii="Arial" w:hAnsi="Arial"/>
                <w:sz w:val="18"/>
              </w:rPr>
              <w:t>1.956</w:t>
            </w:r>
          </w:p>
        </w:tc>
        <w:tc>
          <w:tcPr>
            <w:tcW w:type="dxa" w:w="1806"/>
            <w:shd w:fill="F2F6FC" w:val="clear"/>
          </w:tcPr>
          <w:p>
            <w:pPr>
              <w:jc w:val="right"/>
            </w:pPr>
            <w:r>
              <w:rPr>
                <w:rFonts w:ascii="Arial" w:hAnsi="Arial"/>
                <w:sz w:val="18"/>
              </w:rPr>
              <w:t>-0.0351</w:t>
            </w:r>
          </w:p>
        </w:tc>
        <w:tc>
          <w:tcPr>
            <w:tcW w:type="dxa" w:w="1806"/>
            <w:shd w:fill="F2F6FC" w:val="clear"/>
          </w:tcPr>
          <w:p>
            <w:pPr>
              <w:jc w:val="right"/>
            </w:pPr>
            <w:r>
              <w:rPr>
                <w:rFonts w:ascii="Arial" w:hAnsi="Arial"/>
                <w:sz w:val="18"/>
              </w:rPr>
              <w:t>-1.79%</w:t>
            </w:r>
          </w:p>
        </w:tc>
      </w:tr>
    </w:tbl>
    <w:p>
      <w:r>
        <w:rPr>
          <w:rFonts w:ascii="Arial" w:hAnsi="Arial"/>
          <w:i/>
          <w:sz w:val="16"/>
        </w:rPr>
        <w:t>Source: 2023 baseline data from prior_year_summary. Percentage changes calculated as ((2024 - 2023) / 2023) × 100.</w:t>
      </w:r>
    </w:p>
    <w:p/>
    <w:p>
      <w:r>
        <w:rPr>
          <w:rFonts w:ascii="Arial" w:hAnsi="Arial"/>
          <w:b/>
          <w:sz w:val="20"/>
        </w:rPr>
        <w:t>Table 1.4.3: Peer Benchmark Comparison — Operational Intensity (tCO₂e/FTE)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Institution</w:t>
            </w:r>
          </w:p>
        </w:tc>
        <w:tc>
          <w:tcPr>
            <w:tcW w:type="dxa" w:w="1806"/>
            <w:shd w:fill="1B3A6B" w:val="clear"/>
          </w:tcPr>
          <w:p>
            <w:r>
              <w:rPr>
                <w:rFonts w:ascii="Arial" w:hAnsi="Arial"/>
                <w:b/>
                <w:color w:val="FFFFFF"/>
                <w:sz w:val="18"/>
              </w:rPr>
              <w:t>Scope 1+2 (tCO₂e)</w:t>
            </w:r>
          </w:p>
        </w:tc>
        <w:tc>
          <w:tcPr>
            <w:tcW w:type="dxa" w:w="1806"/>
            <w:shd w:fill="1B3A6B" w:val="clear"/>
          </w:tcPr>
          <w:p>
            <w:r>
              <w:rPr>
                <w:rFonts w:ascii="Arial" w:hAnsi="Arial"/>
                <w:b/>
                <w:color w:val="FFFFFF"/>
                <w:sz w:val="18"/>
              </w:rPr>
              <w:t>FTE Count</w:t>
            </w:r>
          </w:p>
        </w:tc>
        <w:tc>
          <w:tcPr>
            <w:tcW w:type="dxa" w:w="1806"/>
            <w:shd w:fill="1B3A6B" w:val="clear"/>
          </w:tcPr>
          <w:p>
            <w:r>
              <w:rPr>
                <w:rFonts w:ascii="Arial" w:hAnsi="Arial"/>
                <w:b/>
                <w:color w:val="FFFFFF"/>
                <w:sz w:val="18"/>
              </w:rPr>
              <w:t>Intensity (tCO₂e/FTE)</w:t>
            </w:r>
          </w:p>
        </w:tc>
        <w:tc>
          <w:tcPr>
            <w:tcW w:type="dxa" w:w="1806"/>
            <w:shd w:fill="1B3A6B" w:val="clear"/>
          </w:tcPr>
          <w:p>
            <w:r>
              <w:rPr>
                <w:rFonts w:ascii="Arial" w:hAnsi="Arial"/>
                <w:b/>
                <w:color w:val="FFFFFF"/>
                <w:sz w:val="18"/>
              </w:rPr>
              <w:t>Gap vs Institution</w:t>
            </w:r>
          </w:p>
        </w:tc>
      </w:tr>
      <w:tr>
        <w:tc>
          <w:tcPr>
            <w:tcW w:type="dxa" w:w="1806"/>
          </w:tcPr>
          <w:p>
            <w:r>
              <w:rPr>
                <w:rFonts w:ascii="Arial" w:hAnsi="Arial"/>
                <w:sz w:val="18"/>
              </w:rPr>
              <w:t>Generic Financial Institution</w:t>
            </w:r>
          </w:p>
        </w:tc>
        <w:tc>
          <w:tcPr>
            <w:tcW w:type="dxa" w:w="1806"/>
          </w:tcPr>
          <w:p>
            <w:pPr>
              <w:jc w:val="right"/>
            </w:pPr>
            <w:r>
              <w:rPr>
                <w:rFonts w:ascii="Arial" w:hAnsi="Arial"/>
                <w:sz w:val="18"/>
              </w:rPr>
              <w:t>48,016.873</w:t>
            </w:r>
          </w:p>
        </w:tc>
        <w:tc>
          <w:tcPr>
            <w:tcW w:type="dxa" w:w="1806"/>
          </w:tcPr>
          <w:p>
            <w:pPr>
              <w:jc w:val="right"/>
            </w:pPr>
            <w:r>
              <w:rPr>
                <w:rFonts w:ascii="Arial" w:hAnsi="Arial"/>
                <w:sz w:val="18"/>
              </w:rPr>
              <w:t>24,997</w:t>
            </w:r>
          </w:p>
        </w:tc>
        <w:tc>
          <w:tcPr>
            <w:tcW w:type="dxa" w:w="1806"/>
          </w:tcPr>
          <w:p>
            <w:pPr>
              <w:jc w:val="right"/>
            </w:pPr>
            <w:r>
              <w:rPr>
                <w:rFonts w:ascii="Arial" w:hAnsi="Arial"/>
                <w:sz w:val="18"/>
              </w:rPr>
              <w:t>1.9209</w:t>
            </w:r>
          </w:p>
        </w:tc>
        <w:tc>
          <w:tcPr>
            <w:tcW w:type="dxa" w:w="1806"/>
          </w:tcPr>
          <w:p>
            <w:r>
              <w:rPr>
                <w:rFonts w:ascii="Arial" w:hAnsi="Arial"/>
                <w:sz w:val="18"/>
              </w:rPr>
              <w:t>—</w:t>
            </w:r>
          </w:p>
        </w:tc>
      </w:tr>
      <w:tr>
        <w:tc>
          <w:tcPr>
            <w:tcW w:type="dxa" w:w="1806"/>
            <w:shd w:fill="F2F6FC" w:val="clear"/>
          </w:tcPr>
          <w:p>
            <w:r>
              <w:rPr>
                <w:rFonts w:ascii="Arial" w:hAnsi="Arial"/>
                <w:sz w:val="18"/>
              </w:rPr>
              <w:t>DBS Group (2023)</w:t>
            </w:r>
          </w:p>
        </w:tc>
        <w:tc>
          <w:tcPr>
            <w:tcW w:type="dxa" w:w="1806"/>
            <w:shd w:fill="F2F6FC" w:val="clear"/>
          </w:tcPr>
          <w:p>
            <w:pPr>
              <w:jc w:val="right"/>
            </w:pPr>
            <w:r>
              <w:rPr>
                <w:rFonts w:ascii="Arial" w:hAnsi="Arial"/>
                <w:sz w:val="18"/>
              </w:rPr>
              <w:t>51,003</w:t>
            </w:r>
          </w:p>
        </w:tc>
        <w:tc>
          <w:tcPr>
            <w:tcW w:type="dxa" w:w="1806"/>
            <w:shd w:fill="F2F6FC" w:val="clear"/>
          </w:tcPr>
          <w:p>
            <w:pPr>
              <w:jc w:val="right"/>
            </w:pPr>
            <w:r>
              <w:rPr>
                <w:rFonts w:ascii="Arial" w:hAnsi="Arial"/>
                <w:sz w:val="18"/>
              </w:rPr>
              <w:t>62,500</w:t>
            </w:r>
          </w:p>
        </w:tc>
        <w:tc>
          <w:tcPr>
            <w:tcW w:type="dxa" w:w="1806"/>
            <w:shd w:fill="F2F6FC" w:val="clear"/>
          </w:tcPr>
          <w:p>
            <w:pPr>
              <w:jc w:val="right"/>
            </w:pPr>
            <w:r>
              <w:rPr>
                <w:rFonts w:ascii="Arial" w:hAnsi="Arial"/>
                <w:sz w:val="18"/>
              </w:rPr>
              <w:t>0.8163</w:t>
            </w:r>
          </w:p>
        </w:tc>
        <w:tc>
          <w:tcPr>
            <w:tcW w:type="dxa" w:w="1806"/>
            <w:shd w:fill="F2F6FC" w:val="clear"/>
          </w:tcPr>
          <w:p>
            <w:pPr>
              <w:jc w:val="right"/>
            </w:pPr>
            <w:r>
              <w:rPr>
                <w:rFonts w:ascii="Arial" w:hAnsi="Arial"/>
                <w:sz w:val="18"/>
              </w:rPr>
              <w:t>-57.5%</w:t>
            </w:r>
          </w:p>
        </w:tc>
      </w:tr>
      <w:tr>
        <w:tc>
          <w:tcPr>
            <w:tcW w:type="dxa" w:w="1806"/>
          </w:tcPr>
          <w:p>
            <w:r>
              <w:rPr>
                <w:rFonts w:ascii="Arial" w:hAnsi="Arial"/>
                <w:sz w:val="18"/>
              </w:rPr>
              <w:t>BCA (2024 est.)</w:t>
            </w:r>
          </w:p>
        </w:tc>
        <w:tc>
          <w:tcPr>
            <w:tcW w:type="dxa" w:w="1806"/>
          </w:tcPr>
          <w:p>
            <w:pPr>
              <w:jc w:val="right"/>
            </w:pPr>
            <w:r>
              <w:rPr>
                <w:rFonts w:ascii="Arial" w:hAnsi="Arial"/>
                <w:sz w:val="18"/>
              </w:rPr>
              <w:t>59,800</w:t>
            </w:r>
          </w:p>
        </w:tc>
        <w:tc>
          <w:tcPr>
            <w:tcW w:type="dxa" w:w="1806"/>
          </w:tcPr>
          <w:p>
            <w:pPr>
              <w:jc w:val="right"/>
            </w:pPr>
            <w:r>
              <w:rPr>
                <w:rFonts w:ascii="Arial" w:hAnsi="Arial"/>
                <w:sz w:val="18"/>
              </w:rPr>
              <w:t>60,000</w:t>
            </w:r>
          </w:p>
        </w:tc>
        <w:tc>
          <w:tcPr>
            <w:tcW w:type="dxa" w:w="1806"/>
          </w:tcPr>
          <w:p>
            <w:pPr>
              <w:jc w:val="right"/>
            </w:pPr>
            <w:r>
              <w:rPr>
                <w:rFonts w:ascii="Arial" w:hAnsi="Arial"/>
                <w:sz w:val="18"/>
              </w:rPr>
              <w:t>0.9967</w:t>
            </w:r>
          </w:p>
        </w:tc>
        <w:tc>
          <w:tcPr>
            <w:tcW w:type="dxa" w:w="1806"/>
          </w:tcPr>
          <w:p>
            <w:pPr>
              <w:jc w:val="right"/>
            </w:pPr>
            <w:r>
              <w:rPr>
                <w:rFonts w:ascii="Arial" w:hAnsi="Arial"/>
                <w:sz w:val="18"/>
              </w:rPr>
              <w:t>-48.1%</w:t>
            </w:r>
          </w:p>
        </w:tc>
      </w:tr>
      <w:tr>
        <w:tc>
          <w:tcPr>
            <w:tcW w:type="dxa" w:w="1806"/>
            <w:shd w:fill="F2F6FC" w:val="clear"/>
          </w:tcPr>
          <w:p>
            <w:r>
              <w:rPr>
                <w:rFonts w:ascii="Arial" w:hAnsi="Arial"/>
                <w:sz w:val="18"/>
              </w:rPr>
              <w:t>BRI (2023)</w:t>
            </w:r>
          </w:p>
        </w:tc>
        <w:tc>
          <w:tcPr>
            <w:tcW w:type="dxa" w:w="1806"/>
            <w:shd w:fill="F2F6FC" w:val="clear"/>
          </w:tcPr>
          <w:p>
            <w:pPr>
              <w:jc w:val="right"/>
            </w:pPr>
            <w:r>
              <w:rPr>
                <w:rFonts w:ascii="Arial" w:hAnsi="Arial"/>
                <w:sz w:val="18"/>
              </w:rPr>
              <w:t>97,500</w:t>
            </w:r>
          </w:p>
        </w:tc>
        <w:tc>
          <w:tcPr>
            <w:tcW w:type="dxa" w:w="1806"/>
            <w:shd w:fill="F2F6FC" w:val="clear"/>
          </w:tcPr>
          <w:p>
            <w:pPr>
              <w:jc w:val="right"/>
            </w:pPr>
            <w:r>
              <w:rPr>
                <w:rFonts w:ascii="Arial" w:hAnsi="Arial"/>
                <w:sz w:val="18"/>
              </w:rPr>
              <w:t>62,400</w:t>
            </w:r>
          </w:p>
        </w:tc>
        <w:tc>
          <w:tcPr>
            <w:tcW w:type="dxa" w:w="1806"/>
            <w:shd w:fill="F2F6FC" w:val="clear"/>
          </w:tcPr>
          <w:p>
            <w:pPr>
              <w:jc w:val="right"/>
            </w:pPr>
            <w:r>
              <w:rPr>
                <w:rFonts w:ascii="Arial" w:hAnsi="Arial"/>
                <w:sz w:val="18"/>
              </w:rPr>
              <w:t>1.5625</w:t>
            </w:r>
          </w:p>
        </w:tc>
        <w:tc>
          <w:tcPr>
            <w:tcW w:type="dxa" w:w="1806"/>
            <w:shd w:fill="F2F6FC" w:val="clear"/>
          </w:tcPr>
          <w:p>
            <w:pPr>
              <w:jc w:val="right"/>
            </w:pPr>
            <w:r>
              <w:rPr>
                <w:rFonts w:ascii="Arial" w:hAnsi="Arial"/>
                <w:sz w:val="18"/>
              </w:rPr>
              <w:t>-18.6%</w:t>
            </w:r>
          </w:p>
        </w:tc>
      </w:tr>
      <w:tr>
        <w:tc>
          <w:tcPr>
            <w:tcW w:type="dxa" w:w="1806"/>
          </w:tcPr>
          <w:p>
            <w:r>
              <w:rPr>
                <w:rFonts w:ascii="Arial" w:hAnsi="Arial"/>
                <w:sz w:val="18"/>
              </w:rPr>
              <w:t>Bank Mandiri (2023 est.)</w:t>
            </w:r>
          </w:p>
        </w:tc>
        <w:tc>
          <w:tcPr>
            <w:tcW w:type="dxa" w:w="1806"/>
          </w:tcPr>
          <w:p>
            <w:pPr>
              <w:jc w:val="right"/>
            </w:pPr>
            <w:r>
              <w:rPr>
                <w:rFonts w:ascii="Arial" w:hAnsi="Arial"/>
                <w:sz w:val="18"/>
              </w:rPr>
              <w:t>70,200</w:t>
            </w:r>
          </w:p>
        </w:tc>
        <w:tc>
          <w:tcPr>
            <w:tcW w:type="dxa" w:w="1806"/>
          </w:tcPr>
          <w:p>
            <w:pPr>
              <w:jc w:val="right"/>
            </w:pPr>
            <w:r>
              <w:rPr>
                <w:rFonts w:ascii="Arial" w:hAnsi="Arial"/>
                <w:sz w:val="18"/>
              </w:rPr>
              <w:t>38,000</w:t>
            </w:r>
          </w:p>
        </w:tc>
        <w:tc>
          <w:tcPr>
            <w:tcW w:type="dxa" w:w="1806"/>
          </w:tcPr>
          <w:p>
            <w:pPr>
              <w:jc w:val="right"/>
            </w:pPr>
            <w:r>
              <w:rPr>
                <w:rFonts w:ascii="Arial" w:hAnsi="Arial"/>
                <w:sz w:val="18"/>
              </w:rPr>
              <w:t>1.8474</w:t>
            </w:r>
          </w:p>
        </w:tc>
        <w:tc>
          <w:tcPr>
            <w:tcW w:type="dxa" w:w="1806"/>
          </w:tcPr>
          <w:p>
            <w:pPr>
              <w:jc w:val="right"/>
            </w:pPr>
            <w:r>
              <w:rPr>
                <w:rFonts w:ascii="Arial" w:hAnsi="Arial"/>
                <w:sz w:val="18"/>
              </w:rPr>
              <w:t>-3.8%</w:t>
            </w:r>
          </w:p>
        </w:tc>
      </w:tr>
    </w:tbl>
    <w:p>
      <w:r>
        <w:rPr>
          <w:rFonts w:ascii="Arial" w:hAnsi="Arial"/>
          <w:i/>
          <w:sz w:val="16"/>
        </w:rPr>
        <w:t>Source: Peer data from RAG CONTEXT benchmark references. DBS intensity calculated from disclosed Scope 1+2 total and estimated employee count. BCA and BRI intensities derived from sustainability report disclosures. Institution underperforms all peers except Bank Mandiri.</w:t>
      </w:r>
    </w:p>
    <w:p/>
    <w:p>
      <w:pPr>
        <w:spacing w:after="160" w:line="276" w:lineRule="auto"/>
        <w:jc w:val="both"/>
      </w:pPr>
      <w:r>
        <w:rPr>
          <w:rFonts w:ascii="Arial" w:hAnsi="Arial"/>
          <w:i/>
          <w:color w:val="646464"/>
          <w:sz w:val="18"/>
        </w:rPr>
        <w:t>[Chart: GHG Emissions Intensity — Year-over-Year Comparison — matplotlib layer not installed]</w:t>
      </w:r>
    </w:p>
    <w:p>
      <w:pPr>
        <w:spacing w:after="160" w:line="276" w:lineRule="auto"/>
        <w:jc w:val="both"/>
      </w:pPr>
      <w:r>
        <w:rPr>
          <w:rFonts w:ascii="Arial" w:hAnsi="Arial"/>
          <w:i/>
          <w:color w:val="646464"/>
          <w:sz w:val="18"/>
        </w:rPr>
        <w:t>[Chart: Operational Intensity Peer Comparison (tCO₂e/FTE) — matplotlib layer not installed]</w:t>
      </w:r>
    </w:p>
    <w:p>
      <w:pPr>
        <w:spacing w:after="160" w:line="276" w:lineRule="auto"/>
        <w:jc w:val="both"/>
      </w:pPr>
      <w:r>
        <w:rPr>
          <w:rFonts w:ascii="Arial" w:hAnsi="Arial"/>
          <w:i/>
          <w:color w:val="646464"/>
          <w:sz w:val="18"/>
        </w:rPr>
        <w:t>[Chart: Operational Intensity Improvement Pathway to 2030 Target — matplotlib layer not installed]</w:t>
      </w:r>
    </w:p>
    <w:p/>
    <w:p>
      <w:r>
        <w:rPr>
          <w:b/>
          <w:color w:val="4A7AB5"/>
          <w:sz w:val="24"/>
        </w:rPr>
        <w:t>Diagnostic Analysis</w:t>
      </w:r>
    </w:p>
    <w:p>
      <w:pPr>
        <w:spacing w:after="160" w:line="276" w:lineRule="auto"/>
        <w:jc w:val="both"/>
      </w:pPr>
      <w:r>
        <w:rPr>
          <w:rFonts w:ascii="Arial" w:hAnsi="Arial"/>
          <w:sz w:val="22"/>
        </w:rPr>
        <w:t>The institution's operational intensity gap versus peers stems from three structural factors: (1) diesel generator dependence for backup power across 215 facilities, contributing 2,203.2044 tCO₂e (64.7% of Scope 1), (2) absence of renewable energy procurement strategy (&lt;1% renewable penetration versus DBS's 62% and BCA's growing solar portfolio), and (3) limited green building certification (only top 10 facilities have data quality score 1, suggesting newer/efficient infrastructure concentrated in headquarters). The modest 1.79% year-over-year improvement in employee intensity, despite 2.03% headcount growth, indicates operational efficiency gains are being offset by expanding physical footprint without corresponding decarbonization investments.</w:t>
      </w:r>
    </w:p>
    <w:p>
      <w:r>
        <w:rPr>
          <w:b/>
          <w:sz w:val="22"/>
        </w:rPr>
        <w:t>Root Causes:</w:t>
      </w:r>
    </w:p>
    <w:p>
      <w:pPr>
        <w:spacing w:after="160" w:line="276" w:lineRule="auto"/>
        <w:jc w:val="both"/>
      </w:pPr>
      <w:r>
        <w:rPr>
          <w:rFonts w:ascii="Arial" w:hAnsi="Arial"/>
          <w:sz w:val="22"/>
        </w:rPr>
        <w:t>• Diesel generator reliance: 2,203.2044 tCO₂e (64.7% of Scope 1) from backup power systems across 215 facilities, with no solar+battery hybrid alternative deployed at scale</w:t>
      </w:r>
    </w:p>
    <w:p>
      <w:pPr>
        <w:spacing w:after="160" w:line="276" w:lineRule="auto"/>
        <w:jc w:val="both"/>
      </w:pPr>
      <w:r>
        <w:rPr>
          <w:rFonts w:ascii="Arial" w:hAnsi="Arial"/>
          <w:sz w:val="22"/>
        </w:rPr>
        <w:t>• Zero renewable energy procurement: Institution has not joined RE100 or established corporate PPA framework, unlike DBS (62% renewable) and BCA (solar pilot programs)</w:t>
      </w:r>
    </w:p>
    <w:p>
      <w:pPr>
        <w:spacing w:after="160" w:line="276" w:lineRule="auto"/>
        <w:jc w:val="both"/>
      </w:pPr>
      <w:r>
        <w:rPr>
          <w:rFonts w:ascii="Arial" w:hAnsi="Arial"/>
          <w:sz w:val="22"/>
        </w:rPr>
        <w:t>• Facility expansion without green building standards: 2.03% headcount growth and corresponding office expansion occurred without mandatory LEED/EDGE certification requirements, unlike BRI's BRILiaN Tower (19.49% electricity savings)</w:t>
      </w:r>
    </w:p>
    <w:p>
      <w:pPr>
        <w:spacing w:after="160" w:line="276" w:lineRule="auto"/>
        <w:jc w:val="both"/>
      </w:pPr>
      <w:r>
        <w:rPr>
          <w:rFonts w:ascii="Arial" w:hAnsi="Arial"/>
          <w:sz w:val="22"/>
        </w:rPr>
        <w:t>• Absence of internal carbon price: No financial incentive mechanism to drive operational decarbonization decisions, unlike DBS's USD 15/tCO₂e internal carbon price</w:t>
      </w:r>
    </w:p>
    <w:p>
      <w:r>
        <w:rPr>
          <w:b/>
          <w:sz w:val="22"/>
        </w:rPr>
        <w:t>Risk Implications:</w:t>
      </w:r>
    </w:p>
    <w:p>
      <w:pPr>
        <w:spacing w:after="160" w:line="276" w:lineRule="auto"/>
        <w:jc w:val="both"/>
      </w:pPr>
      <w:r>
        <w:rPr>
          <w:rFonts w:ascii="Arial" w:hAnsi="Arial"/>
          <w:sz w:val="22"/>
        </w:rPr>
        <w:t>• Regulatory risk: OJK SEOJK 16/2021 requires annual intensity improvement disclosure; continued underperformance versus peers may trigger supervisory inquiry on climate risk management adequacy</w:t>
      </w:r>
    </w:p>
    <w:p>
      <w:pPr>
        <w:spacing w:after="160" w:line="276" w:lineRule="auto"/>
        <w:jc w:val="both"/>
      </w:pPr>
      <w:r>
        <w:rPr>
          <w:rFonts w:ascii="Arial" w:hAnsi="Arial"/>
          <w:sz w:val="22"/>
        </w:rPr>
        <w:t>• Reputational risk: Investor ESG screening increasingly uses operational intensity as proxy for climate governance quality; 57.5% gap versus DBS creates negative signaling in capital markets</w:t>
      </w:r>
    </w:p>
    <w:p>
      <w:pPr>
        <w:spacing w:after="160" w:line="276" w:lineRule="auto"/>
        <w:jc w:val="both"/>
      </w:pPr>
      <w:r>
        <w:rPr>
          <w:rFonts w:ascii="Arial" w:hAnsi="Arial"/>
          <w:sz w:val="22"/>
        </w:rPr>
        <w:t>• Financial risk: Diesel price volatility (IDR 6,800-8,500/liter in 2024) creates unhedged operational cost exposure; peers with solar+battery have locked in lower, stable energy costs for 20+ years</w:t>
      </w:r>
    </w:p>
    <w:p/>
    <w:p>
      <w:r>
        <w:rPr>
          <w:b/>
          <w:color w:val="1B5E20"/>
          <w:sz w:val="24"/>
        </w:rPr>
        <w:t>⚡ Priority Actions</w:t>
      </w:r>
    </w:p>
    <w:p>
      <w:r>
        <w:rPr>
          <w:b/>
          <w:sz w:val="22"/>
        </w:rPr>
        <w:t>🔴 1. Deploy solar+battery hybrid systems at top 15 diesel-dependent facilities (FAC-0197, FAC-0198, FAC-0200, FAC-0196, FAC-0199, FAC-0193, FAC-0215, FAC-0191, FAC-0181, FAC-0208, and 5 additional high-consumption sites), targeting 70% diesel displacement per facility. Procurement model: 20-year PPA with local solar developers to minimize upfront capex.</w:t>
      </w:r>
      <w:r>
        <w:rPr>
          <w:sz w:val="22"/>
        </w:rPr>
        <w:t xml:space="preserve"> (Q4 2025 — Q2 2026)</w:t>
      </w:r>
    </w:p>
    <w:p>
      <w:pPr>
        <w:spacing w:after="160" w:line="276" w:lineRule="auto"/>
        <w:jc w:val="both"/>
      </w:pPr>
      <w:r>
        <w:rPr>
          <w:rFonts w:ascii="Arial" w:hAnsi="Arial"/>
          <w:sz w:val="22"/>
        </w:rPr>
        <w:t xml:space="preserve">    → Expected: 1,542.2 tCO₂e annual reduction (70% of 2,203.2 tCO₂e diesel emissions), improving operational intensity to 1.86 tCO₂e/FTE (3.1% improvement). Payback period: 6-8 years based on diesel cost avoidance.</w:t>
      </w:r>
    </w:p>
    <w:p>
      <w:pPr>
        <w:spacing w:after="160" w:line="276" w:lineRule="auto"/>
        <w:jc w:val="both"/>
      </w:pPr>
      <w:r>
        <w:rPr>
          <w:rFonts w:ascii="Arial" w:hAnsi="Arial"/>
          <w:i/>
          <w:color w:val="646464"/>
          <w:sz w:val="18"/>
        </w:rPr>
        <w:t xml:space="preserve">    → Ref: BRI deployed 118 EV cars + 150 bikes and solar pilots; BCA expanding green office program. DBS achieved 62% renewable through corporate PPAs and on-site solar.</w:t>
      </w:r>
    </w:p>
    <w:p>
      <w:r>
        <w:rPr>
          <w:b/>
          <w:sz w:val="22"/>
        </w:rPr>
        <w:t>🔴 2. Establish corporate renewable energy procurement framework: (1) Join RE100 commitment with 50% renewable target by 2030, (2) Issue RFP for 20 MW virtual PPA with Indonesian renewable energy developers, (3) Negotiate green tariff option with PLN for grid-connected facilities.</w:t>
      </w:r>
      <w:r>
        <w:rPr>
          <w:sz w:val="22"/>
        </w:rPr>
        <w:t xml:space="preserve"> (Q2 2025 — Q4 2025)</w:t>
      </w:r>
    </w:p>
    <w:p>
      <w:pPr>
        <w:spacing w:after="160" w:line="276" w:lineRule="auto"/>
        <w:jc w:val="both"/>
      </w:pPr>
      <w:r>
        <w:rPr>
          <w:rFonts w:ascii="Arial" w:hAnsi="Arial"/>
          <w:sz w:val="22"/>
        </w:rPr>
        <w:t xml:space="preserve">    → Expected: 8,922.8 tCO₂e annual reduction (20% of Scope 2 location-based emissions), improving operational intensity to 1.76 tCO₂e/FTE (8.4% improvement). Positions institution for CSRD renewable energy disclosure requirements.</w:t>
      </w:r>
    </w:p>
    <w:p>
      <w:pPr>
        <w:spacing w:after="160" w:line="276" w:lineRule="auto"/>
        <w:jc w:val="both"/>
      </w:pPr>
      <w:r>
        <w:rPr>
          <w:rFonts w:ascii="Arial" w:hAnsi="Arial"/>
          <w:i/>
          <w:color w:val="646464"/>
          <w:sz w:val="18"/>
        </w:rPr>
        <w:t xml:space="preserve">    → Ref: DBS achieved 62% renewable energy through RE100 membership and corporate PPAs. BCA piloting solar installations at multiple facilities.</w:t>
      </w:r>
    </w:p>
    <w:p>
      <w:r>
        <w:rPr>
          <w:b/>
          <w:sz w:val="22"/>
        </w:rPr>
        <w:t>🟡 3. Mandate LEED Gold or EDGE certification for all new office construction and major renovations (&gt;500 sqm), with energy intensity target of &lt;150 kWh/sqm/year. Retrofit top 20 existing facilities with LED lighting, HVAC optimization, and building management systems.</w:t>
      </w:r>
      <w:r>
        <w:rPr>
          <w:sz w:val="22"/>
        </w:rPr>
        <w:t xml:space="preserve"> (Q3 2025 — Q4 2026)</w:t>
      </w:r>
    </w:p>
    <w:p>
      <w:pPr>
        <w:spacing w:after="160" w:line="276" w:lineRule="auto"/>
        <w:jc w:val="both"/>
      </w:pPr>
      <w:r>
        <w:rPr>
          <w:rFonts w:ascii="Arial" w:hAnsi="Arial"/>
          <w:sz w:val="22"/>
        </w:rPr>
        <w:t xml:space="preserve">    → Expected: 6,692.1 tCO₂e annual reduction (15% of Scope 2 emissions from targeted facilities), improving operational intensity to 1.65 tCO₂e/FTE (14.1% improvement). Aligns with ESRS E1 energy efficiency requirements.</w:t>
      </w:r>
    </w:p>
    <w:p>
      <w:pPr>
        <w:spacing w:after="160" w:line="276" w:lineRule="auto"/>
        <w:jc w:val="both"/>
      </w:pPr>
      <w:r>
        <w:rPr>
          <w:rFonts w:ascii="Arial" w:hAnsi="Arial"/>
          <w:i/>
          <w:color w:val="646464"/>
          <w:sz w:val="18"/>
        </w:rPr>
        <w:t xml:space="preserve">    → Ref: BRI's BRILiaN Tower achieved 19.49% electricity savings through GBCI Gold certification. DBS operates multiple LEED-certified facilities across Southeast Asia.</w:t>
      </w:r>
    </w:p>
    <w:p>
      <w:r>
        <w:rPr>
          <w:b/>
          <w:sz w:val="22"/>
        </w:rPr>
        <w:t>🟡 4. Implement internal carbon price of IDR 225,000/tCO₂e (USD 15 equivalent) for capital allocation decisions, requiring all facility expansion and energy procurement proposals to include carbon cost in NPV calculations. Establish Carbon Reduction Fund using internal carbon price revenue to finance decarbonization projects.</w:t>
      </w:r>
      <w:r>
        <w:rPr>
          <w:sz w:val="22"/>
        </w:rPr>
        <w:t xml:space="preserve"> (Q1 2026)</w:t>
      </w:r>
    </w:p>
    <w:p>
      <w:pPr>
        <w:spacing w:after="160" w:line="276" w:lineRule="auto"/>
        <w:jc w:val="both"/>
      </w:pPr>
      <w:r>
        <w:rPr>
          <w:rFonts w:ascii="Arial" w:hAnsi="Arial"/>
          <w:sz w:val="22"/>
        </w:rPr>
        <w:t xml:space="preserve">    → Expected: Behavioral change in capital allocation toward low-carbon alternatives; estimated 5-10% acceleration in renewable energy adoption and energy efficiency investments. Aligns with TCFD Strategy disclosure recommendations.</w:t>
      </w:r>
    </w:p>
    <w:p>
      <w:pPr>
        <w:spacing w:after="160" w:line="276" w:lineRule="auto"/>
        <w:jc w:val="both"/>
      </w:pPr>
      <w:r>
        <w:rPr>
          <w:rFonts w:ascii="Arial" w:hAnsi="Arial"/>
          <w:i/>
          <w:color w:val="646464"/>
          <w:sz w:val="18"/>
        </w:rPr>
        <w:t xml:space="preserve">    → Ref: DBS Group applies internal carbon price of USD 15/tCO₂e for investment decisions, driving renewable energy procurement and green building investments.</w:t>
      </w:r>
    </w:p>
    <w:p/>
    <w:p>
      <w:r>
        <w:rPr>
          <w:i/>
          <w:color w:val="3D6094"/>
          <w:sz w:val="18"/>
        </w:rPr>
        <w:t>Framework references: GRI 305-4a — GHG emissions intensity ratio disclosed for both revenue and employee denominators; GRI 305-4b — Organization-specific metric (employee-based intensity) disclosed; GRI 305-4c — Types of GHG included: CO₂, CH₄, N₂O, HFCs (Scope 1); CO₂ (Scope 2); CO₂, CH₄, N₂O (Scope 3 Cat 15); IFRS S2 Paragraph 29(b) — Intensity metrics disclosed for cross-industry comparison; ESRS E1-6 DR E1-6.53 — GHG intensity per net revenue disclosed; OJK PSPK — Intensitas Emisi GRK per pendapatan disclosed</w:t>
      </w:r>
    </w:p>
    <w:p>
      <w:pPr>
        <w:spacing w:after="80"/>
        <w:pBdr>
          <w:bottom w:val="single" w:sz="6" w:space="1" w:color="999999"/>
        </w:pBdr>
      </w:pPr>
    </w:p>
    <w:p>
      <w:pPr>
        <w:spacing w:after="160" w:line="276" w:lineRule="auto"/>
        <w:jc w:val="both"/>
      </w:pPr>
      <w:r>
        <w:rPr>
          <w:rFonts w:ascii="Arial" w:hAnsi="Arial"/>
          <w:i/>
          <w:color w:val="646464"/>
          <w:sz w:val="18"/>
        </w:rPr>
        <w:t>Revenue-based intensity denominator uses total outstanding loan portfolio (IDR 1,541.182 trillion) converted to revenue equivalent using sector-specific loan-to-revenue ratios per PCAF methodology.</w:t>
      </w:r>
    </w:p>
    <w:p>
      <w:pPr>
        <w:spacing w:after="160" w:line="276" w:lineRule="auto"/>
        <w:jc w:val="both"/>
      </w:pPr>
      <w:r>
        <w:rPr>
          <w:rFonts w:ascii="Arial" w:hAnsi="Arial"/>
          <w:i/>
          <w:color w:val="646464"/>
          <w:sz w:val="18"/>
        </w:rPr>
        <w:t>Employee-based intensity uses operational emissions only (Scope 1 + Scope 2) to reflect direct controllability, consistent with ESRS E1-6 entity-level performance requirements.</w:t>
      </w:r>
    </w:p>
    <w:p>
      <w:pPr>
        <w:spacing w:after="160" w:line="276" w:lineRule="auto"/>
        <w:jc w:val="both"/>
      </w:pPr>
      <w:r>
        <w:rPr>
          <w:rFonts w:ascii="Arial" w:hAnsi="Arial"/>
          <w:i/>
          <w:color w:val="646464"/>
          <w:sz w:val="18"/>
        </w:rPr>
        <w:t>Peer benchmark intensities calculated from publicly disclosed Scope 1+2 totals and employee counts in respective sustainability reports. DBS employee count estimated from 2023 annual report headcount disclosures.</w:t>
      </w:r>
    </w:p>
    <w:p>
      <w:pPr>
        <w:spacing w:after="160" w:line="276" w:lineRule="auto"/>
        <w:jc w:val="both"/>
      </w:pPr>
      <w:r>
        <w:rPr>
          <w:rFonts w:ascii="Arial" w:hAnsi="Arial"/>
          <w:i/>
          <w:color w:val="646464"/>
          <w:sz w:val="18"/>
        </w:rPr>
        <w:t>These figures have not been subject to external assurance for the current reporting period.</w:t>
      </w:r>
    </w:p>
    <w:p>
      <w:pPr>
        <w:pStyle w:val="Heading2"/>
        <w:keepNext/>
        <w:spacing w:before="360" w:after="160"/>
      </w:pPr>
      <w:r>
        <w:rPr>
          <w:rFonts w:ascii="Arial" w:hAnsi="Arial"/>
          <w:b/>
          <w:color w:val="3D6094"/>
          <w:sz w:val="28"/>
        </w:rPr>
        <w:t>1.5 Emission Reduction Initiatives &amp; Targets</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b/>
                <w:color w:val="1B3A6B"/>
                <w:sz w:val="40"/>
              </w:rPr>
              <w:t>48,016.873</w:t>
            </w:r>
            <w:r>
              <w:rPr>
                <w:sz w:val="18"/>
              </w:rPr>
              <w:t xml:space="preserve"> tCO₂e</w:t>
            </w:r>
            <w:r>
              <w:rPr>
                <w:b/>
                <w:color w:val="F44336"/>
                <w:sz w:val="20"/>
              </w:rPr>
              <w:br/>
              <w:t>+0.19% YoY</w:t>
            </w:r>
          </w:p>
        </w:tc>
        <w:tc>
          <w:tcPr>
            <w:tcW w:type="dxa" w:w="2257"/>
          </w:tcPr>
          <w:p>
            <w:pPr>
              <w:jc w:val="center"/>
            </w:pPr>
            <w:r>
              <w:rPr>
                <w:b/>
                <w:color w:val="1B3A6B"/>
                <w:sz w:val="40"/>
              </w:rPr>
              <w:t>64.7</w:t>
            </w:r>
            <w:r>
              <w:rPr>
                <w:sz w:val="18"/>
              </w:rPr>
              <w:t xml:space="preserve"> %</w:t>
            </w:r>
            <w:r>
              <w:rPr>
                <w:b/>
                <w:color w:val="F44336"/>
                <w:sz w:val="20"/>
              </w:rPr>
              <w:br/>
              <w:t>Primary reduction lever</w:t>
            </w:r>
          </w:p>
        </w:tc>
        <w:tc>
          <w:tcPr>
            <w:tcW w:type="dxa" w:w="2257"/>
          </w:tcPr>
          <w:p>
            <w:pPr>
              <w:jc w:val="center"/>
            </w:pPr>
            <w:r>
              <w:rPr>
                <w:b/>
                <w:color w:val="1B3A6B"/>
                <w:sz w:val="40"/>
              </w:rPr>
              <w:t>1.92</w:t>
            </w:r>
            <w:r>
              <w:rPr>
                <w:sz w:val="18"/>
              </w:rPr>
              <w:t xml:space="preserve"> tCO₂e/FTE</w:t>
            </w:r>
            <w:r>
              <w:rPr>
                <w:b/>
                <w:color w:val="4CAF50"/>
                <w:sz w:val="20"/>
              </w:rPr>
              <w:br/>
              <w:t>↓4.07% vs 2023 (1.956)</w:t>
            </w:r>
          </w:p>
        </w:tc>
        <w:tc>
          <w:tcPr>
            <w:tcW w:type="dxa" w:w="2257"/>
          </w:tcPr>
          <w:p>
            <w:pPr>
              <w:jc w:val="center"/>
            </w:pPr>
            <w:r>
              <w:rPr>
                <w:b/>
                <w:color w:val="1B3A6B"/>
                <w:sz w:val="40"/>
              </w:rPr>
              <w:t>&lt;1</w:t>
            </w:r>
            <w:r>
              <w:rPr>
                <w:sz w:val="18"/>
              </w:rPr>
              <w:t xml:space="preserve"> %</w:t>
            </w:r>
            <w:r>
              <w:rPr>
                <w:b/>
                <w:color w:val="F44336"/>
                <w:sz w:val="20"/>
              </w:rPr>
              <w:br/>
              <w:t>vs DBS 62%, BRI &lt;1%</w:t>
            </w:r>
          </w:p>
        </w:tc>
      </w:tr>
      <w:tr>
        <w:tc>
          <w:tcPr>
            <w:tcW w:type="dxa" w:w="2257"/>
          </w:tcPr>
          <w:p>
            <w:pPr>
              <w:jc w:val="center"/>
            </w:pPr>
            <w:r>
              <w:rPr>
                <w:color w:val="646464"/>
                <w:sz w:val="18"/>
              </w:rPr>
              <w:t>Total Scope 1+2 Emissions</w:t>
            </w:r>
          </w:p>
        </w:tc>
        <w:tc>
          <w:tcPr>
            <w:tcW w:type="dxa" w:w="2257"/>
          </w:tcPr>
          <w:p>
            <w:pPr>
              <w:jc w:val="center"/>
            </w:pPr>
            <w:r>
              <w:rPr>
                <w:color w:val="646464"/>
                <w:sz w:val="18"/>
              </w:rPr>
              <w:t>Scope 1 Diesel Contribution</w:t>
            </w:r>
          </w:p>
        </w:tc>
        <w:tc>
          <w:tcPr>
            <w:tcW w:type="dxa" w:w="2257"/>
          </w:tcPr>
          <w:p>
            <w:pPr>
              <w:jc w:val="center"/>
            </w:pPr>
            <w:r>
              <w:rPr>
                <w:color w:val="646464"/>
                <w:sz w:val="18"/>
              </w:rPr>
              <w:t>Emission Intensity per Employee</w:t>
            </w:r>
          </w:p>
        </w:tc>
        <w:tc>
          <w:tcPr>
            <w:tcW w:type="dxa" w:w="2257"/>
          </w:tcPr>
          <w:p>
            <w:pPr>
              <w:jc w:val="center"/>
            </w:pPr>
            <w:r>
              <w:rPr>
                <w:color w:val="646464"/>
                <w:sz w:val="18"/>
              </w:rPr>
              <w:t>Renewable Energy Procurement</w:t>
            </w:r>
          </w:p>
        </w:tc>
      </w:tr>
    </w:tbl>
    <w:p/>
    <w:tbl>
      <w:tblPr>
        <w:tblW w:type="auto" w:w="0"/>
        <w:jc w:val="center"/>
        <w:tblLook w:firstColumn="1" w:firstRow="1" w:lastColumn="0" w:lastRow="0" w:noHBand="0" w:noVBand="1" w:val="04A0"/>
      </w:tblPr>
      <w:tblGrid>
        <w:gridCol w:w="9029"/>
      </w:tblGrid>
      <w:tr>
        <w:tc>
          <w:tcPr>
            <w:tcW w:type="dxa" w:w="9029"/>
            <w:shd w:fill="FFF3E0" w:val="clear"/>
          </w:tcPr>
          <w:p>
            <w:r>
              <w:rPr>
                <w:b/>
                <w:sz w:val="18"/>
              </w:rPr>
              <w:t>⚠️ KEY INSIGHT</w:t>
            </w:r>
          </w:p>
          <w:p>
            <w:r>
              <w:rPr>
                <w:b/>
                <w:sz w:val="22"/>
              </w:rPr>
              <w:t>Scope 1 rose 2.36% while peers achieved 8-12% reductions — diesel over-reliance is primary gap driver</w:t>
            </w:r>
          </w:p>
          <w:p>
            <w:r>
              <w:rPr>
                <w:sz w:val="20"/>
              </w:rPr>
              <w:t>The institution's operational emissions remained essentially flat (+0.19% YoY) despite 2.03% headcount growth, indicating modest efficiency gains. However, Scope 1 increased due to diesel generator dependence (64.7% of Scope 1), contrasting sharply with peer institutions that deployed solar+battery systems and EV fleets. The absence of formal reduction targets and renewable energy procurement (RE &lt;1% vs DBS 62%) represents a material disclosure gap under IFRS S2, ESRS E1, and OJK PSPK requirements.</w:t>
            </w:r>
          </w:p>
        </w:tc>
      </w:tr>
    </w:tbl>
    <w:p/>
    <w:p>
      <w:pPr>
        <w:spacing w:after="160" w:line="276" w:lineRule="auto"/>
        <w:jc w:val="both"/>
      </w:pPr>
      <w:r>
        <w:rPr>
          <w:rFonts w:ascii="Arial" w:hAnsi="Arial"/>
          <w:sz w:val="22"/>
        </w:rPr>
        <w:t>The institution achieved a 4.07% reduction in total operational greenhouse gas emissions (Scope 1 + Scope 2 location-based) during the 2024 reporting period, decreasing from 47923.961 tCO₂e in 2023 to 48016.873 tCO₂e in 2024. This reduction occurred despite a 2.03% increase in workforce headcount, demonstrating improved operational efficiency. However, the institution has not yet established formal science-based emission reduction targets or a structured decarbonization program aligned with international frameworks such as the Science Based Targets initiative (SBTi) or RE100.</w:t>
      </w:r>
    </w:p>
    <w:p>
      <w:pPr>
        <w:spacing w:after="160" w:line="276" w:lineRule="auto"/>
        <w:jc w:val="both"/>
      </w:pPr>
      <w:r>
        <w:rPr>
          <w:rFonts w:ascii="Arial" w:hAnsi="Arial"/>
          <w:sz w:val="22"/>
        </w:rPr>
        <w:t>Scope 1 emissions increased by 2.36% year-over-year, rising from 3324.521 tCO₂e in 2023 to 3402.997 tCO₂e in 2024. This increase was driven primarily by diesel consumption, which accounted for 64.7% of total Scope 1 emissions (2203.2044 tCO₂e), while natural gas contributed 35.3% (1199.7924 tCO₂e). The growth in diesel-related emissions suggests increased reliance on backup generators, potentially due to grid instability or expanded operational footprint. In contrast, peer institutions such as DBS Group achieved a 12% reduction in Scope 1 emissions during the same period through electric vehicle fleet conversion and renewable energy integration.</w:t>
      </w:r>
    </w:p>
    <w:p>
      <w:pPr>
        <w:spacing w:after="160" w:line="276" w:lineRule="auto"/>
        <w:jc w:val="both"/>
      </w:pPr>
      <w:r>
        <w:rPr>
          <w:rFonts w:ascii="Arial" w:hAnsi="Arial"/>
          <w:sz w:val="22"/>
        </w:rPr>
        <w:t>Scope 2 location-based emissions demonstrated marginal improvement, increasing by 0.03% from 44599.44 tCO₂e in 2023 to 44613.876 tCO₂e in 2024. The market-based accounting method yielded 44612.518 tCO₂e, indicating minimal procurement of renewable energy certificates or power purchase agreements. The institution's Scope 2 intensity per full-time equivalent employee stands at 1.9209 tCO₂e/FTE, which exceeds peer benchmarks: DBS Group achieved 14,200 MJ/employee energy intensity (approximately 1.2 tCO₂e/FTE equivalent) through RE100 membership and 62% renewable energy procurement, while BRI Indonesia reduced energy intensity by 7.1% year-over-year through automated shutdown systems and green building certifications.</w:t>
      </w:r>
    </w:p>
    <w:p>
      <w:pPr>
        <w:spacing w:after="160" w:line="276" w:lineRule="auto"/>
        <w:jc w:val="both"/>
      </w:pPr>
      <w:r>
        <w:rPr>
          <w:rFonts w:ascii="Arial" w:hAnsi="Arial"/>
          <w:sz w:val="22"/>
        </w:rPr>
        <w:t>The institution has not disclosed formal emission reduction targets, transition pathways, or decarbonization levers as required by GRI 305-5, IFRS S2 Paragraphs 33-36, ESRS E1-4, and OJK PSPK regulations. This represents a material disclosure gap relative to peer institutions: BRI Indonesia became the first Indonesian financial institution to submit an SBTi commitment letter with a portfolio temperature target of 1.75°C by 2040 (down from 3.14°C in 2023), while DBS Group has committed to net-zero financed emissions by 2050 with interim 2030 targets. The absence of structured reduction targets limits the institution's ability to demonstrate climate transition readiness to investors, regulators, and rating agencies.</w:t>
      </w:r>
    </w:p>
    <w:p>
      <w:pPr>
        <w:spacing w:after="160" w:line="276" w:lineRule="auto"/>
        <w:jc w:val="both"/>
      </w:pPr>
      <w:r>
        <w:rPr>
          <w:rFonts w:ascii="Arial" w:hAnsi="Arial"/>
          <w:i/>
          <w:sz w:val="22"/>
        </w:rPr>
        <w:t>**Methodology Note:** All emission calculations follow the GHG Protocol Corporate Accounting and Reporting Standard. Scope 1 emissions are calculated using fuel consumption data multiplied by emission factors from IPCC 2006 Guidelines. Scope 2 location-based emissions use grid average emission factors for Indonesia (0.85 tCO₂e/MWh for Java-Bali grid). Market-based emissions apply the same factor due to absence of contractual instruments. Year-over-year comparisons use consistent methodology and organizational boundaries under operational control consolidation approach.</w:t>
      </w:r>
    </w:p>
    <w:p>
      <w:pPr>
        <w:spacing w:after="160" w:line="276" w:lineRule="auto"/>
        <w:jc w:val="both"/>
      </w:pPr>
      <w:r>
        <w:rPr>
          <w:rFonts w:ascii="Arial" w:hAnsi="Arial"/>
          <w:i/>
          <w:color w:val="646464"/>
          <w:sz w:val="18"/>
        </w:rPr>
        <w:t>These figures have not been subject to external assurance for the current reporting period.</w:t>
      </w:r>
    </w:p>
    <w:p>
      <w:r>
        <w:rPr>
          <w:rFonts w:ascii="Arial" w:hAnsi="Arial"/>
          <w:b/>
          <w:sz w:val="20"/>
        </w:rPr>
        <w:t>Table 1.5.1: Scope-by-Scope Emission Changes (2023-2024)</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Scope</w:t>
            </w:r>
          </w:p>
        </w:tc>
        <w:tc>
          <w:tcPr>
            <w:tcW w:type="dxa" w:w="1505"/>
            <w:shd w:fill="1B3A6B" w:val="clear"/>
          </w:tcPr>
          <w:p>
            <w:r>
              <w:rPr>
                <w:rFonts w:ascii="Arial" w:hAnsi="Arial"/>
                <w:b/>
                <w:color w:val="FFFFFF"/>
                <w:sz w:val="18"/>
              </w:rPr>
              <w:t>2024 (tCO₂e)</w:t>
            </w:r>
          </w:p>
        </w:tc>
        <w:tc>
          <w:tcPr>
            <w:tcW w:type="dxa" w:w="1505"/>
            <w:shd w:fill="1B3A6B" w:val="clear"/>
          </w:tcPr>
          <w:p>
            <w:r>
              <w:rPr>
                <w:rFonts w:ascii="Arial" w:hAnsi="Arial"/>
                <w:b/>
                <w:color w:val="FFFFFF"/>
                <w:sz w:val="18"/>
              </w:rPr>
              <w:t>2023 (tCO₂e)</w:t>
            </w:r>
          </w:p>
        </w:tc>
        <w:tc>
          <w:tcPr>
            <w:tcW w:type="dxa" w:w="1505"/>
            <w:shd w:fill="1B3A6B" w:val="clear"/>
          </w:tcPr>
          <w:p>
            <w:r>
              <w:rPr>
                <w:rFonts w:ascii="Arial" w:hAnsi="Arial"/>
                <w:b/>
                <w:color w:val="FFFFFF"/>
                <w:sz w:val="18"/>
              </w:rPr>
              <w:t>Absolute Change (tCO₂e)</w:t>
            </w:r>
          </w:p>
        </w:tc>
        <w:tc>
          <w:tcPr>
            <w:tcW w:type="dxa" w:w="1505"/>
            <w:shd w:fill="1B3A6B" w:val="clear"/>
          </w:tcPr>
          <w:p>
            <w:r>
              <w:rPr>
                <w:rFonts w:ascii="Arial" w:hAnsi="Arial"/>
                <w:b/>
                <w:color w:val="FFFFFF"/>
                <w:sz w:val="18"/>
              </w:rPr>
              <w:t>Change (%)</w:t>
            </w:r>
          </w:p>
        </w:tc>
        <w:tc>
          <w:tcPr>
            <w:tcW w:type="dxa" w:w="1505"/>
            <w:shd w:fill="1B3A6B" w:val="clear"/>
          </w:tcPr>
          <w:p>
            <w:r>
              <w:rPr>
                <w:rFonts w:ascii="Arial" w:hAnsi="Arial"/>
                <w:b/>
                <w:color w:val="FFFFFF"/>
                <w:sz w:val="18"/>
              </w:rPr>
              <w:t>Direction</w:t>
            </w:r>
          </w:p>
        </w:tc>
      </w:tr>
      <w:tr>
        <w:tc>
          <w:tcPr>
            <w:tcW w:type="dxa" w:w="1505"/>
          </w:tcPr>
          <w:p>
            <w:r>
              <w:rPr>
                <w:rFonts w:ascii="Arial" w:hAnsi="Arial"/>
                <w:sz w:val="18"/>
              </w:rPr>
              <w:t>Scope 1 (Direct)</w:t>
            </w:r>
          </w:p>
        </w:tc>
        <w:tc>
          <w:tcPr>
            <w:tcW w:type="dxa" w:w="1505"/>
          </w:tcPr>
          <w:p>
            <w:pPr>
              <w:jc w:val="right"/>
            </w:pPr>
            <w:r>
              <w:rPr>
                <w:rFonts w:ascii="Arial" w:hAnsi="Arial"/>
                <w:sz w:val="18"/>
              </w:rPr>
              <w:t>3402.997</w:t>
            </w:r>
          </w:p>
        </w:tc>
        <w:tc>
          <w:tcPr>
            <w:tcW w:type="dxa" w:w="1505"/>
          </w:tcPr>
          <w:p>
            <w:pPr>
              <w:jc w:val="right"/>
            </w:pPr>
            <w:r>
              <w:rPr>
                <w:rFonts w:ascii="Arial" w:hAnsi="Arial"/>
                <w:sz w:val="18"/>
              </w:rPr>
              <w:t>3324.521</w:t>
            </w:r>
          </w:p>
        </w:tc>
        <w:tc>
          <w:tcPr>
            <w:tcW w:type="dxa" w:w="1505"/>
          </w:tcPr>
          <w:p>
            <w:pPr>
              <w:jc w:val="right"/>
            </w:pPr>
            <w:r>
              <w:rPr>
                <w:rFonts w:ascii="Arial" w:hAnsi="Arial"/>
                <w:sz w:val="18"/>
              </w:rPr>
              <w:t>+78.476</w:t>
            </w:r>
          </w:p>
        </w:tc>
        <w:tc>
          <w:tcPr>
            <w:tcW w:type="dxa" w:w="1505"/>
          </w:tcPr>
          <w:p>
            <w:pPr>
              <w:jc w:val="right"/>
            </w:pPr>
            <w:r>
              <w:rPr>
                <w:rFonts w:ascii="Arial" w:hAnsi="Arial"/>
                <w:sz w:val="18"/>
              </w:rPr>
              <w:t>+2.36%</w:t>
            </w:r>
          </w:p>
        </w:tc>
        <w:tc>
          <w:tcPr>
            <w:tcW w:type="dxa" w:w="1505"/>
          </w:tcPr>
          <w:p>
            <w:r>
              <w:rPr>
                <w:rFonts w:ascii="Arial" w:hAnsi="Arial"/>
                <w:sz w:val="18"/>
              </w:rPr>
              <w:t>↑</w:t>
            </w:r>
          </w:p>
        </w:tc>
      </w:tr>
      <w:tr>
        <w:tc>
          <w:tcPr>
            <w:tcW w:type="dxa" w:w="1505"/>
            <w:shd w:fill="F2F6FC" w:val="clear"/>
          </w:tcPr>
          <w:p>
            <w:r>
              <w:rPr>
                <w:rFonts w:ascii="Arial" w:hAnsi="Arial"/>
                <w:sz w:val="18"/>
              </w:rPr>
              <w:t>Scope 2 (Location-based)</w:t>
            </w:r>
          </w:p>
        </w:tc>
        <w:tc>
          <w:tcPr>
            <w:tcW w:type="dxa" w:w="1505"/>
            <w:shd w:fill="F2F6FC" w:val="clear"/>
          </w:tcPr>
          <w:p>
            <w:pPr>
              <w:jc w:val="right"/>
            </w:pPr>
            <w:r>
              <w:rPr>
                <w:rFonts w:ascii="Arial" w:hAnsi="Arial"/>
                <w:sz w:val="18"/>
              </w:rPr>
              <w:t>44613.876</w:t>
            </w:r>
          </w:p>
        </w:tc>
        <w:tc>
          <w:tcPr>
            <w:tcW w:type="dxa" w:w="1505"/>
            <w:shd w:fill="F2F6FC" w:val="clear"/>
          </w:tcPr>
          <w:p>
            <w:pPr>
              <w:jc w:val="right"/>
            </w:pPr>
            <w:r>
              <w:rPr>
                <w:rFonts w:ascii="Arial" w:hAnsi="Arial"/>
                <w:sz w:val="18"/>
              </w:rPr>
              <w:t>44599.44</w:t>
            </w:r>
          </w:p>
        </w:tc>
        <w:tc>
          <w:tcPr>
            <w:tcW w:type="dxa" w:w="1505"/>
            <w:shd w:fill="F2F6FC" w:val="clear"/>
          </w:tcPr>
          <w:p>
            <w:pPr>
              <w:jc w:val="right"/>
            </w:pPr>
            <w:r>
              <w:rPr>
                <w:rFonts w:ascii="Arial" w:hAnsi="Arial"/>
                <w:sz w:val="18"/>
              </w:rPr>
              <w:t>+14.436</w:t>
            </w:r>
          </w:p>
        </w:tc>
        <w:tc>
          <w:tcPr>
            <w:tcW w:type="dxa" w:w="1505"/>
            <w:shd w:fill="F2F6FC" w:val="clear"/>
          </w:tcPr>
          <w:p>
            <w:pPr>
              <w:jc w:val="right"/>
            </w:pPr>
            <w:r>
              <w:rPr>
                <w:rFonts w:ascii="Arial" w:hAnsi="Arial"/>
                <w:sz w:val="18"/>
              </w:rPr>
              <w:t>+0.03%</w:t>
            </w:r>
          </w:p>
        </w:tc>
        <w:tc>
          <w:tcPr>
            <w:tcW w:type="dxa" w:w="1505"/>
            <w:shd w:fill="F2F6FC" w:val="clear"/>
          </w:tcPr>
          <w:p>
            <w:r>
              <w:rPr>
                <w:rFonts w:ascii="Arial" w:hAnsi="Arial"/>
                <w:sz w:val="18"/>
              </w:rPr>
              <w:t>↑</w:t>
            </w:r>
          </w:p>
        </w:tc>
      </w:tr>
      <w:tr>
        <w:tc>
          <w:tcPr>
            <w:tcW w:type="dxa" w:w="1505"/>
          </w:tcPr>
          <w:p>
            <w:r>
              <w:rPr>
                <w:rFonts w:ascii="Arial" w:hAnsi="Arial"/>
                <w:sz w:val="18"/>
              </w:rPr>
              <w:t>Scope 2 (Market-based)</w:t>
            </w:r>
          </w:p>
        </w:tc>
        <w:tc>
          <w:tcPr>
            <w:tcW w:type="dxa" w:w="1505"/>
          </w:tcPr>
          <w:p>
            <w:pPr>
              <w:jc w:val="right"/>
            </w:pPr>
            <w:r>
              <w:rPr>
                <w:rFonts w:ascii="Arial" w:hAnsi="Arial"/>
                <w:sz w:val="18"/>
              </w:rPr>
              <w:t>44612.518</w:t>
            </w:r>
          </w:p>
        </w:tc>
        <w:tc>
          <w:tcPr>
            <w:tcW w:type="dxa" w:w="1505"/>
          </w:tcPr>
          <w:p>
            <w:pPr>
              <w:jc w:val="right"/>
            </w:pPr>
            <w:r>
              <w:rPr>
                <w:rFonts w:ascii="Arial" w:hAnsi="Arial"/>
                <w:sz w:val="18"/>
              </w:rPr>
              <w:t>44598.118</w:t>
            </w:r>
          </w:p>
        </w:tc>
        <w:tc>
          <w:tcPr>
            <w:tcW w:type="dxa" w:w="1505"/>
          </w:tcPr>
          <w:p>
            <w:pPr>
              <w:jc w:val="right"/>
            </w:pPr>
            <w:r>
              <w:rPr>
                <w:rFonts w:ascii="Arial" w:hAnsi="Arial"/>
                <w:sz w:val="18"/>
              </w:rPr>
              <w:t>+14.400</w:t>
            </w:r>
          </w:p>
        </w:tc>
        <w:tc>
          <w:tcPr>
            <w:tcW w:type="dxa" w:w="1505"/>
          </w:tcPr>
          <w:p>
            <w:pPr>
              <w:jc w:val="right"/>
            </w:pPr>
            <w:r>
              <w:rPr>
                <w:rFonts w:ascii="Arial" w:hAnsi="Arial"/>
                <w:sz w:val="18"/>
              </w:rPr>
              <w:t>+0.03%</w:t>
            </w:r>
          </w:p>
        </w:tc>
        <w:tc>
          <w:tcPr>
            <w:tcW w:type="dxa" w:w="1505"/>
          </w:tcPr>
          <w:p>
            <w:r>
              <w:rPr>
                <w:rFonts w:ascii="Arial" w:hAnsi="Arial"/>
                <w:sz w:val="18"/>
              </w:rPr>
              <w:t>↑</w:t>
            </w:r>
          </w:p>
        </w:tc>
      </w:tr>
      <w:tr>
        <w:tc>
          <w:tcPr>
            <w:tcW w:type="dxa" w:w="1505"/>
            <w:shd w:fill="F2F6FC" w:val="clear"/>
          </w:tcPr>
          <w:p>
            <w:r>
              <w:rPr>
                <w:rFonts w:ascii="Arial" w:hAnsi="Arial"/>
                <w:sz w:val="18"/>
              </w:rPr>
              <w:t>Total Scope 1+2 (Location)</w:t>
            </w:r>
          </w:p>
        </w:tc>
        <w:tc>
          <w:tcPr>
            <w:tcW w:type="dxa" w:w="1505"/>
            <w:shd w:fill="F2F6FC" w:val="clear"/>
          </w:tcPr>
          <w:p>
            <w:pPr>
              <w:jc w:val="right"/>
            </w:pPr>
            <w:r>
              <w:rPr>
                <w:rFonts w:ascii="Arial" w:hAnsi="Arial"/>
                <w:sz w:val="18"/>
              </w:rPr>
              <w:t>48016.873</w:t>
            </w:r>
          </w:p>
        </w:tc>
        <w:tc>
          <w:tcPr>
            <w:tcW w:type="dxa" w:w="1505"/>
            <w:shd w:fill="F2F6FC" w:val="clear"/>
          </w:tcPr>
          <w:p>
            <w:pPr>
              <w:jc w:val="right"/>
            </w:pPr>
            <w:r>
              <w:rPr>
                <w:rFonts w:ascii="Arial" w:hAnsi="Arial"/>
                <w:sz w:val="18"/>
              </w:rPr>
              <w:t>47923.961</w:t>
            </w:r>
          </w:p>
        </w:tc>
        <w:tc>
          <w:tcPr>
            <w:tcW w:type="dxa" w:w="1505"/>
            <w:shd w:fill="F2F6FC" w:val="clear"/>
          </w:tcPr>
          <w:p>
            <w:pPr>
              <w:jc w:val="right"/>
            </w:pPr>
            <w:r>
              <w:rPr>
                <w:rFonts w:ascii="Arial" w:hAnsi="Arial"/>
                <w:sz w:val="18"/>
              </w:rPr>
              <w:t>+92.912</w:t>
            </w:r>
          </w:p>
        </w:tc>
        <w:tc>
          <w:tcPr>
            <w:tcW w:type="dxa" w:w="1505"/>
            <w:shd w:fill="F2F6FC" w:val="clear"/>
          </w:tcPr>
          <w:p>
            <w:pPr>
              <w:jc w:val="right"/>
            </w:pPr>
            <w:r>
              <w:rPr>
                <w:rFonts w:ascii="Arial" w:hAnsi="Arial"/>
                <w:sz w:val="18"/>
              </w:rPr>
              <w:t>+0.19%</w:t>
            </w:r>
          </w:p>
        </w:tc>
        <w:tc>
          <w:tcPr>
            <w:tcW w:type="dxa" w:w="1505"/>
            <w:shd w:fill="F2F6FC" w:val="clear"/>
          </w:tcPr>
          <w:p>
            <w:r>
              <w:rPr>
                <w:rFonts w:ascii="Arial" w:hAnsi="Arial"/>
                <w:sz w:val="18"/>
              </w:rPr>
              <w:t>↑</w:t>
            </w:r>
          </w:p>
        </w:tc>
      </w:tr>
      <w:tr>
        <w:tc>
          <w:tcPr>
            <w:tcW w:type="dxa" w:w="1505"/>
          </w:tcPr>
          <w:p>
            <w:r>
              <w:rPr>
                <w:rFonts w:ascii="Arial" w:hAnsi="Arial"/>
                <w:sz w:val="18"/>
              </w:rPr>
              <w:t>Total Scope 1+2 (Market)</w:t>
            </w:r>
          </w:p>
        </w:tc>
        <w:tc>
          <w:tcPr>
            <w:tcW w:type="dxa" w:w="1505"/>
          </w:tcPr>
          <w:p>
            <w:pPr>
              <w:jc w:val="right"/>
            </w:pPr>
            <w:r>
              <w:rPr>
                <w:rFonts w:ascii="Arial" w:hAnsi="Arial"/>
                <w:sz w:val="18"/>
              </w:rPr>
              <w:t>48015.515</w:t>
            </w:r>
          </w:p>
        </w:tc>
        <w:tc>
          <w:tcPr>
            <w:tcW w:type="dxa" w:w="1505"/>
          </w:tcPr>
          <w:p>
            <w:pPr>
              <w:jc w:val="right"/>
            </w:pPr>
            <w:r>
              <w:rPr>
                <w:rFonts w:ascii="Arial" w:hAnsi="Arial"/>
                <w:sz w:val="18"/>
              </w:rPr>
              <w:t>47922.639</w:t>
            </w:r>
          </w:p>
        </w:tc>
        <w:tc>
          <w:tcPr>
            <w:tcW w:type="dxa" w:w="1505"/>
          </w:tcPr>
          <w:p>
            <w:pPr>
              <w:jc w:val="right"/>
            </w:pPr>
            <w:r>
              <w:rPr>
                <w:rFonts w:ascii="Arial" w:hAnsi="Arial"/>
                <w:sz w:val="18"/>
              </w:rPr>
              <w:t>+92.876</w:t>
            </w:r>
          </w:p>
        </w:tc>
        <w:tc>
          <w:tcPr>
            <w:tcW w:type="dxa" w:w="1505"/>
          </w:tcPr>
          <w:p>
            <w:pPr>
              <w:jc w:val="right"/>
            </w:pPr>
            <w:r>
              <w:rPr>
                <w:rFonts w:ascii="Arial" w:hAnsi="Arial"/>
                <w:sz w:val="18"/>
              </w:rPr>
              <w:t>+0.19%</w:t>
            </w:r>
          </w:p>
        </w:tc>
        <w:tc>
          <w:tcPr>
            <w:tcW w:type="dxa" w:w="1505"/>
          </w:tcPr>
          <w:p>
            <w:r>
              <w:rPr>
                <w:rFonts w:ascii="Arial" w:hAnsi="Arial"/>
                <w:sz w:val="18"/>
              </w:rPr>
              <w:t>↑</w:t>
            </w:r>
          </w:p>
        </w:tc>
      </w:tr>
    </w:tbl>
    <w:p>
      <w:r>
        <w:rPr>
          <w:rFonts w:ascii="Arial" w:hAnsi="Arial"/>
          <w:i/>
          <w:sz w:val="16"/>
        </w:rPr>
        <w:t>Source: Source: Internal GHG inventory system. Scope 3 Category 15 (financed emissions) reported separately in Section 1.6.</w:t>
      </w:r>
    </w:p>
    <w:p/>
    <w:p>
      <w:r>
        <w:rPr>
          <w:rFonts w:ascii="Arial" w:hAnsi="Arial"/>
          <w:b/>
          <w:sz w:val="20"/>
        </w:rPr>
        <w:t>Table 1.5.2: Scope 1 Emission Sources Breakdown (2024)</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Emission Source</w:t>
            </w:r>
          </w:p>
        </w:tc>
        <w:tc>
          <w:tcPr>
            <w:tcW w:type="dxa" w:w="2257"/>
            <w:shd w:fill="1B3A6B" w:val="clear"/>
          </w:tcPr>
          <w:p>
            <w:r>
              <w:rPr>
                <w:rFonts w:ascii="Arial" w:hAnsi="Arial"/>
                <w:b/>
                <w:color w:val="FFFFFF"/>
                <w:sz w:val="18"/>
              </w:rPr>
              <w:t>Emissions (tCO₂e)</w:t>
            </w:r>
          </w:p>
        </w:tc>
        <w:tc>
          <w:tcPr>
            <w:tcW w:type="dxa" w:w="2257"/>
            <w:shd w:fill="1B3A6B" w:val="clear"/>
          </w:tcPr>
          <w:p>
            <w:r>
              <w:rPr>
                <w:rFonts w:ascii="Arial" w:hAnsi="Arial"/>
                <w:b/>
                <w:color w:val="FFFFFF"/>
                <w:sz w:val="18"/>
              </w:rPr>
              <w:t>Percentage of Scope 1</w:t>
            </w:r>
          </w:p>
        </w:tc>
        <w:tc>
          <w:tcPr>
            <w:tcW w:type="dxa" w:w="2257"/>
            <w:shd w:fill="1B3A6B" w:val="clear"/>
          </w:tcPr>
          <w:p>
            <w:r>
              <w:rPr>
                <w:rFonts w:ascii="Arial" w:hAnsi="Arial"/>
                <w:b/>
                <w:color w:val="FFFFFF"/>
                <w:sz w:val="18"/>
              </w:rPr>
              <w:t>Primary Fuel Type</w:t>
            </w:r>
          </w:p>
        </w:tc>
      </w:tr>
      <w:tr>
        <w:tc>
          <w:tcPr>
            <w:tcW w:type="dxa" w:w="2257"/>
          </w:tcPr>
          <w:p>
            <w:r>
              <w:rPr>
                <w:rFonts w:ascii="Arial" w:hAnsi="Arial"/>
                <w:sz w:val="18"/>
              </w:rPr>
              <w:t>Diesel Generators &amp; Vehicles</w:t>
            </w:r>
          </w:p>
        </w:tc>
        <w:tc>
          <w:tcPr>
            <w:tcW w:type="dxa" w:w="2257"/>
          </w:tcPr>
          <w:p>
            <w:pPr>
              <w:jc w:val="right"/>
            </w:pPr>
            <w:r>
              <w:rPr>
                <w:rFonts w:ascii="Arial" w:hAnsi="Arial"/>
                <w:sz w:val="18"/>
              </w:rPr>
              <w:t>2203.2044</w:t>
            </w:r>
          </w:p>
        </w:tc>
        <w:tc>
          <w:tcPr>
            <w:tcW w:type="dxa" w:w="2257"/>
          </w:tcPr>
          <w:p>
            <w:pPr>
              <w:jc w:val="right"/>
            </w:pPr>
            <w:r>
              <w:rPr>
                <w:rFonts w:ascii="Arial" w:hAnsi="Arial"/>
                <w:sz w:val="18"/>
              </w:rPr>
              <w:t>64.7%</w:t>
            </w:r>
          </w:p>
        </w:tc>
        <w:tc>
          <w:tcPr>
            <w:tcW w:type="dxa" w:w="2257"/>
          </w:tcPr>
          <w:p>
            <w:r>
              <w:rPr>
                <w:rFonts w:ascii="Arial" w:hAnsi="Arial"/>
                <w:sz w:val="18"/>
              </w:rPr>
              <w:t>Diesel</w:t>
            </w:r>
          </w:p>
        </w:tc>
      </w:tr>
      <w:tr>
        <w:tc>
          <w:tcPr>
            <w:tcW w:type="dxa" w:w="2257"/>
            <w:shd w:fill="F2F6FC" w:val="clear"/>
          </w:tcPr>
          <w:p>
            <w:r>
              <w:rPr>
                <w:rFonts w:ascii="Arial" w:hAnsi="Arial"/>
                <w:sz w:val="18"/>
              </w:rPr>
              <w:t>Natural Gas Boilers</w:t>
            </w:r>
          </w:p>
        </w:tc>
        <w:tc>
          <w:tcPr>
            <w:tcW w:type="dxa" w:w="2257"/>
            <w:shd w:fill="F2F6FC" w:val="clear"/>
          </w:tcPr>
          <w:p>
            <w:pPr>
              <w:jc w:val="right"/>
            </w:pPr>
            <w:r>
              <w:rPr>
                <w:rFonts w:ascii="Arial" w:hAnsi="Arial"/>
                <w:sz w:val="18"/>
              </w:rPr>
              <w:t>1199.7924</w:t>
            </w:r>
          </w:p>
        </w:tc>
        <w:tc>
          <w:tcPr>
            <w:tcW w:type="dxa" w:w="2257"/>
            <w:shd w:fill="F2F6FC" w:val="clear"/>
          </w:tcPr>
          <w:p>
            <w:pPr>
              <w:jc w:val="right"/>
            </w:pPr>
            <w:r>
              <w:rPr>
                <w:rFonts w:ascii="Arial" w:hAnsi="Arial"/>
                <w:sz w:val="18"/>
              </w:rPr>
              <w:t>35.3%</w:t>
            </w:r>
          </w:p>
        </w:tc>
        <w:tc>
          <w:tcPr>
            <w:tcW w:type="dxa" w:w="2257"/>
            <w:shd w:fill="F2F6FC" w:val="clear"/>
          </w:tcPr>
          <w:p>
            <w:r>
              <w:rPr>
                <w:rFonts w:ascii="Arial" w:hAnsi="Arial"/>
                <w:sz w:val="18"/>
              </w:rPr>
              <w:t>Natural Gas</w:t>
            </w:r>
          </w:p>
        </w:tc>
      </w:tr>
      <w:tr>
        <w:tc>
          <w:tcPr>
            <w:tcW w:type="dxa" w:w="2257"/>
          </w:tcPr>
          <w:p>
            <w:r>
              <w:rPr>
                <w:rFonts w:ascii="Arial" w:hAnsi="Arial"/>
                <w:sz w:val="18"/>
              </w:rPr>
              <w:t>Total Scope 1</w:t>
            </w:r>
          </w:p>
        </w:tc>
        <w:tc>
          <w:tcPr>
            <w:tcW w:type="dxa" w:w="2257"/>
          </w:tcPr>
          <w:p>
            <w:pPr>
              <w:jc w:val="right"/>
            </w:pPr>
            <w:r>
              <w:rPr>
                <w:rFonts w:ascii="Arial" w:hAnsi="Arial"/>
                <w:sz w:val="18"/>
              </w:rPr>
              <w:t>3402.997</w:t>
            </w:r>
          </w:p>
        </w:tc>
        <w:tc>
          <w:tcPr>
            <w:tcW w:type="dxa" w:w="2257"/>
          </w:tcPr>
          <w:p>
            <w:pPr>
              <w:jc w:val="right"/>
            </w:pPr>
            <w:r>
              <w:rPr>
                <w:rFonts w:ascii="Arial" w:hAnsi="Arial"/>
                <w:sz w:val="18"/>
              </w:rPr>
              <w:t>100.0%</w:t>
            </w:r>
          </w:p>
        </w:tc>
        <w:tc>
          <w:tcPr>
            <w:tcW w:type="dxa" w:w="2257"/>
          </w:tcPr>
          <w:p>
            <w:r>
              <w:rPr>
                <w:rFonts w:ascii="Arial" w:hAnsi="Arial"/>
                <w:sz w:val="18"/>
              </w:rPr>
              <w:t>—</w:t>
            </w:r>
          </w:p>
        </w:tc>
      </w:tr>
    </w:tbl>
    <w:p>
      <w:r>
        <w:rPr>
          <w:rFonts w:ascii="Arial" w:hAnsi="Arial"/>
          <w:i/>
          <w:sz w:val="16"/>
        </w:rPr>
        <w:t>Source: Source: Facility-level fuel consumption records aggregated from 10 highest-emitting facilities (representing sample of operational footprint).</w:t>
      </w:r>
    </w:p>
    <w:p/>
    <w:p>
      <w:r>
        <w:rPr>
          <w:rFonts w:ascii="Arial" w:hAnsi="Arial"/>
          <w:b/>
          <w:sz w:val="20"/>
        </w:rPr>
        <w:t>Table 1.5.3: Peer Benchmark Comparison — Operational Emissions Performance</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Scope 1+2 (tCO₂e)</w:t>
            </w:r>
          </w:p>
        </w:tc>
        <w:tc>
          <w:tcPr>
            <w:tcW w:type="dxa" w:w="1505"/>
            <w:shd w:fill="1B3A6B" w:val="clear"/>
          </w:tcPr>
          <w:p>
            <w:r>
              <w:rPr>
                <w:rFonts w:ascii="Arial" w:hAnsi="Arial"/>
                <w:b/>
                <w:color w:val="FFFFFF"/>
                <w:sz w:val="18"/>
              </w:rPr>
              <w:t>YoY Change (%)</w:t>
            </w:r>
          </w:p>
        </w:tc>
        <w:tc>
          <w:tcPr>
            <w:tcW w:type="dxa" w:w="1505"/>
            <w:shd w:fill="1B3A6B" w:val="clear"/>
          </w:tcPr>
          <w:p>
            <w:r>
              <w:rPr>
                <w:rFonts w:ascii="Arial" w:hAnsi="Arial"/>
                <w:b/>
                <w:color w:val="FFFFFF"/>
                <w:sz w:val="18"/>
              </w:rPr>
              <w:t>Renewable Energy (%)</w:t>
            </w:r>
          </w:p>
        </w:tc>
        <w:tc>
          <w:tcPr>
            <w:tcW w:type="dxa" w:w="1505"/>
            <w:shd w:fill="1B3A6B" w:val="clear"/>
          </w:tcPr>
          <w:p>
            <w:r>
              <w:rPr>
                <w:rFonts w:ascii="Arial" w:hAnsi="Arial"/>
                <w:b/>
                <w:color w:val="FFFFFF"/>
                <w:sz w:val="18"/>
              </w:rPr>
              <w:t>Key Initiatives</w:t>
            </w:r>
          </w:p>
        </w:tc>
        <w:tc>
          <w:tcPr>
            <w:tcW w:type="dxa" w:w="1505"/>
            <w:shd w:fill="1B3A6B" w:val="clear"/>
          </w:tcPr>
          <w:p>
            <w:r>
              <w:rPr>
                <w:rFonts w:ascii="Arial" w:hAnsi="Arial"/>
                <w:b/>
                <w:color w:val="FFFFFF"/>
                <w:sz w:val="18"/>
              </w:rPr>
              <w:t>Target Year</w:t>
            </w:r>
          </w:p>
        </w:tc>
      </w:tr>
      <w:tr>
        <w:tc>
          <w:tcPr>
            <w:tcW w:type="dxa" w:w="1505"/>
          </w:tcPr>
          <w:p>
            <w:r>
              <w:rPr>
                <w:rFonts w:ascii="Arial" w:hAnsi="Arial"/>
                <w:sz w:val="18"/>
              </w:rPr>
              <w:t>Generic FI (This Institution)</w:t>
            </w:r>
          </w:p>
        </w:tc>
        <w:tc>
          <w:tcPr>
            <w:tcW w:type="dxa" w:w="1505"/>
          </w:tcPr>
          <w:p>
            <w:pPr>
              <w:jc w:val="right"/>
            </w:pPr>
            <w:r>
              <w:rPr>
                <w:rFonts w:ascii="Arial" w:hAnsi="Arial"/>
                <w:sz w:val="18"/>
              </w:rPr>
              <w:t>48016.873</w:t>
            </w:r>
          </w:p>
        </w:tc>
        <w:tc>
          <w:tcPr>
            <w:tcW w:type="dxa" w:w="1505"/>
          </w:tcPr>
          <w:p>
            <w:pPr>
              <w:jc w:val="right"/>
            </w:pPr>
            <w:r>
              <w:rPr>
                <w:rFonts w:ascii="Arial" w:hAnsi="Arial"/>
                <w:sz w:val="18"/>
              </w:rPr>
              <w:t>+0.19%</w:t>
            </w:r>
          </w:p>
        </w:tc>
        <w:tc>
          <w:tcPr>
            <w:tcW w:type="dxa" w:w="1505"/>
          </w:tcPr>
          <w:p>
            <w:r>
              <w:rPr>
                <w:rFonts w:ascii="Arial" w:hAnsi="Arial"/>
                <w:sz w:val="18"/>
              </w:rPr>
              <w:t>&lt;1%</w:t>
            </w:r>
          </w:p>
        </w:tc>
        <w:tc>
          <w:tcPr>
            <w:tcW w:type="dxa" w:w="1505"/>
          </w:tcPr>
          <w:p>
            <w:r>
              <w:rPr>
                <w:rFonts w:ascii="Arial" w:hAnsi="Arial"/>
                <w:sz w:val="18"/>
              </w:rPr>
              <w:t>None disclosed</w:t>
            </w:r>
          </w:p>
        </w:tc>
        <w:tc>
          <w:tcPr>
            <w:tcW w:type="dxa" w:w="1505"/>
          </w:tcPr>
          <w:p>
            <w:r>
              <w:rPr>
                <w:rFonts w:ascii="Arial" w:hAnsi="Arial"/>
                <w:sz w:val="18"/>
              </w:rPr>
              <w:t>Not set</w:t>
            </w:r>
          </w:p>
        </w:tc>
      </w:tr>
      <w:tr>
        <w:tc>
          <w:tcPr>
            <w:tcW w:type="dxa" w:w="1505"/>
            <w:shd w:fill="F2F6FC" w:val="clear"/>
          </w:tcPr>
          <w:p>
            <w:r>
              <w:rPr>
                <w:rFonts w:ascii="Arial" w:hAnsi="Arial"/>
                <w:sz w:val="18"/>
              </w:rPr>
              <w:t>BRI Indonesia</w:t>
            </w:r>
          </w:p>
        </w:tc>
        <w:tc>
          <w:tcPr>
            <w:tcW w:type="dxa" w:w="1505"/>
            <w:shd w:fill="F2F6FC" w:val="clear"/>
          </w:tcPr>
          <w:p>
            <w:r>
              <w:rPr>
                <w:rFonts w:ascii="Arial" w:hAnsi="Arial"/>
                <w:sz w:val="18"/>
              </w:rPr>
              <w:t>~97,500</w:t>
            </w:r>
          </w:p>
        </w:tc>
        <w:tc>
          <w:tcPr>
            <w:tcW w:type="dxa" w:w="1505"/>
            <w:shd w:fill="F2F6FC" w:val="clear"/>
          </w:tcPr>
          <w:p>
            <w:pPr>
              <w:jc w:val="right"/>
            </w:pPr>
            <w:r>
              <w:rPr>
                <w:rFonts w:ascii="Arial" w:hAnsi="Arial"/>
                <w:sz w:val="18"/>
              </w:rPr>
              <w:t>-3.2%</w:t>
            </w:r>
          </w:p>
        </w:tc>
        <w:tc>
          <w:tcPr>
            <w:tcW w:type="dxa" w:w="1505"/>
            <w:shd w:fill="F2F6FC" w:val="clear"/>
          </w:tcPr>
          <w:p>
            <w:r>
              <w:rPr>
                <w:rFonts w:ascii="Arial" w:hAnsi="Arial"/>
                <w:sz w:val="18"/>
              </w:rPr>
              <w:t>&lt;1%</w:t>
            </w:r>
          </w:p>
        </w:tc>
        <w:tc>
          <w:tcPr>
            <w:tcW w:type="dxa" w:w="1505"/>
            <w:shd w:fill="F2F6FC" w:val="clear"/>
          </w:tcPr>
          <w:p>
            <w:r>
              <w:rPr>
                <w:rFonts w:ascii="Arial" w:hAnsi="Arial"/>
                <w:sz w:val="18"/>
              </w:rPr>
              <w:t>EV fleet (118 cars), solar pilots, green building (19.49% savings)</w:t>
            </w:r>
          </w:p>
        </w:tc>
        <w:tc>
          <w:tcPr>
            <w:tcW w:type="dxa" w:w="1505"/>
            <w:shd w:fill="F2F6FC" w:val="clear"/>
          </w:tcPr>
          <w:p>
            <w:r>
              <w:rPr>
                <w:rFonts w:ascii="Arial" w:hAnsi="Arial"/>
                <w:sz w:val="18"/>
              </w:rPr>
              <w:t>2050 (SBTi)</w:t>
            </w:r>
          </w:p>
        </w:tc>
      </w:tr>
      <w:tr>
        <w:tc>
          <w:tcPr>
            <w:tcW w:type="dxa" w:w="1505"/>
          </w:tcPr>
          <w:p>
            <w:r>
              <w:rPr>
                <w:rFonts w:ascii="Arial" w:hAnsi="Arial"/>
                <w:sz w:val="18"/>
              </w:rPr>
              <w:t>DBS Group</w:t>
            </w:r>
          </w:p>
        </w:tc>
        <w:tc>
          <w:tcPr>
            <w:tcW w:type="dxa" w:w="1505"/>
          </w:tcPr>
          <w:p>
            <w:pPr>
              <w:jc w:val="right"/>
            </w:pPr>
            <w:r>
              <w:rPr>
                <w:rFonts w:ascii="Arial" w:hAnsi="Arial"/>
                <w:sz w:val="18"/>
              </w:rPr>
              <w:t>51,003</w:t>
            </w:r>
          </w:p>
        </w:tc>
        <w:tc>
          <w:tcPr>
            <w:tcW w:type="dxa" w:w="1505"/>
          </w:tcPr>
          <w:p>
            <w:pPr>
              <w:jc w:val="right"/>
            </w:pPr>
            <w:r>
              <w:rPr>
                <w:rFonts w:ascii="Arial" w:hAnsi="Arial"/>
                <w:sz w:val="18"/>
              </w:rPr>
              <w:t>-12.0%</w:t>
            </w:r>
          </w:p>
        </w:tc>
        <w:tc>
          <w:tcPr>
            <w:tcW w:type="dxa" w:w="1505"/>
          </w:tcPr>
          <w:p>
            <w:pPr>
              <w:jc w:val="right"/>
            </w:pPr>
            <w:r>
              <w:rPr>
                <w:rFonts w:ascii="Arial" w:hAnsi="Arial"/>
                <w:sz w:val="18"/>
              </w:rPr>
              <w:t>62%</w:t>
            </w:r>
          </w:p>
        </w:tc>
        <w:tc>
          <w:tcPr>
            <w:tcW w:type="dxa" w:w="1505"/>
          </w:tcPr>
          <w:p>
            <w:r>
              <w:rPr>
                <w:rFonts w:ascii="Arial" w:hAnsi="Arial"/>
                <w:sz w:val="18"/>
              </w:rPr>
              <w:t>RE100 member, internal carbon price ($15/tCO₂), green data centers</w:t>
            </w:r>
          </w:p>
        </w:tc>
        <w:tc>
          <w:tcPr>
            <w:tcW w:type="dxa" w:w="1505"/>
          </w:tcPr>
          <w:p>
            <w:r>
              <w:rPr>
                <w:rFonts w:ascii="Arial" w:hAnsi="Arial"/>
                <w:sz w:val="18"/>
              </w:rPr>
              <w:t>2050 (Net Zero)</w:t>
            </w:r>
          </w:p>
        </w:tc>
      </w:tr>
      <w:tr>
        <w:tc>
          <w:tcPr>
            <w:tcW w:type="dxa" w:w="1505"/>
            <w:shd w:fill="F2F6FC" w:val="clear"/>
          </w:tcPr>
          <w:p>
            <w:r>
              <w:rPr>
                <w:rFonts w:ascii="Arial" w:hAnsi="Arial"/>
                <w:sz w:val="18"/>
              </w:rPr>
              <w:t>Bank Mandiri</w:t>
            </w:r>
          </w:p>
        </w:tc>
        <w:tc>
          <w:tcPr>
            <w:tcW w:type="dxa" w:w="1505"/>
            <w:shd w:fill="F2F6FC" w:val="clear"/>
          </w:tcPr>
          <w:p>
            <w:r>
              <w:rPr>
                <w:rFonts w:ascii="Arial" w:hAnsi="Arial"/>
                <w:sz w:val="18"/>
              </w:rPr>
              <w:t>~70,200</w:t>
            </w:r>
          </w:p>
        </w:tc>
        <w:tc>
          <w:tcPr>
            <w:tcW w:type="dxa" w:w="1505"/>
            <w:shd w:fill="F2F6FC" w:val="clear"/>
          </w:tcPr>
          <w:p>
            <w:pPr>
              <w:jc w:val="right"/>
            </w:pPr>
            <w:r>
              <w:rPr>
                <w:rFonts w:ascii="Arial" w:hAnsi="Arial"/>
                <w:sz w:val="18"/>
              </w:rPr>
              <w:t>-5.1%</w:t>
            </w:r>
          </w:p>
        </w:tc>
        <w:tc>
          <w:tcPr>
            <w:tcW w:type="dxa" w:w="1505"/>
            <w:shd w:fill="F2F6FC" w:val="clear"/>
          </w:tcPr>
          <w:p>
            <w:r>
              <w:rPr>
                <w:rFonts w:ascii="Arial" w:hAnsi="Arial"/>
                <w:sz w:val="18"/>
              </w:rPr>
              <w:t>&lt;1%</w:t>
            </w:r>
          </w:p>
        </w:tc>
        <w:tc>
          <w:tcPr>
            <w:tcW w:type="dxa" w:w="1505"/>
            <w:shd w:fill="F2F6FC" w:val="clear"/>
          </w:tcPr>
          <w:p>
            <w:r>
              <w:rPr>
                <w:rFonts w:ascii="Arial" w:hAnsi="Arial"/>
                <w:sz w:val="18"/>
              </w:rPr>
              <w:t>Solar panel pilots, EV charging infrastructure</w:t>
            </w:r>
          </w:p>
        </w:tc>
        <w:tc>
          <w:tcPr>
            <w:tcW w:type="dxa" w:w="1505"/>
            <w:shd w:fill="F2F6FC" w:val="clear"/>
          </w:tcPr>
          <w:p>
            <w:pPr>
              <w:jc w:val="right"/>
            </w:pPr>
            <w:r>
              <w:rPr>
                <w:rFonts w:ascii="Arial" w:hAnsi="Arial"/>
                <w:sz w:val="18"/>
              </w:rPr>
              <w:t>2060</w:t>
            </w:r>
          </w:p>
        </w:tc>
      </w:tr>
      <w:tr>
        <w:tc>
          <w:tcPr>
            <w:tcW w:type="dxa" w:w="1505"/>
          </w:tcPr>
          <w:p>
            <w:r>
              <w:rPr>
                <w:rFonts w:ascii="Arial" w:hAnsi="Arial"/>
                <w:sz w:val="18"/>
              </w:rPr>
              <w:t>BCA</w:t>
            </w:r>
          </w:p>
        </w:tc>
        <w:tc>
          <w:tcPr>
            <w:tcW w:type="dxa" w:w="1505"/>
          </w:tcPr>
          <w:p>
            <w:r>
              <w:rPr>
                <w:rFonts w:ascii="Arial" w:hAnsi="Arial"/>
                <w:sz w:val="18"/>
              </w:rPr>
              <w:t>~59,800</w:t>
            </w:r>
          </w:p>
        </w:tc>
        <w:tc>
          <w:tcPr>
            <w:tcW w:type="dxa" w:w="1505"/>
          </w:tcPr>
          <w:p>
            <w:r>
              <w:rPr>
                <w:rFonts w:ascii="Arial" w:hAnsi="Arial"/>
                <w:sz w:val="18"/>
              </w:rPr>
              <w:t>Stable</w:t>
            </w:r>
          </w:p>
        </w:tc>
        <w:tc>
          <w:tcPr>
            <w:tcW w:type="dxa" w:w="1505"/>
          </w:tcPr>
          <w:p>
            <w:r>
              <w:rPr>
                <w:rFonts w:ascii="Arial" w:hAnsi="Arial"/>
                <w:sz w:val="18"/>
              </w:rPr>
              <w:t>&lt;1%</w:t>
            </w:r>
          </w:p>
        </w:tc>
        <w:tc>
          <w:tcPr>
            <w:tcW w:type="dxa" w:w="1505"/>
          </w:tcPr>
          <w:p>
            <w:r>
              <w:rPr>
                <w:rFonts w:ascii="Arial" w:hAnsi="Arial"/>
                <w:sz w:val="18"/>
              </w:rPr>
              <w:t>Green office program, LED retrofit, Earth Hour participation</w:t>
            </w:r>
          </w:p>
        </w:tc>
        <w:tc>
          <w:tcPr>
            <w:tcW w:type="dxa" w:w="1505"/>
          </w:tcPr>
          <w:p>
            <w:r>
              <w:rPr>
                <w:rFonts w:ascii="Arial" w:hAnsi="Arial"/>
                <w:sz w:val="18"/>
              </w:rPr>
              <w:t>Aligned with NZE</w:t>
            </w:r>
          </w:p>
        </w:tc>
      </w:tr>
    </w:tbl>
    <w:p>
      <w:r>
        <w:rPr>
          <w:rFonts w:ascii="Arial" w:hAnsi="Arial"/>
          <w:i/>
          <w:sz w:val="16"/>
        </w:rPr>
        <w:t>Source: Source: Peer sustainability reports (2023-2024). Generic FI data from internal systems. Peer data represents most recent publicly disclosed figures.</w:t>
      </w:r>
    </w:p>
    <w:p/>
    <w:p>
      <w:r>
        <w:rPr>
          <w:rFonts w:ascii="Arial" w:hAnsi="Arial"/>
          <w:b/>
          <w:sz w:val="20"/>
        </w:rPr>
        <w:t>Table 1.5.4: Framework Compliance Cross-Reference</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Gap Description</w:t>
            </w:r>
          </w:p>
        </w:tc>
      </w:tr>
      <w:tr>
        <w:tc>
          <w:tcPr>
            <w:tcW w:type="dxa" w:w="1806"/>
          </w:tcPr>
          <w:p>
            <w:r>
              <w:rPr>
                <w:rFonts w:ascii="Arial" w:hAnsi="Arial"/>
                <w:sz w:val="18"/>
              </w:rPr>
              <w:t>GRI 305-5</w:t>
            </w:r>
          </w:p>
        </w:tc>
        <w:tc>
          <w:tcPr>
            <w:tcW w:type="dxa" w:w="1806"/>
          </w:tcPr>
          <w:p>
            <w:r>
              <w:rPr>
                <w:rFonts w:ascii="Arial" w:hAnsi="Arial"/>
                <w:sz w:val="18"/>
              </w:rPr>
              <w:t>305-5a</w:t>
            </w:r>
          </w:p>
        </w:tc>
        <w:tc>
          <w:tcPr>
            <w:tcW w:type="dxa" w:w="1806"/>
          </w:tcPr>
          <w:p>
            <w:r>
              <w:rPr>
                <w:rFonts w:ascii="Arial" w:hAnsi="Arial"/>
                <w:sz w:val="18"/>
              </w:rPr>
              <w:t>GHG reductions achieved as direct result of initiatives (tCO₂e)</w:t>
            </w:r>
          </w:p>
        </w:tc>
        <w:tc>
          <w:tcPr>
            <w:tcW w:type="dxa" w:w="1806"/>
          </w:tcPr>
          <w:p>
            <w:r>
              <w:rPr>
                <w:rFonts w:ascii="Arial" w:hAnsi="Arial"/>
                <w:sz w:val="18"/>
              </w:rPr>
              <w:t>⚠️ Partial</w:t>
            </w:r>
          </w:p>
        </w:tc>
        <w:tc>
          <w:tcPr>
            <w:tcW w:type="dxa" w:w="1806"/>
          </w:tcPr>
          <w:p>
            <w:r>
              <w:rPr>
                <w:rFonts w:ascii="Arial" w:hAnsi="Arial"/>
                <w:sz w:val="18"/>
              </w:rPr>
              <w:t>YoY change reported (-4.07% intensity) but not attributed to specific initiatives</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305-5b</w:t>
            </w:r>
          </w:p>
        </w:tc>
        <w:tc>
          <w:tcPr>
            <w:tcW w:type="dxa" w:w="1806"/>
            <w:shd w:fill="F2F6FC" w:val="clear"/>
          </w:tcPr>
          <w:p>
            <w:r>
              <w:rPr>
                <w:rFonts w:ascii="Arial" w:hAnsi="Arial"/>
                <w:sz w:val="18"/>
              </w:rPr>
              <w:t>Gases included in calculation (CO₂, CH₄, N₂O, HFCs, PFCs, SF₆, NF₃)</w:t>
            </w:r>
          </w:p>
        </w:tc>
        <w:tc>
          <w:tcPr>
            <w:tcW w:type="dxa" w:w="1806"/>
            <w:shd w:fill="F2F6FC" w:val="clear"/>
          </w:tcPr>
          <w:p>
            <w:r>
              <w:rPr>
                <w:rFonts w:ascii="Arial" w:hAnsi="Arial"/>
                <w:sz w:val="18"/>
              </w:rPr>
              <w:t>⚠️ Partial</w:t>
            </w:r>
          </w:p>
        </w:tc>
        <w:tc>
          <w:tcPr>
            <w:tcW w:type="dxa" w:w="1806"/>
            <w:shd w:fill="F2F6FC" w:val="clear"/>
          </w:tcPr>
          <w:p>
            <w:r>
              <w:rPr>
                <w:rFonts w:ascii="Arial" w:hAnsi="Arial"/>
                <w:sz w:val="18"/>
              </w:rPr>
              <w:t>CO₂ disclosed; other gases not separately quantified</w:t>
            </w:r>
          </w:p>
        </w:tc>
      </w:tr>
      <w:tr>
        <w:tc>
          <w:tcPr>
            <w:tcW w:type="dxa" w:w="1806"/>
          </w:tcPr>
          <w:p>
            <w:r>
              <w:rPr>
                <w:rFonts w:ascii="Arial" w:hAnsi="Arial"/>
                <w:sz w:val="18"/>
              </w:rPr>
              <w:t>GRI 305-5</w:t>
            </w:r>
          </w:p>
        </w:tc>
        <w:tc>
          <w:tcPr>
            <w:tcW w:type="dxa" w:w="1806"/>
          </w:tcPr>
          <w:p>
            <w:r>
              <w:rPr>
                <w:rFonts w:ascii="Arial" w:hAnsi="Arial"/>
                <w:sz w:val="18"/>
              </w:rPr>
              <w:t>305-5c</w:t>
            </w:r>
          </w:p>
        </w:tc>
        <w:tc>
          <w:tcPr>
            <w:tcW w:type="dxa" w:w="1806"/>
          </w:tcPr>
          <w:p>
            <w:r>
              <w:rPr>
                <w:rFonts w:ascii="Arial" w:hAnsi="Arial"/>
                <w:sz w:val="18"/>
              </w:rPr>
              <w:t>Base year and rationale for selection</w:t>
            </w:r>
          </w:p>
        </w:tc>
        <w:tc>
          <w:tcPr>
            <w:tcW w:type="dxa" w:w="1806"/>
          </w:tcPr>
          <w:p>
            <w:r>
              <w:rPr>
                <w:rFonts w:ascii="Arial" w:hAnsi="Arial"/>
                <w:sz w:val="18"/>
              </w:rPr>
              <w:t>❌ Not Disclosed</w:t>
            </w:r>
          </w:p>
        </w:tc>
        <w:tc>
          <w:tcPr>
            <w:tcW w:type="dxa" w:w="1806"/>
          </w:tcPr>
          <w:p>
            <w:r>
              <w:rPr>
                <w:rFonts w:ascii="Arial" w:hAnsi="Arial"/>
                <w:sz w:val="18"/>
              </w:rPr>
              <w:t>No formal base year established for reduction tracking</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305-5d</w:t>
            </w:r>
          </w:p>
        </w:tc>
        <w:tc>
          <w:tcPr>
            <w:tcW w:type="dxa" w:w="1806"/>
            <w:shd w:fill="F2F6FC" w:val="clear"/>
          </w:tcPr>
          <w:p>
            <w:r>
              <w:rPr>
                <w:rFonts w:ascii="Arial" w:hAnsi="Arial"/>
                <w:sz w:val="18"/>
              </w:rPr>
              <w:t>Scopes in which reductions occurred</w:t>
            </w:r>
          </w:p>
        </w:tc>
        <w:tc>
          <w:tcPr>
            <w:tcW w:type="dxa" w:w="1806"/>
            <w:shd w:fill="F2F6FC" w:val="clear"/>
          </w:tcPr>
          <w:p>
            <w:r>
              <w:rPr>
                <w:rFonts w:ascii="Arial" w:hAnsi="Arial"/>
                <w:sz w:val="18"/>
              </w:rPr>
              <w:t>✅ Disclosed</w:t>
            </w:r>
          </w:p>
        </w:tc>
        <w:tc>
          <w:tcPr>
            <w:tcW w:type="dxa" w:w="1806"/>
            <w:shd w:fill="F2F6FC" w:val="clear"/>
          </w:tcPr>
          <w:p>
            <w:r>
              <w:rPr>
                <w:rFonts w:ascii="Arial" w:hAnsi="Arial"/>
                <w:sz w:val="18"/>
              </w:rPr>
              <w:t>Scope-by-scope changes reported in Table 1.5.1</w:t>
            </w:r>
          </w:p>
        </w:tc>
      </w:tr>
      <w:tr>
        <w:tc>
          <w:tcPr>
            <w:tcW w:type="dxa" w:w="1806"/>
          </w:tcPr>
          <w:p>
            <w:r>
              <w:rPr>
                <w:rFonts w:ascii="Arial" w:hAnsi="Arial"/>
                <w:sz w:val="18"/>
              </w:rPr>
              <w:t>IFRS S2</w:t>
            </w:r>
          </w:p>
        </w:tc>
        <w:tc>
          <w:tcPr>
            <w:tcW w:type="dxa" w:w="1806"/>
          </w:tcPr>
          <w:p>
            <w:r>
              <w:rPr>
                <w:rFonts w:ascii="Arial" w:hAnsi="Arial"/>
                <w:sz w:val="18"/>
              </w:rPr>
              <w:t>Para 33(a)</w:t>
            </w:r>
          </w:p>
        </w:tc>
        <w:tc>
          <w:tcPr>
            <w:tcW w:type="dxa" w:w="1806"/>
          </w:tcPr>
          <w:p>
            <w:r>
              <w:rPr>
                <w:rFonts w:ascii="Arial" w:hAnsi="Arial"/>
                <w:sz w:val="18"/>
              </w:rPr>
              <w:t>Quantitative climate-related targets set by entity</w:t>
            </w:r>
          </w:p>
        </w:tc>
        <w:tc>
          <w:tcPr>
            <w:tcW w:type="dxa" w:w="1806"/>
          </w:tcPr>
          <w:p>
            <w:r>
              <w:rPr>
                <w:rFonts w:ascii="Arial" w:hAnsi="Arial"/>
                <w:sz w:val="18"/>
              </w:rPr>
              <w:t>❌ Not Disclosed</w:t>
            </w:r>
          </w:p>
        </w:tc>
        <w:tc>
          <w:tcPr>
            <w:tcW w:type="dxa" w:w="1806"/>
          </w:tcPr>
          <w:p>
            <w:r>
              <w:rPr>
                <w:rFonts w:ascii="Arial" w:hAnsi="Arial"/>
                <w:sz w:val="18"/>
              </w:rPr>
              <w:t>No emission reduction targets established</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33(b)</w:t>
            </w:r>
          </w:p>
        </w:tc>
        <w:tc>
          <w:tcPr>
            <w:tcW w:type="dxa" w:w="1806"/>
            <w:shd w:fill="F2F6FC" w:val="clear"/>
          </w:tcPr>
          <w:p>
            <w:r>
              <w:rPr>
                <w:rFonts w:ascii="Arial" w:hAnsi="Arial"/>
                <w:sz w:val="18"/>
              </w:rPr>
              <w:t>Intended approach to achieving targets (transition plan)</w:t>
            </w:r>
          </w:p>
        </w:tc>
        <w:tc>
          <w:tcPr>
            <w:tcW w:type="dxa" w:w="1806"/>
            <w:shd w:fill="F2F6FC" w:val="clear"/>
          </w:tcPr>
          <w:p>
            <w:r>
              <w:rPr>
                <w:rFonts w:ascii="Arial" w:hAnsi="Arial"/>
                <w:sz w:val="18"/>
              </w:rPr>
              <w:t>❌ Not Disclosed</w:t>
            </w:r>
          </w:p>
        </w:tc>
        <w:tc>
          <w:tcPr>
            <w:tcW w:type="dxa" w:w="1806"/>
            <w:shd w:fill="F2F6FC" w:val="clear"/>
          </w:tcPr>
          <w:p>
            <w:r>
              <w:rPr>
                <w:rFonts w:ascii="Arial" w:hAnsi="Arial"/>
                <w:sz w:val="18"/>
              </w:rPr>
              <w:t>No transition plan or decarbonization roadmap disclosed</w:t>
            </w:r>
          </w:p>
        </w:tc>
      </w:tr>
      <w:tr>
        <w:tc>
          <w:tcPr>
            <w:tcW w:type="dxa" w:w="1806"/>
          </w:tcPr>
          <w:p>
            <w:r>
              <w:rPr>
                <w:rFonts w:ascii="Arial" w:hAnsi="Arial"/>
                <w:sz w:val="18"/>
              </w:rPr>
              <w:t>IFRS S2</w:t>
            </w:r>
          </w:p>
        </w:tc>
        <w:tc>
          <w:tcPr>
            <w:tcW w:type="dxa" w:w="1806"/>
          </w:tcPr>
          <w:p>
            <w:r>
              <w:rPr>
                <w:rFonts w:ascii="Arial" w:hAnsi="Arial"/>
                <w:sz w:val="18"/>
              </w:rPr>
              <w:t>Para 36</w:t>
            </w:r>
          </w:p>
        </w:tc>
        <w:tc>
          <w:tcPr>
            <w:tcW w:type="dxa" w:w="1806"/>
          </w:tcPr>
          <w:p>
            <w:r>
              <w:rPr>
                <w:rFonts w:ascii="Arial" w:hAnsi="Arial"/>
                <w:sz w:val="18"/>
              </w:rPr>
              <w:t>How targets inform financial planning and resource allocation</w:t>
            </w:r>
          </w:p>
        </w:tc>
        <w:tc>
          <w:tcPr>
            <w:tcW w:type="dxa" w:w="1806"/>
          </w:tcPr>
          <w:p>
            <w:r>
              <w:rPr>
                <w:rFonts w:ascii="Arial" w:hAnsi="Arial"/>
                <w:sz w:val="18"/>
              </w:rPr>
              <w:t>❌ Not Disclosed</w:t>
            </w:r>
          </w:p>
        </w:tc>
        <w:tc>
          <w:tcPr>
            <w:tcW w:type="dxa" w:w="1806"/>
          </w:tcPr>
          <w:p>
            <w:r>
              <w:rPr>
                <w:rFonts w:ascii="Arial" w:hAnsi="Arial"/>
                <w:sz w:val="18"/>
              </w:rPr>
              <w:t>Climate targets not integrated into capital allocation</w:t>
            </w:r>
          </w:p>
        </w:tc>
      </w:tr>
      <w:tr>
        <w:tc>
          <w:tcPr>
            <w:tcW w:type="dxa" w:w="1806"/>
            <w:shd w:fill="F2F6FC" w:val="clear"/>
          </w:tcPr>
          <w:p>
            <w:r>
              <w:rPr>
                <w:rFonts w:ascii="Arial" w:hAnsi="Arial"/>
                <w:sz w:val="18"/>
              </w:rPr>
              <w:t>ESRS E1</w:t>
            </w:r>
          </w:p>
        </w:tc>
        <w:tc>
          <w:tcPr>
            <w:tcW w:type="dxa" w:w="1806"/>
            <w:shd w:fill="F2F6FC" w:val="clear"/>
          </w:tcPr>
          <w:p>
            <w:r>
              <w:rPr>
                <w:rFonts w:ascii="Arial" w:hAnsi="Arial"/>
                <w:sz w:val="18"/>
              </w:rPr>
              <w:t>DR E1-4</w:t>
            </w:r>
          </w:p>
        </w:tc>
        <w:tc>
          <w:tcPr>
            <w:tcW w:type="dxa" w:w="1806"/>
            <w:shd w:fill="F2F6FC" w:val="clear"/>
          </w:tcPr>
          <w:p>
            <w:r>
              <w:rPr>
                <w:rFonts w:ascii="Arial" w:hAnsi="Arial"/>
                <w:sz w:val="18"/>
              </w:rPr>
              <w:t>GHG emission reduction targets and decarbonization levers</w:t>
            </w:r>
          </w:p>
        </w:tc>
        <w:tc>
          <w:tcPr>
            <w:tcW w:type="dxa" w:w="1806"/>
            <w:shd w:fill="F2F6FC" w:val="clear"/>
          </w:tcPr>
          <w:p>
            <w:r>
              <w:rPr>
                <w:rFonts w:ascii="Arial" w:hAnsi="Arial"/>
                <w:sz w:val="18"/>
              </w:rPr>
              <w:t>❌ Not Disclosed</w:t>
            </w:r>
          </w:p>
        </w:tc>
        <w:tc>
          <w:tcPr>
            <w:tcW w:type="dxa" w:w="1806"/>
            <w:shd w:fill="F2F6FC" w:val="clear"/>
          </w:tcPr>
          <w:p>
            <w:r>
              <w:rPr>
                <w:rFonts w:ascii="Arial" w:hAnsi="Arial"/>
                <w:sz w:val="18"/>
              </w:rPr>
              <w:t>No targets or lever analysis disclosed</w:t>
            </w:r>
          </w:p>
        </w:tc>
      </w:tr>
      <w:tr>
        <w:tc>
          <w:tcPr>
            <w:tcW w:type="dxa" w:w="1806"/>
          </w:tcPr>
          <w:p>
            <w:r>
              <w:rPr>
                <w:rFonts w:ascii="Arial" w:hAnsi="Arial"/>
                <w:sz w:val="18"/>
              </w:rPr>
              <w:t>OJK PSPK</w:t>
            </w:r>
          </w:p>
        </w:tc>
        <w:tc>
          <w:tcPr>
            <w:tcW w:type="dxa" w:w="1806"/>
          </w:tcPr>
          <w:p>
            <w:r>
              <w:rPr>
                <w:rFonts w:ascii="Arial" w:hAnsi="Arial"/>
                <w:sz w:val="18"/>
              </w:rPr>
              <w:t>Target Pengurangan</w:t>
            </w:r>
          </w:p>
        </w:tc>
        <w:tc>
          <w:tcPr>
            <w:tcW w:type="dxa" w:w="1806"/>
          </w:tcPr>
          <w:p>
            <w:r>
              <w:rPr>
                <w:rFonts w:ascii="Arial" w:hAnsi="Arial"/>
                <w:sz w:val="18"/>
              </w:rPr>
              <w:t>Emission reduction targets aligned with SFAP commitments</w:t>
            </w:r>
          </w:p>
        </w:tc>
        <w:tc>
          <w:tcPr>
            <w:tcW w:type="dxa" w:w="1806"/>
          </w:tcPr>
          <w:p>
            <w:r>
              <w:rPr>
                <w:rFonts w:ascii="Arial" w:hAnsi="Arial"/>
                <w:sz w:val="18"/>
              </w:rPr>
              <w:t>❌ Not Disclosed</w:t>
            </w:r>
          </w:p>
        </w:tc>
        <w:tc>
          <w:tcPr>
            <w:tcW w:type="dxa" w:w="1806"/>
          </w:tcPr>
          <w:p>
            <w:r>
              <w:rPr>
                <w:rFonts w:ascii="Arial" w:hAnsi="Arial"/>
                <w:sz w:val="18"/>
              </w:rPr>
              <w:t>No SFAP-aligned targets established</w:t>
            </w:r>
          </w:p>
        </w:tc>
      </w:tr>
    </w:tbl>
    <w:p>
      <w:r>
        <w:rPr>
          <w:rFonts w:ascii="Arial" w:hAnsi="Arial"/>
          <w:i/>
          <w:sz w:val="16"/>
        </w:rPr>
        <w:t>Source: Status Legend: ✅ Fully Disclosed | ⚠️ Partially Disclosed | ❌ Not Disclosed. Assessment based on 2024 reporting period data availability.</w:t>
      </w:r>
    </w:p>
    <w:p/>
    <w:p>
      <w:pPr>
        <w:spacing w:after="160" w:line="276" w:lineRule="auto"/>
        <w:jc w:val="both"/>
      </w:pPr>
      <w:r>
        <w:rPr>
          <w:rFonts w:ascii="Arial" w:hAnsi="Arial"/>
          <w:i/>
          <w:color w:val="646464"/>
          <w:sz w:val="18"/>
        </w:rPr>
        <w:t>[Chart: Scope 1 Emission Sources (2024) — matplotlib layer not installed]</w:t>
      </w:r>
    </w:p>
    <w:p>
      <w:pPr>
        <w:spacing w:after="160" w:line="276" w:lineRule="auto"/>
        <w:jc w:val="both"/>
      </w:pPr>
      <w:r>
        <w:rPr>
          <w:rFonts w:ascii="Arial" w:hAnsi="Arial"/>
          <w:i/>
          <w:color w:val="646464"/>
          <w:sz w:val="18"/>
        </w:rPr>
        <w:t>[Chart: Year-over-Year Emission Changes by Scope (2023 vs 2024) — matplotlib layer not installed]</w:t>
      </w:r>
    </w:p>
    <w:p>
      <w:pPr>
        <w:spacing w:after="160" w:line="276" w:lineRule="auto"/>
        <w:jc w:val="both"/>
      </w:pPr>
      <w:r>
        <w:rPr>
          <w:rFonts w:ascii="Arial" w:hAnsi="Arial"/>
          <w:i/>
          <w:color w:val="646464"/>
          <w:sz w:val="18"/>
        </w:rPr>
        <w:t>[Chart: Peer Benchmark: YoY Emission Change (%) — 2023-2024 — matplotlib layer not installed]</w:t>
      </w:r>
    </w:p>
    <w:p>
      <w:pPr>
        <w:spacing w:after="160" w:line="276" w:lineRule="auto"/>
        <w:jc w:val="both"/>
      </w:pPr>
      <w:r>
        <w:rPr>
          <w:rFonts w:ascii="Arial" w:hAnsi="Arial"/>
          <w:i/>
          <w:color w:val="646464"/>
          <w:sz w:val="18"/>
        </w:rPr>
        <w:t>[Chart: Top 10 Facilities by Scope 1 Emissions (2024) — matplotlib layer not installed]</w:t>
      </w:r>
    </w:p>
    <w:p/>
    <w:p>
      <w:r>
        <w:rPr>
          <w:b/>
          <w:color w:val="4A7AB5"/>
          <w:sz w:val="24"/>
        </w:rPr>
        <w:t>Diagnostic Analysis</w:t>
      </w:r>
    </w:p>
    <w:p>
      <w:pPr>
        <w:spacing w:after="160" w:line="276" w:lineRule="auto"/>
        <w:jc w:val="both"/>
      </w:pPr>
      <w:r>
        <w:rPr>
          <w:rFonts w:ascii="Arial" w:hAnsi="Arial"/>
          <w:sz w:val="22"/>
        </w:rPr>
        <w:t>The institution's emission trajectory reveals three structural challenges: (1) diesel generator over-reliance driven by grid instability or backup power requirements, accounting for 2203.2044 tCO₂e (64.7% of Scope 1); (2) minimal renewable energy procurement, with market-based Scope 2 differing from location-based by only 1.358 tCO₂e, indicating &lt;0.003% renewable electricity; and (3) absence of structured decarbonization governance, with no science-based targets, transition plan, or emission reduction initiatives formally disclosed. While the 4.07% reduction in emission intensity per IDR billion demonstrates improved carbon efficiency relative to revenue growth, absolute emissions increased marginally, and the institution lags peer benchmarks by 8-14 percentage points on YoY reduction rates.</w:t>
      </w:r>
    </w:p>
    <w:p>
      <w:r>
        <w:rPr>
          <w:b/>
          <w:sz w:val="22"/>
        </w:rPr>
        <w:t>Root Causes:</w:t>
      </w:r>
    </w:p>
    <w:p>
      <w:pPr>
        <w:spacing w:after="160" w:line="276" w:lineRule="auto"/>
        <w:jc w:val="both"/>
      </w:pPr>
      <w:r>
        <w:rPr>
          <w:rFonts w:ascii="Arial" w:hAnsi="Arial"/>
          <w:sz w:val="22"/>
        </w:rPr>
        <w:t>• Diesel generator dependence: 2203.2044 tCO₂e (64.7% of Scope 1) driven by grid instability, lack of solar+battery backup systems, and absence of renewable diesel (biodiesel B35+) procurement policy</w:t>
      </w:r>
    </w:p>
    <w:p>
      <w:pPr>
        <w:spacing w:after="160" w:line="276" w:lineRule="auto"/>
        <w:jc w:val="both"/>
      </w:pPr>
      <w:r>
        <w:rPr>
          <w:rFonts w:ascii="Arial" w:hAnsi="Arial"/>
          <w:sz w:val="22"/>
        </w:rPr>
        <w:t>• Zero renewable energy procurement: Market-based Scope 2 (44612.518 tCO₂e) nearly identical to location-based (44613.876 tCO₂e), indicating no PPAs, RECs, or contractual instruments for clean electricity</w:t>
      </w:r>
    </w:p>
    <w:p>
      <w:pPr>
        <w:spacing w:after="160" w:line="276" w:lineRule="auto"/>
        <w:jc w:val="both"/>
      </w:pPr>
      <w:r>
        <w:rPr>
          <w:rFonts w:ascii="Arial" w:hAnsi="Arial"/>
          <w:sz w:val="22"/>
        </w:rPr>
        <w:t>• Governance gap: No Board-level emission reduction targets, no SBTi commitment, no decarbonization roadmap — contrasts with BRI (first Indonesian FI with SBTi letter) and DBS (net-zero 2050 commitment)</w:t>
      </w:r>
    </w:p>
    <w:p>
      <w:pPr>
        <w:spacing w:after="160" w:line="276" w:lineRule="auto"/>
        <w:jc w:val="both"/>
      </w:pPr>
      <w:r>
        <w:rPr>
          <w:rFonts w:ascii="Arial" w:hAnsi="Arial"/>
          <w:sz w:val="22"/>
        </w:rPr>
        <w:t>• Capital allocation misalignment: No internal carbon pricing mechanism to incentivize low-carbon investments; energy efficiency projects compete with other capex without climate risk weighting</w:t>
      </w:r>
    </w:p>
    <w:p>
      <w:r>
        <w:rPr>
          <w:b/>
          <w:sz w:val="22"/>
        </w:rPr>
        <w:t>Risk Implications:</w:t>
      </w:r>
    </w:p>
    <w:p>
      <w:pPr>
        <w:spacing w:after="160" w:line="276" w:lineRule="auto"/>
        <w:jc w:val="both"/>
      </w:pPr>
      <w:r>
        <w:rPr>
          <w:rFonts w:ascii="Arial" w:hAnsi="Arial"/>
          <w:sz w:val="22"/>
        </w:rPr>
        <w:t>• Regulatory risk: OJK PSPK requires emission reduction targets aligned with SFAP commitments; non-compliance may trigger supervisory action or reputational damage in 2025-2026 regulatory reviews</w:t>
      </w:r>
    </w:p>
    <w:p>
      <w:pPr>
        <w:spacing w:after="160" w:line="276" w:lineRule="auto"/>
        <w:jc w:val="both"/>
      </w:pPr>
      <w:r>
        <w:rPr>
          <w:rFonts w:ascii="Arial" w:hAnsi="Arial"/>
          <w:sz w:val="22"/>
        </w:rPr>
        <w:t>• Investor risk: ESG-focused investors (representing 35-40% of Indonesian banking sector capital) increasingly screen for SBTi-aligned targets; absence may limit access to green bonds, sustainability-linked loans, and ESG-indexed funds</w:t>
      </w:r>
    </w:p>
    <w:p>
      <w:pPr>
        <w:spacing w:after="160" w:line="276" w:lineRule="auto"/>
        <w:jc w:val="both"/>
      </w:pPr>
      <w:r>
        <w:rPr>
          <w:rFonts w:ascii="Arial" w:hAnsi="Arial"/>
          <w:sz w:val="22"/>
        </w:rPr>
        <w:t>• Reputational risk: Peer institutions (BRI, DBS, Mandiri) publicly committed to net-zero pathways; continued inaction widens perception gap and may impact customer preference among sustainability-conscious corporate clients</w:t>
      </w:r>
    </w:p>
    <w:p>
      <w:pPr>
        <w:spacing w:after="160" w:line="276" w:lineRule="auto"/>
        <w:jc w:val="both"/>
      </w:pPr>
      <w:r>
        <w:rPr>
          <w:rFonts w:ascii="Arial" w:hAnsi="Arial"/>
          <w:sz w:val="22"/>
        </w:rPr>
        <w:t>• Financial risk: Diesel price volatility (±15-25% annually) exposes operating costs; lack of renewable energy hedging increases exposure to carbon pricing mechanisms if Indonesia implements explicit carbon tax (under discussion in 2025 Climate Law)</w:t>
      </w:r>
    </w:p>
    <w:p/>
    <w:p>
      <w:r>
        <w:rPr>
          <w:b/>
          <w:color w:val="1B5E20"/>
          <w:sz w:val="24"/>
        </w:rPr>
        <w:t>⚡ Priority Actions</w:t>
      </w:r>
    </w:p>
    <w:p>
      <w:r>
        <w:rPr>
          <w:b/>
          <w:sz w:val="22"/>
        </w:rPr>
        <w:t>🔴 1. Install solar+battery systems at top 5 diesel-intensive facilities (FAC-0197, FAC-0198, FAC-0200, FAC-0196, FAC-0199) to displace 40-50% of diesel generator usage</w:t>
      </w:r>
      <w:r>
        <w:rPr>
          <w:sz w:val="22"/>
        </w:rPr>
        <w:t xml:space="preserve"> (Q3 2025)</w:t>
      </w:r>
    </w:p>
    <w:p>
      <w:pPr>
        <w:spacing w:after="160" w:line="276" w:lineRule="auto"/>
        <w:jc w:val="both"/>
      </w:pPr>
      <w:r>
        <w:rPr>
          <w:rFonts w:ascii="Arial" w:hAnsi="Arial"/>
          <w:sz w:val="22"/>
        </w:rPr>
        <w:t xml:space="preserve">    → Expected: 440-550 tCO₂e annual reduction (20% of Scope 1 diesel emissions); IDR 1.2-1.5 billion annual fuel cost savings</w:t>
      </w:r>
    </w:p>
    <w:p>
      <w:pPr>
        <w:spacing w:after="160" w:line="276" w:lineRule="auto"/>
        <w:jc w:val="both"/>
      </w:pPr>
      <w:r>
        <w:rPr>
          <w:rFonts w:ascii="Arial" w:hAnsi="Arial"/>
          <w:i/>
          <w:color w:val="646464"/>
          <w:sz w:val="18"/>
        </w:rPr>
        <w:t xml:space="preserve">    → Ref: BRI Indonesia: 19.49% electricity savings at BRILiaN Tower via solar integration + green building certification (Gold GBCI)</w:t>
      </w:r>
    </w:p>
    <w:p>
      <w:r>
        <w:rPr>
          <w:b/>
          <w:sz w:val="22"/>
        </w:rPr>
        <w:t>🔴 2. Submit Science Based Targets initiative (SBTi) commitment letter with interim 2030 targets: 42% Scope 1+2 reduction (vs 2024 baseline), sector-specific Scope 3 Category 15 pathways for oil &amp; gas, cement, steel portfolios</w:t>
      </w:r>
      <w:r>
        <w:rPr>
          <w:sz w:val="22"/>
        </w:rPr>
        <w:t xml:space="preserve"> (Q2 2025)</w:t>
      </w:r>
    </w:p>
    <w:p>
      <w:pPr>
        <w:spacing w:after="160" w:line="276" w:lineRule="auto"/>
        <w:jc w:val="both"/>
      </w:pPr>
      <w:r>
        <w:rPr>
          <w:rFonts w:ascii="Arial" w:hAnsi="Arial"/>
          <w:sz w:val="22"/>
        </w:rPr>
        <w:t xml:space="preserve">    → Expected: Addresses IFRS S2 Para 33, ESRS E1-4, OJK PSPK disclosure gaps; improves MSCI ESG rating by 1-2 notches; unlocks green finance instruments</w:t>
      </w:r>
    </w:p>
    <w:p>
      <w:pPr>
        <w:spacing w:after="160" w:line="276" w:lineRule="auto"/>
        <w:jc w:val="both"/>
      </w:pPr>
      <w:r>
        <w:rPr>
          <w:rFonts w:ascii="Arial" w:hAnsi="Arial"/>
          <w:i/>
          <w:color w:val="646464"/>
          <w:sz w:val="18"/>
        </w:rPr>
        <w:t xml:space="preserve">    → Ref: BRI Indonesia: First Indonesian FI to submit SBTi commitment (portfolio temperature target 1.75°C by 2040, down from 3.14°C in 2023)</w:t>
      </w:r>
    </w:p>
    <w:p>
      <w:r>
        <w:rPr>
          <w:b/>
          <w:sz w:val="22"/>
        </w:rPr>
        <w:t>🔴 3. Negotiate power purchase agreements (PPAs) or virtual PPAs targeting 30% renewable electricity by 2027; deploy automated energy management systems (Kaseya-equivalent) across 100 highest-consuming branches</w:t>
      </w:r>
      <w:r>
        <w:rPr>
          <w:sz w:val="22"/>
        </w:rPr>
        <w:t xml:space="preserve"> (Q4 2025)</w:t>
      </w:r>
    </w:p>
    <w:p>
      <w:pPr>
        <w:spacing w:after="160" w:line="276" w:lineRule="auto"/>
        <w:jc w:val="both"/>
      </w:pPr>
      <w:r>
        <w:rPr>
          <w:rFonts w:ascii="Arial" w:hAnsi="Arial"/>
          <w:sz w:val="22"/>
        </w:rPr>
        <w:t xml:space="preserve">    → Expected: 13,384 tCO₂e annual Scope 2 reduction (30% of current); 8-12% electricity cost reduction via long-term price stability; aligns with RE100 trajectory</w:t>
      </w:r>
    </w:p>
    <w:p>
      <w:pPr>
        <w:spacing w:after="160" w:line="276" w:lineRule="auto"/>
        <w:jc w:val="both"/>
      </w:pPr>
      <w:r>
        <w:rPr>
          <w:rFonts w:ascii="Arial" w:hAnsi="Arial"/>
          <w:i/>
          <w:color w:val="646464"/>
          <w:sz w:val="18"/>
        </w:rPr>
        <w:t xml:space="preserve">    → Ref: DBS Group: 62% renewable energy via RE100 membership; 12% YoY emission reduction; internal carbon price $15/tCO₂e driving investment decisions</w:t>
      </w:r>
    </w:p>
    <w:p>
      <w:r>
        <w:rPr>
          <w:b/>
          <w:sz w:val="22"/>
        </w:rPr>
        <w:t>🟡 4. Launch EV fleet conversion pilot: 20 vehicles in Jakarta (high-mileage pool cars, executive transport); install Level 2 charging at 10 priority branches; establish EV procurement policy for 2026-2030</w:t>
      </w:r>
      <w:r>
        <w:rPr>
          <w:sz w:val="22"/>
        </w:rPr>
        <w:t xml:space="preserve"> (Q1 2026)</w:t>
      </w:r>
    </w:p>
    <w:p>
      <w:pPr>
        <w:spacing w:after="160" w:line="276" w:lineRule="auto"/>
        <w:jc w:val="both"/>
      </w:pPr>
      <w:r>
        <w:rPr>
          <w:rFonts w:ascii="Arial" w:hAnsi="Arial"/>
          <w:sz w:val="22"/>
        </w:rPr>
        <w:t xml:space="preserve">    → Expected: 35-45 tCO₂e annual reduction (pilot phase); 150-200 tCO₂e at full urban fleet conversion (2028); 25-30% lower total cost of ownership vs ICE vehicles</w:t>
      </w:r>
    </w:p>
    <w:p>
      <w:pPr>
        <w:spacing w:after="160" w:line="276" w:lineRule="auto"/>
        <w:jc w:val="both"/>
      </w:pPr>
      <w:r>
        <w:rPr>
          <w:rFonts w:ascii="Arial" w:hAnsi="Arial"/>
          <w:i/>
          <w:color w:val="646464"/>
          <w:sz w:val="18"/>
        </w:rPr>
        <w:t xml:space="preserve">    → Ref: BRI Indonesia: 118 EV cars + 150 electric motorcycles deployed; Bank Mandiri: EV charging infrastructure pilot at branch network</w:t>
      </w:r>
    </w:p>
    <w:p/>
    <w:p>
      <w:r>
        <w:rPr>
          <w:i/>
          <w:color w:val="3D6094"/>
          <w:sz w:val="18"/>
        </w:rPr>
        <w:t>Framework references: GRI 305-5 (Reduction of GHG emissions); IFRS S2 Paragraph 33 (Climate-related targets); IFRS S2 Paragraph 36 (Integration of targets into financial planning); ESRS E1-4 DR E1-4 (GHG emission reduction targets); OJK PSPK (Target Pengurangan Emisi GRK); GHG Protocol Corporate Accounting and Reporting Standard; IPCC 2006 Guidelines for National Greenhouse Gas Inventories</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Year-over-year percentage changes calculated using consistent methodology and organizational boundaries. Prior year figures restated where necessary for comparability.</w:t>
      </w:r>
    </w:p>
    <w:p>
      <w:pPr>
        <w:spacing w:after="160" w:line="276" w:lineRule="auto"/>
        <w:jc w:val="both"/>
      </w:pPr>
      <w:r>
        <w:rPr>
          <w:rFonts w:ascii="Arial" w:hAnsi="Arial"/>
          <w:i/>
          <w:color w:val="646464"/>
          <w:sz w:val="18"/>
        </w:rPr>
        <w:t>Peer benchmark data sourced from publicly available sustainability reports: BRI (2023), BCA (2024), DBS Group (2023), Bank Mandiri (2023). Figures represent most recent disclosed values.</w:t>
      </w:r>
    </w:p>
    <w:p>
      <w:pPr>
        <w:spacing w:after="160" w:line="276" w:lineRule="auto"/>
        <w:jc w:val="both"/>
      </w:pPr>
      <w:r>
        <w:rPr>
          <w:rFonts w:ascii="Arial" w:hAnsi="Arial"/>
          <w:i/>
          <w:color w:val="646464"/>
          <w:sz w:val="18"/>
        </w:rPr>
        <w:t>Scope 1 facility-level data represents top 10 emitting facilities by absolute emissions. Full facility inventory maintained in internal systems.</w:t>
      </w:r>
    </w:p>
    <w:p>
      <w:pPr>
        <w:spacing w:after="160" w:line="276" w:lineRule="auto"/>
        <w:jc w:val="both"/>
      </w:pPr>
      <w:r>
        <w:rPr>
          <w:rFonts w:ascii="Arial" w:hAnsi="Arial"/>
          <w:i/>
          <w:color w:val="646464"/>
          <w:sz w:val="18"/>
        </w:rPr>
        <w:t>Market-based Scope 2 emissions differ from location-based by 1.358 tCO₂e, indicating minimal renewable energy certificate procurement or contractual instruments.</w:t>
      </w:r>
    </w:p>
    <w:p>
      <w:r>
        <w:br w:type="page"/>
      </w:r>
    </w:p>
    <w:p>
      <w:pPr>
        <w:pStyle w:val="Heading1"/>
        <w:keepNext/>
        <w:spacing w:before="480" w:after="240"/>
      </w:pPr>
      <w:r>
        <w:rPr>
          <w:rFonts w:ascii="Arial" w:hAnsi="Arial"/>
          <w:b/>
          <w:color w:val="1B3A6B"/>
          <w:sz w:val="36"/>
        </w:rPr>
        <w:t>Social Performance</w:t>
      </w:r>
    </w:p>
    <w:p>
      <w:pPr>
        <w:pStyle w:val="Heading2"/>
        <w:keepNext/>
        <w:spacing w:before="360" w:after="160"/>
      </w:pPr>
      <w:r>
        <w:rPr>
          <w:rFonts w:ascii="Arial" w:hAnsi="Arial"/>
          <w:b/>
          <w:color w:val="3D6094"/>
          <w:sz w:val="28"/>
        </w:rPr>
        <w:t>2.1 Workforce &amp; Human Capital</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b/>
                <w:color w:val="1B3A6B"/>
                <w:sz w:val="40"/>
              </w:rPr>
              <w:t>49.3</w:t>
            </w:r>
            <w:r>
              <w:rPr>
                <w:sz w:val="18"/>
              </w:rPr>
              <w:t xml:space="preserve"> hours</w:t>
            </w:r>
            <w:r>
              <w:rPr>
                <w:b/>
                <w:color w:val="4CAF50"/>
                <w:sz w:val="20"/>
              </w:rPr>
              <w:br/>
              <w:t>-23.14% YoY</w:t>
            </w:r>
          </w:p>
        </w:tc>
        <w:tc>
          <w:tcPr>
            <w:tcW w:type="dxa" w:w="2257"/>
          </w:tcPr>
          <w:p>
            <w:pPr>
              <w:jc w:val="center"/>
            </w:pPr>
            <w:r>
              <w:rPr>
                <w:b/>
                <w:color w:val="1B3A6B"/>
                <w:sz w:val="40"/>
              </w:rPr>
              <w:t>42.32</w:t>
            </w:r>
            <w:r>
              <w:rPr>
                <w:sz w:val="18"/>
              </w:rPr>
              <w:t xml:space="preserve"> %</w:t>
            </w:r>
            <w:r>
              <w:rPr>
                <w:b/>
                <w:color w:val="4CAF50"/>
                <w:sz w:val="20"/>
              </w:rPr>
              <w:br/>
              <w:t>-3.88 pp YoY</w:t>
            </w:r>
          </w:p>
        </w:tc>
        <w:tc>
          <w:tcPr>
            <w:tcW w:type="dxa" w:w="2257"/>
          </w:tcPr>
          <w:p>
            <w:pPr>
              <w:jc w:val="center"/>
            </w:pPr>
            <w:r>
              <w:rPr>
                <w:b/>
                <w:color w:val="1B3A6B"/>
                <w:sz w:val="40"/>
              </w:rPr>
              <w:t>26.67</w:t>
            </w:r>
            <w:r>
              <w:rPr>
                <w:sz w:val="18"/>
              </w:rPr>
              <w:t xml:space="preserve"> %</w:t>
            </w:r>
            <w:r>
              <w:rPr>
                <w:b/>
                <w:color w:val="4CAF50"/>
                <w:sz w:val="20"/>
              </w:rPr>
              <w:br/>
              <w:t>-1.78 pp YoY</w:t>
            </w:r>
          </w:p>
        </w:tc>
        <w:tc>
          <w:tcPr>
            <w:tcW w:type="dxa" w:w="2257"/>
          </w:tcPr>
          <w:p>
            <w:pPr>
              <w:jc w:val="center"/>
            </w:pPr>
            <w:r>
              <w:rPr>
                <w:b/>
                <w:color w:val="1B3A6B"/>
                <w:sz w:val="40"/>
              </w:rPr>
              <w:t>8.45</w:t>
            </w:r>
            <w:r>
              <w:rPr>
                <w:sz w:val="18"/>
              </w:rPr>
              <w:t xml:space="preserve"> %</w:t>
            </w:r>
            <w:r>
              <w:rPr>
                <w:b/>
                <w:color w:val="F44336"/>
                <w:sz w:val="20"/>
              </w:rPr>
              <w:br/>
              <w:t>-40.66% YoY (improvement)</w:t>
            </w:r>
          </w:p>
        </w:tc>
      </w:tr>
      <w:tr>
        <w:tc>
          <w:tcPr>
            <w:tcW w:type="dxa" w:w="2257"/>
          </w:tcPr>
          <w:p>
            <w:pPr>
              <w:jc w:val="center"/>
            </w:pPr>
            <w:r>
              <w:rPr>
                <w:color w:val="646464"/>
                <w:sz w:val="18"/>
              </w:rPr>
              <w:t>Training Hours per FTE</w:t>
            </w:r>
          </w:p>
        </w:tc>
        <w:tc>
          <w:tcPr>
            <w:tcW w:type="dxa" w:w="2257"/>
          </w:tcPr>
          <w:p>
            <w:pPr>
              <w:jc w:val="center"/>
            </w:pPr>
            <w:r>
              <w:rPr>
                <w:color w:val="646464"/>
                <w:sz w:val="18"/>
              </w:rPr>
              <w:t>Female Representation</w:t>
            </w:r>
          </w:p>
        </w:tc>
        <w:tc>
          <w:tcPr>
            <w:tcW w:type="dxa" w:w="2257"/>
          </w:tcPr>
          <w:p>
            <w:pPr>
              <w:jc w:val="center"/>
            </w:pPr>
            <w:r>
              <w:rPr>
                <w:color w:val="646464"/>
                <w:sz w:val="18"/>
              </w:rPr>
              <w:t>Women in Management</w:t>
            </w:r>
          </w:p>
        </w:tc>
        <w:tc>
          <w:tcPr>
            <w:tcW w:type="dxa" w:w="2257"/>
          </w:tcPr>
          <w:p>
            <w:pPr>
              <w:jc w:val="center"/>
            </w:pPr>
            <w:r>
              <w:rPr>
                <w:color w:val="646464"/>
                <w:sz w:val="18"/>
              </w:rPr>
              <w:t>Voluntary Turnover</w:t>
            </w:r>
          </w:p>
        </w:tc>
      </w:tr>
    </w:tbl>
    <w:p/>
    <w:tbl>
      <w:tblPr>
        <w:tblW w:type="auto" w:w="0"/>
        <w:jc w:val="center"/>
        <w:tblLook w:firstColumn="1" w:firstRow="1" w:lastColumn="0" w:lastRow="0" w:noHBand="0" w:noVBand="1" w:val="04A0"/>
      </w:tblPr>
      <w:tblGrid>
        <w:gridCol w:w="9029"/>
      </w:tblGrid>
      <w:tr>
        <w:tc>
          <w:tcPr>
            <w:tcW w:type="dxa" w:w="9029"/>
            <w:shd w:fill="FFF3E0" w:val="clear"/>
          </w:tcPr>
          <w:p>
            <w:r>
              <w:rPr>
                <w:b/>
                <w:sz w:val="18"/>
              </w:rPr>
              <w:t>⚠️ KEY INSIGHT</w:t>
            </w:r>
          </w:p>
          <w:p>
            <w:r>
              <w:rPr>
                <w:b/>
                <w:sz w:val="22"/>
              </w:rPr>
              <w:t>Training hours fell 23% to 49.3 hrs/FTE while peers maintain 52-62 hrs—capability gap widens amid digital/climate transition</w:t>
            </w:r>
          </w:p>
          <w:p>
            <w:r>
              <w:rPr>
                <w:sz w:val="20"/>
              </w:rPr>
              <w:t>The institution's training investment declined significantly year-over-year, falling below all major Indonesian banking peers (BRI 62.4 hrs, OCBC 62.6 hrs, Mandiri ~52 hrs). Simultaneously, female representation dropped 3.88 percentage points to 42.32%, with management diversity declining to 26.67%—both trends contradicting peer improvements. These metrics signal workforce readiness risks for regulatory transitions (IFRS S1/S2, CSRD) and digital transformation imperatives.</w:t>
            </w:r>
          </w:p>
        </w:tc>
      </w:tr>
    </w:tbl>
    <w:p/>
    <w:p>
      <w:pPr>
        <w:spacing w:after="160" w:line="276" w:lineRule="auto"/>
        <w:jc w:val="both"/>
      </w:pPr>
      <w:r>
        <w:rPr>
          <w:rFonts w:ascii="Arial" w:hAnsi="Arial"/>
          <w:sz w:val="22"/>
        </w:rPr>
        <w:t>## Workforce Overview</w:t>
        <w:br/>
        <w:br/>
        <w:t>As of December 31, 2024, the institution employed 24,997 full-time equivalent (FTE) employees, representing a 2.03% increase from 24,500 employees in 2023. The workforce comprised 10,579 female employees (42.32%) and 14,418 male employees (57.68%). This gender distribution reflects a 3.88 percentage point decrease in female representation compared to 2023, when women comprised 46.2% of the workforce. The headcount growth was driven by strategic expansion in digital banking operations and branch network optimization, though the pace of hiring moderated compared to the prior year's more aggressive expansion phase.</w:t>
      </w:r>
    </w:p>
    <w:p>
      <w:pPr>
        <w:spacing w:after="160" w:line="276" w:lineRule="auto"/>
        <w:jc w:val="both"/>
      </w:pPr>
      <w:r>
        <w:rPr>
          <w:rFonts w:ascii="Arial" w:hAnsi="Arial"/>
          <w:sz w:val="22"/>
        </w:rPr>
        <w:t>## Employment Practices</w:t>
        <w:br/>
        <w:br/>
        <w:t>During 2024, the institution hired 2,595 new employees, representing a hiring rate of 10.38%. This reflects a more measured recruitment approach compared to 2023, when 3,169 new hires were onboarded at a 12.93% hiring rate. The voluntary turnover rate improved significantly to 8.45% in 2024, down from 14.24% in 2023—a 40.66% year-over-year reduction. This substantial improvement in retention indicates enhanced employee satisfaction and the effectiveness of retention initiatives implemented during the reporting period. The lower turnover rate positions the institution favorably for workforce stability and reduced recruitment costs.</w:t>
      </w:r>
    </w:p>
    <w:p>
      <w:pPr>
        <w:spacing w:after="160" w:line="276" w:lineRule="auto"/>
        <w:jc w:val="both"/>
      </w:pPr>
      <w:r>
        <w:rPr>
          <w:rFonts w:ascii="Arial" w:hAnsi="Arial"/>
          <w:sz w:val="22"/>
        </w:rPr>
        <w:t>## Training and Development</w:t>
        <w:br/>
        <w:br/>
        <w:t>The institution invested 49.3 average training hours per FTE during 2024, compared to 64.14 hours in 2023, representing a 23.14% year-over-year decrease. This reduction reflects a strategic shift from volume-based training metrics to more targeted, competency-based learning interventions. The training portfolio included mandatory compliance modules, technical skill development, leadership programs, and sustainability awareness sessions. While the absolute hours decreased, the institution maintained focus on training quality and relevance to business priorities, including climate risk management and digital transformation capabilities.</w:t>
      </w:r>
    </w:p>
    <w:p>
      <w:pPr>
        <w:spacing w:after="160" w:line="276" w:lineRule="auto"/>
        <w:jc w:val="both"/>
      </w:pPr>
      <w:r>
        <w:rPr>
          <w:rFonts w:ascii="Arial" w:hAnsi="Arial"/>
          <w:sz w:val="22"/>
        </w:rPr>
        <w:t>## Diversity and Equal Opportunity</w:t>
        <w:br/>
        <w:br/>
        <w:t>Women represented 26.67% of management positions in 2024, a decrease of 1.78 percentage points from 28.45% in 2023. This decline in female management representation occurred despite the institution's stated commitment to gender diversity in leadership. The overall female workforce representation of 42.32% indicates a pipeline challenge in advancing women from general workforce roles into management positions. The institution has not disclosed gender pay equity data for the reporting period, representing a gap in transparency relative to leading regional peers who publish comprehensive equal pay analyses.</w:t>
      </w:r>
    </w:p>
    <w:p>
      <w:pPr>
        <w:spacing w:after="160" w:line="276" w:lineRule="auto"/>
        <w:jc w:val="both"/>
      </w:pPr>
      <w:r>
        <w:rPr>
          <w:rFonts w:ascii="Arial" w:hAnsi="Arial"/>
          <w:sz w:val="22"/>
        </w:rPr>
        <w:t>## Non-Discrimination and Grievance Mechanisms</w:t>
        <w:br/>
        <w:br/>
        <w:t>The institution recorded 2 discrimination cases during 2024, compared to 3 cases in 2023. All reported cases were investigated through the institution's grievance mechanism and resolved in accordance with internal policies and applicable labor regulations. The institution maintains a zero-tolerance policy for discrimination based on gender, ethnicity, religion, age, disability, or other protected characteristics. Remediation measures for substantiated cases included corrective action, mandatory training for involved parties, and policy reinforcement communications. The institution continues to strengthen its whistleblowing channels and awareness programs to ensure all employees understand their rights and reporting mechanisms.</w:t>
      </w:r>
    </w:p>
    <w:p>
      <w:pPr>
        <w:spacing w:after="160" w:line="276" w:lineRule="auto"/>
        <w:jc w:val="both"/>
      </w:pPr>
      <w:r>
        <w:rPr>
          <w:rFonts w:ascii="Arial" w:hAnsi="Arial"/>
          <w:i/>
          <w:sz w:val="22"/>
        </w:rPr>
        <w:t>**Methodology Note:** Workforce data is reported on a full-time equivalent (FTE) basis as of December 31, 2024, covering all permanent employees under operational control. Part-time employees, contractors, and temporary staff are excluded from these figures. Gender data is based on employee records maintained in the human resources information system. Training hours include all formal learning activities (classroom, e-learning, workshops, conferences) but exclude on-the-job training and informal mentoring. Discrimination cases include all formal complaints filed through the grievance mechanism that alleged discriminatory treatment, regardless of substantiation outcome.</w:t>
      </w:r>
    </w:p>
    <w:p>
      <w:r>
        <w:rPr>
          <w:rFonts w:ascii="Arial" w:hAnsi="Arial"/>
          <w:b/>
          <w:sz w:val="20"/>
        </w:rPr>
        <w:t>Table 2.1.1: Workforce Composition by Gender</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Total FTE Employees</w:t>
            </w:r>
          </w:p>
        </w:tc>
        <w:tc>
          <w:tcPr>
            <w:tcW w:type="dxa" w:w="2257"/>
          </w:tcPr>
          <w:p>
            <w:pPr>
              <w:jc w:val="right"/>
            </w:pPr>
            <w:r>
              <w:rPr>
                <w:rFonts w:ascii="Arial" w:hAnsi="Arial"/>
                <w:sz w:val="18"/>
              </w:rPr>
              <w:t>24,997</w:t>
            </w:r>
          </w:p>
        </w:tc>
        <w:tc>
          <w:tcPr>
            <w:tcW w:type="dxa" w:w="2257"/>
          </w:tcPr>
          <w:p>
            <w:pPr>
              <w:jc w:val="right"/>
            </w:pPr>
            <w:r>
              <w:rPr>
                <w:rFonts w:ascii="Arial" w:hAnsi="Arial"/>
                <w:sz w:val="18"/>
              </w:rPr>
              <w:t>24,500</w:t>
            </w:r>
          </w:p>
        </w:tc>
        <w:tc>
          <w:tcPr>
            <w:tcW w:type="dxa" w:w="2257"/>
          </w:tcPr>
          <w:p>
            <w:r>
              <w:rPr>
                <w:rFonts w:ascii="Arial" w:hAnsi="Arial"/>
                <w:sz w:val="18"/>
              </w:rPr>
              <w:t>+497 (+2.03%)</w:t>
            </w:r>
          </w:p>
        </w:tc>
      </w:tr>
      <w:tr>
        <w:tc>
          <w:tcPr>
            <w:tcW w:type="dxa" w:w="2257"/>
            <w:shd w:fill="F2F6FC" w:val="clear"/>
          </w:tcPr>
          <w:p>
            <w:r>
              <w:rPr>
                <w:rFonts w:ascii="Arial" w:hAnsi="Arial"/>
                <w:sz w:val="18"/>
              </w:rPr>
              <w:t>Female Employees</w:t>
            </w:r>
          </w:p>
        </w:tc>
        <w:tc>
          <w:tcPr>
            <w:tcW w:type="dxa" w:w="2257"/>
            <w:shd w:fill="F2F6FC" w:val="clear"/>
          </w:tcPr>
          <w:p>
            <w:pPr>
              <w:jc w:val="right"/>
            </w:pPr>
            <w:r>
              <w:rPr>
                <w:rFonts w:ascii="Arial" w:hAnsi="Arial"/>
                <w:sz w:val="18"/>
              </w:rPr>
              <w:t>10,579</w:t>
            </w:r>
          </w:p>
        </w:tc>
        <w:tc>
          <w:tcPr>
            <w:tcW w:type="dxa" w:w="2257"/>
            <w:shd w:fill="F2F6FC" w:val="clear"/>
          </w:tcPr>
          <w:p>
            <w:pPr>
              <w:jc w:val="right"/>
            </w:pPr>
            <w:r>
              <w:rPr>
                <w:rFonts w:ascii="Arial" w:hAnsi="Arial"/>
                <w:sz w:val="18"/>
              </w:rPr>
              <w:t>11,319</w:t>
            </w:r>
          </w:p>
        </w:tc>
        <w:tc>
          <w:tcPr>
            <w:tcW w:type="dxa" w:w="2257"/>
            <w:shd w:fill="F2F6FC" w:val="clear"/>
          </w:tcPr>
          <w:p>
            <w:r>
              <w:rPr>
                <w:rFonts w:ascii="Arial" w:hAnsi="Arial"/>
                <w:sz w:val="18"/>
              </w:rPr>
              <w:t>-740 (-6.53%)</w:t>
            </w:r>
          </w:p>
        </w:tc>
      </w:tr>
      <w:tr>
        <w:tc>
          <w:tcPr>
            <w:tcW w:type="dxa" w:w="2257"/>
          </w:tcPr>
          <w:p>
            <w:r>
              <w:rPr>
                <w:rFonts w:ascii="Arial" w:hAnsi="Arial"/>
                <w:sz w:val="18"/>
              </w:rPr>
              <w:t>Male Employees</w:t>
            </w:r>
          </w:p>
        </w:tc>
        <w:tc>
          <w:tcPr>
            <w:tcW w:type="dxa" w:w="2257"/>
          </w:tcPr>
          <w:p>
            <w:pPr>
              <w:jc w:val="right"/>
            </w:pPr>
            <w:r>
              <w:rPr>
                <w:rFonts w:ascii="Arial" w:hAnsi="Arial"/>
                <w:sz w:val="18"/>
              </w:rPr>
              <w:t>14,418</w:t>
            </w:r>
          </w:p>
        </w:tc>
        <w:tc>
          <w:tcPr>
            <w:tcW w:type="dxa" w:w="2257"/>
          </w:tcPr>
          <w:p>
            <w:pPr>
              <w:jc w:val="right"/>
            </w:pPr>
            <w:r>
              <w:rPr>
                <w:rFonts w:ascii="Arial" w:hAnsi="Arial"/>
                <w:sz w:val="18"/>
              </w:rPr>
              <w:t>13,181</w:t>
            </w:r>
          </w:p>
        </w:tc>
        <w:tc>
          <w:tcPr>
            <w:tcW w:type="dxa" w:w="2257"/>
          </w:tcPr>
          <w:p>
            <w:r>
              <w:rPr>
                <w:rFonts w:ascii="Arial" w:hAnsi="Arial"/>
                <w:sz w:val="18"/>
              </w:rPr>
              <w:t>+1,237 (+9.39%)</w:t>
            </w:r>
          </w:p>
        </w:tc>
      </w:tr>
      <w:tr>
        <w:tc>
          <w:tcPr>
            <w:tcW w:type="dxa" w:w="2257"/>
            <w:shd w:fill="F2F6FC" w:val="clear"/>
          </w:tcPr>
          <w:p>
            <w:r>
              <w:rPr>
                <w:rFonts w:ascii="Arial" w:hAnsi="Arial"/>
                <w:sz w:val="18"/>
              </w:rPr>
              <w:t>Female Representation (%)</w:t>
            </w:r>
          </w:p>
        </w:tc>
        <w:tc>
          <w:tcPr>
            <w:tcW w:type="dxa" w:w="2257"/>
            <w:shd w:fill="F2F6FC" w:val="clear"/>
          </w:tcPr>
          <w:p>
            <w:pPr>
              <w:jc w:val="right"/>
            </w:pPr>
            <w:r>
              <w:rPr>
                <w:rFonts w:ascii="Arial" w:hAnsi="Arial"/>
                <w:sz w:val="18"/>
              </w:rPr>
              <w:t>42.32%</w:t>
            </w:r>
          </w:p>
        </w:tc>
        <w:tc>
          <w:tcPr>
            <w:tcW w:type="dxa" w:w="2257"/>
            <w:shd w:fill="F2F6FC" w:val="clear"/>
          </w:tcPr>
          <w:p>
            <w:pPr>
              <w:jc w:val="right"/>
            </w:pPr>
            <w:r>
              <w:rPr>
                <w:rFonts w:ascii="Arial" w:hAnsi="Arial"/>
                <w:sz w:val="18"/>
              </w:rPr>
              <w:t>46.2%</w:t>
            </w:r>
          </w:p>
        </w:tc>
        <w:tc>
          <w:tcPr>
            <w:tcW w:type="dxa" w:w="2257"/>
            <w:shd w:fill="F2F6FC" w:val="clear"/>
          </w:tcPr>
          <w:p>
            <w:r>
              <w:rPr>
                <w:rFonts w:ascii="Arial" w:hAnsi="Arial"/>
                <w:sz w:val="18"/>
              </w:rPr>
              <w:t>-3.88 pp</w:t>
            </w:r>
          </w:p>
        </w:tc>
      </w:tr>
      <w:tr>
        <w:tc>
          <w:tcPr>
            <w:tcW w:type="dxa" w:w="2257"/>
          </w:tcPr>
          <w:p>
            <w:r>
              <w:rPr>
                <w:rFonts w:ascii="Arial" w:hAnsi="Arial"/>
                <w:sz w:val="18"/>
              </w:rPr>
              <w:t>Male Representation (%)</w:t>
            </w:r>
          </w:p>
        </w:tc>
        <w:tc>
          <w:tcPr>
            <w:tcW w:type="dxa" w:w="2257"/>
          </w:tcPr>
          <w:p>
            <w:pPr>
              <w:jc w:val="right"/>
            </w:pPr>
            <w:r>
              <w:rPr>
                <w:rFonts w:ascii="Arial" w:hAnsi="Arial"/>
                <w:sz w:val="18"/>
              </w:rPr>
              <w:t>57.68%</w:t>
            </w:r>
          </w:p>
        </w:tc>
        <w:tc>
          <w:tcPr>
            <w:tcW w:type="dxa" w:w="2257"/>
          </w:tcPr>
          <w:p>
            <w:pPr>
              <w:jc w:val="right"/>
            </w:pPr>
            <w:r>
              <w:rPr>
                <w:rFonts w:ascii="Arial" w:hAnsi="Arial"/>
                <w:sz w:val="18"/>
              </w:rPr>
              <w:t>53.8%</w:t>
            </w:r>
          </w:p>
        </w:tc>
        <w:tc>
          <w:tcPr>
            <w:tcW w:type="dxa" w:w="2257"/>
          </w:tcPr>
          <w:p>
            <w:r>
              <w:rPr>
                <w:rFonts w:ascii="Arial" w:hAnsi="Arial"/>
                <w:sz w:val="18"/>
              </w:rPr>
              <w:t>+3.88 pp</w:t>
            </w:r>
          </w:p>
        </w:tc>
      </w:tr>
    </w:tbl>
    <w:p>
      <w:r>
        <w:rPr>
          <w:rFonts w:ascii="Arial" w:hAnsi="Arial"/>
          <w:i/>
          <w:sz w:val="16"/>
        </w:rPr>
        <w:t>Source: Source: HR Information System. Data as of December 31 for each reporting year. FTE basis excludes contractors and temporary staff.</w:t>
      </w:r>
    </w:p>
    <w:p/>
    <w:p>
      <w:r>
        <w:rPr>
          <w:rFonts w:ascii="Arial" w:hAnsi="Arial"/>
          <w:b/>
          <w:sz w:val="20"/>
        </w:rPr>
        <w:t>Table 2.1.2: Employment Indicators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New Hires</w:t>
            </w:r>
          </w:p>
        </w:tc>
        <w:tc>
          <w:tcPr>
            <w:tcW w:type="dxa" w:w="2257"/>
          </w:tcPr>
          <w:p>
            <w:pPr>
              <w:jc w:val="right"/>
            </w:pPr>
            <w:r>
              <w:rPr>
                <w:rFonts w:ascii="Arial" w:hAnsi="Arial"/>
                <w:sz w:val="18"/>
              </w:rPr>
              <w:t>2,595</w:t>
            </w:r>
          </w:p>
        </w:tc>
        <w:tc>
          <w:tcPr>
            <w:tcW w:type="dxa" w:w="2257"/>
          </w:tcPr>
          <w:p>
            <w:pPr>
              <w:jc w:val="right"/>
            </w:pPr>
            <w:r>
              <w:rPr>
                <w:rFonts w:ascii="Arial" w:hAnsi="Arial"/>
                <w:sz w:val="18"/>
              </w:rPr>
              <w:t>3,169</w:t>
            </w:r>
          </w:p>
        </w:tc>
        <w:tc>
          <w:tcPr>
            <w:tcW w:type="dxa" w:w="2257"/>
          </w:tcPr>
          <w:p>
            <w:r>
              <w:rPr>
                <w:rFonts w:ascii="Arial" w:hAnsi="Arial"/>
                <w:sz w:val="18"/>
              </w:rPr>
              <w:t>-574 (-18.11%)</w:t>
            </w:r>
          </w:p>
        </w:tc>
      </w:tr>
      <w:tr>
        <w:tc>
          <w:tcPr>
            <w:tcW w:type="dxa" w:w="2257"/>
            <w:shd w:fill="F2F6FC" w:val="clear"/>
          </w:tcPr>
          <w:p>
            <w:r>
              <w:rPr>
                <w:rFonts w:ascii="Arial" w:hAnsi="Arial"/>
                <w:sz w:val="18"/>
              </w:rPr>
              <w:t>Hiring Rate (%)</w:t>
            </w:r>
          </w:p>
        </w:tc>
        <w:tc>
          <w:tcPr>
            <w:tcW w:type="dxa" w:w="2257"/>
            <w:shd w:fill="F2F6FC" w:val="clear"/>
          </w:tcPr>
          <w:p>
            <w:pPr>
              <w:jc w:val="right"/>
            </w:pPr>
            <w:r>
              <w:rPr>
                <w:rFonts w:ascii="Arial" w:hAnsi="Arial"/>
                <w:sz w:val="18"/>
              </w:rPr>
              <w:t>10.38%</w:t>
            </w:r>
          </w:p>
        </w:tc>
        <w:tc>
          <w:tcPr>
            <w:tcW w:type="dxa" w:w="2257"/>
            <w:shd w:fill="F2F6FC" w:val="clear"/>
          </w:tcPr>
          <w:p>
            <w:pPr>
              <w:jc w:val="right"/>
            </w:pPr>
            <w:r>
              <w:rPr>
                <w:rFonts w:ascii="Arial" w:hAnsi="Arial"/>
                <w:sz w:val="18"/>
              </w:rPr>
              <w:t>12.93%</w:t>
            </w:r>
          </w:p>
        </w:tc>
        <w:tc>
          <w:tcPr>
            <w:tcW w:type="dxa" w:w="2257"/>
            <w:shd w:fill="F2F6FC" w:val="clear"/>
          </w:tcPr>
          <w:p>
            <w:r>
              <w:rPr>
                <w:rFonts w:ascii="Arial" w:hAnsi="Arial"/>
                <w:sz w:val="18"/>
              </w:rPr>
              <w:t>-2.55 pp</w:t>
            </w:r>
          </w:p>
        </w:tc>
      </w:tr>
      <w:tr>
        <w:tc>
          <w:tcPr>
            <w:tcW w:type="dxa" w:w="2257"/>
          </w:tcPr>
          <w:p>
            <w:r>
              <w:rPr>
                <w:rFonts w:ascii="Arial" w:hAnsi="Arial"/>
                <w:sz w:val="18"/>
              </w:rPr>
              <w:t>Voluntary Turnover Rate (%)</w:t>
            </w:r>
          </w:p>
        </w:tc>
        <w:tc>
          <w:tcPr>
            <w:tcW w:type="dxa" w:w="2257"/>
          </w:tcPr>
          <w:p>
            <w:pPr>
              <w:jc w:val="right"/>
            </w:pPr>
            <w:r>
              <w:rPr>
                <w:rFonts w:ascii="Arial" w:hAnsi="Arial"/>
                <w:sz w:val="18"/>
              </w:rPr>
              <w:t>8.45%</w:t>
            </w:r>
          </w:p>
        </w:tc>
        <w:tc>
          <w:tcPr>
            <w:tcW w:type="dxa" w:w="2257"/>
          </w:tcPr>
          <w:p>
            <w:pPr>
              <w:jc w:val="right"/>
            </w:pPr>
            <w:r>
              <w:rPr>
                <w:rFonts w:ascii="Arial" w:hAnsi="Arial"/>
                <w:sz w:val="18"/>
              </w:rPr>
              <w:t>14.24%</w:t>
            </w:r>
          </w:p>
        </w:tc>
        <w:tc>
          <w:tcPr>
            <w:tcW w:type="dxa" w:w="2257"/>
          </w:tcPr>
          <w:p>
            <w:r>
              <w:rPr>
                <w:rFonts w:ascii="Arial" w:hAnsi="Arial"/>
                <w:sz w:val="18"/>
              </w:rPr>
              <w:t>-5.79 pp (-40.66%)</w:t>
            </w:r>
          </w:p>
        </w:tc>
      </w:tr>
      <w:tr>
        <w:tc>
          <w:tcPr>
            <w:tcW w:type="dxa" w:w="2257"/>
            <w:shd w:fill="F2F6FC" w:val="clear"/>
          </w:tcPr>
          <w:p>
            <w:r>
              <w:rPr>
                <w:rFonts w:ascii="Arial" w:hAnsi="Arial"/>
                <w:sz w:val="18"/>
              </w:rPr>
              <w:t>Involuntary Separations</w:t>
            </w:r>
          </w:p>
        </w:tc>
        <w:tc>
          <w:tcPr>
            <w:tcW w:type="dxa" w:w="2257"/>
            <w:shd w:fill="F2F6FC" w:val="clear"/>
          </w:tcPr>
          <w:p>
            <w:r>
              <w:rPr>
                <w:rFonts w:ascii="Arial" w:hAnsi="Arial"/>
                <w:sz w:val="18"/>
              </w:rPr>
              <w:t>Not disclosed</w:t>
            </w:r>
          </w:p>
        </w:tc>
        <w:tc>
          <w:tcPr>
            <w:tcW w:type="dxa" w:w="2257"/>
            <w:shd w:fill="F2F6FC" w:val="clear"/>
          </w:tcPr>
          <w:p>
            <w:r>
              <w:rPr>
                <w:rFonts w:ascii="Arial" w:hAnsi="Arial"/>
                <w:sz w:val="18"/>
              </w:rPr>
              <w:t>Not disclosed</w:t>
            </w:r>
          </w:p>
        </w:tc>
        <w:tc>
          <w:tcPr>
            <w:tcW w:type="dxa" w:w="2257"/>
            <w:shd w:fill="F2F6FC" w:val="clear"/>
          </w:tcPr>
          <w:p>
            <w:r>
              <w:rPr>
                <w:rFonts w:ascii="Arial" w:hAnsi="Arial"/>
                <w:sz w:val="18"/>
              </w:rPr>
              <w:t>—</w:t>
            </w:r>
          </w:p>
        </w:tc>
      </w:tr>
    </w:tbl>
    <w:p>
      <w:r>
        <w:rPr>
          <w:rFonts w:ascii="Arial" w:hAnsi="Arial"/>
          <w:i/>
          <w:sz w:val="16"/>
        </w:rPr>
        <w:t>Source: Source: HR Information System. Hiring rate = (new hires / average headcount) × 100. Voluntary turnover excludes retirements and involuntary separations.</w:t>
      </w:r>
    </w:p>
    <w:p/>
    <w:p>
      <w:r>
        <w:rPr>
          <w:rFonts w:ascii="Arial" w:hAnsi="Arial"/>
          <w:b/>
          <w:sz w:val="20"/>
        </w:rPr>
        <w:t>Table 2.1.3: Training and Development Metrics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Average Training Hours per FTE</w:t>
            </w:r>
          </w:p>
        </w:tc>
        <w:tc>
          <w:tcPr>
            <w:tcW w:type="dxa" w:w="2257"/>
          </w:tcPr>
          <w:p>
            <w:pPr>
              <w:jc w:val="right"/>
            </w:pPr>
            <w:r>
              <w:rPr>
                <w:rFonts w:ascii="Arial" w:hAnsi="Arial"/>
                <w:sz w:val="18"/>
              </w:rPr>
              <w:t>49.3</w:t>
            </w:r>
          </w:p>
        </w:tc>
        <w:tc>
          <w:tcPr>
            <w:tcW w:type="dxa" w:w="2257"/>
          </w:tcPr>
          <w:p>
            <w:pPr>
              <w:jc w:val="right"/>
            </w:pPr>
            <w:r>
              <w:rPr>
                <w:rFonts w:ascii="Arial" w:hAnsi="Arial"/>
                <w:sz w:val="18"/>
              </w:rPr>
              <w:t>64.14</w:t>
            </w:r>
          </w:p>
        </w:tc>
        <w:tc>
          <w:tcPr>
            <w:tcW w:type="dxa" w:w="2257"/>
          </w:tcPr>
          <w:p>
            <w:r>
              <w:rPr>
                <w:rFonts w:ascii="Arial" w:hAnsi="Arial"/>
                <w:sz w:val="18"/>
              </w:rPr>
              <w:t>-14.84 (-23.14%)</w:t>
            </w:r>
          </w:p>
        </w:tc>
      </w:tr>
      <w:tr>
        <w:tc>
          <w:tcPr>
            <w:tcW w:type="dxa" w:w="2257"/>
            <w:shd w:fill="F2F6FC" w:val="clear"/>
          </w:tcPr>
          <w:p>
            <w:r>
              <w:rPr>
                <w:rFonts w:ascii="Arial" w:hAnsi="Arial"/>
                <w:sz w:val="18"/>
              </w:rPr>
              <w:t>Total Training Hours (estimated)</w:t>
            </w:r>
          </w:p>
        </w:tc>
        <w:tc>
          <w:tcPr>
            <w:tcW w:type="dxa" w:w="2257"/>
            <w:shd w:fill="F2F6FC" w:val="clear"/>
          </w:tcPr>
          <w:p>
            <w:pPr>
              <w:jc w:val="right"/>
            </w:pPr>
            <w:r>
              <w:rPr>
                <w:rFonts w:ascii="Arial" w:hAnsi="Arial"/>
                <w:sz w:val="18"/>
              </w:rPr>
              <w:t>1,231,932</w:t>
            </w:r>
          </w:p>
        </w:tc>
        <w:tc>
          <w:tcPr>
            <w:tcW w:type="dxa" w:w="2257"/>
            <w:shd w:fill="F2F6FC" w:val="clear"/>
          </w:tcPr>
          <w:p>
            <w:pPr>
              <w:jc w:val="right"/>
            </w:pPr>
            <w:r>
              <w:rPr>
                <w:rFonts w:ascii="Arial" w:hAnsi="Arial"/>
                <w:sz w:val="18"/>
              </w:rPr>
              <w:t>1,571,430</w:t>
            </w:r>
          </w:p>
        </w:tc>
        <w:tc>
          <w:tcPr>
            <w:tcW w:type="dxa" w:w="2257"/>
            <w:shd w:fill="F2F6FC" w:val="clear"/>
          </w:tcPr>
          <w:p>
            <w:pPr>
              <w:jc w:val="right"/>
            </w:pPr>
            <w:r>
              <w:rPr>
                <w:rFonts w:ascii="Arial" w:hAnsi="Arial"/>
                <w:sz w:val="18"/>
              </w:rPr>
              <w:t>-339,498</w:t>
            </w:r>
          </w:p>
        </w:tc>
      </w:tr>
      <w:tr>
        <w:tc>
          <w:tcPr>
            <w:tcW w:type="dxa" w:w="2257"/>
          </w:tcPr>
          <w:p>
            <w:r>
              <w:rPr>
                <w:rFonts w:ascii="Arial" w:hAnsi="Arial"/>
                <w:sz w:val="18"/>
              </w:rPr>
              <w:t>Training Investment per FTE</w:t>
            </w:r>
          </w:p>
        </w:tc>
        <w:tc>
          <w:tcPr>
            <w:tcW w:type="dxa" w:w="2257"/>
          </w:tcPr>
          <w:p>
            <w:r>
              <w:rPr>
                <w:rFonts w:ascii="Arial" w:hAnsi="Arial"/>
                <w:sz w:val="18"/>
              </w:rPr>
              <w:t>Not disclosed</w:t>
            </w:r>
          </w:p>
        </w:tc>
        <w:tc>
          <w:tcPr>
            <w:tcW w:type="dxa" w:w="2257"/>
          </w:tcPr>
          <w:p>
            <w:r>
              <w:rPr>
                <w:rFonts w:ascii="Arial" w:hAnsi="Arial"/>
                <w:sz w:val="18"/>
              </w:rPr>
              <w:t>Not disclosed</w:t>
            </w:r>
          </w:p>
        </w:tc>
        <w:tc>
          <w:tcPr>
            <w:tcW w:type="dxa" w:w="2257"/>
          </w:tcPr>
          <w:p>
            <w:r>
              <w:rPr>
                <w:rFonts w:ascii="Arial" w:hAnsi="Arial"/>
                <w:sz w:val="18"/>
              </w:rPr>
              <w:t>—</w:t>
            </w:r>
          </w:p>
        </w:tc>
      </w:tr>
      <w:tr>
        <w:tc>
          <w:tcPr>
            <w:tcW w:type="dxa" w:w="2257"/>
            <w:shd w:fill="F2F6FC" w:val="clear"/>
          </w:tcPr>
          <w:p>
            <w:r>
              <w:rPr>
                <w:rFonts w:ascii="Arial" w:hAnsi="Arial"/>
                <w:sz w:val="18"/>
              </w:rPr>
              <w:t>Employees Receiving Training (%)</w:t>
            </w:r>
          </w:p>
        </w:tc>
        <w:tc>
          <w:tcPr>
            <w:tcW w:type="dxa" w:w="2257"/>
            <w:shd w:fill="F2F6FC" w:val="clear"/>
          </w:tcPr>
          <w:p>
            <w:r>
              <w:rPr>
                <w:rFonts w:ascii="Arial" w:hAnsi="Arial"/>
                <w:sz w:val="18"/>
              </w:rPr>
              <w:t>Not disclosed</w:t>
            </w:r>
          </w:p>
        </w:tc>
        <w:tc>
          <w:tcPr>
            <w:tcW w:type="dxa" w:w="2257"/>
            <w:shd w:fill="F2F6FC" w:val="clear"/>
          </w:tcPr>
          <w:p>
            <w:r>
              <w:rPr>
                <w:rFonts w:ascii="Arial" w:hAnsi="Arial"/>
                <w:sz w:val="18"/>
              </w:rPr>
              <w:t>Not disclosed</w:t>
            </w:r>
          </w:p>
        </w:tc>
        <w:tc>
          <w:tcPr>
            <w:tcW w:type="dxa" w:w="2257"/>
            <w:shd w:fill="F2F6FC" w:val="clear"/>
          </w:tcPr>
          <w:p>
            <w:r>
              <w:rPr>
                <w:rFonts w:ascii="Arial" w:hAnsi="Arial"/>
                <w:sz w:val="18"/>
              </w:rPr>
              <w:t>—</w:t>
            </w:r>
          </w:p>
        </w:tc>
      </w:tr>
    </w:tbl>
    <w:p>
      <w:r>
        <w:rPr>
          <w:rFonts w:ascii="Arial" w:hAnsi="Arial"/>
          <w:i/>
          <w:sz w:val="16"/>
        </w:rPr>
        <w:t>Source: Source: Learning Management System. Total training hours estimated as average hours × FTE count. Investment data not captured in current reporting system.</w:t>
      </w:r>
    </w:p>
    <w:p/>
    <w:p>
      <w:r>
        <w:rPr>
          <w:rFonts w:ascii="Arial" w:hAnsi="Arial"/>
          <w:b/>
          <w:sz w:val="20"/>
        </w:rPr>
        <w:t>Table 2.1.4: Diversity Indicators</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Metric</w:t>
            </w:r>
          </w:p>
        </w:tc>
        <w:tc>
          <w:tcPr>
            <w:tcW w:type="dxa" w:w="2257"/>
            <w:shd w:fill="1B3A6B" w:val="clear"/>
          </w:tcPr>
          <w:p>
            <w:r>
              <w:rPr>
                <w:rFonts w:ascii="Arial" w:hAnsi="Arial"/>
                <w:b/>
                <w:color w:val="FFFFFF"/>
                <w:sz w:val="18"/>
              </w:rPr>
              <w:t>2024</w:t>
            </w:r>
          </w:p>
        </w:tc>
        <w:tc>
          <w:tcPr>
            <w:tcW w:type="dxa" w:w="2257"/>
            <w:shd w:fill="1B3A6B" w:val="clear"/>
          </w:tcPr>
          <w:p>
            <w:r>
              <w:rPr>
                <w:rFonts w:ascii="Arial" w:hAnsi="Arial"/>
                <w:b/>
                <w:color w:val="FFFFFF"/>
                <w:sz w:val="18"/>
              </w:rPr>
              <w:t>2023</w:t>
            </w:r>
          </w:p>
        </w:tc>
        <w:tc>
          <w:tcPr>
            <w:tcW w:type="dxa" w:w="2257"/>
            <w:shd w:fill="1B3A6B" w:val="clear"/>
          </w:tcPr>
          <w:p>
            <w:r>
              <w:rPr>
                <w:rFonts w:ascii="Arial" w:hAnsi="Arial"/>
                <w:b/>
                <w:color w:val="FFFFFF"/>
                <w:sz w:val="18"/>
              </w:rPr>
              <w:t>Change</w:t>
            </w:r>
          </w:p>
        </w:tc>
      </w:tr>
      <w:tr>
        <w:tc>
          <w:tcPr>
            <w:tcW w:type="dxa" w:w="2257"/>
          </w:tcPr>
          <w:p>
            <w:r>
              <w:rPr>
                <w:rFonts w:ascii="Arial" w:hAnsi="Arial"/>
                <w:sz w:val="18"/>
              </w:rPr>
              <w:t>Women in Management (%)</w:t>
            </w:r>
          </w:p>
        </w:tc>
        <w:tc>
          <w:tcPr>
            <w:tcW w:type="dxa" w:w="2257"/>
          </w:tcPr>
          <w:p>
            <w:pPr>
              <w:jc w:val="right"/>
            </w:pPr>
            <w:r>
              <w:rPr>
                <w:rFonts w:ascii="Arial" w:hAnsi="Arial"/>
                <w:sz w:val="18"/>
              </w:rPr>
              <w:t>26.67%</w:t>
            </w:r>
          </w:p>
        </w:tc>
        <w:tc>
          <w:tcPr>
            <w:tcW w:type="dxa" w:w="2257"/>
          </w:tcPr>
          <w:p>
            <w:pPr>
              <w:jc w:val="right"/>
            </w:pPr>
            <w:r>
              <w:rPr>
                <w:rFonts w:ascii="Arial" w:hAnsi="Arial"/>
                <w:sz w:val="18"/>
              </w:rPr>
              <w:t>28.45%</w:t>
            </w:r>
          </w:p>
        </w:tc>
        <w:tc>
          <w:tcPr>
            <w:tcW w:type="dxa" w:w="2257"/>
          </w:tcPr>
          <w:p>
            <w:r>
              <w:rPr>
                <w:rFonts w:ascii="Arial" w:hAnsi="Arial"/>
                <w:sz w:val="18"/>
              </w:rPr>
              <w:t>-1.78 pp</w:t>
            </w:r>
          </w:p>
        </w:tc>
      </w:tr>
      <w:tr>
        <w:tc>
          <w:tcPr>
            <w:tcW w:type="dxa" w:w="2257"/>
            <w:shd w:fill="F2F6FC" w:val="clear"/>
          </w:tcPr>
          <w:p>
            <w:r>
              <w:rPr>
                <w:rFonts w:ascii="Arial" w:hAnsi="Arial"/>
                <w:sz w:val="18"/>
              </w:rPr>
              <w:t>Women in Workforce (%)</w:t>
            </w:r>
          </w:p>
        </w:tc>
        <w:tc>
          <w:tcPr>
            <w:tcW w:type="dxa" w:w="2257"/>
            <w:shd w:fill="F2F6FC" w:val="clear"/>
          </w:tcPr>
          <w:p>
            <w:pPr>
              <w:jc w:val="right"/>
            </w:pPr>
            <w:r>
              <w:rPr>
                <w:rFonts w:ascii="Arial" w:hAnsi="Arial"/>
                <w:sz w:val="18"/>
              </w:rPr>
              <w:t>42.32%</w:t>
            </w:r>
          </w:p>
        </w:tc>
        <w:tc>
          <w:tcPr>
            <w:tcW w:type="dxa" w:w="2257"/>
            <w:shd w:fill="F2F6FC" w:val="clear"/>
          </w:tcPr>
          <w:p>
            <w:pPr>
              <w:jc w:val="right"/>
            </w:pPr>
            <w:r>
              <w:rPr>
                <w:rFonts w:ascii="Arial" w:hAnsi="Arial"/>
                <w:sz w:val="18"/>
              </w:rPr>
              <w:t>46.2%</w:t>
            </w:r>
          </w:p>
        </w:tc>
        <w:tc>
          <w:tcPr>
            <w:tcW w:type="dxa" w:w="2257"/>
            <w:shd w:fill="F2F6FC" w:val="clear"/>
          </w:tcPr>
          <w:p>
            <w:r>
              <w:rPr>
                <w:rFonts w:ascii="Arial" w:hAnsi="Arial"/>
                <w:sz w:val="18"/>
              </w:rPr>
              <w:t>-3.88 pp</w:t>
            </w:r>
          </w:p>
        </w:tc>
      </w:tr>
      <w:tr>
        <w:tc>
          <w:tcPr>
            <w:tcW w:type="dxa" w:w="2257"/>
          </w:tcPr>
          <w:p>
            <w:r>
              <w:rPr>
                <w:rFonts w:ascii="Arial" w:hAnsi="Arial"/>
                <w:sz w:val="18"/>
              </w:rPr>
              <w:t>Women on Board of Directors (%)</w:t>
            </w:r>
          </w:p>
        </w:tc>
        <w:tc>
          <w:tcPr>
            <w:tcW w:type="dxa" w:w="2257"/>
          </w:tcPr>
          <w:p>
            <w:r>
              <w:rPr>
                <w:rFonts w:ascii="Arial" w:hAnsi="Arial"/>
                <w:sz w:val="18"/>
              </w:rPr>
              <w:t>Not disclosed</w:t>
            </w:r>
          </w:p>
        </w:tc>
        <w:tc>
          <w:tcPr>
            <w:tcW w:type="dxa" w:w="2257"/>
          </w:tcPr>
          <w:p>
            <w:r>
              <w:rPr>
                <w:rFonts w:ascii="Arial" w:hAnsi="Arial"/>
                <w:sz w:val="18"/>
              </w:rPr>
              <w:t>Not disclosed</w:t>
            </w:r>
          </w:p>
        </w:tc>
        <w:tc>
          <w:tcPr>
            <w:tcW w:type="dxa" w:w="2257"/>
          </w:tcPr>
          <w:p>
            <w:r>
              <w:rPr>
                <w:rFonts w:ascii="Arial" w:hAnsi="Arial"/>
                <w:sz w:val="18"/>
              </w:rPr>
              <w:t>—</w:t>
            </w:r>
          </w:p>
        </w:tc>
      </w:tr>
      <w:tr>
        <w:tc>
          <w:tcPr>
            <w:tcW w:type="dxa" w:w="2257"/>
            <w:shd w:fill="F2F6FC" w:val="clear"/>
          </w:tcPr>
          <w:p>
            <w:r>
              <w:rPr>
                <w:rFonts w:ascii="Arial" w:hAnsi="Arial"/>
                <w:sz w:val="18"/>
              </w:rPr>
              <w:t>Gender Pay Ratio (F:M)</w:t>
            </w:r>
          </w:p>
        </w:tc>
        <w:tc>
          <w:tcPr>
            <w:tcW w:type="dxa" w:w="2257"/>
            <w:shd w:fill="F2F6FC" w:val="clear"/>
          </w:tcPr>
          <w:p>
            <w:r>
              <w:rPr>
                <w:rFonts w:ascii="Arial" w:hAnsi="Arial"/>
                <w:sz w:val="18"/>
              </w:rPr>
              <w:t>Not disclosed</w:t>
            </w:r>
          </w:p>
        </w:tc>
        <w:tc>
          <w:tcPr>
            <w:tcW w:type="dxa" w:w="2257"/>
            <w:shd w:fill="F2F6FC" w:val="clear"/>
          </w:tcPr>
          <w:p>
            <w:r>
              <w:rPr>
                <w:rFonts w:ascii="Arial" w:hAnsi="Arial"/>
                <w:sz w:val="18"/>
              </w:rPr>
              <w:t>Not disclosed</w:t>
            </w:r>
          </w:p>
        </w:tc>
        <w:tc>
          <w:tcPr>
            <w:tcW w:type="dxa" w:w="2257"/>
            <w:shd w:fill="F2F6FC" w:val="clear"/>
          </w:tcPr>
          <w:p>
            <w:r>
              <w:rPr>
                <w:rFonts w:ascii="Arial" w:hAnsi="Arial"/>
                <w:sz w:val="18"/>
              </w:rPr>
              <w:t>—</w:t>
            </w:r>
          </w:p>
        </w:tc>
      </w:tr>
    </w:tbl>
    <w:p>
      <w:r>
        <w:rPr>
          <w:rFonts w:ascii="Arial" w:hAnsi="Arial"/>
          <w:i/>
          <w:sz w:val="16"/>
        </w:rPr>
        <w:t>Source: Source: HR Information System. Management defined as positions at Assistant Vice President level and above. Board diversity data not included in HR metrics dataset.</w:t>
      </w:r>
    </w:p>
    <w:p/>
    <w:p>
      <w:r>
        <w:rPr>
          <w:rFonts w:ascii="Arial" w:hAnsi="Arial"/>
          <w:b/>
          <w:sz w:val="20"/>
        </w:rPr>
        <w:t>Table 2.1.5: Non-Discrimination and Grievances</w:t>
      </w:r>
    </w:p>
    <w:tbl>
      <w:tblPr>
        <w:tblW w:type="auto" w:w="0"/>
        <w:jc w:val="center"/>
        <w:tblLook w:firstColumn="1" w:firstRow="1" w:lastColumn="0" w:lastRow="0" w:noHBand="0" w:noVBand="1" w:val="04A0"/>
      </w:tblPr>
      <w:tblGrid>
        <w:gridCol w:w="3010"/>
        <w:gridCol w:w="3010"/>
        <w:gridCol w:w="3010"/>
      </w:tblGrid>
      <w:tr>
        <w:tc>
          <w:tcPr>
            <w:tcW w:type="dxa" w:w="3010"/>
            <w:shd w:fill="1B3A6B" w:val="clear"/>
          </w:tcPr>
          <w:p>
            <w:r>
              <w:rPr>
                <w:rFonts w:ascii="Arial" w:hAnsi="Arial"/>
                <w:b/>
                <w:color w:val="FFFFFF"/>
                <w:sz w:val="18"/>
              </w:rPr>
              <w:t>Metric</w:t>
            </w:r>
          </w:p>
        </w:tc>
        <w:tc>
          <w:tcPr>
            <w:tcW w:type="dxa" w:w="3010"/>
            <w:shd w:fill="1B3A6B" w:val="clear"/>
          </w:tcPr>
          <w:p>
            <w:r>
              <w:rPr>
                <w:rFonts w:ascii="Arial" w:hAnsi="Arial"/>
                <w:b/>
                <w:color w:val="FFFFFF"/>
                <w:sz w:val="18"/>
              </w:rPr>
              <w:t>2024</w:t>
            </w:r>
          </w:p>
        </w:tc>
        <w:tc>
          <w:tcPr>
            <w:tcW w:type="dxa" w:w="3010"/>
            <w:shd w:fill="1B3A6B" w:val="clear"/>
          </w:tcPr>
          <w:p>
            <w:r>
              <w:rPr>
                <w:rFonts w:ascii="Arial" w:hAnsi="Arial"/>
                <w:b/>
                <w:color w:val="FFFFFF"/>
                <w:sz w:val="18"/>
              </w:rPr>
              <w:t>2023</w:t>
            </w:r>
          </w:p>
        </w:tc>
      </w:tr>
      <w:tr>
        <w:tc>
          <w:tcPr>
            <w:tcW w:type="dxa" w:w="3010"/>
          </w:tcPr>
          <w:p>
            <w:r>
              <w:rPr>
                <w:rFonts w:ascii="Arial" w:hAnsi="Arial"/>
                <w:sz w:val="18"/>
              </w:rPr>
              <w:t>Discrimination Cases Reported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Cases Substantiated</w:t>
            </w:r>
          </w:p>
        </w:tc>
        <w:tc>
          <w:tcPr>
            <w:tcW w:type="dxa" w:w="3010"/>
            <w:shd w:fill="F2F6FC" w:val="clear"/>
          </w:tcPr>
          <w:p>
            <w:r>
              <w:rPr>
                <w:rFonts w:ascii="Arial" w:hAnsi="Arial"/>
                <w:sz w:val="18"/>
              </w:rPr>
              <w:t>Not disclosed</w:t>
            </w:r>
          </w:p>
        </w:tc>
        <w:tc>
          <w:tcPr>
            <w:tcW w:type="dxa" w:w="3010"/>
            <w:shd w:fill="F2F6FC" w:val="clear"/>
          </w:tcPr>
          <w:p>
            <w:r>
              <w:rPr>
                <w:rFonts w:ascii="Arial" w:hAnsi="Arial"/>
                <w:sz w:val="18"/>
              </w:rPr>
              <w:t>Not disclosed</w:t>
            </w:r>
          </w:p>
        </w:tc>
      </w:tr>
      <w:tr>
        <w:tc>
          <w:tcPr>
            <w:tcW w:type="dxa" w:w="3010"/>
          </w:tcPr>
          <w:p>
            <w:r>
              <w:rPr>
                <w:rFonts w:ascii="Arial" w:hAnsi="Arial"/>
                <w:sz w:val="18"/>
              </w:rPr>
              <w:t>Cases Resolved</w:t>
            </w:r>
          </w:p>
        </w:tc>
        <w:tc>
          <w:tcPr>
            <w:tcW w:type="dxa" w:w="3010"/>
          </w:tcPr>
          <w:p>
            <w:pPr>
              <w:jc w:val="right"/>
            </w:pPr>
            <w:r>
              <w:rPr>
                <w:rFonts w:ascii="Arial" w:hAnsi="Arial"/>
                <w:sz w:val="18"/>
              </w:rPr>
              <w:t>2</w:t>
            </w:r>
          </w:p>
        </w:tc>
        <w:tc>
          <w:tcPr>
            <w:tcW w:type="dxa" w:w="3010"/>
          </w:tcPr>
          <w:p>
            <w:pPr>
              <w:jc w:val="right"/>
            </w:pPr>
            <w:r>
              <w:rPr>
                <w:rFonts w:ascii="Arial" w:hAnsi="Arial"/>
                <w:sz w:val="18"/>
              </w:rPr>
              <w:t>3</w:t>
            </w:r>
          </w:p>
        </w:tc>
      </w:tr>
      <w:tr>
        <w:tc>
          <w:tcPr>
            <w:tcW w:type="dxa" w:w="3010"/>
            <w:shd w:fill="F2F6FC" w:val="clear"/>
          </w:tcPr>
          <w:p>
            <w:r>
              <w:rPr>
                <w:rFonts w:ascii="Arial" w:hAnsi="Arial"/>
                <w:sz w:val="18"/>
              </w:rPr>
              <w:t>Remediation Actions Taken</w:t>
            </w:r>
          </w:p>
        </w:tc>
        <w:tc>
          <w:tcPr>
            <w:tcW w:type="dxa" w:w="3010"/>
            <w:shd w:fill="F2F6FC" w:val="clear"/>
          </w:tcPr>
          <w:p>
            <w:r>
              <w:rPr>
                <w:rFonts w:ascii="Arial" w:hAnsi="Arial"/>
                <w:sz w:val="18"/>
              </w:rPr>
              <w:t>Yes</w:t>
            </w:r>
          </w:p>
        </w:tc>
        <w:tc>
          <w:tcPr>
            <w:tcW w:type="dxa" w:w="3010"/>
            <w:shd w:fill="F2F6FC" w:val="clear"/>
          </w:tcPr>
          <w:p>
            <w:r>
              <w:rPr>
                <w:rFonts w:ascii="Arial" w:hAnsi="Arial"/>
                <w:sz w:val="18"/>
              </w:rPr>
              <w:t>Yes</w:t>
            </w:r>
          </w:p>
        </w:tc>
      </w:tr>
    </w:tbl>
    <w:p>
      <w:r>
        <w:rPr>
          <w:rFonts w:ascii="Arial" w:hAnsi="Arial"/>
          <w:i/>
          <w:sz w:val="16"/>
        </w:rPr>
        <w:t>Source: Source: Ethics &amp; Compliance Office. All cases investigated and resolved per internal grievance mechanism procedures.</w:t>
      </w:r>
    </w:p>
    <w:p/>
    <w:p>
      <w:pPr>
        <w:spacing w:after="160" w:line="276" w:lineRule="auto"/>
        <w:jc w:val="both"/>
      </w:pPr>
      <w:r>
        <w:rPr>
          <w:rFonts w:ascii="Arial" w:hAnsi="Arial"/>
          <w:i/>
          <w:color w:val="646464"/>
          <w:sz w:val="18"/>
        </w:rPr>
        <w:t>[Chart: Workforce Gender Composition (2024) — matplotlib layer not installed]</w:t>
      </w:r>
    </w:p>
    <w:p>
      <w:pPr>
        <w:spacing w:after="160" w:line="276" w:lineRule="auto"/>
        <w:jc w:val="both"/>
      </w:pPr>
      <w:r>
        <w:rPr>
          <w:rFonts w:ascii="Arial" w:hAnsi="Arial"/>
          <w:i/>
          <w:color w:val="646464"/>
          <w:sz w:val="18"/>
        </w:rPr>
        <w:t>[Chart: Training Hours per FTE: 2023 vs 2024 — matplotlib layer not installed]</w:t>
      </w:r>
    </w:p>
    <w:p>
      <w:pPr>
        <w:spacing w:after="160" w:line="276" w:lineRule="auto"/>
        <w:jc w:val="both"/>
      </w:pPr>
      <w:r>
        <w:rPr>
          <w:rFonts w:ascii="Arial" w:hAnsi="Arial"/>
          <w:i/>
          <w:color w:val="646464"/>
          <w:sz w:val="18"/>
        </w:rPr>
        <w:t>[Chart: Female Representation: Overall vs Management (2024) — matplotlib layer not installed]</w:t>
      </w:r>
    </w:p>
    <w:p>
      <w:pPr>
        <w:spacing w:after="160" w:line="276" w:lineRule="auto"/>
        <w:jc w:val="both"/>
      </w:pPr>
      <w:r>
        <w:rPr>
          <w:rFonts w:ascii="Arial" w:hAnsi="Arial"/>
          <w:i/>
          <w:color w:val="646464"/>
          <w:sz w:val="18"/>
        </w:rPr>
        <w:t>[Chart: Voluntary Turnover Rate: 2023 vs 2024 — matplotlib layer not installed]</w:t>
      </w:r>
    </w:p>
    <w:p/>
    <w:p>
      <w:r>
        <w:rPr>
          <w:b/>
          <w:color w:val="4A7AB5"/>
          <w:sz w:val="24"/>
        </w:rPr>
        <w:t>Diagnostic Analysis</w:t>
      </w:r>
    </w:p>
    <w:p>
      <w:pPr>
        <w:spacing w:after="160" w:line="276" w:lineRule="auto"/>
        <w:jc w:val="both"/>
      </w:pPr>
      <w:r>
        <w:rPr>
          <w:rFonts w:ascii="Arial" w:hAnsi="Arial"/>
          <w:sz w:val="22"/>
        </w:rPr>
        <w:t>The workforce metrics reveal three interconnected challenges: declining training investment during a period requiring enhanced capability building, deteriorating gender diversity across all levels, and material disclosure gaps relative to peer transparency standards. The 23.14% reduction in training hours contradicts the institution's stated digital transformation and sustainability priorities, while the 3.88 percentage point decline in female representation suggests systemic retention or recruitment issues. The absence of gender pay equity disclosure and limited discrimination case transparency create ESG rating vulnerabilities, particularly as MSCI and Sustainalytics increasingly weight social governance and transparency in financial sector assessments.</w:t>
      </w:r>
    </w:p>
    <w:p>
      <w:r>
        <w:rPr>
          <w:b/>
          <w:sz w:val="22"/>
        </w:rPr>
        <w:t>Root Causes:</w:t>
      </w:r>
    </w:p>
    <w:p>
      <w:pPr>
        <w:spacing w:after="160" w:line="276" w:lineRule="auto"/>
        <w:jc w:val="both"/>
      </w:pPr>
      <w:r>
        <w:rPr>
          <w:rFonts w:ascii="Arial" w:hAnsi="Arial"/>
          <w:sz w:val="22"/>
        </w:rPr>
        <w:t>• Training budget optimization prioritized cost reduction over capability building, resulting in 23.14% YoY decline to 49.3 hours/FTE—significantly below BRI (62.4 hrs), OCBC (62.6 hrs), and Mandiri (~52 hrs) benchmarks</w:t>
      </w:r>
    </w:p>
    <w:p>
      <w:pPr>
        <w:spacing w:after="160" w:line="276" w:lineRule="auto"/>
        <w:jc w:val="both"/>
      </w:pPr>
      <w:r>
        <w:rPr>
          <w:rFonts w:ascii="Arial" w:hAnsi="Arial"/>
          <w:sz w:val="22"/>
        </w:rPr>
        <w:t>• Female workforce attrition outpaced male attrition (6.53% decline vs 9.39% growth in absolute numbers), indicating potential retention challenges or recruitment bias; no gender-specific exit interview analysis disclosed</w:t>
      </w:r>
    </w:p>
    <w:p>
      <w:pPr>
        <w:spacing w:after="160" w:line="276" w:lineRule="auto"/>
        <w:jc w:val="both"/>
      </w:pPr>
      <w:r>
        <w:rPr>
          <w:rFonts w:ascii="Arial" w:hAnsi="Arial"/>
          <w:sz w:val="22"/>
        </w:rPr>
        <w:t>• Management pipeline advancement rates favor male employees, with female management representation declining 1.78 pp to 26.67% despite overall workforce being 42.32% female—suggesting promotion bottleneck at middle-to-senior transition</w:t>
      </w:r>
    </w:p>
    <w:p>
      <w:pPr>
        <w:spacing w:after="160" w:line="276" w:lineRule="auto"/>
        <w:jc w:val="both"/>
      </w:pPr>
      <w:r>
        <w:rPr>
          <w:rFonts w:ascii="Arial" w:hAnsi="Arial"/>
          <w:sz w:val="22"/>
        </w:rPr>
        <w:t>• HR information systems do not capture gender pay data, training investment per employee, or detailed discrimination case outcomes—limiting management visibility and stakeholder transparency</w:t>
      </w:r>
    </w:p>
    <w:p>
      <w:r>
        <w:rPr>
          <w:b/>
          <w:sz w:val="22"/>
        </w:rPr>
        <w:t>Risk Implications:</w:t>
      </w:r>
    </w:p>
    <w:p>
      <w:pPr>
        <w:spacing w:after="160" w:line="276" w:lineRule="auto"/>
        <w:jc w:val="both"/>
      </w:pPr>
      <w:r>
        <w:rPr>
          <w:rFonts w:ascii="Arial" w:hAnsi="Arial"/>
          <w:sz w:val="22"/>
        </w:rPr>
        <w:t>• Regulatory compliance risk: Insufficient ESG training capacity may delay IFRS S1/S2 adoption (mandatory 2027) and CSRD readiness, while declining diversity metrics conflict with OJK POJK 51/2017 social pillar expectations</w:t>
      </w:r>
    </w:p>
    <w:p>
      <w:pPr>
        <w:spacing w:after="160" w:line="276" w:lineRule="auto"/>
        <w:jc w:val="both"/>
      </w:pPr>
      <w:r>
        <w:rPr>
          <w:rFonts w:ascii="Arial" w:hAnsi="Arial"/>
          <w:sz w:val="22"/>
        </w:rPr>
        <w:t>• ESG rating downgrade risk: Training and diversity gaps create negative signals for MSCI Social pillar and Sustainalytics Social assessment; lack of gender pay disclosure specifically flagged in MSCI methodology as governance weakness</w:t>
      </w:r>
    </w:p>
    <w:p>
      <w:pPr>
        <w:spacing w:after="160" w:line="276" w:lineRule="auto"/>
        <w:jc w:val="both"/>
      </w:pPr>
      <w:r>
        <w:rPr>
          <w:rFonts w:ascii="Arial" w:hAnsi="Arial"/>
          <w:sz w:val="22"/>
        </w:rPr>
        <w:t>• Talent competitiveness risk: Below-peer training investment and declining female representation may impair ability to attract/retain top talent, particularly as younger workforce cohorts prioritize employer ESG performance</w:t>
      </w:r>
    </w:p>
    <w:p>
      <w:pPr>
        <w:spacing w:after="160" w:line="276" w:lineRule="auto"/>
        <w:jc w:val="both"/>
      </w:pPr>
      <w:r>
        <w:rPr>
          <w:rFonts w:ascii="Arial" w:hAnsi="Arial"/>
          <w:sz w:val="22"/>
        </w:rPr>
        <w:t>• Reputational risk: Widening diversity gap and limited transparency on discrimination cases expose institution to stakeholder criticism and potential activist pressure, particularly if peer banks continue improving on these dimensions</w:t>
      </w:r>
    </w:p>
    <w:p/>
    <w:p>
      <w:r>
        <w:rPr>
          <w:b/>
          <w:color w:val="1B5E20"/>
          <w:sz w:val="24"/>
        </w:rPr>
        <w:t>⚡ Priority Actions</w:t>
      </w:r>
    </w:p>
    <w:p>
      <w:r>
        <w:rPr>
          <w:b/>
          <w:sz w:val="22"/>
        </w:rPr>
        <w:t>🔴 1. Deploy mandatory 10-hour ESG training module for all employees (Board to non-staff) covering TCFD, PCAF, climate risk, and sustainable finance—following BCA's annual Board ESG refresher model with GRI/CDP/OJK collaboration</w:t>
      </w:r>
      <w:r>
        <w:rPr>
          <w:sz w:val="22"/>
        </w:rPr>
        <w:t xml:space="preserve"> (Q2 2025)</w:t>
      </w:r>
    </w:p>
    <w:p>
      <w:pPr>
        <w:spacing w:after="160" w:line="276" w:lineRule="auto"/>
        <w:jc w:val="both"/>
      </w:pPr>
      <w:r>
        <w:rPr>
          <w:rFonts w:ascii="Arial" w:hAnsi="Arial"/>
          <w:sz w:val="22"/>
        </w:rPr>
        <w:t xml:space="preserve">    → Expected: Increase average training hours to 55+ hrs/FTE; build internal capacity for IFRS S1/S2 adoption; improve ESG literacy scores across organization</w:t>
      </w:r>
    </w:p>
    <w:p>
      <w:pPr>
        <w:spacing w:after="160" w:line="276" w:lineRule="auto"/>
        <w:jc w:val="both"/>
      </w:pPr>
      <w:r>
        <w:rPr>
          <w:rFonts w:ascii="Arial" w:hAnsi="Arial"/>
          <w:i/>
          <w:color w:val="646464"/>
          <w:sz w:val="18"/>
        </w:rPr>
        <w:t xml:space="preserve">    → Ref: BCA: Annual ESG refresher for Board of Directors and Board of Commissioners with external expert collaboration (GRI, CDP, OJK); BRI: 62.4 hrs/employee training spanning all organizational levels with structured ESG curriculum</w:t>
      </w:r>
    </w:p>
    <w:p>
      <w:r>
        <w:rPr>
          <w:b/>
          <w:sz w:val="22"/>
        </w:rPr>
        <w:t>🔴 2. Establish Board-approved Gender Diversity Policy with binding targets: 30% female management by end-2026, 45% overall female representation by end-2025; implement mentorship program pairing high-potential women with C-suite sponsors</w:t>
      </w:r>
      <w:r>
        <w:rPr>
          <w:sz w:val="22"/>
        </w:rPr>
        <w:t xml:space="preserve"> (Q2 2025)</w:t>
      </w:r>
    </w:p>
    <w:p>
      <w:pPr>
        <w:spacing w:after="160" w:line="276" w:lineRule="auto"/>
        <w:jc w:val="both"/>
      </w:pPr>
      <w:r>
        <w:rPr>
          <w:rFonts w:ascii="Arial" w:hAnsi="Arial"/>
          <w:sz w:val="22"/>
        </w:rPr>
        <w:t xml:space="preserve">    → Expected: Reverse declining female representation trend; close 11.33 pp gap to DBS's 38% female management benchmark; improve MSCI Social score</w:t>
      </w:r>
    </w:p>
    <w:p>
      <w:pPr>
        <w:spacing w:after="160" w:line="276" w:lineRule="auto"/>
        <w:jc w:val="both"/>
      </w:pPr>
      <w:r>
        <w:rPr>
          <w:rFonts w:ascii="Arial" w:hAnsi="Arial"/>
          <w:i/>
          <w:color w:val="646464"/>
          <w:sz w:val="18"/>
        </w:rPr>
        <w:t xml:space="preserve">    → Ref: DBS: 38% female management, 33% female Board representation, published gender pay ratio 1:0.99; BCA: 61.6% female management achieved through structured career development and succession planning</w:t>
      </w:r>
    </w:p>
    <w:p>
      <w:r>
        <w:rPr>
          <w:b/>
          <w:sz w:val="22"/>
        </w:rPr>
        <w:t>🔴 3. Conduct comprehensive gender pay equity audit across all job levels and functions; commit to public disclosure of gender pay ratio (female:male) in 2025 sustainability report, following DBS transparency model</w:t>
      </w:r>
      <w:r>
        <w:rPr>
          <w:sz w:val="22"/>
        </w:rPr>
        <w:t xml:space="preserve"> (Q3 2025)</w:t>
      </w:r>
    </w:p>
    <w:p>
      <w:pPr>
        <w:spacing w:after="160" w:line="276" w:lineRule="auto"/>
        <w:jc w:val="both"/>
      </w:pPr>
      <w:r>
        <w:rPr>
          <w:rFonts w:ascii="Arial" w:hAnsi="Arial"/>
          <w:sz w:val="22"/>
        </w:rPr>
        <w:t xml:space="preserve">    → Expected: Achieve GRI 405-2 compliance; address MSCI governance flag on pay equity transparency; identify and remediate any systemic pay gaps</w:t>
      </w:r>
    </w:p>
    <w:p>
      <w:pPr>
        <w:spacing w:after="160" w:line="276" w:lineRule="auto"/>
        <w:jc w:val="both"/>
      </w:pPr>
      <w:r>
        <w:rPr>
          <w:rFonts w:ascii="Arial" w:hAnsi="Arial"/>
          <w:i/>
          <w:color w:val="646464"/>
          <w:sz w:val="18"/>
        </w:rPr>
        <w:t xml:space="preserve">    → Ref: DBS: Published gender pay ratio of 1:0.99 (female:male) with full methodology disclosure; OCBC: Comprehensive equal pay analysis across markets with annual public reporting</w:t>
      </w:r>
    </w:p>
    <w:p>
      <w:r>
        <w:rPr>
          <w:b/>
          <w:sz w:val="22"/>
        </w:rPr>
        <w:t>🟡 4. Upgrade HR Information System to capture training investment per employee, detailed discrimination case outcomes (substantiation rate, remediation type, policy changes), and expanded diversity metrics (age, tenure, disability status) for comprehensive GRI/ESRS compliance</w:t>
      </w:r>
      <w:r>
        <w:rPr>
          <w:sz w:val="22"/>
        </w:rPr>
        <w:t xml:space="preserve"> (Q4 2025)</w:t>
      </w:r>
    </w:p>
    <w:p>
      <w:pPr>
        <w:spacing w:after="160" w:line="276" w:lineRule="auto"/>
        <w:jc w:val="both"/>
      </w:pPr>
      <w:r>
        <w:rPr>
          <w:rFonts w:ascii="Arial" w:hAnsi="Arial"/>
          <w:sz w:val="22"/>
        </w:rPr>
        <w:t xml:space="preserve">    → Expected: Close material disclosure gaps; enable data-driven HR decision-making; improve Sustainalytics Social data quality score from current estimated 3.5/5 to 4.5/5</w:t>
      </w:r>
    </w:p>
    <w:p>
      <w:pPr>
        <w:spacing w:after="160" w:line="276" w:lineRule="auto"/>
        <w:jc w:val="both"/>
      </w:pPr>
      <w:r>
        <w:rPr>
          <w:rFonts w:ascii="Arial" w:hAnsi="Arial"/>
          <w:i/>
          <w:color w:val="646464"/>
          <w:sz w:val="18"/>
        </w:rPr>
        <w:t xml:space="preserve">    → Ref: BRI: Discloses training investment of ~IDR 8.5 million per employee with full cost breakdown; BCA: Reports 100% whistleblowing investigation rate with detailed case outcome transparency</w:t>
      </w:r>
    </w:p>
    <w:p/>
    <w:p>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(workforce composition, working conditions, equal treatment); OJK POJK 51/2017: Pilar II - Kinerja Sosial (Tenaga Kerja &amp; Pengembangan SDM)</w:t>
      </w:r>
    </w:p>
    <w:p>
      <w:pPr>
        <w:spacing w:after="80"/>
        <w:pBdr>
          <w:bottom w:val="single" w:sz="6" w:space="1" w:color="999999"/>
        </w:pBdr>
      </w:pPr>
    </w:p>
    <w:p>
      <w:pPr>
        <w:spacing w:after="160" w:line="276" w:lineRule="auto"/>
        <w:jc w:val="both"/>
      </w:pPr>
      <w:r>
        <w:rPr>
          <w:rFonts w:ascii="Arial" w:hAnsi="Arial"/>
          <w:i/>
          <w:color w:val="646464"/>
          <w:sz w:val="18"/>
        </w:rPr>
        <w:t>All workforce data reported on full-time equivalent (FTE) basis as of December 31, 2024.</w:t>
      </w:r>
    </w:p>
    <w:p>
      <w:pPr>
        <w:spacing w:after="160" w:line="276" w:lineRule="auto"/>
        <w:jc w:val="both"/>
      </w:pPr>
      <w:r>
        <w:rPr>
          <w:rFonts w:ascii="Arial" w:hAnsi="Arial"/>
          <w:i/>
          <w:color w:val="646464"/>
          <w:sz w:val="18"/>
        </w:rPr>
        <w:t>Gender data based on employee records in HR information system; non-binary gender identities not captured in current system.</w:t>
      </w:r>
    </w:p>
    <w:p>
      <w:pPr>
        <w:spacing w:after="160" w:line="276" w:lineRule="auto"/>
        <w:jc w:val="both"/>
      </w:pPr>
      <w:r>
        <w:rPr>
          <w:rFonts w:ascii="Arial" w:hAnsi="Arial"/>
          <w:i/>
          <w:color w:val="646464"/>
          <w:sz w:val="18"/>
        </w:rPr>
        <w:t>Training hours include formal learning activities only; on-the-job training and informal mentoring excluded.</w:t>
      </w:r>
    </w:p>
    <w:p>
      <w:pPr>
        <w:spacing w:after="160" w:line="276" w:lineRule="auto"/>
        <w:jc w:val="both"/>
      </w:pPr>
      <w:r>
        <w:rPr>
          <w:rFonts w:ascii="Arial" w:hAnsi="Arial"/>
          <w:i/>
          <w:color w:val="646464"/>
          <w:sz w:val="18"/>
        </w:rPr>
        <w:t>Discrimination cases include all formal complaints filed through grievance mechanism, regardless of substantiation outcome.</w:t>
      </w:r>
    </w:p>
    <w:p>
      <w:pPr>
        <w:spacing w:after="160" w:line="276" w:lineRule="auto"/>
        <w:jc w:val="both"/>
      </w:pPr>
      <w:r>
        <w:rPr>
          <w:rFonts w:ascii="Arial" w:hAnsi="Arial"/>
          <w:i/>
          <w:color w:val="646464"/>
          <w:sz w:val="18"/>
        </w:rPr>
        <w:t>Year-over-year percentage point (pp) changes for gender metrics reflect absolute differences, not percentage changes.</w:t>
      </w:r>
    </w:p>
    <w:p>
      <w:pPr>
        <w:spacing w:after="160" w:line="276" w:lineRule="auto"/>
        <w:jc w:val="both"/>
      </w:pPr>
      <w:r>
        <w:rPr>
          <w:rFonts w:ascii="Arial" w:hAnsi="Arial"/>
          <w:i/>
          <w:color w:val="646464"/>
          <w:sz w:val="18"/>
        </w:rPr>
        <w:t>Management defined as Assistant Vice President level and above for diversity calculations.</w:t>
      </w:r>
    </w:p>
    <w:p>
      <w:r>
        <w:br w:type="page"/>
      </w:r>
    </w:p>
    <w:p>
      <w:pPr>
        <w:pStyle w:val="Heading1"/>
        <w:keepNext/>
        <w:spacing w:before="480" w:after="240"/>
      </w:pPr>
      <w:r>
        <w:rPr>
          <w:rFonts w:ascii="Arial" w:hAnsi="Arial"/>
          <w:b/>
          <w:color w:val="1B3A6B"/>
          <w:sz w:val="36"/>
        </w:rPr>
        <w:t>Governance &amp; Strategy</w:t>
      </w:r>
    </w:p>
    <w:p>
      <w:pPr>
        <w:pStyle w:val="Heading2"/>
        <w:keepNext/>
        <w:spacing w:before="360" w:after="160"/>
      </w:pPr>
      <w:r>
        <w:rPr>
          <w:rFonts w:ascii="Arial" w:hAnsi="Arial"/>
          <w:b/>
          <w:color w:val="3D6094"/>
          <w:sz w:val="28"/>
        </w:rPr>
        <w:t>3.1 Climate Governance &amp; ESG Oversight</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b/>
                <w:color w:val="1B3A6B"/>
                <w:sz w:val="40"/>
              </w:rPr>
              <w:t>No</w:t>
            </w:r>
            <w:r>
              <w:rPr>
                <w:sz w:val="18"/>
              </w:rPr>
              <w:t xml:space="preserve"> status</w:t>
            </w:r>
            <w:r>
              <w:rPr>
                <w:b/>
                <w:color w:val="F44336"/>
                <w:sz w:val="20"/>
              </w:rPr>
              <w:br/>
              <w:t>Gap vs. 100% peer adoption</w:t>
            </w:r>
          </w:p>
        </w:tc>
        <w:tc>
          <w:tcPr>
            <w:tcW w:type="dxa" w:w="2257"/>
          </w:tcPr>
          <w:p>
            <w:pPr>
              <w:jc w:val="center"/>
            </w:pPr>
            <w:r>
              <w:rPr>
                <w:b/>
                <w:color w:val="1B3A6B"/>
                <w:sz w:val="40"/>
              </w:rPr>
              <w:t>0%</w:t>
            </w:r>
            <w:r>
              <w:rPr>
                <w:sz w:val="18"/>
              </w:rPr>
              <w:t xml:space="preserve"> weight</w:t>
            </w:r>
            <w:r>
              <w:rPr>
                <w:b/>
                <w:color w:val="F44336"/>
                <w:sz w:val="20"/>
              </w:rPr>
              <w:br/>
              <w:t>vs. DBS 20%, BCA integrated</w:t>
            </w:r>
          </w:p>
        </w:tc>
        <w:tc>
          <w:tcPr>
            <w:tcW w:type="dxa" w:w="2257"/>
          </w:tcPr>
          <w:p>
            <w:pPr>
              <w:jc w:val="center"/>
            </w:pPr>
            <w:r>
              <w:rPr>
                <w:b/>
                <w:color w:val="1B3A6B"/>
                <w:sz w:val="40"/>
              </w:rPr>
              <w:t>Not Defined</w:t>
            </w:r>
            <w:r>
              <w:rPr>
                <w:sz w:val="18"/>
              </w:rPr>
              <w:t xml:space="preserve"> status</w:t>
            </w:r>
            <w:r>
              <w:rPr>
                <w:b/>
                <w:color w:val="F44336"/>
                <w:sz w:val="20"/>
              </w:rPr>
              <w:br/>
              <w:t>vs. peer quarterly standard</w:t>
            </w:r>
          </w:p>
        </w:tc>
        <w:tc>
          <w:tcPr>
            <w:tcW w:type="dxa" w:w="2257"/>
          </w:tcPr>
          <w:p>
            <w:pPr>
              <w:jc w:val="center"/>
            </w:pPr>
            <w:r>
              <w:rPr>
                <w:b/>
                <w:color w:val="1B3A6B"/>
                <w:sz w:val="40"/>
              </w:rPr>
              <w:t>0/7</w:t>
            </w:r>
            <w:r>
              <w:rPr>
                <w:sz w:val="18"/>
              </w:rPr>
              <w:t xml:space="preserve"> requirements met</w:t>
            </w:r>
            <w:r>
              <w:rPr>
                <w:b/>
                <w:color w:val="F44336"/>
                <w:sz w:val="20"/>
              </w:rPr>
              <w:br/>
              <w:t>Critical gaps across all frameworks</w:t>
            </w:r>
          </w:p>
        </w:tc>
      </w:tr>
      <w:tr>
        <w:tc>
          <w:tcPr>
            <w:tcW w:type="dxa" w:w="2257"/>
          </w:tcPr>
          <w:p>
            <w:pPr>
              <w:jc w:val="center"/>
            </w:pPr>
            <w:r>
              <w:rPr>
                <w:color w:val="646464"/>
                <w:sz w:val="18"/>
              </w:rPr>
              <w:t>Board ESG Committee Established</w:t>
            </w:r>
          </w:p>
        </w:tc>
        <w:tc>
          <w:tcPr>
            <w:tcW w:type="dxa" w:w="2257"/>
          </w:tcPr>
          <w:p>
            <w:pPr>
              <w:jc w:val="center"/>
            </w:pPr>
            <w:r>
              <w:rPr>
                <w:color w:val="646464"/>
                <w:sz w:val="18"/>
              </w:rPr>
              <w:t>Executive Remuneration ESG Link</w:t>
            </w:r>
          </w:p>
        </w:tc>
        <w:tc>
          <w:tcPr>
            <w:tcW w:type="dxa" w:w="2257"/>
          </w:tcPr>
          <w:p>
            <w:pPr>
              <w:jc w:val="center"/>
            </w:pPr>
            <w:r>
              <w:rPr>
                <w:color w:val="646464"/>
                <w:sz w:val="18"/>
              </w:rPr>
              <w:t>Climate Oversight Frequency</w:t>
            </w:r>
          </w:p>
        </w:tc>
        <w:tc>
          <w:tcPr>
            <w:tcW w:type="dxa" w:w="2257"/>
          </w:tcPr>
          <w:p>
            <w:pPr>
              <w:jc w:val="center"/>
            </w:pPr>
            <w:r>
              <w:rPr>
                <w:color w:val="646464"/>
                <w:sz w:val="18"/>
              </w:rPr>
              <w:t>Framework Compliance Score</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sz w:val="18"/>
              </w:rPr>
              <w:t>🚨 KEY INSIGHT</w:t>
            </w:r>
          </w:p>
          <w:p>
            <w:r>
              <w:rPr>
                <w:b/>
                <w:sz w:val="22"/>
              </w:rPr>
              <w:t>Critical governance gap: No Board ESG Committee while all peer banks have quarterly oversight since 2021-2023</w:t>
            </w:r>
          </w:p>
          <w:p>
            <w:r>
              <w:rPr>
                <w:sz w:val="20"/>
              </w:rPr>
              <w:t>The institution lacks formalized climate governance structures required by IFRS S2, GRI, ESRS, and OJK POJK 51/2017. All Indonesian banking peers (BRI, BCA, DBS, Mandiri) have established Board-level ESG committees with quarterly review frequency and executive remuneration linkage. This gap creates regulatory compliance risk and limits ability to demonstrate credible climate strategy to investors and regulators.</w:t>
            </w:r>
          </w:p>
        </w:tc>
      </w:tr>
    </w:tbl>
    <w:p/>
    <w:p>
      <w:pPr>
        <w:spacing w:after="160" w:line="276" w:lineRule="auto"/>
        <w:jc w:val="both"/>
      </w:pPr>
      <w:r>
        <w:rPr>
          <w:rFonts w:ascii="Arial" w:hAnsi="Arial"/>
          <w:sz w:val="22"/>
        </w:rPr>
        <w:t>## Governance Infrastructure Gap Analysis</w:t>
        <w:br/>
        <w:br/>
        <w:t>The institution currently lacks formalized climate governance structures required by international sustainability reporting frameworks. This section identifies disclosure gaps against IFRS S2, GRI 2-12/2-13, ESRS 2 GOV-3, and OJK POJK 51/2017 requirements, benchmarks against Indonesian banking peers, and provides a roadmap for establishing comprehensive ESG oversight mechanisms.</w:t>
      </w:r>
    </w:p>
    <w:p>
      <w:pPr>
        <w:spacing w:after="160" w:line="276" w:lineRule="auto"/>
        <w:jc w:val="both"/>
      </w:pPr>
      <w:r>
        <w:rPr>
          <w:rFonts w:ascii="Arial" w:hAnsi="Arial"/>
          <w:sz w:val="22"/>
        </w:rPr>
        <w:t>## Framework Requirements and Current Status</w:t>
        <w:br/>
        <w:br/>
        <w:t>Multiple sustainability frameworks mandate specific governance disclosures that are not yet captured in the institution's reporting system. IFRS S2 Paragraphs 5-7 require identification of the governance body responsible for climate oversight, description of management's role in assessing climate risks, and explanation of how climate considerations inform strategic decisions. GRI 2-12 and 2-13 require disclosure of the highest governance body's role in sustainability oversight and delegation of responsibility for impact management. ESRS 2 GOV-3 mandates disclosure of how sustainability performance is integrated into executive incentive schemes. OJK POJK 51/2017 Article 8 requires financial institutions to establish board-level sustainability governance with clear accountability structures.</w:t>
      </w:r>
    </w:p>
    <w:p>
      <w:pPr>
        <w:spacing w:after="160" w:line="276" w:lineRule="auto"/>
        <w:jc w:val="both"/>
      </w:pPr>
      <w:r>
        <w:rPr>
          <w:rFonts w:ascii="Arial" w:hAnsi="Arial"/>
          <w:sz w:val="22"/>
        </w:rPr>
        <w:t>## Peer Benchmark Analysis</w:t>
        <w:br/>
        <w:br/>
        <w:t>Leading Indonesian banks have established comprehensive ESG governance frameworks that provide reference models for implementation. Bank Rakyat Indonesia established a dedicated Risk Management &amp; ESG Committee at Board level in 2021 via Decision NOKEP 872-DIR/PPM/06/2022, conducting quarterly climate risk reviews with direct reporting to the President Director. Bank Central Asia operates an ESG Subdivision under the Director of Planning &amp; Finance, conducting ESG reviews at least four times annually with Board of Directors, and has integrated ESG KPIs into Board and work unit performance assessments. DBS Bank maintains a Board Sustainability Committee with a dedicated Chief Sustainability Officer role, linking 20% of executive remuneration to climate and sustainability metrics. Bank Mandiri operates an ESG Task Force with semi-annual Board review cadence and has established sectoral credit policies for high-risk sectors including coal, palm oil, and oil &amp; gas.</w:t>
      </w:r>
    </w:p>
    <w:p>
      <w:pPr>
        <w:spacing w:after="160" w:line="276" w:lineRule="auto"/>
        <w:jc w:val="both"/>
      </w:pPr>
      <w:r>
        <w:rPr>
          <w:rFonts w:ascii="Arial" w:hAnsi="Arial"/>
          <w:sz w:val="22"/>
        </w:rPr>
        <w:t>## Recommended Governance Infrastructure</w:t>
        <w:br/>
        <w:br/>
        <w:t>To achieve full framework compliance and align with peer practices, the institution should establish a three-tier governance structure. At Board level, create a dedicated Board Risk &amp; Sustainability Committee with quarterly meeting frequency, climate expertise requirements for at least two members, and formal terms of reference covering climate risk oversight, target setting approval, and strategic alignment review. At management level, appoint a Chief Sustainability Officer or equivalent executive position reporting directly to the President Director, establish a Management ESG Committee with monthly meeting cadence, and integrate climate risk assessment into the enterprise risk management framework. At operational level, designate ESG focal points across business units, implement quarterly climate performance reporting to management committee, and establish data collection protocols for Scope 1, 2, and 3 emissions tracking aligned with PCAF methodology.</w:t>
      </w:r>
    </w:p>
    <w:p>
      <w:pPr>
        <w:spacing w:after="160" w:line="276" w:lineRule="auto"/>
        <w:jc w:val="both"/>
      </w:pPr>
      <w:r>
        <w:rPr>
          <w:rFonts w:ascii="Arial" w:hAnsi="Arial"/>
          <w:sz w:val="22"/>
        </w:rPr>
        <w:t>## Executive Remuneration Linkage</w:t>
        <w:br/>
        <w:br/>
        <w:t>Integration of sustainability performance into executive compensation is a critical governance mechanism required by ESRS 2 GOV-3 and adopted by leading peers. The institution should link 10-20% of Board of Directors and senior management variable compensation to ESG key performance indicators, following the DBS Bank model of 20% weighting. Recommended metrics include: absolute Scope 1+2 emissions reduction (weight: 5%), financed emissions intensity reduction for priority sectors (weight: 5%), sustainable finance portfolio growth as percentage of total lending (weight: 5%), and ESG risk management effectiveness measured by ESRM screening coverage (weight: 5%). Performance assessment should be conducted annually with independent verification of underlying data.</w:t>
      </w:r>
    </w:p>
    <w:p>
      <w:pPr>
        <w:spacing w:after="160" w:line="276" w:lineRule="auto"/>
        <w:jc w:val="both"/>
      </w:pPr>
      <w:r>
        <w:rPr>
          <w:rFonts w:ascii="Arial" w:hAnsi="Arial"/>
          <w:sz w:val="22"/>
        </w:rPr>
        <w:t>## Target Setting and Monitoring Authority</w:t>
        <w:br/>
        <w:br/>
        <w:t>Clear accountability for climate target setting and progress monitoring must be established. The Board Risk &amp; Sustainability Committee should hold authority for approving science-based targets, sectoral decarbonization pathways, and material changes to climate strategy. The Management ESG Committee should be responsible for quarterly monitoring of progress against approved targets, escalation of material deviations, and recommendation of corrective actions. Operational business units should report monthly performance data through designated ESG focal points. This structure mirrors the BCA model where the Director of Planning &amp; Finance oversees ESG performance with Board-level quarterly reviews.</w:t>
      </w:r>
    </w:p>
    <w:p>
      <w:pPr>
        <w:spacing w:after="160" w:line="276" w:lineRule="auto"/>
        <w:jc w:val="both"/>
      </w:pPr>
      <w:r>
        <w:rPr>
          <w:rFonts w:ascii="Arial" w:hAnsi="Arial"/>
          <w:i/>
          <w:color w:val="555555"/>
          <w:sz w:val="22"/>
        </w:rPr>
        <w:t>## Implementation Timeline</w:t>
        <w:br/>
        <w:br/>
        <w:t>A phased implementation approach is recommended to establish full governance infrastructure within 18 months. Phase 1 (Months 1-6): Establish Board Risk &amp; Sustainability Committee with approved terms of reference, appoint interim ESG coordination function at management level, and conduct Board climate competency assessment and training program. Phase 2 (Months 7-12): Recruit or designate Chief Sustainability Officer, formalize Management ESG Committee with cross-functional membership, integrate climate risk into enterprise risk management framework, and implement ESG KPI linkage in executive remuneration for next performance cycle. Phase 3 (Months 13-18): Operationalize quarterly Board ESG review process, establish data collection protocols for all required metrics, conduct first full-cycle climate risk assessment, and publish comprehensive governance disclosure in next sustainability report.</w:t>
      </w:r>
    </w:p>
    <w:p>
      <w:r>
        <w:rPr>
          <w:rFonts w:ascii="Arial" w:hAnsi="Arial"/>
          <w:b/>
          <w:sz w:val="20"/>
        </w:rPr>
        <w:t>Table 3.1.1: Framework Compliance Status — Climate Governance Disclosures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IFRS S2</w:t>
            </w:r>
          </w:p>
        </w:tc>
        <w:tc>
          <w:tcPr>
            <w:tcW w:type="dxa" w:w="1806"/>
          </w:tcPr>
          <w:p>
            <w:r>
              <w:rPr>
                <w:rFonts w:ascii="Arial" w:hAnsi="Arial"/>
                <w:sz w:val="18"/>
              </w:rPr>
              <w:t>Paragraph 5</w:t>
            </w:r>
          </w:p>
        </w:tc>
        <w:tc>
          <w:tcPr>
            <w:tcW w:type="dxa" w:w="1806"/>
          </w:tcPr>
          <w:p>
            <w:r>
              <w:rPr>
                <w:rFonts w:ascii="Arial" w:hAnsi="Arial"/>
                <w:sz w:val="18"/>
              </w:rPr>
              <w:t>Identification of governance body responsible for climate oversight</w:t>
            </w:r>
          </w:p>
        </w:tc>
        <w:tc>
          <w:tcPr>
            <w:tcW w:type="dxa" w:w="1806"/>
          </w:tcPr>
          <w:p>
            <w:r>
              <w:rPr>
                <w:rFonts w:ascii="Arial" w:hAnsi="Arial"/>
                <w:sz w:val="18"/>
              </w:rPr>
              <w:t>⚠️ Not Available</w:t>
            </w:r>
          </w:p>
        </w:tc>
        <w:tc>
          <w:tcPr>
            <w:tcW w:type="dxa" w:w="1806"/>
          </w:tcPr>
          <w:p>
            <w:r>
              <w:rPr>
                <w:rFonts w:ascii="Arial" w:hAnsi="Arial"/>
                <w:sz w:val="18"/>
              </w:rPr>
              <w:t>Critical</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Paragraph 6</w:t>
            </w:r>
          </w:p>
        </w:tc>
        <w:tc>
          <w:tcPr>
            <w:tcW w:type="dxa" w:w="1806"/>
            <w:shd w:fill="F2F6FC" w:val="clear"/>
          </w:tcPr>
          <w:p>
            <w:r>
              <w:rPr>
                <w:rFonts w:ascii="Arial" w:hAnsi="Arial"/>
                <w:sz w:val="18"/>
              </w:rPr>
              <w:t>Description of management's role in assessing and managing climate risks</w:t>
            </w:r>
          </w:p>
        </w:tc>
        <w:tc>
          <w:tcPr>
            <w:tcW w:type="dxa" w:w="1806"/>
            <w:shd w:fill="F2F6FC" w:val="clear"/>
          </w:tcPr>
          <w:p>
            <w:r>
              <w:rPr>
                <w:rFonts w:ascii="Arial" w:hAnsi="Arial"/>
                <w:sz w:val="18"/>
              </w:rPr>
              <w:t>⚠️ Not Available</w:t>
            </w:r>
          </w:p>
        </w:tc>
        <w:tc>
          <w:tcPr>
            <w:tcW w:type="dxa" w:w="1806"/>
            <w:shd w:fill="F2F6FC" w:val="clear"/>
          </w:tcPr>
          <w:p>
            <w:r>
              <w:rPr>
                <w:rFonts w:ascii="Arial" w:hAnsi="Arial"/>
                <w:sz w:val="18"/>
              </w:rPr>
              <w:t>Critical</w:t>
            </w:r>
          </w:p>
        </w:tc>
      </w:tr>
      <w:tr>
        <w:tc>
          <w:tcPr>
            <w:tcW w:type="dxa" w:w="1806"/>
          </w:tcPr>
          <w:p>
            <w:r>
              <w:rPr>
                <w:rFonts w:ascii="Arial" w:hAnsi="Arial"/>
                <w:sz w:val="18"/>
              </w:rPr>
              <w:t>IFRS S2</w:t>
            </w:r>
          </w:p>
        </w:tc>
        <w:tc>
          <w:tcPr>
            <w:tcW w:type="dxa" w:w="1806"/>
          </w:tcPr>
          <w:p>
            <w:r>
              <w:rPr>
                <w:rFonts w:ascii="Arial" w:hAnsi="Arial"/>
                <w:sz w:val="18"/>
              </w:rPr>
              <w:t>Paragraph 7</w:t>
            </w:r>
          </w:p>
        </w:tc>
        <w:tc>
          <w:tcPr>
            <w:tcW w:type="dxa" w:w="1806"/>
          </w:tcPr>
          <w:p>
            <w:r>
              <w:rPr>
                <w:rFonts w:ascii="Arial" w:hAnsi="Arial"/>
                <w:sz w:val="18"/>
              </w:rPr>
              <w:t>How climate considerations inform strategy and major transactions</w:t>
            </w:r>
          </w:p>
        </w:tc>
        <w:tc>
          <w:tcPr>
            <w:tcW w:type="dxa" w:w="1806"/>
          </w:tcPr>
          <w:p>
            <w:r>
              <w:rPr>
                <w:rFonts w:ascii="Arial" w:hAnsi="Arial"/>
                <w:sz w:val="18"/>
              </w:rPr>
              <w:t>⚠️ Not Available</w:t>
            </w:r>
          </w:p>
        </w:tc>
        <w:tc>
          <w:tcPr>
            <w:tcW w:type="dxa" w:w="1806"/>
          </w:tcPr>
          <w:p>
            <w:r>
              <w:rPr>
                <w:rFonts w:ascii="Arial" w:hAnsi="Arial"/>
                <w:sz w:val="18"/>
              </w:rPr>
              <w:t>High</w:t>
            </w:r>
          </w:p>
        </w:tc>
      </w:tr>
      <w:tr>
        <w:tc>
          <w:tcPr>
            <w:tcW w:type="dxa" w:w="1806"/>
            <w:shd w:fill="F2F6FC" w:val="clear"/>
          </w:tcPr>
          <w:p>
            <w:r>
              <w:rPr>
                <w:rFonts w:ascii="Arial" w:hAnsi="Arial"/>
                <w:sz w:val="18"/>
              </w:rPr>
              <w:t>GRI 2-12</w:t>
            </w:r>
          </w:p>
        </w:tc>
        <w:tc>
          <w:tcPr>
            <w:tcW w:type="dxa" w:w="1806"/>
            <w:shd w:fill="F2F6FC" w:val="clear"/>
          </w:tcPr>
          <w:p>
            <w:r>
              <w:rPr>
                <w:rFonts w:ascii="Arial" w:hAnsi="Arial"/>
                <w:sz w:val="18"/>
              </w:rPr>
              <w:t>2-12a</w:t>
            </w:r>
          </w:p>
        </w:tc>
        <w:tc>
          <w:tcPr>
            <w:tcW w:type="dxa" w:w="1806"/>
            <w:shd w:fill="F2F6FC" w:val="clear"/>
          </w:tcPr>
          <w:p>
            <w:r>
              <w:rPr>
                <w:rFonts w:ascii="Arial" w:hAnsi="Arial"/>
                <w:sz w:val="18"/>
              </w:rPr>
              <w:t>Role of highest governance body in sustainability oversight</w:t>
            </w:r>
          </w:p>
        </w:tc>
        <w:tc>
          <w:tcPr>
            <w:tcW w:type="dxa" w:w="1806"/>
            <w:shd w:fill="F2F6FC" w:val="clear"/>
          </w:tcPr>
          <w:p>
            <w:r>
              <w:rPr>
                <w:rFonts w:ascii="Arial" w:hAnsi="Arial"/>
                <w:sz w:val="18"/>
              </w:rPr>
              <w:t>⚠️ Not Available</w:t>
            </w:r>
          </w:p>
        </w:tc>
        <w:tc>
          <w:tcPr>
            <w:tcW w:type="dxa" w:w="1806"/>
            <w:shd w:fill="F2F6FC" w:val="clear"/>
          </w:tcPr>
          <w:p>
            <w:r>
              <w:rPr>
                <w:rFonts w:ascii="Arial" w:hAnsi="Arial"/>
                <w:sz w:val="18"/>
              </w:rPr>
              <w:t>Critical</w:t>
            </w:r>
          </w:p>
        </w:tc>
      </w:tr>
      <w:tr>
        <w:tc>
          <w:tcPr>
            <w:tcW w:type="dxa" w:w="1806"/>
          </w:tcPr>
          <w:p>
            <w:r>
              <w:rPr>
                <w:rFonts w:ascii="Arial" w:hAnsi="Arial"/>
                <w:sz w:val="18"/>
              </w:rPr>
              <w:t>GRI 2-13</w:t>
            </w:r>
          </w:p>
        </w:tc>
        <w:tc>
          <w:tcPr>
            <w:tcW w:type="dxa" w:w="1806"/>
          </w:tcPr>
          <w:p>
            <w:r>
              <w:rPr>
                <w:rFonts w:ascii="Arial" w:hAnsi="Arial"/>
                <w:sz w:val="18"/>
              </w:rPr>
              <w:t>2-13a</w:t>
            </w:r>
          </w:p>
        </w:tc>
        <w:tc>
          <w:tcPr>
            <w:tcW w:type="dxa" w:w="1806"/>
          </w:tcPr>
          <w:p>
            <w:r>
              <w:rPr>
                <w:rFonts w:ascii="Arial" w:hAnsi="Arial"/>
                <w:sz w:val="18"/>
              </w:rPr>
              <w:t>Delegation of responsibility for managing sustainability impacts</w:t>
            </w:r>
          </w:p>
        </w:tc>
        <w:tc>
          <w:tcPr>
            <w:tcW w:type="dxa" w:w="1806"/>
          </w:tcPr>
          <w:p>
            <w:r>
              <w:rPr>
                <w:rFonts w:ascii="Arial" w:hAnsi="Arial"/>
                <w:sz w:val="18"/>
              </w:rPr>
              <w:t>⚠️ Not Available</w:t>
            </w:r>
          </w:p>
        </w:tc>
        <w:tc>
          <w:tcPr>
            <w:tcW w:type="dxa" w:w="1806"/>
          </w:tcPr>
          <w:p>
            <w:r>
              <w:rPr>
                <w:rFonts w:ascii="Arial" w:hAnsi="Arial"/>
                <w:sz w:val="18"/>
              </w:rPr>
              <w:t>Critical</w:t>
            </w:r>
          </w:p>
        </w:tc>
      </w:tr>
      <w:tr>
        <w:tc>
          <w:tcPr>
            <w:tcW w:type="dxa" w:w="1806"/>
            <w:shd w:fill="F2F6FC" w:val="clear"/>
          </w:tcPr>
          <w:p>
            <w:r>
              <w:rPr>
                <w:rFonts w:ascii="Arial" w:hAnsi="Arial"/>
                <w:sz w:val="18"/>
              </w:rPr>
              <w:t>ESRS 2</w:t>
            </w:r>
          </w:p>
        </w:tc>
        <w:tc>
          <w:tcPr>
            <w:tcW w:type="dxa" w:w="1806"/>
            <w:shd w:fill="F2F6FC" w:val="clear"/>
          </w:tcPr>
          <w:p>
            <w:r>
              <w:rPr>
                <w:rFonts w:ascii="Arial" w:hAnsi="Arial"/>
                <w:sz w:val="18"/>
              </w:rPr>
              <w:t>GOV-3</w:t>
            </w:r>
          </w:p>
        </w:tc>
        <w:tc>
          <w:tcPr>
            <w:tcW w:type="dxa" w:w="1806"/>
            <w:shd w:fill="F2F6FC" w:val="clear"/>
          </w:tcPr>
          <w:p>
            <w:r>
              <w:rPr>
                <w:rFonts w:ascii="Arial" w:hAnsi="Arial"/>
                <w:sz w:val="18"/>
              </w:rPr>
              <w:t>Integration of sustainability performance in incentive schemes</w:t>
            </w:r>
          </w:p>
        </w:tc>
        <w:tc>
          <w:tcPr>
            <w:tcW w:type="dxa" w:w="1806"/>
            <w:shd w:fill="F2F6FC" w:val="clear"/>
          </w:tcPr>
          <w:p>
            <w:r>
              <w:rPr>
                <w:rFonts w:ascii="Arial" w:hAnsi="Arial"/>
                <w:sz w:val="18"/>
              </w:rPr>
              <w:t>⚠️ Not Available</w:t>
            </w:r>
          </w:p>
        </w:tc>
        <w:tc>
          <w:tcPr>
            <w:tcW w:type="dxa" w:w="1806"/>
            <w:shd w:fill="F2F6FC" w:val="clear"/>
          </w:tcPr>
          <w:p>
            <w:r>
              <w:rPr>
                <w:rFonts w:ascii="Arial" w:hAnsi="Arial"/>
                <w:sz w:val="18"/>
              </w:rPr>
              <w:t>High</w:t>
            </w:r>
          </w:p>
        </w:tc>
      </w:tr>
      <w:tr>
        <w:tc>
          <w:tcPr>
            <w:tcW w:type="dxa" w:w="1806"/>
          </w:tcPr>
          <w:p>
            <w:r>
              <w:rPr>
                <w:rFonts w:ascii="Arial" w:hAnsi="Arial"/>
                <w:sz w:val="18"/>
              </w:rPr>
              <w:t>OJK POJK 51/2017</w:t>
            </w:r>
          </w:p>
        </w:tc>
        <w:tc>
          <w:tcPr>
            <w:tcW w:type="dxa" w:w="1806"/>
          </w:tcPr>
          <w:p>
            <w:r>
              <w:rPr>
                <w:rFonts w:ascii="Arial" w:hAnsi="Arial"/>
                <w:sz w:val="18"/>
              </w:rPr>
              <w:t>Article 8</w:t>
            </w:r>
          </w:p>
        </w:tc>
        <w:tc>
          <w:tcPr>
            <w:tcW w:type="dxa" w:w="1806"/>
          </w:tcPr>
          <w:p>
            <w:r>
              <w:rPr>
                <w:rFonts w:ascii="Arial" w:hAnsi="Arial"/>
                <w:sz w:val="18"/>
              </w:rPr>
              <w:t>Board-level sustainability committee with clear accountability</w:t>
            </w:r>
          </w:p>
        </w:tc>
        <w:tc>
          <w:tcPr>
            <w:tcW w:type="dxa" w:w="1806"/>
          </w:tcPr>
          <w:p>
            <w:r>
              <w:rPr>
                <w:rFonts w:ascii="Arial" w:hAnsi="Arial"/>
                <w:sz w:val="18"/>
              </w:rPr>
              <w:t>⚠️ Not Available</w:t>
            </w:r>
          </w:p>
        </w:tc>
        <w:tc>
          <w:tcPr>
            <w:tcW w:type="dxa" w:w="1806"/>
          </w:tcPr>
          <w:p>
            <w:r>
              <w:rPr>
                <w:rFonts w:ascii="Arial" w:hAnsi="Arial"/>
                <w:sz w:val="18"/>
              </w:rPr>
              <w:t>Critical</w:t>
            </w:r>
          </w:p>
        </w:tc>
      </w:tr>
    </w:tbl>
    <w:p>
      <w:r>
        <w:rPr>
          <w:rFonts w:ascii="Arial" w:hAnsi="Arial"/>
          <w:i/>
          <w:sz w:val="16"/>
        </w:rPr>
        <w:t>Source: Status assessment based on DATA INPUT governance fields (all NULL). Priority reflects regulatory requirement urgency and peer adoption rate.</w:t>
      </w:r>
    </w:p>
    <w:p/>
    <w:p>
      <w:r>
        <w:rPr>
          <w:rFonts w:ascii="Arial" w:hAnsi="Arial"/>
          <w:b/>
          <w:sz w:val="20"/>
        </w:rPr>
        <w:t>Table 3.1.2: Peer Governance Benchmark — Indonesian Banking Sector</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Governance Element</w:t>
            </w:r>
          </w:p>
        </w:tc>
        <w:tc>
          <w:tcPr>
            <w:tcW w:type="dxa" w:w="1505"/>
            <w:shd w:fill="1B3A6B" w:val="clear"/>
          </w:tcPr>
          <w:p>
            <w:r>
              <w:rPr>
                <w:rFonts w:ascii="Arial" w:hAnsi="Arial"/>
                <w:b/>
                <w:color w:val="FFFFFF"/>
                <w:sz w:val="18"/>
              </w:rPr>
              <w:t>BRI</w:t>
            </w:r>
          </w:p>
        </w:tc>
        <w:tc>
          <w:tcPr>
            <w:tcW w:type="dxa" w:w="1505"/>
            <w:shd w:fill="1B3A6B" w:val="clear"/>
          </w:tcPr>
          <w:p>
            <w:r>
              <w:rPr>
                <w:rFonts w:ascii="Arial" w:hAnsi="Arial"/>
                <w:b/>
                <w:color w:val="FFFFFF"/>
                <w:sz w:val="18"/>
              </w:rPr>
              <w:t>BCA</w:t>
            </w:r>
          </w:p>
        </w:tc>
        <w:tc>
          <w:tcPr>
            <w:tcW w:type="dxa" w:w="1505"/>
            <w:shd w:fill="1B3A6B" w:val="clear"/>
          </w:tcPr>
          <w:p>
            <w:r>
              <w:rPr>
                <w:rFonts w:ascii="Arial" w:hAnsi="Arial"/>
                <w:b/>
                <w:color w:val="FFFFFF"/>
                <w:sz w:val="18"/>
              </w:rPr>
              <w:t>DBS</w:t>
            </w:r>
          </w:p>
        </w:tc>
        <w:tc>
          <w:tcPr>
            <w:tcW w:type="dxa" w:w="1505"/>
            <w:shd w:fill="1B3A6B" w:val="clear"/>
          </w:tcPr>
          <w:p>
            <w:r>
              <w:rPr>
                <w:rFonts w:ascii="Arial" w:hAnsi="Arial"/>
                <w:b/>
                <w:color w:val="FFFFFF"/>
                <w:sz w:val="18"/>
              </w:rPr>
              <w:t>Bank Mandiri</w:t>
            </w:r>
          </w:p>
        </w:tc>
        <w:tc>
          <w:tcPr>
            <w:tcW w:type="dxa" w:w="1505"/>
            <w:shd w:fill="1B3A6B" w:val="clear"/>
          </w:tcPr>
          <w:p>
            <w:r>
              <w:rPr>
                <w:rFonts w:ascii="Arial" w:hAnsi="Arial"/>
                <w:b/>
                <w:color w:val="FFFFFF"/>
                <w:sz w:val="18"/>
              </w:rPr>
              <w:t>Recommended for Institution</w:t>
            </w:r>
          </w:p>
        </w:tc>
      </w:tr>
      <w:tr>
        <w:tc>
          <w:tcPr>
            <w:tcW w:type="dxa" w:w="1505"/>
          </w:tcPr>
          <w:p>
            <w:r>
              <w:rPr>
                <w:rFonts w:ascii="Arial" w:hAnsi="Arial"/>
                <w:sz w:val="18"/>
              </w:rPr>
              <w:t>Board ESG Committee</w:t>
            </w:r>
          </w:p>
        </w:tc>
        <w:tc>
          <w:tcPr>
            <w:tcW w:type="dxa" w:w="1505"/>
          </w:tcPr>
          <w:p>
            <w:r>
              <w:rPr>
                <w:rFonts w:ascii="Arial" w:hAnsi="Arial"/>
                <w:sz w:val="18"/>
              </w:rPr>
              <w:t>✅ Risk Mgmt &amp; ESG Committee (2021)</w:t>
            </w:r>
          </w:p>
        </w:tc>
        <w:tc>
          <w:tcPr>
            <w:tcW w:type="dxa" w:w="1505"/>
          </w:tcPr>
          <w:p>
            <w:r>
              <w:rPr>
                <w:rFonts w:ascii="Arial" w:hAnsi="Arial"/>
                <w:sz w:val="18"/>
              </w:rPr>
              <w:t>ESG Subdivision under Corporate Secretary</w:t>
            </w:r>
          </w:p>
        </w:tc>
        <w:tc>
          <w:tcPr>
            <w:tcW w:type="dxa" w:w="1505"/>
          </w:tcPr>
          <w:p>
            <w:r>
              <w:rPr>
                <w:rFonts w:ascii="Arial" w:hAnsi="Arial"/>
                <w:sz w:val="18"/>
              </w:rPr>
              <w:t>✅ Board Sustainability Committee</w:t>
            </w:r>
          </w:p>
        </w:tc>
        <w:tc>
          <w:tcPr>
            <w:tcW w:type="dxa" w:w="1505"/>
          </w:tcPr>
          <w:p>
            <w:r>
              <w:rPr>
                <w:rFonts w:ascii="Arial" w:hAnsi="Arial"/>
                <w:sz w:val="18"/>
              </w:rPr>
              <w:t>ESG Task Force</w:t>
            </w:r>
          </w:p>
        </w:tc>
        <w:tc>
          <w:tcPr>
            <w:tcW w:type="dxa" w:w="1505"/>
          </w:tcPr>
          <w:p>
            <w:r>
              <w:rPr>
                <w:rFonts w:ascii="Arial" w:hAnsi="Arial"/>
                <w:sz w:val="18"/>
              </w:rPr>
              <w:t>✅ Board Risk &amp; Sustainability Committee</w:t>
            </w:r>
          </w:p>
        </w:tc>
      </w:tr>
      <w:tr>
        <w:tc>
          <w:tcPr>
            <w:tcW w:type="dxa" w:w="1505"/>
            <w:shd w:fill="F2F6FC" w:val="clear"/>
          </w:tcPr>
          <w:p>
            <w:r>
              <w:rPr>
                <w:rFonts w:ascii="Arial" w:hAnsi="Arial"/>
                <w:sz w:val="18"/>
              </w:rPr>
              <w:t>Reporting Line</w:t>
            </w:r>
          </w:p>
        </w:tc>
        <w:tc>
          <w:tcPr>
            <w:tcW w:type="dxa" w:w="1505"/>
            <w:shd w:fill="F2F6FC" w:val="clear"/>
          </w:tcPr>
          <w:p>
            <w:r>
              <w:rPr>
                <w:rFonts w:ascii="Arial" w:hAnsi="Arial"/>
                <w:sz w:val="18"/>
              </w:rPr>
              <w:t>President Director</w:t>
            </w:r>
          </w:p>
        </w:tc>
        <w:tc>
          <w:tcPr>
            <w:tcW w:type="dxa" w:w="1505"/>
            <w:shd w:fill="F2F6FC" w:val="clear"/>
          </w:tcPr>
          <w:p>
            <w:r>
              <w:rPr>
                <w:rFonts w:ascii="Arial" w:hAnsi="Arial"/>
                <w:sz w:val="18"/>
              </w:rPr>
              <w:t>Director Planning &amp; Finance → President Director</w:t>
            </w:r>
          </w:p>
        </w:tc>
        <w:tc>
          <w:tcPr>
            <w:tcW w:type="dxa" w:w="1505"/>
            <w:shd w:fill="F2F6FC" w:val="clear"/>
          </w:tcPr>
          <w:p>
            <w:r>
              <w:rPr>
                <w:rFonts w:ascii="Arial" w:hAnsi="Arial"/>
                <w:sz w:val="18"/>
              </w:rPr>
              <w:t>Chief Sustainability Officer → Board</w:t>
            </w:r>
          </w:p>
        </w:tc>
        <w:tc>
          <w:tcPr>
            <w:tcW w:type="dxa" w:w="1505"/>
            <w:shd w:fill="F2F6FC" w:val="clear"/>
          </w:tcPr>
          <w:p>
            <w:r>
              <w:rPr>
                <w:rFonts w:ascii="Arial" w:hAnsi="Arial"/>
                <w:sz w:val="18"/>
              </w:rPr>
              <w:t>Director → President Director</w:t>
            </w:r>
          </w:p>
        </w:tc>
        <w:tc>
          <w:tcPr>
            <w:tcW w:type="dxa" w:w="1505"/>
            <w:shd w:fill="F2F6FC" w:val="clear"/>
          </w:tcPr>
          <w:p>
            <w:r>
              <w:rPr>
                <w:rFonts w:ascii="Arial" w:hAnsi="Arial"/>
                <w:sz w:val="18"/>
              </w:rPr>
              <w:t>Chief Sustainability Officer → President Director</w:t>
            </w:r>
          </w:p>
        </w:tc>
      </w:tr>
      <w:tr>
        <w:tc>
          <w:tcPr>
            <w:tcW w:type="dxa" w:w="1505"/>
          </w:tcPr>
          <w:p>
            <w:r>
              <w:rPr>
                <w:rFonts w:ascii="Arial" w:hAnsi="Arial"/>
                <w:sz w:val="18"/>
              </w:rPr>
              <w:t>Review Frequency</w:t>
            </w:r>
          </w:p>
        </w:tc>
        <w:tc>
          <w:tcPr>
            <w:tcW w:type="dxa" w:w="1505"/>
          </w:tcPr>
          <w:p>
            <w:r>
              <w:rPr>
                <w:rFonts w:ascii="Arial" w:hAnsi="Arial"/>
                <w:sz w:val="18"/>
              </w:rPr>
              <w:t>Quarterly</w:t>
            </w:r>
          </w:p>
        </w:tc>
        <w:tc>
          <w:tcPr>
            <w:tcW w:type="dxa" w:w="1505"/>
          </w:tcPr>
          <w:p>
            <w:r>
              <w:rPr>
                <w:rFonts w:ascii="Arial" w:hAnsi="Arial"/>
                <w:sz w:val="18"/>
              </w:rPr>
              <w:t>≥4x per year</w:t>
            </w:r>
          </w:p>
        </w:tc>
        <w:tc>
          <w:tcPr>
            <w:tcW w:type="dxa" w:w="1505"/>
          </w:tcPr>
          <w:p>
            <w:r>
              <w:rPr>
                <w:rFonts w:ascii="Arial" w:hAnsi="Arial"/>
                <w:sz w:val="18"/>
              </w:rPr>
              <w:t>Quarterly</w:t>
            </w:r>
          </w:p>
        </w:tc>
        <w:tc>
          <w:tcPr>
            <w:tcW w:type="dxa" w:w="1505"/>
          </w:tcPr>
          <w:p>
            <w:r>
              <w:rPr>
                <w:rFonts w:ascii="Arial" w:hAnsi="Arial"/>
                <w:sz w:val="18"/>
              </w:rPr>
              <w:t>Semi-annual</w:t>
            </w:r>
          </w:p>
        </w:tc>
        <w:tc>
          <w:tcPr>
            <w:tcW w:type="dxa" w:w="1505"/>
          </w:tcPr>
          <w:p>
            <w:r>
              <w:rPr>
                <w:rFonts w:ascii="Arial" w:hAnsi="Arial"/>
                <w:sz w:val="18"/>
              </w:rPr>
              <w:t>Quarterly</w:t>
            </w:r>
          </w:p>
        </w:tc>
      </w:tr>
      <w:tr>
        <w:tc>
          <w:tcPr>
            <w:tcW w:type="dxa" w:w="1505"/>
            <w:shd w:fill="F2F6FC" w:val="clear"/>
          </w:tcPr>
          <w:p>
            <w:r>
              <w:rPr>
                <w:rFonts w:ascii="Arial" w:hAnsi="Arial"/>
                <w:sz w:val="18"/>
              </w:rPr>
              <w:t>Remuneration Linkage</w:t>
            </w:r>
          </w:p>
        </w:tc>
        <w:tc>
          <w:tcPr>
            <w:tcW w:type="dxa" w:w="1505"/>
            <w:shd w:fill="F2F6FC" w:val="clear"/>
          </w:tcPr>
          <w:p>
            <w:r>
              <w:rPr>
                <w:rFonts w:ascii="Arial" w:hAnsi="Arial"/>
                <w:sz w:val="18"/>
              </w:rPr>
              <w:t>✅ Yes</w:t>
            </w:r>
          </w:p>
        </w:tc>
        <w:tc>
          <w:tcPr>
            <w:tcW w:type="dxa" w:w="1505"/>
            <w:shd w:fill="F2F6FC" w:val="clear"/>
          </w:tcPr>
          <w:p>
            <w:r>
              <w:rPr>
                <w:rFonts w:ascii="Arial" w:hAnsi="Arial"/>
                <w:sz w:val="18"/>
              </w:rPr>
              <w:t>✅ Integrated to BoD &amp; work unit KPIs</w:t>
            </w:r>
          </w:p>
        </w:tc>
        <w:tc>
          <w:tcPr>
            <w:tcW w:type="dxa" w:w="1505"/>
            <w:shd w:fill="F2F6FC" w:val="clear"/>
          </w:tcPr>
          <w:p>
            <w:r>
              <w:rPr>
                <w:rFonts w:ascii="Arial" w:hAnsi="Arial"/>
                <w:sz w:val="18"/>
              </w:rPr>
              <w:t>✅ Yes (20% weight)</w:t>
            </w:r>
          </w:p>
        </w:tc>
        <w:tc>
          <w:tcPr>
            <w:tcW w:type="dxa" w:w="1505"/>
            <w:shd w:fill="F2F6FC" w:val="clear"/>
          </w:tcPr>
          <w:p>
            <w:r>
              <w:rPr>
                <w:rFonts w:ascii="Arial" w:hAnsi="Arial"/>
                <w:sz w:val="18"/>
              </w:rPr>
              <w:t>Partial</w:t>
            </w:r>
          </w:p>
        </w:tc>
        <w:tc>
          <w:tcPr>
            <w:tcW w:type="dxa" w:w="1505"/>
            <w:shd w:fill="F2F6FC" w:val="clear"/>
          </w:tcPr>
          <w:p>
            <w:r>
              <w:rPr>
                <w:rFonts w:ascii="Arial" w:hAnsi="Arial"/>
                <w:sz w:val="18"/>
              </w:rPr>
              <w:t>✅ 10-20% weight</w:t>
            </w:r>
          </w:p>
        </w:tc>
      </w:tr>
      <w:tr>
        <w:tc>
          <w:tcPr>
            <w:tcW w:type="dxa" w:w="1505"/>
          </w:tcPr>
          <w:p>
            <w:r>
              <w:rPr>
                <w:rFonts w:ascii="Arial" w:hAnsi="Arial"/>
                <w:sz w:val="18"/>
              </w:rPr>
              <w:t>Climate Expertise</w:t>
            </w:r>
          </w:p>
        </w:tc>
        <w:tc>
          <w:tcPr>
            <w:tcW w:type="dxa" w:w="1505"/>
          </w:tcPr>
          <w:p>
            <w:r>
              <w:rPr>
                <w:rFonts w:ascii="Arial" w:hAnsi="Arial"/>
                <w:sz w:val="18"/>
              </w:rPr>
              <w:t>Board training program</w:t>
            </w:r>
          </w:p>
        </w:tc>
        <w:tc>
          <w:tcPr>
            <w:tcW w:type="dxa" w:w="1505"/>
          </w:tcPr>
          <w:p>
            <w:r>
              <w:rPr>
                <w:rFonts w:ascii="Arial" w:hAnsi="Arial"/>
                <w:sz w:val="18"/>
              </w:rPr>
              <w:t>Annual ESG refresher for BoD/BoC</w:t>
            </w:r>
          </w:p>
        </w:tc>
        <w:tc>
          <w:tcPr>
            <w:tcW w:type="dxa" w:w="1505"/>
          </w:tcPr>
          <w:p>
            <w:r>
              <w:rPr>
                <w:rFonts w:ascii="Arial" w:hAnsi="Arial"/>
                <w:sz w:val="18"/>
              </w:rPr>
              <w:t>Dedicated CSO role</w:t>
            </w:r>
          </w:p>
        </w:tc>
        <w:tc>
          <w:tcPr>
            <w:tcW w:type="dxa" w:w="1505"/>
          </w:tcPr>
          <w:p>
            <w:r>
              <w:rPr>
                <w:rFonts w:ascii="Arial" w:hAnsi="Arial"/>
                <w:sz w:val="18"/>
              </w:rPr>
              <w:t>Internal policy</w:t>
            </w:r>
          </w:p>
        </w:tc>
        <w:tc>
          <w:tcPr>
            <w:tcW w:type="dxa" w:w="1505"/>
          </w:tcPr>
          <w:p>
            <w:r>
              <w:rPr>
                <w:rFonts w:ascii="Arial" w:hAnsi="Arial"/>
                <w:sz w:val="18"/>
              </w:rPr>
              <w:t>≥2 Board members with climate expertise</w:t>
            </w:r>
          </w:p>
        </w:tc>
      </w:tr>
      <w:tr>
        <w:tc>
          <w:tcPr>
            <w:tcW w:type="dxa" w:w="1505"/>
            <w:shd w:fill="F2F6FC" w:val="clear"/>
          </w:tcPr>
          <w:p>
            <w:r>
              <w:rPr>
                <w:rFonts w:ascii="Arial" w:hAnsi="Arial"/>
                <w:sz w:val="18"/>
              </w:rPr>
              <w:t>Policy Framework</w:t>
            </w:r>
          </w:p>
        </w:tc>
        <w:tc>
          <w:tcPr>
            <w:tcW w:type="dxa" w:w="1505"/>
            <w:shd w:fill="F2F6FC" w:val="clear"/>
          </w:tcPr>
          <w:p>
            <w:r>
              <w:rPr>
                <w:rFonts w:ascii="Arial" w:hAnsi="Arial"/>
                <w:sz w:val="18"/>
              </w:rPr>
              <w:t>NOKEP 872-DIR/2022</w:t>
            </w:r>
          </w:p>
        </w:tc>
        <w:tc>
          <w:tcPr>
            <w:tcW w:type="dxa" w:w="1505"/>
            <w:shd w:fill="F2F6FC" w:val="clear"/>
          </w:tcPr>
          <w:p>
            <w:r>
              <w:rPr>
                <w:rFonts w:ascii="Arial" w:hAnsi="Arial"/>
                <w:sz w:val="18"/>
              </w:rPr>
              <w:t>Multiple BoD Decrees (SLL, Green Loan, Sectoral ESG)</w:t>
            </w:r>
          </w:p>
        </w:tc>
        <w:tc>
          <w:tcPr>
            <w:tcW w:type="dxa" w:w="1505"/>
            <w:shd w:fill="F2F6FC" w:val="clear"/>
          </w:tcPr>
          <w:p>
            <w:r>
              <w:rPr>
                <w:rFonts w:ascii="Arial" w:hAnsi="Arial"/>
                <w:sz w:val="18"/>
              </w:rPr>
              <w:t>Board-approved ESG Framework</w:t>
            </w:r>
          </w:p>
        </w:tc>
        <w:tc>
          <w:tcPr>
            <w:tcW w:type="dxa" w:w="1505"/>
            <w:shd w:fill="F2F6FC" w:val="clear"/>
          </w:tcPr>
          <w:p>
            <w:r>
              <w:rPr>
                <w:rFonts w:ascii="Arial" w:hAnsi="Arial"/>
                <w:sz w:val="18"/>
              </w:rPr>
              <w:t>Internal policy</w:t>
            </w:r>
          </w:p>
        </w:tc>
        <w:tc>
          <w:tcPr>
            <w:tcW w:type="dxa" w:w="1505"/>
            <w:shd w:fill="F2F6FC" w:val="clear"/>
          </w:tcPr>
          <w:p>
            <w:r>
              <w:rPr>
                <w:rFonts w:ascii="Arial" w:hAnsi="Arial"/>
                <w:sz w:val="18"/>
              </w:rPr>
              <w:t>Board-approved Climate Policy + Sectoral Credit Policies</w:t>
            </w:r>
          </w:p>
        </w:tc>
      </w:tr>
    </w:tbl>
    <w:p>
      <w:r>
        <w:rPr>
          <w:rFonts w:ascii="Arial" w:hAnsi="Arial"/>
          <w:i/>
          <w:sz w:val="16"/>
        </w:rPr>
        <w:t>Source: Source: BRI Sustainability Report 2023, BCA Sustainability Report 2025, DBS Sustainability Report 2023, Bank Mandiri Sustainability Report 2023. All peer banks are PCAF members with established financed emissions measurement.</w:t>
      </w:r>
    </w:p>
    <w:p/>
    <w:p>
      <w:r>
        <w:rPr>
          <w:rFonts w:ascii="Arial" w:hAnsi="Arial"/>
          <w:b/>
          <w:sz w:val="20"/>
        </w:rPr>
        <w:t>Table 3.1.3: Recommended ESG KPIs for Executive Remuneration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KPI Category</w:t>
            </w:r>
          </w:p>
        </w:tc>
        <w:tc>
          <w:tcPr>
            <w:tcW w:type="dxa" w:w="1806"/>
            <w:shd w:fill="1B3A6B" w:val="clear"/>
          </w:tcPr>
          <w:p>
            <w:r>
              <w:rPr>
                <w:rFonts w:ascii="Arial" w:hAnsi="Arial"/>
                <w:b/>
                <w:color w:val="FFFFFF"/>
                <w:sz w:val="18"/>
              </w:rPr>
              <w:t>Specific Metric</w:t>
            </w:r>
          </w:p>
        </w:tc>
        <w:tc>
          <w:tcPr>
            <w:tcW w:type="dxa" w:w="1806"/>
            <w:shd w:fill="1B3A6B" w:val="clear"/>
          </w:tcPr>
          <w:p>
            <w:r>
              <w:rPr>
                <w:rFonts w:ascii="Arial" w:hAnsi="Arial"/>
                <w:b/>
                <w:color w:val="FFFFFF"/>
                <w:sz w:val="18"/>
              </w:rPr>
              <w:t>Weight (%)</w:t>
            </w:r>
          </w:p>
        </w:tc>
        <w:tc>
          <w:tcPr>
            <w:tcW w:type="dxa" w:w="1806"/>
            <w:shd w:fill="1B3A6B" w:val="clear"/>
          </w:tcPr>
          <w:p>
            <w:r>
              <w:rPr>
                <w:rFonts w:ascii="Arial" w:hAnsi="Arial"/>
                <w:b/>
                <w:color w:val="FFFFFF"/>
                <w:sz w:val="18"/>
              </w:rPr>
              <w:t>Measurement Frequency</w:t>
            </w:r>
          </w:p>
        </w:tc>
        <w:tc>
          <w:tcPr>
            <w:tcW w:type="dxa" w:w="1806"/>
            <w:shd w:fill="1B3A6B" w:val="clear"/>
          </w:tcPr>
          <w:p>
            <w:r>
              <w:rPr>
                <w:rFonts w:ascii="Arial" w:hAnsi="Arial"/>
                <w:b/>
                <w:color w:val="FFFFFF"/>
                <w:sz w:val="18"/>
              </w:rPr>
              <w:t>Peer Reference</w:t>
            </w:r>
          </w:p>
        </w:tc>
      </w:tr>
      <w:tr>
        <w:tc>
          <w:tcPr>
            <w:tcW w:type="dxa" w:w="1806"/>
          </w:tcPr>
          <w:p>
            <w:r>
              <w:rPr>
                <w:rFonts w:ascii="Arial" w:hAnsi="Arial"/>
                <w:sz w:val="18"/>
              </w:rPr>
              <w:t>Operational Emissions</w:t>
            </w:r>
          </w:p>
        </w:tc>
        <w:tc>
          <w:tcPr>
            <w:tcW w:type="dxa" w:w="1806"/>
          </w:tcPr>
          <w:p>
            <w:r>
              <w:rPr>
                <w:rFonts w:ascii="Arial" w:hAnsi="Arial"/>
                <w:sz w:val="18"/>
              </w:rPr>
              <w:t>Absolute Scope 1+2 tCO₂e reduction vs. baseline</w:t>
            </w:r>
          </w:p>
        </w:tc>
        <w:tc>
          <w:tcPr>
            <w:tcW w:type="dxa" w:w="1806"/>
          </w:tcPr>
          <w:p>
            <w:pPr>
              <w:jc w:val="right"/>
            </w:pPr>
            <w:r>
              <w:rPr>
                <w:rFonts w:ascii="Arial" w:hAnsi="Arial"/>
                <w:sz w:val="18"/>
              </w:rPr>
              <w:t>5%</w:t>
            </w:r>
          </w:p>
        </w:tc>
        <w:tc>
          <w:tcPr>
            <w:tcW w:type="dxa" w:w="1806"/>
          </w:tcPr>
          <w:p>
            <w:r>
              <w:rPr>
                <w:rFonts w:ascii="Arial" w:hAnsi="Arial"/>
                <w:sz w:val="18"/>
              </w:rPr>
              <w:t>Annual</w:t>
            </w:r>
          </w:p>
        </w:tc>
        <w:tc>
          <w:tcPr>
            <w:tcW w:type="dxa" w:w="1806"/>
          </w:tcPr>
          <w:p>
            <w:r>
              <w:rPr>
                <w:rFonts w:ascii="Arial" w:hAnsi="Arial"/>
                <w:sz w:val="18"/>
              </w:rPr>
              <w:t>DBS: 12% YoY reduction achieved</w:t>
            </w:r>
          </w:p>
        </w:tc>
      </w:tr>
      <w:tr>
        <w:tc>
          <w:tcPr>
            <w:tcW w:type="dxa" w:w="1806"/>
            <w:shd w:fill="F2F6FC" w:val="clear"/>
          </w:tcPr>
          <w:p>
            <w:r>
              <w:rPr>
                <w:rFonts w:ascii="Arial" w:hAnsi="Arial"/>
                <w:sz w:val="18"/>
              </w:rPr>
              <w:t>Financed Emissions</w:t>
            </w:r>
          </w:p>
        </w:tc>
        <w:tc>
          <w:tcPr>
            <w:tcW w:type="dxa" w:w="1806"/>
            <w:shd w:fill="F2F6FC" w:val="clear"/>
          </w:tcPr>
          <w:p>
            <w:r>
              <w:rPr>
                <w:rFonts w:ascii="Arial" w:hAnsi="Arial"/>
                <w:sz w:val="18"/>
              </w:rPr>
              <w:t>Financed emissions intensity reduction (tCO₂e/IDR billion) for priority sectors</w:t>
            </w:r>
          </w:p>
        </w:tc>
        <w:tc>
          <w:tcPr>
            <w:tcW w:type="dxa" w:w="1806"/>
            <w:shd w:fill="F2F6FC" w:val="clear"/>
          </w:tcPr>
          <w:p>
            <w:pPr>
              <w:jc w:val="right"/>
            </w:pPr>
            <w:r>
              <w:rPr>
                <w:rFonts w:ascii="Arial" w:hAnsi="Arial"/>
                <w:sz w:val="18"/>
              </w:rPr>
              <w:t>5%</w:t>
            </w:r>
          </w:p>
        </w:tc>
        <w:tc>
          <w:tcPr>
            <w:tcW w:type="dxa" w:w="1806"/>
            <w:shd w:fill="F2F6FC" w:val="clear"/>
          </w:tcPr>
          <w:p>
            <w:r>
              <w:rPr>
                <w:rFonts w:ascii="Arial" w:hAnsi="Arial"/>
                <w:sz w:val="18"/>
              </w:rPr>
              <w:t>Annual</w:t>
            </w:r>
          </w:p>
        </w:tc>
        <w:tc>
          <w:tcPr>
            <w:tcW w:type="dxa" w:w="1806"/>
            <w:shd w:fill="F2F6FC" w:val="clear"/>
          </w:tcPr>
          <w:p>
            <w:r>
              <w:rPr>
                <w:rFonts w:ascii="Arial" w:hAnsi="Arial"/>
                <w:sz w:val="18"/>
              </w:rPr>
              <w:t>BRI: SBTi commitment, 1.75°C portfolio target by 2040</w:t>
            </w:r>
          </w:p>
        </w:tc>
      </w:tr>
      <w:tr>
        <w:tc>
          <w:tcPr>
            <w:tcW w:type="dxa" w:w="1806"/>
          </w:tcPr>
          <w:p>
            <w:r>
              <w:rPr>
                <w:rFonts w:ascii="Arial" w:hAnsi="Arial"/>
                <w:sz w:val="18"/>
              </w:rPr>
              <w:t>Sustainable Finance</w:t>
            </w:r>
          </w:p>
        </w:tc>
        <w:tc>
          <w:tcPr>
            <w:tcW w:type="dxa" w:w="1806"/>
          </w:tcPr>
          <w:p>
            <w:r>
              <w:rPr>
                <w:rFonts w:ascii="Arial" w:hAnsi="Arial"/>
                <w:sz w:val="18"/>
              </w:rPr>
              <w:t>Sustainable finance portfolio as % of total lending</w:t>
            </w:r>
          </w:p>
        </w:tc>
        <w:tc>
          <w:tcPr>
            <w:tcW w:type="dxa" w:w="1806"/>
          </w:tcPr>
          <w:p>
            <w:pPr>
              <w:jc w:val="right"/>
            </w:pPr>
            <w:r>
              <w:rPr>
                <w:rFonts w:ascii="Arial" w:hAnsi="Arial"/>
                <w:sz w:val="18"/>
              </w:rPr>
              <w:t>5%</w:t>
            </w:r>
          </w:p>
        </w:tc>
        <w:tc>
          <w:tcPr>
            <w:tcW w:type="dxa" w:w="1806"/>
          </w:tcPr>
          <w:p>
            <w:r>
              <w:rPr>
                <w:rFonts w:ascii="Arial" w:hAnsi="Arial"/>
                <w:sz w:val="18"/>
              </w:rPr>
              <w:t>Semi-annual</w:t>
            </w:r>
          </w:p>
        </w:tc>
        <w:tc>
          <w:tcPr>
            <w:tcW w:type="dxa" w:w="1806"/>
          </w:tcPr>
          <w:p>
            <w:r>
              <w:rPr>
                <w:rFonts w:ascii="Arial" w:hAnsi="Arial"/>
                <w:sz w:val="18"/>
              </w:rPr>
              <w:t>BCA: Exceeds SFAP target, growing portfolio</w:t>
            </w:r>
          </w:p>
        </w:tc>
      </w:tr>
      <w:tr>
        <w:tc>
          <w:tcPr>
            <w:tcW w:type="dxa" w:w="1806"/>
            <w:shd w:fill="F2F6FC" w:val="clear"/>
          </w:tcPr>
          <w:p>
            <w:r>
              <w:rPr>
                <w:rFonts w:ascii="Arial" w:hAnsi="Arial"/>
                <w:sz w:val="18"/>
              </w:rPr>
              <w:t>Risk Management</w:t>
            </w:r>
          </w:p>
        </w:tc>
        <w:tc>
          <w:tcPr>
            <w:tcW w:type="dxa" w:w="1806"/>
            <w:shd w:fill="F2F6FC" w:val="clear"/>
          </w:tcPr>
          <w:p>
            <w:r>
              <w:rPr>
                <w:rFonts w:ascii="Arial" w:hAnsi="Arial"/>
                <w:sz w:val="18"/>
              </w:rPr>
              <w:t>ESRM screening coverage for new loans in high-risk sectors</w:t>
            </w:r>
          </w:p>
        </w:tc>
        <w:tc>
          <w:tcPr>
            <w:tcW w:type="dxa" w:w="1806"/>
            <w:shd w:fill="F2F6FC" w:val="clear"/>
          </w:tcPr>
          <w:p>
            <w:pPr>
              <w:jc w:val="right"/>
            </w:pPr>
            <w:r>
              <w:rPr>
                <w:rFonts w:ascii="Arial" w:hAnsi="Arial"/>
                <w:sz w:val="18"/>
              </w:rPr>
              <w:t>5%</w:t>
            </w:r>
          </w:p>
        </w:tc>
        <w:tc>
          <w:tcPr>
            <w:tcW w:type="dxa" w:w="1806"/>
            <w:shd w:fill="F2F6FC" w:val="clear"/>
          </w:tcPr>
          <w:p>
            <w:r>
              <w:rPr>
                <w:rFonts w:ascii="Arial" w:hAnsi="Arial"/>
                <w:sz w:val="18"/>
              </w:rPr>
              <w:t>Quarterly</w:t>
            </w:r>
          </w:p>
        </w:tc>
        <w:tc>
          <w:tcPr>
            <w:tcW w:type="dxa" w:w="1806"/>
            <w:shd w:fill="F2F6FC" w:val="clear"/>
          </w:tcPr>
          <w:p>
            <w:r>
              <w:rPr>
                <w:rFonts w:ascii="Arial" w:hAnsi="Arial"/>
                <w:sz w:val="18"/>
              </w:rPr>
              <w:t>BCA: Sectoral policies for coal, palm oil, cement, O&amp;G</w:t>
            </w:r>
          </w:p>
        </w:tc>
      </w:tr>
      <w:tr>
        <w:tc>
          <w:tcPr>
            <w:tcW w:type="dxa" w:w="1806"/>
          </w:tcPr>
          <w:p>
            <w:r>
              <w:rPr>
                <w:rFonts w:ascii="Arial" w:hAnsi="Arial"/>
                <w:sz w:val="18"/>
              </w:rPr>
              <w:t>Total ESG Weight</w:t>
            </w:r>
          </w:p>
        </w:tc>
        <w:tc>
          <w:tcPr>
            <w:tcW w:type="dxa" w:w="1806"/>
          </w:tcPr>
          <w:p>
            <w:r>
              <w:rPr>
                <w:rFonts w:ascii="Arial" w:hAnsi="Arial"/>
                <w:sz w:val="18"/>
              </w:rPr>
              <w:t>Combined sustainability performance</w:t>
            </w:r>
          </w:p>
        </w:tc>
        <w:tc>
          <w:tcPr>
            <w:tcW w:type="dxa" w:w="1806"/>
          </w:tcPr>
          <w:p>
            <w:pPr>
              <w:jc w:val="right"/>
            </w:pPr>
            <w:r>
              <w:rPr>
                <w:rFonts w:ascii="Arial" w:hAnsi="Arial"/>
                <w:sz w:val="18"/>
              </w:rPr>
              <w:t>20%</w:t>
            </w:r>
          </w:p>
        </w:tc>
        <w:tc>
          <w:tcPr>
            <w:tcW w:type="dxa" w:w="1806"/>
          </w:tcPr>
          <w:p>
            <w:r>
              <w:rPr>
                <w:rFonts w:ascii="Arial" w:hAnsi="Arial"/>
                <w:sz w:val="18"/>
              </w:rPr>
              <w:t>Annual</w:t>
            </w:r>
          </w:p>
        </w:tc>
        <w:tc>
          <w:tcPr>
            <w:tcW w:type="dxa" w:w="1806"/>
          </w:tcPr>
          <w:p>
            <w:r>
              <w:rPr>
                <w:rFonts w:ascii="Arial" w:hAnsi="Arial"/>
                <w:sz w:val="18"/>
              </w:rPr>
              <w:t>DBS: 20% weight model</w:t>
            </w:r>
          </w:p>
        </w:tc>
      </w:tr>
    </w:tbl>
    <w:p>
      <w:r>
        <w:rPr>
          <w:rFonts w:ascii="Arial" w:hAnsi="Arial"/>
          <w:i/>
          <w:sz w:val="16"/>
        </w:rPr>
        <w:t>Source: Weight allocation follows DBS Bank model. Metrics aligned with PCAF, SBTi, and OJK POJK 51/2017 requirements. Performance assessment requires independent data verification.</w:t>
      </w:r>
    </w:p>
    <w:p/>
    <w:p>
      <w:pPr>
        <w:spacing w:after="160" w:line="276" w:lineRule="auto"/>
        <w:jc w:val="both"/>
      </w:pPr>
      <w:r>
        <w:rPr>
          <w:rFonts w:ascii="Arial" w:hAnsi="Arial"/>
          <w:i/>
          <w:color w:val="646464"/>
          <w:sz w:val="18"/>
        </w:rPr>
        <w:t>[Chart: Framework Compliance Status: Climate Governance Requirements — matplotlib layer not installed]</w:t>
      </w:r>
    </w:p>
    <w:p>
      <w:pPr>
        <w:spacing w:after="160" w:line="276" w:lineRule="auto"/>
        <w:jc w:val="both"/>
      </w:pPr>
      <w:r>
        <w:rPr>
          <w:rFonts w:ascii="Arial" w:hAnsi="Arial"/>
          <w:i/>
          <w:color w:val="646464"/>
          <w:sz w:val="18"/>
        </w:rPr>
        <w:t>[Chart: Peer Governance Maturity Comparison (Indonesian Banking Sector) — matplotlib layer not installed]</w:t>
      </w:r>
    </w:p>
    <w:p>
      <w:pPr>
        <w:spacing w:after="160" w:line="276" w:lineRule="auto"/>
        <w:jc w:val="both"/>
      </w:pPr>
      <w:r>
        <w:rPr>
          <w:rFonts w:ascii="Arial" w:hAnsi="Arial"/>
          <w:i/>
          <w:color w:val="646464"/>
          <w:sz w:val="18"/>
        </w:rPr>
        <w:t>[Chart: Recommended Governance Implementation Timeline (18 Months) — matplotlib layer not installed]</w:t>
      </w:r>
    </w:p>
    <w:p/>
    <w:p>
      <w:r>
        <w:rPr>
          <w:b/>
          <w:color w:val="4A7AB5"/>
          <w:sz w:val="24"/>
        </w:rPr>
        <w:t>Diagnostic Analysis</w:t>
      </w:r>
    </w:p>
    <w:p>
      <w:pPr>
        <w:spacing w:after="160" w:line="276" w:lineRule="auto"/>
        <w:jc w:val="both"/>
      </w:pPr>
      <w:r>
        <w:rPr>
          <w:rFonts w:ascii="Arial" w:hAnsi="Arial"/>
          <w:sz w:val="22"/>
        </w:rPr>
        <w:t>The absence of climate governance infrastructure represents a foundational gap in ESG maturity. Without Board-level oversight, the institution cannot demonstrate accountability for climate strategy, target setting, or risk management to regulators (OJK), investors (IFRS S2 compliance), or rating agencies (CDP, MSCI). The governance gap also impedes operational effectiveness: no clear authority exists for approving sectoral credit policies, setting science-based targets, or integrating climate considerations into strategic decisions. Peer banks established these structures 3-4 years ago, creating a widening capability gap.</w:t>
      </w:r>
    </w:p>
    <w:p>
      <w:r>
        <w:rPr>
          <w:b/>
          <w:sz w:val="22"/>
        </w:rPr>
        <w:t>Root Causes:</w:t>
      </w:r>
    </w:p>
    <w:p>
      <w:pPr>
        <w:spacing w:after="160" w:line="276" w:lineRule="auto"/>
        <w:jc w:val="both"/>
      </w:pPr>
      <w:r>
        <w:rPr>
          <w:rFonts w:ascii="Arial" w:hAnsi="Arial"/>
          <w:sz w:val="22"/>
        </w:rPr>
        <w:t>• No formal Board mandate or committee charter for ESG oversight, unlike BRI (NOKEP 872-DIR/2022) or BCA (multiple BoD Decrees)</w:t>
      </w:r>
    </w:p>
    <w:p>
      <w:pPr>
        <w:spacing w:after="160" w:line="276" w:lineRule="auto"/>
        <w:jc w:val="both"/>
      </w:pPr>
      <w:r>
        <w:rPr>
          <w:rFonts w:ascii="Arial" w:hAnsi="Arial"/>
          <w:sz w:val="22"/>
        </w:rPr>
        <w:t>• Absence of dedicated C-suite ESG leadership role (Chief Sustainability Officer or equivalent) to coordinate cross-functional climate initiatives</w:t>
      </w:r>
    </w:p>
    <w:p>
      <w:pPr>
        <w:spacing w:after="160" w:line="276" w:lineRule="auto"/>
        <w:jc w:val="both"/>
      </w:pPr>
      <w:r>
        <w:rPr>
          <w:rFonts w:ascii="Arial" w:hAnsi="Arial"/>
          <w:sz w:val="22"/>
        </w:rPr>
        <w:t>• Executive compensation not linked to ESG performance, removing key accountability mechanism used by DBS (20% weight) and BCA (integrated KPIs)</w:t>
      </w:r>
    </w:p>
    <w:p>
      <w:pPr>
        <w:spacing w:after="160" w:line="276" w:lineRule="auto"/>
        <w:jc w:val="both"/>
      </w:pPr>
      <w:r>
        <w:rPr>
          <w:rFonts w:ascii="Arial" w:hAnsi="Arial"/>
          <w:sz w:val="22"/>
        </w:rPr>
        <w:t>• Climate risk not formally integrated into enterprise risk management framework, limiting Board visibility into material exposures</w:t>
      </w:r>
    </w:p>
    <w:p>
      <w:r>
        <w:rPr>
          <w:b/>
          <w:sz w:val="22"/>
        </w:rPr>
        <w:t>Risk Implications:</w:t>
      </w:r>
    </w:p>
    <w:p>
      <w:pPr>
        <w:spacing w:after="160" w:line="276" w:lineRule="auto"/>
        <w:jc w:val="both"/>
      </w:pPr>
      <w:r>
        <w:rPr>
          <w:rFonts w:ascii="Arial" w:hAnsi="Arial"/>
          <w:sz w:val="22"/>
        </w:rPr>
        <w:t>• Regulatory compliance risk: OJK POJK 51/2017 Article 8 mandates board-level sustainability governance; non-compliance may trigger supervisory action or reputational damage</w:t>
      </w:r>
    </w:p>
    <w:p>
      <w:pPr>
        <w:spacing w:after="160" w:line="276" w:lineRule="auto"/>
        <w:jc w:val="both"/>
      </w:pPr>
      <w:r>
        <w:rPr>
          <w:rFonts w:ascii="Arial" w:hAnsi="Arial"/>
          <w:sz w:val="22"/>
        </w:rPr>
        <w:t>• Investor access risk: IFRS S2 adoption by Indonesian listed companies creates disclosure expectations; governance gaps may limit access to ESG-focused capital or increase cost of capital</w:t>
      </w:r>
    </w:p>
    <w:p>
      <w:pPr>
        <w:spacing w:after="160" w:line="276" w:lineRule="auto"/>
        <w:jc w:val="both"/>
      </w:pPr>
      <w:r>
        <w:rPr>
          <w:rFonts w:ascii="Arial" w:hAnsi="Arial"/>
          <w:sz w:val="22"/>
        </w:rPr>
        <w:t>• Competitive disadvantage: Peers with established governance can respond faster to regulatory changes (e.g., OJK sectoral limits, carbon pricing) and capture sustainable finance opportunities (green bonds, sustainability-linked loans)</w:t>
      </w:r>
    </w:p>
    <w:p>
      <w:pPr>
        <w:spacing w:after="160" w:line="276" w:lineRule="auto"/>
        <w:jc w:val="both"/>
      </w:pPr>
      <w:r>
        <w:rPr>
          <w:rFonts w:ascii="Arial" w:hAnsi="Arial"/>
          <w:sz w:val="22"/>
        </w:rPr>
        <w:t>• Strategic execution risk: Without Board oversight and executive accountability, climate commitments (if made) lack credibility and implementation mechanisms, risking greenwashing accusations</w:t>
      </w:r>
    </w:p>
    <w:p/>
    <w:p>
      <w:r>
        <w:rPr>
          <w:b/>
          <w:color w:val="1B5E20"/>
          <w:sz w:val="24"/>
        </w:rPr>
        <w:t>⚡ Priority Actions</w:t>
      </w:r>
    </w:p>
    <w:p>
      <w:r>
        <w:rPr>
          <w:b/>
          <w:sz w:val="22"/>
        </w:rPr>
        <w:t>🔴 1. Establish Board Risk &amp; Sustainability Committee with approved terms of reference, minimum 3 members including 2 with climate expertise, quarterly meeting frequency, and authority over climate strategy approval and target setting</w:t>
      </w:r>
      <w:r>
        <w:rPr>
          <w:sz w:val="22"/>
        </w:rPr>
        <w:t xml:space="preserve"> (Q3 2025)</w:t>
      </w:r>
    </w:p>
    <w:p>
      <w:pPr>
        <w:spacing w:after="160" w:line="276" w:lineRule="auto"/>
        <w:jc w:val="both"/>
      </w:pPr>
      <w:r>
        <w:rPr>
          <w:rFonts w:ascii="Arial" w:hAnsi="Arial"/>
          <w:sz w:val="22"/>
        </w:rPr>
        <w:t xml:space="preserve">    → Expected: Achieves OJK POJK 51/2017 compliance, enables IFRS S2 governance disclosure, establishes accountability structure for climate commitments</w:t>
      </w:r>
    </w:p>
    <w:p>
      <w:pPr>
        <w:spacing w:after="160" w:line="276" w:lineRule="auto"/>
        <w:jc w:val="both"/>
      </w:pPr>
      <w:r>
        <w:rPr>
          <w:rFonts w:ascii="Arial" w:hAnsi="Arial"/>
          <w:i/>
          <w:color w:val="646464"/>
          <w:sz w:val="18"/>
        </w:rPr>
        <w:t xml:space="preserve">    → Ref: BRI established Risk Management &amp; ESG Committee in 2021 via NOKEP 872-DIR/2022 with quarterly review cadence, enabling SBTi commitment and comprehensive climate strategy</w:t>
      </w:r>
    </w:p>
    <w:p>
      <w:r>
        <w:rPr>
          <w:b/>
          <w:sz w:val="22"/>
        </w:rPr>
        <w:t>🔴 2. Appoint Chief Sustainability Officer reporting to President Director, with mandate for climate strategy, ESRM framework, sustainable finance portfolio development, and cross-functional ESG coordination</w:t>
      </w:r>
      <w:r>
        <w:rPr>
          <w:sz w:val="22"/>
        </w:rPr>
        <w:t xml:space="preserve"> (Q4 2025)</w:t>
      </w:r>
    </w:p>
    <w:p>
      <w:pPr>
        <w:spacing w:after="160" w:line="276" w:lineRule="auto"/>
        <w:jc w:val="both"/>
      </w:pPr>
      <w:r>
        <w:rPr>
          <w:rFonts w:ascii="Arial" w:hAnsi="Arial"/>
          <w:sz w:val="22"/>
        </w:rPr>
        <w:t xml:space="preserve">    → Expected: Centralizes ESG accountability, accelerates PCAF implementation, enables systematic client engagement on transition plans</w:t>
      </w:r>
    </w:p>
    <w:p>
      <w:pPr>
        <w:spacing w:after="160" w:line="276" w:lineRule="auto"/>
        <w:jc w:val="both"/>
      </w:pPr>
      <w:r>
        <w:rPr>
          <w:rFonts w:ascii="Arial" w:hAnsi="Arial"/>
          <w:i/>
          <w:color w:val="646464"/>
          <w:sz w:val="18"/>
        </w:rPr>
        <w:t xml:space="preserve">    → Ref: DBS Bank operates dedicated Chief Sustainability Officer role with Board Sustainability Committee oversight, achieving 62% renewable energy and 20% executive remuneration linkage to ESG</w:t>
      </w:r>
    </w:p>
    <w:p>
      <w:r>
        <w:rPr>
          <w:b/>
          <w:sz w:val="22"/>
        </w:rPr>
        <w:t>🔴 3. Link 15% of Board of Directors and senior management variable compensation to ESG KPIs: Scope 1+2 reduction (5%), financed emissions intensity (5%), sustainable finance growth (5%). Implement for FY2026 performance cycle with independent data verification.</w:t>
      </w:r>
      <w:r>
        <w:rPr>
          <w:sz w:val="22"/>
        </w:rPr>
        <w:t xml:space="preserve"> (Q1 2026)</w:t>
      </w:r>
    </w:p>
    <w:p>
      <w:pPr>
        <w:spacing w:after="160" w:line="276" w:lineRule="auto"/>
        <w:jc w:val="both"/>
      </w:pPr>
      <w:r>
        <w:rPr>
          <w:rFonts w:ascii="Arial" w:hAnsi="Arial"/>
          <w:sz w:val="22"/>
        </w:rPr>
        <w:t xml:space="preserve">    → Expected: Aligns executive incentives with climate goals, satisfies ESRS 2 GOV-3 requirement, demonstrates credible commitment to investors</w:t>
      </w:r>
    </w:p>
    <w:p>
      <w:pPr>
        <w:spacing w:after="160" w:line="276" w:lineRule="auto"/>
        <w:jc w:val="both"/>
      </w:pPr>
      <w:r>
        <w:rPr>
          <w:rFonts w:ascii="Arial" w:hAnsi="Arial"/>
          <w:i/>
          <w:color w:val="646464"/>
          <w:sz w:val="18"/>
        </w:rPr>
        <w:t xml:space="preserve">    → Ref: DBS Bank links 20% of executive remuneration to climate and sustainability metrics; BCA integrates ESG KPIs into Board and work unit performance with quarterly monitoring</w:t>
      </w:r>
    </w:p>
    <w:p>
      <w:r>
        <w:rPr>
          <w:b/>
          <w:sz w:val="22"/>
        </w:rPr>
        <w:t>🔴 4. Conduct Board climate competency assessment and implement annual 8-hour ESG training program covering TCFD/ISSB, PCAF, sectoral transition risks, OJK regulations, and fiduciary duty implications of climate risk</w:t>
      </w:r>
      <w:r>
        <w:rPr>
          <w:sz w:val="22"/>
        </w:rPr>
        <w:t xml:space="preserve"> (Q3 2025)</w:t>
      </w:r>
    </w:p>
    <w:p>
      <w:pPr>
        <w:spacing w:after="160" w:line="276" w:lineRule="auto"/>
        <w:jc w:val="both"/>
      </w:pPr>
      <w:r>
        <w:rPr>
          <w:rFonts w:ascii="Arial" w:hAnsi="Arial"/>
          <w:sz w:val="22"/>
        </w:rPr>
        <w:t xml:space="preserve">    → Expected: Builds Board capability to oversee climate strategy, satisfies IFRS S2 governance expertise expectation, reduces decision-making risk</w:t>
      </w:r>
    </w:p>
    <w:p>
      <w:pPr>
        <w:spacing w:after="160" w:line="276" w:lineRule="auto"/>
        <w:jc w:val="both"/>
      </w:pPr>
      <w:r>
        <w:rPr>
          <w:rFonts w:ascii="Arial" w:hAnsi="Arial"/>
          <w:i/>
          <w:color w:val="646464"/>
          <w:sz w:val="18"/>
        </w:rPr>
        <w:t xml:space="preserve">    → Ref: BCA conducts annual ESG refresher for Board of Directors and Board of Commissioners with collaboration from GRI, CDP, and OJK, ensuring up-to-date regulatory and framework knowledge</w:t>
      </w:r>
    </w:p>
    <w:p/>
    <w:p>
      <w:r>
        <w:rPr>
          <w:i/>
          <w:color w:val="3D6094"/>
          <w:sz w:val="18"/>
        </w:rPr>
        <w:t>Framework references: IFRS S2 Paragraph 5 — Governance body identification; IFRS S2 Paragraph 6 — Management's role in climate risk assessment; IFRS S2 Paragraph 7 — Integration of climate into strategy; GRI 2-12 — Role of highest governance body in overseeing impact management; GRI 2-13 — Delegation of responsibility for managing impacts; ESRS 2 GOV-3 — Integration of sustainability-related performance in incentive schemes; OJK POJK 51/2017 Article 8 — Sustainable finance governance requirements; OJK SEOJK 16/2021 — Implementation of sustainable finance for financial service institutions</w:t>
      </w:r>
    </w:p>
    <w:p>
      <w:pPr>
        <w:spacing w:after="80"/>
        <w:pBdr>
          <w:bottom w:val="single" w:sz="6" w:space="1" w:color="999999"/>
        </w:pBdr>
      </w:pPr>
    </w:p>
    <w:p>
      <w:pPr>
        <w:spacing w:after="160" w:line="276" w:lineRule="auto"/>
        <w:jc w:val="both"/>
      </w:pPr>
      <w:r>
        <w:rPr>
          <w:rFonts w:ascii="Arial" w:hAnsi="Arial"/>
          <w:i/>
          <w:color w:val="646464"/>
          <w:sz w:val="18"/>
        </w:rPr>
        <w:t>All governance data fields in DATA INPUT are NULL, indicating absence of formalized climate governance structures in current reporting system.</w:t>
      </w:r>
    </w:p>
    <w:p>
      <w:pPr>
        <w:spacing w:after="160" w:line="276" w:lineRule="auto"/>
        <w:jc w:val="both"/>
      </w:pPr>
      <w:r>
        <w:rPr>
          <w:rFonts w:ascii="Arial" w:hAnsi="Arial"/>
          <w:i/>
          <w:color w:val="646464"/>
          <w:sz w:val="18"/>
        </w:rPr>
        <w:t>Peer benchmark data sourced from publicly available sustainability reports: BRI (2023), BCA (2025), DBS (2023), Bank Mandiri (2023).</w:t>
      </w:r>
    </w:p>
    <w:p>
      <w:pPr>
        <w:spacing w:after="160" w:line="276" w:lineRule="auto"/>
        <w:jc w:val="both"/>
      </w:pPr>
      <w:r>
        <w:rPr>
          <w:rFonts w:ascii="Arial" w:hAnsi="Arial"/>
          <w:i/>
          <w:color w:val="646464"/>
          <w:sz w:val="18"/>
        </w:rPr>
        <w:t>OJK POJK 51/2017 requires financial institutions to implement sustainable finance action plans (SFAP) with board-level oversight and annual reporting to OJK.</w:t>
      </w:r>
    </w:p>
    <w:p>
      <w:pPr>
        <w:spacing w:after="160" w:line="276" w:lineRule="auto"/>
        <w:jc w:val="both"/>
      </w:pPr>
      <w:r>
        <w:rPr>
          <w:rFonts w:ascii="Arial" w:hAnsi="Arial"/>
          <w:i/>
          <w:color w:val="646464"/>
          <w:sz w:val="18"/>
        </w:rPr>
        <w:t>IFRS S2 becomes mandatory for Indonesian listed companies under CSRD timeline; early adoption recommended to align with international investor expectations.</w:t>
      </w:r>
    </w:p>
    <w:p>
      <w:pPr>
        <w:spacing w:after="160" w:line="276" w:lineRule="auto"/>
        <w:jc w:val="both"/>
      </w:pPr>
      <w:r>
        <w:rPr>
          <w:rFonts w:ascii="Arial" w:hAnsi="Arial"/>
          <w:i/>
          <w:color w:val="646464"/>
          <w:sz w:val="18"/>
        </w:rPr>
        <w:t>PCAF (Partnership for Carbon Accounting Financials) membership requires annual financed emissions disclosure with data quality scoring; all peer banks are members.</w:t>
      </w:r>
    </w:p>
    <w:p>
      <w:pPr>
        <w:spacing w:after="160" w:line="276" w:lineRule="auto"/>
        <w:jc w:val="both"/>
      </w:pPr>
      <w:r>
        <w:rPr>
          <w:rFonts w:ascii="Arial" w:hAnsi="Arial"/>
          <w:i/>
          <w:color w:val="646464"/>
          <w:sz w:val="18"/>
        </w:rPr>
        <w:t>Science-Based Targets initiative (SBTi) provides framework for setting portfolio decarbonization targets; BRI is first Indonesian financial institution to commit.</w:t>
      </w:r>
    </w:p>
    <w:p>
      <w:pPr>
        <w:spacing w:after="160" w:line="276" w:lineRule="auto"/>
        <w:jc w:val="both"/>
      </w:pPr>
      <w:r>
        <w:rPr>
          <w:rFonts w:ascii="Arial" w:hAnsi="Arial"/>
          <w:i/>
          <w:color w:val="646464"/>
          <w:sz w:val="18"/>
        </w:rPr>
        <w:t>Recommended implementation timeline assumes availability of internal resources and executive sponsorship; external advisory support may accelerate Phase 1-2 by 2-3 months.</w:t>
      </w:r>
    </w:p>
    <w:p>
      <w:pPr>
        <w:pStyle w:val="Heading2"/>
        <w:keepNext/>
        <w:spacing w:before="360" w:after="160"/>
      </w:pPr>
      <w:r>
        <w:rPr>
          <w:rFonts w:ascii="Arial" w:hAnsi="Arial"/>
          <w:b/>
          <w:color w:val="3D6094"/>
          <w:sz w:val="28"/>
        </w:rPr>
        <w:t>3.2 Climate Targets &amp; Transition Plan</w:t>
      </w:r>
    </w:p>
    <w:tbl>
      <w:tblPr>
        <w:tblW w:type="auto" w:w="0"/>
        <w:jc w:val="center"/>
        <w:tblLook w:firstColumn="1" w:firstRow="1" w:lastColumn="0" w:lastRow="0" w:noHBand="0" w:noVBand="1" w:val="04A0"/>
      </w:tblPr>
      <w:tblGrid>
        <w:gridCol w:w="2257"/>
        <w:gridCol w:w="2257"/>
        <w:gridCol w:w="2257"/>
        <w:gridCol w:w="2257"/>
      </w:tblGrid>
      <w:tr>
        <w:tc>
          <w:tcPr>
            <w:tcW w:type="dxa" w:w="2257"/>
          </w:tcPr>
          <w:p>
            <w:pPr>
              <w:jc w:val="center"/>
            </w:pPr>
            <w:r>
              <w:rPr>
                <w:b/>
                <w:color w:val="1B3A6B"/>
                <w:sz w:val="40"/>
              </w:rPr>
              <w:t>0</w:t>
            </w:r>
            <w:r>
              <w:rPr>
                <w:sz w:val="18"/>
              </w:rPr>
              <w:t xml:space="preserve"> targets set</w:t>
            </w:r>
            <w:r>
              <w:rPr>
                <w:b/>
                <w:color w:val="F44336"/>
                <w:sz w:val="20"/>
              </w:rPr>
              <w:br/>
              <w:t>Critical gap vs peers</w:t>
            </w:r>
          </w:p>
        </w:tc>
        <w:tc>
          <w:tcPr>
            <w:tcW w:type="dxa" w:w="2257"/>
          </w:tcPr>
          <w:p>
            <w:pPr>
              <w:jc w:val="center"/>
            </w:pPr>
            <w:r>
              <w:rPr>
                <w:b/>
                <w:color w:val="1B3A6B"/>
                <w:sz w:val="40"/>
              </w:rPr>
              <w:t>Not Submitted</w:t>
            </w:r>
            <w:r>
              <w:rPr>
                <w:sz w:val="18"/>
              </w:rPr>
              <w:t xml:space="preserve"> status</w:t>
            </w:r>
            <w:r>
              <w:rPr>
                <w:b/>
                <w:color w:val="F44336"/>
                <w:sz w:val="20"/>
              </w:rPr>
              <w:br/>
              <w:t>BRI submitted 2023</w:t>
            </w:r>
          </w:p>
        </w:tc>
        <w:tc>
          <w:tcPr>
            <w:tcW w:type="dxa" w:w="2257"/>
          </w:tcPr>
          <w:p>
            <w:pPr>
              <w:jc w:val="center"/>
            </w:pPr>
            <w:r>
              <w:rPr>
                <w:b/>
                <w:color w:val="1B3A6B"/>
                <w:sz w:val="40"/>
              </w:rPr>
              <w:t>0</w:t>
            </w:r>
            <w:r>
              <w:rPr>
                <w:sz w:val="18"/>
              </w:rPr>
              <w:t xml:space="preserve"> %</w:t>
            </w:r>
            <w:r>
              <w:rPr>
                <w:b/>
                <w:color w:val="F44336"/>
                <w:sz w:val="20"/>
              </w:rPr>
              <w:br/>
              <w:t>DBS: 62%</w:t>
            </w:r>
          </w:p>
        </w:tc>
        <w:tc>
          <w:tcPr>
            <w:tcW w:type="dxa" w:w="2257"/>
          </w:tcPr>
          <w:p>
            <w:pPr>
              <w:jc w:val="center"/>
            </w:pPr>
            <w:r>
              <w:rPr>
                <w:b/>
                <w:color w:val="1B3A6B"/>
                <w:sz w:val="40"/>
              </w:rPr>
              <w:t>Not Published</w:t>
            </w:r>
            <w:r>
              <w:rPr>
                <w:sz w:val="18"/>
              </w:rPr>
              <w:t xml:space="preserve"> status</w:t>
            </w:r>
            <w:r>
              <w:rPr>
                <w:b/>
                <w:color w:val="F44336"/>
                <w:sz w:val="20"/>
              </w:rPr>
              <w:br/>
              <w:t>IFRS S2 Para 14 gap</w:t>
            </w:r>
          </w:p>
        </w:tc>
      </w:tr>
      <w:tr>
        <w:tc>
          <w:tcPr>
            <w:tcW w:type="dxa" w:w="2257"/>
          </w:tcPr>
          <w:p>
            <w:pPr>
              <w:jc w:val="center"/>
            </w:pPr>
            <w:r>
              <w:rPr>
                <w:color w:val="646464"/>
                <w:sz w:val="18"/>
              </w:rPr>
              <w:t>Climate Target Status</w:t>
            </w:r>
          </w:p>
        </w:tc>
        <w:tc>
          <w:tcPr>
            <w:tcW w:type="dxa" w:w="2257"/>
          </w:tcPr>
          <w:p>
            <w:pPr>
              <w:jc w:val="center"/>
            </w:pPr>
            <w:r>
              <w:rPr>
                <w:color w:val="646464"/>
                <w:sz w:val="18"/>
              </w:rPr>
              <w:t>SBTi Commitment</w:t>
            </w:r>
          </w:p>
        </w:tc>
        <w:tc>
          <w:tcPr>
            <w:tcW w:type="dxa" w:w="2257"/>
          </w:tcPr>
          <w:p>
            <w:pPr>
              <w:jc w:val="center"/>
            </w:pPr>
            <w:r>
              <w:rPr>
                <w:color w:val="646464"/>
                <w:sz w:val="18"/>
              </w:rPr>
              <w:t>Renewable Energy</w:t>
            </w:r>
          </w:p>
        </w:tc>
        <w:tc>
          <w:tcPr>
            <w:tcW w:type="dxa" w:w="2257"/>
          </w:tcPr>
          <w:p>
            <w:pPr>
              <w:jc w:val="center"/>
            </w:pPr>
            <w:r>
              <w:rPr>
                <w:color w:val="646464"/>
                <w:sz w:val="18"/>
              </w:rPr>
              <w:t>Transition Plan</w:t>
            </w:r>
          </w:p>
        </w:tc>
      </w:tr>
    </w:tbl>
    <w:p/>
    <w:tbl>
      <w:tblPr>
        <w:tblW w:type="auto" w:w="0"/>
        <w:jc w:val="center"/>
        <w:tblLook w:firstColumn="1" w:firstRow="1" w:lastColumn="0" w:lastRow="0" w:noHBand="0" w:noVBand="1" w:val="04A0"/>
      </w:tblPr>
      <w:tblGrid>
        <w:gridCol w:w="9029"/>
      </w:tblGrid>
      <w:tr>
        <w:tc>
          <w:tcPr>
            <w:tcW w:type="dxa" w:w="9029"/>
            <w:shd w:fill="FFEBEE" w:val="clear"/>
          </w:tcPr>
          <w:p>
            <w:r>
              <w:rPr>
                <w:b/>
                <w:sz w:val="18"/>
              </w:rPr>
              <w:t>🚨 KEY INSIGHT</w:t>
            </w:r>
          </w:p>
          <w:p>
            <w:r>
              <w:rPr>
                <w:b/>
                <w:sz w:val="22"/>
              </w:rPr>
              <w:t>Zero climate targets while peers set SBTi pathways — critical 24-month gap to regulatory/investor baseline</w:t>
            </w:r>
          </w:p>
          <w:p>
            <w:r>
              <w:rPr>
                <w:sz w:val="20"/>
              </w:rPr>
              <w:t>The institution has no established GHG reduction targets or transition plan, creating material disclosure gaps across IFRS S2, GRI 305-5, ESRS E1-4, and OJK PSPK. BRI (first Indonesian FI with SBTi commitment) and DBS (62% renewable, 12% YoY reduction) demonstrate operational feasibility. Without 2025 action, the institution risks exclusion from sustainable finance instruments and ESG-screened portfolios by 2027.</w:t>
            </w:r>
          </w:p>
        </w:tc>
      </w:tr>
    </w:tbl>
    <w:p/>
    <w:p>
      <w:pPr>
        <w:spacing w:after="160" w:line="276" w:lineRule="auto"/>
        <w:jc w:val="both"/>
      </w:pPr>
      <w:r>
        <w:rPr>
          <w:rFonts w:ascii="Arial" w:hAnsi="Arial"/>
          <w:sz w:val="22"/>
        </w:rPr>
        <w:t>## Framework Requirements for Climate Target-Setting</w:t>
        <w:br/>
        <w:br/>
        <w:t>The institution currently does not have formally established greenhouse gas reduction targets or a published transition plan. This represents a material disclosure gap across multiple sustainability reporting frameworks. IFRS S2 Paragraph 33 requires entities to disclose quantitative and qualitative climate-related targets set by management, including metrics used to set targets and monitor progress. GRI 305-5 mandates disclosure of reduction targets in absolute terms (tCO₂e) and the base year from which reductions are measured. ESRS E1-4 requires disclosure of GHG emission reduction targets, including the target year, baseline year, and decarbonization levers to be deployed. OJK PSPK regulations require financial institutions to establish climate targets aligned with Indonesia's Nationally Determined Contributions (NDC) and demonstrate progress toward national climate goals.</w:t>
      </w:r>
    </w:p>
    <w:p>
      <w:pPr>
        <w:spacing w:after="160" w:line="276" w:lineRule="auto"/>
        <w:jc w:val="both"/>
      </w:pPr>
      <w:r>
        <w:rPr>
          <w:rFonts w:ascii="Arial" w:hAnsi="Arial"/>
          <w:sz w:val="22"/>
        </w:rPr>
        <w:t>## Why Climate Targets Are Foundational for Credibility</w:t>
        <w:br/>
        <w:br/>
        <w:t>The absence of science-based targets undermines the institution's climate credibility in three critical dimensions. First, regulatory compliance: OJK POJK 51/2017 and SEOJK 16/2021 require financial institutions to integrate climate risk into strategic planning, which necessitates measurable reduction commitments. Second, investor expectations: institutional investors increasingly screen for Science Based Targets initiative (SBTi) commitments as a minimum threshold for climate alignment, with 68% of global asset managers requiring portfolio companies to set validated targets by 2025. Third, competitive positioning: the institution's peer group has established clear leadership through target-setting, creating a widening disclosure gap that affects ESG ratings, cost of capital, and access to sustainable finance instruments.</w:t>
      </w:r>
    </w:p>
    <w:p>
      <w:pPr>
        <w:spacing w:after="160" w:line="276" w:lineRule="auto"/>
        <w:jc w:val="both"/>
      </w:pPr>
      <w:r>
        <w:rPr>
          <w:rFonts w:ascii="Arial" w:hAnsi="Arial"/>
          <w:sz w:val="22"/>
        </w:rPr>
        <w:t>## Peer Benchmark Analysis: Indonesian Banking Sector Leadership</w:t>
        <w:br/>
        <w:br/>
        <w:t>Bank Rakyat Indonesia (BRI) became the first Indonesian financial institution to submit a Science Based Targets initiative (SBTi) commitment letter in 2023, establishing a portfolio temperature alignment target of 1.75°C by 2040 from a 2023 baseline of 3.14°C. This represents an annual reduction trajectory of 0.0783°C per year across financed emissions (Scope 3 Category 15). DBS Group has committed to Net Zero by 2050 with SBTi-submitted targets, achieved 62% renewable energy procurement under RE100 membership, and implemented an internal carbon price of $15 per tCO₂e to drive operational efficiency. The bank achieved a 12% year-over-year reduction in Scope 1+2 emissions in 2023. Bank Central Asia (BCA) has published a Climate Change Strategy with sectoral credit policies covering coal, palm oil, cement, and oil &amp; gas, and reports exceeding its Sustainable Finance Action Plan (SFAP) targets. These peer institutions demonstrate that target-setting is not aspirational but operationally achievable within the Indonesian regulatory context.</w:t>
      </w:r>
    </w:p>
    <w:p>
      <w:pPr>
        <w:spacing w:after="160" w:line="276" w:lineRule="auto"/>
        <w:jc w:val="both"/>
      </w:pPr>
      <w:r>
        <w:rPr>
          <w:rFonts w:ascii="Arial" w:hAnsi="Arial"/>
          <w:sz w:val="22"/>
        </w:rPr>
        <w:t>## Recommended Target-Setting Roadmap (3-Year Implementation)</w:t>
        <w:br/>
        <w:br/>
        <w:t>**Year 1 (2025): Foundation &amp; Commitment**</w:t>
        <w:br/>
        <w:t>- Submit SBTi commitment letter (public declaration of intent to set science-based targets within 24 months)</w:t>
        <w:br/>
        <w:t>- Establish 2024 as the baseline year for all Scope 1, 2, and 3 Category 15 emissions</w:t>
        <w:br/>
        <w:t>- Conduct portfolio carbon footprint analysis using PCAF methodology (already implemented for 2024 data)</w:t>
        <w:br/>
        <w:t>- Engage Board of Directors to approve climate target-setting mandate and allocate budget</w:t>
        <w:br/>
        <w:br/>
        <w:t>**Year 2 (2026): Interim Target Development**</w:t>
        <w:br/>
        <w:t>- Set operational target: 30% reduction in Scope 1+2 emissions by 2030 vs 2024 baseline (48,016.873 tCO₂e → 33,611.8 tCO₂e)</w:t>
        <w:br/>
        <w:t>- Set financed emissions target: 25% reduction in portfolio emission intensity (tCO₂e per IDR billion) by 2030 vs 2024 baseline (239.400139 → 179.550104)</w:t>
        <w:br/>
        <w:t>- Develop sectoral decarbonization pathways for top 3 emitting sectors: Energy - Oil &amp; Gas (43.56% of financed emissions), Manufacturing - Cement (26.45%), and Manufacturing - Steel (15.92%)</w:t>
        <w:br/>
        <w:t>- Submit targets to SBTi for validation</w:t>
        <w:br/>
        <w:br/>
        <w:t>**Year 3 (2027): Transition Plan &amp; Scenario Analysis**</w:t>
        <w:br/>
        <w:t>- Publish comprehensive transition plan aligned with IFRS S2 Paragraph 14 requirements</w:t>
        <w:br/>
        <w:t>- Conduct climate scenario analysis (1.5°C, 2°C, 3°C pathways) for loan portfolio</w:t>
        <w:br/>
        <w:t>- Establish internal carbon price mechanism (recommended: $10-15 per tCO₂e based on DBS precedent)</w:t>
        <w:br/>
        <w:t>- Join Net-Zero Banking Alliance (NZBA) to formalize commitment and access peer learning networks</w:t>
      </w:r>
    </w:p>
    <w:p>
      <w:pPr>
        <w:spacing w:after="160" w:line="276" w:lineRule="auto"/>
        <w:jc w:val="both"/>
      </w:pPr>
      <w:r>
        <w:rPr>
          <w:rFonts w:ascii="Arial" w:hAnsi="Arial"/>
          <w:i/>
          <w:sz w:val="22"/>
        </w:rPr>
        <w:t>## Decarbonization Levers: Operational Emissions (Scope 1+2)</w:t>
        <w:br/>
        <w:br/>
        <w:t>**Own Operations — Quick Wins (0-12 months)**</w:t>
        <w:br/>
        <w:t>- **Diesel Reduction**: Diesel combustion accounts for 64.7% of Scope 1 emissions (2,203.2044 tCO₂e). Install solar photovoltaic systems with battery storage at the top 10 diesel-dependent facilities (FAC-0197, FAC-0198, FAC-0200, FAC-0196, FAC-0199, FAC-0193, FAC-0215, FAC-0191, FAC-0181, FAC-0208), which collectively represent 1,109.3798 tCO₂e or 50.4% of diesel emissions. Expected reduction: 40-60% of diesel consumption at these sites within 18 months. Peer reference: BRI's Green Network initiative achieved 19.49% electricity savings at BRILiaN Tower through solar integration.</w:t>
        <w:br/>
        <w:t>- **Auto-Shutdown Systems**: Deploy automated HVAC and lighting shutdown systems across all facilities during non-operational hours. Peer reference: BRI's Kaseya program reduced energy consumption by 7.1% year-over-year.</w:t>
        <w:br/>
        <w:t>- **LED Retrofit**: Complete LED conversion for all remaining non-LED lighting infrastructure. Estimated reduction: 15-20% of Scope 2 emissions from lighting load.</w:t>
        <w:br/>
        <w:br/>
        <w:t>**Own Operations — Structural Changes (12-36 months)**</w:t>
        <w:br/>
        <w:t>- **Renewable Energy Procurement**: Negotiate Power Purchase Agreements (PPAs) with renewable energy providers to achieve 30% renewable electricity by 2027 and 50% by 2030. Peer reference: DBS achieved 62% renewable energy through RE100 membership.</w:t>
        <w:br/>
        <w:t>- **Green Building Certification**: Pursue LEED or Green Building Council Indonesia (GBCI) certification for headquarters and regional offices. Peer reference: BRI's BRILiaN Tower achieved Gold GBCI certification.</w:t>
        <w:br/>
        <w:t>- **Fleet Electrification**: Convert 25% of corporate vehicle fleet to electric vehicles (EVs) by 2028. Peer reference: BRI operates 118 EV cars and 150 electric motorcycles.</w:t>
      </w:r>
    </w:p>
    <w:p>
      <w:pPr>
        <w:spacing w:after="160" w:line="276" w:lineRule="auto"/>
        <w:jc w:val="both"/>
      </w:pPr>
      <w:r>
        <w:rPr>
          <w:rFonts w:ascii="Arial" w:hAnsi="Arial"/>
          <w:i/>
          <w:sz w:val="22"/>
        </w:rPr>
        <w:t>## Decarbonization Levers: Financed Emissions (Scope 3 Category 15)</w:t>
        <w:br/>
        <w:br/>
        <w:t>**Value Chain Engagement — High-Impact Sectors**</w:t>
        <w:br/>
        <w:t>- **Energy - Oil &amp; Gas (43.56% of financed emissions)**: Engage top 20 borrowers (representing ~80% of sectoral emissions) to establish transition plans aligned with IEA Net Zero by 2050 scenario. Require annual disclosure of Scope 1+2 emissions and methane intensity metrics. Implement preferential pricing for borrowers with validated SBTi targets (50-100 basis point reduction in interest rates).</w:t>
        <w:br/>
        <w:t>- **Manufacturing - Cement (26.45% of financed emissions)**: Require borrowers to adopt alternative fuel strategies (biomass, waste-derived fuels) and disclose clinker-to-cement ratio. Set portfolio target: 30% reduction in emission intensity (tCO₂e per tonne cement) by 2030.</w:t>
        <w:br/>
        <w:t>- **Manufacturing - Steel (15.92% of financed emissions)**: Prioritize financing for electric arc furnace (EAF) technology over blast furnace operations. Establish sectoral credit policy requiring borrowers to disclose scrap steel utilization rates and energy intensity per tonne of crude steel.</w:t>
        <w:br/>
        <w:br/>
        <w:t>**Portfolio Alignment Strategy**</w:t>
        <w:br/>
        <w:t>- Establish exclusion criteria for new financing: no new coal-fired power plants, no thermal coal mining projects, no upstream oil &amp; gas exploration in ecologically sensitive areas (aligned with BCA's sectoral policies).</w:t>
        <w:br/>
        <w:t>- Set green finance target: 30% of new loan originations in low-carbon sectors (renewable energy, energy efficiency, sustainable transportation, green buildings) by 2027.</w:t>
        <w:br/>
        <w:t>- Implement PCAF Data Quality Score improvement roadmap: achieve average score of ≤3.0 by 2026 (current: 3.36) through enhanced borrower engagement and data collection protocols.</w:t>
      </w:r>
    </w:p>
    <w:p>
      <w:pPr>
        <w:spacing w:after="160" w:line="276" w:lineRule="auto"/>
        <w:jc w:val="both"/>
      </w:pPr>
      <w:r>
        <w:rPr>
          <w:rFonts w:ascii="Arial" w:hAnsi="Arial"/>
          <w:sz w:val="22"/>
        </w:rPr>
        <w:t>## Framework Cross-Reference: Compliance Status Assessment</w:t>
        <w:br/>
        <w:br/>
        <w:t>The table below maps current disclosure status against mandatory requirements across four primary sustainability reporting frameworks applicable to Indonesian financial institutions.</w:t>
      </w:r>
    </w:p>
    <w:p>
      <w:r>
        <w:rPr>
          <w:rFonts w:ascii="Arial" w:hAnsi="Arial"/>
          <w:b/>
          <w:sz w:val="20"/>
        </w:rPr>
        <w:t>Table 3.2.1: Framework Compliance Status — Climate Targets &amp; Transition Plan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A6B" w:val="clear"/>
          </w:tcPr>
          <w:p>
            <w:r>
              <w:rPr>
                <w:rFonts w:ascii="Arial" w:hAnsi="Arial"/>
                <w:b/>
                <w:color w:val="FFFFFF"/>
                <w:sz w:val="18"/>
              </w:rPr>
              <w:t>Framework</w:t>
            </w:r>
          </w:p>
        </w:tc>
        <w:tc>
          <w:tcPr>
            <w:tcW w:type="dxa" w:w="1806"/>
            <w:shd w:fill="1B3A6B" w:val="clear"/>
          </w:tcPr>
          <w:p>
            <w:r>
              <w:rPr>
                <w:rFonts w:ascii="Arial" w:hAnsi="Arial"/>
                <w:b/>
                <w:color w:val="FFFFFF"/>
                <w:sz w:val="18"/>
              </w:rPr>
              <w:t>Disclosure Reference</w:t>
            </w:r>
          </w:p>
        </w:tc>
        <w:tc>
          <w:tcPr>
            <w:tcW w:type="dxa" w:w="1806"/>
            <w:shd w:fill="1B3A6B" w:val="clear"/>
          </w:tcPr>
          <w:p>
            <w:r>
              <w:rPr>
                <w:rFonts w:ascii="Arial" w:hAnsi="Arial"/>
                <w:b/>
                <w:color w:val="FFFFFF"/>
                <w:sz w:val="18"/>
              </w:rPr>
              <w:t>Requirement</w:t>
            </w:r>
          </w:p>
        </w:tc>
        <w:tc>
          <w:tcPr>
            <w:tcW w:type="dxa" w:w="1806"/>
            <w:shd w:fill="1B3A6B" w:val="clear"/>
          </w:tcPr>
          <w:p>
            <w:r>
              <w:rPr>
                <w:rFonts w:ascii="Arial" w:hAnsi="Arial"/>
                <w:b/>
                <w:color w:val="FFFFFF"/>
                <w:sz w:val="18"/>
              </w:rPr>
              <w:t>Current Status</w:t>
            </w:r>
          </w:p>
        </w:tc>
        <w:tc>
          <w:tcPr>
            <w:tcW w:type="dxa" w:w="1806"/>
            <w:shd w:fill="1B3A6B" w:val="clear"/>
          </w:tcPr>
          <w:p>
            <w:r>
              <w:rPr>
                <w:rFonts w:ascii="Arial" w:hAnsi="Arial"/>
                <w:b/>
                <w:color w:val="FFFFFF"/>
                <w:sz w:val="18"/>
              </w:rPr>
              <w:t>Priority</w:t>
            </w:r>
          </w:p>
        </w:tc>
      </w:tr>
      <w:tr>
        <w:tc>
          <w:tcPr>
            <w:tcW w:type="dxa" w:w="1806"/>
          </w:tcPr>
          <w:p>
            <w:r>
              <w:rPr>
                <w:rFonts w:ascii="Arial" w:hAnsi="Arial"/>
                <w:sz w:val="18"/>
              </w:rPr>
              <w:t>IFRS S2</w:t>
            </w:r>
          </w:p>
        </w:tc>
        <w:tc>
          <w:tcPr>
            <w:tcW w:type="dxa" w:w="1806"/>
          </w:tcPr>
          <w:p>
            <w:r>
              <w:rPr>
                <w:rFonts w:ascii="Arial" w:hAnsi="Arial"/>
                <w:sz w:val="18"/>
              </w:rPr>
              <w:t>Para 33</w:t>
            </w:r>
          </w:p>
        </w:tc>
        <w:tc>
          <w:tcPr>
            <w:tcW w:type="dxa" w:w="1806"/>
          </w:tcPr>
          <w:p>
            <w:r>
              <w:rPr>
                <w:rFonts w:ascii="Arial" w:hAnsi="Arial"/>
                <w:sz w:val="18"/>
              </w:rPr>
              <w:t>Quantitative and qualitative climate-related targets</w:t>
            </w:r>
          </w:p>
        </w:tc>
        <w:tc>
          <w:tcPr>
            <w:tcW w:type="dxa" w:w="1806"/>
          </w:tcPr>
          <w:p>
            <w:r>
              <w:rPr>
                <w:rFonts w:ascii="Arial" w:hAnsi="Arial"/>
                <w:sz w:val="18"/>
              </w:rPr>
              <w:t>⚠️ Gap — No targets established</w:t>
            </w:r>
          </w:p>
        </w:tc>
        <w:tc>
          <w:tcPr>
            <w:tcW w:type="dxa" w:w="1806"/>
          </w:tcPr>
          <w:p>
            <w:r>
              <w:rPr>
                <w:rFonts w:ascii="Arial" w:hAnsi="Arial"/>
                <w:sz w:val="18"/>
              </w:rPr>
              <w:t>Critical</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34</w:t>
            </w:r>
          </w:p>
        </w:tc>
        <w:tc>
          <w:tcPr>
            <w:tcW w:type="dxa" w:w="1806"/>
            <w:shd w:fill="F2F6FC" w:val="clear"/>
          </w:tcPr>
          <w:p>
            <w:r>
              <w:rPr>
                <w:rFonts w:ascii="Arial" w:hAnsi="Arial"/>
                <w:sz w:val="18"/>
              </w:rPr>
              <w:t>Metrics used to set targets and base period</w:t>
            </w:r>
          </w:p>
        </w:tc>
        <w:tc>
          <w:tcPr>
            <w:tcW w:type="dxa" w:w="1806"/>
            <w:shd w:fill="F2F6FC" w:val="clear"/>
          </w:tcPr>
          <w:p>
            <w:r>
              <w:rPr>
                <w:rFonts w:ascii="Arial" w:hAnsi="Arial"/>
                <w:sz w:val="18"/>
              </w:rPr>
              <w:t>⚠️ Gap — Baseline year not designated</w:t>
            </w:r>
          </w:p>
        </w:tc>
        <w:tc>
          <w:tcPr>
            <w:tcW w:type="dxa" w:w="1806"/>
            <w:shd w:fill="F2F6FC" w:val="clear"/>
          </w:tcPr>
          <w:p>
            <w:r>
              <w:rPr>
                <w:rFonts w:ascii="Arial" w:hAnsi="Arial"/>
                <w:sz w:val="18"/>
              </w:rPr>
              <w:t>Critical</w:t>
            </w:r>
          </w:p>
        </w:tc>
      </w:tr>
      <w:tr>
        <w:tc>
          <w:tcPr>
            <w:tcW w:type="dxa" w:w="1806"/>
          </w:tcPr>
          <w:p>
            <w:r>
              <w:rPr>
                <w:rFonts w:ascii="Arial" w:hAnsi="Arial"/>
                <w:sz w:val="18"/>
              </w:rPr>
              <w:t>IFRS S2</w:t>
            </w:r>
          </w:p>
        </w:tc>
        <w:tc>
          <w:tcPr>
            <w:tcW w:type="dxa" w:w="1806"/>
          </w:tcPr>
          <w:p>
            <w:r>
              <w:rPr>
                <w:rFonts w:ascii="Arial" w:hAnsi="Arial"/>
                <w:sz w:val="18"/>
              </w:rPr>
              <w:t>Para 35</w:t>
            </w:r>
          </w:p>
        </w:tc>
        <w:tc>
          <w:tcPr>
            <w:tcW w:type="dxa" w:w="1806"/>
          </w:tcPr>
          <w:p>
            <w:r>
              <w:rPr>
                <w:rFonts w:ascii="Arial" w:hAnsi="Arial"/>
                <w:sz w:val="18"/>
              </w:rPr>
              <w:t>Approach to setting and reviewing targets</w:t>
            </w:r>
          </w:p>
        </w:tc>
        <w:tc>
          <w:tcPr>
            <w:tcW w:type="dxa" w:w="1806"/>
          </w:tcPr>
          <w:p>
            <w:r>
              <w:rPr>
                <w:rFonts w:ascii="Arial" w:hAnsi="Arial"/>
                <w:sz w:val="18"/>
              </w:rPr>
              <w:t>⚠️ Gap — No methodology documented</w:t>
            </w:r>
          </w:p>
        </w:tc>
        <w:tc>
          <w:tcPr>
            <w:tcW w:type="dxa" w:w="1806"/>
          </w:tcPr>
          <w:p>
            <w:r>
              <w:rPr>
                <w:rFonts w:ascii="Arial" w:hAnsi="Arial"/>
                <w:sz w:val="18"/>
              </w:rPr>
              <w:t>High</w:t>
            </w:r>
          </w:p>
        </w:tc>
      </w:tr>
      <w:tr>
        <w:tc>
          <w:tcPr>
            <w:tcW w:type="dxa" w:w="1806"/>
            <w:shd w:fill="F2F6FC" w:val="clear"/>
          </w:tcPr>
          <w:p>
            <w:r>
              <w:rPr>
                <w:rFonts w:ascii="Arial" w:hAnsi="Arial"/>
                <w:sz w:val="18"/>
              </w:rPr>
              <w:t>IFRS S2</w:t>
            </w:r>
          </w:p>
        </w:tc>
        <w:tc>
          <w:tcPr>
            <w:tcW w:type="dxa" w:w="1806"/>
            <w:shd w:fill="F2F6FC" w:val="clear"/>
          </w:tcPr>
          <w:p>
            <w:r>
              <w:rPr>
                <w:rFonts w:ascii="Arial" w:hAnsi="Arial"/>
                <w:sz w:val="18"/>
              </w:rPr>
              <w:t>Para 36</w:t>
            </w:r>
          </w:p>
        </w:tc>
        <w:tc>
          <w:tcPr>
            <w:tcW w:type="dxa" w:w="1806"/>
            <w:shd w:fill="F2F6FC" w:val="clear"/>
          </w:tcPr>
          <w:p>
            <w:r>
              <w:rPr>
                <w:rFonts w:ascii="Arial" w:hAnsi="Arial"/>
                <w:sz w:val="18"/>
              </w:rPr>
              <w:t>Performance against targets over time</w:t>
            </w:r>
          </w:p>
        </w:tc>
        <w:tc>
          <w:tcPr>
            <w:tcW w:type="dxa" w:w="1806"/>
            <w:shd w:fill="F2F6FC" w:val="clear"/>
          </w:tcPr>
          <w:p>
            <w:r>
              <w:rPr>
                <w:rFonts w:ascii="Arial" w:hAnsi="Arial"/>
                <w:sz w:val="18"/>
              </w:rPr>
              <w:t>⚠️ Gap — No targets to track</w:t>
            </w:r>
          </w:p>
        </w:tc>
        <w:tc>
          <w:tcPr>
            <w:tcW w:type="dxa" w:w="1806"/>
            <w:shd w:fill="F2F6FC" w:val="clear"/>
          </w:tcPr>
          <w:p>
            <w:r>
              <w:rPr>
                <w:rFonts w:ascii="Arial" w:hAnsi="Arial"/>
                <w:sz w:val="18"/>
              </w:rPr>
              <w:t>High</w:t>
            </w:r>
          </w:p>
        </w:tc>
      </w:tr>
      <w:tr>
        <w:tc>
          <w:tcPr>
            <w:tcW w:type="dxa" w:w="1806"/>
          </w:tcPr>
          <w:p>
            <w:r>
              <w:rPr>
                <w:rFonts w:ascii="Arial" w:hAnsi="Arial"/>
                <w:sz w:val="18"/>
              </w:rPr>
              <w:t>IFRS S2</w:t>
            </w:r>
          </w:p>
        </w:tc>
        <w:tc>
          <w:tcPr>
            <w:tcW w:type="dxa" w:w="1806"/>
          </w:tcPr>
          <w:p>
            <w:r>
              <w:rPr>
                <w:rFonts w:ascii="Arial" w:hAnsi="Arial"/>
                <w:sz w:val="18"/>
              </w:rPr>
              <w:t>Para 14</w:t>
            </w:r>
          </w:p>
        </w:tc>
        <w:tc>
          <w:tcPr>
            <w:tcW w:type="dxa" w:w="1806"/>
          </w:tcPr>
          <w:p>
            <w:r>
              <w:rPr>
                <w:rFonts w:ascii="Arial" w:hAnsi="Arial"/>
                <w:sz w:val="18"/>
              </w:rPr>
              <w:t>Climate-related transition plan</w:t>
            </w:r>
          </w:p>
        </w:tc>
        <w:tc>
          <w:tcPr>
            <w:tcW w:type="dxa" w:w="1806"/>
          </w:tcPr>
          <w:p>
            <w:r>
              <w:rPr>
                <w:rFonts w:ascii="Arial" w:hAnsi="Arial"/>
                <w:sz w:val="18"/>
              </w:rPr>
              <w:t>⚠️ Gap — No transition plan published</w:t>
            </w:r>
          </w:p>
        </w:tc>
        <w:tc>
          <w:tcPr>
            <w:tcW w:type="dxa" w:w="1806"/>
          </w:tcPr>
          <w:p>
            <w:r>
              <w:rPr>
                <w:rFonts w:ascii="Arial" w:hAnsi="Arial"/>
                <w:sz w:val="18"/>
              </w:rPr>
              <w:t>Critical</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305-5a</w:t>
            </w:r>
          </w:p>
        </w:tc>
        <w:tc>
          <w:tcPr>
            <w:tcW w:type="dxa" w:w="1806"/>
            <w:shd w:fill="F2F6FC" w:val="clear"/>
          </w:tcPr>
          <w:p>
            <w:r>
              <w:rPr>
                <w:rFonts w:ascii="Arial" w:hAnsi="Arial"/>
                <w:sz w:val="18"/>
              </w:rPr>
              <w:t>Reduction of GHG emissions (tCO₂e)</w:t>
            </w:r>
          </w:p>
        </w:tc>
        <w:tc>
          <w:tcPr>
            <w:tcW w:type="dxa" w:w="1806"/>
            <w:shd w:fill="F2F6FC" w:val="clear"/>
          </w:tcPr>
          <w:p>
            <w:r>
              <w:rPr>
                <w:rFonts w:ascii="Arial" w:hAnsi="Arial"/>
                <w:sz w:val="18"/>
              </w:rPr>
              <w:t>⚠️ Partial — YoY data available but no target</w:t>
            </w:r>
          </w:p>
        </w:tc>
        <w:tc>
          <w:tcPr>
            <w:tcW w:type="dxa" w:w="1806"/>
            <w:shd w:fill="F2F6FC" w:val="clear"/>
          </w:tcPr>
          <w:p>
            <w:r>
              <w:rPr>
                <w:rFonts w:ascii="Arial" w:hAnsi="Arial"/>
                <w:sz w:val="18"/>
              </w:rPr>
              <w:t>High</w:t>
            </w:r>
          </w:p>
        </w:tc>
      </w:tr>
      <w:tr>
        <w:tc>
          <w:tcPr>
            <w:tcW w:type="dxa" w:w="1806"/>
          </w:tcPr>
          <w:p>
            <w:r>
              <w:rPr>
                <w:rFonts w:ascii="Arial" w:hAnsi="Arial"/>
                <w:sz w:val="18"/>
              </w:rPr>
              <w:t>GRI 305-5</w:t>
            </w:r>
          </w:p>
        </w:tc>
        <w:tc>
          <w:tcPr>
            <w:tcW w:type="dxa" w:w="1806"/>
          </w:tcPr>
          <w:p>
            <w:r>
              <w:rPr>
                <w:rFonts w:ascii="Arial" w:hAnsi="Arial"/>
                <w:sz w:val="18"/>
              </w:rPr>
              <w:t>305-5b</w:t>
            </w:r>
          </w:p>
        </w:tc>
        <w:tc>
          <w:tcPr>
            <w:tcW w:type="dxa" w:w="1806"/>
          </w:tcPr>
          <w:p>
            <w:r>
              <w:rPr>
                <w:rFonts w:ascii="Arial" w:hAnsi="Arial"/>
                <w:sz w:val="18"/>
              </w:rPr>
              <w:t>Gases included in calculation</w:t>
            </w:r>
          </w:p>
        </w:tc>
        <w:tc>
          <w:tcPr>
            <w:tcW w:type="dxa" w:w="1806"/>
          </w:tcPr>
          <w:p>
            <w:r>
              <w:rPr>
                <w:rFonts w:ascii="Arial" w:hAnsi="Arial"/>
                <w:sz w:val="18"/>
              </w:rPr>
              <w:t>✅ Met — CO₂, CH₄, N₂O per IPCC</w:t>
            </w:r>
          </w:p>
        </w:tc>
        <w:tc>
          <w:tcPr>
            <w:tcW w:type="dxa" w:w="1806"/>
          </w:tcPr>
          <w:p>
            <w:r>
              <w:rPr>
                <w:rFonts w:ascii="Arial" w:hAnsi="Arial"/>
                <w:sz w:val="18"/>
              </w:rPr>
              <w:t>—</w:t>
            </w:r>
          </w:p>
        </w:tc>
      </w:tr>
      <w:tr>
        <w:tc>
          <w:tcPr>
            <w:tcW w:type="dxa" w:w="1806"/>
            <w:shd w:fill="F2F6FC" w:val="clear"/>
          </w:tcPr>
          <w:p>
            <w:r>
              <w:rPr>
                <w:rFonts w:ascii="Arial" w:hAnsi="Arial"/>
                <w:sz w:val="18"/>
              </w:rPr>
              <w:t>GRI 305-5</w:t>
            </w:r>
          </w:p>
        </w:tc>
        <w:tc>
          <w:tcPr>
            <w:tcW w:type="dxa" w:w="1806"/>
            <w:shd w:fill="F2F6FC" w:val="clear"/>
          </w:tcPr>
          <w:p>
            <w:r>
              <w:rPr>
                <w:rFonts w:ascii="Arial" w:hAnsi="Arial"/>
                <w:sz w:val="18"/>
              </w:rPr>
              <w:t>305-5c</w:t>
            </w:r>
          </w:p>
        </w:tc>
        <w:tc>
          <w:tcPr>
            <w:tcW w:type="dxa" w:w="1806"/>
            <w:shd w:fill="F2F6FC" w:val="clear"/>
          </w:tcPr>
          <w:p>
            <w:r>
              <w:rPr>
                <w:rFonts w:ascii="Arial" w:hAnsi="Arial"/>
                <w:sz w:val="18"/>
              </w:rPr>
              <w:t>Base year and rationale</w:t>
            </w:r>
          </w:p>
        </w:tc>
        <w:tc>
          <w:tcPr>
            <w:tcW w:type="dxa" w:w="1806"/>
            <w:shd w:fill="F2F6FC" w:val="clear"/>
          </w:tcPr>
          <w:p>
            <w:r>
              <w:rPr>
                <w:rFonts w:ascii="Arial" w:hAnsi="Arial"/>
                <w:sz w:val="18"/>
              </w:rPr>
              <w:t>⚠️ Gap — No base year designated</w:t>
            </w:r>
          </w:p>
        </w:tc>
        <w:tc>
          <w:tcPr>
            <w:tcW w:type="dxa" w:w="1806"/>
            <w:shd w:fill="F2F6FC" w:val="clear"/>
          </w:tcPr>
          <w:p>
            <w:r>
              <w:rPr>
                <w:rFonts w:ascii="Arial" w:hAnsi="Arial"/>
                <w:sz w:val="18"/>
              </w:rPr>
              <w:t>Critical</w:t>
            </w:r>
          </w:p>
        </w:tc>
      </w:tr>
      <w:tr>
        <w:tc>
          <w:tcPr>
            <w:tcW w:type="dxa" w:w="1806"/>
          </w:tcPr>
          <w:p>
            <w:r>
              <w:rPr>
                <w:rFonts w:ascii="Arial" w:hAnsi="Arial"/>
                <w:sz w:val="18"/>
              </w:rPr>
              <w:t>ESRS E1</w:t>
            </w:r>
          </w:p>
        </w:tc>
        <w:tc>
          <w:tcPr>
            <w:tcW w:type="dxa" w:w="1806"/>
          </w:tcPr>
          <w:p>
            <w:r>
              <w:rPr>
                <w:rFonts w:ascii="Arial" w:hAnsi="Arial"/>
                <w:sz w:val="18"/>
              </w:rPr>
              <w:t>DR E1-4</w:t>
            </w:r>
          </w:p>
        </w:tc>
        <w:tc>
          <w:tcPr>
            <w:tcW w:type="dxa" w:w="1806"/>
          </w:tcPr>
          <w:p>
            <w:r>
              <w:rPr>
                <w:rFonts w:ascii="Arial" w:hAnsi="Arial"/>
                <w:sz w:val="18"/>
              </w:rPr>
              <w:t>GHG emission reduction targets</w:t>
            </w:r>
          </w:p>
        </w:tc>
        <w:tc>
          <w:tcPr>
            <w:tcW w:type="dxa" w:w="1806"/>
          </w:tcPr>
          <w:p>
            <w:r>
              <w:rPr>
                <w:rFonts w:ascii="Arial" w:hAnsi="Arial"/>
                <w:sz w:val="18"/>
              </w:rPr>
              <w:t>⚠️ Gap — No targets set</w:t>
            </w:r>
          </w:p>
        </w:tc>
        <w:tc>
          <w:tcPr>
            <w:tcW w:type="dxa" w:w="1806"/>
          </w:tcPr>
          <w:p>
            <w:r>
              <w:rPr>
                <w:rFonts w:ascii="Arial" w:hAnsi="Arial"/>
                <w:sz w:val="18"/>
              </w:rPr>
              <w:t>Critical</w:t>
            </w:r>
          </w:p>
        </w:tc>
      </w:tr>
      <w:tr>
        <w:tc>
          <w:tcPr>
            <w:tcW w:type="dxa" w:w="1806"/>
            <w:shd w:fill="F2F6FC" w:val="clear"/>
          </w:tcPr>
          <w:p>
            <w:r>
              <w:rPr>
                <w:rFonts w:ascii="Arial" w:hAnsi="Arial"/>
                <w:sz w:val="18"/>
              </w:rPr>
              <w:t>ESRS E1</w:t>
            </w:r>
          </w:p>
        </w:tc>
        <w:tc>
          <w:tcPr>
            <w:tcW w:type="dxa" w:w="1806"/>
            <w:shd w:fill="F2F6FC" w:val="clear"/>
          </w:tcPr>
          <w:p>
            <w:r>
              <w:rPr>
                <w:rFonts w:ascii="Arial" w:hAnsi="Arial"/>
                <w:sz w:val="18"/>
              </w:rPr>
              <w:t>DR E1-4</w:t>
            </w:r>
          </w:p>
        </w:tc>
        <w:tc>
          <w:tcPr>
            <w:tcW w:type="dxa" w:w="1806"/>
            <w:shd w:fill="F2F6FC" w:val="clear"/>
          </w:tcPr>
          <w:p>
            <w:r>
              <w:rPr>
                <w:rFonts w:ascii="Arial" w:hAnsi="Arial"/>
                <w:sz w:val="18"/>
              </w:rPr>
              <w:t>Decarbonization levers identified</w:t>
            </w:r>
          </w:p>
        </w:tc>
        <w:tc>
          <w:tcPr>
            <w:tcW w:type="dxa" w:w="1806"/>
            <w:shd w:fill="F2F6FC" w:val="clear"/>
          </w:tcPr>
          <w:p>
            <w:r>
              <w:rPr>
                <w:rFonts w:ascii="Arial" w:hAnsi="Arial"/>
                <w:sz w:val="18"/>
              </w:rPr>
              <w:t>⚠️ Gap — No formal lever analysis</w:t>
            </w:r>
          </w:p>
        </w:tc>
        <w:tc>
          <w:tcPr>
            <w:tcW w:type="dxa" w:w="1806"/>
            <w:shd w:fill="F2F6FC" w:val="clear"/>
          </w:tcPr>
          <w:p>
            <w:r>
              <w:rPr>
                <w:rFonts w:ascii="Arial" w:hAnsi="Arial"/>
                <w:sz w:val="18"/>
              </w:rPr>
              <w:t>High</w:t>
            </w:r>
          </w:p>
        </w:tc>
      </w:tr>
      <w:tr>
        <w:tc>
          <w:tcPr>
            <w:tcW w:type="dxa" w:w="1806"/>
          </w:tcPr>
          <w:p>
            <w:r>
              <w:rPr>
                <w:rFonts w:ascii="Arial" w:hAnsi="Arial"/>
                <w:sz w:val="18"/>
              </w:rPr>
              <w:t>ESRS E1</w:t>
            </w:r>
          </w:p>
        </w:tc>
        <w:tc>
          <w:tcPr>
            <w:tcW w:type="dxa" w:w="1806"/>
          </w:tcPr>
          <w:p>
            <w:r>
              <w:rPr>
                <w:rFonts w:ascii="Arial" w:hAnsi="Arial"/>
                <w:sz w:val="18"/>
              </w:rPr>
              <w:t>DR E1-4</w:t>
            </w:r>
          </w:p>
        </w:tc>
        <w:tc>
          <w:tcPr>
            <w:tcW w:type="dxa" w:w="1806"/>
          </w:tcPr>
          <w:p>
            <w:r>
              <w:rPr>
                <w:rFonts w:ascii="Arial" w:hAnsi="Arial"/>
                <w:sz w:val="18"/>
              </w:rPr>
              <w:t>Expected decarbonization effect quantified</w:t>
            </w:r>
          </w:p>
        </w:tc>
        <w:tc>
          <w:tcPr>
            <w:tcW w:type="dxa" w:w="1806"/>
          </w:tcPr>
          <w:p>
            <w:r>
              <w:rPr>
                <w:rFonts w:ascii="Arial" w:hAnsi="Arial"/>
                <w:sz w:val="18"/>
              </w:rPr>
              <w:t>⚠️ Gap — No quantification performed</w:t>
            </w:r>
          </w:p>
        </w:tc>
        <w:tc>
          <w:tcPr>
            <w:tcW w:type="dxa" w:w="1806"/>
          </w:tcPr>
          <w:p>
            <w:r>
              <w:rPr>
                <w:rFonts w:ascii="Arial" w:hAnsi="Arial"/>
                <w:sz w:val="18"/>
              </w:rPr>
              <w:t>High</w:t>
            </w:r>
          </w:p>
        </w:tc>
      </w:tr>
      <w:tr>
        <w:tc>
          <w:tcPr>
            <w:tcW w:type="dxa" w:w="1806"/>
            <w:shd w:fill="F2F6FC" w:val="clear"/>
          </w:tcPr>
          <w:p>
            <w:r>
              <w:rPr>
                <w:rFonts w:ascii="Arial" w:hAnsi="Arial"/>
                <w:sz w:val="18"/>
              </w:rPr>
              <w:t>OJK PSPK</w:t>
            </w:r>
          </w:p>
        </w:tc>
        <w:tc>
          <w:tcPr>
            <w:tcW w:type="dxa" w:w="1806"/>
            <w:shd w:fill="F2F6FC" w:val="clear"/>
          </w:tcPr>
          <w:p>
            <w:r>
              <w:rPr>
                <w:rFonts w:ascii="Arial" w:hAnsi="Arial"/>
                <w:sz w:val="18"/>
              </w:rPr>
              <w:t>Target Iklim</w:t>
            </w:r>
          </w:p>
        </w:tc>
        <w:tc>
          <w:tcPr>
            <w:tcW w:type="dxa" w:w="1806"/>
            <w:shd w:fill="F2F6FC" w:val="clear"/>
          </w:tcPr>
          <w:p>
            <w:r>
              <w:rPr>
                <w:rFonts w:ascii="Arial" w:hAnsi="Arial"/>
                <w:sz w:val="18"/>
              </w:rPr>
              <w:t>Climate targets aligned with national NDC</w:t>
            </w:r>
          </w:p>
        </w:tc>
        <w:tc>
          <w:tcPr>
            <w:tcW w:type="dxa" w:w="1806"/>
            <w:shd w:fill="F2F6FC" w:val="clear"/>
          </w:tcPr>
          <w:p>
            <w:r>
              <w:rPr>
                <w:rFonts w:ascii="Arial" w:hAnsi="Arial"/>
                <w:sz w:val="18"/>
              </w:rPr>
              <w:t>⚠️ Gap — No NDC alignment demonstrated</w:t>
            </w:r>
          </w:p>
        </w:tc>
        <w:tc>
          <w:tcPr>
            <w:tcW w:type="dxa" w:w="1806"/>
            <w:shd w:fill="F2F6FC" w:val="clear"/>
          </w:tcPr>
          <w:p>
            <w:r>
              <w:rPr>
                <w:rFonts w:ascii="Arial" w:hAnsi="Arial"/>
                <w:sz w:val="18"/>
              </w:rPr>
              <w:t>Critical</w:t>
            </w:r>
          </w:p>
        </w:tc>
      </w:tr>
      <w:tr>
        <w:tc>
          <w:tcPr>
            <w:tcW w:type="dxa" w:w="1806"/>
          </w:tcPr>
          <w:p>
            <w:r>
              <w:rPr>
                <w:rFonts w:ascii="Arial" w:hAnsi="Arial"/>
                <w:sz w:val="18"/>
              </w:rPr>
              <w:t>OJK PSPK</w:t>
            </w:r>
          </w:p>
        </w:tc>
        <w:tc>
          <w:tcPr>
            <w:tcW w:type="dxa" w:w="1806"/>
          </w:tcPr>
          <w:p>
            <w:r>
              <w:rPr>
                <w:rFonts w:ascii="Arial" w:hAnsi="Arial"/>
                <w:sz w:val="18"/>
              </w:rPr>
              <w:t>Rencana Transisi</w:t>
            </w:r>
          </w:p>
        </w:tc>
        <w:tc>
          <w:tcPr>
            <w:tcW w:type="dxa" w:w="1806"/>
          </w:tcPr>
          <w:p>
            <w:r>
              <w:rPr>
                <w:rFonts w:ascii="Arial" w:hAnsi="Arial"/>
                <w:sz w:val="18"/>
              </w:rPr>
              <w:t>Transition plan with implementation timeline</w:t>
            </w:r>
          </w:p>
        </w:tc>
        <w:tc>
          <w:tcPr>
            <w:tcW w:type="dxa" w:w="1806"/>
          </w:tcPr>
          <w:p>
            <w:r>
              <w:rPr>
                <w:rFonts w:ascii="Arial" w:hAnsi="Arial"/>
                <w:sz w:val="18"/>
              </w:rPr>
              <w:t>⚠️ Gap — No transition plan</w:t>
            </w:r>
          </w:p>
        </w:tc>
        <w:tc>
          <w:tcPr>
            <w:tcW w:type="dxa" w:w="1806"/>
          </w:tcPr>
          <w:p>
            <w:r>
              <w:rPr>
                <w:rFonts w:ascii="Arial" w:hAnsi="Arial"/>
                <w:sz w:val="18"/>
              </w:rPr>
              <w:t>Critical</w:t>
            </w:r>
          </w:p>
        </w:tc>
      </w:tr>
    </w:tbl>
    <w:p>
      <w:r>
        <w:rPr>
          <w:rFonts w:ascii="Arial" w:hAnsi="Arial"/>
          <w:i/>
          <w:sz w:val="16"/>
        </w:rPr>
        <w:t>Source: Status assessment based on 2024 reporting year data. Priority levels: Critical = regulatory/investor requirement; High = competitive disadvantage vs peers.</w:t>
      </w:r>
    </w:p>
    <w:p/>
    <w:p>
      <w:r>
        <w:rPr>
          <w:rFonts w:ascii="Arial" w:hAnsi="Arial"/>
          <w:b/>
          <w:sz w:val="20"/>
        </w:rPr>
        <w:t>Table 3.2.2: Peer Comparison — Climate Target Ambition (Indonesian Banking Sector)</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Institution</w:t>
            </w:r>
          </w:p>
        </w:tc>
        <w:tc>
          <w:tcPr>
            <w:tcW w:type="dxa" w:w="1505"/>
            <w:shd w:fill="1B3A6B" w:val="clear"/>
          </w:tcPr>
          <w:p>
            <w:r>
              <w:rPr>
                <w:rFonts w:ascii="Arial" w:hAnsi="Arial"/>
                <w:b/>
                <w:color w:val="FFFFFF"/>
                <w:sz w:val="18"/>
              </w:rPr>
              <w:t>SBTi Status</w:t>
            </w:r>
          </w:p>
        </w:tc>
        <w:tc>
          <w:tcPr>
            <w:tcW w:type="dxa" w:w="1505"/>
            <w:shd w:fill="1B3A6B" w:val="clear"/>
          </w:tcPr>
          <w:p>
            <w:r>
              <w:rPr>
                <w:rFonts w:ascii="Arial" w:hAnsi="Arial"/>
                <w:b/>
                <w:color w:val="FFFFFF"/>
                <w:sz w:val="18"/>
              </w:rPr>
              <w:t>Net Zero Target Year</w:t>
            </w:r>
          </w:p>
        </w:tc>
        <w:tc>
          <w:tcPr>
            <w:tcW w:type="dxa" w:w="1505"/>
            <w:shd w:fill="1B3A6B" w:val="clear"/>
          </w:tcPr>
          <w:p>
            <w:r>
              <w:rPr>
                <w:rFonts w:ascii="Arial" w:hAnsi="Arial"/>
                <w:b/>
                <w:color w:val="FFFFFF"/>
                <w:sz w:val="18"/>
              </w:rPr>
              <w:t>Operational Target (Scope 1+2)</w:t>
            </w:r>
          </w:p>
        </w:tc>
        <w:tc>
          <w:tcPr>
            <w:tcW w:type="dxa" w:w="1505"/>
            <w:shd w:fill="1B3A6B" w:val="clear"/>
          </w:tcPr>
          <w:p>
            <w:r>
              <w:rPr>
                <w:rFonts w:ascii="Arial" w:hAnsi="Arial"/>
                <w:b/>
                <w:color w:val="FFFFFF"/>
                <w:sz w:val="18"/>
              </w:rPr>
              <w:t>Financed Emissions Target</w:t>
            </w:r>
          </w:p>
        </w:tc>
        <w:tc>
          <w:tcPr>
            <w:tcW w:type="dxa" w:w="1505"/>
            <w:shd w:fill="1B3A6B" w:val="clear"/>
          </w:tcPr>
          <w:p>
            <w:r>
              <w:rPr>
                <w:rFonts w:ascii="Arial" w:hAnsi="Arial"/>
                <w:b/>
                <w:color w:val="FFFFFF"/>
                <w:sz w:val="18"/>
              </w:rPr>
              <w:t>Renewable Energy Commitment</w:t>
            </w:r>
          </w:p>
        </w:tc>
      </w:tr>
      <w:tr>
        <w:tc>
          <w:tcPr>
            <w:tcW w:type="dxa" w:w="1505"/>
          </w:tcPr>
          <w:p>
            <w:r>
              <w:rPr>
                <w:rFonts w:ascii="Arial" w:hAnsi="Arial"/>
                <w:sz w:val="18"/>
              </w:rPr>
              <w:t>Bank Rakyat Indonesia (BRI)</w:t>
            </w:r>
          </w:p>
        </w:tc>
        <w:tc>
          <w:tcPr>
            <w:tcW w:type="dxa" w:w="1505"/>
          </w:tcPr>
          <w:p>
            <w:r>
              <w:rPr>
                <w:rFonts w:ascii="Arial" w:hAnsi="Arial"/>
                <w:sz w:val="18"/>
              </w:rPr>
              <w:t>Committed (2023)</w:t>
            </w:r>
          </w:p>
        </w:tc>
        <w:tc>
          <w:tcPr>
            <w:tcW w:type="dxa" w:w="1505"/>
          </w:tcPr>
          <w:p>
            <w:pPr>
              <w:jc w:val="right"/>
            </w:pPr>
            <w:r>
              <w:rPr>
                <w:rFonts w:ascii="Arial" w:hAnsi="Arial"/>
                <w:sz w:val="18"/>
              </w:rPr>
              <w:t>2050</w:t>
            </w:r>
          </w:p>
        </w:tc>
        <w:tc>
          <w:tcPr>
            <w:tcW w:type="dxa" w:w="1505"/>
          </w:tcPr>
          <w:p>
            <w:r>
              <w:rPr>
                <w:rFonts w:ascii="Arial" w:hAnsi="Arial"/>
                <w:sz w:val="18"/>
              </w:rPr>
              <w:t>Operational efficiency program</w:t>
            </w:r>
          </w:p>
        </w:tc>
        <w:tc>
          <w:tcPr>
            <w:tcW w:type="dxa" w:w="1505"/>
          </w:tcPr>
          <w:p>
            <w:r>
              <w:rPr>
                <w:rFonts w:ascii="Arial" w:hAnsi="Arial"/>
                <w:sz w:val="18"/>
              </w:rPr>
              <w:t>Portfolio temp 1.75°C by 2040</w:t>
            </w:r>
          </w:p>
        </w:tc>
        <w:tc>
          <w:tcPr>
            <w:tcW w:type="dxa" w:w="1505"/>
          </w:tcPr>
          <w:p>
            <w:r>
              <w:rPr>
                <w:rFonts w:ascii="Arial" w:hAnsi="Arial"/>
                <w:sz w:val="18"/>
              </w:rPr>
              <w:t>Solar pilot program</w:t>
            </w:r>
          </w:p>
        </w:tc>
      </w:tr>
      <w:tr>
        <w:tc>
          <w:tcPr>
            <w:tcW w:type="dxa" w:w="1505"/>
            <w:shd w:fill="F2F6FC" w:val="clear"/>
          </w:tcPr>
          <w:p>
            <w:r>
              <w:rPr>
                <w:rFonts w:ascii="Arial" w:hAnsi="Arial"/>
                <w:sz w:val="18"/>
              </w:rPr>
              <w:t>DBS Group</w:t>
            </w:r>
          </w:p>
        </w:tc>
        <w:tc>
          <w:tcPr>
            <w:tcW w:type="dxa" w:w="1505"/>
            <w:shd w:fill="F2F6FC" w:val="clear"/>
          </w:tcPr>
          <w:p>
            <w:r>
              <w:rPr>
                <w:rFonts w:ascii="Arial" w:hAnsi="Arial"/>
                <w:sz w:val="18"/>
              </w:rPr>
              <w:t>Submitted</w:t>
            </w:r>
          </w:p>
        </w:tc>
        <w:tc>
          <w:tcPr>
            <w:tcW w:type="dxa" w:w="1505"/>
            <w:shd w:fill="F2F6FC" w:val="clear"/>
          </w:tcPr>
          <w:p>
            <w:pPr>
              <w:jc w:val="right"/>
            </w:pPr>
            <w:r>
              <w:rPr>
                <w:rFonts w:ascii="Arial" w:hAnsi="Arial"/>
                <w:sz w:val="18"/>
              </w:rPr>
              <w:t>2050</w:t>
            </w:r>
          </w:p>
        </w:tc>
        <w:tc>
          <w:tcPr>
            <w:tcW w:type="dxa" w:w="1505"/>
            <w:shd w:fill="F2F6FC" w:val="clear"/>
          </w:tcPr>
          <w:p>
            <w:r>
              <w:rPr>
                <w:rFonts w:ascii="Arial" w:hAnsi="Arial"/>
                <w:sz w:val="18"/>
              </w:rPr>
              <w:t>12% reduction achieved (2023)</w:t>
            </w:r>
          </w:p>
        </w:tc>
        <w:tc>
          <w:tcPr>
            <w:tcW w:type="dxa" w:w="1505"/>
            <w:shd w:fill="F2F6FC" w:val="clear"/>
          </w:tcPr>
          <w:p>
            <w:r>
              <w:rPr>
                <w:rFonts w:ascii="Arial" w:hAnsi="Arial"/>
                <w:sz w:val="18"/>
              </w:rPr>
              <w:t>Sectoral pathways (power, O&amp;G, steel)</w:t>
            </w:r>
          </w:p>
        </w:tc>
        <w:tc>
          <w:tcPr>
            <w:tcW w:type="dxa" w:w="1505"/>
            <w:shd w:fill="F2F6FC" w:val="clear"/>
          </w:tcPr>
          <w:p>
            <w:r>
              <w:rPr>
                <w:rFonts w:ascii="Arial" w:hAnsi="Arial"/>
                <w:sz w:val="18"/>
              </w:rPr>
              <w:t>62% renewable (RE100 member)</w:t>
            </w:r>
          </w:p>
        </w:tc>
      </w:tr>
      <w:tr>
        <w:tc>
          <w:tcPr>
            <w:tcW w:type="dxa" w:w="1505"/>
          </w:tcPr>
          <w:p>
            <w:r>
              <w:rPr>
                <w:rFonts w:ascii="Arial" w:hAnsi="Arial"/>
                <w:sz w:val="18"/>
              </w:rPr>
              <w:t>Bank Central Asia (BCA)</w:t>
            </w:r>
          </w:p>
        </w:tc>
        <w:tc>
          <w:tcPr>
            <w:tcW w:type="dxa" w:w="1505"/>
          </w:tcPr>
          <w:p>
            <w:r>
              <w:rPr>
                <w:rFonts w:ascii="Arial" w:hAnsi="Arial"/>
                <w:sz w:val="18"/>
              </w:rPr>
              <w:t>Developing</w:t>
            </w:r>
          </w:p>
        </w:tc>
        <w:tc>
          <w:tcPr>
            <w:tcW w:type="dxa" w:w="1505"/>
          </w:tcPr>
          <w:p>
            <w:r>
              <w:rPr>
                <w:rFonts w:ascii="Arial" w:hAnsi="Arial"/>
                <w:sz w:val="18"/>
              </w:rPr>
              <w:t>Net Zero aligned</w:t>
            </w:r>
          </w:p>
        </w:tc>
        <w:tc>
          <w:tcPr>
            <w:tcW w:type="dxa" w:w="1505"/>
          </w:tcPr>
          <w:p>
            <w:r>
              <w:rPr>
                <w:rFonts w:ascii="Arial" w:hAnsi="Arial"/>
                <w:sz w:val="18"/>
              </w:rPr>
              <w:t>Energy efficiency initiatives</w:t>
            </w:r>
          </w:p>
        </w:tc>
        <w:tc>
          <w:tcPr>
            <w:tcW w:type="dxa" w:w="1505"/>
          </w:tcPr>
          <w:p>
            <w:r>
              <w:rPr>
                <w:rFonts w:ascii="Arial" w:hAnsi="Arial"/>
                <w:sz w:val="18"/>
              </w:rPr>
              <w:t>SFAP target exceeded</w:t>
            </w:r>
          </w:p>
        </w:tc>
        <w:tc>
          <w:tcPr>
            <w:tcW w:type="dxa" w:w="1505"/>
          </w:tcPr>
          <w:p>
            <w:r>
              <w:rPr>
                <w:rFonts w:ascii="Arial" w:hAnsi="Arial"/>
                <w:sz w:val="18"/>
              </w:rPr>
              <w:t>Green office program</w:t>
            </w:r>
          </w:p>
        </w:tc>
      </w:tr>
      <w:tr>
        <w:tc>
          <w:tcPr>
            <w:tcW w:type="dxa" w:w="1505"/>
            <w:shd w:fill="F2F6FC" w:val="clear"/>
          </w:tcPr>
          <w:p>
            <w:r>
              <w:rPr>
                <w:rFonts w:ascii="Arial" w:hAnsi="Arial"/>
                <w:sz w:val="18"/>
              </w:rPr>
              <w:t>Bank Mandiri</w:t>
            </w:r>
          </w:p>
        </w:tc>
        <w:tc>
          <w:tcPr>
            <w:tcW w:type="dxa" w:w="1505"/>
            <w:shd w:fill="F2F6FC" w:val="clear"/>
          </w:tcPr>
          <w:p>
            <w:r>
              <w:rPr>
                <w:rFonts w:ascii="Arial" w:hAnsi="Arial"/>
                <w:sz w:val="18"/>
              </w:rPr>
              <w:t>Developing</w:t>
            </w:r>
          </w:p>
        </w:tc>
        <w:tc>
          <w:tcPr>
            <w:tcW w:type="dxa" w:w="1505"/>
            <w:shd w:fill="F2F6FC" w:val="clear"/>
          </w:tcPr>
          <w:p>
            <w:pPr>
              <w:jc w:val="right"/>
            </w:pPr>
            <w:r>
              <w:rPr>
                <w:rFonts w:ascii="Arial" w:hAnsi="Arial"/>
                <w:sz w:val="18"/>
              </w:rPr>
              <w:t>2060</w:t>
            </w:r>
          </w:p>
        </w:tc>
        <w:tc>
          <w:tcPr>
            <w:tcW w:type="dxa" w:w="1505"/>
            <w:shd w:fill="F2F6FC" w:val="clear"/>
          </w:tcPr>
          <w:p>
            <w:r>
              <w:rPr>
                <w:rFonts w:ascii="Arial" w:hAnsi="Arial"/>
                <w:sz w:val="18"/>
              </w:rPr>
              <w:t>5% annual reduction target</w:t>
            </w:r>
          </w:p>
        </w:tc>
        <w:tc>
          <w:tcPr>
            <w:tcW w:type="dxa" w:w="1505"/>
            <w:shd w:fill="F2F6FC" w:val="clear"/>
          </w:tcPr>
          <w:p>
            <w:r>
              <w:rPr>
                <w:rFonts w:ascii="Arial" w:hAnsi="Arial"/>
                <w:sz w:val="18"/>
              </w:rPr>
              <w:t>Coal phase-out pathway</w:t>
            </w:r>
          </w:p>
        </w:tc>
        <w:tc>
          <w:tcPr>
            <w:tcW w:type="dxa" w:w="1505"/>
            <w:shd w:fill="F2F6FC" w:val="clear"/>
          </w:tcPr>
          <w:p>
            <w:r>
              <w:rPr>
                <w:rFonts w:ascii="Arial" w:hAnsi="Arial"/>
                <w:sz w:val="18"/>
              </w:rPr>
              <w:t>Solar pilot program</w:t>
            </w:r>
          </w:p>
        </w:tc>
      </w:tr>
      <w:tr>
        <w:tc>
          <w:tcPr>
            <w:tcW w:type="dxa" w:w="1505"/>
          </w:tcPr>
          <w:p>
            <w:r>
              <w:rPr>
                <w:rFonts w:ascii="Arial" w:hAnsi="Arial"/>
                <w:sz w:val="18"/>
              </w:rPr>
              <w:t>Generic Financial Institution</w:t>
            </w:r>
          </w:p>
        </w:tc>
        <w:tc>
          <w:tcPr>
            <w:tcW w:type="dxa" w:w="1505"/>
          </w:tcPr>
          <w:p>
            <w:r>
              <w:rPr>
                <w:rFonts w:ascii="Arial" w:hAnsi="Arial"/>
                <w:sz w:val="18"/>
              </w:rPr>
              <w:t>⚠️ Not initiated</w:t>
            </w:r>
          </w:p>
        </w:tc>
        <w:tc>
          <w:tcPr>
            <w:tcW w:type="dxa" w:w="1505"/>
          </w:tcPr>
          <w:p>
            <w:r>
              <w:rPr>
                <w:rFonts w:ascii="Arial" w:hAnsi="Arial"/>
                <w:sz w:val="18"/>
              </w:rPr>
              <w:t>⚠️ Not set</w:t>
            </w:r>
          </w:p>
        </w:tc>
        <w:tc>
          <w:tcPr>
            <w:tcW w:type="dxa" w:w="1505"/>
          </w:tcPr>
          <w:p>
            <w:r>
              <w:rPr>
                <w:rFonts w:ascii="Arial" w:hAnsi="Arial"/>
                <w:sz w:val="18"/>
              </w:rPr>
              <w:t>⚠️ No target</w:t>
            </w:r>
          </w:p>
        </w:tc>
        <w:tc>
          <w:tcPr>
            <w:tcW w:type="dxa" w:w="1505"/>
          </w:tcPr>
          <w:p>
            <w:r>
              <w:rPr>
                <w:rFonts w:ascii="Arial" w:hAnsi="Arial"/>
                <w:sz w:val="18"/>
              </w:rPr>
              <w:t>⚠️ No target</w:t>
            </w:r>
          </w:p>
        </w:tc>
        <w:tc>
          <w:tcPr>
            <w:tcW w:type="dxa" w:w="1505"/>
          </w:tcPr>
          <w:p>
            <w:r>
              <w:rPr>
                <w:rFonts w:ascii="Arial" w:hAnsi="Arial"/>
                <w:sz w:val="18"/>
              </w:rPr>
              <w:t>⚠️ No commitment</w:t>
            </w:r>
          </w:p>
        </w:tc>
      </w:tr>
    </w:tbl>
    <w:p>
      <w:r>
        <w:rPr>
          <w:rFonts w:ascii="Arial" w:hAnsi="Arial"/>
          <w:i/>
          <w:sz w:val="16"/>
        </w:rPr>
        <w:t>Source: Data compiled from BRI Sustainability Report 2023, DBS Sustainability Report 2023, BCA Sustainability Report 2024, Bank Mandiri Sustainability Report 2023. Generic Financial Institution status reflects 2024 reporting year.</w:t>
      </w:r>
    </w:p>
    <w:p/>
    <w:p>
      <w:r>
        <w:rPr>
          <w:rFonts w:ascii="Arial" w:hAnsi="Arial"/>
          <w:b/>
          <w:sz w:val="20"/>
        </w:rPr>
        <w:t>Table 3.2.3: Recommended Target Framework (2025-2030)</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B3A6B" w:val="clear"/>
          </w:tcPr>
          <w:p>
            <w:r>
              <w:rPr>
                <w:rFonts w:ascii="Arial" w:hAnsi="Arial"/>
                <w:b/>
                <w:color w:val="FFFFFF"/>
                <w:sz w:val="18"/>
              </w:rPr>
              <w:t>Target Category</w:t>
            </w:r>
          </w:p>
        </w:tc>
        <w:tc>
          <w:tcPr>
            <w:tcW w:type="dxa" w:w="1505"/>
            <w:shd w:fill="1B3A6B" w:val="clear"/>
          </w:tcPr>
          <w:p>
            <w:r>
              <w:rPr>
                <w:rFonts w:ascii="Arial" w:hAnsi="Arial"/>
                <w:b/>
                <w:color w:val="FFFFFF"/>
                <w:sz w:val="18"/>
              </w:rPr>
              <w:t>Metric</w:t>
            </w:r>
          </w:p>
        </w:tc>
        <w:tc>
          <w:tcPr>
            <w:tcW w:type="dxa" w:w="1505"/>
            <w:shd w:fill="1B3A6B" w:val="clear"/>
          </w:tcPr>
          <w:p>
            <w:r>
              <w:rPr>
                <w:rFonts w:ascii="Arial" w:hAnsi="Arial"/>
                <w:b/>
                <w:color w:val="FFFFFF"/>
                <w:sz w:val="18"/>
              </w:rPr>
              <w:t>2024 Baseline</w:t>
            </w:r>
          </w:p>
        </w:tc>
        <w:tc>
          <w:tcPr>
            <w:tcW w:type="dxa" w:w="1505"/>
            <w:shd w:fill="1B3A6B" w:val="clear"/>
          </w:tcPr>
          <w:p>
            <w:r>
              <w:rPr>
                <w:rFonts w:ascii="Arial" w:hAnsi="Arial"/>
                <w:b/>
                <w:color w:val="FFFFFF"/>
                <w:sz w:val="18"/>
              </w:rPr>
              <w:t>2027 Interim Target</w:t>
            </w:r>
          </w:p>
        </w:tc>
        <w:tc>
          <w:tcPr>
            <w:tcW w:type="dxa" w:w="1505"/>
            <w:shd w:fill="1B3A6B" w:val="clear"/>
          </w:tcPr>
          <w:p>
            <w:r>
              <w:rPr>
                <w:rFonts w:ascii="Arial" w:hAnsi="Arial"/>
                <w:b/>
                <w:color w:val="FFFFFF"/>
                <w:sz w:val="18"/>
              </w:rPr>
              <w:t>2030 Target</w:t>
            </w:r>
          </w:p>
        </w:tc>
        <w:tc>
          <w:tcPr>
            <w:tcW w:type="dxa" w:w="1505"/>
            <w:shd w:fill="1B3A6B" w:val="clear"/>
          </w:tcPr>
          <w:p>
            <w:r>
              <w:rPr>
                <w:rFonts w:ascii="Arial" w:hAnsi="Arial"/>
                <w:b/>
                <w:color w:val="FFFFFF"/>
                <w:sz w:val="18"/>
              </w:rPr>
              <w:t>Validation Pathway</w:t>
            </w:r>
          </w:p>
        </w:tc>
      </w:tr>
      <w:tr>
        <w:tc>
          <w:tcPr>
            <w:tcW w:type="dxa" w:w="1505"/>
          </w:tcPr>
          <w:p>
            <w:r>
              <w:rPr>
                <w:rFonts w:ascii="Arial" w:hAnsi="Arial"/>
                <w:sz w:val="18"/>
              </w:rPr>
              <w:t>Operational Emissions</w:t>
            </w:r>
          </w:p>
        </w:tc>
        <w:tc>
          <w:tcPr>
            <w:tcW w:type="dxa" w:w="1505"/>
          </w:tcPr>
          <w:p>
            <w:r>
              <w:rPr>
                <w:rFonts w:ascii="Arial" w:hAnsi="Arial"/>
                <w:sz w:val="18"/>
              </w:rPr>
              <w:t>Scope 1+2 (location-based) tCO₂e</w:t>
            </w:r>
          </w:p>
        </w:tc>
        <w:tc>
          <w:tcPr>
            <w:tcW w:type="dxa" w:w="1505"/>
          </w:tcPr>
          <w:p>
            <w:pPr>
              <w:jc w:val="right"/>
            </w:pPr>
            <w:r>
              <w:rPr>
                <w:rFonts w:ascii="Arial" w:hAnsi="Arial"/>
                <w:sz w:val="18"/>
              </w:rPr>
              <w:t>48,016.873</w:t>
            </w:r>
          </w:p>
        </w:tc>
        <w:tc>
          <w:tcPr>
            <w:tcW w:type="dxa" w:w="1505"/>
          </w:tcPr>
          <w:p>
            <w:r>
              <w:rPr>
                <w:rFonts w:ascii="Arial" w:hAnsi="Arial"/>
                <w:sz w:val="18"/>
              </w:rPr>
              <w:t>40,814.3 (15% reduction)</w:t>
            </w:r>
          </w:p>
        </w:tc>
        <w:tc>
          <w:tcPr>
            <w:tcW w:type="dxa" w:w="1505"/>
          </w:tcPr>
          <w:p>
            <w:r>
              <w:rPr>
                <w:rFonts w:ascii="Arial" w:hAnsi="Arial"/>
                <w:sz w:val="18"/>
              </w:rPr>
              <w:t>33,611.8 (30% reduction)</w:t>
            </w:r>
          </w:p>
        </w:tc>
        <w:tc>
          <w:tcPr>
            <w:tcW w:type="dxa" w:w="1505"/>
          </w:tcPr>
          <w:p>
            <w:r>
              <w:rPr>
                <w:rFonts w:ascii="Arial" w:hAnsi="Arial"/>
                <w:sz w:val="18"/>
              </w:rPr>
              <w:t>SBTi 1.5°C pathway</w:t>
            </w:r>
          </w:p>
        </w:tc>
      </w:tr>
      <w:tr>
        <w:tc>
          <w:tcPr>
            <w:tcW w:type="dxa" w:w="1505"/>
            <w:shd w:fill="F2F6FC" w:val="clear"/>
          </w:tcPr>
          <w:p>
            <w:r>
              <w:rPr>
                <w:rFonts w:ascii="Arial" w:hAnsi="Arial"/>
                <w:sz w:val="18"/>
              </w:rPr>
              <w:t>Operational Intensity</w:t>
            </w:r>
          </w:p>
        </w:tc>
        <w:tc>
          <w:tcPr>
            <w:tcW w:type="dxa" w:w="1505"/>
            <w:shd w:fill="F2F6FC" w:val="clear"/>
          </w:tcPr>
          <w:p>
            <w:r>
              <w:rPr>
                <w:rFonts w:ascii="Arial" w:hAnsi="Arial"/>
                <w:sz w:val="18"/>
              </w:rPr>
              <w:t>tCO₂e per FTE</w:t>
            </w:r>
          </w:p>
        </w:tc>
        <w:tc>
          <w:tcPr>
            <w:tcW w:type="dxa" w:w="1505"/>
            <w:shd w:fill="F2F6FC" w:val="clear"/>
          </w:tcPr>
          <w:p>
            <w:pPr>
              <w:jc w:val="right"/>
            </w:pPr>
            <w:r>
              <w:rPr>
                <w:rFonts w:ascii="Arial" w:hAnsi="Arial"/>
                <w:sz w:val="18"/>
              </w:rPr>
              <w:t>1.9209</w:t>
            </w:r>
          </w:p>
        </w:tc>
        <w:tc>
          <w:tcPr>
            <w:tcW w:type="dxa" w:w="1505"/>
            <w:shd w:fill="F2F6FC" w:val="clear"/>
          </w:tcPr>
          <w:p>
            <w:r>
              <w:rPr>
                <w:rFonts w:ascii="Arial" w:hAnsi="Arial"/>
                <w:sz w:val="18"/>
              </w:rPr>
              <w:t>1.6327 (15% reduction)</w:t>
            </w:r>
          </w:p>
        </w:tc>
        <w:tc>
          <w:tcPr>
            <w:tcW w:type="dxa" w:w="1505"/>
            <w:shd w:fill="F2F6FC" w:val="clear"/>
          </w:tcPr>
          <w:p>
            <w:r>
              <w:rPr>
                <w:rFonts w:ascii="Arial" w:hAnsi="Arial"/>
                <w:sz w:val="18"/>
              </w:rPr>
              <w:t>1.3446 (30% reduction)</w:t>
            </w:r>
          </w:p>
        </w:tc>
        <w:tc>
          <w:tcPr>
            <w:tcW w:type="dxa" w:w="1505"/>
            <w:shd w:fill="F2F6FC" w:val="clear"/>
          </w:tcPr>
          <w:p>
            <w:r>
              <w:rPr>
                <w:rFonts w:ascii="Arial" w:hAnsi="Arial"/>
                <w:sz w:val="18"/>
              </w:rPr>
              <w:t>Peer benchmark alignment</w:t>
            </w:r>
          </w:p>
        </w:tc>
      </w:tr>
      <w:tr>
        <w:tc>
          <w:tcPr>
            <w:tcW w:type="dxa" w:w="1505"/>
          </w:tcPr>
          <w:p>
            <w:r>
              <w:rPr>
                <w:rFonts w:ascii="Arial" w:hAnsi="Arial"/>
                <w:sz w:val="18"/>
              </w:rPr>
              <w:t>Financed Emissions</w:t>
            </w:r>
          </w:p>
        </w:tc>
        <w:tc>
          <w:tcPr>
            <w:tcW w:type="dxa" w:w="1505"/>
          </w:tcPr>
          <w:p>
            <w:r>
              <w:rPr>
                <w:rFonts w:ascii="Arial" w:hAnsi="Arial"/>
                <w:sz w:val="18"/>
              </w:rPr>
              <w:t>Scope 3 Cat 15 (weighted) tCO₂e</w:t>
            </w:r>
          </w:p>
        </w:tc>
        <w:tc>
          <w:tcPr>
            <w:tcW w:type="dxa" w:w="1505"/>
          </w:tcPr>
          <w:p>
            <w:pPr>
              <w:jc w:val="right"/>
            </w:pPr>
            <w:r>
              <w:rPr>
                <w:rFonts w:ascii="Arial" w:hAnsi="Arial"/>
                <w:sz w:val="18"/>
              </w:rPr>
              <w:t>15,280,174.14</w:t>
            </w:r>
          </w:p>
        </w:tc>
        <w:tc>
          <w:tcPr>
            <w:tcW w:type="dxa" w:w="1505"/>
          </w:tcPr>
          <w:p>
            <w:r>
              <w:rPr>
                <w:rFonts w:ascii="Arial" w:hAnsi="Arial"/>
                <w:sz w:val="18"/>
              </w:rPr>
              <w:t>13,752,156.7 (10% reduction)</w:t>
            </w:r>
          </w:p>
        </w:tc>
        <w:tc>
          <w:tcPr>
            <w:tcW w:type="dxa" w:w="1505"/>
          </w:tcPr>
          <w:p>
            <w:r>
              <w:rPr>
                <w:rFonts w:ascii="Arial" w:hAnsi="Arial"/>
                <w:sz w:val="18"/>
              </w:rPr>
              <w:t>11,460,130.6 (25% reduction)</w:t>
            </w:r>
          </w:p>
        </w:tc>
        <w:tc>
          <w:tcPr>
            <w:tcW w:type="dxa" w:w="1505"/>
          </w:tcPr>
          <w:p>
            <w:r>
              <w:rPr>
                <w:rFonts w:ascii="Arial" w:hAnsi="Arial"/>
                <w:sz w:val="18"/>
              </w:rPr>
              <w:t>SBTi sectoral pathways</w:t>
            </w:r>
          </w:p>
        </w:tc>
      </w:tr>
      <w:tr>
        <w:tc>
          <w:tcPr>
            <w:tcW w:type="dxa" w:w="1505"/>
            <w:shd w:fill="F2F6FC" w:val="clear"/>
          </w:tcPr>
          <w:p>
            <w:r>
              <w:rPr>
                <w:rFonts w:ascii="Arial" w:hAnsi="Arial"/>
                <w:sz w:val="18"/>
              </w:rPr>
              <w:t>Portfolio Intensity</w:t>
            </w:r>
          </w:p>
        </w:tc>
        <w:tc>
          <w:tcPr>
            <w:tcW w:type="dxa" w:w="1505"/>
            <w:shd w:fill="F2F6FC" w:val="clear"/>
          </w:tcPr>
          <w:p>
            <w:r>
              <w:rPr>
                <w:rFonts w:ascii="Arial" w:hAnsi="Arial"/>
                <w:sz w:val="18"/>
              </w:rPr>
              <w:t>tCO₂e per IDR billion outstanding</w:t>
            </w:r>
          </w:p>
        </w:tc>
        <w:tc>
          <w:tcPr>
            <w:tcW w:type="dxa" w:w="1505"/>
            <w:shd w:fill="F2F6FC" w:val="clear"/>
          </w:tcPr>
          <w:p>
            <w:pPr>
              <w:jc w:val="right"/>
            </w:pPr>
            <w:r>
              <w:rPr>
                <w:rFonts w:ascii="Arial" w:hAnsi="Arial"/>
                <w:sz w:val="18"/>
              </w:rPr>
              <w:t>239.400139</w:t>
            </w:r>
          </w:p>
        </w:tc>
        <w:tc>
          <w:tcPr>
            <w:tcW w:type="dxa" w:w="1505"/>
            <w:shd w:fill="F2F6FC" w:val="clear"/>
          </w:tcPr>
          <w:p>
            <w:r>
              <w:rPr>
                <w:rFonts w:ascii="Arial" w:hAnsi="Arial"/>
                <w:sz w:val="18"/>
              </w:rPr>
              <w:t>215.460125 (10% reduction)</w:t>
            </w:r>
          </w:p>
        </w:tc>
        <w:tc>
          <w:tcPr>
            <w:tcW w:type="dxa" w:w="1505"/>
            <w:shd w:fill="F2F6FC" w:val="clear"/>
          </w:tcPr>
          <w:p>
            <w:r>
              <w:rPr>
                <w:rFonts w:ascii="Arial" w:hAnsi="Arial"/>
                <w:sz w:val="18"/>
              </w:rPr>
              <w:t>179.550104 (25% reduction)</w:t>
            </w:r>
          </w:p>
        </w:tc>
        <w:tc>
          <w:tcPr>
            <w:tcW w:type="dxa" w:w="1505"/>
            <w:shd w:fill="F2F6FC" w:val="clear"/>
          </w:tcPr>
          <w:p>
            <w:r>
              <w:rPr>
                <w:rFonts w:ascii="Arial" w:hAnsi="Arial"/>
                <w:sz w:val="18"/>
              </w:rPr>
              <w:t>PCAF methodology</w:t>
            </w:r>
          </w:p>
        </w:tc>
      </w:tr>
      <w:tr>
        <w:tc>
          <w:tcPr>
            <w:tcW w:type="dxa" w:w="1505"/>
          </w:tcPr>
          <w:p>
            <w:r>
              <w:rPr>
                <w:rFonts w:ascii="Arial" w:hAnsi="Arial"/>
                <w:sz w:val="18"/>
              </w:rPr>
              <w:t>Renewable Energy</w:t>
            </w:r>
          </w:p>
        </w:tc>
        <w:tc>
          <w:tcPr>
            <w:tcW w:type="dxa" w:w="1505"/>
          </w:tcPr>
          <w:p>
            <w:r>
              <w:rPr>
                <w:rFonts w:ascii="Arial" w:hAnsi="Arial"/>
                <w:sz w:val="18"/>
              </w:rPr>
              <w:t>% of total electricity consumption</w:t>
            </w:r>
          </w:p>
        </w:tc>
        <w:tc>
          <w:tcPr>
            <w:tcW w:type="dxa" w:w="1505"/>
          </w:tcPr>
          <w:p>
            <w:pPr>
              <w:jc w:val="right"/>
            </w:pPr>
            <w:r>
              <w:rPr>
                <w:rFonts w:ascii="Arial" w:hAnsi="Arial"/>
                <w:sz w:val="18"/>
              </w:rPr>
              <w:t>0%</w:t>
            </w:r>
          </w:p>
        </w:tc>
        <w:tc>
          <w:tcPr>
            <w:tcW w:type="dxa" w:w="1505"/>
          </w:tcPr>
          <w:p>
            <w:pPr>
              <w:jc w:val="right"/>
            </w:pPr>
            <w:r>
              <w:rPr>
                <w:rFonts w:ascii="Arial" w:hAnsi="Arial"/>
                <w:sz w:val="18"/>
              </w:rPr>
              <w:t>30%</w:t>
            </w:r>
          </w:p>
        </w:tc>
        <w:tc>
          <w:tcPr>
            <w:tcW w:type="dxa" w:w="1505"/>
          </w:tcPr>
          <w:p>
            <w:pPr>
              <w:jc w:val="right"/>
            </w:pPr>
            <w:r>
              <w:rPr>
                <w:rFonts w:ascii="Arial" w:hAnsi="Arial"/>
                <w:sz w:val="18"/>
              </w:rPr>
              <w:t>50%</w:t>
            </w:r>
          </w:p>
        </w:tc>
        <w:tc>
          <w:tcPr>
            <w:tcW w:type="dxa" w:w="1505"/>
          </w:tcPr>
          <w:p>
            <w:r>
              <w:rPr>
                <w:rFonts w:ascii="Arial" w:hAnsi="Arial"/>
                <w:sz w:val="18"/>
              </w:rPr>
              <w:t>RE100 framework</w:t>
            </w:r>
          </w:p>
        </w:tc>
      </w:tr>
      <w:tr>
        <w:tc>
          <w:tcPr>
            <w:tcW w:type="dxa" w:w="1505"/>
            <w:shd w:fill="F2F6FC" w:val="clear"/>
          </w:tcPr>
          <w:p>
            <w:r>
              <w:rPr>
                <w:rFonts w:ascii="Arial" w:hAnsi="Arial"/>
                <w:sz w:val="18"/>
              </w:rPr>
              <w:t>Green Finance</w:t>
            </w:r>
          </w:p>
        </w:tc>
        <w:tc>
          <w:tcPr>
            <w:tcW w:type="dxa" w:w="1505"/>
            <w:shd w:fill="F2F6FC" w:val="clear"/>
          </w:tcPr>
          <w:p>
            <w:r>
              <w:rPr>
                <w:rFonts w:ascii="Arial" w:hAnsi="Arial"/>
                <w:sz w:val="18"/>
              </w:rPr>
              <w:t>% of new loan originations</w:t>
            </w:r>
          </w:p>
        </w:tc>
        <w:tc>
          <w:tcPr>
            <w:tcW w:type="dxa" w:w="1505"/>
            <w:shd w:fill="F2F6FC" w:val="clear"/>
          </w:tcPr>
          <w:p>
            <w:r>
              <w:rPr>
                <w:rFonts w:ascii="Arial" w:hAnsi="Arial"/>
                <w:sz w:val="18"/>
              </w:rPr>
              <w:t>Not tracked</w:t>
            </w:r>
          </w:p>
        </w:tc>
        <w:tc>
          <w:tcPr>
            <w:tcW w:type="dxa" w:w="1505"/>
            <w:shd w:fill="F2F6FC" w:val="clear"/>
          </w:tcPr>
          <w:p>
            <w:pPr>
              <w:jc w:val="right"/>
            </w:pPr>
            <w:r>
              <w:rPr>
                <w:rFonts w:ascii="Arial" w:hAnsi="Arial"/>
                <w:sz w:val="18"/>
              </w:rPr>
              <w:t>20%</w:t>
            </w:r>
          </w:p>
        </w:tc>
        <w:tc>
          <w:tcPr>
            <w:tcW w:type="dxa" w:w="1505"/>
            <w:shd w:fill="F2F6FC" w:val="clear"/>
          </w:tcPr>
          <w:p>
            <w:pPr>
              <w:jc w:val="right"/>
            </w:pPr>
            <w:r>
              <w:rPr>
                <w:rFonts w:ascii="Arial" w:hAnsi="Arial"/>
                <w:sz w:val="18"/>
              </w:rPr>
              <w:t>30%</w:t>
            </w:r>
          </w:p>
        </w:tc>
        <w:tc>
          <w:tcPr>
            <w:tcW w:type="dxa" w:w="1505"/>
            <w:shd w:fill="F2F6FC" w:val="clear"/>
          </w:tcPr>
          <w:p>
            <w:r>
              <w:rPr>
                <w:rFonts w:ascii="Arial" w:hAnsi="Arial"/>
                <w:sz w:val="18"/>
              </w:rPr>
              <w:t>OJK SFAP alignment</w:t>
            </w:r>
          </w:p>
        </w:tc>
      </w:tr>
    </w:tbl>
    <w:p>
      <w:r>
        <w:rPr>
          <w:rFonts w:ascii="Arial" w:hAnsi="Arial"/>
          <w:i/>
          <w:sz w:val="16"/>
        </w:rPr>
        <w:t>Source: Targets aligned with SBTi 1.5°C pathway for operational emissions and sectoral decarbonization approach (SDA) for financed emissions. Baseline year: 2024. Interim targets set at 3-year intervals to enable course correction.</w:t>
      </w:r>
    </w:p>
    <w:p/>
    <w:p>
      <w:pPr>
        <w:spacing w:after="160" w:line="276" w:lineRule="auto"/>
        <w:jc w:val="both"/>
      </w:pPr>
      <w:r>
        <w:rPr>
          <w:rFonts w:ascii="Arial" w:hAnsi="Arial"/>
          <w:i/>
          <w:color w:val="646464"/>
          <w:sz w:val="18"/>
        </w:rPr>
        <w:t>[Chart: Climate Target Maturity: Peer Comparison (Indonesian Banking Sector) — matplotlib layer not installed]</w:t>
      </w:r>
    </w:p>
    <w:p>
      <w:pPr>
        <w:spacing w:after="160" w:line="276" w:lineRule="auto"/>
        <w:jc w:val="both"/>
      </w:pPr>
      <w:r>
        <w:rPr>
          <w:rFonts w:ascii="Arial" w:hAnsi="Arial"/>
          <w:i/>
          <w:color w:val="646464"/>
          <w:sz w:val="18"/>
        </w:rPr>
        <w:t>[Chart: Recommended Emission Reduction Trajectory (2024-2030) — matplotlib layer not installed]</w:t>
      </w:r>
    </w:p>
    <w:p>
      <w:pPr>
        <w:spacing w:after="160" w:line="276" w:lineRule="auto"/>
        <w:jc w:val="both"/>
      </w:pPr>
      <w:r>
        <w:rPr>
          <w:rFonts w:ascii="Arial" w:hAnsi="Arial"/>
          <w:i/>
          <w:color w:val="646464"/>
          <w:sz w:val="18"/>
        </w:rPr>
        <w:t>[Chart: Decarbonization Lever Contribution to 2030 Target (tCO₂e Reduction) — matplotlib layer not installed]</w:t>
      </w:r>
    </w:p>
    <w:p/>
    <w:p>
      <w:r>
        <w:rPr>
          <w:b/>
          <w:color w:val="4A7AB5"/>
          <w:sz w:val="24"/>
        </w:rPr>
        <w:t>Diagnostic Analysis</w:t>
      </w:r>
    </w:p>
    <w:p>
      <w:pPr>
        <w:spacing w:after="160" w:line="276" w:lineRule="auto"/>
        <w:jc w:val="both"/>
      </w:pPr>
      <w:r>
        <w:rPr>
          <w:rFonts w:ascii="Arial" w:hAnsi="Arial"/>
          <w:sz w:val="22"/>
        </w:rPr>
        <w:t>The absence of climate targets stems from three systemic gaps: (1) no Board-level mandate for target-setting despite OJK POJK 51/2017 requirements, (2) lack of baseline year designation preventing target formulation, and (3) insufficient internal capacity for SBTi methodology application. The institution has operational GHG data (Scope 1+2: 48,016.873 tCO₂e) and financed emissions measurement (Scope 3 Cat 15: 15,280,174.14 tCO₂e weighted) via PCAF, providing the technical foundation for target-setting. However, without formal targets, the 4.07% YoY reduction in portfolio intensity cannot be positioned as strategic progress versus operational variance.</w:t>
      </w:r>
    </w:p>
    <w:p>
      <w:r>
        <w:rPr>
          <w:b/>
          <w:sz w:val="22"/>
        </w:rPr>
        <w:t>Root Causes:</w:t>
      </w:r>
    </w:p>
    <w:p>
      <w:pPr>
        <w:spacing w:after="160" w:line="276" w:lineRule="auto"/>
        <w:jc w:val="both"/>
      </w:pPr>
      <w:r>
        <w:rPr>
          <w:rFonts w:ascii="Arial" w:hAnsi="Arial"/>
          <w:sz w:val="22"/>
        </w:rPr>
        <w:t>• No Board resolution or executive mandate to establish science-based targets, despite peer banks (BRI, DBS, BCA) having Board-approved climate strategies</w:t>
      </w:r>
    </w:p>
    <w:p>
      <w:pPr>
        <w:spacing w:after="160" w:line="276" w:lineRule="auto"/>
        <w:jc w:val="both"/>
      </w:pPr>
      <w:r>
        <w:rPr>
          <w:rFonts w:ascii="Arial" w:hAnsi="Arial"/>
          <w:sz w:val="22"/>
        </w:rPr>
        <w:t>• Baseline year not formally designated in sustainability governance framework, preventing target formulation per GRI 305-5c and IFRS S2 Para 34 requirements</w:t>
      </w:r>
    </w:p>
    <w:p>
      <w:pPr>
        <w:spacing w:after="160" w:line="276" w:lineRule="auto"/>
        <w:jc w:val="both"/>
      </w:pPr>
      <w:r>
        <w:rPr>
          <w:rFonts w:ascii="Arial" w:hAnsi="Arial"/>
          <w:sz w:val="22"/>
        </w:rPr>
        <w:t>• Internal capacity gap: no dedicated climate strategy team or external advisory engagement for SBTi pathway development</w:t>
      </w:r>
    </w:p>
    <w:p>
      <w:pPr>
        <w:spacing w:after="160" w:line="276" w:lineRule="auto"/>
        <w:jc w:val="both"/>
      </w:pPr>
      <w:r>
        <w:rPr>
          <w:rFonts w:ascii="Arial" w:hAnsi="Arial"/>
          <w:sz w:val="22"/>
        </w:rPr>
        <w:t>• Perceived complexity of financed emissions target-setting for diversified loan portfolio (10 NACE sectors, 1,955 borrowers, IDR 1,541 trillion outstanding)</w:t>
      </w:r>
    </w:p>
    <w:p>
      <w:r>
        <w:rPr>
          <w:b/>
          <w:sz w:val="22"/>
        </w:rPr>
        <w:t>Risk Implications:</w:t>
      </w:r>
    </w:p>
    <w:p>
      <w:pPr>
        <w:spacing w:after="160" w:line="276" w:lineRule="auto"/>
        <w:jc w:val="both"/>
      </w:pPr>
      <w:r>
        <w:rPr>
          <w:rFonts w:ascii="Arial" w:hAnsi="Arial"/>
          <w:sz w:val="22"/>
        </w:rPr>
        <w:t>• Regulatory risk: Non-compliance with OJK PSPK target-setting requirements may trigger supervisory action or disclosure penalties by 2026 when enforcement intensifies</w:t>
      </w:r>
    </w:p>
    <w:p>
      <w:pPr>
        <w:spacing w:after="160" w:line="276" w:lineRule="auto"/>
        <w:jc w:val="both"/>
      </w:pPr>
      <w:r>
        <w:rPr>
          <w:rFonts w:ascii="Arial" w:hAnsi="Arial"/>
          <w:sz w:val="22"/>
        </w:rPr>
        <w:t>• Investor risk: Exclusion from MSCI ESG Leaders Index and Sustainalytics Top-Rated portfolios due to absence of SBTi commitment (68% of global asset managers require validated targets by 2025)</w:t>
      </w:r>
    </w:p>
    <w:p>
      <w:pPr>
        <w:spacing w:after="160" w:line="276" w:lineRule="auto"/>
        <w:jc w:val="both"/>
      </w:pPr>
      <w:r>
        <w:rPr>
          <w:rFonts w:ascii="Arial" w:hAnsi="Arial"/>
          <w:sz w:val="22"/>
        </w:rPr>
        <w:t>• Competitive risk: Widening disclosure gap vs BRI (SBTi committed), DBS (Net Zero 2050), and BCA (sectoral pathways) undermines positioning in sustainable finance market, estimated at IDR 500+ trillion opportunity in Indonesia by 2030</w:t>
      </w:r>
    </w:p>
    <w:p>
      <w:pPr>
        <w:spacing w:after="160" w:line="276" w:lineRule="auto"/>
        <w:jc w:val="both"/>
      </w:pPr>
      <w:r>
        <w:rPr>
          <w:rFonts w:ascii="Arial" w:hAnsi="Arial"/>
          <w:sz w:val="22"/>
        </w:rPr>
        <w:t>• Reputational risk: Inability to demonstrate climate leadership in Indonesian banking sector where 4 of top 10 banks have published transition plans</w:t>
      </w:r>
    </w:p>
    <w:p/>
    <w:p>
      <w:r>
        <w:rPr>
          <w:b/>
          <w:color w:val="1B5E20"/>
          <w:sz w:val="24"/>
        </w:rPr>
        <w:t>⚡ Priority Actions</w:t>
      </w:r>
    </w:p>
    <w:p>
      <w:r>
        <w:rPr>
          <w:b/>
          <w:sz w:val="22"/>
        </w:rPr>
        <w:t>🔴 1. Submit SBTi commitment letter and designate 2024 as baseline year via Board resolution</w:t>
      </w:r>
      <w:r>
        <w:rPr>
          <w:sz w:val="22"/>
        </w:rPr>
        <w:t xml:space="preserve"> (Q2 2025)</w:t>
      </w:r>
    </w:p>
    <w:p>
      <w:pPr>
        <w:spacing w:after="160" w:line="276" w:lineRule="auto"/>
        <w:jc w:val="both"/>
      </w:pPr>
      <w:r>
        <w:rPr>
          <w:rFonts w:ascii="Arial" w:hAnsi="Arial"/>
          <w:sz w:val="22"/>
        </w:rPr>
        <w:t xml:space="preserve">    → Expected: Establishes public commitment and 24-month timeline for target validation; addresses IFRS S2 Para 33-35 gap; improves ESG rating outlook</w:t>
      </w:r>
    </w:p>
    <w:p>
      <w:pPr>
        <w:spacing w:after="160" w:line="276" w:lineRule="auto"/>
        <w:jc w:val="both"/>
      </w:pPr>
      <w:r>
        <w:rPr>
          <w:rFonts w:ascii="Arial" w:hAnsi="Arial"/>
          <w:i/>
          <w:color w:val="646464"/>
          <w:sz w:val="18"/>
        </w:rPr>
        <w:t xml:space="preserve">    → Ref: Bank Rakyat Indonesia (BRI) — first Indonesian FI to submit SBTi commitment (2023), portfolio temp target 1.75°C by 2040</w:t>
      </w:r>
    </w:p>
    <w:p>
      <w:r>
        <w:rPr>
          <w:b/>
          <w:sz w:val="22"/>
        </w:rPr>
        <w:t>🔴 2. Install solar+battery systems at top 10 diesel-dependent facilities (1,109.4 tCO₂e reduction potential)</w:t>
      </w:r>
      <w:r>
        <w:rPr>
          <w:sz w:val="22"/>
        </w:rPr>
        <w:t xml:space="preserve"> (Q3 2025 - Q2 2026)</w:t>
      </w:r>
    </w:p>
    <w:p>
      <w:pPr>
        <w:spacing w:after="160" w:line="276" w:lineRule="auto"/>
        <w:jc w:val="both"/>
      </w:pPr>
      <w:r>
        <w:rPr>
          <w:rFonts w:ascii="Arial" w:hAnsi="Arial"/>
          <w:sz w:val="22"/>
        </w:rPr>
        <w:t xml:space="preserve">    → Expected: 50.4% reduction in diesel-related Scope 1 emissions; 2.3% reduction in total Scope 1+2; payback period 4-6 years at current diesel prices</w:t>
      </w:r>
    </w:p>
    <w:p>
      <w:pPr>
        <w:spacing w:after="160" w:line="276" w:lineRule="auto"/>
        <w:jc w:val="both"/>
      </w:pPr>
      <w:r>
        <w:rPr>
          <w:rFonts w:ascii="Arial" w:hAnsi="Arial"/>
          <w:i/>
          <w:color w:val="646464"/>
          <w:sz w:val="18"/>
        </w:rPr>
        <w:t xml:space="preserve">    → Ref: Bank Rakyat Indonesia (BRI) — Green Network solar program achieved 19.49% electricity savings at BRILiaN Tower (Gold GBCI certified)</w:t>
      </w:r>
    </w:p>
    <w:p>
      <w:r>
        <w:rPr>
          <w:b/>
          <w:sz w:val="22"/>
        </w:rPr>
        <w:t>🔴 3. Negotiate renewable energy PPA for 30% of electricity consumption by 2027</w:t>
      </w:r>
      <w:r>
        <w:rPr>
          <w:sz w:val="22"/>
        </w:rPr>
        <w:t xml:space="preserve"> (Q4 2025 - Q1 2027)</w:t>
      </w:r>
    </w:p>
    <w:p>
      <w:pPr>
        <w:spacing w:after="160" w:line="276" w:lineRule="auto"/>
        <w:jc w:val="both"/>
      </w:pPr>
      <w:r>
        <w:rPr>
          <w:rFonts w:ascii="Arial" w:hAnsi="Arial"/>
          <w:sz w:val="22"/>
        </w:rPr>
        <w:t xml:space="preserve">    → Expected: 13,384 tCO₂e annual reduction (30% of Scope 2 location-based); enables RE100 commitment pathway</w:t>
      </w:r>
    </w:p>
    <w:p>
      <w:pPr>
        <w:spacing w:after="160" w:line="276" w:lineRule="auto"/>
        <w:jc w:val="both"/>
      </w:pPr>
      <w:r>
        <w:rPr>
          <w:rFonts w:ascii="Arial" w:hAnsi="Arial"/>
          <w:i/>
          <w:color w:val="646464"/>
          <w:sz w:val="18"/>
        </w:rPr>
        <w:t xml:space="preserve">    → Ref: DBS Group — 62% renewable energy via RE100 membership, contributing to 12% YoY emission reduction</w:t>
      </w:r>
    </w:p>
    <w:p>
      <w:r>
        <w:rPr>
          <w:b/>
          <w:sz w:val="22"/>
        </w:rPr>
        <w:t>🔴 4. Develop sectoral decarbonization pathways for Oil &amp; Gas, Cement, and Steel (85.93% of financed emissions)</w:t>
      </w:r>
      <w:r>
        <w:rPr>
          <w:sz w:val="22"/>
        </w:rPr>
        <w:t xml:space="preserve"> (Q4 2025 - Q2 2026)</w:t>
      </w:r>
    </w:p>
    <w:p>
      <w:pPr>
        <w:spacing w:after="160" w:line="276" w:lineRule="auto"/>
        <w:jc w:val="both"/>
      </w:pPr>
      <w:r>
        <w:rPr>
          <w:rFonts w:ascii="Arial" w:hAnsi="Arial"/>
          <w:sz w:val="22"/>
        </w:rPr>
        <w:t xml:space="preserve">    → Expected: Enables 25% portfolio intensity reduction target by 2030; addresses ESRS E1-4 decarbonization lever requirement; qualifies for NZBA membership</w:t>
      </w:r>
    </w:p>
    <w:p>
      <w:pPr>
        <w:spacing w:after="160" w:line="276" w:lineRule="auto"/>
        <w:jc w:val="both"/>
      </w:pPr>
      <w:r>
        <w:rPr>
          <w:rFonts w:ascii="Arial" w:hAnsi="Arial"/>
          <w:i/>
          <w:color w:val="646464"/>
          <w:sz w:val="18"/>
        </w:rPr>
        <w:t xml:space="preserve">    → Ref: Bank Central Asia (BCA) — sectoral credit policies for coal, palm oil, cement, and oil &amp; gas; exceeding SFAP targets</w:t>
      </w:r>
    </w:p>
    <w:p/>
    <w:p>
      <w:r>
        <w:rPr>
          <w:i/>
          <w:color w:val="3D6094"/>
          <w:sz w:val="18"/>
        </w:rPr>
        <w:t>Framework references: IFRS S2 Para 33 — Climate-related targets; IFRS S2 Para 34 — Metrics and base period; IFRS S2 Para 35 — Approach to setting targets; IFRS S2 Para 36 — Performance against targets; IFRS S2 Para 14 — Transition plan; GRI 305-5 — Reduction of GHG emissions; ESRS E1 DR E1-4 — Targets related to climate change mitigation and adaptation; OJK PSPK — Target Iklim &amp; Rencana Transisi; PCAF Standard 2022 — Financed Emissions; SBTi Financial Sector Science-Based Targets Guidance (2024)</w:t>
      </w:r>
    </w:p>
    <w:p>
      <w:pPr>
        <w:spacing w:after="80"/>
        <w:pBdr>
          <w:bottom w:val="single" w:sz="6" w:space="1" w:color="999999"/>
        </w:pBdr>
      </w:pPr>
    </w:p>
    <w:p>
      <w:pPr>
        <w:spacing w:after="160" w:line="276" w:lineRule="auto"/>
        <w:jc w:val="both"/>
      </w:pPr>
      <w:r>
        <w:rPr>
          <w:rFonts w:ascii="Arial" w:hAnsi="Arial"/>
          <w:i/>
          <w:color w:val="646464"/>
          <w:sz w:val="18"/>
        </w:rPr>
        <w:t>These figures have not been subject to external assurance for the current reporting period.</w:t>
      </w:r>
    </w:p>
    <w:p>
      <w:pPr>
        <w:spacing w:after="160" w:line="276" w:lineRule="auto"/>
        <w:jc w:val="both"/>
      </w:pPr>
      <w:r>
        <w:rPr>
          <w:rFonts w:ascii="Arial" w:hAnsi="Arial"/>
          <w:i/>
          <w:color w:val="646464"/>
          <w:sz w:val="18"/>
        </w:rPr>
        <w:t>SBTi (Science Based Targets initiative) validation typically requires 6-12 months from submission. Commitment letter can be submitted immediately upon Board approval.</w:t>
      </w:r>
    </w:p>
    <w:p>
      <w:pPr>
        <w:spacing w:after="160" w:line="276" w:lineRule="auto"/>
        <w:jc w:val="both"/>
      </w:pPr>
      <w:r>
        <w:rPr>
          <w:rFonts w:ascii="Arial" w:hAnsi="Arial"/>
          <w:i/>
          <w:color w:val="646464"/>
          <w:sz w:val="18"/>
        </w:rPr>
        <w:t>Internal carbon price of $10-15 per tCO₂e is recommended based on DBS precedent ($15/tCO₂e) and Indonesian carbon market pricing under Presidential Regulation 98/2021.</w:t>
      </w:r>
    </w:p>
    <w:p>
      <w:pPr>
        <w:spacing w:after="160" w:line="276" w:lineRule="auto"/>
        <w:jc w:val="both"/>
      </w:pPr>
      <w:r>
        <w:rPr>
          <w:rFonts w:ascii="Arial" w:hAnsi="Arial"/>
          <w:i/>
          <w:color w:val="646464"/>
          <w:sz w:val="18"/>
        </w:rPr>
        <w:t>PCAF Data Quality Score improvement from 3.36 to ≤3.0 requires enhanced borrower engagement protocols, including mandatory annual GHG disclosure clauses in loan agreements for borrowers with outstanding &gt;IDR 50 billion.</w:t>
      </w:r>
    </w:p>
    <w:p>
      <w:pPr>
        <w:spacing w:after="160" w:line="276" w:lineRule="auto"/>
        <w:jc w:val="both"/>
      </w:pPr>
      <w:r>
        <w:rPr>
          <w:rFonts w:ascii="Arial" w:hAnsi="Arial"/>
          <w:i/>
          <w:color w:val="646464"/>
          <w:sz w:val="18"/>
        </w:rPr>
        <w:t>Renewable energy procurement targets assume grid availability and regulatory approval for corporate PPAs under MEMR Regulation 50/2017 as amended.</w:t>
      </w:r>
    </w:p>
    <w:p>
      <w:r>
        <w:br w:type="page"/>
      </w:r>
    </w:p>
    <w:p>
      <w:pPr>
        <w:pStyle w:val="Heading1"/>
        <w:keepNext/>
        <w:spacing w:before="480" w:after="240"/>
      </w:pPr>
      <w:r>
        <w:rPr>
          <w:rFonts w:ascii="Arial" w:hAnsi="Arial"/>
          <w:b/>
          <w:color w:val="1B3A6B"/>
          <w:sz w:val="36"/>
        </w:rPr>
        <w:t>Appendix A: Methodology Notes</w:t>
      </w:r>
    </w:p>
    <w:p>
      <w:pPr>
        <w:spacing w:after="160" w:line="276" w:lineRule="auto"/>
        <w:jc w:val="both"/>
      </w:pPr>
      <w:r>
        <w:rPr>
          <w:rFonts w:ascii="Arial" w:hAnsi="Arial"/>
          <w:sz w:val="22"/>
        </w:rPr>
        <w:t>This report applies the GHG Protocol Corporate Accounting and Reporting Standard (Revised 2015) for Scope 1 and 2 emissions, and the PCAF Global GHG Accounting and Reporting Standard Part A (2022) for Scope 3 Category 15 financed emissions. GWP values from IPCC AR6 (GWP100): CH4 = 29.8, N2O = 273.0.</w:t>
      </w:r>
    </w:p>
    <w:p>
      <w:pPr>
        <w:pStyle w:val="Heading1"/>
        <w:keepNext/>
        <w:spacing w:before="480" w:after="240"/>
      </w:pPr>
      <w:r>
        <w:rPr>
          <w:rFonts w:ascii="Arial" w:hAnsi="Arial"/>
          <w:b/>
          <w:color w:val="1B3A6B"/>
          <w:sz w:val="36"/>
        </w:rPr>
        <w:t>Appendix B: Data Quality Summary</w:t>
      </w:r>
    </w:p>
    <w:p>
      <w:pPr>
        <w:spacing w:after="160" w:line="276" w:lineRule="auto"/>
        <w:jc w:val="both"/>
      </w:pPr>
      <w:r>
        <w:rPr>
          <w:rFonts w:ascii="Arial" w:hAnsi="Arial"/>
          <w:sz w:val="22"/>
        </w:rPr>
        <w:t>Data quality is assessed per the PCAF data quality scoring framework (1-5) and the GHG Protocol data quality indicators. Portfolio-weighted PCAF score and data completeness percentage are reported in the main body.</w:t>
      </w:r>
    </w:p>
    <w:p>
      <w:pPr>
        <w:pStyle w:val="Heading1"/>
        <w:keepNext/>
        <w:spacing w:before="480" w:after="240"/>
      </w:pPr>
      <w:r>
        <w:rPr>
          <w:rFonts w:ascii="Arial" w:hAnsi="Arial"/>
          <w:b/>
          <w:color w:val="1B3A6B"/>
          <w:sz w:val="36"/>
        </w:rPr>
        <w:t>Appendix C: GRI Content Index</w:t>
      </w:r>
    </w:p>
    <w:p>
      <w:r>
        <w:rPr>
          <w:rFonts w:ascii="Arial" w:hAnsi="Arial"/>
          <w:b/>
          <w:sz w:val="20"/>
        </w:rPr>
        <w:t>GRI Standards Content Index</w:t>
      </w:r>
    </w:p>
    <w:tbl>
      <w:tblPr>
        <w:tblW w:type="auto" w:w="0"/>
        <w:jc w:val="center"/>
        <w:tblLook w:firstColumn="1" w:firstRow="1" w:lastColumn="0" w:lastRow="0" w:noHBand="0" w:noVBand="1" w:val="04A0"/>
      </w:tblPr>
      <w:tblGrid>
        <w:gridCol w:w="2257"/>
        <w:gridCol w:w="2257"/>
        <w:gridCol w:w="2257"/>
        <w:gridCol w:w="2257"/>
      </w:tblGrid>
      <w:tr>
        <w:tc>
          <w:tcPr>
            <w:tcW w:type="dxa" w:w="2257"/>
            <w:shd w:fill="1B3A6B" w:val="clear"/>
          </w:tcPr>
          <w:p>
            <w:r>
              <w:rPr>
                <w:rFonts w:ascii="Arial" w:hAnsi="Arial"/>
                <w:b/>
                <w:color w:val="FFFFFF"/>
                <w:sz w:val="18"/>
              </w:rPr>
              <w:t>GRI Standard</w:t>
            </w:r>
          </w:p>
        </w:tc>
        <w:tc>
          <w:tcPr>
            <w:tcW w:type="dxa" w:w="2257"/>
            <w:shd w:fill="1B3A6B" w:val="clear"/>
          </w:tcPr>
          <w:p>
            <w:r>
              <w:rPr>
                <w:rFonts w:ascii="Arial" w:hAnsi="Arial"/>
                <w:b/>
                <w:color w:val="FFFFFF"/>
                <w:sz w:val="18"/>
              </w:rPr>
              <w:t>Disclosure</w:t>
            </w:r>
          </w:p>
        </w:tc>
        <w:tc>
          <w:tcPr>
            <w:tcW w:type="dxa" w:w="2257"/>
            <w:shd w:fill="1B3A6B" w:val="clear"/>
          </w:tcPr>
          <w:p>
            <w:r>
              <w:rPr>
                <w:rFonts w:ascii="Arial" w:hAnsi="Arial"/>
                <w:b/>
                <w:color w:val="FFFFFF"/>
                <w:sz w:val="18"/>
              </w:rPr>
              <w:t>Section Reference</w:t>
            </w:r>
          </w:p>
        </w:tc>
        <w:tc>
          <w:tcPr>
            <w:tcW w:type="dxa" w:w="2257"/>
            <w:shd w:fill="1B3A6B" w:val="clear"/>
          </w:tcPr>
          <w:p>
            <w:r>
              <w:rPr>
                <w:rFonts w:ascii="Arial" w:hAnsi="Arial"/>
                <w:b/>
                <w:color w:val="FFFFFF"/>
                <w:sz w:val="18"/>
              </w:rPr>
              <w:t>Omission</w:t>
            </w:r>
          </w:p>
        </w:tc>
      </w:tr>
      <w:tr>
        <w:tc>
          <w:tcPr>
            <w:tcW w:type="dxa" w:w="2257"/>
          </w:tcPr>
          <w:p>
            <w:r>
              <w:rPr>
                <w:rFonts w:ascii="Arial" w:hAnsi="Arial"/>
                <w:sz w:val="18"/>
              </w:rPr>
              <w:t>GRI 2-7</w:t>
            </w:r>
          </w:p>
        </w:tc>
        <w:tc>
          <w:tcPr>
            <w:tcW w:type="dxa" w:w="2257"/>
          </w:tcPr>
          <w:p>
            <w:r>
              <w:rPr>
                <w:rFonts w:ascii="Arial" w:hAnsi="Arial"/>
                <w:sz w:val="18"/>
              </w:rPr>
              <w:t>Employees</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305-1</w:t>
            </w:r>
          </w:p>
        </w:tc>
        <w:tc>
          <w:tcPr>
            <w:tcW w:type="dxa" w:w="2257"/>
            <w:shd w:fill="F2F6FC" w:val="clear"/>
          </w:tcPr>
          <w:p>
            <w:r>
              <w:rPr>
                <w:rFonts w:ascii="Arial" w:hAnsi="Arial"/>
                <w:sz w:val="18"/>
              </w:rPr>
              <w:t>Direct (Scope 1) GHG emissions</w:t>
            </w:r>
          </w:p>
        </w:tc>
        <w:tc>
          <w:tcPr>
            <w:tcW w:type="dxa" w:w="2257"/>
            <w:shd w:fill="F2F6FC" w:val="clear"/>
          </w:tcPr>
          <w:p>
            <w:r>
              <w:rPr>
                <w:rFonts w:ascii="Arial" w:hAnsi="Arial"/>
                <w:sz w:val="18"/>
              </w:rPr>
              <w:t>Section: Scope 1</w:t>
            </w:r>
          </w:p>
        </w:tc>
        <w:tc>
          <w:tcPr>
            <w:tcW w:type="dxa" w:w="2257"/>
            <w:shd w:fill="F2F6FC" w:val="clear"/>
          </w:tcPr>
          <w:p>
            <w:r>
              <w:rPr>
                <w:rFonts w:ascii="Arial" w:hAnsi="Arial"/>
                <w:sz w:val="18"/>
              </w:rPr>
              <w:t>None</w:t>
            </w:r>
          </w:p>
        </w:tc>
      </w:tr>
      <w:tr>
        <w:tc>
          <w:tcPr>
            <w:tcW w:type="dxa" w:w="2257"/>
          </w:tcPr>
          <w:p>
            <w:r>
              <w:rPr>
                <w:rFonts w:ascii="Arial" w:hAnsi="Arial"/>
                <w:sz w:val="18"/>
              </w:rPr>
              <w:t>GRI 305-2</w:t>
            </w:r>
          </w:p>
        </w:tc>
        <w:tc>
          <w:tcPr>
            <w:tcW w:type="dxa" w:w="2257"/>
          </w:tcPr>
          <w:p>
            <w:r>
              <w:rPr>
                <w:rFonts w:ascii="Arial" w:hAnsi="Arial"/>
                <w:sz w:val="18"/>
              </w:rPr>
              <w:t>Energy indirect (Scope 2) GHG emissions</w:t>
            </w:r>
          </w:p>
        </w:tc>
        <w:tc>
          <w:tcPr>
            <w:tcW w:type="dxa" w:w="2257"/>
          </w:tcPr>
          <w:p>
            <w:r>
              <w:rPr>
                <w:rFonts w:ascii="Arial" w:hAnsi="Arial"/>
                <w:sz w:val="18"/>
              </w:rPr>
              <w:t>Section: Scope 2</w:t>
            </w:r>
          </w:p>
        </w:tc>
        <w:tc>
          <w:tcPr>
            <w:tcW w:type="dxa" w:w="2257"/>
          </w:tcPr>
          <w:p>
            <w:r>
              <w:rPr>
                <w:rFonts w:ascii="Arial" w:hAnsi="Arial"/>
                <w:sz w:val="18"/>
              </w:rPr>
              <w:t>None</w:t>
            </w:r>
          </w:p>
        </w:tc>
      </w:tr>
      <w:tr>
        <w:tc>
          <w:tcPr>
            <w:tcW w:type="dxa" w:w="2257"/>
            <w:shd w:fill="F2F6FC" w:val="clear"/>
          </w:tcPr>
          <w:p>
            <w:r>
              <w:rPr>
                <w:rFonts w:ascii="Arial" w:hAnsi="Arial"/>
                <w:sz w:val="18"/>
              </w:rPr>
              <w:t>GRI 305-3</w:t>
            </w:r>
          </w:p>
        </w:tc>
        <w:tc>
          <w:tcPr>
            <w:tcW w:type="dxa" w:w="2257"/>
            <w:shd w:fill="F2F6FC" w:val="clear"/>
          </w:tcPr>
          <w:p>
            <w:r>
              <w:rPr>
                <w:rFonts w:ascii="Arial" w:hAnsi="Arial"/>
                <w:sz w:val="18"/>
              </w:rPr>
              <w:t>Other indirect (Scope 3) GHG emissions</w:t>
            </w:r>
          </w:p>
        </w:tc>
        <w:tc>
          <w:tcPr>
            <w:tcW w:type="dxa" w:w="2257"/>
            <w:shd w:fill="F2F6FC" w:val="clear"/>
          </w:tcPr>
          <w:p>
            <w:r>
              <w:rPr>
                <w:rFonts w:ascii="Arial" w:hAnsi="Arial"/>
                <w:sz w:val="18"/>
              </w:rPr>
              <w:t>Section: PCAF</w:t>
            </w:r>
          </w:p>
        </w:tc>
        <w:tc>
          <w:tcPr>
            <w:tcW w:type="dxa" w:w="2257"/>
            <w:shd w:fill="F2F6FC" w:val="clear"/>
          </w:tcPr>
          <w:p>
            <w:r>
              <w:rPr>
                <w:rFonts w:ascii="Arial" w:hAnsi="Arial"/>
                <w:sz w:val="18"/>
              </w:rPr>
              <w:t>None</w:t>
            </w:r>
          </w:p>
        </w:tc>
      </w:tr>
      <w:tr>
        <w:tc>
          <w:tcPr>
            <w:tcW w:type="dxa" w:w="2257"/>
          </w:tcPr>
          <w:p>
            <w:r>
              <w:rPr>
                <w:rFonts w:ascii="Arial" w:hAnsi="Arial"/>
                <w:sz w:val="18"/>
              </w:rPr>
              <w:t>GRI 305-4</w:t>
            </w:r>
          </w:p>
        </w:tc>
        <w:tc>
          <w:tcPr>
            <w:tcW w:type="dxa" w:w="2257"/>
          </w:tcPr>
          <w:p>
            <w:r>
              <w:rPr>
                <w:rFonts w:ascii="Arial" w:hAnsi="Arial"/>
                <w:sz w:val="18"/>
              </w:rPr>
              <w:t>GHG emissions intensity</w:t>
            </w:r>
          </w:p>
        </w:tc>
        <w:tc>
          <w:tcPr>
            <w:tcW w:type="dxa" w:w="2257"/>
          </w:tcPr>
          <w:p>
            <w:r>
              <w:rPr>
                <w:rFonts w:ascii="Arial" w:hAnsi="Arial"/>
                <w:sz w:val="18"/>
              </w:rPr>
              <w:t>Section: Intensity</w:t>
            </w:r>
          </w:p>
        </w:tc>
        <w:tc>
          <w:tcPr>
            <w:tcW w:type="dxa" w:w="2257"/>
          </w:tcPr>
          <w:p>
            <w:r>
              <w:rPr>
                <w:rFonts w:ascii="Arial" w:hAnsi="Arial"/>
                <w:sz w:val="18"/>
              </w:rPr>
              <w:t>None</w:t>
            </w:r>
          </w:p>
        </w:tc>
      </w:tr>
      <w:tr>
        <w:tc>
          <w:tcPr>
            <w:tcW w:type="dxa" w:w="2257"/>
            <w:shd w:fill="F2F6FC" w:val="clear"/>
          </w:tcPr>
          <w:p>
            <w:r>
              <w:rPr>
                <w:rFonts w:ascii="Arial" w:hAnsi="Arial"/>
                <w:sz w:val="18"/>
              </w:rPr>
              <w:t>GRI 305-5</w:t>
            </w:r>
          </w:p>
        </w:tc>
        <w:tc>
          <w:tcPr>
            <w:tcW w:type="dxa" w:w="2257"/>
            <w:shd w:fill="F2F6FC" w:val="clear"/>
          </w:tcPr>
          <w:p>
            <w:r>
              <w:rPr>
                <w:rFonts w:ascii="Arial" w:hAnsi="Arial"/>
                <w:sz w:val="18"/>
              </w:rPr>
              <w:t>Reduction of GHG emissions</w:t>
            </w:r>
          </w:p>
        </w:tc>
        <w:tc>
          <w:tcPr>
            <w:tcW w:type="dxa" w:w="2257"/>
            <w:shd w:fill="F2F6FC" w:val="clear"/>
          </w:tcPr>
          <w:p>
            <w:r>
              <w:rPr>
                <w:rFonts w:ascii="Arial" w:hAnsi="Arial"/>
                <w:sz w:val="18"/>
              </w:rPr>
              <w:t>Section: Reduction</w:t>
            </w:r>
          </w:p>
        </w:tc>
        <w:tc>
          <w:tcPr>
            <w:tcW w:type="dxa" w:w="2257"/>
            <w:shd w:fill="F2F6FC" w:val="clear"/>
          </w:tcPr>
          <w:p>
            <w:r>
              <w:rPr>
                <w:rFonts w:ascii="Arial" w:hAnsi="Arial"/>
                <w:sz w:val="18"/>
              </w:rPr>
              <w:t>Partial — targets in development</w:t>
            </w:r>
          </w:p>
        </w:tc>
      </w:tr>
      <w:tr>
        <w:tc>
          <w:tcPr>
            <w:tcW w:type="dxa" w:w="2257"/>
          </w:tcPr>
          <w:p>
            <w:r>
              <w:rPr>
                <w:rFonts w:ascii="Arial" w:hAnsi="Arial"/>
                <w:sz w:val="18"/>
              </w:rPr>
              <w:t>GRI 401-1</w:t>
            </w:r>
          </w:p>
        </w:tc>
        <w:tc>
          <w:tcPr>
            <w:tcW w:type="dxa" w:w="2257"/>
          </w:tcPr>
          <w:p>
            <w:r>
              <w:rPr>
                <w:rFonts w:ascii="Arial" w:hAnsi="Arial"/>
                <w:sz w:val="18"/>
              </w:rPr>
              <w:t>New employee hires and employee turnover</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404-1</w:t>
            </w:r>
          </w:p>
        </w:tc>
        <w:tc>
          <w:tcPr>
            <w:tcW w:type="dxa" w:w="2257"/>
            <w:shd w:fill="F2F6FC" w:val="clear"/>
          </w:tcPr>
          <w:p>
            <w:r>
              <w:rPr>
                <w:rFonts w:ascii="Arial" w:hAnsi="Arial"/>
                <w:sz w:val="18"/>
              </w:rPr>
              <w:t>Average hours of training per year per employee</w:t>
            </w:r>
          </w:p>
        </w:tc>
        <w:tc>
          <w:tcPr>
            <w:tcW w:type="dxa" w:w="2257"/>
            <w:shd w:fill="F2F6FC" w:val="clear"/>
          </w:tcPr>
          <w:p>
            <w:r>
              <w:rPr>
                <w:rFonts w:ascii="Arial" w:hAnsi="Arial"/>
                <w:sz w:val="18"/>
              </w:rPr>
              <w:t>Section: Social</w:t>
            </w:r>
          </w:p>
        </w:tc>
        <w:tc>
          <w:tcPr>
            <w:tcW w:type="dxa" w:w="2257"/>
            <w:shd w:fill="F2F6FC" w:val="clear"/>
          </w:tcPr>
          <w:p>
            <w:r>
              <w:rPr>
                <w:rFonts w:ascii="Arial" w:hAnsi="Arial"/>
                <w:sz w:val="18"/>
              </w:rPr>
              <w:t>None</w:t>
            </w:r>
          </w:p>
        </w:tc>
      </w:tr>
      <w:tr>
        <w:tc>
          <w:tcPr>
            <w:tcW w:type="dxa" w:w="2257"/>
          </w:tcPr>
          <w:p>
            <w:r>
              <w:rPr>
                <w:rFonts w:ascii="Arial" w:hAnsi="Arial"/>
                <w:sz w:val="18"/>
              </w:rPr>
              <w:t>GRI 405-1</w:t>
            </w:r>
          </w:p>
        </w:tc>
        <w:tc>
          <w:tcPr>
            <w:tcW w:type="dxa" w:w="2257"/>
          </w:tcPr>
          <w:p>
            <w:r>
              <w:rPr>
                <w:rFonts w:ascii="Arial" w:hAnsi="Arial"/>
                <w:sz w:val="18"/>
              </w:rPr>
              <w:t>Diversity of governance bodies and employees</w:t>
            </w:r>
          </w:p>
        </w:tc>
        <w:tc>
          <w:tcPr>
            <w:tcW w:type="dxa" w:w="2257"/>
          </w:tcPr>
          <w:p>
            <w:r>
              <w:rPr>
                <w:rFonts w:ascii="Arial" w:hAnsi="Arial"/>
                <w:sz w:val="18"/>
              </w:rPr>
              <w:t>Section: Social</w:t>
            </w:r>
          </w:p>
        </w:tc>
        <w:tc>
          <w:tcPr>
            <w:tcW w:type="dxa" w:w="2257"/>
          </w:tcPr>
          <w:p>
            <w:r>
              <w:rPr>
                <w:rFonts w:ascii="Arial" w:hAnsi="Arial"/>
                <w:sz w:val="18"/>
              </w:rPr>
              <w:t>None</w:t>
            </w:r>
          </w:p>
        </w:tc>
      </w:tr>
      <w:tr>
        <w:tc>
          <w:tcPr>
            <w:tcW w:type="dxa" w:w="2257"/>
            <w:shd w:fill="F2F6FC" w:val="clear"/>
          </w:tcPr>
          <w:p>
            <w:r>
              <w:rPr>
                <w:rFonts w:ascii="Arial" w:hAnsi="Arial"/>
                <w:sz w:val="18"/>
              </w:rPr>
              <w:t>GRI 406-1</w:t>
            </w:r>
          </w:p>
        </w:tc>
        <w:tc>
          <w:tcPr>
            <w:tcW w:type="dxa" w:w="2257"/>
            <w:shd w:fill="F2F6FC" w:val="clear"/>
          </w:tcPr>
          <w:p>
            <w:r>
              <w:rPr>
                <w:rFonts w:ascii="Arial" w:hAnsi="Arial"/>
                <w:sz w:val="18"/>
              </w:rPr>
              <w:t>Incidents of discrimination and corrective actions</w:t>
            </w:r>
          </w:p>
        </w:tc>
        <w:tc>
          <w:tcPr>
            <w:tcW w:type="dxa" w:w="2257"/>
            <w:shd w:fill="F2F6FC" w:val="clear"/>
          </w:tcPr>
          <w:p>
            <w:r>
              <w:rPr>
                <w:rFonts w:ascii="Arial" w:hAnsi="Arial"/>
                <w:sz w:val="18"/>
              </w:rPr>
              <w:t>Section: Social</w:t>
            </w:r>
          </w:p>
        </w:tc>
        <w:tc>
          <w:tcPr>
            <w:tcW w:type="dxa" w:w="2257"/>
            <w:shd w:fill="F2F6FC" w:val="clear"/>
          </w:tcPr>
          <w:p>
            <w:r>
              <w:rPr>
                <w:rFonts w:ascii="Arial" w:hAnsi="Arial"/>
                <w:sz w:val="18"/>
              </w:rPr>
              <w:t>None</w:t>
            </w:r>
          </w:p>
        </w:tc>
      </w:tr>
    </w:tbl>
    <w:p>
      <w:r>
        <w:rPr>
          <w:rFonts w:ascii="Arial" w:hAnsi="Arial"/>
          <w:i/>
          <w:sz w:val="16"/>
        </w:rPr>
        <w:t>Source: GRI Standards 2021</w:t>
      </w:r>
    </w:p>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808080"/>
        <w:sz w:val="18"/>
      </w:rPr>
      <w:t>ESG Report MULTI_FRAMEWORK 2024</w:t>
    </w:r>
    <w:r>
      <w:tab/>
      <w:tab/>
    </w:r>
    <w:r>
      <w:rPr>
        <w:color w:val="808080"/>
        <w:sz w:val="18"/>
      </w:rPr>
      <w:t xml:space="preserve">Page </w:t>
    </w:r>
    <w:r>
      <w:rPr>
        <w:color w:val="808080"/>
        <w:sz w:val="18"/>
      </w:rPr>
      <w:fldChar w:fldCharType="begin"/>
      <w:instrText xml:space="preserve"> PAGE </w:instrText>
      <w:fldChar w:fldCharType="end"/>
    </w:r>
    <w:r>
      <w:rPr>
        <w:color w:val="808080"/>
        <w:sz w:val="18"/>
      </w:rPr>
      <w:t xml:space="preserve"> of </w:t>
    </w:r>
    <w:r>
      <w:rPr>
        <w:color w:val="808080"/>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arn:aws:states:us-east-1:061039769766:execution:ESGReportGenerationStateMachine:98e92e38-0816-42a5-b49b-fe64e6236402</dc:description>
  <cp:lastModifiedBy/>
  <cp:revision>1</cp:revision>
  <dcterms:created xsi:type="dcterms:W3CDTF">2013-12-23T23:15:00Z</dcterms:created>
  <dcterms:modified xsi:type="dcterms:W3CDTF">2013-12-23T23:15:00Z</dcterms:modified>
  <cp:category>ESG Sustainability Report</cp:category>
</cp:coreProperties>
</file>