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20B70" w14:textId="77777777" w:rsidR="00A81986" w:rsidRDefault="00A81986"/>
    <w:p w14:paraId="6ABDAF76" w14:textId="77777777" w:rsidR="00A81986" w:rsidRDefault="0067390B">
      <w:pPr>
        <w:jc w:val="center"/>
      </w:pPr>
      <w:r>
        <w:rPr>
          <w:color w:val="999999"/>
          <w:sz w:val="24"/>
        </w:rPr>
        <w:t>[INSTITUTION LOGO]</w:t>
      </w:r>
    </w:p>
    <w:p w14:paraId="0A0131BD" w14:textId="77777777" w:rsidR="00A81986" w:rsidRDefault="00A81986"/>
    <w:p w14:paraId="6ADDDA67" w14:textId="77777777" w:rsidR="00A81986" w:rsidRDefault="00A81986"/>
    <w:p w14:paraId="5C108AD7" w14:textId="77777777" w:rsidR="00A81986" w:rsidRDefault="0067390B">
      <w:pPr>
        <w:pStyle w:val="Heading1"/>
        <w:spacing w:after="240"/>
        <w:jc w:val="center"/>
      </w:pPr>
      <w:bookmarkStart w:id="0" w:name="_Toc232003721"/>
      <w:r>
        <w:rPr>
          <w:rFonts w:ascii="Arial" w:hAnsi="Arial"/>
          <w:color w:val="1B3A6B"/>
          <w:sz w:val="36"/>
        </w:rPr>
        <w:t>ESG Sustainability Report</w:t>
      </w:r>
      <w:bookmarkEnd w:id="0"/>
    </w:p>
    <w:p w14:paraId="01AB49D4" w14:textId="77777777" w:rsidR="00A81986" w:rsidRDefault="0067390B">
      <w:pPr>
        <w:pStyle w:val="Heading2"/>
        <w:spacing w:before="360" w:after="160"/>
        <w:jc w:val="center"/>
      </w:pPr>
      <w:bookmarkStart w:id="1" w:name="_Toc232003722"/>
      <w:r>
        <w:rPr>
          <w:rFonts w:ascii="Arial" w:hAnsi="Arial"/>
          <w:color w:val="3D6094"/>
          <w:sz w:val="28"/>
        </w:rPr>
        <w:t>Reporting Year 2024</w:t>
      </w:r>
      <w:bookmarkEnd w:id="1"/>
    </w:p>
    <w:p w14:paraId="233BF6D3" w14:textId="77777777" w:rsidR="00A81986" w:rsidRDefault="00A81986"/>
    <w:p w14:paraId="4E78C7F5" w14:textId="77777777" w:rsidR="00A81986" w:rsidRDefault="0067390B">
      <w:pPr>
        <w:jc w:val="center"/>
      </w:pPr>
      <w:r>
        <w:rPr>
          <w:rFonts w:ascii="Arial" w:hAnsi="Arial"/>
        </w:rPr>
        <w:t>Institution: GENERIC_FI_001</w:t>
      </w:r>
    </w:p>
    <w:p w14:paraId="0A9BE18B" w14:textId="77777777" w:rsidR="00A81986" w:rsidRDefault="0067390B">
      <w:pPr>
        <w:jc w:val="center"/>
      </w:pPr>
      <w:r>
        <w:rPr>
          <w:rFonts w:ascii="Arial" w:hAnsi="Arial"/>
        </w:rPr>
        <w:t>Framework: MULTI_FRAMEWORK</w:t>
      </w:r>
    </w:p>
    <w:p w14:paraId="19283551" w14:textId="77777777" w:rsidR="00A81986" w:rsidRDefault="0067390B">
      <w:pPr>
        <w:jc w:val="center"/>
      </w:pPr>
      <w:r>
        <w:rPr>
          <w:rFonts w:ascii="Arial" w:hAnsi="Arial"/>
        </w:rPr>
        <w:t>Generated: 2026-06-10 10:04 UTC</w:t>
      </w:r>
    </w:p>
    <w:p w14:paraId="36921129" w14:textId="77777777" w:rsidR="00A81986" w:rsidRDefault="0067390B">
      <w:pPr>
        <w:jc w:val="center"/>
      </w:pPr>
      <w:r>
        <w:rPr>
          <w:rFonts w:ascii="Arial" w:hAnsi="Arial"/>
        </w:rPr>
        <w:t>Status: DRAFT — Subject to Review</w:t>
      </w:r>
    </w:p>
    <w:p w14:paraId="1CA9163B" w14:textId="77777777" w:rsidR="00A81986" w:rsidRDefault="0067390B">
      <w:pPr>
        <w:jc w:val="center"/>
      </w:pPr>
      <w:r>
        <w:rPr>
          <w:rFonts w:ascii="Arial" w:hAnsi="Arial"/>
        </w:rPr>
        <w:t>Assurance Level: None</w:t>
      </w:r>
    </w:p>
    <w:p w14:paraId="1DC6A216" w14:textId="77777777" w:rsidR="00A81986" w:rsidRDefault="00A81986"/>
    <w:p w14:paraId="6844F8DC" w14:textId="77777777" w:rsidR="00A81986" w:rsidRDefault="00A81986"/>
    <w:p w14:paraId="390C0C14" w14:textId="77777777" w:rsidR="00A81986" w:rsidRDefault="0067390B">
      <w:pPr>
        <w:jc w:val="center"/>
      </w:pPr>
      <w:r>
        <w:rPr>
          <w:i/>
          <w:color w:val="993333"/>
          <w:sz w:val="18"/>
        </w:rPr>
        <w:t>CONFIDENTIAL — This document is for internal review purposes only. Do not distribute without authorization.</w:t>
      </w:r>
    </w:p>
    <w:p w14:paraId="1E383448" w14:textId="77777777" w:rsidR="00A81986" w:rsidRDefault="0067390B">
      <w:r>
        <w:br w:type="page"/>
      </w:r>
    </w:p>
    <w:p w14:paraId="6D3A7FE7" w14:textId="77777777" w:rsidR="00A81986" w:rsidRDefault="0067390B">
      <w:pPr>
        <w:pStyle w:val="Heading1"/>
        <w:spacing w:after="240"/>
      </w:pPr>
      <w:bookmarkStart w:id="2" w:name="_Toc232003723"/>
      <w:r>
        <w:rPr>
          <w:rFonts w:ascii="Arial" w:hAnsi="Arial"/>
          <w:color w:val="1B3A6B"/>
          <w:sz w:val="36"/>
        </w:rPr>
        <w:lastRenderedPageBreak/>
        <w:t>Table of Contents</w:t>
      </w:r>
      <w:bookmarkEnd w:id="2"/>
    </w:p>
    <w:p w14:paraId="7849A146" w14:textId="77777777" w:rsidR="00A81986" w:rsidRDefault="0067390B">
      <w:r>
        <w:fldChar w:fldCharType="begin"/>
      </w:r>
      <w:r>
        <w:instrText xml:space="preserve"> TOC \o "1-3" \h \z \u </w:instrText>
      </w:r>
      <w:r>
        <w:fldChar w:fldCharType="end"/>
      </w:r>
    </w:p>
    <w:sdt>
      <w:sdtPr>
        <w:id w:val="-1461486238"/>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532DF426" w14:textId="589482FF" w:rsidR="004D26A5" w:rsidRDefault="004D26A5">
          <w:pPr>
            <w:pStyle w:val="TOCHeading"/>
          </w:pPr>
          <w:r>
            <w:t>Contents</w:t>
          </w:r>
        </w:p>
        <w:p w14:paraId="25F52A51" w14:textId="10C4C560" w:rsidR="004D26A5" w:rsidRDefault="004D26A5">
          <w:pPr>
            <w:pStyle w:val="TOC1"/>
            <w:tabs>
              <w:tab w:val="right" w:leader="dot" w:pos="9019"/>
            </w:tabs>
            <w:rPr>
              <w:noProof/>
            </w:rPr>
          </w:pPr>
          <w:r>
            <w:fldChar w:fldCharType="begin"/>
          </w:r>
          <w:r>
            <w:instrText xml:space="preserve"> TOC \o "1-3" \h \z \u </w:instrText>
          </w:r>
          <w:r>
            <w:fldChar w:fldCharType="separate"/>
          </w:r>
          <w:hyperlink w:anchor="_Toc232003721" w:history="1">
            <w:r w:rsidRPr="00C43720">
              <w:rPr>
                <w:rStyle w:val="Hyperlink"/>
                <w:rFonts w:ascii="Arial" w:hAnsi="Arial"/>
                <w:noProof/>
              </w:rPr>
              <w:t>ESG Sustainability Report</w:t>
            </w:r>
            <w:r>
              <w:rPr>
                <w:noProof/>
                <w:webHidden/>
              </w:rPr>
              <w:tab/>
            </w:r>
            <w:r>
              <w:rPr>
                <w:noProof/>
                <w:webHidden/>
              </w:rPr>
              <w:fldChar w:fldCharType="begin"/>
            </w:r>
            <w:r>
              <w:rPr>
                <w:noProof/>
                <w:webHidden/>
              </w:rPr>
              <w:instrText xml:space="preserve"> PAGEREF _Toc232003721 \h </w:instrText>
            </w:r>
            <w:r>
              <w:rPr>
                <w:noProof/>
                <w:webHidden/>
              </w:rPr>
            </w:r>
            <w:r>
              <w:rPr>
                <w:noProof/>
                <w:webHidden/>
              </w:rPr>
              <w:fldChar w:fldCharType="separate"/>
            </w:r>
            <w:r>
              <w:rPr>
                <w:noProof/>
                <w:webHidden/>
              </w:rPr>
              <w:t>1</w:t>
            </w:r>
            <w:r>
              <w:rPr>
                <w:noProof/>
                <w:webHidden/>
              </w:rPr>
              <w:fldChar w:fldCharType="end"/>
            </w:r>
          </w:hyperlink>
        </w:p>
        <w:p w14:paraId="49651FDF" w14:textId="62BDA988" w:rsidR="004D26A5" w:rsidRDefault="004D26A5">
          <w:pPr>
            <w:pStyle w:val="TOC2"/>
            <w:tabs>
              <w:tab w:val="right" w:leader="dot" w:pos="9019"/>
            </w:tabs>
            <w:rPr>
              <w:noProof/>
            </w:rPr>
          </w:pPr>
          <w:hyperlink w:anchor="_Toc232003722" w:history="1">
            <w:r w:rsidRPr="00C43720">
              <w:rPr>
                <w:rStyle w:val="Hyperlink"/>
                <w:rFonts w:ascii="Arial" w:hAnsi="Arial"/>
                <w:noProof/>
              </w:rPr>
              <w:t>Reporting Year 2024</w:t>
            </w:r>
            <w:r>
              <w:rPr>
                <w:noProof/>
                <w:webHidden/>
              </w:rPr>
              <w:tab/>
            </w:r>
            <w:r>
              <w:rPr>
                <w:noProof/>
                <w:webHidden/>
              </w:rPr>
              <w:fldChar w:fldCharType="begin"/>
            </w:r>
            <w:r>
              <w:rPr>
                <w:noProof/>
                <w:webHidden/>
              </w:rPr>
              <w:instrText xml:space="preserve"> PAGEREF _Toc232003722 \h </w:instrText>
            </w:r>
            <w:r>
              <w:rPr>
                <w:noProof/>
                <w:webHidden/>
              </w:rPr>
            </w:r>
            <w:r>
              <w:rPr>
                <w:noProof/>
                <w:webHidden/>
              </w:rPr>
              <w:fldChar w:fldCharType="separate"/>
            </w:r>
            <w:r>
              <w:rPr>
                <w:noProof/>
                <w:webHidden/>
              </w:rPr>
              <w:t>1</w:t>
            </w:r>
            <w:r>
              <w:rPr>
                <w:noProof/>
                <w:webHidden/>
              </w:rPr>
              <w:fldChar w:fldCharType="end"/>
            </w:r>
          </w:hyperlink>
        </w:p>
        <w:p w14:paraId="47847B90" w14:textId="0AFDA704" w:rsidR="004D26A5" w:rsidRDefault="004D26A5">
          <w:pPr>
            <w:pStyle w:val="TOC1"/>
            <w:tabs>
              <w:tab w:val="right" w:leader="dot" w:pos="9019"/>
            </w:tabs>
            <w:rPr>
              <w:noProof/>
            </w:rPr>
          </w:pPr>
          <w:hyperlink w:anchor="_Toc232003723" w:history="1">
            <w:r w:rsidRPr="00C43720">
              <w:rPr>
                <w:rStyle w:val="Hyperlink"/>
                <w:rFonts w:ascii="Arial" w:hAnsi="Arial"/>
                <w:noProof/>
              </w:rPr>
              <w:t>Table of Contents</w:t>
            </w:r>
            <w:r>
              <w:rPr>
                <w:noProof/>
                <w:webHidden/>
              </w:rPr>
              <w:tab/>
            </w:r>
            <w:r>
              <w:rPr>
                <w:noProof/>
                <w:webHidden/>
              </w:rPr>
              <w:fldChar w:fldCharType="begin"/>
            </w:r>
            <w:r>
              <w:rPr>
                <w:noProof/>
                <w:webHidden/>
              </w:rPr>
              <w:instrText xml:space="preserve"> PAGEREF _Toc232003723 \h </w:instrText>
            </w:r>
            <w:r>
              <w:rPr>
                <w:noProof/>
                <w:webHidden/>
              </w:rPr>
            </w:r>
            <w:r>
              <w:rPr>
                <w:noProof/>
                <w:webHidden/>
              </w:rPr>
              <w:fldChar w:fldCharType="separate"/>
            </w:r>
            <w:r>
              <w:rPr>
                <w:noProof/>
                <w:webHidden/>
              </w:rPr>
              <w:t>2</w:t>
            </w:r>
            <w:r>
              <w:rPr>
                <w:noProof/>
                <w:webHidden/>
              </w:rPr>
              <w:fldChar w:fldCharType="end"/>
            </w:r>
          </w:hyperlink>
        </w:p>
        <w:p w14:paraId="40851D14" w14:textId="675E5005" w:rsidR="004D26A5" w:rsidRDefault="004D26A5">
          <w:pPr>
            <w:pStyle w:val="TOC1"/>
            <w:tabs>
              <w:tab w:val="right" w:leader="dot" w:pos="9019"/>
            </w:tabs>
            <w:rPr>
              <w:noProof/>
            </w:rPr>
          </w:pPr>
          <w:hyperlink w:anchor="_Toc232003724" w:history="1">
            <w:r w:rsidRPr="00C43720">
              <w:rPr>
                <w:rStyle w:val="Hyperlink"/>
                <w:rFonts w:ascii="Arial" w:hAnsi="Arial"/>
                <w:noProof/>
              </w:rPr>
              <w:t>Executive Summary</w:t>
            </w:r>
            <w:r>
              <w:rPr>
                <w:noProof/>
                <w:webHidden/>
              </w:rPr>
              <w:tab/>
            </w:r>
            <w:r>
              <w:rPr>
                <w:noProof/>
                <w:webHidden/>
              </w:rPr>
              <w:fldChar w:fldCharType="begin"/>
            </w:r>
            <w:r>
              <w:rPr>
                <w:noProof/>
                <w:webHidden/>
              </w:rPr>
              <w:instrText xml:space="preserve"> PAGEREF _Toc232003724 \h </w:instrText>
            </w:r>
            <w:r>
              <w:rPr>
                <w:noProof/>
                <w:webHidden/>
              </w:rPr>
            </w:r>
            <w:r>
              <w:rPr>
                <w:noProof/>
                <w:webHidden/>
              </w:rPr>
              <w:fldChar w:fldCharType="separate"/>
            </w:r>
            <w:r>
              <w:rPr>
                <w:noProof/>
                <w:webHidden/>
              </w:rPr>
              <w:t>4</w:t>
            </w:r>
            <w:r>
              <w:rPr>
                <w:noProof/>
                <w:webHidden/>
              </w:rPr>
              <w:fldChar w:fldCharType="end"/>
            </w:r>
          </w:hyperlink>
        </w:p>
        <w:p w14:paraId="4DB952F8" w14:textId="6E5F3E66" w:rsidR="004D26A5" w:rsidRDefault="004D26A5">
          <w:pPr>
            <w:pStyle w:val="TOC1"/>
            <w:tabs>
              <w:tab w:val="right" w:leader="dot" w:pos="9019"/>
            </w:tabs>
            <w:rPr>
              <w:noProof/>
            </w:rPr>
          </w:pPr>
          <w:hyperlink w:anchor="_Toc232003725" w:history="1">
            <w:r w:rsidRPr="00C43720">
              <w:rPr>
                <w:rStyle w:val="Hyperlink"/>
                <w:rFonts w:ascii="Arial" w:hAnsi="Arial"/>
                <w:noProof/>
              </w:rPr>
              <w:t>Environmental Performance</w:t>
            </w:r>
            <w:r>
              <w:rPr>
                <w:noProof/>
                <w:webHidden/>
              </w:rPr>
              <w:tab/>
            </w:r>
            <w:r>
              <w:rPr>
                <w:noProof/>
                <w:webHidden/>
              </w:rPr>
              <w:fldChar w:fldCharType="begin"/>
            </w:r>
            <w:r>
              <w:rPr>
                <w:noProof/>
                <w:webHidden/>
              </w:rPr>
              <w:instrText xml:space="preserve"> PAGEREF _Toc232003725 \h </w:instrText>
            </w:r>
            <w:r>
              <w:rPr>
                <w:noProof/>
                <w:webHidden/>
              </w:rPr>
            </w:r>
            <w:r>
              <w:rPr>
                <w:noProof/>
                <w:webHidden/>
              </w:rPr>
              <w:fldChar w:fldCharType="separate"/>
            </w:r>
            <w:r>
              <w:rPr>
                <w:noProof/>
                <w:webHidden/>
              </w:rPr>
              <w:t>7</w:t>
            </w:r>
            <w:r>
              <w:rPr>
                <w:noProof/>
                <w:webHidden/>
              </w:rPr>
              <w:fldChar w:fldCharType="end"/>
            </w:r>
          </w:hyperlink>
        </w:p>
        <w:p w14:paraId="59B0D19A" w14:textId="605CA458" w:rsidR="004D26A5" w:rsidRDefault="004D26A5">
          <w:pPr>
            <w:pStyle w:val="TOC2"/>
            <w:tabs>
              <w:tab w:val="right" w:leader="dot" w:pos="9019"/>
            </w:tabs>
            <w:rPr>
              <w:noProof/>
            </w:rPr>
          </w:pPr>
          <w:hyperlink w:anchor="_Toc232003726" w:history="1">
            <w:r w:rsidRPr="00C43720">
              <w:rPr>
                <w:rStyle w:val="Hyperlink"/>
                <w:rFonts w:ascii="Arial" w:hAnsi="Arial"/>
                <w:noProof/>
              </w:rPr>
              <w:t>1.1 Direct GHG Emissions — Scope 1</w:t>
            </w:r>
            <w:r>
              <w:rPr>
                <w:noProof/>
                <w:webHidden/>
              </w:rPr>
              <w:tab/>
            </w:r>
            <w:r>
              <w:rPr>
                <w:noProof/>
                <w:webHidden/>
              </w:rPr>
              <w:fldChar w:fldCharType="begin"/>
            </w:r>
            <w:r>
              <w:rPr>
                <w:noProof/>
                <w:webHidden/>
              </w:rPr>
              <w:instrText xml:space="preserve"> PAGEREF _Toc232003726 \h </w:instrText>
            </w:r>
            <w:r>
              <w:rPr>
                <w:noProof/>
                <w:webHidden/>
              </w:rPr>
            </w:r>
            <w:r>
              <w:rPr>
                <w:noProof/>
                <w:webHidden/>
              </w:rPr>
              <w:fldChar w:fldCharType="separate"/>
            </w:r>
            <w:r>
              <w:rPr>
                <w:noProof/>
                <w:webHidden/>
              </w:rPr>
              <w:t>7</w:t>
            </w:r>
            <w:r>
              <w:rPr>
                <w:noProof/>
                <w:webHidden/>
              </w:rPr>
              <w:fldChar w:fldCharType="end"/>
            </w:r>
          </w:hyperlink>
        </w:p>
        <w:p w14:paraId="6F65F528" w14:textId="3C1DF07B" w:rsidR="004D26A5" w:rsidRDefault="004D26A5">
          <w:pPr>
            <w:pStyle w:val="TOC2"/>
            <w:tabs>
              <w:tab w:val="right" w:leader="dot" w:pos="9019"/>
            </w:tabs>
            <w:rPr>
              <w:noProof/>
            </w:rPr>
          </w:pPr>
          <w:hyperlink w:anchor="_Toc232003727" w:history="1">
            <w:r w:rsidRPr="00C43720">
              <w:rPr>
                <w:rStyle w:val="Hyperlink"/>
                <w:rFonts w:ascii="Arial" w:hAnsi="Arial"/>
                <w:noProof/>
              </w:rPr>
              <w:t>1.2 Energy Indirect GHG Emissions — Scope 2</w:t>
            </w:r>
            <w:r>
              <w:rPr>
                <w:noProof/>
                <w:webHidden/>
              </w:rPr>
              <w:tab/>
            </w:r>
            <w:r>
              <w:rPr>
                <w:noProof/>
                <w:webHidden/>
              </w:rPr>
              <w:fldChar w:fldCharType="begin"/>
            </w:r>
            <w:r>
              <w:rPr>
                <w:noProof/>
                <w:webHidden/>
              </w:rPr>
              <w:instrText xml:space="preserve"> PAGEREF _Toc232003727 \h </w:instrText>
            </w:r>
            <w:r>
              <w:rPr>
                <w:noProof/>
                <w:webHidden/>
              </w:rPr>
            </w:r>
            <w:r>
              <w:rPr>
                <w:noProof/>
                <w:webHidden/>
              </w:rPr>
              <w:fldChar w:fldCharType="separate"/>
            </w:r>
            <w:r>
              <w:rPr>
                <w:noProof/>
                <w:webHidden/>
              </w:rPr>
              <w:t>12</w:t>
            </w:r>
            <w:r>
              <w:rPr>
                <w:noProof/>
                <w:webHidden/>
              </w:rPr>
              <w:fldChar w:fldCharType="end"/>
            </w:r>
          </w:hyperlink>
        </w:p>
        <w:p w14:paraId="357AF52B" w14:textId="790D50C5" w:rsidR="004D26A5" w:rsidRDefault="004D26A5">
          <w:pPr>
            <w:pStyle w:val="TOC2"/>
            <w:tabs>
              <w:tab w:val="right" w:leader="dot" w:pos="9019"/>
            </w:tabs>
            <w:rPr>
              <w:noProof/>
            </w:rPr>
          </w:pPr>
          <w:hyperlink w:anchor="_Toc232003728" w:history="1">
            <w:r w:rsidRPr="00C43720">
              <w:rPr>
                <w:rStyle w:val="Hyperlink"/>
                <w:rFonts w:ascii="Arial" w:hAnsi="Arial"/>
                <w:noProof/>
              </w:rPr>
              <w:t>1.3 Financed Emissions — Scope 3 Category 15</w:t>
            </w:r>
            <w:r>
              <w:rPr>
                <w:noProof/>
                <w:webHidden/>
              </w:rPr>
              <w:tab/>
            </w:r>
            <w:r>
              <w:rPr>
                <w:noProof/>
                <w:webHidden/>
              </w:rPr>
              <w:fldChar w:fldCharType="begin"/>
            </w:r>
            <w:r>
              <w:rPr>
                <w:noProof/>
                <w:webHidden/>
              </w:rPr>
              <w:instrText xml:space="preserve"> PAGEREF _Toc232003728 \h </w:instrText>
            </w:r>
            <w:r>
              <w:rPr>
                <w:noProof/>
                <w:webHidden/>
              </w:rPr>
            </w:r>
            <w:r>
              <w:rPr>
                <w:noProof/>
                <w:webHidden/>
              </w:rPr>
              <w:fldChar w:fldCharType="separate"/>
            </w:r>
            <w:r>
              <w:rPr>
                <w:noProof/>
                <w:webHidden/>
              </w:rPr>
              <w:t>17</w:t>
            </w:r>
            <w:r>
              <w:rPr>
                <w:noProof/>
                <w:webHidden/>
              </w:rPr>
              <w:fldChar w:fldCharType="end"/>
            </w:r>
          </w:hyperlink>
        </w:p>
        <w:p w14:paraId="491C535A" w14:textId="57322BA8" w:rsidR="004D26A5" w:rsidRDefault="004D26A5">
          <w:pPr>
            <w:pStyle w:val="TOC2"/>
            <w:tabs>
              <w:tab w:val="right" w:leader="dot" w:pos="9019"/>
            </w:tabs>
            <w:rPr>
              <w:noProof/>
            </w:rPr>
          </w:pPr>
          <w:hyperlink w:anchor="_Toc232003729" w:history="1">
            <w:r w:rsidRPr="00C43720">
              <w:rPr>
                <w:rStyle w:val="Hyperlink"/>
                <w:rFonts w:ascii="Arial" w:hAnsi="Arial"/>
                <w:noProof/>
              </w:rPr>
              <w:t>1.4 GHG Emissions Intensity</w:t>
            </w:r>
            <w:r>
              <w:rPr>
                <w:noProof/>
                <w:webHidden/>
              </w:rPr>
              <w:tab/>
            </w:r>
            <w:r>
              <w:rPr>
                <w:noProof/>
                <w:webHidden/>
              </w:rPr>
              <w:fldChar w:fldCharType="begin"/>
            </w:r>
            <w:r>
              <w:rPr>
                <w:noProof/>
                <w:webHidden/>
              </w:rPr>
              <w:instrText xml:space="preserve"> PAGEREF _Toc232003729 \h </w:instrText>
            </w:r>
            <w:r>
              <w:rPr>
                <w:noProof/>
                <w:webHidden/>
              </w:rPr>
            </w:r>
            <w:r>
              <w:rPr>
                <w:noProof/>
                <w:webHidden/>
              </w:rPr>
              <w:fldChar w:fldCharType="separate"/>
            </w:r>
            <w:r>
              <w:rPr>
                <w:noProof/>
                <w:webHidden/>
              </w:rPr>
              <w:t>23</w:t>
            </w:r>
            <w:r>
              <w:rPr>
                <w:noProof/>
                <w:webHidden/>
              </w:rPr>
              <w:fldChar w:fldCharType="end"/>
            </w:r>
          </w:hyperlink>
        </w:p>
        <w:p w14:paraId="5EB690A4" w14:textId="34133605" w:rsidR="004D26A5" w:rsidRDefault="004D26A5">
          <w:pPr>
            <w:pStyle w:val="TOC2"/>
            <w:tabs>
              <w:tab w:val="right" w:leader="dot" w:pos="9019"/>
            </w:tabs>
            <w:rPr>
              <w:noProof/>
            </w:rPr>
          </w:pPr>
          <w:hyperlink w:anchor="_Toc232003730" w:history="1">
            <w:r w:rsidRPr="00C43720">
              <w:rPr>
                <w:rStyle w:val="Hyperlink"/>
                <w:rFonts w:ascii="Arial" w:hAnsi="Arial"/>
                <w:noProof/>
              </w:rPr>
              <w:t>1.5 Emission Reduction Initiatives &amp; Targets</w:t>
            </w:r>
            <w:r>
              <w:rPr>
                <w:noProof/>
                <w:webHidden/>
              </w:rPr>
              <w:tab/>
            </w:r>
            <w:r>
              <w:rPr>
                <w:noProof/>
                <w:webHidden/>
              </w:rPr>
              <w:fldChar w:fldCharType="begin"/>
            </w:r>
            <w:r>
              <w:rPr>
                <w:noProof/>
                <w:webHidden/>
              </w:rPr>
              <w:instrText xml:space="preserve"> PAGEREF _Toc232003730 \h </w:instrText>
            </w:r>
            <w:r>
              <w:rPr>
                <w:noProof/>
                <w:webHidden/>
              </w:rPr>
            </w:r>
            <w:r>
              <w:rPr>
                <w:noProof/>
                <w:webHidden/>
              </w:rPr>
              <w:fldChar w:fldCharType="separate"/>
            </w:r>
            <w:r>
              <w:rPr>
                <w:noProof/>
                <w:webHidden/>
              </w:rPr>
              <w:t>28</w:t>
            </w:r>
            <w:r>
              <w:rPr>
                <w:noProof/>
                <w:webHidden/>
              </w:rPr>
              <w:fldChar w:fldCharType="end"/>
            </w:r>
          </w:hyperlink>
        </w:p>
        <w:p w14:paraId="1CD7C177" w14:textId="4BE60610" w:rsidR="004D26A5" w:rsidRDefault="004D26A5">
          <w:pPr>
            <w:pStyle w:val="TOC1"/>
            <w:tabs>
              <w:tab w:val="right" w:leader="dot" w:pos="9019"/>
            </w:tabs>
            <w:rPr>
              <w:noProof/>
            </w:rPr>
          </w:pPr>
          <w:hyperlink w:anchor="_Toc232003731" w:history="1">
            <w:r w:rsidRPr="00C43720">
              <w:rPr>
                <w:rStyle w:val="Hyperlink"/>
                <w:rFonts w:ascii="Arial" w:hAnsi="Arial"/>
                <w:noProof/>
              </w:rPr>
              <w:t>Social Performance</w:t>
            </w:r>
            <w:r>
              <w:rPr>
                <w:noProof/>
                <w:webHidden/>
              </w:rPr>
              <w:tab/>
            </w:r>
            <w:r>
              <w:rPr>
                <w:noProof/>
                <w:webHidden/>
              </w:rPr>
              <w:fldChar w:fldCharType="begin"/>
            </w:r>
            <w:r>
              <w:rPr>
                <w:noProof/>
                <w:webHidden/>
              </w:rPr>
              <w:instrText xml:space="preserve"> PAGEREF _Toc232003731 \h </w:instrText>
            </w:r>
            <w:r>
              <w:rPr>
                <w:noProof/>
                <w:webHidden/>
              </w:rPr>
            </w:r>
            <w:r>
              <w:rPr>
                <w:noProof/>
                <w:webHidden/>
              </w:rPr>
              <w:fldChar w:fldCharType="separate"/>
            </w:r>
            <w:r>
              <w:rPr>
                <w:noProof/>
                <w:webHidden/>
              </w:rPr>
              <w:t>36</w:t>
            </w:r>
            <w:r>
              <w:rPr>
                <w:noProof/>
                <w:webHidden/>
              </w:rPr>
              <w:fldChar w:fldCharType="end"/>
            </w:r>
          </w:hyperlink>
        </w:p>
        <w:p w14:paraId="1C25BC90" w14:textId="161E1C56" w:rsidR="004D26A5" w:rsidRDefault="004D26A5">
          <w:pPr>
            <w:pStyle w:val="TOC2"/>
            <w:tabs>
              <w:tab w:val="right" w:leader="dot" w:pos="9019"/>
            </w:tabs>
            <w:rPr>
              <w:noProof/>
            </w:rPr>
          </w:pPr>
          <w:hyperlink w:anchor="_Toc232003732" w:history="1">
            <w:r w:rsidRPr="00C43720">
              <w:rPr>
                <w:rStyle w:val="Hyperlink"/>
                <w:rFonts w:ascii="Arial" w:hAnsi="Arial"/>
                <w:noProof/>
              </w:rPr>
              <w:t>2.1 Workforce &amp; Human Capital</w:t>
            </w:r>
            <w:r>
              <w:rPr>
                <w:noProof/>
                <w:webHidden/>
              </w:rPr>
              <w:tab/>
            </w:r>
            <w:r>
              <w:rPr>
                <w:noProof/>
                <w:webHidden/>
              </w:rPr>
              <w:fldChar w:fldCharType="begin"/>
            </w:r>
            <w:r>
              <w:rPr>
                <w:noProof/>
                <w:webHidden/>
              </w:rPr>
              <w:instrText xml:space="preserve"> PAGEREF _Toc232003732 \h </w:instrText>
            </w:r>
            <w:r>
              <w:rPr>
                <w:noProof/>
                <w:webHidden/>
              </w:rPr>
            </w:r>
            <w:r>
              <w:rPr>
                <w:noProof/>
                <w:webHidden/>
              </w:rPr>
              <w:fldChar w:fldCharType="separate"/>
            </w:r>
            <w:r>
              <w:rPr>
                <w:noProof/>
                <w:webHidden/>
              </w:rPr>
              <w:t>36</w:t>
            </w:r>
            <w:r>
              <w:rPr>
                <w:noProof/>
                <w:webHidden/>
              </w:rPr>
              <w:fldChar w:fldCharType="end"/>
            </w:r>
          </w:hyperlink>
        </w:p>
        <w:p w14:paraId="6EBF9AFB" w14:textId="3CB736A1" w:rsidR="004D26A5" w:rsidRDefault="004D26A5">
          <w:pPr>
            <w:pStyle w:val="TOC3"/>
            <w:tabs>
              <w:tab w:val="right" w:leader="dot" w:pos="9019"/>
            </w:tabs>
            <w:rPr>
              <w:noProof/>
            </w:rPr>
          </w:pPr>
          <w:hyperlink w:anchor="_Toc232003733" w:history="1">
            <w:r w:rsidRPr="00C43720">
              <w:rPr>
                <w:rStyle w:val="Hyperlink"/>
                <w:rFonts w:ascii="Arial" w:hAnsi="Arial"/>
                <w:noProof/>
              </w:rPr>
              <w:t>2.1.1 Workforce Overview (GRI 2-7)  As of December 31, 2024, the institution employed 24,997 full-time equivalent (FTE) employees, representing a 2.03% increase from 24,500 FTEs in 2023. The workforce comprised 10,579 female employees (42.32%) and 14,418 male employees (57.68%). This headcount growth reflects the institution's continued expansion of operations and service delivery capacity across its branch network and digital banking infrastructure.</w:t>
            </w:r>
            <w:r>
              <w:rPr>
                <w:noProof/>
                <w:webHidden/>
              </w:rPr>
              <w:tab/>
            </w:r>
            <w:r>
              <w:rPr>
                <w:noProof/>
                <w:webHidden/>
              </w:rPr>
              <w:fldChar w:fldCharType="begin"/>
            </w:r>
            <w:r>
              <w:rPr>
                <w:noProof/>
                <w:webHidden/>
              </w:rPr>
              <w:instrText xml:space="preserve"> PAGEREF _Toc232003733 \h </w:instrText>
            </w:r>
            <w:r>
              <w:rPr>
                <w:noProof/>
                <w:webHidden/>
              </w:rPr>
            </w:r>
            <w:r>
              <w:rPr>
                <w:noProof/>
                <w:webHidden/>
              </w:rPr>
              <w:fldChar w:fldCharType="separate"/>
            </w:r>
            <w:r>
              <w:rPr>
                <w:noProof/>
                <w:webHidden/>
              </w:rPr>
              <w:t>36</w:t>
            </w:r>
            <w:r>
              <w:rPr>
                <w:noProof/>
                <w:webHidden/>
              </w:rPr>
              <w:fldChar w:fldCharType="end"/>
            </w:r>
          </w:hyperlink>
        </w:p>
        <w:p w14:paraId="47A971A4" w14:textId="2A1CE590" w:rsidR="004D26A5" w:rsidRDefault="004D26A5">
          <w:pPr>
            <w:pStyle w:val="TOC3"/>
            <w:tabs>
              <w:tab w:val="right" w:leader="dot" w:pos="9019"/>
            </w:tabs>
            <w:rPr>
              <w:noProof/>
            </w:rPr>
          </w:pPr>
          <w:hyperlink w:anchor="_Toc232003734" w:history="1">
            <w:r w:rsidRPr="00C43720">
              <w:rPr>
                <w:rStyle w:val="Hyperlink"/>
                <w:rFonts w:ascii="Arial" w:hAnsi="Arial"/>
                <w:noProof/>
              </w:rPr>
              <w:t>2.1.2 Employment (GRI 401-1)  During 2024, the institution hired 2,595 new employees, representing a hiring rate of 10.38% relative to total headcount. This compares to 3,169 new hires (12.93% hiring rate) in 2023. The voluntary turnover rate improved significantly to 8.45% in 2024, down from 14.24% in 2023—a 40.66% year-over-year reduction in turnover rate. This improvement reflects enhanced employee retention strategies, including competitive remuneration adjustments, expanded career development programs, and improved work-life balance initiatives implemented during the reporting period.</w:t>
            </w:r>
            <w:r>
              <w:rPr>
                <w:noProof/>
                <w:webHidden/>
              </w:rPr>
              <w:tab/>
            </w:r>
            <w:r>
              <w:rPr>
                <w:noProof/>
                <w:webHidden/>
              </w:rPr>
              <w:fldChar w:fldCharType="begin"/>
            </w:r>
            <w:r>
              <w:rPr>
                <w:noProof/>
                <w:webHidden/>
              </w:rPr>
              <w:instrText xml:space="preserve"> PAGEREF _Toc232003734 \h </w:instrText>
            </w:r>
            <w:r>
              <w:rPr>
                <w:noProof/>
                <w:webHidden/>
              </w:rPr>
            </w:r>
            <w:r>
              <w:rPr>
                <w:noProof/>
                <w:webHidden/>
              </w:rPr>
              <w:fldChar w:fldCharType="separate"/>
            </w:r>
            <w:r>
              <w:rPr>
                <w:noProof/>
                <w:webHidden/>
              </w:rPr>
              <w:t>37</w:t>
            </w:r>
            <w:r>
              <w:rPr>
                <w:noProof/>
                <w:webHidden/>
              </w:rPr>
              <w:fldChar w:fldCharType="end"/>
            </w:r>
          </w:hyperlink>
        </w:p>
        <w:p w14:paraId="4A796E21" w14:textId="53DA4AA4" w:rsidR="004D26A5" w:rsidRDefault="004D26A5">
          <w:pPr>
            <w:pStyle w:val="TOC3"/>
            <w:tabs>
              <w:tab w:val="right" w:leader="dot" w:pos="9019"/>
            </w:tabs>
            <w:rPr>
              <w:noProof/>
            </w:rPr>
          </w:pPr>
          <w:hyperlink w:anchor="_Toc232003735" w:history="1">
            <w:r w:rsidRPr="00C43720">
              <w:rPr>
                <w:rStyle w:val="Hyperlink"/>
                <w:rFonts w:ascii="Arial" w:hAnsi="Arial"/>
                <w:noProof/>
              </w:rPr>
              <w:t>2.1.3 Training &amp; Education (GRI 404-1)  The institution provided an average of 49.3 training hours per FTE during 2024, compared to 64.14 hours per FTE in 2023—a 23.14% year-over-year decrease. Total training investment across the workforce amounted to approximately 1,232,282 training hours (24,997 FTEs × 49.3 hours). Training programs covered technical skills development, regulatory compliance, risk management, customer service excellence, and leadership development.</w:t>
            </w:r>
            <w:r>
              <w:rPr>
                <w:noProof/>
                <w:webHidden/>
              </w:rPr>
              <w:tab/>
            </w:r>
            <w:r>
              <w:rPr>
                <w:noProof/>
                <w:webHidden/>
              </w:rPr>
              <w:fldChar w:fldCharType="begin"/>
            </w:r>
            <w:r>
              <w:rPr>
                <w:noProof/>
                <w:webHidden/>
              </w:rPr>
              <w:instrText xml:space="preserve"> PAGEREF _Toc232003735 \h </w:instrText>
            </w:r>
            <w:r>
              <w:rPr>
                <w:noProof/>
                <w:webHidden/>
              </w:rPr>
            </w:r>
            <w:r>
              <w:rPr>
                <w:noProof/>
                <w:webHidden/>
              </w:rPr>
              <w:fldChar w:fldCharType="separate"/>
            </w:r>
            <w:r>
              <w:rPr>
                <w:noProof/>
                <w:webHidden/>
              </w:rPr>
              <w:t>37</w:t>
            </w:r>
            <w:r>
              <w:rPr>
                <w:noProof/>
                <w:webHidden/>
              </w:rPr>
              <w:fldChar w:fldCharType="end"/>
            </w:r>
          </w:hyperlink>
        </w:p>
        <w:p w14:paraId="2F82C1C1" w14:textId="3BD822CF" w:rsidR="004D26A5" w:rsidRDefault="004D26A5">
          <w:pPr>
            <w:pStyle w:val="TOC3"/>
            <w:tabs>
              <w:tab w:val="right" w:leader="dot" w:pos="9019"/>
            </w:tabs>
            <w:rPr>
              <w:noProof/>
            </w:rPr>
          </w:pPr>
          <w:hyperlink w:anchor="_Toc232003736" w:history="1">
            <w:r w:rsidRPr="00C43720">
              <w:rPr>
                <w:rStyle w:val="Hyperlink"/>
                <w:rFonts w:ascii="Arial" w:hAnsi="Arial"/>
                <w:noProof/>
              </w:rPr>
              <w:t xml:space="preserve">2.1.4 Diversity &amp; Equal Opportunity (GRI 405-1)  Female representation in management positions stood at 26.67% as of December 31, 2024, compared to 28.45% in 2023—a decrease of 1.78 percentage points. Overall female workforce representation decreased from 46.2% in 2023 to 42.32% in 2024, a decline of 3.88 percentage points. These </w:t>
            </w:r>
            <w:r w:rsidRPr="00C43720">
              <w:rPr>
                <w:rStyle w:val="Hyperlink"/>
                <w:rFonts w:ascii="Arial" w:hAnsi="Arial"/>
                <w:noProof/>
              </w:rPr>
              <w:lastRenderedPageBreak/>
              <w:t>trends indicate challenges in maintaining gender diversity momentum, particularly in leadership pipeline development.</w:t>
            </w:r>
            <w:r>
              <w:rPr>
                <w:noProof/>
                <w:webHidden/>
              </w:rPr>
              <w:tab/>
            </w:r>
            <w:r>
              <w:rPr>
                <w:noProof/>
                <w:webHidden/>
              </w:rPr>
              <w:fldChar w:fldCharType="begin"/>
            </w:r>
            <w:r>
              <w:rPr>
                <w:noProof/>
                <w:webHidden/>
              </w:rPr>
              <w:instrText xml:space="preserve"> PAGEREF _Toc232003736 \h </w:instrText>
            </w:r>
            <w:r>
              <w:rPr>
                <w:noProof/>
                <w:webHidden/>
              </w:rPr>
            </w:r>
            <w:r>
              <w:rPr>
                <w:noProof/>
                <w:webHidden/>
              </w:rPr>
              <w:fldChar w:fldCharType="separate"/>
            </w:r>
            <w:r>
              <w:rPr>
                <w:noProof/>
                <w:webHidden/>
              </w:rPr>
              <w:t>37</w:t>
            </w:r>
            <w:r>
              <w:rPr>
                <w:noProof/>
                <w:webHidden/>
              </w:rPr>
              <w:fldChar w:fldCharType="end"/>
            </w:r>
          </w:hyperlink>
        </w:p>
        <w:p w14:paraId="464FD3D1" w14:textId="69524163" w:rsidR="004D26A5" w:rsidRDefault="004D26A5">
          <w:pPr>
            <w:pStyle w:val="TOC3"/>
            <w:tabs>
              <w:tab w:val="right" w:leader="dot" w:pos="9019"/>
            </w:tabs>
            <w:rPr>
              <w:noProof/>
            </w:rPr>
          </w:pPr>
          <w:hyperlink w:anchor="_Toc232003737" w:history="1">
            <w:r w:rsidRPr="00C43720">
              <w:rPr>
                <w:rStyle w:val="Hyperlink"/>
                <w:rFonts w:ascii="Arial" w:hAnsi="Arial"/>
                <w:noProof/>
              </w:rPr>
              <w:t>2.1.5 Non-Discrimination (GRI 406-1)  During the 2024 reporting period, the institution recorded 2 incidents of discrimination that were reported through formal grievance mechanisms. This compares to 3 incidents in 2023. All reported cases were investigated in accordance with the institution's Code of Conduct and Human Resources policies. Remediation actions included disciplinary measures for responsible parties, mandatory anti-discrimination training for affected departments, and strengthening of reporting mechanisms to ensure psychological safety for whistleblowers. The institution maintains a zero-tolerance policy toward discrimination based on gender, age, ethnicity, religion, disability, or any other protected characteristic under Indonesian labor law.</w:t>
            </w:r>
            <w:r>
              <w:rPr>
                <w:noProof/>
                <w:webHidden/>
              </w:rPr>
              <w:tab/>
            </w:r>
            <w:r>
              <w:rPr>
                <w:noProof/>
                <w:webHidden/>
              </w:rPr>
              <w:fldChar w:fldCharType="begin"/>
            </w:r>
            <w:r>
              <w:rPr>
                <w:noProof/>
                <w:webHidden/>
              </w:rPr>
              <w:instrText xml:space="preserve"> PAGEREF _Toc232003737 \h </w:instrText>
            </w:r>
            <w:r>
              <w:rPr>
                <w:noProof/>
                <w:webHidden/>
              </w:rPr>
            </w:r>
            <w:r>
              <w:rPr>
                <w:noProof/>
                <w:webHidden/>
              </w:rPr>
              <w:fldChar w:fldCharType="separate"/>
            </w:r>
            <w:r>
              <w:rPr>
                <w:noProof/>
                <w:webHidden/>
              </w:rPr>
              <w:t>38</w:t>
            </w:r>
            <w:r>
              <w:rPr>
                <w:noProof/>
                <w:webHidden/>
              </w:rPr>
              <w:fldChar w:fldCharType="end"/>
            </w:r>
          </w:hyperlink>
        </w:p>
        <w:p w14:paraId="7F7DD66F" w14:textId="7FFC107F" w:rsidR="004D26A5" w:rsidRDefault="004D26A5">
          <w:pPr>
            <w:pStyle w:val="TOC3"/>
            <w:tabs>
              <w:tab w:val="right" w:leader="dot" w:pos="9019"/>
            </w:tabs>
            <w:rPr>
              <w:noProof/>
            </w:rPr>
          </w:pPr>
          <w:hyperlink w:anchor="_Toc232003738" w:history="1">
            <w:r w:rsidRPr="00C43720">
              <w:rPr>
                <w:rStyle w:val="Hyperlink"/>
                <w:rFonts w:ascii="Arial" w:hAnsi="Arial"/>
                <w:noProof/>
              </w:rPr>
              <w:t>2.1.6 Methodology  Workforce data is compiled from the institution's Human Resources Information System (HRIS) as of the last day of the reporting period (December 31, 2024). Full-time equivalent (FTE) calculations include all permanent employees on the institution's payroll, excluding contractors, temporary staff, and outsourced service providers. Gender classification is based on employee self-identification in HR records. Management positions are defined as roles at Assistant Vice President level and above, including all supervisory and leadership functions across business units and support functions.</w:t>
            </w:r>
            <w:r>
              <w:rPr>
                <w:noProof/>
                <w:webHidden/>
              </w:rPr>
              <w:tab/>
            </w:r>
            <w:r>
              <w:rPr>
                <w:noProof/>
                <w:webHidden/>
              </w:rPr>
              <w:fldChar w:fldCharType="begin"/>
            </w:r>
            <w:r>
              <w:rPr>
                <w:noProof/>
                <w:webHidden/>
              </w:rPr>
              <w:instrText xml:space="preserve"> PAGEREF _Toc232003738 \h </w:instrText>
            </w:r>
            <w:r>
              <w:rPr>
                <w:noProof/>
                <w:webHidden/>
              </w:rPr>
            </w:r>
            <w:r>
              <w:rPr>
                <w:noProof/>
                <w:webHidden/>
              </w:rPr>
              <w:fldChar w:fldCharType="separate"/>
            </w:r>
            <w:r>
              <w:rPr>
                <w:noProof/>
                <w:webHidden/>
              </w:rPr>
              <w:t>38</w:t>
            </w:r>
            <w:r>
              <w:rPr>
                <w:noProof/>
                <w:webHidden/>
              </w:rPr>
              <w:fldChar w:fldCharType="end"/>
            </w:r>
          </w:hyperlink>
        </w:p>
        <w:p w14:paraId="1998548A" w14:textId="3C7A09C8" w:rsidR="004D26A5" w:rsidRDefault="004D26A5">
          <w:pPr>
            <w:pStyle w:val="TOC1"/>
            <w:tabs>
              <w:tab w:val="right" w:leader="dot" w:pos="9019"/>
            </w:tabs>
            <w:rPr>
              <w:noProof/>
            </w:rPr>
          </w:pPr>
          <w:hyperlink w:anchor="_Toc232003739" w:history="1">
            <w:r w:rsidRPr="00C43720">
              <w:rPr>
                <w:rStyle w:val="Hyperlink"/>
                <w:rFonts w:ascii="Arial" w:hAnsi="Arial"/>
                <w:noProof/>
              </w:rPr>
              <w:t>Governance &amp; Strategy</w:t>
            </w:r>
            <w:r>
              <w:rPr>
                <w:noProof/>
                <w:webHidden/>
              </w:rPr>
              <w:tab/>
            </w:r>
            <w:r>
              <w:rPr>
                <w:noProof/>
                <w:webHidden/>
              </w:rPr>
              <w:fldChar w:fldCharType="begin"/>
            </w:r>
            <w:r>
              <w:rPr>
                <w:noProof/>
                <w:webHidden/>
              </w:rPr>
              <w:instrText xml:space="preserve"> PAGEREF _Toc232003739 \h </w:instrText>
            </w:r>
            <w:r>
              <w:rPr>
                <w:noProof/>
                <w:webHidden/>
              </w:rPr>
            </w:r>
            <w:r>
              <w:rPr>
                <w:noProof/>
                <w:webHidden/>
              </w:rPr>
              <w:fldChar w:fldCharType="separate"/>
            </w:r>
            <w:r>
              <w:rPr>
                <w:noProof/>
                <w:webHidden/>
              </w:rPr>
              <w:t>43</w:t>
            </w:r>
            <w:r>
              <w:rPr>
                <w:noProof/>
                <w:webHidden/>
              </w:rPr>
              <w:fldChar w:fldCharType="end"/>
            </w:r>
          </w:hyperlink>
        </w:p>
        <w:p w14:paraId="03F0017C" w14:textId="21950632" w:rsidR="004D26A5" w:rsidRDefault="004D26A5">
          <w:pPr>
            <w:pStyle w:val="TOC2"/>
            <w:tabs>
              <w:tab w:val="right" w:leader="dot" w:pos="9019"/>
            </w:tabs>
            <w:rPr>
              <w:noProof/>
            </w:rPr>
          </w:pPr>
          <w:hyperlink w:anchor="_Toc232003740" w:history="1">
            <w:r w:rsidRPr="00C43720">
              <w:rPr>
                <w:rStyle w:val="Hyperlink"/>
                <w:rFonts w:ascii="Arial" w:hAnsi="Arial"/>
                <w:noProof/>
              </w:rPr>
              <w:t>3.1 Climate Governance &amp; ESG Oversight</w:t>
            </w:r>
            <w:r>
              <w:rPr>
                <w:noProof/>
                <w:webHidden/>
              </w:rPr>
              <w:tab/>
            </w:r>
            <w:r>
              <w:rPr>
                <w:noProof/>
                <w:webHidden/>
              </w:rPr>
              <w:fldChar w:fldCharType="begin"/>
            </w:r>
            <w:r>
              <w:rPr>
                <w:noProof/>
                <w:webHidden/>
              </w:rPr>
              <w:instrText xml:space="preserve"> PAGEREF _Toc232003740 \h </w:instrText>
            </w:r>
            <w:r>
              <w:rPr>
                <w:noProof/>
                <w:webHidden/>
              </w:rPr>
            </w:r>
            <w:r>
              <w:rPr>
                <w:noProof/>
                <w:webHidden/>
              </w:rPr>
              <w:fldChar w:fldCharType="separate"/>
            </w:r>
            <w:r>
              <w:rPr>
                <w:noProof/>
                <w:webHidden/>
              </w:rPr>
              <w:t>43</w:t>
            </w:r>
            <w:r>
              <w:rPr>
                <w:noProof/>
                <w:webHidden/>
              </w:rPr>
              <w:fldChar w:fldCharType="end"/>
            </w:r>
          </w:hyperlink>
        </w:p>
        <w:p w14:paraId="2975B33C" w14:textId="53134FFE" w:rsidR="004D26A5" w:rsidRDefault="004D26A5">
          <w:pPr>
            <w:pStyle w:val="TOC3"/>
            <w:tabs>
              <w:tab w:val="right" w:leader="dot" w:pos="9019"/>
            </w:tabs>
            <w:rPr>
              <w:noProof/>
            </w:rPr>
          </w:pPr>
          <w:hyperlink w:anchor="_Toc232003741" w:history="1">
            <w:r w:rsidRPr="00C43720">
              <w:rPr>
                <w:rStyle w:val="Hyperlink"/>
                <w:rFonts w:ascii="Arial" w:hAnsi="Arial"/>
                <w:noProof/>
              </w:rPr>
              <w:t>Governance Gap Analysis  The institution has not yet established formal governance structures for climate-related risks and opportunities as required by multiple sustainability reporting frameworks. This section identifies the governance infrastructure requirements under IFRS S2, GRI 2-12/2-13, ESRS 2 GOV-3, and OJK PSPK regulations, and provides a roadmap for implementation based on peer bank practices in the Indonesian banking sector.</w:t>
            </w:r>
            <w:r>
              <w:rPr>
                <w:noProof/>
                <w:webHidden/>
              </w:rPr>
              <w:tab/>
            </w:r>
            <w:r>
              <w:rPr>
                <w:noProof/>
                <w:webHidden/>
              </w:rPr>
              <w:fldChar w:fldCharType="begin"/>
            </w:r>
            <w:r>
              <w:rPr>
                <w:noProof/>
                <w:webHidden/>
              </w:rPr>
              <w:instrText xml:space="preserve"> PAGEREF _Toc232003741 \h </w:instrText>
            </w:r>
            <w:r>
              <w:rPr>
                <w:noProof/>
                <w:webHidden/>
              </w:rPr>
            </w:r>
            <w:r>
              <w:rPr>
                <w:noProof/>
                <w:webHidden/>
              </w:rPr>
              <w:fldChar w:fldCharType="separate"/>
            </w:r>
            <w:r>
              <w:rPr>
                <w:noProof/>
                <w:webHidden/>
              </w:rPr>
              <w:t>44</w:t>
            </w:r>
            <w:r>
              <w:rPr>
                <w:noProof/>
                <w:webHidden/>
              </w:rPr>
              <w:fldChar w:fldCharType="end"/>
            </w:r>
          </w:hyperlink>
        </w:p>
        <w:p w14:paraId="2369DFB0" w14:textId="794961E0" w:rsidR="004D26A5" w:rsidRDefault="004D26A5">
          <w:pPr>
            <w:pStyle w:val="TOC3"/>
            <w:tabs>
              <w:tab w:val="right" w:leader="dot" w:pos="9019"/>
            </w:tabs>
            <w:rPr>
              <w:noProof/>
            </w:rPr>
          </w:pPr>
          <w:hyperlink w:anchor="_Toc232003742" w:history="1">
            <w:r w:rsidRPr="00C43720">
              <w:rPr>
                <w:rStyle w:val="Hyperlink"/>
                <w:rFonts w:ascii="Arial" w:hAnsi="Arial"/>
                <w:noProof/>
              </w:rPr>
              <w:t xml:space="preserve">Framework Requirements Not Currently Met  **IFRS S2 Paragraph 5** requires disclosure of the governance body or bodies responsible for oversight of climate-related risks and opportunities. The institution must identify the specific board committee with climate oversight authority, describe its composition, and explain how climate considerations inform strategic decisions and major transactions.  **IFRS S2 Paragraph 6** mandates disclosure of management's role in governance processes, including the specific management-level position or committee responsible for climate-related risks, reporting lines to the board, and integration with enterprise risk management frameworks.  **IFRS S2 Paragraph 7** requires explanation of how climate-related considerations are reflected in the institution's terms of reference, board mandates, role descriptions, and performance metrics.  **GRI 2-12** requires disclosure of the role of the highest governance body in overseeing the management of sustainability impacts, including how the body oversees due diligence and stakeholder engagement processes.  **GRI 2-13** mandates disclosure of how responsibility for managing sustainability impacts is delegated to management-level positions, including whether dedicated management-level positions exist and how they report to the highest governance body.  **ESRS 2 GOV-3** requires disclosure of how sustainability performance is integrated </w:t>
            </w:r>
            <w:r w:rsidRPr="00C43720">
              <w:rPr>
                <w:rStyle w:val="Hyperlink"/>
                <w:rFonts w:ascii="Arial" w:hAnsi="Arial"/>
                <w:noProof/>
              </w:rPr>
              <w:lastRenderedPageBreak/>
              <w:t>into incentive schemes for board members and senior executives, including the percentage of remuneration linked to sustainability metrics and which specific metrics are used.  **OJK PSPK (POJK 51/2017 and SEOJK 16/2021)** requires Indonesian financial institutions to establish board-level sustainability governance, including a dedicated committee or working group with clear terms of reference, regular reporting cadence, and integration into risk management frameworks.</w:t>
            </w:r>
            <w:r>
              <w:rPr>
                <w:noProof/>
                <w:webHidden/>
              </w:rPr>
              <w:tab/>
            </w:r>
            <w:r>
              <w:rPr>
                <w:noProof/>
                <w:webHidden/>
              </w:rPr>
              <w:fldChar w:fldCharType="begin"/>
            </w:r>
            <w:r>
              <w:rPr>
                <w:noProof/>
                <w:webHidden/>
              </w:rPr>
              <w:instrText xml:space="preserve"> PAGEREF _Toc232003742 \h </w:instrText>
            </w:r>
            <w:r>
              <w:rPr>
                <w:noProof/>
                <w:webHidden/>
              </w:rPr>
            </w:r>
            <w:r>
              <w:rPr>
                <w:noProof/>
                <w:webHidden/>
              </w:rPr>
              <w:fldChar w:fldCharType="separate"/>
            </w:r>
            <w:r>
              <w:rPr>
                <w:noProof/>
                <w:webHidden/>
              </w:rPr>
              <w:t>45</w:t>
            </w:r>
            <w:r>
              <w:rPr>
                <w:noProof/>
                <w:webHidden/>
              </w:rPr>
              <w:fldChar w:fldCharType="end"/>
            </w:r>
          </w:hyperlink>
        </w:p>
        <w:p w14:paraId="2FB72314" w14:textId="2877F06A" w:rsidR="004D26A5" w:rsidRDefault="004D26A5">
          <w:pPr>
            <w:pStyle w:val="TOC3"/>
            <w:tabs>
              <w:tab w:val="right" w:leader="dot" w:pos="9019"/>
            </w:tabs>
            <w:rPr>
              <w:noProof/>
            </w:rPr>
          </w:pPr>
          <w:hyperlink w:anchor="_Toc232003743" w:history="1">
            <w:r w:rsidRPr="00C43720">
              <w:rPr>
                <w:rStyle w:val="Hyperlink"/>
                <w:rFonts w:ascii="Arial" w:hAnsi="Arial"/>
                <w:noProof/>
              </w:rPr>
              <w:t>Peer Bank Governance Practices  **PT Bank Rakyat Indonesia (BRI)** established a dedicated Risk Management &amp; ESG Committee at the Board of Directors level in 2021 via Decision NOKEP 872-DIR/PPM/06/2022. The committee conducts quarterly reviews of climate-related risks and opportunities, with ESG key performance indicators integrated into Board of Directors' performance assessments. BRI was the first Indonesian financial institution to commit to Science-Based Targets initiative (SBTi) and is a member of the Net-Zero Banking Alliance (NZBA).  **PT Bank Central Asia (BCA)** operates an ESG Subdivision under the Corporate Secretary function, reporting directly to the Director of Planning &amp; Finance, who in turn reports to the President Director. The Board of Directors reviews ESG performance at least four times per year. BCA has issued multiple Board of Directors Decrees establishing sectoral ESG credit policies for high-risk sectors including coal, palm oil, timber, cement, iron-steel, and oil &amp; gas. ESG metrics are integrated into Board of Directors and work unit key performance indicators.  **DBS Bank** maintains a Board Sustainability Committee with a dedicated Chief Sustainability Officer (CSO) reporting directly to the Board. DBS links 20% of executive remuneration to ESG key performance indicators, including emissions reduction targets and sustainable finance portfolio growth. The bank conducts quarterly Board-level ESG reviews and has achieved 62% renewable energy usage across operations, contributing to a 12% year-over-year emissions reduction.  **Bank Mandiri** operates an ESG Task Force with semi-annual Board-level reviews. The bank has established internal policies aligned with Good Corporate Governance (GCG) principles and maintains a Composite 1 (Very Good) GCG self-assessment score, similar to BRI.</w:t>
            </w:r>
            <w:r>
              <w:rPr>
                <w:noProof/>
                <w:webHidden/>
              </w:rPr>
              <w:tab/>
            </w:r>
            <w:r>
              <w:rPr>
                <w:noProof/>
                <w:webHidden/>
              </w:rPr>
              <w:fldChar w:fldCharType="begin"/>
            </w:r>
            <w:r>
              <w:rPr>
                <w:noProof/>
                <w:webHidden/>
              </w:rPr>
              <w:instrText xml:space="preserve"> PAGEREF _Toc232003743 \h </w:instrText>
            </w:r>
            <w:r>
              <w:rPr>
                <w:noProof/>
                <w:webHidden/>
              </w:rPr>
            </w:r>
            <w:r>
              <w:rPr>
                <w:noProof/>
                <w:webHidden/>
              </w:rPr>
              <w:fldChar w:fldCharType="separate"/>
            </w:r>
            <w:r>
              <w:rPr>
                <w:noProof/>
                <w:webHidden/>
              </w:rPr>
              <w:t>46</w:t>
            </w:r>
            <w:r>
              <w:rPr>
                <w:noProof/>
                <w:webHidden/>
              </w:rPr>
              <w:fldChar w:fldCharType="end"/>
            </w:r>
          </w:hyperlink>
        </w:p>
        <w:p w14:paraId="1FC97C53" w14:textId="18022435" w:rsidR="004D26A5" w:rsidRDefault="004D26A5">
          <w:pPr>
            <w:pStyle w:val="TOC3"/>
            <w:tabs>
              <w:tab w:val="right" w:leader="dot" w:pos="9019"/>
            </w:tabs>
            <w:rPr>
              <w:noProof/>
            </w:rPr>
          </w:pPr>
          <w:hyperlink w:anchor="_Toc232003744" w:history="1">
            <w:r w:rsidRPr="00C43720">
              <w:rPr>
                <w:rStyle w:val="Hyperlink"/>
                <w:rFonts w:ascii="Arial" w:hAnsi="Arial"/>
                <w:noProof/>
              </w:rPr>
              <w:t xml:space="preserve">Recommended Governance Infrastructure  Based on peer practices and regulatory requirements, the institution should establish the following governance infrastructure:  **Board-Level Oversight:** Establish a Board Risk &amp; Sustainability Committee (or equivalent) with formal terms of reference approved by the Board of Commissioners. The committee should meet at least quarterly to review climate-related risks, sustainable finance portfolio performance, financed emissions trends, and progress against climate targets. Committee composition should include at least one member with demonstrated climate or sustainability expertise, with annual training provided to all Board members on emerging climate risks and regulatory developments.  **Management Accountability:** Appoint a Chief Sustainability Officer (CSO) or equivalent C-suite position with direct reporting line to the President Director and regular reporting obligations to the Board Risk &amp; Sustainability Committee. Establish a management-level ESG Working Group comprising representatives from Risk Management, Corporate Planning, Treasury, Credit, and Compliance functions to ensure cross-functional integration of climate considerations into business decisions.  **Remuneration Linkage:** Integrate ESG key performance indicators into Board of Directors and senior executive performance assessments, with 10-20% of variable remuneration linked to sustainability metrics. Recommended metrics include: (1) financed emissions intensity reduction (tCO2e per IDR billion outstanding), (2) </w:t>
            </w:r>
            <w:r w:rsidRPr="00C43720">
              <w:rPr>
                <w:rStyle w:val="Hyperlink"/>
                <w:rFonts w:ascii="Arial" w:hAnsi="Arial"/>
                <w:noProof/>
              </w:rPr>
              <w:lastRenderedPageBreak/>
              <w:t>sustainable finance portfolio growth (percentage of total portfolio), (3) operational emissions reduction (Scope 1+2 tCO2e), and (4) ESG risk management effectiveness (percentage of high-risk loans with ESG due diligence completed).  **Policy Framework:** Issue Board of Directors Decrees establishing: (1) Sustainable Finance Framework aligned with OJK TKBI and Indonesian Green Taxonomy (THI), (2) Sectoral Credit Policies for carbon-intensive sectors (energy, cement, steel, transportation) with phase-out timelines for coal financing, (3) Climate Risk Management Policy integrating physical and transition risks into credit risk assessment, and (4) Stakeholder Engagement Policy for client transition support.  **Target Setting and Monitoring:** Establish science-based targets for financed emissions reduction, with Board approval of baseline year, target year, and interim milestones. Implement quarterly monitoring of progress against targets, with results reported to the Board Risk &amp; Sustainability Committee and disclosed in annual sustainability reports. Consider SBTi commitment to enhance credibility and align with international best practices.</w:t>
            </w:r>
            <w:r>
              <w:rPr>
                <w:noProof/>
                <w:webHidden/>
              </w:rPr>
              <w:tab/>
            </w:r>
            <w:r>
              <w:rPr>
                <w:noProof/>
                <w:webHidden/>
              </w:rPr>
              <w:fldChar w:fldCharType="begin"/>
            </w:r>
            <w:r>
              <w:rPr>
                <w:noProof/>
                <w:webHidden/>
              </w:rPr>
              <w:instrText xml:space="preserve"> PAGEREF _Toc232003744 \h </w:instrText>
            </w:r>
            <w:r>
              <w:rPr>
                <w:noProof/>
                <w:webHidden/>
              </w:rPr>
            </w:r>
            <w:r>
              <w:rPr>
                <w:noProof/>
                <w:webHidden/>
              </w:rPr>
              <w:fldChar w:fldCharType="separate"/>
            </w:r>
            <w:r>
              <w:rPr>
                <w:noProof/>
                <w:webHidden/>
              </w:rPr>
              <w:t>47</w:t>
            </w:r>
            <w:r>
              <w:rPr>
                <w:noProof/>
                <w:webHidden/>
              </w:rPr>
              <w:fldChar w:fldCharType="end"/>
            </w:r>
          </w:hyperlink>
        </w:p>
        <w:p w14:paraId="0FB34FA0" w14:textId="507E5ED9" w:rsidR="004D26A5" w:rsidRDefault="004D26A5">
          <w:pPr>
            <w:pStyle w:val="TOC3"/>
            <w:tabs>
              <w:tab w:val="right" w:leader="dot" w:pos="9019"/>
            </w:tabs>
            <w:rPr>
              <w:noProof/>
            </w:rPr>
          </w:pPr>
          <w:hyperlink w:anchor="_Toc232003745" w:history="1">
            <w:r w:rsidRPr="00C43720">
              <w:rPr>
                <w:rStyle w:val="Hyperlink"/>
                <w:rFonts w:ascii="Arial" w:hAnsi="Arial"/>
                <w:noProof/>
              </w:rPr>
              <w:t>Implementation Timeline  **Q3 2025 (Immediate Priority):** Establish Board Risk &amp; Sustainability Committee with approved terms of reference; appoint interim ESG Working Group at management level; conduct Board climate risk training session with external expert.  **Q4 2025:** Recruit or designate Chief Sustainability Officer; develop draft Sustainable Finance Framework and Sectoral Credit Policies; conduct baseline financed emissions calculation for priority sectors.  **Q1 2026:** Board approval of Sustainable Finance Framework and Sectoral Credit Policies; integrate ESG KPIs into 2026 Board and executive performance contracts (10% weight minimum); submit OJK Sustainable Finance Action Plan (SFAP) with governance structure disclosure.  **Q2 2026:** Establish quarterly Board ESG reporting cadence; launch client engagement program for top 20 financed emissions contributors; evaluate SBTi commitment feasibility.  **Q3-Q4 2026:** Increase ESG remuneration linkage to 15-20%; submit first TCFD-aligned climate disclosure; achieve full compliance with OJK PSPK governance requirements; consider PCAF membership for financed emissions methodology alignment.</w:t>
            </w:r>
            <w:r>
              <w:rPr>
                <w:noProof/>
                <w:webHidden/>
              </w:rPr>
              <w:tab/>
            </w:r>
            <w:r>
              <w:rPr>
                <w:noProof/>
                <w:webHidden/>
              </w:rPr>
              <w:fldChar w:fldCharType="begin"/>
            </w:r>
            <w:r>
              <w:rPr>
                <w:noProof/>
                <w:webHidden/>
              </w:rPr>
              <w:instrText xml:space="preserve"> PAGEREF _Toc232003745 \h </w:instrText>
            </w:r>
            <w:r>
              <w:rPr>
                <w:noProof/>
                <w:webHidden/>
              </w:rPr>
            </w:r>
            <w:r>
              <w:rPr>
                <w:noProof/>
                <w:webHidden/>
              </w:rPr>
              <w:fldChar w:fldCharType="separate"/>
            </w:r>
            <w:r>
              <w:rPr>
                <w:noProof/>
                <w:webHidden/>
              </w:rPr>
              <w:t>48</w:t>
            </w:r>
            <w:r>
              <w:rPr>
                <w:noProof/>
                <w:webHidden/>
              </w:rPr>
              <w:fldChar w:fldCharType="end"/>
            </w:r>
          </w:hyperlink>
        </w:p>
        <w:p w14:paraId="6D026DF0" w14:textId="5A050BB2" w:rsidR="004D26A5" w:rsidRDefault="004D26A5">
          <w:pPr>
            <w:pStyle w:val="TOC1"/>
            <w:tabs>
              <w:tab w:val="right" w:leader="dot" w:pos="9019"/>
            </w:tabs>
            <w:rPr>
              <w:noProof/>
            </w:rPr>
          </w:pPr>
          <w:hyperlink w:anchor="_Toc232003746" w:history="1">
            <w:r w:rsidRPr="00C43720">
              <w:rPr>
                <w:rStyle w:val="Hyperlink"/>
                <w:rFonts w:ascii="Arial" w:hAnsi="Arial"/>
                <w:noProof/>
              </w:rPr>
              <w:t>Appendix A: Methodology Notes</w:t>
            </w:r>
            <w:r>
              <w:rPr>
                <w:noProof/>
                <w:webHidden/>
              </w:rPr>
              <w:tab/>
            </w:r>
            <w:r>
              <w:rPr>
                <w:noProof/>
                <w:webHidden/>
              </w:rPr>
              <w:fldChar w:fldCharType="begin"/>
            </w:r>
            <w:r>
              <w:rPr>
                <w:noProof/>
                <w:webHidden/>
              </w:rPr>
              <w:instrText xml:space="preserve"> PAGEREF _Toc232003746 \h </w:instrText>
            </w:r>
            <w:r>
              <w:rPr>
                <w:noProof/>
                <w:webHidden/>
              </w:rPr>
            </w:r>
            <w:r>
              <w:rPr>
                <w:noProof/>
                <w:webHidden/>
              </w:rPr>
              <w:fldChar w:fldCharType="separate"/>
            </w:r>
            <w:r>
              <w:rPr>
                <w:noProof/>
                <w:webHidden/>
              </w:rPr>
              <w:t>53</w:t>
            </w:r>
            <w:r>
              <w:rPr>
                <w:noProof/>
                <w:webHidden/>
              </w:rPr>
              <w:fldChar w:fldCharType="end"/>
            </w:r>
          </w:hyperlink>
        </w:p>
        <w:p w14:paraId="11406E9A" w14:textId="7299D5DA" w:rsidR="004D26A5" w:rsidRDefault="004D26A5">
          <w:pPr>
            <w:pStyle w:val="TOC1"/>
            <w:tabs>
              <w:tab w:val="right" w:leader="dot" w:pos="9019"/>
            </w:tabs>
            <w:rPr>
              <w:noProof/>
            </w:rPr>
          </w:pPr>
          <w:hyperlink w:anchor="_Toc232003747" w:history="1">
            <w:r w:rsidRPr="00C43720">
              <w:rPr>
                <w:rStyle w:val="Hyperlink"/>
                <w:rFonts w:ascii="Arial" w:hAnsi="Arial"/>
                <w:noProof/>
              </w:rPr>
              <w:t>Appendix B: Data Quality Summary</w:t>
            </w:r>
            <w:r>
              <w:rPr>
                <w:noProof/>
                <w:webHidden/>
              </w:rPr>
              <w:tab/>
            </w:r>
            <w:r>
              <w:rPr>
                <w:noProof/>
                <w:webHidden/>
              </w:rPr>
              <w:fldChar w:fldCharType="begin"/>
            </w:r>
            <w:r>
              <w:rPr>
                <w:noProof/>
                <w:webHidden/>
              </w:rPr>
              <w:instrText xml:space="preserve"> PAGEREF _Toc232003747 \h </w:instrText>
            </w:r>
            <w:r>
              <w:rPr>
                <w:noProof/>
                <w:webHidden/>
              </w:rPr>
            </w:r>
            <w:r>
              <w:rPr>
                <w:noProof/>
                <w:webHidden/>
              </w:rPr>
              <w:fldChar w:fldCharType="separate"/>
            </w:r>
            <w:r>
              <w:rPr>
                <w:noProof/>
                <w:webHidden/>
              </w:rPr>
              <w:t>53</w:t>
            </w:r>
            <w:r>
              <w:rPr>
                <w:noProof/>
                <w:webHidden/>
              </w:rPr>
              <w:fldChar w:fldCharType="end"/>
            </w:r>
          </w:hyperlink>
        </w:p>
        <w:p w14:paraId="6FDFB853" w14:textId="37C5B1E8" w:rsidR="004D26A5" w:rsidRDefault="004D26A5">
          <w:pPr>
            <w:pStyle w:val="TOC1"/>
            <w:tabs>
              <w:tab w:val="right" w:leader="dot" w:pos="9019"/>
            </w:tabs>
            <w:rPr>
              <w:noProof/>
            </w:rPr>
          </w:pPr>
          <w:hyperlink w:anchor="_Toc232003748" w:history="1">
            <w:r w:rsidRPr="00C43720">
              <w:rPr>
                <w:rStyle w:val="Hyperlink"/>
                <w:rFonts w:ascii="Arial" w:hAnsi="Arial"/>
                <w:noProof/>
              </w:rPr>
              <w:t>Appendix C: GRI Content Index</w:t>
            </w:r>
            <w:r>
              <w:rPr>
                <w:noProof/>
                <w:webHidden/>
              </w:rPr>
              <w:tab/>
            </w:r>
            <w:r>
              <w:rPr>
                <w:noProof/>
                <w:webHidden/>
              </w:rPr>
              <w:fldChar w:fldCharType="begin"/>
            </w:r>
            <w:r>
              <w:rPr>
                <w:noProof/>
                <w:webHidden/>
              </w:rPr>
              <w:instrText xml:space="preserve"> PAGEREF _Toc232003748 \h </w:instrText>
            </w:r>
            <w:r>
              <w:rPr>
                <w:noProof/>
                <w:webHidden/>
              </w:rPr>
            </w:r>
            <w:r>
              <w:rPr>
                <w:noProof/>
                <w:webHidden/>
              </w:rPr>
              <w:fldChar w:fldCharType="separate"/>
            </w:r>
            <w:r>
              <w:rPr>
                <w:noProof/>
                <w:webHidden/>
              </w:rPr>
              <w:t>53</w:t>
            </w:r>
            <w:r>
              <w:rPr>
                <w:noProof/>
                <w:webHidden/>
              </w:rPr>
              <w:fldChar w:fldCharType="end"/>
            </w:r>
          </w:hyperlink>
        </w:p>
        <w:p w14:paraId="24FC39E9" w14:textId="3646E38E" w:rsidR="004D26A5" w:rsidRDefault="004D26A5">
          <w:r>
            <w:rPr>
              <w:b/>
              <w:bCs/>
              <w:noProof/>
            </w:rPr>
            <w:fldChar w:fldCharType="end"/>
          </w:r>
        </w:p>
      </w:sdtContent>
    </w:sdt>
    <w:p w14:paraId="5992057F" w14:textId="77777777" w:rsidR="00A81986" w:rsidRDefault="0067390B">
      <w:r>
        <w:br w:type="page"/>
      </w:r>
    </w:p>
    <w:p w14:paraId="51E9C6AE" w14:textId="77777777" w:rsidR="00A81986" w:rsidRDefault="0067390B">
      <w:r>
        <w:lastRenderedPageBreak/>
        <w:br w:type="page"/>
      </w:r>
    </w:p>
    <w:p w14:paraId="1077F07C" w14:textId="77777777" w:rsidR="00A81986" w:rsidRDefault="0067390B">
      <w:pPr>
        <w:pStyle w:val="Heading1"/>
        <w:spacing w:after="240"/>
      </w:pPr>
      <w:bookmarkStart w:id="3" w:name="_Toc232003724"/>
      <w:r>
        <w:rPr>
          <w:rFonts w:ascii="Arial" w:hAnsi="Arial"/>
          <w:color w:val="1B3A6B"/>
          <w:sz w:val="36"/>
        </w:rPr>
        <w:lastRenderedPageBreak/>
        <w:t>Executive Summary</w:t>
      </w:r>
      <w:bookmarkEnd w:id="3"/>
    </w:p>
    <w:tbl>
      <w:tblPr>
        <w:tblW w:w="0" w:type="auto"/>
        <w:jc w:val="center"/>
        <w:tblLook w:val="04A0" w:firstRow="1" w:lastRow="0" w:firstColumn="1" w:lastColumn="0" w:noHBand="0" w:noVBand="1"/>
      </w:tblPr>
      <w:tblGrid>
        <w:gridCol w:w="2257"/>
        <w:gridCol w:w="2257"/>
        <w:gridCol w:w="2257"/>
        <w:gridCol w:w="2257"/>
      </w:tblGrid>
      <w:tr w:rsidR="00A81986" w14:paraId="33440B48" w14:textId="77777777">
        <w:trPr>
          <w:jc w:val="center"/>
        </w:trPr>
        <w:tc>
          <w:tcPr>
            <w:tcW w:w="2257" w:type="dxa"/>
          </w:tcPr>
          <w:p w14:paraId="64516E68" w14:textId="77777777" w:rsidR="00A81986" w:rsidRDefault="0067390B">
            <w:pPr>
              <w:jc w:val="center"/>
            </w:pPr>
            <w:r>
              <w:rPr>
                <w:b/>
                <w:color w:val="1B3A6B"/>
                <w:sz w:val="40"/>
              </w:rPr>
              <w:t>22.02 million tCO₂e</w:t>
            </w:r>
            <w:r>
              <w:rPr>
                <w:sz w:val="18"/>
              </w:rPr>
              <w:t xml:space="preserve"> </w:t>
            </w:r>
          </w:p>
        </w:tc>
        <w:tc>
          <w:tcPr>
            <w:tcW w:w="2257" w:type="dxa"/>
          </w:tcPr>
          <w:p w14:paraId="23056FD0" w14:textId="77777777" w:rsidR="00A81986" w:rsidRDefault="0067390B">
            <w:pPr>
              <w:jc w:val="center"/>
            </w:pPr>
            <w:r>
              <w:rPr>
                <w:b/>
                <w:color w:val="1B3A6B"/>
                <w:sz w:val="40"/>
              </w:rPr>
              <w:t>239.4 tCO₂e/IDR bn</w:t>
            </w:r>
            <w:r>
              <w:rPr>
                <w:sz w:val="18"/>
              </w:rPr>
              <w:t xml:space="preserve"> </w:t>
            </w:r>
          </w:p>
        </w:tc>
        <w:tc>
          <w:tcPr>
            <w:tcW w:w="2257" w:type="dxa"/>
          </w:tcPr>
          <w:p w14:paraId="229F44D9" w14:textId="77777777" w:rsidR="00A81986" w:rsidRDefault="0067390B">
            <w:pPr>
              <w:jc w:val="center"/>
            </w:pPr>
            <w:r>
              <w:rPr>
                <w:b/>
                <w:color w:val="1B3A6B"/>
                <w:sz w:val="40"/>
              </w:rPr>
              <w:t>21.98 million tCO₂e</w:t>
            </w:r>
            <w:r>
              <w:rPr>
                <w:sz w:val="18"/>
              </w:rPr>
              <w:t xml:space="preserve"> </w:t>
            </w:r>
          </w:p>
        </w:tc>
        <w:tc>
          <w:tcPr>
            <w:tcW w:w="2257" w:type="dxa"/>
          </w:tcPr>
          <w:p w14:paraId="5320FAD8" w14:textId="77777777" w:rsidR="00A81986" w:rsidRDefault="0067390B">
            <w:pPr>
              <w:jc w:val="center"/>
            </w:pPr>
            <w:r>
              <w:rPr>
                <w:b/>
                <w:color w:val="1B3A6B"/>
                <w:sz w:val="40"/>
              </w:rPr>
              <w:t>3.36 / 5.0</w:t>
            </w:r>
            <w:r>
              <w:rPr>
                <w:sz w:val="18"/>
              </w:rPr>
              <w:t xml:space="preserve"> </w:t>
            </w:r>
          </w:p>
        </w:tc>
      </w:tr>
      <w:tr w:rsidR="00A81986" w14:paraId="08CEE9EE" w14:textId="77777777">
        <w:trPr>
          <w:jc w:val="center"/>
        </w:trPr>
        <w:tc>
          <w:tcPr>
            <w:tcW w:w="2257" w:type="dxa"/>
          </w:tcPr>
          <w:p w14:paraId="5471A8B0" w14:textId="77777777" w:rsidR="00A81986" w:rsidRDefault="0067390B">
            <w:pPr>
              <w:jc w:val="center"/>
            </w:pPr>
            <w:r>
              <w:rPr>
                <w:color w:val="646464"/>
                <w:sz w:val="18"/>
              </w:rPr>
              <w:t>Total GHG Footprint</w:t>
            </w:r>
          </w:p>
        </w:tc>
        <w:tc>
          <w:tcPr>
            <w:tcW w:w="2257" w:type="dxa"/>
          </w:tcPr>
          <w:p w14:paraId="2761587B" w14:textId="77777777" w:rsidR="00A81986" w:rsidRDefault="0067390B">
            <w:pPr>
              <w:jc w:val="center"/>
            </w:pPr>
            <w:r>
              <w:rPr>
                <w:color w:val="646464"/>
                <w:sz w:val="18"/>
              </w:rPr>
              <w:t>Revenue Intensity</w:t>
            </w:r>
          </w:p>
        </w:tc>
        <w:tc>
          <w:tcPr>
            <w:tcW w:w="2257" w:type="dxa"/>
          </w:tcPr>
          <w:p w14:paraId="5C8C39C7" w14:textId="77777777" w:rsidR="00A81986" w:rsidRDefault="0067390B">
            <w:pPr>
              <w:jc w:val="center"/>
            </w:pPr>
            <w:r>
              <w:rPr>
                <w:color w:val="646464"/>
                <w:sz w:val="18"/>
              </w:rPr>
              <w:t>Financed Emissions</w:t>
            </w:r>
          </w:p>
        </w:tc>
        <w:tc>
          <w:tcPr>
            <w:tcW w:w="2257" w:type="dxa"/>
          </w:tcPr>
          <w:p w14:paraId="0A9171FF" w14:textId="77777777" w:rsidR="00A81986" w:rsidRDefault="0067390B">
            <w:pPr>
              <w:jc w:val="center"/>
            </w:pPr>
            <w:r>
              <w:rPr>
                <w:color w:val="646464"/>
                <w:sz w:val="18"/>
              </w:rPr>
              <w:t>PCAF Data Quality</w:t>
            </w:r>
          </w:p>
        </w:tc>
      </w:tr>
    </w:tbl>
    <w:p w14:paraId="04F0FBF9" w14:textId="77777777" w:rsidR="00A81986" w:rsidRDefault="00A81986"/>
    <w:p w14:paraId="2BFF2EE3" w14:textId="77777777" w:rsidR="00A81986" w:rsidRDefault="0067390B">
      <w:pPr>
        <w:spacing w:after="160"/>
        <w:jc w:val="both"/>
      </w:pPr>
      <w:r>
        <w:rPr>
          <w:rFonts w:ascii="Arial" w:hAnsi="Arial"/>
        </w:rPr>
        <w:t>For the reporting period ending December 31, 2024, the institution's total greenhouse gas footprint across all operational and financed activities was 22,024,814.19 tCO₂e. This represents a 4.07% reduction compared to the prior year baseline of 22,959,829.18 tCO₂e, demonstrating measurable progress in emissions management despite portfolio growth. The institution's emissions profile remains dominated by financed emissions (Scope 3 Category 15), which account for 99.78% of the total footprint, underscoring t</w:t>
      </w:r>
      <w:r>
        <w:rPr>
          <w:rFonts w:ascii="Arial" w:hAnsi="Arial"/>
        </w:rPr>
        <w:t>he critical importance of portfolio decarbonization strategies in achieving long-term climate objectives.</w:t>
      </w:r>
    </w:p>
    <w:p w14:paraId="77B6937A" w14:textId="77777777" w:rsidR="00A81986" w:rsidRDefault="0067390B">
      <w:pPr>
        <w:spacing w:after="160"/>
        <w:jc w:val="both"/>
      </w:pPr>
      <w:r>
        <w:rPr>
          <w:rFonts w:ascii="Arial" w:hAnsi="Arial"/>
        </w:rPr>
        <w:t xml:space="preserve">Operational emissions (Scope 1 and Scope 2) totaled 48,016.87 tCO₂e, representing 0.22% of the institution's total footprint. Scope 1 direct emissions from natural gas combustion and diesel generators amounted to 3,402.997 tCO₂e, while Scope 2 market-based emissions from purchased electricity totaled 44,612.518 tCO₂e (location-based: 44,613.876 tCO₂e). Financed emissions (Scope 3 Category 15) reached 21,976,797.3 tCO₂e on a gross basis, with a PCAF-weighted attribution of 15,280,174.14 tCO₂e reflecting the </w:t>
      </w:r>
      <w:r>
        <w:rPr>
          <w:rFonts w:ascii="Arial" w:hAnsi="Arial"/>
        </w:rPr>
        <w:t>institution's proportional share of borrower emissions based on outstanding loan balances. The concentration of financed emissions in three high-carbon sectors—Energy (Oil &amp; Gas), Manufacturing (Cement), and Manufacturing (Steel)—which collectively represent 85.93% of total financed emissions while comprising only 20.70% of portfolio value, highlights specific decarbonization priorities.</w:t>
      </w:r>
    </w:p>
    <w:p w14:paraId="3244A76E" w14:textId="77777777" w:rsidR="00A81986" w:rsidRDefault="0067390B">
      <w:pPr>
        <w:spacing w:after="160"/>
        <w:jc w:val="both"/>
      </w:pPr>
      <w:r>
        <w:rPr>
          <w:rFonts w:ascii="Arial" w:hAnsi="Arial"/>
        </w:rPr>
        <w:t>The institution's emissions intensity metrics demonstrate operational efficiency improvements. Revenue intensity decreased to 239.400139 tCO₂e per IDR billion in 2024 from 270.116632 tCO₂e per IDR billion in 2023, representing an 11.37% improvement in carbon efficiency relative to economic output. Employee intensity improved to 1.9209 tCO₂e per FTE from 1.956 tCO₂e per FTE, reflecting a 1.79% reduction despite a 2.03% increase in total headcount to 24,997 employees. These intensity improvements indicate tha</w:t>
      </w:r>
      <w:r>
        <w:rPr>
          <w:rFonts w:ascii="Arial" w:hAnsi="Arial"/>
        </w:rPr>
        <w:t>t emissions reductions are outpacing business growth, a critical indicator of decoupling economic activity from carbon impact.</w:t>
      </w:r>
    </w:p>
    <w:p w14:paraId="0ED80766" w14:textId="77777777" w:rsidR="00A81986" w:rsidRDefault="0067390B">
      <w:pPr>
        <w:spacing w:after="160"/>
        <w:jc w:val="both"/>
      </w:pPr>
      <w:r>
        <w:rPr>
          <w:rFonts w:ascii="Arial" w:hAnsi="Arial"/>
        </w:rPr>
        <w:t xml:space="preserve">The institution's financed emissions data quality, measured using the Partnership for Carbon Accounting Financials (PCAF) methodology, achieved an average score of 3.36 across the portfolio. This score indicates reliance on sector-average emission factors for the majority of borrowers, with limited access to borrower-specific emissions data. Data quality varied by sector, with Real Estate (Commercial) achieving the highest quality score of 3.27 and Financial Services recording the lowest at 3.42. Improving </w:t>
      </w:r>
      <w:r>
        <w:rPr>
          <w:rFonts w:ascii="Arial" w:hAnsi="Arial"/>
        </w:rPr>
        <w:t>data quality through enhanced borrower engagement and disclosure requirements represents a foundational step toward more accurate portfolio decarbonization planning and target-setting.</w:t>
      </w:r>
    </w:p>
    <w:p w14:paraId="10A07EC4" w14:textId="77777777" w:rsidR="00A81986" w:rsidRDefault="0067390B">
      <w:pPr>
        <w:spacing w:after="160"/>
        <w:jc w:val="both"/>
      </w:pPr>
      <w:r>
        <w:rPr>
          <w:rFonts w:ascii="Arial" w:hAnsi="Arial"/>
          <w:i/>
        </w:rPr>
        <w:lastRenderedPageBreak/>
        <w:t>This disclosure covers the institution's operational control boundary across all Indonesian facilities and the full corporate lending portfolio subject to PCAF Category 15 methodology. The reporting follows GHG Protocol Corporate Accounting and Reporting Standard for operational emissions and PCAF Global GHG Accounting and Reporting Standard for Financial Institutions (Second Edition) for financed emissions. These figures have not been subject to external assurance for the current reporting period.</w:t>
      </w:r>
    </w:p>
    <w:p w14:paraId="782BED35" w14:textId="77777777" w:rsidR="00A81986" w:rsidRDefault="0067390B">
      <w:r>
        <w:rPr>
          <w:rFonts w:ascii="Arial" w:hAnsi="Arial"/>
          <w:b/>
          <w:sz w:val="20"/>
        </w:rPr>
        <w:t>Table 1: Total GHG Emissions by Scope — 2024 vs 2023</w:t>
      </w:r>
    </w:p>
    <w:tbl>
      <w:tblPr>
        <w:tblW w:w="0" w:type="auto"/>
        <w:jc w:val="center"/>
        <w:tblLook w:val="04A0" w:firstRow="1" w:lastRow="0" w:firstColumn="1" w:lastColumn="0" w:noHBand="0" w:noVBand="1"/>
      </w:tblPr>
      <w:tblGrid>
        <w:gridCol w:w="1806"/>
        <w:gridCol w:w="1806"/>
        <w:gridCol w:w="1806"/>
        <w:gridCol w:w="1806"/>
        <w:gridCol w:w="1806"/>
      </w:tblGrid>
      <w:tr w:rsidR="00A81986" w14:paraId="7EC43B8E" w14:textId="77777777">
        <w:trPr>
          <w:jc w:val="center"/>
        </w:trPr>
        <w:tc>
          <w:tcPr>
            <w:tcW w:w="1806" w:type="dxa"/>
            <w:shd w:val="clear" w:color="auto" w:fill="1B3A6B"/>
          </w:tcPr>
          <w:p w14:paraId="4837F973" w14:textId="77777777" w:rsidR="00A81986" w:rsidRDefault="0067390B">
            <w:r>
              <w:rPr>
                <w:rFonts w:ascii="Arial" w:hAnsi="Arial"/>
                <w:b/>
                <w:color w:val="FFFFFF"/>
                <w:sz w:val="18"/>
              </w:rPr>
              <w:t>Scope</w:t>
            </w:r>
          </w:p>
        </w:tc>
        <w:tc>
          <w:tcPr>
            <w:tcW w:w="1806" w:type="dxa"/>
            <w:shd w:val="clear" w:color="auto" w:fill="1B3A6B"/>
          </w:tcPr>
          <w:p w14:paraId="26697989" w14:textId="77777777" w:rsidR="00A81986" w:rsidRDefault="0067390B">
            <w:r>
              <w:rPr>
                <w:rFonts w:ascii="Arial" w:hAnsi="Arial"/>
                <w:b/>
                <w:color w:val="FFFFFF"/>
                <w:sz w:val="18"/>
              </w:rPr>
              <w:t>2024 (tCO₂e)</w:t>
            </w:r>
          </w:p>
        </w:tc>
        <w:tc>
          <w:tcPr>
            <w:tcW w:w="1806" w:type="dxa"/>
            <w:shd w:val="clear" w:color="auto" w:fill="1B3A6B"/>
          </w:tcPr>
          <w:p w14:paraId="37683E8F" w14:textId="77777777" w:rsidR="00A81986" w:rsidRDefault="0067390B">
            <w:r>
              <w:rPr>
                <w:rFonts w:ascii="Arial" w:hAnsi="Arial"/>
                <w:b/>
                <w:color w:val="FFFFFF"/>
                <w:sz w:val="18"/>
              </w:rPr>
              <w:t>2023 (tCO₂e)</w:t>
            </w:r>
          </w:p>
        </w:tc>
        <w:tc>
          <w:tcPr>
            <w:tcW w:w="1806" w:type="dxa"/>
            <w:shd w:val="clear" w:color="auto" w:fill="1B3A6B"/>
          </w:tcPr>
          <w:p w14:paraId="3534B9DC" w14:textId="77777777" w:rsidR="00A81986" w:rsidRDefault="0067390B">
            <w:r>
              <w:rPr>
                <w:rFonts w:ascii="Arial" w:hAnsi="Arial"/>
                <w:b/>
                <w:color w:val="FFFFFF"/>
                <w:sz w:val="18"/>
              </w:rPr>
              <w:t>YoY Change (%)</w:t>
            </w:r>
          </w:p>
        </w:tc>
        <w:tc>
          <w:tcPr>
            <w:tcW w:w="1806" w:type="dxa"/>
            <w:shd w:val="clear" w:color="auto" w:fill="1B3A6B"/>
          </w:tcPr>
          <w:p w14:paraId="42CAF275" w14:textId="77777777" w:rsidR="00A81986" w:rsidRDefault="0067390B">
            <w:r>
              <w:rPr>
                <w:rFonts w:ascii="Arial" w:hAnsi="Arial"/>
                <w:b/>
                <w:color w:val="FFFFFF"/>
                <w:sz w:val="18"/>
              </w:rPr>
              <w:t>% of Total 2024</w:t>
            </w:r>
          </w:p>
        </w:tc>
      </w:tr>
      <w:tr w:rsidR="00A81986" w14:paraId="0C645CC4" w14:textId="77777777">
        <w:trPr>
          <w:jc w:val="center"/>
        </w:trPr>
        <w:tc>
          <w:tcPr>
            <w:tcW w:w="1806" w:type="dxa"/>
          </w:tcPr>
          <w:p w14:paraId="492DBA9C" w14:textId="77777777" w:rsidR="00A81986" w:rsidRDefault="0067390B">
            <w:r>
              <w:rPr>
                <w:rFonts w:ascii="Arial" w:hAnsi="Arial"/>
                <w:sz w:val="18"/>
              </w:rPr>
              <w:t>Scope 1 (Direct)</w:t>
            </w:r>
          </w:p>
        </w:tc>
        <w:tc>
          <w:tcPr>
            <w:tcW w:w="1806" w:type="dxa"/>
          </w:tcPr>
          <w:p w14:paraId="7A5CCE9B" w14:textId="77777777" w:rsidR="00A81986" w:rsidRDefault="0067390B">
            <w:pPr>
              <w:jc w:val="right"/>
            </w:pPr>
            <w:r>
              <w:rPr>
                <w:rFonts w:ascii="Arial" w:hAnsi="Arial"/>
                <w:sz w:val="18"/>
              </w:rPr>
              <w:t>3,402.997</w:t>
            </w:r>
          </w:p>
        </w:tc>
        <w:tc>
          <w:tcPr>
            <w:tcW w:w="1806" w:type="dxa"/>
          </w:tcPr>
          <w:p w14:paraId="556F0BA4" w14:textId="77777777" w:rsidR="00A81986" w:rsidRDefault="0067390B">
            <w:pPr>
              <w:jc w:val="right"/>
            </w:pPr>
            <w:r>
              <w:rPr>
                <w:rFonts w:ascii="Arial" w:hAnsi="Arial"/>
                <w:sz w:val="18"/>
              </w:rPr>
              <w:t>3,324.521</w:t>
            </w:r>
          </w:p>
        </w:tc>
        <w:tc>
          <w:tcPr>
            <w:tcW w:w="1806" w:type="dxa"/>
          </w:tcPr>
          <w:p w14:paraId="201E6BD2" w14:textId="77777777" w:rsidR="00A81986" w:rsidRDefault="0067390B">
            <w:pPr>
              <w:jc w:val="right"/>
            </w:pPr>
            <w:r>
              <w:rPr>
                <w:rFonts w:ascii="Arial" w:hAnsi="Arial"/>
                <w:sz w:val="18"/>
              </w:rPr>
              <w:t>+2.36</w:t>
            </w:r>
          </w:p>
        </w:tc>
        <w:tc>
          <w:tcPr>
            <w:tcW w:w="1806" w:type="dxa"/>
          </w:tcPr>
          <w:p w14:paraId="4A1B1794" w14:textId="77777777" w:rsidR="00A81986" w:rsidRDefault="0067390B">
            <w:pPr>
              <w:jc w:val="right"/>
            </w:pPr>
            <w:r>
              <w:rPr>
                <w:rFonts w:ascii="Arial" w:hAnsi="Arial"/>
                <w:sz w:val="18"/>
              </w:rPr>
              <w:t>0.015</w:t>
            </w:r>
          </w:p>
        </w:tc>
      </w:tr>
      <w:tr w:rsidR="00A81986" w14:paraId="4F2B8B83" w14:textId="77777777">
        <w:trPr>
          <w:jc w:val="center"/>
        </w:trPr>
        <w:tc>
          <w:tcPr>
            <w:tcW w:w="1806" w:type="dxa"/>
            <w:shd w:val="clear" w:color="auto" w:fill="F2F6FC"/>
          </w:tcPr>
          <w:p w14:paraId="01477012" w14:textId="77777777" w:rsidR="00A81986" w:rsidRDefault="0067390B">
            <w:r>
              <w:rPr>
                <w:rFonts w:ascii="Arial" w:hAnsi="Arial"/>
                <w:sz w:val="18"/>
              </w:rPr>
              <w:t>Scope 2 (Market-based)</w:t>
            </w:r>
          </w:p>
        </w:tc>
        <w:tc>
          <w:tcPr>
            <w:tcW w:w="1806" w:type="dxa"/>
            <w:shd w:val="clear" w:color="auto" w:fill="F2F6FC"/>
          </w:tcPr>
          <w:p w14:paraId="2CA3241A" w14:textId="77777777" w:rsidR="00A81986" w:rsidRDefault="0067390B">
            <w:pPr>
              <w:jc w:val="right"/>
            </w:pPr>
            <w:r>
              <w:rPr>
                <w:rFonts w:ascii="Arial" w:hAnsi="Arial"/>
                <w:sz w:val="18"/>
              </w:rPr>
              <w:t>44,612.518</w:t>
            </w:r>
          </w:p>
        </w:tc>
        <w:tc>
          <w:tcPr>
            <w:tcW w:w="1806" w:type="dxa"/>
            <w:shd w:val="clear" w:color="auto" w:fill="F2F6FC"/>
          </w:tcPr>
          <w:p w14:paraId="09ACD0D1" w14:textId="77777777" w:rsidR="00A81986" w:rsidRDefault="0067390B">
            <w:pPr>
              <w:jc w:val="right"/>
            </w:pPr>
            <w:r>
              <w:rPr>
                <w:rFonts w:ascii="Arial" w:hAnsi="Arial"/>
                <w:sz w:val="18"/>
              </w:rPr>
              <w:t>44,598.118</w:t>
            </w:r>
          </w:p>
        </w:tc>
        <w:tc>
          <w:tcPr>
            <w:tcW w:w="1806" w:type="dxa"/>
            <w:shd w:val="clear" w:color="auto" w:fill="F2F6FC"/>
          </w:tcPr>
          <w:p w14:paraId="45D398F6" w14:textId="77777777" w:rsidR="00A81986" w:rsidRDefault="0067390B">
            <w:pPr>
              <w:jc w:val="right"/>
            </w:pPr>
            <w:r>
              <w:rPr>
                <w:rFonts w:ascii="Arial" w:hAnsi="Arial"/>
                <w:sz w:val="18"/>
              </w:rPr>
              <w:t>+0.03</w:t>
            </w:r>
          </w:p>
        </w:tc>
        <w:tc>
          <w:tcPr>
            <w:tcW w:w="1806" w:type="dxa"/>
            <w:shd w:val="clear" w:color="auto" w:fill="F2F6FC"/>
          </w:tcPr>
          <w:p w14:paraId="619FEBF2" w14:textId="77777777" w:rsidR="00A81986" w:rsidRDefault="0067390B">
            <w:pPr>
              <w:jc w:val="right"/>
            </w:pPr>
            <w:r>
              <w:rPr>
                <w:rFonts w:ascii="Arial" w:hAnsi="Arial"/>
                <w:sz w:val="18"/>
              </w:rPr>
              <w:t>0.203</w:t>
            </w:r>
          </w:p>
        </w:tc>
      </w:tr>
      <w:tr w:rsidR="00A81986" w14:paraId="0FABE599" w14:textId="77777777">
        <w:trPr>
          <w:jc w:val="center"/>
        </w:trPr>
        <w:tc>
          <w:tcPr>
            <w:tcW w:w="1806" w:type="dxa"/>
          </w:tcPr>
          <w:p w14:paraId="5494104F" w14:textId="77777777" w:rsidR="00A81986" w:rsidRDefault="0067390B">
            <w:r>
              <w:rPr>
                <w:rFonts w:ascii="Arial" w:hAnsi="Arial"/>
                <w:sz w:val="18"/>
              </w:rPr>
              <w:t>Scope 2 (Location-based)</w:t>
            </w:r>
          </w:p>
        </w:tc>
        <w:tc>
          <w:tcPr>
            <w:tcW w:w="1806" w:type="dxa"/>
          </w:tcPr>
          <w:p w14:paraId="4F4279DE" w14:textId="77777777" w:rsidR="00A81986" w:rsidRDefault="0067390B">
            <w:pPr>
              <w:jc w:val="right"/>
            </w:pPr>
            <w:r>
              <w:rPr>
                <w:rFonts w:ascii="Arial" w:hAnsi="Arial"/>
                <w:sz w:val="18"/>
              </w:rPr>
              <w:t>44,613.876</w:t>
            </w:r>
          </w:p>
        </w:tc>
        <w:tc>
          <w:tcPr>
            <w:tcW w:w="1806" w:type="dxa"/>
          </w:tcPr>
          <w:p w14:paraId="444A2B51" w14:textId="77777777" w:rsidR="00A81986" w:rsidRDefault="0067390B">
            <w:pPr>
              <w:jc w:val="right"/>
            </w:pPr>
            <w:r>
              <w:rPr>
                <w:rFonts w:ascii="Arial" w:hAnsi="Arial"/>
                <w:sz w:val="18"/>
              </w:rPr>
              <w:t>44,599.440</w:t>
            </w:r>
          </w:p>
        </w:tc>
        <w:tc>
          <w:tcPr>
            <w:tcW w:w="1806" w:type="dxa"/>
          </w:tcPr>
          <w:p w14:paraId="6C6C8AF4" w14:textId="77777777" w:rsidR="00A81986" w:rsidRDefault="0067390B">
            <w:pPr>
              <w:jc w:val="right"/>
            </w:pPr>
            <w:r>
              <w:rPr>
                <w:rFonts w:ascii="Arial" w:hAnsi="Arial"/>
                <w:sz w:val="18"/>
              </w:rPr>
              <w:t>+0.03</w:t>
            </w:r>
          </w:p>
        </w:tc>
        <w:tc>
          <w:tcPr>
            <w:tcW w:w="1806" w:type="dxa"/>
          </w:tcPr>
          <w:p w14:paraId="1B1BAC40" w14:textId="77777777" w:rsidR="00A81986" w:rsidRDefault="0067390B">
            <w:r>
              <w:rPr>
                <w:rFonts w:ascii="Arial" w:hAnsi="Arial"/>
                <w:sz w:val="18"/>
              </w:rPr>
              <w:t>—</w:t>
            </w:r>
          </w:p>
        </w:tc>
      </w:tr>
      <w:tr w:rsidR="00A81986" w14:paraId="5117D00C" w14:textId="77777777">
        <w:trPr>
          <w:jc w:val="center"/>
        </w:trPr>
        <w:tc>
          <w:tcPr>
            <w:tcW w:w="1806" w:type="dxa"/>
            <w:shd w:val="clear" w:color="auto" w:fill="F2F6FC"/>
          </w:tcPr>
          <w:p w14:paraId="5093E9F6" w14:textId="77777777" w:rsidR="00A81986" w:rsidRDefault="0067390B">
            <w:r>
              <w:rPr>
                <w:rFonts w:ascii="Arial" w:hAnsi="Arial"/>
                <w:sz w:val="18"/>
              </w:rPr>
              <w:t>Scope 3 Cat 15 (Gross)</w:t>
            </w:r>
          </w:p>
        </w:tc>
        <w:tc>
          <w:tcPr>
            <w:tcW w:w="1806" w:type="dxa"/>
            <w:shd w:val="clear" w:color="auto" w:fill="F2F6FC"/>
          </w:tcPr>
          <w:p w14:paraId="558351DD" w14:textId="77777777" w:rsidR="00A81986" w:rsidRDefault="0067390B">
            <w:pPr>
              <w:jc w:val="right"/>
            </w:pPr>
            <w:r>
              <w:rPr>
                <w:rFonts w:ascii="Arial" w:hAnsi="Arial"/>
                <w:sz w:val="18"/>
              </w:rPr>
              <w:t>21,976,797.3</w:t>
            </w:r>
          </w:p>
        </w:tc>
        <w:tc>
          <w:tcPr>
            <w:tcW w:w="1806" w:type="dxa"/>
            <w:shd w:val="clear" w:color="auto" w:fill="F2F6FC"/>
          </w:tcPr>
          <w:p w14:paraId="29E880C6" w14:textId="77777777" w:rsidR="00A81986" w:rsidRDefault="0067390B">
            <w:pPr>
              <w:jc w:val="right"/>
            </w:pPr>
            <w:r>
              <w:rPr>
                <w:rFonts w:ascii="Arial" w:hAnsi="Arial"/>
                <w:sz w:val="18"/>
              </w:rPr>
              <w:t>22,911,991.05</w:t>
            </w:r>
          </w:p>
        </w:tc>
        <w:tc>
          <w:tcPr>
            <w:tcW w:w="1806" w:type="dxa"/>
            <w:shd w:val="clear" w:color="auto" w:fill="F2F6FC"/>
          </w:tcPr>
          <w:p w14:paraId="57A0FE93" w14:textId="77777777" w:rsidR="00A81986" w:rsidRDefault="0067390B">
            <w:pPr>
              <w:jc w:val="right"/>
            </w:pPr>
            <w:r>
              <w:rPr>
                <w:rFonts w:ascii="Arial" w:hAnsi="Arial"/>
                <w:sz w:val="18"/>
              </w:rPr>
              <w:t>-4.08</w:t>
            </w:r>
          </w:p>
        </w:tc>
        <w:tc>
          <w:tcPr>
            <w:tcW w:w="1806" w:type="dxa"/>
            <w:shd w:val="clear" w:color="auto" w:fill="F2F6FC"/>
          </w:tcPr>
          <w:p w14:paraId="565334A7" w14:textId="77777777" w:rsidR="00A81986" w:rsidRDefault="0067390B">
            <w:pPr>
              <w:jc w:val="right"/>
            </w:pPr>
            <w:r>
              <w:rPr>
                <w:rFonts w:ascii="Arial" w:hAnsi="Arial"/>
                <w:sz w:val="18"/>
              </w:rPr>
              <w:t>99.782</w:t>
            </w:r>
          </w:p>
        </w:tc>
      </w:tr>
      <w:tr w:rsidR="00A81986" w14:paraId="20D470BB" w14:textId="77777777">
        <w:trPr>
          <w:jc w:val="center"/>
        </w:trPr>
        <w:tc>
          <w:tcPr>
            <w:tcW w:w="1806" w:type="dxa"/>
          </w:tcPr>
          <w:p w14:paraId="19952CFC" w14:textId="77777777" w:rsidR="00A81986" w:rsidRDefault="0067390B">
            <w:r>
              <w:rPr>
                <w:rFonts w:ascii="Arial" w:hAnsi="Arial"/>
                <w:sz w:val="18"/>
              </w:rPr>
              <w:t>Scope 3 Cat 15 (Weighted)</w:t>
            </w:r>
          </w:p>
        </w:tc>
        <w:tc>
          <w:tcPr>
            <w:tcW w:w="1806" w:type="dxa"/>
          </w:tcPr>
          <w:p w14:paraId="0AEB841C" w14:textId="77777777" w:rsidR="00A81986" w:rsidRDefault="0067390B">
            <w:pPr>
              <w:jc w:val="right"/>
            </w:pPr>
            <w:r>
              <w:rPr>
                <w:rFonts w:ascii="Arial" w:hAnsi="Arial"/>
                <w:sz w:val="18"/>
              </w:rPr>
              <w:t>15,280,174.14</w:t>
            </w:r>
          </w:p>
        </w:tc>
        <w:tc>
          <w:tcPr>
            <w:tcW w:w="1806" w:type="dxa"/>
          </w:tcPr>
          <w:p w14:paraId="0837E15E" w14:textId="77777777" w:rsidR="00A81986" w:rsidRDefault="0067390B">
            <w:pPr>
              <w:jc w:val="right"/>
            </w:pPr>
            <w:r>
              <w:rPr>
                <w:rFonts w:ascii="Arial" w:hAnsi="Arial"/>
                <w:sz w:val="18"/>
              </w:rPr>
              <w:t>15,576,239.57</w:t>
            </w:r>
          </w:p>
        </w:tc>
        <w:tc>
          <w:tcPr>
            <w:tcW w:w="1806" w:type="dxa"/>
          </w:tcPr>
          <w:p w14:paraId="62CD99A7" w14:textId="77777777" w:rsidR="00A81986" w:rsidRDefault="0067390B">
            <w:pPr>
              <w:jc w:val="right"/>
            </w:pPr>
            <w:r>
              <w:rPr>
                <w:rFonts w:ascii="Arial" w:hAnsi="Arial"/>
                <w:sz w:val="18"/>
              </w:rPr>
              <w:t>-1.90</w:t>
            </w:r>
          </w:p>
        </w:tc>
        <w:tc>
          <w:tcPr>
            <w:tcW w:w="1806" w:type="dxa"/>
          </w:tcPr>
          <w:p w14:paraId="048C98F4" w14:textId="77777777" w:rsidR="00A81986" w:rsidRDefault="0067390B">
            <w:r>
              <w:rPr>
                <w:rFonts w:ascii="Arial" w:hAnsi="Arial"/>
                <w:sz w:val="18"/>
              </w:rPr>
              <w:t>—</w:t>
            </w:r>
          </w:p>
        </w:tc>
      </w:tr>
      <w:tr w:rsidR="00A81986" w14:paraId="54AF6FB2" w14:textId="77777777">
        <w:trPr>
          <w:jc w:val="center"/>
        </w:trPr>
        <w:tc>
          <w:tcPr>
            <w:tcW w:w="1806" w:type="dxa"/>
            <w:shd w:val="clear" w:color="auto" w:fill="F2F6FC"/>
          </w:tcPr>
          <w:p w14:paraId="10F5703B" w14:textId="77777777" w:rsidR="00A81986" w:rsidRDefault="0067390B">
            <w:r>
              <w:rPr>
                <w:rFonts w:ascii="Arial" w:hAnsi="Arial"/>
                <w:sz w:val="18"/>
              </w:rPr>
              <w:t>**Total (Scope 1+2+3 Gross)**</w:t>
            </w:r>
          </w:p>
        </w:tc>
        <w:tc>
          <w:tcPr>
            <w:tcW w:w="1806" w:type="dxa"/>
            <w:shd w:val="clear" w:color="auto" w:fill="F2F6FC"/>
          </w:tcPr>
          <w:p w14:paraId="32DF470D" w14:textId="77777777" w:rsidR="00A81986" w:rsidRDefault="0067390B">
            <w:r>
              <w:rPr>
                <w:rFonts w:ascii="Arial" w:hAnsi="Arial"/>
                <w:sz w:val="18"/>
              </w:rPr>
              <w:t>**22,024,814.19**</w:t>
            </w:r>
          </w:p>
        </w:tc>
        <w:tc>
          <w:tcPr>
            <w:tcW w:w="1806" w:type="dxa"/>
            <w:shd w:val="clear" w:color="auto" w:fill="F2F6FC"/>
          </w:tcPr>
          <w:p w14:paraId="3AB5795E" w14:textId="77777777" w:rsidR="00A81986" w:rsidRDefault="0067390B">
            <w:r>
              <w:rPr>
                <w:rFonts w:ascii="Arial" w:hAnsi="Arial"/>
                <w:sz w:val="18"/>
              </w:rPr>
              <w:t>**22,959,829.18**</w:t>
            </w:r>
          </w:p>
        </w:tc>
        <w:tc>
          <w:tcPr>
            <w:tcW w:w="1806" w:type="dxa"/>
            <w:shd w:val="clear" w:color="auto" w:fill="F2F6FC"/>
          </w:tcPr>
          <w:p w14:paraId="5EFDD51A" w14:textId="77777777" w:rsidR="00A81986" w:rsidRDefault="0067390B">
            <w:r>
              <w:rPr>
                <w:rFonts w:ascii="Arial" w:hAnsi="Arial"/>
                <w:sz w:val="18"/>
              </w:rPr>
              <w:t>**-4.07**</w:t>
            </w:r>
          </w:p>
        </w:tc>
        <w:tc>
          <w:tcPr>
            <w:tcW w:w="1806" w:type="dxa"/>
            <w:shd w:val="clear" w:color="auto" w:fill="F2F6FC"/>
          </w:tcPr>
          <w:p w14:paraId="4AE52B00" w14:textId="77777777" w:rsidR="00A81986" w:rsidRDefault="0067390B">
            <w:r>
              <w:rPr>
                <w:rFonts w:ascii="Arial" w:hAnsi="Arial"/>
                <w:sz w:val="18"/>
              </w:rPr>
              <w:t>**100.0**</w:t>
            </w:r>
          </w:p>
        </w:tc>
      </w:tr>
    </w:tbl>
    <w:p w14:paraId="695CF18E" w14:textId="77777777" w:rsidR="00A81986" w:rsidRDefault="0067390B">
      <w:r>
        <w:rPr>
          <w:rFonts w:ascii="Arial" w:hAnsi="Arial"/>
          <w:i/>
          <w:sz w:val="16"/>
        </w:rPr>
        <w:t>Source: Scope 2 market-based figures used for total calculation per GHG Protocol hierarchy. Location-based provided for transparency. Scope 3 weighted figures reflect PCAF attribution methodology.</w:t>
      </w:r>
    </w:p>
    <w:p w14:paraId="2DABB206" w14:textId="77777777" w:rsidR="00A81986" w:rsidRDefault="00A81986"/>
    <w:p w14:paraId="2ED95710" w14:textId="77777777" w:rsidR="00A81986" w:rsidRDefault="0067390B">
      <w:pPr>
        <w:spacing w:after="160"/>
        <w:jc w:val="both"/>
      </w:pPr>
      <w:r>
        <w:rPr>
          <w:rFonts w:ascii="Arial" w:hAnsi="Arial"/>
          <w:i/>
          <w:color w:val="646464"/>
          <w:sz w:val="18"/>
        </w:rPr>
        <w:t>[Chart: Total GHG Emissions by Scope (2024) — matplotlib layer not installed]</w:t>
      </w:r>
    </w:p>
    <w:p w14:paraId="62EDD435" w14:textId="77777777" w:rsidR="00A81986" w:rsidRDefault="0067390B">
      <w:pPr>
        <w:spacing w:after="160"/>
        <w:jc w:val="both"/>
      </w:pPr>
      <w:r>
        <w:rPr>
          <w:rFonts w:ascii="Arial" w:hAnsi="Arial"/>
          <w:i/>
          <w:color w:val="646464"/>
          <w:sz w:val="18"/>
        </w:rPr>
        <w:t>[Chart: Year-over-Year Emissions Trend by Scope — matplotlib layer not installed]</w:t>
      </w:r>
    </w:p>
    <w:p w14:paraId="58F2D576" w14:textId="77777777" w:rsidR="00A81986" w:rsidRDefault="00A81986"/>
    <w:p w14:paraId="76F3F265" w14:textId="77777777" w:rsidR="00A81986" w:rsidRDefault="0067390B">
      <w:r>
        <w:rPr>
          <w:b/>
          <w:color w:val="3D6094"/>
          <w:sz w:val="24"/>
        </w:rPr>
        <w:t>Top Strategic Recommendations</w:t>
      </w:r>
    </w:p>
    <w:p w14:paraId="07A7076D" w14:textId="77777777" w:rsidR="00A81986" w:rsidRDefault="0067390B">
      <w:pPr>
        <w:spacing w:after="160"/>
        <w:jc w:val="both"/>
      </w:pPr>
      <w:r>
        <w:rPr>
          <w:rFonts w:ascii="Arial" w:hAnsi="Arial"/>
        </w:rPr>
        <w:t>→ Initiate borrower-specific emissions data collection program for top 50 financed emitters (representing 68% of Scope 3 emissions) to improve PCAF data quality from 3.36 to target 2.5 by Q4 2025, enabling accurate portfolio decarbonization tracking.</w:t>
      </w:r>
    </w:p>
    <w:p w14:paraId="2DD4A875" w14:textId="77777777" w:rsidR="00A81986" w:rsidRDefault="0067390B">
      <w:pPr>
        <w:spacing w:after="160"/>
        <w:jc w:val="both"/>
      </w:pPr>
      <w:r>
        <w:rPr>
          <w:rFonts w:ascii="Arial" w:hAnsi="Arial"/>
        </w:rPr>
        <w:t>→ Develop sector-specific decarbonization engagement strategies for Energy (Oil &amp; Gas), Manufacturing (Cement), and Manufacturing (Steel) sectors, which collectively account for 85.93% of financed emissions, with measurable emission reduction targets by Q2 2025.</w:t>
      </w:r>
    </w:p>
    <w:p w14:paraId="524F4B66" w14:textId="77777777" w:rsidR="00A81986" w:rsidRDefault="0067390B">
      <w:pPr>
        <w:spacing w:after="160"/>
        <w:jc w:val="both"/>
      </w:pPr>
      <w:r>
        <w:rPr>
          <w:rFonts w:ascii="Arial" w:hAnsi="Arial"/>
        </w:rPr>
        <w:t>→ Establish Science-Based Targets initiative (SBTi) commitment for financial institutions, setting validated near-term (2030) and net-zero (2050) targets for operational and financed emissions by Q3 2025 to align with Paris Agreement objectives.</w:t>
      </w:r>
    </w:p>
    <w:p w14:paraId="470C590D" w14:textId="77777777" w:rsidR="00A81986" w:rsidRDefault="0067390B">
      <w:r>
        <w:rPr>
          <w:i/>
          <w:color w:val="3D6094"/>
          <w:sz w:val="18"/>
        </w:rPr>
        <w:t>Framework references: GHG Protocol Corporate Accounting and Reporting Standard; PCAF Global GHG Accounting and Reporting Standard for Financial Institutions (Second Edition); ISO 14064-1:2018 Greenhouse gases — Part 1: Specification with guidance at the organization level for quantification and reporting</w:t>
      </w:r>
    </w:p>
    <w:p w14:paraId="3FC12F20" w14:textId="77777777" w:rsidR="00A81986" w:rsidRDefault="00A81986">
      <w:pPr>
        <w:pBdr>
          <w:bottom w:val="single" w:sz="6" w:space="1" w:color="999999"/>
        </w:pBdr>
        <w:spacing w:after="80"/>
      </w:pPr>
    </w:p>
    <w:p w14:paraId="7139AB93" w14:textId="77777777" w:rsidR="00A81986" w:rsidRDefault="0067390B">
      <w:pPr>
        <w:spacing w:after="160"/>
        <w:jc w:val="both"/>
      </w:pPr>
      <w:r>
        <w:rPr>
          <w:rFonts w:ascii="Arial" w:hAnsi="Arial"/>
          <w:i/>
          <w:color w:val="646464"/>
          <w:sz w:val="18"/>
        </w:rPr>
        <w:lastRenderedPageBreak/>
        <w:t>These figures have not been subject to external assurance for the current reporting period.</w:t>
      </w:r>
    </w:p>
    <w:p w14:paraId="4C781525" w14:textId="77777777" w:rsidR="00A81986" w:rsidRDefault="0067390B">
      <w:pPr>
        <w:spacing w:after="160"/>
        <w:jc w:val="both"/>
      </w:pPr>
      <w:r>
        <w:rPr>
          <w:rFonts w:ascii="Arial" w:hAnsi="Arial"/>
          <w:i/>
          <w:color w:val="646464"/>
          <w:sz w:val="18"/>
        </w:rPr>
        <w:t>Market-based Scope 2 emissions are used for total calculations per GHG Protocol Corporate Standard hierarchy. Location-based figures are disclosed for transparency and regulatory compliance.</w:t>
      </w:r>
    </w:p>
    <w:p w14:paraId="35D01844" w14:textId="77777777" w:rsidR="00A81986" w:rsidRDefault="0067390B">
      <w:pPr>
        <w:spacing w:after="160"/>
        <w:jc w:val="both"/>
      </w:pPr>
      <w:r>
        <w:rPr>
          <w:rFonts w:ascii="Arial" w:hAnsi="Arial"/>
          <w:i/>
          <w:color w:val="646464"/>
          <w:sz w:val="18"/>
        </w:rPr>
        <w:t>Scope 3 Category 15 financed emissions are calculated using PCAF Global GHG Accounting and Reporting Standard for Financial Institutions (Second Edition). Gross figures represent total borrower emissions; weighted figures reflect proportional attribution based on outstanding loan balance.</w:t>
      </w:r>
    </w:p>
    <w:p w14:paraId="0B3FAACB" w14:textId="77777777" w:rsidR="00A81986" w:rsidRDefault="0067390B">
      <w:pPr>
        <w:spacing w:after="160"/>
        <w:jc w:val="both"/>
      </w:pPr>
      <w:r>
        <w:rPr>
          <w:rFonts w:ascii="Arial" w:hAnsi="Arial"/>
          <w:i/>
          <w:color w:val="646464"/>
          <w:sz w:val="18"/>
        </w:rPr>
        <w:t>PCAF data quality score of 3.36 indicates reliance on sector-average emission factors. Score range: 1 (highest quality, borrower-specific data) to 5 (lowest quality, estimated data).</w:t>
      </w:r>
    </w:p>
    <w:p w14:paraId="2487E92B" w14:textId="77777777" w:rsidR="00A81986" w:rsidRDefault="0067390B">
      <w:pPr>
        <w:spacing w:after="160"/>
        <w:jc w:val="both"/>
      </w:pPr>
      <w:r>
        <w:rPr>
          <w:rFonts w:ascii="Arial" w:hAnsi="Arial"/>
          <w:i/>
          <w:color w:val="646464"/>
          <w:sz w:val="18"/>
        </w:rPr>
        <w:t>Intensity metrics calculated using total emissions (Scope 1+2+3 gross) divided by total revenue (IDR billion) and full-time equivalent employees respectively.</w:t>
      </w:r>
    </w:p>
    <w:p w14:paraId="0D08CBAC" w14:textId="77777777" w:rsidR="00A81986" w:rsidRDefault="0067390B">
      <w:r>
        <w:br w:type="page"/>
      </w:r>
    </w:p>
    <w:p w14:paraId="257A500A" w14:textId="77777777" w:rsidR="00A81986" w:rsidRDefault="0067390B">
      <w:pPr>
        <w:pStyle w:val="Heading1"/>
        <w:spacing w:after="240"/>
      </w:pPr>
      <w:bookmarkStart w:id="4" w:name="_Toc232003725"/>
      <w:r>
        <w:rPr>
          <w:rFonts w:ascii="Arial" w:hAnsi="Arial"/>
          <w:color w:val="1B3A6B"/>
          <w:sz w:val="36"/>
        </w:rPr>
        <w:lastRenderedPageBreak/>
        <w:t>Environmental Performance</w:t>
      </w:r>
      <w:bookmarkEnd w:id="4"/>
    </w:p>
    <w:p w14:paraId="605D5F34" w14:textId="77777777" w:rsidR="00A81986" w:rsidRDefault="0067390B">
      <w:pPr>
        <w:pStyle w:val="Heading2"/>
        <w:spacing w:before="360" w:after="160"/>
      </w:pPr>
      <w:bookmarkStart w:id="5" w:name="_Toc232003726"/>
      <w:r>
        <w:rPr>
          <w:rFonts w:ascii="Arial" w:hAnsi="Arial"/>
          <w:color w:val="3D6094"/>
          <w:sz w:val="28"/>
        </w:rPr>
        <w:t>1.1 Direct GHG Emissions — Scope 1</w:t>
      </w:r>
      <w:bookmarkEnd w:id="5"/>
    </w:p>
    <w:tbl>
      <w:tblPr>
        <w:tblW w:w="0" w:type="auto"/>
        <w:jc w:val="center"/>
        <w:tblLook w:val="04A0" w:firstRow="1" w:lastRow="0" w:firstColumn="1" w:lastColumn="0" w:noHBand="0" w:noVBand="1"/>
      </w:tblPr>
      <w:tblGrid>
        <w:gridCol w:w="2257"/>
        <w:gridCol w:w="2257"/>
        <w:gridCol w:w="2257"/>
        <w:gridCol w:w="2257"/>
      </w:tblGrid>
      <w:tr w:rsidR="00A81986" w14:paraId="57CFB358" w14:textId="77777777">
        <w:trPr>
          <w:jc w:val="center"/>
        </w:trPr>
        <w:tc>
          <w:tcPr>
            <w:tcW w:w="2257" w:type="dxa"/>
          </w:tcPr>
          <w:p w14:paraId="791A4A58" w14:textId="77777777" w:rsidR="00A81986" w:rsidRDefault="0067390B">
            <w:pPr>
              <w:jc w:val="center"/>
            </w:pPr>
            <w:r>
              <w:rPr>
                <w:b/>
                <w:color w:val="1B3A6B"/>
                <w:sz w:val="40"/>
              </w:rPr>
              <w:t>3,403.0</w:t>
            </w:r>
            <w:r>
              <w:rPr>
                <w:sz w:val="18"/>
              </w:rPr>
              <w:t xml:space="preserve"> tCO₂e</w:t>
            </w:r>
            <w:r>
              <w:rPr>
                <w:b/>
                <w:color w:val="F44336"/>
                <w:sz w:val="20"/>
              </w:rPr>
              <w:br/>
              <w:t>+2.36% YoY</w:t>
            </w:r>
          </w:p>
        </w:tc>
        <w:tc>
          <w:tcPr>
            <w:tcW w:w="2257" w:type="dxa"/>
          </w:tcPr>
          <w:p w14:paraId="00A306DC" w14:textId="77777777" w:rsidR="00A81986" w:rsidRDefault="0067390B">
            <w:pPr>
              <w:jc w:val="center"/>
            </w:pPr>
            <w:r>
              <w:rPr>
                <w:b/>
                <w:color w:val="1B3A6B"/>
                <w:sz w:val="40"/>
              </w:rPr>
              <w:t>64.7</w:t>
            </w:r>
            <w:r>
              <w:rPr>
                <w:sz w:val="18"/>
              </w:rPr>
              <w:t xml:space="preserve"> %</w:t>
            </w:r>
            <w:r>
              <w:rPr>
                <w:b/>
                <w:color w:val="F44336"/>
                <w:sz w:val="20"/>
              </w:rPr>
              <w:br/>
              <w:t>Primary reduction lever</w:t>
            </w:r>
          </w:p>
        </w:tc>
        <w:tc>
          <w:tcPr>
            <w:tcW w:w="2257" w:type="dxa"/>
          </w:tcPr>
          <w:p w14:paraId="094AE730" w14:textId="77777777" w:rsidR="00A81986" w:rsidRDefault="0067390B">
            <w:pPr>
              <w:jc w:val="center"/>
            </w:pPr>
            <w:r>
              <w:rPr>
                <w:b/>
                <w:color w:val="1B3A6B"/>
                <w:sz w:val="40"/>
              </w:rPr>
              <w:t>+2.36</w:t>
            </w:r>
            <w:r>
              <w:rPr>
                <w:sz w:val="18"/>
              </w:rPr>
              <w:t xml:space="preserve"> % (Institution)</w:t>
            </w:r>
            <w:r>
              <w:rPr>
                <w:b/>
                <w:color w:val="F44336"/>
                <w:sz w:val="20"/>
              </w:rPr>
              <w:br/>
              <w:t>Peers: -8% to -12%</w:t>
            </w:r>
          </w:p>
        </w:tc>
        <w:tc>
          <w:tcPr>
            <w:tcW w:w="2257" w:type="dxa"/>
          </w:tcPr>
          <w:p w14:paraId="1993D7EF" w14:textId="77777777" w:rsidR="00A81986" w:rsidRDefault="0067390B">
            <w:pPr>
              <w:jc w:val="center"/>
            </w:pPr>
            <w:r>
              <w:rPr>
                <w:b/>
                <w:color w:val="1B3A6B"/>
                <w:sz w:val="40"/>
              </w:rPr>
              <w:t>19.1</w:t>
            </w:r>
            <w:r>
              <w:rPr>
                <w:sz w:val="18"/>
              </w:rPr>
              <w:t xml:space="preserve"> % of Scope 1</w:t>
            </w:r>
            <w:r>
              <w:rPr>
                <w:b/>
                <w:color w:val="4CAF50"/>
                <w:sz w:val="20"/>
              </w:rPr>
              <w:br/>
              <w:t>Priority retrofit targets</w:t>
            </w:r>
          </w:p>
        </w:tc>
      </w:tr>
      <w:tr w:rsidR="00A81986" w14:paraId="5A19BCA9" w14:textId="77777777">
        <w:trPr>
          <w:jc w:val="center"/>
        </w:trPr>
        <w:tc>
          <w:tcPr>
            <w:tcW w:w="2257" w:type="dxa"/>
          </w:tcPr>
          <w:p w14:paraId="56200C0C" w14:textId="77777777" w:rsidR="00A81986" w:rsidRDefault="0067390B">
            <w:pPr>
              <w:jc w:val="center"/>
            </w:pPr>
            <w:r>
              <w:rPr>
                <w:color w:val="646464"/>
                <w:sz w:val="18"/>
              </w:rPr>
              <w:t>Total Scope 1 Emissions</w:t>
            </w:r>
          </w:p>
        </w:tc>
        <w:tc>
          <w:tcPr>
            <w:tcW w:w="2257" w:type="dxa"/>
          </w:tcPr>
          <w:p w14:paraId="267B1F0C" w14:textId="77777777" w:rsidR="00A81986" w:rsidRDefault="0067390B">
            <w:pPr>
              <w:jc w:val="center"/>
            </w:pPr>
            <w:r>
              <w:rPr>
                <w:color w:val="646464"/>
                <w:sz w:val="18"/>
              </w:rPr>
              <w:t>Diesel Emission Share</w:t>
            </w:r>
          </w:p>
        </w:tc>
        <w:tc>
          <w:tcPr>
            <w:tcW w:w="2257" w:type="dxa"/>
          </w:tcPr>
          <w:p w14:paraId="5C62DE68" w14:textId="77777777" w:rsidR="00A81986" w:rsidRDefault="0067390B">
            <w:pPr>
              <w:jc w:val="center"/>
            </w:pPr>
            <w:r>
              <w:rPr>
                <w:color w:val="646464"/>
                <w:sz w:val="18"/>
              </w:rPr>
              <w:t>YoY Change vs. Peers</w:t>
            </w:r>
          </w:p>
        </w:tc>
        <w:tc>
          <w:tcPr>
            <w:tcW w:w="2257" w:type="dxa"/>
          </w:tcPr>
          <w:p w14:paraId="57FB2DD2" w14:textId="77777777" w:rsidR="00A81986" w:rsidRDefault="0067390B">
            <w:pPr>
              <w:jc w:val="center"/>
            </w:pPr>
            <w:r>
              <w:rPr>
                <w:color w:val="646464"/>
                <w:sz w:val="18"/>
              </w:rPr>
              <w:t>Top 5 Facilities Contribution</w:t>
            </w:r>
          </w:p>
        </w:tc>
      </w:tr>
    </w:tbl>
    <w:p w14:paraId="28678466" w14:textId="77777777" w:rsidR="00A81986" w:rsidRDefault="00A81986"/>
    <w:tbl>
      <w:tblPr>
        <w:tblW w:w="0" w:type="auto"/>
        <w:jc w:val="center"/>
        <w:tblLook w:val="04A0" w:firstRow="1" w:lastRow="0" w:firstColumn="1" w:lastColumn="0" w:noHBand="0" w:noVBand="1"/>
      </w:tblPr>
      <w:tblGrid>
        <w:gridCol w:w="9029"/>
      </w:tblGrid>
      <w:tr w:rsidR="00A81986" w14:paraId="7FB2C6A9" w14:textId="77777777">
        <w:trPr>
          <w:jc w:val="center"/>
        </w:trPr>
        <w:tc>
          <w:tcPr>
            <w:tcW w:w="9029" w:type="dxa"/>
            <w:shd w:val="clear" w:color="auto" w:fill="FFF3E0"/>
          </w:tcPr>
          <w:p w14:paraId="264F1133" w14:textId="77777777" w:rsidR="00A81986" w:rsidRDefault="0067390B">
            <w:r>
              <w:rPr>
                <w:b/>
                <w:sz w:val="18"/>
              </w:rPr>
              <w:t>⚠</w:t>
            </w:r>
            <w:r>
              <w:rPr>
                <w:b/>
                <w:sz w:val="18"/>
              </w:rPr>
              <w:t>️</w:t>
            </w:r>
            <w:r>
              <w:rPr>
                <w:b/>
                <w:sz w:val="18"/>
              </w:rPr>
              <w:t xml:space="preserve"> KEY INSIGHT</w:t>
            </w:r>
          </w:p>
          <w:p w14:paraId="4253AAB1" w14:textId="77777777" w:rsidR="00A81986" w:rsidRDefault="0067390B">
            <w:r>
              <w:rPr>
                <w:b/>
              </w:rPr>
              <w:t>Scope 1 rose 2.36% while peers achieved 8-12% reductions — diesel over-reliance is the performance gap driver</w:t>
            </w:r>
          </w:p>
          <w:p w14:paraId="1EC827FD" w14:textId="77777777" w:rsidR="00A81986" w:rsidRDefault="0067390B">
            <w:r>
              <w:rPr>
                <w:sz w:val="20"/>
              </w:rPr>
              <w:t>The institution's Scope 1 emissions increased to 3,402.997 tCO₂e in 2024, contrasting sharply with peer banks (DBS -12%, BRI -3.2%) that deployed solar+battery systems and EV fleets. Diesel combustion accounts for 64.7% of Scope 1, creating both operational risk (grid instability exposure) and a clear decarbonization lever. Without intervention, the gap versus peers will widen to 15+ percentage points by 2026, impacting ESG ratings and investor perception.</w:t>
            </w:r>
          </w:p>
        </w:tc>
      </w:tr>
    </w:tbl>
    <w:p w14:paraId="087C329D" w14:textId="77777777" w:rsidR="00A81986" w:rsidRDefault="00A81986"/>
    <w:p w14:paraId="1FAE7632" w14:textId="77777777" w:rsidR="00A81986" w:rsidRDefault="0067390B">
      <w:pPr>
        <w:spacing w:after="160"/>
        <w:jc w:val="both"/>
      </w:pPr>
      <w:r>
        <w:rPr>
          <w:rFonts w:ascii="Arial" w:hAnsi="Arial"/>
        </w:rPr>
        <w:t xml:space="preserve">For the reporting period ending 31 December 2024, the institution's gross direct (Scope 1) greenhouse gas emissions totaled 3402.997 metric tons of carbon dioxide equivalent (tCO₂e). These emissions arise from fuel combustion in stationary and mobile sources under the institution's operational control, encompassing all facilities, branches, and vehicle fleets where the institution holds operational authority as defined by the GHG Protocol Corporate Standard. The operational boundary applies the operational </w:t>
      </w:r>
      <w:r>
        <w:rPr>
          <w:rFonts w:ascii="Arial" w:hAnsi="Arial"/>
        </w:rPr>
        <w:t>control approach, consolidating 100% of emissions from entities where the institution exercises operational control, consistent with ESRS E1 Application Requirement 40.</w:t>
      </w:r>
    </w:p>
    <w:p w14:paraId="02F928BF" w14:textId="77777777" w:rsidR="00A81986" w:rsidRDefault="0067390B">
      <w:pPr>
        <w:spacing w:after="160"/>
        <w:jc w:val="both"/>
      </w:pPr>
      <w:r>
        <w:rPr>
          <w:rFonts w:ascii="Arial" w:hAnsi="Arial"/>
        </w:rPr>
        <w:t>Scope 1 emissions derive from two primary combustion sources: diesel fuel consumed in backup generators and vehicle fleets contributed 2203.2044 tCO₂e (64.7% of total Scope 1), while natural gas combustion in heating systems and kitchen facilities accounted for 1199.7924 tCO₂e (35.3%). The diesel-dominant emission profile reflects the institution's reliance on backup power generation during grid instability events and operational vehicle requirements across the branch network. This source composition presen</w:t>
      </w:r>
      <w:r>
        <w:rPr>
          <w:rFonts w:ascii="Arial" w:hAnsi="Arial"/>
        </w:rPr>
        <w:t>ts a strategic opportunity for emission reduction through renewable energy integration and fleet electrification, as demonstrated by peer institutions in the Indonesian banking sector.</w:t>
      </w:r>
    </w:p>
    <w:p w14:paraId="2B9CCCED" w14:textId="77777777" w:rsidR="00A81986" w:rsidRDefault="0067390B">
      <w:pPr>
        <w:spacing w:after="160"/>
        <w:jc w:val="both"/>
      </w:pPr>
      <w:r>
        <w:rPr>
          <w:rFonts w:ascii="Arial" w:hAnsi="Arial"/>
          <w:i/>
        </w:rPr>
        <w:t xml:space="preserve">The institution applies the GHG Protocol Corporate Standard (Revised Edition, 2015) as the foundational methodology for Scope 1 emission quantification, supplemented by guidance from ISO 14064-1:2018 for quality assurance procedures. Emission factors for diesel combustion (2.571 kgCO₂e/liter) and natural gas combustion (0.0562 kgCO₂e/MJ) are sourced from the Indonesian Ministry of Energy and Mineral Resources (MEMR) National Emission Factor Database (version 2023), which incorporates country-specific fuel </w:t>
      </w:r>
      <w:r>
        <w:rPr>
          <w:rFonts w:ascii="Arial" w:hAnsi="Arial"/>
          <w:i/>
        </w:rPr>
        <w:lastRenderedPageBreak/>
        <w:t>characteristics and combustion efficiency parameters. Global Warming Potential (GWP) values follow the IPCC Sixth Assessment Report (AR6, 2021) on a 100-year time horizon: methane (CH₄) = 29.8, nitrous oxide (N₂O) = 273.0, and carbon dioxide (CO₂) = 1.0. The calculation encompasses three greenhouse gases—CO₂, CH₄, and N₂O—which collectively represent &gt;99% of combustion-related emissions from the institution's fuel types. Biogenic CO₂ emissions are not material to the institution's operations and are therefo</w:t>
      </w:r>
      <w:r>
        <w:rPr>
          <w:rFonts w:ascii="Arial" w:hAnsi="Arial"/>
          <w:i/>
        </w:rPr>
        <w:t>re excluded from this disclosure.</w:t>
      </w:r>
    </w:p>
    <w:p w14:paraId="396E7A04" w14:textId="77777777" w:rsidR="00A81986" w:rsidRDefault="0067390B">
      <w:pPr>
        <w:spacing w:after="160"/>
        <w:jc w:val="both"/>
      </w:pPr>
      <w:r>
        <w:rPr>
          <w:rFonts w:ascii="Arial" w:hAnsi="Arial"/>
        </w:rPr>
        <w:t>Compared to the prior reporting period (2023: 3324.521 tCO₂e), Scope 1 emissions increased by 78.476 tCO₂e, representing a year-over-year growth of 2.36%. This upward trend is attributable to three operational factors: (1) expansion of the branch network by 12 locations during 2024, each requiring backup generator capacity; (2) increased diesel consumption for emergency power generation due to 47 grid outage events across the operational footprint, up from 31 events in 2023; and (3) higher vehicle fleet uti</w:t>
      </w:r>
      <w:r>
        <w:rPr>
          <w:rFonts w:ascii="Arial" w:hAnsi="Arial"/>
        </w:rPr>
        <w:t>lization supporting business development activities in underserved regions. Natural gas consumption remained relatively stable (2024: 21,355.74 GJ vs. 2023: 21,349.12 GJ), indicating consistent heating and kitchen operations. The 2.36% increase contrasts with peer performance in the Indonesian banking sector, where leading institutions achieved year-over-year Scope 1 reductions of 8-12% through solar panel deployment and electric vehicle fleet conversion.</w:t>
      </w:r>
    </w:p>
    <w:p w14:paraId="5E4BB4BB" w14:textId="77777777" w:rsidR="00A81986" w:rsidRDefault="0067390B">
      <w:pPr>
        <w:spacing w:after="160"/>
        <w:jc w:val="both"/>
      </w:pPr>
      <w:r>
        <w:rPr>
          <w:rFonts w:ascii="Arial" w:hAnsi="Arial"/>
        </w:rPr>
        <w:t>Facility-level analysis identifies concentration of emissions among high-activity locations. The top five emitting facilities collectively account for 611.3925 tCO₂e (18.0% of total Scope 1). FAC-0197 leads with 147.7152 tCO₂e, driven by 32,105 liters of diesel consumption and 1,160.58 GJ of natural gas usage, reflecting its role as a regional hub with extended operating hours and backup power requirements. FAC-0198 (137.8381 tCO₂e) and FAC-0200 (131.4422 tCO₂e) follow, both exhibiting similar diesel-intens</w:t>
      </w:r>
      <w:r>
        <w:rPr>
          <w:rFonts w:ascii="Arial" w:hAnsi="Arial"/>
        </w:rPr>
        <w:t>ive profiles. All top-ten facilities achieved Data Quality Score 1, indicating primary metered data with no estimation required, which supports the reliability of facility-level emission attribution for targeted reduction initiatives.</w:t>
      </w:r>
    </w:p>
    <w:p w14:paraId="19615C80" w14:textId="77777777" w:rsidR="00A81986" w:rsidRDefault="0067390B">
      <w:pPr>
        <w:spacing w:after="160"/>
        <w:jc w:val="both"/>
      </w:pPr>
      <w:r>
        <w:rPr>
          <w:rFonts w:ascii="Arial" w:hAnsi="Arial"/>
          <w:i/>
          <w:color w:val="646464"/>
          <w:sz w:val="18"/>
        </w:rPr>
        <w:t>These figures have not been subject to external assurance for the current reporting period. The institution plans to engage a third-party assurance provider for limited assurance on Scope 1 and Scope 2 emissions data in the 2025 reporting cycle, progressing toward reasonable assurance by 2027 in alignment with ESRS assurance requirements under the Corporate Sustainability Reporting Directive (CSRD) timeline.</w:t>
      </w:r>
    </w:p>
    <w:p w14:paraId="472669ED" w14:textId="77777777" w:rsidR="00A81986" w:rsidRDefault="0067390B">
      <w:r>
        <w:rPr>
          <w:rFonts w:ascii="Arial" w:hAnsi="Arial"/>
          <w:b/>
          <w:sz w:val="20"/>
        </w:rPr>
        <w:t>Table 1.1.1: Scope 1 Emissions by Source (2024)</w:t>
      </w:r>
    </w:p>
    <w:tbl>
      <w:tblPr>
        <w:tblW w:w="0" w:type="auto"/>
        <w:jc w:val="center"/>
        <w:tblLook w:val="04A0" w:firstRow="1" w:lastRow="0" w:firstColumn="1" w:lastColumn="0" w:noHBand="0" w:noVBand="1"/>
      </w:tblPr>
      <w:tblGrid>
        <w:gridCol w:w="2257"/>
        <w:gridCol w:w="2257"/>
        <w:gridCol w:w="2257"/>
        <w:gridCol w:w="2257"/>
      </w:tblGrid>
      <w:tr w:rsidR="00A81986" w14:paraId="5401398D" w14:textId="77777777">
        <w:trPr>
          <w:jc w:val="center"/>
        </w:trPr>
        <w:tc>
          <w:tcPr>
            <w:tcW w:w="2257" w:type="dxa"/>
            <w:shd w:val="clear" w:color="auto" w:fill="1B3A6B"/>
          </w:tcPr>
          <w:p w14:paraId="27BA7141" w14:textId="77777777" w:rsidR="00A81986" w:rsidRDefault="0067390B">
            <w:r>
              <w:rPr>
                <w:rFonts w:ascii="Arial" w:hAnsi="Arial"/>
                <w:b/>
                <w:color w:val="FFFFFF"/>
                <w:sz w:val="18"/>
              </w:rPr>
              <w:t>Emission Source</w:t>
            </w:r>
          </w:p>
        </w:tc>
        <w:tc>
          <w:tcPr>
            <w:tcW w:w="2257" w:type="dxa"/>
            <w:shd w:val="clear" w:color="auto" w:fill="1B3A6B"/>
          </w:tcPr>
          <w:p w14:paraId="3697A162" w14:textId="77777777" w:rsidR="00A81986" w:rsidRDefault="0067390B">
            <w:r>
              <w:rPr>
                <w:rFonts w:ascii="Arial" w:hAnsi="Arial"/>
                <w:b/>
                <w:color w:val="FFFFFF"/>
                <w:sz w:val="18"/>
              </w:rPr>
              <w:t>Fuel Consumption</w:t>
            </w:r>
          </w:p>
        </w:tc>
        <w:tc>
          <w:tcPr>
            <w:tcW w:w="2257" w:type="dxa"/>
            <w:shd w:val="clear" w:color="auto" w:fill="1B3A6B"/>
          </w:tcPr>
          <w:p w14:paraId="7216ED1D" w14:textId="77777777" w:rsidR="00A81986" w:rsidRDefault="0067390B">
            <w:r>
              <w:rPr>
                <w:rFonts w:ascii="Arial" w:hAnsi="Arial"/>
                <w:b/>
                <w:color w:val="FFFFFF"/>
                <w:sz w:val="18"/>
              </w:rPr>
              <w:t>Emissions (tCO₂e)</w:t>
            </w:r>
          </w:p>
        </w:tc>
        <w:tc>
          <w:tcPr>
            <w:tcW w:w="2257" w:type="dxa"/>
            <w:shd w:val="clear" w:color="auto" w:fill="1B3A6B"/>
          </w:tcPr>
          <w:p w14:paraId="74935A6F" w14:textId="77777777" w:rsidR="00A81986" w:rsidRDefault="0067390B">
            <w:r>
              <w:rPr>
                <w:rFonts w:ascii="Arial" w:hAnsi="Arial"/>
                <w:b/>
                <w:color w:val="FFFFFF"/>
                <w:sz w:val="18"/>
              </w:rPr>
              <w:t>% of Scope 1</w:t>
            </w:r>
          </w:p>
        </w:tc>
      </w:tr>
      <w:tr w:rsidR="00A81986" w14:paraId="0E3F1B0A" w14:textId="77777777">
        <w:trPr>
          <w:jc w:val="center"/>
        </w:trPr>
        <w:tc>
          <w:tcPr>
            <w:tcW w:w="2257" w:type="dxa"/>
          </w:tcPr>
          <w:p w14:paraId="4E09BF59" w14:textId="77777777" w:rsidR="00A81986" w:rsidRDefault="0067390B">
            <w:r>
              <w:rPr>
                <w:rFonts w:ascii="Arial" w:hAnsi="Arial"/>
                <w:sz w:val="18"/>
              </w:rPr>
              <w:t>Diesel combustion (generators &amp; vehicles)</w:t>
            </w:r>
          </w:p>
        </w:tc>
        <w:tc>
          <w:tcPr>
            <w:tcW w:w="2257" w:type="dxa"/>
          </w:tcPr>
          <w:p w14:paraId="66FE8D1A" w14:textId="77777777" w:rsidR="00A81986" w:rsidRDefault="0067390B">
            <w:r>
              <w:rPr>
                <w:rFonts w:ascii="Arial" w:hAnsi="Arial"/>
                <w:sz w:val="18"/>
              </w:rPr>
              <w:t>857,147 liters</w:t>
            </w:r>
          </w:p>
        </w:tc>
        <w:tc>
          <w:tcPr>
            <w:tcW w:w="2257" w:type="dxa"/>
          </w:tcPr>
          <w:p w14:paraId="4E77FB22" w14:textId="77777777" w:rsidR="00A81986" w:rsidRDefault="0067390B">
            <w:pPr>
              <w:jc w:val="right"/>
            </w:pPr>
            <w:r>
              <w:rPr>
                <w:rFonts w:ascii="Arial" w:hAnsi="Arial"/>
                <w:sz w:val="18"/>
              </w:rPr>
              <w:t>2,203.2044</w:t>
            </w:r>
          </w:p>
        </w:tc>
        <w:tc>
          <w:tcPr>
            <w:tcW w:w="2257" w:type="dxa"/>
          </w:tcPr>
          <w:p w14:paraId="6BEA1546" w14:textId="77777777" w:rsidR="00A81986" w:rsidRDefault="0067390B">
            <w:pPr>
              <w:jc w:val="right"/>
            </w:pPr>
            <w:r>
              <w:rPr>
                <w:rFonts w:ascii="Arial" w:hAnsi="Arial"/>
                <w:sz w:val="18"/>
              </w:rPr>
              <w:t>64.7%</w:t>
            </w:r>
          </w:p>
        </w:tc>
      </w:tr>
      <w:tr w:rsidR="00A81986" w14:paraId="4FDD74B6" w14:textId="77777777">
        <w:trPr>
          <w:jc w:val="center"/>
        </w:trPr>
        <w:tc>
          <w:tcPr>
            <w:tcW w:w="2257" w:type="dxa"/>
            <w:shd w:val="clear" w:color="auto" w:fill="F2F6FC"/>
          </w:tcPr>
          <w:p w14:paraId="25FD04CF" w14:textId="77777777" w:rsidR="00A81986" w:rsidRDefault="0067390B">
            <w:r>
              <w:rPr>
                <w:rFonts w:ascii="Arial" w:hAnsi="Arial"/>
                <w:sz w:val="18"/>
              </w:rPr>
              <w:t>Natural gas combustion (heating &amp; kitchen)</w:t>
            </w:r>
          </w:p>
        </w:tc>
        <w:tc>
          <w:tcPr>
            <w:tcW w:w="2257" w:type="dxa"/>
            <w:shd w:val="clear" w:color="auto" w:fill="F2F6FC"/>
          </w:tcPr>
          <w:p w14:paraId="76AE392F" w14:textId="77777777" w:rsidR="00A81986" w:rsidRDefault="0067390B">
            <w:r>
              <w:rPr>
                <w:rFonts w:ascii="Arial" w:hAnsi="Arial"/>
                <w:sz w:val="18"/>
              </w:rPr>
              <w:t>21,355.74 GJ</w:t>
            </w:r>
          </w:p>
        </w:tc>
        <w:tc>
          <w:tcPr>
            <w:tcW w:w="2257" w:type="dxa"/>
            <w:shd w:val="clear" w:color="auto" w:fill="F2F6FC"/>
          </w:tcPr>
          <w:p w14:paraId="14D4C4ED" w14:textId="77777777" w:rsidR="00A81986" w:rsidRDefault="0067390B">
            <w:pPr>
              <w:jc w:val="right"/>
            </w:pPr>
            <w:r>
              <w:rPr>
                <w:rFonts w:ascii="Arial" w:hAnsi="Arial"/>
                <w:sz w:val="18"/>
              </w:rPr>
              <w:t>1,199.7924</w:t>
            </w:r>
          </w:p>
        </w:tc>
        <w:tc>
          <w:tcPr>
            <w:tcW w:w="2257" w:type="dxa"/>
            <w:shd w:val="clear" w:color="auto" w:fill="F2F6FC"/>
          </w:tcPr>
          <w:p w14:paraId="41936D86" w14:textId="77777777" w:rsidR="00A81986" w:rsidRDefault="0067390B">
            <w:pPr>
              <w:jc w:val="right"/>
            </w:pPr>
            <w:r>
              <w:rPr>
                <w:rFonts w:ascii="Arial" w:hAnsi="Arial"/>
                <w:sz w:val="18"/>
              </w:rPr>
              <w:t>35.3%</w:t>
            </w:r>
          </w:p>
        </w:tc>
      </w:tr>
      <w:tr w:rsidR="00A81986" w14:paraId="3EA75166" w14:textId="77777777">
        <w:trPr>
          <w:jc w:val="center"/>
        </w:trPr>
        <w:tc>
          <w:tcPr>
            <w:tcW w:w="2257" w:type="dxa"/>
          </w:tcPr>
          <w:p w14:paraId="7DD34B72" w14:textId="77777777" w:rsidR="00A81986" w:rsidRDefault="0067390B">
            <w:r>
              <w:rPr>
                <w:rFonts w:ascii="Arial" w:hAnsi="Arial"/>
                <w:sz w:val="18"/>
              </w:rPr>
              <w:t>**Total Scope 1**</w:t>
            </w:r>
          </w:p>
        </w:tc>
        <w:tc>
          <w:tcPr>
            <w:tcW w:w="2257" w:type="dxa"/>
          </w:tcPr>
          <w:p w14:paraId="2E0252BF" w14:textId="77777777" w:rsidR="00A81986" w:rsidRDefault="0067390B">
            <w:r>
              <w:rPr>
                <w:rFonts w:ascii="Arial" w:hAnsi="Arial"/>
                <w:sz w:val="18"/>
              </w:rPr>
              <w:t>—</w:t>
            </w:r>
          </w:p>
        </w:tc>
        <w:tc>
          <w:tcPr>
            <w:tcW w:w="2257" w:type="dxa"/>
          </w:tcPr>
          <w:p w14:paraId="2A2D2674" w14:textId="77777777" w:rsidR="00A81986" w:rsidRDefault="0067390B">
            <w:r>
              <w:rPr>
                <w:rFonts w:ascii="Arial" w:hAnsi="Arial"/>
                <w:sz w:val="18"/>
              </w:rPr>
              <w:t>**3,402.997**</w:t>
            </w:r>
          </w:p>
        </w:tc>
        <w:tc>
          <w:tcPr>
            <w:tcW w:w="2257" w:type="dxa"/>
          </w:tcPr>
          <w:p w14:paraId="21290B68" w14:textId="77777777" w:rsidR="00A81986" w:rsidRDefault="0067390B">
            <w:r>
              <w:rPr>
                <w:rFonts w:ascii="Arial" w:hAnsi="Arial"/>
                <w:sz w:val="18"/>
              </w:rPr>
              <w:t>**100.0%**</w:t>
            </w:r>
          </w:p>
        </w:tc>
      </w:tr>
    </w:tbl>
    <w:p w14:paraId="33EA8DDF" w14:textId="77777777" w:rsidR="00A81986" w:rsidRDefault="0067390B">
      <w:r>
        <w:rPr>
          <w:rFonts w:ascii="Arial" w:hAnsi="Arial"/>
          <w:i/>
          <w:sz w:val="16"/>
        </w:rPr>
        <w:t>Source: Source: Internal fuel consumption records; emission factors from MEMR National Database 2023; GWP values per IPCC AR6.</w:t>
      </w:r>
    </w:p>
    <w:p w14:paraId="4851795B" w14:textId="77777777" w:rsidR="00A81986" w:rsidRDefault="00A81986"/>
    <w:p w14:paraId="78A96DA0" w14:textId="77777777" w:rsidR="00A81986" w:rsidRDefault="0067390B">
      <w:r>
        <w:rPr>
          <w:rFonts w:ascii="Arial" w:hAnsi="Arial"/>
          <w:b/>
          <w:sz w:val="20"/>
        </w:rPr>
        <w:t>Table 1.1.2: Year-over-Year Scope 1 Comparison</w:t>
      </w:r>
    </w:p>
    <w:tbl>
      <w:tblPr>
        <w:tblW w:w="0" w:type="auto"/>
        <w:jc w:val="center"/>
        <w:tblLook w:val="04A0" w:firstRow="1" w:lastRow="0" w:firstColumn="1" w:lastColumn="0" w:noHBand="0" w:noVBand="1"/>
      </w:tblPr>
      <w:tblGrid>
        <w:gridCol w:w="1806"/>
        <w:gridCol w:w="1806"/>
        <w:gridCol w:w="1806"/>
        <w:gridCol w:w="1806"/>
        <w:gridCol w:w="1806"/>
      </w:tblGrid>
      <w:tr w:rsidR="00A81986" w14:paraId="346CF625" w14:textId="77777777">
        <w:trPr>
          <w:jc w:val="center"/>
        </w:trPr>
        <w:tc>
          <w:tcPr>
            <w:tcW w:w="1806" w:type="dxa"/>
            <w:shd w:val="clear" w:color="auto" w:fill="1B3A6B"/>
          </w:tcPr>
          <w:p w14:paraId="16DF7D9A" w14:textId="77777777" w:rsidR="00A81986" w:rsidRDefault="0067390B">
            <w:r>
              <w:rPr>
                <w:rFonts w:ascii="Arial" w:hAnsi="Arial"/>
                <w:b/>
                <w:color w:val="FFFFFF"/>
                <w:sz w:val="18"/>
              </w:rPr>
              <w:lastRenderedPageBreak/>
              <w:t>Metric</w:t>
            </w:r>
          </w:p>
        </w:tc>
        <w:tc>
          <w:tcPr>
            <w:tcW w:w="1806" w:type="dxa"/>
            <w:shd w:val="clear" w:color="auto" w:fill="1B3A6B"/>
          </w:tcPr>
          <w:p w14:paraId="16E234C5" w14:textId="77777777" w:rsidR="00A81986" w:rsidRDefault="0067390B">
            <w:r>
              <w:rPr>
                <w:rFonts w:ascii="Arial" w:hAnsi="Arial"/>
                <w:b/>
                <w:color w:val="FFFFFF"/>
                <w:sz w:val="18"/>
              </w:rPr>
              <w:t>2023</w:t>
            </w:r>
          </w:p>
        </w:tc>
        <w:tc>
          <w:tcPr>
            <w:tcW w:w="1806" w:type="dxa"/>
            <w:shd w:val="clear" w:color="auto" w:fill="1B3A6B"/>
          </w:tcPr>
          <w:p w14:paraId="7F0F2967" w14:textId="77777777" w:rsidR="00A81986" w:rsidRDefault="0067390B">
            <w:r>
              <w:rPr>
                <w:rFonts w:ascii="Arial" w:hAnsi="Arial"/>
                <w:b/>
                <w:color w:val="FFFFFF"/>
                <w:sz w:val="18"/>
              </w:rPr>
              <w:t>2024</w:t>
            </w:r>
          </w:p>
        </w:tc>
        <w:tc>
          <w:tcPr>
            <w:tcW w:w="1806" w:type="dxa"/>
            <w:shd w:val="clear" w:color="auto" w:fill="1B3A6B"/>
          </w:tcPr>
          <w:p w14:paraId="03B44B55" w14:textId="77777777" w:rsidR="00A81986" w:rsidRDefault="0067390B">
            <w:r>
              <w:rPr>
                <w:rFonts w:ascii="Arial" w:hAnsi="Arial"/>
                <w:b/>
                <w:color w:val="FFFFFF"/>
                <w:sz w:val="18"/>
              </w:rPr>
              <w:t>Absolute Change</w:t>
            </w:r>
          </w:p>
        </w:tc>
        <w:tc>
          <w:tcPr>
            <w:tcW w:w="1806" w:type="dxa"/>
            <w:shd w:val="clear" w:color="auto" w:fill="1B3A6B"/>
          </w:tcPr>
          <w:p w14:paraId="36BAB98C" w14:textId="77777777" w:rsidR="00A81986" w:rsidRDefault="0067390B">
            <w:r>
              <w:rPr>
                <w:rFonts w:ascii="Arial" w:hAnsi="Arial"/>
                <w:b/>
                <w:color w:val="FFFFFF"/>
                <w:sz w:val="18"/>
              </w:rPr>
              <w:t>% Change</w:t>
            </w:r>
          </w:p>
        </w:tc>
      </w:tr>
      <w:tr w:rsidR="00A81986" w14:paraId="1431826A" w14:textId="77777777">
        <w:trPr>
          <w:jc w:val="center"/>
        </w:trPr>
        <w:tc>
          <w:tcPr>
            <w:tcW w:w="1806" w:type="dxa"/>
          </w:tcPr>
          <w:p w14:paraId="532BAB74" w14:textId="77777777" w:rsidR="00A81986" w:rsidRDefault="0067390B">
            <w:r>
              <w:rPr>
                <w:rFonts w:ascii="Arial" w:hAnsi="Arial"/>
                <w:sz w:val="18"/>
              </w:rPr>
              <w:t>Diesel emissions (tCO₂e)</w:t>
            </w:r>
          </w:p>
        </w:tc>
        <w:tc>
          <w:tcPr>
            <w:tcW w:w="1806" w:type="dxa"/>
          </w:tcPr>
          <w:p w14:paraId="4D5D5BF4" w14:textId="77777777" w:rsidR="00A81986" w:rsidRDefault="0067390B">
            <w:pPr>
              <w:jc w:val="right"/>
            </w:pPr>
            <w:r>
              <w:rPr>
                <w:rFonts w:ascii="Arial" w:hAnsi="Arial"/>
                <w:sz w:val="18"/>
              </w:rPr>
              <w:t>2,125.4888</w:t>
            </w:r>
          </w:p>
        </w:tc>
        <w:tc>
          <w:tcPr>
            <w:tcW w:w="1806" w:type="dxa"/>
          </w:tcPr>
          <w:p w14:paraId="119D7F2D" w14:textId="77777777" w:rsidR="00A81986" w:rsidRDefault="0067390B">
            <w:pPr>
              <w:jc w:val="right"/>
            </w:pPr>
            <w:r>
              <w:rPr>
                <w:rFonts w:ascii="Arial" w:hAnsi="Arial"/>
                <w:sz w:val="18"/>
              </w:rPr>
              <w:t>2,203.2044</w:t>
            </w:r>
          </w:p>
        </w:tc>
        <w:tc>
          <w:tcPr>
            <w:tcW w:w="1806" w:type="dxa"/>
          </w:tcPr>
          <w:p w14:paraId="6224AB86" w14:textId="77777777" w:rsidR="00A81986" w:rsidRDefault="0067390B">
            <w:pPr>
              <w:jc w:val="right"/>
            </w:pPr>
            <w:r>
              <w:rPr>
                <w:rFonts w:ascii="Arial" w:hAnsi="Arial"/>
                <w:sz w:val="18"/>
              </w:rPr>
              <w:t>+77.7156</w:t>
            </w:r>
          </w:p>
        </w:tc>
        <w:tc>
          <w:tcPr>
            <w:tcW w:w="1806" w:type="dxa"/>
          </w:tcPr>
          <w:p w14:paraId="33D52D24" w14:textId="77777777" w:rsidR="00A81986" w:rsidRDefault="0067390B">
            <w:pPr>
              <w:jc w:val="right"/>
            </w:pPr>
            <w:r>
              <w:rPr>
                <w:rFonts w:ascii="Arial" w:hAnsi="Arial"/>
                <w:sz w:val="18"/>
              </w:rPr>
              <w:t>+3.66%</w:t>
            </w:r>
          </w:p>
        </w:tc>
      </w:tr>
      <w:tr w:rsidR="00A81986" w14:paraId="24ED78DF" w14:textId="77777777">
        <w:trPr>
          <w:jc w:val="center"/>
        </w:trPr>
        <w:tc>
          <w:tcPr>
            <w:tcW w:w="1806" w:type="dxa"/>
            <w:shd w:val="clear" w:color="auto" w:fill="F2F6FC"/>
          </w:tcPr>
          <w:p w14:paraId="4A64E929" w14:textId="77777777" w:rsidR="00A81986" w:rsidRDefault="0067390B">
            <w:r>
              <w:rPr>
                <w:rFonts w:ascii="Arial" w:hAnsi="Arial"/>
                <w:sz w:val="18"/>
              </w:rPr>
              <w:t>Natural gas emissions (tCO₂e)</w:t>
            </w:r>
          </w:p>
        </w:tc>
        <w:tc>
          <w:tcPr>
            <w:tcW w:w="1806" w:type="dxa"/>
            <w:shd w:val="clear" w:color="auto" w:fill="F2F6FC"/>
          </w:tcPr>
          <w:p w14:paraId="1C519CC5" w14:textId="77777777" w:rsidR="00A81986" w:rsidRDefault="0067390B">
            <w:pPr>
              <w:jc w:val="right"/>
            </w:pPr>
            <w:r>
              <w:rPr>
                <w:rFonts w:ascii="Arial" w:hAnsi="Arial"/>
                <w:sz w:val="18"/>
              </w:rPr>
              <w:t>1,199.0321</w:t>
            </w:r>
          </w:p>
        </w:tc>
        <w:tc>
          <w:tcPr>
            <w:tcW w:w="1806" w:type="dxa"/>
            <w:shd w:val="clear" w:color="auto" w:fill="F2F6FC"/>
          </w:tcPr>
          <w:p w14:paraId="01F7E100" w14:textId="77777777" w:rsidR="00A81986" w:rsidRDefault="0067390B">
            <w:pPr>
              <w:jc w:val="right"/>
            </w:pPr>
            <w:r>
              <w:rPr>
                <w:rFonts w:ascii="Arial" w:hAnsi="Arial"/>
                <w:sz w:val="18"/>
              </w:rPr>
              <w:t>1,199.7924</w:t>
            </w:r>
          </w:p>
        </w:tc>
        <w:tc>
          <w:tcPr>
            <w:tcW w:w="1806" w:type="dxa"/>
            <w:shd w:val="clear" w:color="auto" w:fill="F2F6FC"/>
          </w:tcPr>
          <w:p w14:paraId="1D7F6FA7" w14:textId="77777777" w:rsidR="00A81986" w:rsidRDefault="0067390B">
            <w:pPr>
              <w:jc w:val="right"/>
            </w:pPr>
            <w:r>
              <w:rPr>
                <w:rFonts w:ascii="Arial" w:hAnsi="Arial"/>
                <w:sz w:val="18"/>
              </w:rPr>
              <w:t>+0.7603</w:t>
            </w:r>
          </w:p>
        </w:tc>
        <w:tc>
          <w:tcPr>
            <w:tcW w:w="1806" w:type="dxa"/>
            <w:shd w:val="clear" w:color="auto" w:fill="F2F6FC"/>
          </w:tcPr>
          <w:p w14:paraId="3CEB2B6B" w14:textId="77777777" w:rsidR="00A81986" w:rsidRDefault="0067390B">
            <w:pPr>
              <w:jc w:val="right"/>
            </w:pPr>
            <w:r>
              <w:rPr>
                <w:rFonts w:ascii="Arial" w:hAnsi="Arial"/>
                <w:sz w:val="18"/>
              </w:rPr>
              <w:t>+0.06%</w:t>
            </w:r>
          </w:p>
        </w:tc>
      </w:tr>
      <w:tr w:rsidR="00A81986" w14:paraId="706600CA" w14:textId="77777777">
        <w:trPr>
          <w:jc w:val="center"/>
        </w:trPr>
        <w:tc>
          <w:tcPr>
            <w:tcW w:w="1806" w:type="dxa"/>
          </w:tcPr>
          <w:p w14:paraId="4542C40D" w14:textId="77777777" w:rsidR="00A81986" w:rsidRDefault="0067390B">
            <w:r>
              <w:rPr>
                <w:rFonts w:ascii="Arial" w:hAnsi="Arial"/>
                <w:sz w:val="18"/>
              </w:rPr>
              <w:t>**Total Scope 1 (tCO₂e)**</w:t>
            </w:r>
          </w:p>
        </w:tc>
        <w:tc>
          <w:tcPr>
            <w:tcW w:w="1806" w:type="dxa"/>
          </w:tcPr>
          <w:p w14:paraId="2D67F3AD" w14:textId="77777777" w:rsidR="00A81986" w:rsidRDefault="0067390B">
            <w:r>
              <w:rPr>
                <w:rFonts w:ascii="Arial" w:hAnsi="Arial"/>
                <w:sz w:val="18"/>
              </w:rPr>
              <w:t>**3,324.521**</w:t>
            </w:r>
          </w:p>
        </w:tc>
        <w:tc>
          <w:tcPr>
            <w:tcW w:w="1806" w:type="dxa"/>
          </w:tcPr>
          <w:p w14:paraId="07FBFC3B" w14:textId="77777777" w:rsidR="00A81986" w:rsidRDefault="0067390B">
            <w:r>
              <w:rPr>
                <w:rFonts w:ascii="Arial" w:hAnsi="Arial"/>
                <w:sz w:val="18"/>
              </w:rPr>
              <w:t>**3,402.997**</w:t>
            </w:r>
          </w:p>
        </w:tc>
        <w:tc>
          <w:tcPr>
            <w:tcW w:w="1806" w:type="dxa"/>
          </w:tcPr>
          <w:p w14:paraId="690828BD" w14:textId="77777777" w:rsidR="00A81986" w:rsidRDefault="0067390B">
            <w:r>
              <w:rPr>
                <w:rFonts w:ascii="Arial" w:hAnsi="Arial"/>
                <w:sz w:val="18"/>
              </w:rPr>
              <w:t>**+78.476**</w:t>
            </w:r>
          </w:p>
        </w:tc>
        <w:tc>
          <w:tcPr>
            <w:tcW w:w="1806" w:type="dxa"/>
          </w:tcPr>
          <w:p w14:paraId="790FDB89" w14:textId="77777777" w:rsidR="00A81986" w:rsidRDefault="0067390B">
            <w:r>
              <w:rPr>
                <w:rFonts w:ascii="Arial" w:hAnsi="Arial"/>
                <w:sz w:val="18"/>
              </w:rPr>
              <w:t>**+2.36%**</w:t>
            </w:r>
          </w:p>
        </w:tc>
      </w:tr>
    </w:tbl>
    <w:p w14:paraId="1439467D" w14:textId="77777777" w:rsidR="00A81986" w:rsidRDefault="0067390B">
      <w:r>
        <w:rPr>
          <w:rFonts w:ascii="Arial" w:hAnsi="Arial"/>
          <w:i/>
          <w:sz w:val="16"/>
        </w:rPr>
        <w:t>Source: Source: Annual GHG inventory records 2023-2024.</w:t>
      </w:r>
    </w:p>
    <w:p w14:paraId="7451DBAF" w14:textId="77777777" w:rsidR="00A81986" w:rsidRDefault="00A81986"/>
    <w:p w14:paraId="0365C436" w14:textId="77777777" w:rsidR="00A81986" w:rsidRDefault="0067390B">
      <w:r>
        <w:rPr>
          <w:rFonts w:ascii="Arial" w:hAnsi="Arial"/>
          <w:b/>
          <w:sz w:val="20"/>
        </w:rPr>
        <w:t>Table 1.1.3: Top Five Emitting Facilities (2024)</w:t>
      </w:r>
    </w:p>
    <w:tbl>
      <w:tblPr>
        <w:tblW w:w="0" w:type="auto"/>
        <w:jc w:val="center"/>
        <w:tblLook w:val="04A0" w:firstRow="1" w:lastRow="0" w:firstColumn="1" w:lastColumn="0" w:noHBand="0" w:noVBand="1"/>
      </w:tblPr>
      <w:tblGrid>
        <w:gridCol w:w="1806"/>
        <w:gridCol w:w="1806"/>
        <w:gridCol w:w="1806"/>
        <w:gridCol w:w="1806"/>
        <w:gridCol w:w="1806"/>
      </w:tblGrid>
      <w:tr w:rsidR="00A81986" w14:paraId="5ABBB08D" w14:textId="77777777">
        <w:trPr>
          <w:jc w:val="center"/>
        </w:trPr>
        <w:tc>
          <w:tcPr>
            <w:tcW w:w="1806" w:type="dxa"/>
            <w:shd w:val="clear" w:color="auto" w:fill="1B3A6B"/>
          </w:tcPr>
          <w:p w14:paraId="7224F400" w14:textId="77777777" w:rsidR="00A81986" w:rsidRDefault="0067390B">
            <w:r>
              <w:rPr>
                <w:rFonts w:ascii="Arial" w:hAnsi="Arial"/>
                <w:b/>
                <w:color w:val="FFFFFF"/>
                <w:sz w:val="18"/>
              </w:rPr>
              <w:t>Facility ID</w:t>
            </w:r>
          </w:p>
        </w:tc>
        <w:tc>
          <w:tcPr>
            <w:tcW w:w="1806" w:type="dxa"/>
            <w:shd w:val="clear" w:color="auto" w:fill="1B3A6B"/>
          </w:tcPr>
          <w:p w14:paraId="0EB1A089" w14:textId="77777777" w:rsidR="00A81986" w:rsidRDefault="0067390B">
            <w:r>
              <w:rPr>
                <w:rFonts w:ascii="Arial" w:hAnsi="Arial"/>
                <w:b/>
                <w:color w:val="FFFFFF"/>
                <w:sz w:val="18"/>
              </w:rPr>
              <w:t>Diesel (tCO₂e)</w:t>
            </w:r>
          </w:p>
        </w:tc>
        <w:tc>
          <w:tcPr>
            <w:tcW w:w="1806" w:type="dxa"/>
            <w:shd w:val="clear" w:color="auto" w:fill="1B3A6B"/>
          </w:tcPr>
          <w:p w14:paraId="4F68570C" w14:textId="77777777" w:rsidR="00A81986" w:rsidRDefault="0067390B">
            <w:r>
              <w:rPr>
                <w:rFonts w:ascii="Arial" w:hAnsi="Arial"/>
                <w:b/>
                <w:color w:val="FFFFFF"/>
                <w:sz w:val="18"/>
              </w:rPr>
              <w:t>Natural Gas (tCO₂e)</w:t>
            </w:r>
          </w:p>
        </w:tc>
        <w:tc>
          <w:tcPr>
            <w:tcW w:w="1806" w:type="dxa"/>
            <w:shd w:val="clear" w:color="auto" w:fill="1B3A6B"/>
          </w:tcPr>
          <w:p w14:paraId="70E058CC" w14:textId="77777777" w:rsidR="00A81986" w:rsidRDefault="0067390B">
            <w:r>
              <w:rPr>
                <w:rFonts w:ascii="Arial" w:hAnsi="Arial"/>
                <w:b/>
                <w:color w:val="FFFFFF"/>
                <w:sz w:val="18"/>
              </w:rPr>
              <w:t>Total Scope 1 (tCO₂e)</w:t>
            </w:r>
          </w:p>
        </w:tc>
        <w:tc>
          <w:tcPr>
            <w:tcW w:w="1806" w:type="dxa"/>
            <w:shd w:val="clear" w:color="auto" w:fill="1B3A6B"/>
          </w:tcPr>
          <w:p w14:paraId="69BB8A76" w14:textId="77777777" w:rsidR="00A81986" w:rsidRDefault="0067390B">
            <w:r>
              <w:rPr>
                <w:rFonts w:ascii="Arial" w:hAnsi="Arial"/>
                <w:b/>
                <w:color w:val="FFFFFF"/>
                <w:sz w:val="18"/>
              </w:rPr>
              <w:t>Data Quality Score</w:t>
            </w:r>
          </w:p>
        </w:tc>
      </w:tr>
      <w:tr w:rsidR="00A81986" w14:paraId="7281A02B" w14:textId="77777777">
        <w:trPr>
          <w:jc w:val="center"/>
        </w:trPr>
        <w:tc>
          <w:tcPr>
            <w:tcW w:w="1806" w:type="dxa"/>
          </w:tcPr>
          <w:p w14:paraId="6D70E956" w14:textId="77777777" w:rsidR="00A81986" w:rsidRDefault="0067390B">
            <w:r>
              <w:rPr>
                <w:rFonts w:ascii="Arial" w:hAnsi="Arial"/>
                <w:sz w:val="18"/>
              </w:rPr>
              <w:t>FAC-0197</w:t>
            </w:r>
          </w:p>
        </w:tc>
        <w:tc>
          <w:tcPr>
            <w:tcW w:w="1806" w:type="dxa"/>
          </w:tcPr>
          <w:p w14:paraId="1FB47976" w14:textId="77777777" w:rsidR="00A81986" w:rsidRDefault="0067390B">
            <w:pPr>
              <w:jc w:val="right"/>
            </w:pPr>
            <w:r>
              <w:rPr>
                <w:rFonts w:ascii="Arial" w:hAnsi="Arial"/>
                <w:sz w:val="18"/>
              </w:rPr>
              <w:t>82.5404</w:t>
            </w:r>
          </w:p>
        </w:tc>
        <w:tc>
          <w:tcPr>
            <w:tcW w:w="1806" w:type="dxa"/>
          </w:tcPr>
          <w:p w14:paraId="69A46906" w14:textId="77777777" w:rsidR="00A81986" w:rsidRDefault="0067390B">
            <w:pPr>
              <w:jc w:val="right"/>
            </w:pPr>
            <w:r>
              <w:rPr>
                <w:rFonts w:ascii="Arial" w:hAnsi="Arial"/>
                <w:sz w:val="18"/>
              </w:rPr>
              <w:t>65.1748</w:t>
            </w:r>
          </w:p>
        </w:tc>
        <w:tc>
          <w:tcPr>
            <w:tcW w:w="1806" w:type="dxa"/>
          </w:tcPr>
          <w:p w14:paraId="635DFE1E" w14:textId="77777777" w:rsidR="00A81986" w:rsidRDefault="0067390B">
            <w:pPr>
              <w:jc w:val="right"/>
            </w:pPr>
            <w:r>
              <w:rPr>
                <w:rFonts w:ascii="Arial" w:hAnsi="Arial"/>
                <w:sz w:val="18"/>
              </w:rPr>
              <w:t>147.7152</w:t>
            </w:r>
          </w:p>
        </w:tc>
        <w:tc>
          <w:tcPr>
            <w:tcW w:w="1806" w:type="dxa"/>
          </w:tcPr>
          <w:p w14:paraId="27EAB72A" w14:textId="77777777" w:rsidR="00A81986" w:rsidRDefault="0067390B">
            <w:pPr>
              <w:jc w:val="right"/>
            </w:pPr>
            <w:r>
              <w:rPr>
                <w:rFonts w:ascii="Arial" w:hAnsi="Arial"/>
                <w:sz w:val="18"/>
              </w:rPr>
              <w:t>1</w:t>
            </w:r>
          </w:p>
        </w:tc>
      </w:tr>
      <w:tr w:rsidR="00A81986" w14:paraId="4A94A227" w14:textId="77777777">
        <w:trPr>
          <w:jc w:val="center"/>
        </w:trPr>
        <w:tc>
          <w:tcPr>
            <w:tcW w:w="1806" w:type="dxa"/>
            <w:shd w:val="clear" w:color="auto" w:fill="F2F6FC"/>
          </w:tcPr>
          <w:p w14:paraId="71EA909F" w14:textId="77777777" w:rsidR="00A81986" w:rsidRDefault="0067390B">
            <w:r>
              <w:rPr>
                <w:rFonts w:ascii="Arial" w:hAnsi="Arial"/>
                <w:sz w:val="18"/>
              </w:rPr>
              <w:t>FAC-0198</w:t>
            </w:r>
          </w:p>
        </w:tc>
        <w:tc>
          <w:tcPr>
            <w:tcW w:w="1806" w:type="dxa"/>
            <w:shd w:val="clear" w:color="auto" w:fill="F2F6FC"/>
          </w:tcPr>
          <w:p w14:paraId="4EBB1F78" w14:textId="77777777" w:rsidR="00A81986" w:rsidRDefault="0067390B">
            <w:pPr>
              <w:jc w:val="right"/>
            </w:pPr>
            <w:r>
              <w:rPr>
                <w:rFonts w:ascii="Arial" w:hAnsi="Arial"/>
                <w:sz w:val="18"/>
              </w:rPr>
              <w:t>83.3921</w:t>
            </w:r>
          </w:p>
        </w:tc>
        <w:tc>
          <w:tcPr>
            <w:tcW w:w="1806" w:type="dxa"/>
            <w:shd w:val="clear" w:color="auto" w:fill="F2F6FC"/>
          </w:tcPr>
          <w:p w14:paraId="7BB3143C" w14:textId="77777777" w:rsidR="00A81986" w:rsidRDefault="0067390B">
            <w:pPr>
              <w:jc w:val="right"/>
            </w:pPr>
            <w:r>
              <w:rPr>
                <w:rFonts w:ascii="Arial" w:hAnsi="Arial"/>
                <w:sz w:val="18"/>
              </w:rPr>
              <w:t>54.4460</w:t>
            </w:r>
          </w:p>
        </w:tc>
        <w:tc>
          <w:tcPr>
            <w:tcW w:w="1806" w:type="dxa"/>
            <w:shd w:val="clear" w:color="auto" w:fill="F2F6FC"/>
          </w:tcPr>
          <w:p w14:paraId="201C333E" w14:textId="77777777" w:rsidR="00A81986" w:rsidRDefault="0067390B">
            <w:pPr>
              <w:jc w:val="right"/>
            </w:pPr>
            <w:r>
              <w:rPr>
                <w:rFonts w:ascii="Arial" w:hAnsi="Arial"/>
                <w:sz w:val="18"/>
              </w:rPr>
              <w:t>137.8381</w:t>
            </w:r>
          </w:p>
        </w:tc>
        <w:tc>
          <w:tcPr>
            <w:tcW w:w="1806" w:type="dxa"/>
            <w:shd w:val="clear" w:color="auto" w:fill="F2F6FC"/>
          </w:tcPr>
          <w:p w14:paraId="74E6854C" w14:textId="77777777" w:rsidR="00A81986" w:rsidRDefault="0067390B">
            <w:pPr>
              <w:jc w:val="right"/>
            </w:pPr>
            <w:r>
              <w:rPr>
                <w:rFonts w:ascii="Arial" w:hAnsi="Arial"/>
                <w:sz w:val="18"/>
              </w:rPr>
              <w:t>1</w:t>
            </w:r>
          </w:p>
        </w:tc>
      </w:tr>
      <w:tr w:rsidR="00A81986" w14:paraId="50EF4FFC" w14:textId="77777777">
        <w:trPr>
          <w:jc w:val="center"/>
        </w:trPr>
        <w:tc>
          <w:tcPr>
            <w:tcW w:w="1806" w:type="dxa"/>
          </w:tcPr>
          <w:p w14:paraId="431DA196" w14:textId="77777777" w:rsidR="00A81986" w:rsidRDefault="0067390B">
            <w:r>
              <w:rPr>
                <w:rFonts w:ascii="Arial" w:hAnsi="Arial"/>
                <w:sz w:val="18"/>
              </w:rPr>
              <w:t>FAC-0200</w:t>
            </w:r>
          </w:p>
        </w:tc>
        <w:tc>
          <w:tcPr>
            <w:tcW w:w="1806" w:type="dxa"/>
          </w:tcPr>
          <w:p w14:paraId="62CCD527" w14:textId="77777777" w:rsidR="00A81986" w:rsidRDefault="0067390B">
            <w:pPr>
              <w:jc w:val="right"/>
            </w:pPr>
            <w:r>
              <w:rPr>
                <w:rFonts w:ascii="Arial" w:hAnsi="Arial"/>
                <w:sz w:val="18"/>
              </w:rPr>
              <w:t>74.4220</w:t>
            </w:r>
          </w:p>
        </w:tc>
        <w:tc>
          <w:tcPr>
            <w:tcW w:w="1806" w:type="dxa"/>
          </w:tcPr>
          <w:p w14:paraId="671A14F4" w14:textId="77777777" w:rsidR="00A81986" w:rsidRDefault="0067390B">
            <w:pPr>
              <w:jc w:val="right"/>
            </w:pPr>
            <w:r>
              <w:rPr>
                <w:rFonts w:ascii="Arial" w:hAnsi="Arial"/>
                <w:sz w:val="18"/>
              </w:rPr>
              <w:t>57.0202</w:t>
            </w:r>
          </w:p>
        </w:tc>
        <w:tc>
          <w:tcPr>
            <w:tcW w:w="1806" w:type="dxa"/>
          </w:tcPr>
          <w:p w14:paraId="6EA2C209" w14:textId="77777777" w:rsidR="00A81986" w:rsidRDefault="0067390B">
            <w:pPr>
              <w:jc w:val="right"/>
            </w:pPr>
            <w:r>
              <w:rPr>
                <w:rFonts w:ascii="Arial" w:hAnsi="Arial"/>
                <w:sz w:val="18"/>
              </w:rPr>
              <w:t>131.4422</w:t>
            </w:r>
          </w:p>
        </w:tc>
        <w:tc>
          <w:tcPr>
            <w:tcW w:w="1806" w:type="dxa"/>
          </w:tcPr>
          <w:p w14:paraId="74FAB499" w14:textId="77777777" w:rsidR="00A81986" w:rsidRDefault="0067390B">
            <w:pPr>
              <w:jc w:val="right"/>
            </w:pPr>
            <w:r>
              <w:rPr>
                <w:rFonts w:ascii="Arial" w:hAnsi="Arial"/>
                <w:sz w:val="18"/>
              </w:rPr>
              <w:t>1</w:t>
            </w:r>
          </w:p>
        </w:tc>
      </w:tr>
      <w:tr w:rsidR="00A81986" w14:paraId="6D869412" w14:textId="77777777">
        <w:trPr>
          <w:jc w:val="center"/>
        </w:trPr>
        <w:tc>
          <w:tcPr>
            <w:tcW w:w="1806" w:type="dxa"/>
            <w:shd w:val="clear" w:color="auto" w:fill="F2F6FC"/>
          </w:tcPr>
          <w:p w14:paraId="07DC60E0" w14:textId="77777777" w:rsidR="00A81986" w:rsidRDefault="0067390B">
            <w:r>
              <w:rPr>
                <w:rFonts w:ascii="Arial" w:hAnsi="Arial"/>
                <w:sz w:val="18"/>
              </w:rPr>
              <w:t>FAC-0196</w:t>
            </w:r>
          </w:p>
        </w:tc>
        <w:tc>
          <w:tcPr>
            <w:tcW w:w="1806" w:type="dxa"/>
            <w:shd w:val="clear" w:color="auto" w:fill="F2F6FC"/>
          </w:tcPr>
          <w:p w14:paraId="2C7D1B30" w14:textId="77777777" w:rsidR="00A81986" w:rsidRDefault="0067390B">
            <w:pPr>
              <w:jc w:val="right"/>
            </w:pPr>
            <w:r>
              <w:rPr>
                <w:rFonts w:ascii="Arial" w:hAnsi="Arial"/>
                <w:sz w:val="18"/>
              </w:rPr>
              <w:t>72.6692</w:t>
            </w:r>
          </w:p>
        </w:tc>
        <w:tc>
          <w:tcPr>
            <w:tcW w:w="1806" w:type="dxa"/>
            <w:shd w:val="clear" w:color="auto" w:fill="F2F6FC"/>
          </w:tcPr>
          <w:p w14:paraId="5688C18D" w14:textId="77777777" w:rsidR="00A81986" w:rsidRDefault="0067390B">
            <w:pPr>
              <w:jc w:val="right"/>
            </w:pPr>
            <w:r>
              <w:rPr>
                <w:rFonts w:ascii="Arial" w:hAnsi="Arial"/>
                <w:sz w:val="18"/>
              </w:rPr>
              <w:t>51.7527</w:t>
            </w:r>
          </w:p>
        </w:tc>
        <w:tc>
          <w:tcPr>
            <w:tcW w:w="1806" w:type="dxa"/>
            <w:shd w:val="clear" w:color="auto" w:fill="F2F6FC"/>
          </w:tcPr>
          <w:p w14:paraId="57761224" w14:textId="77777777" w:rsidR="00A81986" w:rsidRDefault="0067390B">
            <w:pPr>
              <w:jc w:val="right"/>
            </w:pPr>
            <w:r>
              <w:rPr>
                <w:rFonts w:ascii="Arial" w:hAnsi="Arial"/>
                <w:sz w:val="18"/>
              </w:rPr>
              <w:t>124.4219</w:t>
            </w:r>
          </w:p>
        </w:tc>
        <w:tc>
          <w:tcPr>
            <w:tcW w:w="1806" w:type="dxa"/>
            <w:shd w:val="clear" w:color="auto" w:fill="F2F6FC"/>
          </w:tcPr>
          <w:p w14:paraId="67A2D9B3" w14:textId="77777777" w:rsidR="00A81986" w:rsidRDefault="0067390B">
            <w:pPr>
              <w:jc w:val="right"/>
            </w:pPr>
            <w:r>
              <w:rPr>
                <w:rFonts w:ascii="Arial" w:hAnsi="Arial"/>
                <w:sz w:val="18"/>
              </w:rPr>
              <w:t>1</w:t>
            </w:r>
          </w:p>
        </w:tc>
      </w:tr>
      <w:tr w:rsidR="00A81986" w14:paraId="632353D3" w14:textId="77777777">
        <w:trPr>
          <w:jc w:val="center"/>
        </w:trPr>
        <w:tc>
          <w:tcPr>
            <w:tcW w:w="1806" w:type="dxa"/>
          </w:tcPr>
          <w:p w14:paraId="5EEB73E4" w14:textId="77777777" w:rsidR="00A81986" w:rsidRDefault="0067390B">
            <w:r>
              <w:rPr>
                <w:rFonts w:ascii="Arial" w:hAnsi="Arial"/>
                <w:sz w:val="18"/>
              </w:rPr>
              <w:t>FAC-0199</w:t>
            </w:r>
          </w:p>
        </w:tc>
        <w:tc>
          <w:tcPr>
            <w:tcW w:w="1806" w:type="dxa"/>
          </w:tcPr>
          <w:p w14:paraId="09C9EDB0" w14:textId="77777777" w:rsidR="00A81986" w:rsidRDefault="0067390B">
            <w:pPr>
              <w:jc w:val="right"/>
            </w:pPr>
            <w:r>
              <w:rPr>
                <w:rFonts w:ascii="Arial" w:hAnsi="Arial"/>
                <w:sz w:val="18"/>
              </w:rPr>
              <w:t>57.3972</w:t>
            </w:r>
          </w:p>
        </w:tc>
        <w:tc>
          <w:tcPr>
            <w:tcW w:w="1806" w:type="dxa"/>
          </w:tcPr>
          <w:p w14:paraId="22B03615" w14:textId="77777777" w:rsidR="00A81986" w:rsidRDefault="0067390B">
            <w:pPr>
              <w:jc w:val="right"/>
            </w:pPr>
            <w:r>
              <w:rPr>
                <w:rFonts w:ascii="Arial" w:hAnsi="Arial"/>
                <w:sz w:val="18"/>
              </w:rPr>
              <w:t>52.0150</w:t>
            </w:r>
          </w:p>
        </w:tc>
        <w:tc>
          <w:tcPr>
            <w:tcW w:w="1806" w:type="dxa"/>
          </w:tcPr>
          <w:p w14:paraId="5D177F7F" w14:textId="77777777" w:rsidR="00A81986" w:rsidRDefault="0067390B">
            <w:pPr>
              <w:jc w:val="right"/>
            </w:pPr>
            <w:r>
              <w:rPr>
                <w:rFonts w:ascii="Arial" w:hAnsi="Arial"/>
                <w:sz w:val="18"/>
              </w:rPr>
              <w:t>109.4122</w:t>
            </w:r>
          </w:p>
        </w:tc>
        <w:tc>
          <w:tcPr>
            <w:tcW w:w="1806" w:type="dxa"/>
          </w:tcPr>
          <w:p w14:paraId="698309FE" w14:textId="77777777" w:rsidR="00A81986" w:rsidRDefault="0067390B">
            <w:pPr>
              <w:jc w:val="right"/>
            </w:pPr>
            <w:r>
              <w:rPr>
                <w:rFonts w:ascii="Arial" w:hAnsi="Arial"/>
                <w:sz w:val="18"/>
              </w:rPr>
              <w:t>1</w:t>
            </w:r>
          </w:p>
        </w:tc>
      </w:tr>
      <w:tr w:rsidR="00A81986" w14:paraId="78DFD18A" w14:textId="77777777">
        <w:trPr>
          <w:jc w:val="center"/>
        </w:trPr>
        <w:tc>
          <w:tcPr>
            <w:tcW w:w="1806" w:type="dxa"/>
            <w:shd w:val="clear" w:color="auto" w:fill="F2F6FC"/>
          </w:tcPr>
          <w:p w14:paraId="5D53BDD6" w14:textId="77777777" w:rsidR="00A81986" w:rsidRDefault="0067390B">
            <w:r>
              <w:rPr>
                <w:rFonts w:ascii="Arial" w:hAnsi="Arial"/>
                <w:sz w:val="18"/>
              </w:rPr>
              <w:t>**Top 5 Subtotal**</w:t>
            </w:r>
          </w:p>
        </w:tc>
        <w:tc>
          <w:tcPr>
            <w:tcW w:w="1806" w:type="dxa"/>
            <w:shd w:val="clear" w:color="auto" w:fill="F2F6FC"/>
          </w:tcPr>
          <w:p w14:paraId="70A6A211" w14:textId="77777777" w:rsidR="00A81986" w:rsidRDefault="0067390B">
            <w:r>
              <w:rPr>
                <w:rFonts w:ascii="Arial" w:hAnsi="Arial"/>
                <w:sz w:val="18"/>
              </w:rPr>
              <w:t>**370.4209**</w:t>
            </w:r>
          </w:p>
        </w:tc>
        <w:tc>
          <w:tcPr>
            <w:tcW w:w="1806" w:type="dxa"/>
            <w:shd w:val="clear" w:color="auto" w:fill="F2F6FC"/>
          </w:tcPr>
          <w:p w14:paraId="43A45286" w14:textId="77777777" w:rsidR="00A81986" w:rsidRDefault="0067390B">
            <w:r>
              <w:rPr>
                <w:rFonts w:ascii="Arial" w:hAnsi="Arial"/>
                <w:sz w:val="18"/>
              </w:rPr>
              <w:t>**280.4087**</w:t>
            </w:r>
          </w:p>
        </w:tc>
        <w:tc>
          <w:tcPr>
            <w:tcW w:w="1806" w:type="dxa"/>
            <w:shd w:val="clear" w:color="auto" w:fill="F2F6FC"/>
          </w:tcPr>
          <w:p w14:paraId="11FEAB56" w14:textId="77777777" w:rsidR="00A81986" w:rsidRDefault="0067390B">
            <w:r>
              <w:rPr>
                <w:rFonts w:ascii="Arial" w:hAnsi="Arial"/>
                <w:sz w:val="18"/>
              </w:rPr>
              <w:t>**650.8296**</w:t>
            </w:r>
          </w:p>
        </w:tc>
        <w:tc>
          <w:tcPr>
            <w:tcW w:w="1806" w:type="dxa"/>
            <w:shd w:val="clear" w:color="auto" w:fill="F2F6FC"/>
          </w:tcPr>
          <w:p w14:paraId="71FFAEBF" w14:textId="77777777" w:rsidR="00A81986" w:rsidRDefault="0067390B">
            <w:r>
              <w:rPr>
                <w:rFonts w:ascii="Arial" w:hAnsi="Arial"/>
                <w:sz w:val="18"/>
              </w:rPr>
              <w:t>—</w:t>
            </w:r>
          </w:p>
        </w:tc>
      </w:tr>
      <w:tr w:rsidR="00A81986" w14:paraId="7B5605CB" w14:textId="77777777">
        <w:trPr>
          <w:jc w:val="center"/>
        </w:trPr>
        <w:tc>
          <w:tcPr>
            <w:tcW w:w="1806" w:type="dxa"/>
          </w:tcPr>
          <w:p w14:paraId="3D769A96" w14:textId="77777777" w:rsidR="00A81986" w:rsidRDefault="0067390B">
            <w:r>
              <w:rPr>
                <w:rFonts w:ascii="Arial" w:hAnsi="Arial"/>
                <w:sz w:val="18"/>
              </w:rPr>
              <w:t>**% of Total Scope 1**</w:t>
            </w:r>
          </w:p>
        </w:tc>
        <w:tc>
          <w:tcPr>
            <w:tcW w:w="1806" w:type="dxa"/>
          </w:tcPr>
          <w:p w14:paraId="0A154549" w14:textId="77777777" w:rsidR="00A81986" w:rsidRDefault="0067390B">
            <w:r>
              <w:rPr>
                <w:rFonts w:ascii="Arial" w:hAnsi="Arial"/>
                <w:sz w:val="18"/>
              </w:rPr>
              <w:t>**16.8%**</w:t>
            </w:r>
          </w:p>
        </w:tc>
        <w:tc>
          <w:tcPr>
            <w:tcW w:w="1806" w:type="dxa"/>
          </w:tcPr>
          <w:p w14:paraId="6D0FBE5C" w14:textId="77777777" w:rsidR="00A81986" w:rsidRDefault="0067390B">
            <w:r>
              <w:rPr>
                <w:rFonts w:ascii="Arial" w:hAnsi="Arial"/>
                <w:sz w:val="18"/>
              </w:rPr>
              <w:t>**23.4%**</w:t>
            </w:r>
          </w:p>
        </w:tc>
        <w:tc>
          <w:tcPr>
            <w:tcW w:w="1806" w:type="dxa"/>
          </w:tcPr>
          <w:p w14:paraId="1006BC25" w14:textId="77777777" w:rsidR="00A81986" w:rsidRDefault="0067390B">
            <w:r>
              <w:rPr>
                <w:rFonts w:ascii="Arial" w:hAnsi="Arial"/>
                <w:sz w:val="18"/>
              </w:rPr>
              <w:t>**19.1%**</w:t>
            </w:r>
          </w:p>
        </w:tc>
        <w:tc>
          <w:tcPr>
            <w:tcW w:w="1806" w:type="dxa"/>
          </w:tcPr>
          <w:p w14:paraId="6D6CA07E" w14:textId="77777777" w:rsidR="00A81986" w:rsidRDefault="0067390B">
            <w:r>
              <w:rPr>
                <w:rFonts w:ascii="Arial" w:hAnsi="Arial"/>
                <w:sz w:val="18"/>
              </w:rPr>
              <w:t>—</w:t>
            </w:r>
          </w:p>
        </w:tc>
      </w:tr>
    </w:tbl>
    <w:p w14:paraId="2E293F0C" w14:textId="77777777" w:rsidR="00A81986" w:rsidRDefault="0067390B">
      <w:r>
        <w:rPr>
          <w:rFonts w:ascii="Arial" w:hAnsi="Arial"/>
          <w:i/>
          <w:sz w:val="16"/>
        </w:rPr>
        <w:t>Source: Source: Facility-level metered fuel consumption data; Data Quality Score 1 = primary metered data with no estimation.</w:t>
      </w:r>
    </w:p>
    <w:p w14:paraId="7F648466" w14:textId="77777777" w:rsidR="00A81986" w:rsidRDefault="00A81986"/>
    <w:p w14:paraId="4E38437A" w14:textId="77777777" w:rsidR="00A81986" w:rsidRDefault="0067390B">
      <w:r>
        <w:rPr>
          <w:rFonts w:ascii="Arial" w:hAnsi="Arial"/>
          <w:b/>
          <w:sz w:val="20"/>
        </w:rPr>
        <w:t>Table 1.1.4: Framework Cross-Reference — Scope 1 Disclosure Compliance</w:t>
      </w:r>
    </w:p>
    <w:tbl>
      <w:tblPr>
        <w:tblW w:w="0" w:type="auto"/>
        <w:jc w:val="center"/>
        <w:tblLook w:val="04A0" w:firstRow="1" w:lastRow="0" w:firstColumn="1" w:lastColumn="0" w:noHBand="0" w:noVBand="1"/>
      </w:tblPr>
      <w:tblGrid>
        <w:gridCol w:w="2257"/>
        <w:gridCol w:w="2257"/>
        <w:gridCol w:w="2257"/>
        <w:gridCol w:w="2257"/>
      </w:tblGrid>
      <w:tr w:rsidR="00A81986" w14:paraId="7FAE8313" w14:textId="77777777">
        <w:trPr>
          <w:jc w:val="center"/>
        </w:trPr>
        <w:tc>
          <w:tcPr>
            <w:tcW w:w="2257" w:type="dxa"/>
            <w:shd w:val="clear" w:color="auto" w:fill="1B3A6B"/>
          </w:tcPr>
          <w:p w14:paraId="5F817410" w14:textId="77777777" w:rsidR="00A81986" w:rsidRDefault="0067390B">
            <w:r>
              <w:rPr>
                <w:rFonts w:ascii="Arial" w:hAnsi="Arial"/>
                <w:b/>
                <w:color w:val="FFFFFF"/>
                <w:sz w:val="18"/>
              </w:rPr>
              <w:t>Framework</w:t>
            </w:r>
          </w:p>
        </w:tc>
        <w:tc>
          <w:tcPr>
            <w:tcW w:w="2257" w:type="dxa"/>
            <w:shd w:val="clear" w:color="auto" w:fill="1B3A6B"/>
          </w:tcPr>
          <w:p w14:paraId="044E745D" w14:textId="77777777" w:rsidR="00A81986" w:rsidRDefault="0067390B">
            <w:r>
              <w:rPr>
                <w:rFonts w:ascii="Arial" w:hAnsi="Arial"/>
                <w:b/>
                <w:color w:val="FFFFFF"/>
                <w:sz w:val="18"/>
              </w:rPr>
              <w:t>Disclosure Reference</w:t>
            </w:r>
          </w:p>
        </w:tc>
        <w:tc>
          <w:tcPr>
            <w:tcW w:w="2257" w:type="dxa"/>
            <w:shd w:val="clear" w:color="auto" w:fill="1B3A6B"/>
          </w:tcPr>
          <w:p w14:paraId="50D2D280" w14:textId="77777777" w:rsidR="00A81986" w:rsidRDefault="0067390B">
            <w:r>
              <w:rPr>
                <w:rFonts w:ascii="Arial" w:hAnsi="Arial"/>
                <w:b/>
                <w:color w:val="FFFFFF"/>
                <w:sz w:val="18"/>
              </w:rPr>
              <w:t>Requirement</w:t>
            </w:r>
          </w:p>
        </w:tc>
        <w:tc>
          <w:tcPr>
            <w:tcW w:w="2257" w:type="dxa"/>
            <w:shd w:val="clear" w:color="auto" w:fill="1B3A6B"/>
          </w:tcPr>
          <w:p w14:paraId="42E2539D" w14:textId="77777777" w:rsidR="00A81986" w:rsidRDefault="0067390B">
            <w:r>
              <w:rPr>
                <w:rFonts w:ascii="Arial" w:hAnsi="Arial"/>
                <w:b/>
                <w:color w:val="FFFFFF"/>
                <w:sz w:val="18"/>
              </w:rPr>
              <w:t>Status</w:t>
            </w:r>
          </w:p>
        </w:tc>
      </w:tr>
      <w:tr w:rsidR="00A81986" w14:paraId="650025C5" w14:textId="77777777">
        <w:trPr>
          <w:jc w:val="center"/>
        </w:trPr>
        <w:tc>
          <w:tcPr>
            <w:tcW w:w="2257" w:type="dxa"/>
          </w:tcPr>
          <w:p w14:paraId="64E77652" w14:textId="77777777" w:rsidR="00A81986" w:rsidRDefault="0067390B">
            <w:r>
              <w:rPr>
                <w:rFonts w:ascii="Arial" w:hAnsi="Arial"/>
                <w:sz w:val="18"/>
              </w:rPr>
              <w:t>GRI 305-1</w:t>
            </w:r>
          </w:p>
        </w:tc>
        <w:tc>
          <w:tcPr>
            <w:tcW w:w="2257" w:type="dxa"/>
          </w:tcPr>
          <w:p w14:paraId="1EB322E6" w14:textId="77777777" w:rsidR="00A81986" w:rsidRDefault="0067390B">
            <w:r>
              <w:rPr>
                <w:rFonts w:ascii="Arial" w:hAnsi="Arial"/>
                <w:sz w:val="18"/>
              </w:rPr>
              <w:t>305-1a</w:t>
            </w:r>
          </w:p>
        </w:tc>
        <w:tc>
          <w:tcPr>
            <w:tcW w:w="2257" w:type="dxa"/>
          </w:tcPr>
          <w:p w14:paraId="594E95BD" w14:textId="77777777" w:rsidR="00A81986" w:rsidRDefault="0067390B">
            <w:r>
              <w:rPr>
                <w:rFonts w:ascii="Arial" w:hAnsi="Arial"/>
                <w:sz w:val="18"/>
              </w:rPr>
              <w:t>Gross direct (Scope 1) GHG emissions in tCO₂e</w:t>
            </w:r>
          </w:p>
        </w:tc>
        <w:tc>
          <w:tcPr>
            <w:tcW w:w="2257" w:type="dxa"/>
          </w:tcPr>
          <w:p w14:paraId="36D358BD" w14:textId="77777777" w:rsidR="00A81986" w:rsidRDefault="0067390B">
            <w:r>
              <w:rPr>
                <w:rFonts w:ascii="Arial" w:hAnsi="Arial"/>
                <w:sz w:val="18"/>
              </w:rPr>
              <w:t>✅</w:t>
            </w:r>
            <w:r>
              <w:rPr>
                <w:rFonts w:ascii="Arial" w:hAnsi="Arial"/>
                <w:sz w:val="18"/>
              </w:rPr>
              <w:t xml:space="preserve"> Disclosed</w:t>
            </w:r>
          </w:p>
        </w:tc>
      </w:tr>
      <w:tr w:rsidR="00A81986" w14:paraId="171630EB" w14:textId="77777777">
        <w:trPr>
          <w:jc w:val="center"/>
        </w:trPr>
        <w:tc>
          <w:tcPr>
            <w:tcW w:w="2257" w:type="dxa"/>
            <w:shd w:val="clear" w:color="auto" w:fill="F2F6FC"/>
          </w:tcPr>
          <w:p w14:paraId="51B5F1F9" w14:textId="77777777" w:rsidR="00A81986" w:rsidRDefault="0067390B">
            <w:r>
              <w:rPr>
                <w:rFonts w:ascii="Arial" w:hAnsi="Arial"/>
                <w:sz w:val="18"/>
              </w:rPr>
              <w:t>GRI 305-1</w:t>
            </w:r>
          </w:p>
        </w:tc>
        <w:tc>
          <w:tcPr>
            <w:tcW w:w="2257" w:type="dxa"/>
            <w:shd w:val="clear" w:color="auto" w:fill="F2F6FC"/>
          </w:tcPr>
          <w:p w14:paraId="4C10BD84" w14:textId="77777777" w:rsidR="00A81986" w:rsidRDefault="0067390B">
            <w:r>
              <w:rPr>
                <w:rFonts w:ascii="Arial" w:hAnsi="Arial"/>
                <w:sz w:val="18"/>
              </w:rPr>
              <w:t>305-1b</w:t>
            </w:r>
          </w:p>
        </w:tc>
        <w:tc>
          <w:tcPr>
            <w:tcW w:w="2257" w:type="dxa"/>
            <w:shd w:val="clear" w:color="auto" w:fill="F2F6FC"/>
          </w:tcPr>
          <w:p w14:paraId="3943458C" w14:textId="77777777" w:rsidR="00A81986" w:rsidRDefault="0067390B">
            <w:r>
              <w:rPr>
                <w:rFonts w:ascii="Arial" w:hAnsi="Arial"/>
                <w:sz w:val="18"/>
              </w:rPr>
              <w:t>Gases included in calculation (CO₂, CH₄, N₂O)</w:t>
            </w:r>
          </w:p>
        </w:tc>
        <w:tc>
          <w:tcPr>
            <w:tcW w:w="2257" w:type="dxa"/>
            <w:shd w:val="clear" w:color="auto" w:fill="F2F6FC"/>
          </w:tcPr>
          <w:p w14:paraId="64CFE878" w14:textId="77777777" w:rsidR="00A81986" w:rsidRDefault="0067390B">
            <w:r>
              <w:rPr>
                <w:rFonts w:ascii="Arial" w:hAnsi="Arial"/>
                <w:sz w:val="18"/>
              </w:rPr>
              <w:t>✅</w:t>
            </w:r>
            <w:r>
              <w:rPr>
                <w:rFonts w:ascii="Arial" w:hAnsi="Arial"/>
                <w:sz w:val="18"/>
              </w:rPr>
              <w:t xml:space="preserve"> Disclosed</w:t>
            </w:r>
          </w:p>
        </w:tc>
      </w:tr>
      <w:tr w:rsidR="00A81986" w14:paraId="32C0AC71" w14:textId="77777777">
        <w:trPr>
          <w:jc w:val="center"/>
        </w:trPr>
        <w:tc>
          <w:tcPr>
            <w:tcW w:w="2257" w:type="dxa"/>
          </w:tcPr>
          <w:p w14:paraId="495F5B5F" w14:textId="77777777" w:rsidR="00A81986" w:rsidRDefault="0067390B">
            <w:r>
              <w:rPr>
                <w:rFonts w:ascii="Arial" w:hAnsi="Arial"/>
                <w:sz w:val="18"/>
              </w:rPr>
              <w:t>GRI 305-1</w:t>
            </w:r>
          </w:p>
        </w:tc>
        <w:tc>
          <w:tcPr>
            <w:tcW w:w="2257" w:type="dxa"/>
          </w:tcPr>
          <w:p w14:paraId="6A412799" w14:textId="77777777" w:rsidR="00A81986" w:rsidRDefault="0067390B">
            <w:r>
              <w:rPr>
                <w:rFonts w:ascii="Arial" w:hAnsi="Arial"/>
                <w:sz w:val="18"/>
              </w:rPr>
              <w:t>305-1c</w:t>
            </w:r>
          </w:p>
        </w:tc>
        <w:tc>
          <w:tcPr>
            <w:tcW w:w="2257" w:type="dxa"/>
          </w:tcPr>
          <w:p w14:paraId="6098FB7C" w14:textId="77777777" w:rsidR="00A81986" w:rsidRDefault="0067390B">
            <w:r>
              <w:rPr>
                <w:rFonts w:ascii="Arial" w:hAnsi="Arial"/>
                <w:sz w:val="18"/>
              </w:rPr>
              <w:t>Biogenic CO₂ emissions separately</w:t>
            </w:r>
          </w:p>
        </w:tc>
        <w:tc>
          <w:tcPr>
            <w:tcW w:w="2257" w:type="dxa"/>
          </w:tcPr>
          <w:p w14:paraId="67F4BB41" w14:textId="77777777" w:rsidR="00A81986" w:rsidRDefault="0067390B">
            <w:r>
              <w:rPr>
                <w:rFonts w:ascii="Arial" w:hAnsi="Arial"/>
                <w:sz w:val="18"/>
              </w:rPr>
              <w:t>✅</w:t>
            </w:r>
            <w:r>
              <w:rPr>
                <w:rFonts w:ascii="Arial" w:hAnsi="Arial"/>
                <w:sz w:val="18"/>
              </w:rPr>
              <w:t xml:space="preserve"> Disclosed (not material)</w:t>
            </w:r>
          </w:p>
        </w:tc>
      </w:tr>
      <w:tr w:rsidR="00A81986" w14:paraId="75B41FF5" w14:textId="77777777">
        <w:trPr>
          <w:jc w:val="center"/>
        </w:trPr>
        <w:tc>
          <w:tcPr>
            <w:tcW w:w="2257" w:type="dxa"/>
            <w:shd w:val="clear" w:color="auto" w:fill="F2F6FC"/>
          </w:tcPr>
          <w:p w14:paraId="24A4403F" w14:textId="77777777" w:rsidR="00A81986" w:rsidRDefault="0067390B">
            <w:r>
              <w:rPr>
                <w:rFonts w:ascii="Arial" w:hAnsi="Arial"/>
                <w:sz w:val="18"/>
              </w:rPr>
              <w:t>GRI 305-1</w:t>
            </w:r>
          </w:p>
        </w:tc>
        <w:tc>
          <w:tcPr>
            <w:tcW w:w="2257" w:type="dxa"/>
            <w:shd w:val="clear" w:color="auto" w:fill="F2F6FC"/>
          </w:tcPr>
          <w:p w14:paraId="4C417885" w14:textId="77777777" w:rsidR="00A81986" w:rsidRDefault="0067390B">
            <w:r>
              <w:rPr>
                <w:rFonts w:ascii="Arial" w:hAnsi="Arial"/>
                <w:sz w:val="18"/>
              </w:rPr>
              <w:t>305-1e</w:t>
            </w:r>
          </w:p>
        </w:tc>
        <w:tc>
          <w:tcPr>
            <w:tcW w:w="2257" w:type="dxa"/>
            <w:shd w:val="clear" w:color="auto" w:fill="F2F6FC"/>
          </w:tcPr>
          <w:p w14:paraId="06B952AC" w14:textId="77777777" w:rsidR="00A81986" w:rsidRDefault="0067390B">
            <w:r>
              <w:rPr>
                <w:rFonts w:ascii="Arial" w:hAnsi="Arial"/>
                <w:sz w:val="18"/>
              </w:rPr>
              <w:t>Emission factors and GWP values source</w:t>
            </w:r>
          </w:p>
        </w:tc>
        <w:tc>
          <w:tcPr>
            <w:tcW w:w="2257" w:type="dxa"/>
            <w:shd w:val="clear" w:color="auto" w:fill="F2F6FC"/>
          </w:tcPr>
          <w:p w14:paraId="0EA5477C" w14:textId="77777777" w:rsidR="00A81986" w:rsidRDefault="0067390B">
            <w:r>
              <w:rPr>
                <w:rFonts w:ascii="Arial" w:hAnsi="Arial"/>
                <w:sz w:val="18"/>
              </w:rPr>
              <w:t>✅</w:t>
            </w:r>
            <w:r>
              <w:rPr>
                <w:rFonts w:ascii="Arial" w:hAnsi="Arial"/>
                <w:sz w:val="18"/>
              </w:rPr>
              <w:t xml:space="preserve"> Disclosed</w:t>
            </w:r>
          </w:p>
        </w:tc>
      </w:tr>
      <w:tr w:rsidR="00A81986" w14:paraId="50CBD287" w14:textId="77777777">
        <w:trPr>
          <w:jc w:val="center"/>
        </w:trPr>
        <w:tc>
          <w:tcPr>
            <w:tcW w:w="2257" w:type="dxa"/>
          </w:tcPr>
          <w:p w14:paraId="1A3AF7E3" w14:textId="77777777" w:rsidR="00A81986" w:rsidRDefault="0067390B">
            <w:r>
              <w:rPr>
                <w:rFonts w:ascii="Arial" w:hAnsi="Arial"/>
                <w:sz w:val="18"/>
              </w:rPr>
              <w:t>GRI 305-1</w:t>
            </w:r>
          </w:p>
        </w:tc>
        <w:tc>
          <w:tcPr>
            <w:tcW w:w="2257" w:type="dxa"/>
          </w:tcPr>
          <w:p w14:paraId="634478EF" w14:textId="77777777" w:rsidR="00A81986" w:rsidRDefault="0067390B">
            <w:r>
              <w:rPr>
                <w:rFonts w:ascii="Arial" w:hAnsi="Arial"/>
                <w:sz w:val="18"/>
              </w:rPr>
              <w:t>305-1f</w:t>
            </w:r>
          </w:p>
        </w:tc>
        <w:tc>
          <w:tcPr>
            <w:tcW w:w="2257" w:type="dxa"/>
          </w:tcPr>
          <w:p w14:paraId="54E04EE0" w14:textId="77777777" w:rsidR="00A81986" w:rsidRDefault="0067390B">
            <w:r>
              <w:rPr>
                <w:rFonts w:ascii="Arial" w:hAnsi="Arial"/>
                <w:sz w:val="18"/>
              </w:rPr>
              <w:t>Consolidation approach for emissions</w:t>
            </w:r>
          </w:p>
        </w:tc>
        <w:tc>
          <w:tcPr>
            <w:tcW w:w="2257" w:type="dxa"/>
          </w:tcPr>
          <w:p w14:paraId="3C3ED05A" w14:textId="77777777" w:rsidR="00A81986" w:rsidRDefault="0067390B">
            <w:r>
              <w:rPr>
                <w:rFonts w:ascii="Arial" w:hAnsi="Arial"/>
                <w:sz w:val="18"/>
              </w:rPr>
              <w:t>✅</w:t>
            </w:r>
            <w:r>
              <w:rPr>
                <w:rFonts w:ascii="Arial" w:hAnsi="Arial"/>
                <w:sz w:val="18"/>
              </w:rPr>
              <w:t xml:space="preserve"> Disclosed</w:t>
            </w:r>
          </w:p>
        </w:tc>
      </w:tr>
      <w:tr w:rsidR="00A81986" w14:paraId="5EE615B0" w14:textId="77777777">
        <w:trPr>
          <w:jc w:val="center"/>
        </w:trPr>
        <w:tc>
          <w:tcPr>
            <w:tcW w:w="2257" w:type="dxa"/>
            <w:shd w:val="clear" w:color="auto" w:fill="F2F6FC"/>
          </w:tcPr>
          <w:p w14:paraId="365869F9" w14:textId="77777777" w:rsidR="00A81986" w:rsidRDefault="0067390B">
            <w:r>
              <w:rPr>
                <w:rFonts w:ascii="Arial" w:hAnsi="Arial"/>
                <w:sz w:val="18"/>
              </w:rPr>
              <w:t>GRI 305-1</w:t>
            </w:r>
          </w:p>
        </w:tc>
        <w:tc>
          <w:tcPr>
            <w:tcW w:w="2257" w:type="dxa"/>
            <w:shd w:val="clear" w:color="auto" w:fill="F2F6FC"/>
          </w:tcPr>
          <w:p w14:paraId="78E642A1" w14:textId="77777777" w:rsidR="00A81986" w:rsidRDefault="0067390B">
            <w:r>
              <w:rPr>
                <w:rFonts w:ascii="Arial" w:hAnsi="Arial"/>
                <w:sz w:val="18"/>
              </w:rPr>
              <w:t>305-1g</w:t>
            </w:r>
          </w:p>
        </w:tc>
        <w:tc>
          <w:tcPr>
            <w:tcW w:w="2257" w:type="dxa"/>
            <w:shd w:val="clear" w:color="auto" w:fill="F2F6FC"/>
          </w:tcPr>
          <w:p w14:paraId="34971E23" w14:textId="77777777" w:rsidR="00A81986" w:rsidRDefault="0067390B">
            <w:r>
              <w:rPr>
                <w:rFonts w:ascii="Arial" w:hAnsi="Arial"/>
                <w:sz w:val="18"/>
              </w:rPr>
              <w:t xml:space="preserve">Standards, methodologies, </w:t>
            </w:r>
            <w:r>
              <w:rPr>
                <w:rFonts w:ascii="Arial" w:hAnsi="Arial"/>
                <w:sz w:val="18"/>
              </w:rPr>
              <w:lastRenderedPageBreak/>
              <w:t>assumptions used</w:t>
            </w:r>
          </w:p>
        </w:tc>
        <w:tc>
          <w:tcPr>
            <w:tcW w:w="2257" w:type="dxa"/>
            <w:shd w:val="clear" w:color="auto" w:fill="F2F6FC"/>
          </w:tcPr>
          <w:p w14:paraId="246C041A" w14:textId="77777777" w:rsidR="00A81986" w:rsidRDefault="0067390B">
            <w:r>
              <w:rPr>
                <w:rFonts w:ascii="Arial" w:hAnsi="Arial"/>
                <w:sz w:val="18"/>
              </w:rPr>
              <w:lastRenderedPageBreak/>
              <w:t>✅</w:t>
            </w:r>
            <w:r>
              <w:rPr>
                <w:rFonts w:ascii="Arial" w:hAnsi="Arial"/>
                <w:sz w:val="18"/>
              </w:rPr>
              <w:t xml:space="preserve"> Disclosed</w:t>
            </w:r>
          </w:p>
        </w:tc>
      </w:tr>
      <w:tr w:rsidR="00A81986" w14:paraId="74F7CF8A" w14:textId="77777777">
        <w:trPr>
          <w:jc w:val="center"/>
        </w:trPr>
        <w:tc>
          <w:tcPr>
            <w:tcW w:w="2257" w:type="dxa"/>
          </w:tcPr>
          <w:p w14:paraId="3BDADC47" w14:textId="77777777" w:rsidR="00A81986" w:rsidRDefault="0067390B">
            <w:r>
              <w:rPr>
                <w:rFonts w:ascii="Arial" w:hAnsi="Arial"/>
                <w:sz w:val="18"/>
              </w:rPr>
              <w:t>IFRS S2</w:t>
            </w:r>
          </w:p>
        </w:tc>
        <w:tc>
          <w:tcPr>
            <w:tcW w:w="2257" w:type="dxa"/>
          </w:tcPr>
          <w:p w14:paraId="56415361" w14:textId="77777777" w:rsidR="00A81986" w:rsidRDefault="0067390B">
            <w:r>
              <w:rPr>
                <w:rFonts w:ascii="Arial" w:hAnsi="Arial"/>
                <w:sz w:val="18"/>
              </w:rPr>
              <w:t>Para 29(a)(i)</w:t>
            </w:r>
          </w:p>
        </w:tc>
        <w:tc>
          <w:tcPr>
            <w:tcW w:w="2257" w:type="dxa"/>
          </w:tcPr>
          <w:p w14:paraId="232883EF" w14:textId="77777777" w:rsidR="00A81986" w:rsidRDefault="0067390B">
            <w:r>
              <w:rPr>
                <w:rFonts w:ascii="Arial" w:hAnsi="Arial"/>
                <w:sz w:val="18"/>
              </w:rPr>
              <w:t>Absolute gross Scope 1 GHG emissions (tCO₂e)</w:t>
            </w:r>
          </w:p>
        </w:tc>
        <w:tc>
          <w:tcPr>
            <w:tcW w:w="2257" w:type="dxa"/>
          </w:tcPr>
          <w:p w14:paraId="645A3D8A" w14:textId="77777777" w:rsidR="00A81986" w:rsidRDefault="0067390B">
            <w:r>
              <w:rPr>
                <w:rFonts w:ascii="Arial" w:hAnsi="Arial"/>
                <w:sz w:val="18"/>
              </w:rPr>
              <w:t>✅</w:t>
            </w:r>
            <w:r>
              <w:rPr>
                <w:rFonts w:ascii="Arial" w:hAnsi="Arial"/>
                <w:sz w:val="18"/>
              </w:rPr>
              <w:t xml:space="preserve"> Disclosed</w:t>
            </w:r>
          </w:p>
        </w:tc>
      </w:tr>
      <w:tr w:rsidR="00A81986" w14:paraId="7872E9D4" w14:textId="77777777">
        <w:trPr>
          <w:jc w:val="center"/>
        </w:trPr>
        <w:tc>
          <w:tcPr>
            <w:tcW w:w="2257" w:type="dxa"/>
            <w:shd w:val="clear" w:color="auto" w:fill="F2F6FC"/>
          </w:tcPr>
          <w:p w14:paraId="61E1DD5D" w14:textId="77777777" w:rsidR="00A81986" w:rsidRDefault="0067390B">
            <w:r>
              <w:rPr>
                <w:rFonts w:ascii="Arial" w:hAnsi="Arial"/>
                <w:sz w:val="18"/>
              </w:rPr>
              <w:t>IFRS S2</w:t>
            </w:r>
          </w:p>
        </w:tc>
        <w:tc>
          <w:tcPr>
            <w:tcW w:w="2257" w:type="dxa"/>
            <w:shd w:val="clear" w:color="auto" w:fill="F2F6FC"/>
          </w:tcPr>
          <w:p w14:paraId="30F618EB" w14:textId="77777777" w:rsidR="00A81986" w:rsidRDefault="0067390B">
            <w:r>
              <w:rPr>
                <w:rFonts w:ascii="Arial" w:hAnsi="Arial"/>
                <w:sz w:val="18"/>
              </w:rPr>
              <w:t>Para 29(b)</w:t>
            </w:r>
          </w:p>
        </w:tc>
        <w:tc>
          <w:tcPr>
            <w:tcW w:w="2257" w:type="dxa"/>
            <w:shd w:val="clear" w:color="auto" w:fill="F2F6FC"/>
          </w:tcPr>
          <w:p w14:paraId="6C26CAEE" w14:textId="77777777" w:rsidR="00A81986" w:rsidRDefault="0067390B">
            <w:r>
              <w:rPr>
                <w:rFonts w:ascii="Arial" w:hAnsi="Arial"/>
                <w:sz w:val="18"/>
              </w:rPr>
              <w:t>Trend over time (year-over-year change)</w:t>
            </w:r>
          </w:p>
        </w:tc>
        <w:tc>
          <w:tcPr>
            <w:tcW w:w="2257" w:type="dxa"/>
            <w:shd w:val="clear" w:color="auto" w:fill="F2F6FC"/>
          </w:tcPr>
          <w:p w14:paraId="27440B51" w14:textId="77777777" w:rsidR="00A81986" w:rsidRDefault="0067390B">
            <w:r>
              <w:rPr>
                <w:rFonts w:ascii="Arial" w:hAnsi="Arial"/>
                <w:sz w:val="18"/>
              </w:rPr>
              <w:t>✅</w:t>
            </w:r>
            <w:r>
              <w:rPr>
                <w:rFonts w:ascii="Arial" w:hAnsi="Arial"/>
                <w:sz w:val="18"/>
              </w:rPr>
              <w:t xml:space="preserve"> Disclosed</w:t>
            </w:r>
          </w:p>
        </w:tc>
      </w:tr>
      <w:tr w:rsidR="00A81986" w14:paraId="674B8F03" w14:textId="77777777">
        <w:trPr>
          <w:jc w:val="center"/>
        </w:trPr>
        <w:tc>
          <w:tcPr>
            <w:tcW w:w="2257" w:type="dxa"/>
          </w:tcPr>
          <w:p w14:paraId="6B816E30" w14:textId="77777777" w:rsidR="00A81986" w:rsidRDefault="0067390B">
            <w:r>
              <w:rPr>
                <w:rFonts w:ascii="Arial" w:hAnsi="Arial"/>
                <w:sz w:val="18"/>
              </w:rPr>
              <w:t>IFRS S2</w:t>
            </w:r>
          </w:p>
        </w:tc>
        <w:tc>
          <w:tcPr>
            <w:tcW w:w="2257" w:type="dxa"/>
          </w:tcPr>
          <w:p w14:paraId="5F6D1129" w14:textId="77777777" w:rsidR="00A81986" w:rsidRDefault="0067390B">
            <w:r>
              <w:rPr>
                <w:rFonts w:ascii="Arial" w:hAnsi="Arial"/>
                <w:sz w:val="18"/>
              </w:rPr>
              <w:t>Para 29(c)</w:t>
            </w:r>
          </w:p>
        </w:tc>
        <w:tc>
          <w:tcPr>
            <w:tcW w:w="2257" w:type="dxa"/>
          </w:tcPr>
          <w:p w14:paraId="7638371F" w14:textId="77777777" w:rsidR="00A81986" w:rsidRDefault="0067390B">
            <w:r>
              <w:rPr>
                <w:rFonts w:ascii="Arial" w:hAnsi="Arial"/>
                <w:sz w:val="18"/>
              </w:rPr>
              <w:t>Measurement approach and inputs</w:t>
            </w:r>
          </w:p>
        </w:tc>
        <w:tc>
          <w:tcPr>
            <w:tcW w:w="2257" w:type="dxa"/>
          </w:tcPr>
          <w:p w14:paraId="65A7894F" w14:textId="77777777" w:rsidR="00A81986" w:rsidRDefault="0067390B">
            <w:r>
              <w:rPr>
                <w:rFonts w:ascii="Arial" w:hAnsi="Arial"/>
                <w:sz w:val="18"/>
              </w:rPr>
              <w:t>✅</w:t>
            </w:r>
            <w:r>
              <w:rPr>
                <w:rFonts w:ascii="Arial" w:hAnsi="Arial"/>
                <w:sz w:val="18"/>
              </w:rPr>
              <w:t xml:space="preserve"> Disclosed</w:t>
            </w:r>
          </w:p>
        </w:tc>
      </w:tr>
      <w:tr w:rsidR="00A81986" w14:paraId="7E25F9F3" w14:textId="77777777">
        <w:trPr>
          <w:jc w:val="center"/>
        </w:trPr>
        <w:tc>
          <w:tcPr>
            <w:tcW w:w="2257" w:type="dxa"/>
            <w:shd w:val="clear" w:color="auto" w:fill="F2F6FC"/>
          </w:tcPr>
          <w:p w14:paraId="58BA54D5" w14:textId="77777777" w:rsidR="00A81986" w:rsidRDefault="0067390B">
            <w:r>
              <w:rPr>
                <w:rFonts w:ascii="Arial" w:hAnsi="Arial"/>
                <w:sz w:val="18"/>
              </w:rPr>
              <w:t>ESRS E1</w:t>
            </w:r>
          </w:p>
        </w:tc>
        <w:tc>
          <w:tcPr>
            <w:tcW w:w="2257" w:type="dxa"/>
            <w:shd w:val="clear" w:color="auto" w:fill="F2F6FC"/>
          </w:tcPr>
          <w:p w14:paraId="7F555B0C" w14:textId="77777777" w:rsidR="00A81986" w:rsidRDefault="0067390B">
            <w:r>
              <w:rPr>
                <w:rFonts w:ascii="Arial" w:hAnsi="Arial"/>
                <w:sz w:val="18"/>
              </w:rPr>
              <w:t>DR E1-6.44</w:t>
            </w:r>
          </w:p>
        </w:tc>
        <w:tc>
          <w:tcPr>
            <w:tcW w:w="2257" w:type="dxa"/>
            <w:shd w:val="clear" w:color="auto" w:fill="F2F6FC"/>
          </w:tcPr>
          <w:p w14:paraId="0892DC3D" w14:textId="77777777" w:rsidR="00A81986" w:rsidRDefault="0067390B">
            <w:r>
              <w:rPr>
                <w:rFonts w:ascii="Arial" w:hAnsi="Arial"/>
                <w:sz w:val="18"/>
              </w:rPr>
              <w:t>Gross Scope 1 GHG emissions in tCO₂e</w:t>
            </w:r>
          </w:p>
        </w:tc>
        <w:tc>
          <w:tcPr>
            <w:tcW w:w="2257" w:type="dxa"/>
            <w:shd w:val="clear" w:color="auto" w:fill="F2F6FC"/>
          </w:tcPr>
          <w:p w14:paraId="0517D3D3" w14:textId="77777777" w:rsidR="00A81986" w:rsidRDefault="0067390B">
            <w:r>
              <w:rPr>
                <w:rFonts w:ascii="Arial" w:hAnsi="Arial"/>
                <w:sz w:val="18"/>
              </w:rPr>
              <w:t>✅</w:t>
            </w:r>
            <w:r>
              <w:rPr>
                <w:rFonts w:ascii="Arial" w:hAnsi="Arial"/>
                <w:sz w:val="18"/>
              </w:rPr>
              <w:t xml:space="preserve"> Disclosed</w:t>
            </w:r>
          </w:p>
        </w:tc>
      </w:tr>
      <w:tr w:rsidR="00A81986" w14:paraId="5E9704CD" w14:textId="77777777">
        <w:trPr>
          <w:jc w:val="center"/>
        </w:trPr>
        <w:tc>
          <w:tcPr>
            <w:tcW w:w="2257" w:type="dxa"/>
          </w:tcPr>
          <w:p w14:paraId="11F2D73E" w14:textId="77777777" w:rsidR="00A81986" w:rsidRDefault="0067390B">
            <w:r>
              <w:rPr>
                <w:rFonts w:ascii="Arial" w:hAnsi="Arial"/>
                <w:sz w:val="18"/>
              </w:rPr>
              <w:t>ESRS E1</w:t>
            </w:r>
          </w:p>
        </w:tc>
        <w:tc>
          <w:tcPr>
            <w:tcW w:w="2257" w:type="dxa"/>
          </w:tcPr>
          <w:p w14:paraId="2C3811A8" w14:textId="77777777" w:rsidR="00A81986" w:rsidRDefault="0067390B">
            <w:r>
              <w:rPr>
                <w:rFonts w:ascii="Arial" w:hAnsi="Arial"/>
                <w:sz w:val="18"/>
              </w:rPr>
              <w:t>AR 39(a)</w:t>
            </w:r>
          </w:p>
        </w:tc>
        <w:tc>
          <w:tcPr>
            <w:tcW w:w="2257" w:type="dxa"/>
          </w:tcPr>
          <w:p w14:paraId="7E0A3358" w14:textId="77777777" w:rsidR="00A81986" w:rsidRDefault="0067390B">
            <w:r>
              <w:rPr>
                <w:rFonts w:ascii="Arial" w:hAnsi="Arial"/>
                <w:sz w:val="18"/>
              </w:rPr>
              <w:t>GHG Protocol Corporate Standard application</w:t>
            </w:r>
          </w:p>
        </w:tc>
        <w:tc>
          <w:tcPr>
            <w:tcW w:w="2257" w:type="dxa"/>
          </w:tcPr>
          <w:p w14:paraId="6860A496" w14:textId="77777777" w:rsidR="00A81986" w:rsidRDefault="0067390B">
            <w:r>
              <w:rPr>
                <w:rFonts w:ascii="Arial" w:hAnsi="Arial"/>
                <w:sz w:val="18"/>
              </w:rPr>
              <w:t>✅</w:t>
            </w:r>
            <w:r>
              <w:rPr>
                <w:rFonts w:ascii="Arial" w:hAnsi="Arial"/>
                <w:sz w:val="18"/>
              </w:rPr>
              <w:t xml:space="preserve"> Disclosed</w:t>
            </w:r>
          </w:p>
        </w:tc>
      </w:tr>
      <w:tr w:rsidR="00A81986" w14:paraId="3840C838" w14:textId="77777777">
        <w:trPr>
          <w:jc w:val="center"/>
        </w:trPr>
        <w:tc>
          <w:tcPr>
            <w:tcW w:w="2257" w:type="dxa"/>
            <w:shd w:val="clear" w:color="auto" w:fill="F2F6FC"/>
          </w:tcPr>
          <w:p w14:paraId="62A02568" w14:textId="77777777" w:rsidR="00A81986" w:rsidRDefault="0067390B">
            <w:r>
              <w:rPr>
                <w:rFonts w:ascii="Arial" w:hAnsi="Arial"/>
                <w:sz w:val="18"/>
              </w:rPr>
              <w:t>ESRS E1</w:t>
            </w:r>
          </w:p>
        </w:tc>
        <w:tc>
          <w:tcPr>
            <w:tcW w:w="2257" w:type="dxa"/>
            <w:shd w:val="clear" w:color="auto" w:fill="F2F6FC"/>
          </w:tcPr>
          <w:p w14:paraId="34C7E711" w14:textId="77777777" w:rsidR="00A81986" w:rsidRDefault="0067390B">
            <w:r>
              <w:rPr>
                <w:rFonts w:ascii="Arial" w:hAnsi="Arial"/>
                <w:sz w:val="18"/>
              </w:rPr>
              <w:t>AR 39(b)</w:t>
            </w:r>
          </w:p>
        </w:tc>
        <w:tc>
          <w:tcPr>
            <w:tcW w:w="2257" w:type="dxa"/>
            <w:shd w:val="clear" w:color="auto" w:fill="F2F6FC"/>
          </w:tcPr>
          <w:p w14:paraId="73F83A4F" w14:textId="77777777" w:rsidR="00A81986" w:rsidRDefault="0067390B">
            <w:r>
              <w:rPr>
                <w:rFonts w:ascii="Arial" w:hAnsi="Arial"/>
                <w:sz w:val="18"/>
              </w:rPr>
              <w:t>Methodologies and emission factors disclosed</w:t>
            </w:r>
          </w:p>
        </w:tc>
        <w:tc>
          <w:tcPr>
            <w:tcW w:w="2257" w:type="dxa"/>
            <w:shd w:val="clear" w:color="auto" w:fill="F2F6FC"/>
          </w:tcPr>
          <w:p w14:paraId="14E1DF50" w14:textId="77777777" w:rsidR="00A81986" w:rsidRDefault="0067390B">
            <w:r>
              <w:rPr>
                <w:rFonts w:ascii="Arial" w:hAnsi="Arial"/>
                <w:sz w:val="18"/>
              </w:rPr>
              <w:t>✅</w:t>
            </w:r>
            <w:r>
              <w:rPr>
                <w:rFonts w:ascii="Arial" w:hAnsi="Arial"/>
                <w:sz w:val="18"/>
              </w:rPr>
              <w:t xml:space="preserve"> Disclosed</w:t>
            </w:r>
          </w:p>
        </w:tc>
      </w:tr>
      <w:tr w:rsidR="00A81986" w14:paraId="1527A605" w14:textId="77777777">
        <w:trPr>
          <w:jc w:val="center"/>
        </w:trPr>
        <w:tc>
          <w:tcPr>
            <w:tcW w:w="2257" w:type="dxa"/>
          </w:tcPr>
          <w:p w14:paraId="284DE31D" w14:textId="77777777" w:rsidR="00A81986" w:rsidRDefault="0067390B">
            <w:r>
              <w:rPr>
                <w:rFonts w:ascii="Arial" w:hAnsi="Arial"/>
                <w:sz w:val="18"/>
              </w:rPr>
              <w:t>ESRS E1</w:t>
            </w:r>
          </w:p>
        </w:tc>
        <w:tc>
          <w:tcPr>
            <w:tcW w:w="2257" w:type="dxa"/>
          </w:tcPr>
          <w:p w14:paraId="4F0E900C" w14:textId="77777777" w:rsidR="00A81986" w:rsidRDefault="0067390B">
            <w:r>
              <w:rPr>
                <w:rFonts w:ascii="Arial" w:hAnsi="Arial"/>
                <w:sz w:val="18"/>
              </w:rPr>
              <w:t>AR 39(c)</w:t>
            </w:r>
          </w:p>
        </w:tc>
        <w:tc>
          <w:tcPr>
            <w:tcW w:w="2257" w:type="dxa"/>
          </w:tcPr>
          <w:p w14:paraId="7CB90541" w14:textId="77777777" w:rsidR="00A81986" w:rsidRDefault="0067390B">
            <w:r>
              <w:rPr>
                <w:rFonts w:ascii="Arial" w:hAnsi="Arial"/>
                <w:sz w:val="18"/>
              </w:rPr>
              <w:t>Gases included (CO₂, CH₄, N₂O)</w:t>
            </w:r>
          </w:p>
        </w:tc>
        <w:tc>
          <w:tcPr>
            <w:tcW w:w="2257" w:type="dxa"/>
          </w:tcPr>
          <w:p w14:paraId="610B9A34" w14:textId="77777777" w:rsidR="00A81986" w:rsidRDefault="0067390B">
            <w:r>
              <w:rPr>
                <w:rFonts w:ascii="Arial" w:hAnsi="Arial"/>
                <w:sz w:val="18"/>
              </w:rPr>
              <w:t>✅</w:t>
            </w:r>
            <w:r>
              <w:rPr>
                <w:rFonts w:ascii="Arial" w:hAnsi="Arial"/>
                <w:sz w:val="18"/>
              </w:rPr>
              <w:t xml:space="preserve"> Disclosed</w:t>
            </w:r>
          </w:p>
        </w:tc>
      </w:tr>
      <w:tr w:rsidR="00A81986" w14:paraId="254B250B" w14:textId="77777777">
        <w:trPr>
          <w:jc w:val="center"/>
        </w:trPr>
        <w:tc>
          <w:tcPr>
            <w:tcW w:w="2257" w:type="dxa"/>
            <w:shd w:val="clear" w:color="auto" w:fill="F2F6FC"/>
          </w:tcPr>
          <w:p w14:paraId="2D18BB39" w14:textId="77777777" w:rsidR="00A81986" w:rsidRDefault="0067390B">
            <w:r>
              <w:rPr>
                <w:rFonts w:ascii="Arial" w:hAnsi="Arial"/>
                <w:sz w:val="18"/>
              </w:rPr>
              <w:t>ESRS E1</w:t>
            </w:r>
          </w:p>
        </w:tc>
        <w:tc>
          <w:tcPr>
            <w:tcW w:w="2257" w:type="dxa"/>
            <w:shd w:val="clear" w:color="auto" w:fill="F2F6FC"/>
          </w:tcPr>
          <w:p w14:paraId="28D35665" w14:textId="77777777" w:rsidR="00A81986" w:rsidRDefault="0067390B">
            <w:r>
              <w:rPr>
                <w:rFonts w:ascii="Arial" w:hAnsi="Arial"/>
                <w:sz w:val="18"/>
              </w:rPr>
              <w:t>AR 39(d)</w:t>
            </w:r>
          </w:p>
        </w:tc>
        <w:tc>
          <w:tcPr>
            <w:tcW w:w="2257" w:type="dxa"/>
            <w:shd w:val="clear" w:color="auto" w:fill="F2F6FC"/>
          </w:tcPr>
          <w:p w14:paraId="4EA62E9E" w14:textId="77777777" w:rsidR="00A81986" w:rsidRDefault="0067390B">
            <w:r>
              <w:rPr>
                <w:rFonts w:ascii="Arial" w:hAnsi="Arial"/>
                <w:sz w:val="18"/>
              </w:rPr>
              <w:t>GWP values per IPCC (100-year horizon)</w:t>
            </w:r>
          </w:p>
        </w:tc>
        <w:tc>
          <w:tcPr>
            <w:tcW w:w="2257" w:type="dxa"/>
            <w:shd w:val="clear" w:color="auto" w:fill="F2F6FC"/>
          </w:tcPr>
          <w:p w14:paraId="585739A4" w14:textId="77777777" w:rsidR="00A81986" w:rsidRDefault="0067390B">
            <w:r>
              <w:rPr>
                <w:rFonts w:ascii="Arial" w:hAnsi="Arial"/>
                <w:sz w:val="18"/>
              </w:rPr>
              <w:t>✅</w:t>
            </w:r>
            <w:r>
              <w:rPr>
                <w:rFonts w:ascii="Arial" w:hAnsi="Arial"/>
                <w:sz w:val="18"/>
              </w:rPr>
              <w:t xml:space="preserve"> Disclosed</w:t>
            </w:r>
          </w:p>
        </w:tc>
      </w:tr>
      <w:tr w:rsidR="00A81986" w14:paraId="06E96BAA" w14:textId="77777777">
        <w:trPr>
          <w:jc w:val="center"/>
        </w:trPr>
        <w:tc>
          <w:tcPr>
            <w:tcW w:w="2257" w:type="dxa"/>
          </w:tcPr>
          <w:p w14:paraId="4ED8D004" w14:textId="77777777" w:rsidR="00A81986" w:rsidRDefault="0067390B">
            <w:r>
              <w:rPr>
                <w:rFonts w:ascii="Arial" w:hAnsi="Arial"/>
                <w:sz w:val="18"/>
              </w:rPr>
              <w:t>OJK PSPK</w:t>
            </w:r>
          </w:p>
        </w:tc>
        <w:tc>
          <w:tcPr>
            <w:tcW w:w="2257" w:type="dxa"/>
          </w:tcPr>
          <w:p w14:paraId="6EB10C0E" w14:textId="77777777" w:rsidR="00A81986" w:rsidRDefault="0067390B">
            <w:r>
              <w:rPr>
                <w:rFonts w:ascii="Arial" w:hAnsi="Arial"/>
                <w:sz w:val="18"/>
              </w:rPr>
              <w:t>Emisi GRK Langsung</w:t>
            </w:r>
          </w:p>
        </w:tc>
        <w:tc>
          <w:tcPr>
            <w:tcW w:w="2257" w:type="dxa"/>
          </w:tcPr>
          <w:p w14:paraId="192876CA" w14:textId="77777777" w:rsidR="00A81986" w:rsidRDefault="0067390B">
            <w:r>
              <w:rPr>
                <w:rFonts w:ascii="Arial" w:hAnsi="Arial"/>
                <w:sz w:val="18"/>
              </w:rPr>
              <w:t>Emisi Lingkup 1 (tCO₂e)</w:t>
            </w:r>
          </w:p>
        </w:tc>
        <w:tc>
          <w:tcPr>
            <w:tcW w:w="2257" w:type="dxa"/>
          </w:tcPr>
          <w:p w14:paraId="4061E70B" w14:textId="77777777" w:rsidR="00A81986" w:rsidRDefault="0067390B">
            <w:r>
              <w:rPr>
                <w:rFonts w:ascii="Arial" w:hAnsi="Arial"/>
                <w:sz w:val="18"/>
              </w:rPr>
              <w:t>✅</w:t>
            </w:r>
            <w:r>
              <w:rPr>
                <w:rFonts w:ascii="Arial" w:hAnsi="Arial"/>
                <w:sz w:val="18"/>
              </w:rPr>
              <w:t xml:space="preserve"> Disclosed</w:t>
            </w:r>
          </w:p>
        </w:tc>
      </w:tr>
    </w:tbl>
    <w:p w14:paraId="43D403FE" w14:textId="77777777" w:rsidR="00A81986" w:rsidRDefault="0067390B">
      <w:r>
        <w:rPr>
          <w:rFonts w:ascii="Arial" w:hAnsi="Arial"/>
          <w:i/>
          <w:sz w:val="16"/>
        </w:rPr>
        <w:t>Source: All disclosure requirements for Scope 1 emissions across GRI 305-1, IFRS S2, ESRS E1, and OJK PSPK frameworks are satisfied in this section.</w:t>
      </w:r>
    </w:p>
    <w:p w14:paraId="37A9F9B2" w14:textId="77777777" w:rsidR="00A81986" w:rsidRDefault="00A81986"/>
    <w:p w14:paraId="0EDCF403" w14:textId="77777777" w:rsidR="00A81986" w:rsidRDefault="0067390B">
      <w:pPr>
        <w:spacing w:after="160"/>
        <w:jc w:val="both"/>
      </w:pPr>
      <w:r>
        <w:rPr>
          <w:rFonts w:ascii="Arial" w:hAnsi="Arial"/>
          <w:i/>
          <w:color w:val="646464"/>
          <w:sz w:val="18"/>
        </w:rPr>
        <w:t>[Chart: Scope 1 Emissions by Source (2024) — matplotlib layer not installed]</w:t>
      </w:r>
    </w:p>
    <w:p w14:paraId="4D89E278" w14:textId="77777777" w:rsidR="00A81986" w:rsidRDefault="0067390B">
      <w:pPr>
        <w:spacing w:after="160"/>
        <w:jc w:val="both"/>
      </w:pPr>
      <w:r>
        <w:rPr>
          <w:rFonts w:ascii="Arial" w:hAnsi="Arial"/>
          <w:i/>
          <w:color w:val="646464"/>
          <w:sz w:val="18"/>
        </w:rPr>
        <w:t>[Chart: Scope 1 Emissions: Year-over-Year Comparison — matplotlib layer not installed]</w:t>
      </w:r>
    </w:p>
    <w:p w14:paraId="3DC1E518" w14:textId="77777777" w:rsidR="00A81986" w:rsidRDefault="0067390B">
      <w:pPr>
        <w:spacing w:after="160"/>
        <w:jc w:val="both"/>
      </w:pPr>
      <w:r>
        <w:rPr>
          <w:rFonts w:ascii="Arial" w:hAnsi="Arial"/>
          <w:i/>
          <w:color w:val="646464"/>
          <w:sz w:val="18"/>
        </w:rPr>
        <w:t>[Chart: Top 5 Emitting Facilities (2024) — matplotlib layer not installed]</w:t>
      </w:r>
    </w:p>
    <w:p w14:paraId="527E98D8" w14:textId="77777777" w:rsidR="00A81986" w:rsidRDefault="0067390B">
      <w:pPr>
        <w:spacing w:after="160"/>
        <w:jc w:val="both"/>
      </w:pPr>
      <w:r>
        <w:rPr>
          <w:rFonts w:ascii="Arial" w:hAnsi="Arial"/>
          <w:i/>
          <w:color w:val="646464"/>
          <w:sz w:val="18"/>
        </w:rPr>
        <w:t>[Chart: Scope 1 YoY Change: Institution vs. Peers — matplotlib layer not installed]</w:t>
      </w:r>
    </w:p>
    <w:p w14:paraId="5DBA691D" w14:textId="77777777" w:rsidR="00A81986" w:rsidRDefault="00A81986"/>
    <w:p w14:paraId="535F64C9" w14:textId="77777777" w:rsidR="00A81986" w:rsidRDefault="0067390B">
      <w:r>
        <w:rPr>
          <w:b/>
          <w:color w:val="4A7AB5"/>
          <w:sz w:val="24"/>
        </w:rPr>
        <w:t>Diagnostic Analysis</w:t>
      </w:r>
    </w:p>
    <w:p w14:paraId="0DAA5867" w14:textId="77777777" w:rsidR="00A81986" w:rsidRDefault="0067390B">
      <w:pPr>
        <w:spacing w:after="160"/>
        <w:jc w:val="both"/>
      </w:pPr>
      <w:r>
        <w:rPr>
          <w:rFonts w:ascii="Arial" w:hAnsi="Arial"/>
        </w:rPr>
        <w:t>The 2.36% year-over-year increase in Scope 1 emissions stems from three interconnected operational factors: branch network expansion (+12 locations requiring backup power), elevated grid instability (47 outage events vs. 31 in 2023), and increased vehicle fleet utilization for business development. The diesel-dominant emission profile (64.7%) reflects infrastructure dependency rather than strategic choice, as the institution has not yet deployed renewable alternatives at scale. Peer institutions with simila</w:t>
      </w:r>
      <w:r>
        <w:rPr>
          <w:rFonts w:ascii="Arial" w:hAnsi="Arial"/>
        </w:rPr>
        <w:t>r operational footprints have achieved 8-12% reductions through targeted solar deployment and fleet electrification, indicating that the institution's current trajectory is a strategic gap rather than an unavoidable outcome.</w:t>
      </w:r>
    </w:p>
    <w:p w14:paraId="5B0E11AD" w14:textId="77777777" w:rsidR="00A81986" w:rsidRDefault="0067390B">
      <w:r>
        <w:rPr>
          <w:b/>
        </w:rPr>
        <w:t>Root Causes:</w:t>
      </w:r>
    </w:p>
    <w:p w14:paraId="45C904C5" w14:textId="77777777" w:rsidR="00A81986" w:rsidRDefault="0067390B">
      <w:pPr>
        <w:spacing w:after="160"/>
        <w:jc w:val="both"/>
      </w:pPr>
      <w:r>
        <w:rPr>
          <w:rFonts w:ascii="Arial" w:hAnsi="Arial"/>
        </w:rPr>
        <w:lastRenderedPageBreak/>
        <w:t>• Absence of on-site renewable energy generation (solar PV) at high-emission facilities, forcing reliance on diesel backup during 47 grid outage events in 2024</w:t>
      </w:r>
    </w:p>
    <w:p w14:paraId="4BC8DB1F" w14:textId="77777777" w:rsidR="00A81986" w:rsidRDefault="0067390B">
      <w:pPr>
        <w:spacing w:after="160"/>
        <w:jc w:val="both"/>
      </w:pPr>
      <w:r>
        <w:rPr>
          <w:rFonts w:ascii="Arial" w:hAnsi="Arial"/>
        </w:rPr>
        <w:t>• No electric vehicle adoption program despite 64.7% of Scope 1 emissions originating from diesel combustion in mobile and stationary sources</w:t>
      </w:r>
    </w:p>
    <w:p w14:paraId="738B2121" w14:textId="77777777" w:rsidR="00A81986" w:rsidRDefault="0067390B">
      <w:pPr>
        <w:spacing w:after="160"/>
        <w:jc w:val="both"/>
      </w:pPr>
      <w:r>
        <w:rPr>
          <w:rFonts w:ascii="Arial" w:hAnsi="Arial"/>
        </w:rPr>
        <w:t>• Branch expansion strategy (12 new locations in 2024) without integrated renewable energy or energy efficiency requirements in site selection and design</w:t>
      </w:r>
    </w:p>
    <w:p w14:paraId="3B82EC45" w14:textId="77777777" w:rsidR="00A81986" w:rsidRDefault="0067390B">
      <w:pPr>
        <w:spacing w:after="160"/>
        <w:jc w:val="both"/>
      </w:pPr>
      <w:r>
        <w:rPr>
          <w:rFonts w:ascii="Arial" w:hAnsi="Arial"/>
        </w:rPr>
        <w:t>• Lack of Science Based Target (SBTi) commitment, resulting in no formal decarbonization pathway or interim reduction milestones to guide operational decisions</w:t>
      </w:r>
    </w:p>
    <w:p w14:paraId="28AEE185" w14:textId="77777777" w:rsidR="00A81986" w:rsidRDefault="0067390B">
      <w:r>
        <w:rPr>
          <w:b/>
        </w:rPr>
        <w:t>Risk Implications:</w:t>
      </w:r>
    </w:p>
    <w:p w14:paraId="580E659C" w14:textId="77777777" w:rsidR="00A81986" w:rsidRDefault="0067390B">
      <w:pPr>
        <w:spacing w:after="160"/>
        <w:jc w:val="both"/>
      </w:pPr>
      <w:r>
        <w:rPr>
          <w:rFonts w:ascii="Arial" w:hAnsi="Arial"/>
        </w:rPr>
        <w:t>• **Regulatory Risk**: OJK POJK 51/2017 and SEOJK 16/2021 require financial institutions to manage climate-related risks; absence of Scope 1 reduction strategy may trigger supervisory scrutiny in upcoming OJK sustainability assessments.</w:t>
      </w:r>
    </w:p>
    <w:p w14:paraId="3B5CF7A6" w14:textId="77777777" w:rsidR="00A81986" w:rsidRDefault="0067390B">
      <w:pPr>
        <w:spacing w:after="160"/>
        <w:jc w:val="both"/>
      </w:pPr>
      <w:r>
        <w:rPr>
          <w:rFonts w:ascii="Arial" w:hAnsi="Arial"/>
        </w:rPr>
        <w:t>• **Reputational Risk**: Widening performance gap versus peers (projected 15+ percentage points by 2026) will negatively impact ESG ratings (MSCI, Sustainalytics) and investor perception, particularly among ESG-focused institutional investors who benchmark Indonesian banks.</w:t>
      </w:r>
    </w:p>
    <w:p w14:paraId="78957D4F" w14:textId="77777777" w:rsidR="00A81986" w:rsidRDefault="0067390B">
      <w:pPr>
        <w:spacing w:after="160"/>
        <w:jc w:val="both"/>
      </w:pPr>
      <w:r>
        <w:rPr>
          <w:rFonts w:ascii="Arial" w:hAnsi="Arial"/>
        </w:rPr>
        <w:t>• **Operational Risk**: Continued reliance on diesel backup generation exposes the institution to fuel price volatility (diesel prices increased 18% in 2024) and supply chain disruptions, with direct P&amp;L impact on operational expenses.</w:t>
      </w:r>
    </w:p>
    <w:p w14:paraId="19F53005" w14:textId="77777777" w:rsidR="00A81986" w:rsidRDefault="0067390B">
      <w:pPr>
        <w:spacing w:after="160"/>
        <w:jc w:val="both"/>
      </w:pPr>
      <w:r>
        <w:rPr>
          <w:rFonts w:ascii="Arial" w:hAnsi="Arial"/>
        </w:rPr>
        <w:t>• **Competitive Risk**: Peer institutions (BRI, DBS) are leveraging renewable energy deployment and SBTi commitments as competitive differentiators in sustainability-linked loan origination and green bond issuance, where the institution currently lacks credibility.</w:t>
      </w:r>
    </w:p>
    <w:p w14:paraId="6E3FEE14" w14:textId="77777777" w:rsidR="00A81986" w:rsidRDefault="00A81986"/>
    <w:p w14:paraId="259D734C" w14:textId="77777777" w:rsidR="00A81986" w:rsidRDefault="0067390B">
      <w:r>
        <w:rPr>
          <w:b/>
          <w:color w:val="1B5E20"/>
          <w:sz w:val="24"/>
        </w:rPr>
        <w:t>⚡</w:t>
      </w:r>
      <w:r>
        <w:rPr>
          <w:b/>
          <w:color w:val="1B5E20"/>
          <w:sz w:val="24"/>
        </w:rPr>
        <w:t xml:space="preserve"> Priority Actions</w:t>
      </w:r>
    </w:p>
    <w:p w14:paraId="245CF22B" w14:textId="77777777" w:rsidR="00A81986" w:rsidRDefault="0067390B">
      <w:r>
        <w:rPr>
          <w:b/>
        </w:rPr>
        <w:t>🔴</w:t>
      </w:r>
      <w:r>
        <w:rPr>
          <w:b/>
        </w:rPr>
        <w:t xml:space="preserve"> 1. Deploy solar photovoltaic systems (50 kWp capacity each) with lithium-ion battery storage (100 kWh) at top five diesel-intensive facilities (FAC-0197, FAC-0198, FAC-0200, FAC-0196, FAC-0199) to displace 60% of backup generator runtime during grid outages</w:t>
      </w:r>
      <w:r>
        <w:t xml:space="preserve"> (Q3 2025)</w:t>
      </w:r>
    </w:p>
    <w:p w14:paraId="1CC32102" w14:textId="77777777" w:rsidR="00A81986" w:rsidRDefault="0067390B">
      <w:pPr>
        <w:spacing w:after="160"/>
        <w:jc w:val="both"/>
      </w:pPr>
      <w:r>
        <w:rPr>
          <w:rFonts w:ascii="Arial" w:hAnsi="Arial"/>
        </w:rPr>
        <w:t xml:space="preserve">    → Expected: 222 tCO₂e annual reduction (6.5% of Scope 1); IDR 450 million annual diesel cost savings</w:t>
      </w:r>
    </w:p>
    <w:p w14:paraId="04D604D9" w14:textId="77777777" w:rsidR="00A81986" w:rsidRDefault="0067390B">
      <w:pPr>
        <w:spacing w:after="160"/>
        <w:jc w:val="both"/>
      </w:pPr>
      <w:r>
        <w:rPr>
          <w:rFonts w:ascii="Arial" w:hAnsi="Arial"/>
          <w:i/>
          <w:color w:val="646464"/>
          <w:sz w:val="18"/>
        </w:rPr>
        <w:t xml:space="preserve">    → Ref: BRI Green Network achieved 19.49% electricity savings at BRILiaN Tower through solar+efficiency; DBS reduced Scope 1 by 12% via renewable integration</w:t>
      </w:r>
    </w:p>
    <w:p w14:paraId="2184B860" w14:textId="77777777" w:rsidR="00A81986" w:rsidRDefault="0067390B">
      <w:r>
        <w:rPr>
          <w:b/>
        </w:rPr>
        <w:t>🔴</w:t>
      </w:r>
      <w:r>
        <w:rPr>
          <w:b/>
        </w:rPr>
        <w:t xml:space="preserve"> 2. Launch electric vehicle pilot program: convert 25% of operational fleet (50 vehicles) to battery electric vehicles (BEVs) with charging infrastructure at 10 high-utilization branch locations</w:t>
      </w:r>
      <w:r>
        <w:t xml:space="preserve"> (Q4 2025)</w:t>
      </w:r>
    </w:p>
    <w:p w14:paraId="7BA1EF8C" w14:textId="77777777" w:rsidR="00A81986" w:rsidRDefault="0067390B">
      <w:pPr>
        <w:spacing w:after="160"/>
        <w:jc w:val="both"/>
      </w:pPr>
      <w:r>
        <w:rPr>
          <w:rFonts w:ascii="Arial" w:hAnsi="Arial"/>
        </w:rPr>
        <w:t xml:space="preserve">    → Expected: 45 tCO₂e annual reduction; 30% lower total cost of ownership vs. diesel vehicles over 8-year lifecycle</w:t>
      </w:r>
    </w:p>
    <w:p w14:paraId="0E6FC24D" w14:textId="77777777" w:rsidR="00A81986" w:rsidRDefault="0067390B">
      <w:pPr>
        <w:spacing w:after="160"/>
        <w:jc w:val="both"/>
      </w:pPr>
      <w:r>
        <w:rPr>
          <w:rFonts w:ascii="Arial" w:hAnsi="Arial"/>
          <w:i/>
          <w:color w:val="646464"/>
          <w:sz w:val="18"/>
        </w:rPr>
        <w:lastRenderedPageBreak/>
        <w:t xml:space="preserve">    → Ref: BRI deployed 118 electric cars + 150 electric motorcycles; DBS installed EV charging stations across operational footprint</w:t>
      </w:r>
    </w:p>
    <w:p w14:paraId="707DC1F0" w14:textId="77777777" w:rsidR="00A81986" w:rsidRDefault="0067390B">
      <w:r>
        <w:rPr>
          <w:b/>
        </w:rPr>
        <w:t>🔴</w:t>
      </w:r>
      <w:r>
        <w:rPr>
          <w:b/>
        </w:rPr>
        <w:t xml:space="preserve"> 3. Submit Science Based Targets initiative (SBTi) commitment letter establishing 1.5°C-aligned pathway: 42% absolute Scope 1+2 reduction by 2030 (from 2024 baseline), with interim milestones (2026: -10%, 2028: -25%)</w:t>
      </w:r>
      <w:r>
        <w:t xml:space="preserve"> (Q2 2025)</w:t>
      </w:r>
    </w:p>
    <w:p w14:paraId="2385F658" w14:textId="77777777" w:rsidR="00A81986" w:rsidRDefault="0067390B">
      <w:pPr>
        <w:spacing w:after="160"/>
        <w:jc w:val="both"/>
      </w:pPr>
      <w:r>
        <w:rPr>
          <w:rFonts w:ascii="Arial" w:hAnsi="Arial"/>
        </w:rPr>
        <w:t xml:space="preserve">    → Expected: Enhanced ESG rating potential (MSCI upgrade to A-/A); investor confidence in decarbonization credibility; regulatory alignment with OJK climate risk expectations</w:t>
      </w:r>
    </w:p>
    <w:p w14:paraId="65486602" w14:textId="77777777" w:rsidR="00A81986" w:rsidRDefault="0067390B">
      <w:pPr>
        <w:spacing w:after="160"/>
        <w:jc w:val="both"/>
      </w:pPr>
      <w:r>
        <w:rPr>
          <w:rFonts w:ascii="Arial" w:hAnsi="Arial"/>
          <w:i/>
          <w:color w:val="646464"/>
          <w:sz w:val="18"/>
        </w:rPr>
        <w:t xml:space="preserve">    → Ref: BRI first Indonesian FI with SBTi commitment (portfolio temp target 1.75°C by 2040); DBS SBTi-approved targets contributing to MSCI AA rating</w:t>
      </w:r>
    </w:p>
    <w:p w14:paraId="257E44FA" w14:textId="77777777" w:rsidR="00A81986" w:rsidRDefault="0067390B">
      <w:r>
        <w:rPr>
          <w:b/>
        </w:rPr>
        <w:t>🟡</w:t>
      </w:r>
      <w:r>
        <w:rPr>
          <w:b/>
        </w:rPr>
        <w:t xml:space="preserve"> 4. Negotiate 5-year renewable energy Power Purchase Agreement (PPA) with Indonesian solar/wind provider for 30% of grid electricity supply (estimated 15 GWh annually), reducing reliance on diesel backup and Scope 2 emissions simultaneously</w:t>
      </w:r>
      <w:r>
        <w:t xml:space="preserve"> (Q1 2025)</w:t>
      </w:r>
    </w:p>
    <w:p w14:paraId="7828F406" w14:textId="77777777" w:rsidR="00A81986" w:rsidRDefault="0067390B">
      <w:pPr>
        <w:spacing w:after="160"/>
        <w:jc w:val="both"/>
      </w:pPr>
      <w:r>
        <w:rPr>
          <w:rFonts w:ascii="Arial" w:hAnsi="Arial"/>
        </w:rPr>
        <w:t xml:space="preserve">    → Expected: 150 tCO₂e Scope 1 reduction (lower backup runtime); 13,500 tCO₂e Scope 2 reduction; hedge against grid electricity price volatility</w:t>
      </w:r>
    </w:p>
    <w:p w14:paraId="562675C7" w14:textId="77777777" w:rsidR="00A81986" w:rsidRDefault="0067390B">
      <w:pPr>
        <w:spacing w:after="160"/>
        <w:jc w:val="both"/>
      </w:pPr>
      <w:r>
        <w:rPr>
          <w:rFonts w:ascii="Arial" w:hAnsi="Arial"/>
          <w:i/>
          <w:color w:val="646464"/>
          <w:sz w:val="18"/>
        </w:rPr>
        <w:t xml:space="preserve">    → Ref: DBS achieved 62% renewable energy procurement via PPAs as RE100 member; BCA developing renewable energy strategy aligned with climate commitments</w:t>
      </w:r>
    </w:p>
    <w:p w14:paraId="1C8126D7" w14:textId="77777777" w:rsidR="00A81986" w:rsidRDefault="00A81986"/>
    <w:p w14:paraId="21BBCDE4" w14:textId="77777777" w:rsidR="00A81986" w:rsidRDefault="0067390B">
      <w:r>
        <w:rPr>
          <w:i/>
          <w:color w:val="3D6094"/>
          <w:sz w:val="18"/>
        </w:rPr>
        <w:t>Framework references: GRI 305-1a; GRI 305-1b; GRI 305-1c; GRI 305-1e; GRI 305-1f; GRI 305-1g; IFRS S2 Para 29(a)(i); IFRS S2 Para 29(b); IFRS S2 Para 29(c); ESRS E1 DR E1-6.44; ESRS E1 AR 39(a); ESRS E1 AR 39(b); ESRS E1 AR 39(c); ESRS E1 AR 39(d); ESRS E1 AR 40; OJK PSPK Emisi GRK Langsung</w:t>
      </w:r>
    </w:p>
    <w:p w14:paraId="3CD657C1" w14:textId="77777777" w:rsidR="00A81986" w:rsidRDefault="00A81986">
      <w:pPr>
        <w:pBdr>
          <w:bottom w:val="single" w:sz="6" w:space="1" w:color="999999"/>
        </w:pBdr>
        <w:spacing w:after="80"/>
      </w:pPr>
    </w:p>
    <w:p w14:paraId="05F15C3C" w14:textId="77777777" w:rsidR="00A81986" w:rsidRDefault="0067390B">
      <w:pPr>
        <w:spacing w:after="160"/>
        <w:jc w:val="both"/>
      </w:pPr>
      <w:r>
        <w:rPr>
          <w:rFonts w:ascii="Arial" w:hAnsi="Arial"/>
          <w:i/>
          <w:color w:val="646464"/>
          <w:sz w:val="18"/>
        </w:rPr>
        <w:t>These figures have not been subject to external assurance for the current reporting period.</w:t>
      </w:r>
    </w:p>
    <w:p w14:paraId="176C2A76" w14:textId="77777777" w:rsidR="00A81986" w:rsidRDefault="0067390B">
      <w:pPr>
        <w:spacing w:after="160"/>
        <w:jc w:val="both"/>
      </w:pPr>
      <w:r>
        <w:rPr>
          <w:rFonts w:ascii="Arial" w:hAnsi="Arial"/>
          <w:i/>
          <w:color w:val="646464"/>
          <w:sz w:val="18"/>
        </w:rPr>
        <w:t>Emission factors: Diesel = 2.571 kgCO₂e/liter; Natural gas = 0.0562 kgCO₂e/MJ (MEMR National Emission Factor Database, version 2023).</w:t>
      </w:r>
    </w:p>
    <w:p w14:paraId="2BA5C157" w14:textId="77777777" w:rsidR="00A81986" w:rsidRDefault="0067390B">
      <w:pPr>
        <w:spacing w:after="160"/>
        <w:jc w:val="both"/>
      </w:pPr>
      <w:r>
        <w:rPr>
          <w:rFonts w:ascii="Arial" w:hAnsi="Arial"/>
          <w:i/>
          <w:color w:val="646464"/>
          <w:sz w:val="18"/>
        </w:rPr>
        <w:t>GWP values per IPCC AR6 (100-year horizon): CH₄ = 29.8, N₂O = 273.0, CO₂ = 1.0.</w:t>
      </w:r>
    </w:p>
    <w:p w14:paraId="10F70398" w14:textId="77777777" w:rsidR="00A81986" w:rsidRDefault="0067390B">
      <w:pPr>
        <w:spacing w:after="160"/>
        <w:jc w:val="both"/>
      </w:pPr>
      <w:r>
        <w:rPr>
          <w:rFonts w:ascii="Arial" w:hAnsi="Arial"/>
          <w:i/>
          <w:color w:val="646464"/>
          <w:sz w:val="18"/>
        </w:rPr>
        <w:t>Data Quality Score 1 indicates primary metered data with no estimation or imputation required.</w:t>
      </w:r>
    </w:p>
    <w:p w14:paraId="6F51A1A7" w14:textId="77777777" w:rsidR="00A81986" w:rsidRDefault="0067390B">
      <w:pPr>
        <w:spacing w:after="160"/>
        <w:jc w:val="both"/>
      </w:pPr>
      <w:r>
        <w:rPr>
          <w:rFonts w:ascii="Arial" w:hAnsi="Arial"/>
          <w:i/>
          <w:color w:val="646464"/>
          <w:sz w:val="18"/>
        </w:rPr>
        <w:t>Operational control consolidation approach: 100% of emissions from facilities under operational control are included.</w:t>
      </w:r>
    </w:p>
    <w:p w14:paraId="29B36FCB" w14:textId="77777777" w:rsidR="00A81986" w:rsidRDefault="0067390B">
      <w:pPr>
        <w:pStyle w:val="Heading2"/>
        <w:spacing w:before="360" w:after="160"/>
      </w:pPr>
      <w:bookmarkStart w:id="6" w:name="_Toc232003727"/>
      <w:r>
        <w:rPr>
          <w:rFonts w:ascii="Arial" w:hAnsi="Arial"/>
          <w:color w:val="3D6094"/>
          <w:sz w:val="28"/>
        </w:rPr>
        <w:t>1.2 Energy Indirect GHG Emissions — Scope 2</w:t>
      </w:r>
      <w:bookmarkEnd w:id="6"/>
    </w:p>
    <w:tbl>
      <w:tblPr>
        <w:tblW w:w="0" w:type="auto"/>
        <w:jc w:val="center"/>
        <w:tblLook w:val="04A0" w:firstRow="1" w:lastRow="0" w:firstColumn="1" w:lastColumn="0" w:noHBand="0" w:noVBand="1"/>
      </w:tblPr>
      <w:tblGrid>
        <w:gridCol w:w="2257"/>
        <w:gridCol w:w="2257"/>
        <w:gridCol w:w="2257"/>
        <w:gridCol w:w="2257"/>
      </w:tblGrid>
      <w:tr w:rsidR="00A81986" w14:paraId="49899AE5" w14:textId="77777777">
        <w:trPr>
          <w:jc w:val="center"/>
        </w:trPr>
        <w:tc>
          <w:tcPr>
            <w:tcW w:w="2257" w:type="dxa"/>
          </w:tcPr>
          <w:p w14:paraId="63D4766A" w14:textId="77777777" w:rsidR="00A81986" w:rsidRDefault="0067390B">
            <w:pPr>
              <w:jc w:val="center"/>
            </w:pPr>
            <w:r>
              <w:rPr>
                <w:b/>
                <w:color w:val="1B3A6B"/>
                <w:sz w:val="40"/>
              </w:rPr>
              <w:t>44,614</w:t>
            </w:r>
            <w:r>
              <w:rPr>
                <w:sz w:val="18"/>
              </w:rPr>
              <w:t xml:space="preserve"> tCO₂e</w:t>
            </w:r>
            <w:r>
              <w:rPr>
                <w:b/>
                <w:color w:val="4CAF50"/>
                <w:sz w:val="20"/>
              </w:rPr>
              <w:br/>
              <w:t>+0.03% YoY</w:t>
            </w:r>
          </w:p>
        </w:tc>
        <w:tc>
          <w:tcPr>
            <w:tcW w:w="2257" w:type="dxa"/>
          </w:tcPr>
          <w:p w14:paraId="68CFBF22" w14:textId="77777777" w:rsidR="00A81986" w:rsidRDefault="0067390B">
            <w:pPr>
              <w:jc w:val="center"/>
            </w:pPr>
            <w:r>
              <w:rPr>
                <w:b/>
                <w:color w:val="1B3A6B"/>
                <w:sz w:val="40"/>
              </w:rPr>
              <w:t>44,613</w:t>
            </w:r>
            <w:r>
              <w:rPr>
                <w:sz w:val="18"/>
              </w:rPr>
              <w:t xml:space="preserve"> tCO₂e</w:t>
            </w:r>
            <w:r>
              <w:rPr>
                <w:b/>
                <w:color w:val="4CAF50"/>
                <w:sz w:val="20"/>
              </w:rPr>
              <w:br/>
              <w:t>+0.03% YoY</w:t>
            </w:r>
          </w:p>
        </w:tc>
        <w:tc>
          <w:tcPr>
            <w:tcW w:w="2257" w:type="dxa"/>
          </w:tcPr>
          <w:p w14:paraId="04E47A82" w14:textId="77777777" w:rsidR="00A81986" w:rsidRDefault="0067390B">
            <w:pPr>
              <w:jc w:val="center"/>
            </w:pPr>
            <w:r>
              <w:rPr>
                <w:b/>
                <w:color w:val="1B3A6B"/>
                <w:sz w:val="40"/>
              </w:rPr>
              <w:t>0.0</w:t>
            </w:r>
            <w:r>
              <w:rPr>
                <w:sz w:val="18"/>
              </w:rPr>
              <w:t xml:space="preserve"> %</w:t>
            </w:r>
            <w:r>
              <w:rPr>
                <w:b/>
                <w:color w:val="F44336"/>
                <w:sz w:val="20"/>
              </w:rPr>
              <w:br/>
              <w:t>62pp below DBS</w:t>
            </w:r>
          </w:p>
        </w:tc>
        <w:tc>
          <w:tcPr>
            <w:tcW w:w="2257" w:type="dxa"/>
          </w:tcPr>
          <w:p w14:paraId="4C3C8A11" w14:textId="77777777" w:rsidR="00A81986" w:rsidRDefault="0067390B">
            <w:pPr>
              <w:jc w:val="center"/>
            </w:pPr>
            <w:r>
              <w:rPr>
                <w:b/>
                <w:color w:val="1B3A6B"/>
                <w:sz w:val="40"/>
              </w:rPr>
              <w:t>1.785</w:t>
            </w:r>
            <w:r>
              <w:rPr>
                <w:sz w:val="18"/>
              </w:rPr>
              <w:t xml:space="preserve"> tCO₂e/FTE</w:t>
            </w:r>
            <w:r>
              <w:rPr>
                <w:b/>
                <w:color w:val="4CAF50"/>
                <w:sz w:val="20"/>
              </w:rPr>
              <w:br/>
              <w:t>Stable vs 2023</w:t>
            </w:r>
          </w:p>
        </w:tc>
      </w:tr>
      <w:tr w:rsidR="00A81986" w14:paraId="2CF3AD22" w14:textId="77777777">
        <w:trPr>
          <w:jc w:val="center"/>
        </w:trPr>
        <w:tc>
          <w:tcPr>
            <w:tcW w:w="2257" w:type="dxa"/>
          </w:tcPr>
          <w:p w14:paraId="3F083289" w14:textId="77777777" w:rsidR="00A81986" w:rsidRDefault="0067390B">
            <w:pPr>
              <w:jc w:val="center"/>
            </w:pPr>
            <w:r>
              <w:rPr>
                <w:color w:val="646464"/>
                <w:sz w:val="18"/>
              </w:rPr>
              <w:t>Scope 2 Location-Based</w:t>
            </w:r>
          </w:p>
        </w:tc>
        <w:tc>
          <w:tcPr>
            <w:tcW w:w="2257" w:type="dxa"/>
          </w:tcPr>
          <w:p w14:paraId="38878876" w14:textId="77777777" w:rsidR="00A81986" w:rsidRDefault="0067390B">
            <w:pPr>
              <w:jc w:val="center"/>
            </w:pPr>
            <w:r>
              <w:rPr>
                <w:color w:val="646464"/>
                <w:sz w:val="18"/>
              </w:rPr>
              <w:t>Scope 2 Market-Based</w:t>
            </w:r>
          </w:p>
        </w:tc>
        <w:tc>
          <w:tcPr>
            <w:tcW w:w="2257" w:type="dxa"/>
          </w:tcPr>
          <w:p w14:paraId="428AF6C7" w14:textId="77777777" w:rsidR="00A81986" w:rsidRDefault="0067390B">
            <w:pPr>
              <w:jc w:val="center"/>
            </w:pPr>
            <w:r>
              <w:rPr>
                <w:color w:val="646464"/>
                <w:sz w:val="18"/>
              </w:rPr>
              <w:t>Renewable Electricity Coverage</w:t>
            </w:r>
          </w:p>
        </w:tc>
        <w:tc>
          <w:tcPr>
            <w:tcW w:w="2257" w:type="dxa"/>
          </w:tcPr>
          <w:p w14:paraId="6829F6F3" w14:textId="77777777" w:rsidR="00A81986" w:rsidRDefault="0067390B">
            <w:pPr>
              <w:jc w:val="center"/>
            </w:pPr>
            <w:r>
              <w:rPr>
                <w:color w:val="646464"/>
                <w:sz w:val="18"/>
              </w:rPr>
              <w:t>Scope 2 Intensity</w:t>
            </w:r>
          </w:p>
        </w:tc>
      </w:tr>
    </w:tbl>
    <w:p w14:paraId="1B45B790" w14:textId="77777777" w:rsidR="00A81986" w:rsidRDefault="00A81986"/>
    <w:tbl>
      <w:tblPr>
        <w:tblW w:w="0" w:type="auto"/>
        <w:jc w:val="center"/>
        <w:tblLook w:val="04A0" w:firstRow="1" w:lastRow="0" w:firstColumn="1" w:lastColumn="0" w:noHBand="0" w:noVBand="1"/>
      </w:tblPr>
      <w:tblGrid>
        <w:gridCol w:w="9029"/>
      </w:tblGrid>
      <w:tr w:rsidR="00A81986" w14:paraId="47137E2D" w14:textId="77777777">
        <w:trPr>
          <w:jc w:val="center"/>
        </w:trPr>
        <w:tc>
          <w:tcPr>
            <w:tcW w:w="9029" w:type="dxa"/>
            <w:shd w:val="clear" w:color="auto" w:fill="FFF3E0"/>
          </w:tcPr>
          <w:p w14:paraId="5C9FCA5B" w14:textId="77777777" w:rsidR="00A81986" w:rsidRDefault="0067390B">
            <w:r>
              <w:rPr>
                <w:b/>
                <w:sz w:val="18"/>
              </w:rPr>
              <w:t>⚠</w:t>
            </w:r>
            <w:r>
              <w:rPr>
                <w:b/>
                <w:sz w:val="18"/>
              </w:rPr>
              <w:t>️</w:t>
            </w:r>
            <w:r>
              <w:rPr>
                <w:b/>
                <w:sz w:val="18"/>
              </w:rPr>
              <w:t xml:space="preserve"> KEY INSIGHT</w:t>
            </w:r>
          </w:p>
          <w:p w14:paraId="7922E3FD" w14:textId="77777777" w:rsidR="00A81986" w:rsidRDefault="0067390B">
            <w:r>
              <w:rPr>
                <w:b/>
              </w:rPr>
              <w:lastRenderedPageBreak/>
              <w:t>Scope 2 stable at 44,614 tCO₂e but 0% renewable coverage lags DBS (62%) and BRI (solar network)</w:t>
            </w:r>
          </w:p>
          <w:p w14:paraId="4A91666F" w14:textId="77777777" w:rsidR="00A81986" w:rsidRDefault="0067390B">
            <w:r>
              <w:rPr>
                <w:sz w:val="20"/>
              </w:rPr>
              <w:t>The institution's Scope 2 emissions remained flat year-over-year (+0.03%), but the absence of renewable electricity procurement represents a missed decarbonization opportunity. Peer banks have achieved 12-19% emissions reductions through renewable PPAs and on-site solar. Without action, the institution risks falling further behind sector leaders as Indonesia's grid decarbonizes slowly (0.7886 kgCO₂/kWh unchanged 2023-2024).</w:t>
            </w:r>
          </w:p>
        </w:tc>
      </w:tr>
    </w:tbl>
    <w:p w14:paraId="51DC539F" w14:textId="77777777" w:rsidR="00A81986" w:rsidRDefault="00A81986"/>
    <w:p w14:paraId="0C80DB59" w14:textId="77777777" w:rsidR="00A81986" w:rsidRDefault="0067390B">
      <w:pPr>
        <w:spacing w:after="160"/>
        <w:jc w:val="both"/>
      </w:pPr>
      <w:r>
        <w:rPr>
          <w:rFonts w:ascii="Arial" w:hAnsi="Arial"/>
        </w:rPr>
        <w:t xml:space="preserve">For the reporting period ending December 31, 2024, the institution's Scope 2 energy indirect greenhouse gas emissions totaled 44,613.876 tCO₂e under the location-based method and 44,612.518 tCO₂e under the market-based method. This dual reporting approach aligns with the GHG Protocol Scope 2 Guidance (2015), which requires organizations to disclose both location-based figures—reflecting the average emissions intensity of the grid where energy consumption occurs—and market-based figures—reflecting emissions </w:t>
      </w:r>
      <w:r>
        <w:rPr>
          <w:rFonts w:ascii="Arial" w:hAnsi="Arial"/>
        </w:rPr>
        <w:t>from contractual instruments such as renewable energy certificates (RECs) or power purchase agreements. The minimal difference of 1.358 tCO₂e between the two methods indicates that the institution has not yet procured significant volumes of renewable electricity through contractual instruments during the reporting period.</w:t>
      </w:r>
    </w:p>
    <w:p w14:paraId="466B9DFA" w14:textId="77777777" w:rsidR="00A81986" w:rsidRDefault="0067390B">
      <w:pPr>
        <w:spacing w:after="160"/>
        <w:jc w:val="both"/>
      </w:pPr>
      <w:r>
        <w:rPr>
          <w:rFonts w:ascii="Arial" w:hAnsi="Arial"/>
          <w:i/>
        </w:rPr>
        <w:t>The location-based calculation applies the PLN 2023 grid emission factor of 0.7886 kgCO₂/kWh to all purchased electricity consumed across the institution's operational facilities. This factor represents the average carbon intensity of Indonesia's national electricity grid and is sourced from PT Perusahaan Listrik Negara (Persero)'s 2023 sustainability disclosure. The market-based method follows the same calculation approach but would adjust for any contractual instruments that convey specific emission attri</w:t>
      </w:r>
      <w:r>
        <w:rPr>
          <w:rFonts w:ascii="Arial" w:hAnsi="Arial"/>
          <w:i/>
        </w:rPr>
        <w:t>butes. In the absence of RECs or renewable power purchase agreements covering the institution's consumption, the market-based figure remains nearly identical to the location-based figure, differing only due to minor residual mix adjustments applied to a small portion of consumption where grid-average data was unavailable.</w:t>
      </w:r>
    </w:p>
    <w:p w14:paraId="299865F3" w14:textId="77777777" w:rsidR="00A81986" w:rsidRDefault="0067390B">
      <w:pPr>
        <w:spacing w:after="160"/>
        <w:jc w:val="both"/>
      </w:pPr>
      <w:r>
        <w:rPr>
          <w:rFonts w:ascii="Arial" w:hAnsi="Arial"/>
        </w:rPr>
        <w:t>Compared to the prior reporting period (2023), location-based Scope 2 emissions increased by 0.03% from 44,599.440 tCO₂e to 44,613.876 tCO₂e, while market-based emissions increased by 0.03% from 44,598.118 tCO₂e to 44,612.518 tCO₂e. This marginal increase reflects a combination of factors: modest expansion in operational floor area across branch networks, offset partially by energy efficiency measures implemented during the year. The stability of the grid emission factor between reporting periods (PLN maint</w:t>
      </w:r>
      <w:r>
        <w:rPr>
          <w:rFonts w:ascii="Arial" w:hAnsi="Arial"/>
        </w:rPr>
        <w:t>ained the 0.7886 kgCO₂/kWh factor for both 2023 and 2024) means that the emissions change is driven primarily by consumption volume rather than grid decarbonization. The institution's Scope 2 emissions per full-time equivalent employee remained stable at approximately 1.785 tCO₂e/FTE, calculated by dividing total Scope 2 emissions by the 24,997 FTE reported for 2024.</w:t>
      </w:r>
    </w:p>
    <w:p w14:paraId="568BE4DB" w14:textId="77777777" w:rsidR="00A81986" w:rsidRDefault="0067390B">
      <w:pPr>
        <w:spacing w:after="160"/>
        <w:jc w:val="both"/>
      </w:pPr>
      <w:r>
        <w:rPr>
          <w:rFonts w:ascii="Arial" w:hAnsi="Arial"/>
        </w:rPr>
        <w:t xml:space="preserve">The institution has not yet entered into contractual arrangements for renewable electricity procurement, such as renewable energy certificates (RECs), guarantees of origin, or direct power purchase agreements with renewable generators. Consequently, 100% of Scope 2 emissions are calculated using the grid-average emission factor. This represents a significant opportunity for emissions reduction, as peer institutions in the Indonesian banking </w:t>
      </w:r>
      <w:r>
        <w:rPr>
          <w:rFonts w:ascii="Arial" w:hAnsi="Arial"/>
        </w:rPr>
        <w:lastRenderedPageBreak/>
        <w:t>sector have begun procuring renewable electricity to reduce their market-based Scope 2 footprint. For example, DBS Bank has achieved 62% renewable electricity coverage globally and reported a 12% year-over-year reduction in absolute Scope 2 emissions through strategic renewable procurement. Bank Rakyat Indonesia has implemented solar panel installations across its branch network as part of its Green Network initiative, achieving 19.49% electricity savings in participating facilities.</w:t>
      </w:r>
    </w:p>
    <w:p w14:paraId="4FD78DA2" w14:textId="77777777" w:rsidR="00A81986" w:rsidRDefault="0067390B">
      <w:pPr>
        <w:spacing w:after="160"/>
        <w:jc w:val="both"/>
      </w:pPr>
      <w:r>
        <w:rPr>
          <w:rFonts w:ascii="Arial" w:hAnsi="Arial"/>
          <w:i/>
          <w:color w:val="646464"/>
          <w:sz w:val="18"/>
        </w:rPr>
        <w:t>These figures have not been subject to external assurance for the current reporting period.</w:t>
      </w:r>
    </w:p>
    <w:p w14:paraId="1B616528" w14:textId="77777777" w:rsidR="00A81986" w:rsidRDefault="0067390B">
      <w:r>
        <w:rPr>
          <w:rFonts w:ascii="Arial" w:hAnsi="Arial"/>
          <w:b/>
          <w:sz w:val="20"/>
        </w:rPr>
        <w:t>Table 1.2.1: Scope 2 Energy Indirect GHG Emissions — Dual Reporting</w:t>
      </w:r>
    </w:p>
    <w:tbl>
      <w:tblPr>
        <w:tblW w:w="0" w:type="auto"/>
        <w:jc w:val="center"/>
        <w:tblLook w:val="04A0" w:firstRow="1" w:lastRow="0" w:firstColumn="1" w:lastColumn="0" w:noHBand="0" w:noVBand="1"/>
      </w:tblPr>
      <w:tblGrid>
        <w:gridCol w:w="1806"/>
        <w:gridCol w:w="1806"/>
        <w:gridCol w:w="1806"/>
        <w:gridCol w:w="1806"/>
        <w:gridCol w:w="1806"/>
      </w:tblGrid>
      <w:tr w:rsidR="00A81986" w14:paraId="64016E98" w14:textId="77777777">
        <w:trPr>
          <w:jc w:val="center"/>
        </w:trPr>
        <w:tc>
          <w:tcPr>
            <w:tcW w:w="1806" w:type="dxa"/>
            <w:shd w:val="clear" w:color="auto" w:fill="1B3A6B"/>
          </w:tcPr>
          <w:p w14:paraId="02727931" w14:textId="77777777" w:rsidR="00A81986" w:rsidRDefault="0067390B">
            <w:r>
              <w:rPr>
                <w:rFonts w:ascii="Arial" w:hAnsi="Arial"/>
                <w:b/>
                <w:color w:val="FFFFFF"/>
                <w:sz w:val="18"/>
              </w:rPr>
              <w:t>Method</w:t>
            </w:r>
          </w:p>
        </w:tc>
        <w:tc>
          <w:tcPr>
            <w:tcW w:w="1806" w:type="dxa"/>
            <w:shd w:val="clear" w:color="auto" w:fill="1B3A6B"/>
          </w:tcPr>
          <w:p w14:paraId="7C9FEF1D" w14:textId="77777777" w:rsidR="00A81986" w:rsidRDefault="0067390B">
            <w:r>
              <w:rPr>
                <w:rFonts w:ascii="Arial" w:hAnsi="Arial"/>
                <w:b/>
                <w:color w:val="FFFFFF"/>
                <w:sz w:val="18"/>
              </w:rPr>
              <w:t>2024 (tCO₂e)</w:t>
            </w:r>
          </w:p>
        </w:tc>
        <w:tc>
          <w:tcPr>
            <w:tcW w:w="1806" w:type="dxa"/>
            <w:shd w:val="clear" w:color="auto" w:fill="1B3A6B"/>
          </w:tcPr>
          <w:p w14:paraId="1EA53316" w14:textId="77777777" w:rsidR="00A81986" w:rsidRDefault="0067390B">
            <w:r>
              <w:rPr>
                <w:rFonts w:ascii="Arial" w:hAnsi="Arial"/>
                <w:b/>
                <w:color w:val="FFFFFF"/>
                <w:sz w:val="18"/>
              </w:rPr>
              <w:t>2023 (tCO₂e)</w:t>
            </w:r>
          </w:p>
        </w:tc>
        <w:tc>
          <w:tcPr>
            <w:tcW w:w="1806" w:type="dxa"/>
            <w:shd w:val="clear" w:color="auto" w:fill="1B3A6B"/>
          </w:tcPr>
          <w:p w14:paraId="42A58DA9" w14:textId="77777777" w:rsidR="00A81986" w:rsidRDefault="0067390B">
            <w:r>
              <w:rPr>
                <w:rFonts w:ascii="Arial" w:hAnsi="Arial"/>
                <w:b/>
                <w:color w:val="FFFFFF"/>
                <w:sz w:val="18"/>
              </w:rPr>
              <w:t>Change (%)</w:t>
            </w:r>
          </w:p>
        </w:tc>
        <w:tc>
          <w:tcPr>
            <w:tcW w:w="1806" w:type="dxa"/>
            <w:shd w:val="clear" w:color="auto" w:fill="1B3A6B"/>
          </w:tcPr>
          <w:p w14:paraId="64386ED9" w14:textId="77777777" w:rsidR="00A81986" w:rsidRDefault="0067390B">
            <w:r>
              <w:rPr>
                <w:rFonts w:ascii="Arial" w:hAnsi="Arial"/>
                <w:b/>
                <w:color w:val="FFFFFF"/>
                <w:sz w:val="18"/>
              </w:rPr>
              <w:t>Grid EF (kgCO₂/kWh)</w:t>
            </w:r>
          </w:p>
        </w:tc>
      </w:tr>
      <w:tr w:rsidR="00A81986" w14:paraId="6C27C27B" w14:textId="77777777">
        <w:trPr>
          <w:jc w:val="center"/>
        </w:trPr>
        <w:tc>
          <w:tcPr>
            <w:tcW w:w="1806" w:type="dxa"/>
          </w:tcPr>
          <w:p w14:paraId="25FCAF69" w14:textId="77777777" w:rsidR="00A81986" w:rsidRDefault="0067390B">
            <w:r>
              <w:rPr>
                <w:rFonts w:ascii="Arial" w:hAnsi="Arial"/>
                <w:sz w:val="18"/>
              </w:rPr>
              <w:t>Location-based</w:t>
            </w:r>
          </w:p>
        </w:tc>
        <w:tc>
          <w:tcPr>
            <w:tcW w:w="1806" w:type="dxa"/>
          </w:tcPr>
          <w:p w14:paraId="69E22217" w14:textId="77777777" w:rsidR="00A81986" w:rsidRDefault="0067390B">
            <w:pPr>
              <w:jc w:val="right"/>
            </w:pPr>
            <w:r>
              <w:rPr>
                <w:rFonts w:ascii="Arial" w:hAnsi="Arial"/>
                <w:sz w:val="18"/>
              </w:rPr>
              <w:t>44,613.876</w:t>
            </w:r>
          </w:p>
        </w:tc>
        <w:tc>
          <w:tcPr>
            <w:tcW w:w="1806" w:type="dxa"/>
          </w:tcPr>
          <w:p w14:paraId="2342A91E" w14:textId="77777777" w:rsidR="00A81986" w:rsidRDefault="0067390B">
            <w:pPr>
              <w:jc w:val="right"/>
            </w:pPr>
            <w:r>
              <w:rPr>
                <w:rFonts w:ascii="Arial" w:hAnsi="Arial"/>
                <w:sz w:val="18"/>
              </w:rPr>
              <w:t>44,599.440</w:t>
            </w:r>
          </w:p>
        </w:tc>
        <w:tc>
          <w:tcPr>
            <w:tcW w:w="1806" w:type="dxa"/>
          </w:tcPr>
          <w:p w14:paraId="4F5EB8CB" w14:textId="77777777" w:rsidR="00A81986" w:rsidRDefault="0067390B">
            <w:pPr>
              <w:jc w:val="right"/>
            </w:pPr>
            <w:r>
              <w:rPr>
                <w:rFonts w:ascii="Arial" w:hAnsi="Arial"/>
                <w:sz w:val="18"/>
              </w:rPr>
              <w:t>+0.03%</w:t>
            </w:r>
          </w:p>
        </w:tc>
        <w:tc>
          <w:tcPr>
            <w:tcW w:w="1806" w:type="dxa"/>
          </w:tcPr>
          <w:p w14:paraId="7FE415DD" w14:textId="77777777" w:rsidR="00A81986" w:rsidRDefault="0067390B">
            <w:pPr>
              <w:jc w:val="right"/>
            </w:pPr>
            <w:r>
              <w:rPr>
                <w:rFonts w:ascii="Arial" w:hAnsi="Arial"/>
                <w:sz w:val="18"/>
              </w:rPr>
              <w:t>0.7886</w:t>
            </w:r>
          </w:p>
        </w:tc>
      </w:tr>
      <w:tr w:rsidR="00A81986" w14:paraId="29806BE8" w14:textId="77777777">
        <w:trPr>
          <w:jc w:val="center"/>
        </w:trPr>
        <w:tc>
          <w:tcPr>
            <w:tcW w:w="1806" w:type="dxa"/>
            <w:shd w:val="clear" w:color="auto" w:fill="F2F6FC"/>
          </w:tcPr>
          <w:p w14:paraId="4C5CEAFC" w14:textId="77777777" w:rsidR="00A81986" w:rsidRDefault="0067390B">
            <w:r>
              <w:rPr>
                <w:rFonts w:ascii="Arial" w:hAnsi="Arial"/>
                <w:sz w:val="18"/>
              </w:rPr>
              <w:t>Market-based</w:t>
            </w:r>
          </w:p>
        </w:tc>
        <w:tc>
          <w:tcPr>
            <w:tcW w:w="1806" w:type="dxa"/>
            <w:shd w:val="clear" w:color="auto" w:fill="F2F6FC"/>
          </w:tcPr>
          <w:p w14:paraId="23AF9A98" w14:textId="77777777" w:rsidR="00A81986" w:rsidRDefault="0067390B">
            <w:pPr>
              <w:jc w:val="right"/>
            </w:pPr>
            <w:r>
              <w:rPr>
                <w:rFonts w:ascii="Arial" w:hAnsi="Arial"/>
                <w:sz w:val="18"/>
              </w:rPr>
              <w:t>44,612.518</w:t>
            </w:r>
          </w:p>
        </w:tc>
        <w:tc>
          <w:tcPr>
            <w:tcW w:w="1806" w:type="dxa"/>
            <w:shd w:val="clear" w:color="auto" w:fill="F2F6FC"/>
          </w:tcPr>
          <w:p w14:paraId="22CA72EA" w14:textId="77777777" w:rsidR="00A81986" w:rsidRDefault="0067390B">
            <w:pPr>
              <w:jc w:val="right"/>
            </w:pPr>
            <w:r>
              <w:rPr>
                <w:rFonts w:ascii="Arial" w:hAnsi="Arial"/>
                <w:sz w:val="18"/>
              </w:rPr>
              <w:t>44,598.118</w:t>
            </w:r>
          </w:p>
        </w:tc>
        <w:tc>
          <w:tcPr>
            <w:tcW w:w="1806" w:type="dxa"/>
            <w:shd w:val="clear" w:color="auto" w:fill="F2F6FC"/>
          </w:tcPr>
          <w:p w14:paraId="4BA74F9A" w14:textId="77777777" w:rsidR="00A81986" w:rsidRDefault="0067390B">
            <w:pPr>
              <w:jc w:val="right"/>
            </w:pPr>
            <w:r>
              <w:rPr>
                <w:rFonts w:ascii="Arial" w:hAnsi="Arial"/>
                <w:sz w:val="18"/>
              </w:rPr>
              <w:t>+0.03%</w:t>
            </w:r>
          </w:p>
        </w:tc>
        <w:tc>
          <w:tcPr>
            <w:tcW w:w="1806" w:type="dxa"/>
            <w:shd w:val="clear" w:color="auto" w:fill="F2F6FC"/>
          </w:tcPr>
          <w:p w14:paraId="6CA5A38E" w14:textId="77777777" w:rsidR="00A81986" w:rsidRDefault="0067390B">
            <w:r>
              <w:rPr>
                <w:rFonts w:ascii="Arial" w:hAnsi="Arial"/>
                <w:sz w:val="18"/>
              </w:rPr>
              <w:t>0.7886*</w:t>
            </w:r>
          </w:p>
        </w:tc>
      </w:tr>
      <w:tr w:rsidR="00A81986" w14:paraId="174EA5F5" w14:textId="77777777">
        <w:trPr>
          <w:jc w:val="center"/>
        </w:trPr>
        <w:tc>
          <w:tcPr>
            <w:tcW w:w="1806" w:type="dxa"/>
          </w:tcPr>
          <w:p w14:paraId="3EB87DB8" w14:textId="77777777" w:rsidR="00A81986" w:rsidRDefault="0067390B">
            <w:r>
              <w:rPr>
                <w:rFonts w:ascii="Arial" w:hAnsi="Arial"/>
                <w:sz w:val="18"/>
              </w:rPr>
              <w:t>Difference</w:t>
            </w:r>
          </w:p>
        </w:tc>
        <w:tc>
          <w:tcPr>
            <w:tcW w:w="1806" w:type="dxa"/>
          </w:tcPr>
          <w:p w14:paraId="46BBDEE6" w14:textId="77777777" w:rsidR="00A81986" w:rsidRDefault="0067390B">
            <w:pPr>
              <w:jc w:val="right"/>
            </w:pPr>
            <w:r>
              <w:rPr>
                <w:rFonts w:ascii="Arial" w:hAnsi="Arial"/>
                <w:sz w:val="18"/>
              </w:rPr>
              <w:t>1.358</w:t>
            </w:r>
          </w:p>
        </w:tc>
        <w:tc>
          <w:tcPr>
            <w:tcW w:w="1806" w:type="dxa"/>
          </w:tcPr>
          <w:p w14:paraId="3062FC57" w14:textId="77777777" w:rsidR="00A81986" w:rsidRDefault="0067390B">
            <w:pPr>
              <w:jc w:val="right"/>
            </w:pPr>
            <w:r>
              <w:rPr>
                <w:rFonts w:ascii="Arial" w:hAnsi="Arial"/>
                <w:sz w:val="18"/>
              </w:rPr>
              <w:t>1.322</w:t>
            </w:r>
          </w:p>
        </w:tc>
        <w:tc>
          <w:tcPr>
            <w:tcW w:w="1806" w:type="dxa"/>
          </w:tcPr>
          <w:p w14:paraId="607766D3" w14:textId="77777777" w:rsidR="00A81986" w:rsidRDefault="0067390B">
            <w:pPr>
              <w:jc w:val="right"/>
            </w:pPr>
            <w:r>
              <w:rPr>
                <w:rFonts w:ascii="Arial" w:hAnsi="Arial"/>
                <w:sz w:val="18"/>
              </w:rPr>
              <w:t>+2.72%</w:t>
            </w:r>
          </w:p>
        </w:tc>
        <w:tc>
          <w:tcPr>
            <w:tcW w:w="1806" w:type="dxa"/>
          </w:tcPr>
          <w:p w14:paraId="5FB0A8F5" w14:textId="77777777" w:rsidR="00A81986" w:rsidRDefault="0067390B">
            <w:r>
              <w:rPr>
                <w:rFonts w:ascii="Arial" w:hAnsi="Arial"/>
                <w:sz w:val="18"/>
              </w:rPr>
              <w:t>—</w:t>
            </w:r>
          </w:p>
        </w:tc>
      </w:tr>
    </w:tbl>
    <w:p w14:paraId="3F417182" w14:textId="77777777" w:rsidR="00A81986" w:rsidRDefault="0067390B">
      <w:r>
        <w:rPr>
          <w:rFonts w:ascii="Arial" w:hAnsi="Arial"/>
          <w:i/>
          <w:sz w:val="16"/>
        </w:rPr>
        <w:t>Source: *Market-based method applies same grid factor in absence of contractual instruments. Minimal difference reflects residual mix adjustments for minor consumption segments. Grid emission factor sourced from PLN 2023 Sustainability Report.</w:t>
      </w:r>
    </w:p>
    <w:p w14:paraId="4CAC6955" w14:textId="77777777" w:rsidR="00A81986" w:rsidRDefault="00A81986"/>
    <w:p w14:paraId="0D51CB4E" w14:textId="77777777" w:rsidR="00A81986" w:rsidRDefault="0067390B">
      <w:r>
        <w:rPr>
          <w:rFonts w:ascii="Arial" w:hAnsi="Arial"/>
          <w:b/>
          <w:sz w:val="20"/>
        </w:rPr>
        <w:t>Table 1.2.2: Framework Cross-Reference — Scope 2 Disclosure Compliance</w:t>
      </w:r>
    </w:p>
    <w:tbl>
      <w:tblPr>
        <w:tblW w:w="0" w:type="auto"/>
        <w:jc w:val="center"/>
        <w:tblLook w:val="04A0" w:firstRow="1" w:lastRow="0" w:firstColumn="1" w:lastColumn="0" w:noHBand="0" w:noVBand="1"/>
      </w:tblPr>
      <w:tblGrid>
        <w:gridCol w:w="2257"/>
        <w:gridCol w:w="2257"/>
        <w:gridCol w:w="2257"/>
        <w:gridCol w:w="2257"/>
      </w:tblGrid>
      <w:tr w:rsidR="00A81986" w14:paraId="5A083AF6" w14:textId="77777777">
        <w:trPr>
          <w:jc w:val="center"/>
        </w:trPr>
        <w:tc>
          <w:tcPr>
            <w:tcW w:w="2257" w:type="dxa"/>
            <w:shd w:val="clear" w:color="auto" w:fill="1B3A6B"/>
          </w:tcPr>
          <w:p w14:paraId="15F1389E" w14:textId="77777777" w:rsidR="00A81986" w:rsidRDefault="0067390B">
            <w:r>
              <w:rPr>
                <w:rFonts w:ascii="Arial" w:hAnsi="Arial"/>
                <w:b/>
                <w:color w:val="FFFFFF"/>
                <w:sz w:val="18"/>
              </w:rPr>
              <w:t>Framework</w:t>
            </w:r>
          </w:p>
        </w:tc>
        <w:tc>
          <w:tcPr>
            <w:tcW w:w="2257" w:type="dxa"/>
            <w:shd w:val="clear" w:color="auto" w:fill="1B3A6B"/>
          </w:tcPr>
          <w:p w14:paraId="6215D199" w14:textId="77777777" w:rsidR="00A81986" w:rsidRDefault="0067390B">
            <w:r>
              <w:rPr>
                <w:rFonts w:ascii="Arial" w:hAnsi="Arial"/>
                <w:b/>
                <w:color w:val="FFFFFF"/>
                <w:sz w:val="18"/>
              </w:rPr>
              <w:t>Disclosure Reference</w:t>
            </w:r>
          </w:p>
        </w:tc>
        <w:tc>
          <w:tcPr>
            <w:tcW w:w="2257" w:type="dxa"/>
            <w:shd w:val="clear" w:color="auto" w:fill="1B3A6B"/>
          </w:tcPr>
          <w:p w14:paraId="7A16D05E" w14:textId="77777777" w:rsidR="00A81986" w:rsidRDefault="0067390B">
            <w:r>
              <w:rPr>
                <w:rFonts w:ascii="Arial" w:hAnsi="Arial"/>
                <w:b/>
                <w:color w:val="FFFFFF"/>
                <w:sz w:val="18"/>
              </w:rPr>
              <w:t>Requirement</w:t>
            </w:r>
          </w:p>
        </w:tc>
        <w:tc>
          <w:tcPr>
            <w:tcW w:w="2257" w:type="dxa"/>
            <w:shd w:val="clear" w:color="auto" w:fill="1B3A6B"/>
          </w:tcPr>
          <w:p w14:paraId="584494AB" w14:textId="77777777" w:rsidR="00A81986" w:rsidRDefault="0067390B">
            <w:r>
              <w:rPr>
                <w:rFonts w:ascii="Arial" w:hAnsi="Arial"/>
                <w:b/>
                <w:color w:val="FFFFFF"/>
                <w:sz w:val="18"/>
              </w:rPr>
              <w:t>Status</w:t>
            </w:r>
          </w:p>
        </w:tc>
      </w:tr>
      <w:tr w:rsidR="00A81986" w14:paraId="07B7857E" w14:textId="77777777">
        <w:trPr>
          <w:jc w:val="center"/>
        </w:trPr>
        <w:tc>
          <w:tcPr>
            <w:tcW w:w="2257" w:type="dxa"/>
          </w:tcPr>
          <w:p w14:paraId="08CADD37" w14:textId="77777777" w:rsidR="00A81986" w:rsidRDefault="0067390B">
            <w:r>
              <w:rPr>
                <w:rFonts w:ascii="Arial" w:hAnsi="Arial"/>
                <w:sz w:val="18"/>
              </w:rPr>
              <w:t>GRI 305-2</w:t>
            </w:r>
          </w:p>
        </w:tc>
        <w:tc>
          <w:tcPr>
            <w:tcW w:w="2257" w:type="dxa"/>
          </w:tcPr>
          <w:p w14:paraId="69954565" w14:textId="77777777" w:rsidR="00A81986" w:rsidRDefault="0067390B">
            <w:r>
              <w:rPr>
                <w:rFonts w:ascii="Arial" w:hAnsi="Arial"/>
                <w:sz w:val="18"/>
              </w:rPr>
              <w:t>305-2a</w:t>
            </w:r>
          </w:p>
        </w:tc>
        <w:tc>
          <w:tcPr>
            <w:tcW w:w="2257" w:type="dxa"/>
          </w:tcPr>
          <w:p w14:paraId="1E94194C" w14:textId="77777777" w:rsidR="00A81986" w:rsidRDefault="0067390B">
            <w:r>
              <w:rPr>
                <w:rFonts w:ascii="Arial" w:hAnsi="Arial"/>
                <w:sz w:val="18"/>
              </w:rPr>
              <w:t>Gross location-based Scope 2 GHG emissions in metric tons of CO₂ equivalent</w:t>
            </w:r>
          </w:p>
        </w:tc>
        <w:tc>
          <w:tcPr>
            <w:tcW w:w="2257" w:type="dxa"/>
          </w:tcPr>
          <w:p w14:paraId="329B37C6" w14:textId="77777777" w:rsidR="00A81986" w:rsidRDefault="0067390B">
            <w:r>
              <w:rPr>
                <w:rFonts w:ascii="Arial" w:hAnsi="Arial"/>
                <w:sz w:val="18"/>
              </w:rPr>
              <w:t>✅</w:t>
            </w:r>
            <w:r>
              <w:rPr>
                <w:rFonts w:ascii="Arial" w:hAnsi="Arial"/>
                <w:sz w:val="18"/>
              </w:rPr>
              <w:t xml:space="preserve"> Disclosed</w:t>
            </w:r>
          </w:p>
        </w:tc>
      </w:tr>
      <w:tr w:rsidR="00A81986" w14:paraId="20E22E5D" w14:textId="77777777">
        <w:trPr>
          <w:jc w:val="center"/>
        </w:trPr>
        <w:tc>
          <w:tcPr>
            <w:tcW w:w="2257" w:type="dxa"/>
            <w:shd w:val="clear" w:color="auto" w:fill="F2F6FC"/>
          </w:tcPr>
          <w:p w14:paraId="2688EF18" w14:textId="77777777" w:rsidR="00A81986" w:rsidRDefault="0067390B">
            <w:r>
              <w:rPr>
                <w:rFonts w:ascii="Arial" w:hAnsi="Arial"/>
                <w:sz w:val="18"/>
              </w:rPr>
              <w:t>GRI 305-2</w:t>
            </w:r>
          </w:p>
        </w:tc>
        <w:tc>
          <w:tcPr>
            <w:tcW w:w="2257" w:type="dxa"/>
            <w:shd w:val="clear" w:color="auto" w:fill="F2F6FC"/>
          </w:tcPr>
          <w:p w14:paraId="6E4927A9" w14:textId="77777777" w:rsidR="00A81986" w:rsidRDefault="0067390B">
            <w:r>
              <w:rPr>
                <w:rFonts w:ascii="Arial" w:hAnsi="Arial"/>
                <w:sz w:val="18"/>
              </w:rPr>
              <w:t>305-2b</w:t>
            </w:r>
          </w:p>
        </w:tc>
        <w:tc>
          <w:tcPr>
            <w:tcW w:w="2257" w:type="dxa"/>
            <w:shd w:val="clear" w:color="auto" w:fill="F2F6FC"/>
          </w:tcPr>
          <w:p w14:paraId="0783643A" w14:textId="77777777" w:rsidR="00A81986" w:rsidRDefault="0067390B">
            <w:r>
              <w:rPr>
                <w:rFonts w:ascii="Arial" w:hAnsi="Arial"/>
                <w:sz w:val="18"/>
              </w:rPr>
              <w:t>Gross market-based Scope 2 GHG emissions in metric tons of CO₂ equivalent</w:t>
            </w:r>
          </w:p>
        </w:tc>
        <w:tc>
          <w:tcPr>
            <w:tcW w:w="2257" w:type="dxa"/>
            <w:shd w:val="clear" w:color="auto" w:fill="F2F6FC"/>
          </w:tcPr>
          <w:p w14:paraId="56A8B2DA" w14:textId="77777777" w:rsidR="00A81986" w:rsidRDefault="0067390B">
            <w:r>
              <w:rPr>
                <w:rFonts w:ascii="Arial" w:hAnsi="Arial"/>
                <w:sz w:val="18"/>
              </w:rPr>
              <w:t>✅</w:t>
            </w:r>
            <w:r>
              <w:rPr>
                <w:rFonts w:ascii="Arial" w:hAnsi="Arial"/>
                <w:sz w:val="18"/>
              </w:rPr>
              <w:t xml:space="preserve"> Disclosed</w:t>
            </w:r>
          </w:p>
        </w:tc>
      </w:tr>
      <w:tr w:rsidR="00A81986" w14:paraId="1ED1C22E" w14:textId="77777777">
        <w:trPr>
          <w:jc w:val="center"/>
        </w:trPr>
        <w:tc>
          <w:tcPr>
            <w:tcW w:w="2257" w:type="dxa"/>
          </w:tcPr>
          <w:p w14:paraId="20195F1C" w14:textId="77777777" w:rsidR="00A81986" w:rsidRDefault="0067390B">
            <w:r>
              <w:rPr>
                <w:rFonts w:ascii="Arial" w:hAnsi="Arial"/>
                <w:sz w:val="18"/>
              </w:rPr>
              <w:t>GRI 305-2</w:t>
            </w:r>
          </w:p>
        </w:tc>
        <w:tc>
          <w:tcPr>
            <w:tcW w:w="2257" w:type="dxa"/>
          </w:tcPr>
          <w:p w14:paraId="086266EE" w14:textId="77777777" w:rsidR="00A81986" w:rsidRDefault="0067390B">
            <w:r>
              <w:rPr>
                <w:rFonts w:ascii="Arial" w:hAnsi="Arial"/>
                <w:sz w:val="18"/>
              </w:rPr>
              <w:t>305-2c</w:t>
            </w:r>
          </w:p>
        </w:tc>
        <w:tc>
          <w:tcPr>
            <w:tcW w:w="2257" w:type="dxa"/>
          </w:tcPr>
          <w:p w14:paraId="42135CF4" w14:textId="77777777" w:rsidR="00A81986" w:rsidRDefault="0067390B">
            <w:r>
              <w:rPr>
                <w:rFonts w:ascii="Arial" w:hAnsi="Arial"/>
                <w:sz w:val="18"/>
              </w:rPr>
              <w:t>Gases included in the calculation (CO₂, CH₄, N₂O, HFCs, PFCs, SF₆, NF₃)</w:t>
            </w:r>
          </w:p>
        </w:tc>
        <w:tc>
          <w:tcPr>
            <w:tcW w:w="2257" w:type="dxa"/>
          </w:tcPr>
          <w:p w14:paraId="7BE1C1B9" w14:textId="77777777" w:rsidR="00A81986" w:rsidRDefault="0067390B">
            <w:r>
              <w:rPr>
                <w:rFonts w:ascii="Arial" w:hAnsi="Arial"/>
                <w:sz w:val="18"/>
              </w:rPr>
              <w:t>✅</w:t>
            </w:r>
            <w:r>
              <w:rPr>
                <w:rFonts w:ascii="Arial" w:hAnsi="Arial"/>
                <w:sz w:val="18"/>
              </w:rPr>
              <w:t xml:space="preserve"> CO₂ only (electricity)</w:t>
            </w:r>
          </w:p>
        </w:tc>
      </w:tr>
      <w:tr w:rsidR="00A81986" w14:paraId="0E38D6FF" w14:textId="77777777">
        <w:trPr>
          <w:jc w:val="center"/>
        </w:trPr>
        <w:tc>
          <w:tcPr>
            <w:tcW w:w="2257" w:type="dxa"/>
            <w:shd w:val="clear" w:color="auto" w:fill="F2F6FC"/>
          </w:tcPr>
          <w:p w14:paraId="70132ECF" w14:textId="77777777" w:rsidR="00A81986" w:rsidRDefault="0067390B">
            <w:r>
              <w:rPr>
                <w:rFonts w:ascii="Arial" w:hAnsi="Arial"/>
                <w:sz w:val="18"/>
              </w:rPr>
              <w:t>GRI 305-2</w:t>
            </w:r>
          </w:p>
        </w:tc>
        <w:tc>
          <w:tcPr>
            <w:tcW w:w="2257" w:type="dxa"/>
            <w:shd w:val="clear" w:color="auto" w:fill="F2F6FC"/>
          </w:tcPr>
          <w:p w14:paraId="2AF79BB5" w14:textId="77777777" w:rsidR="00A81986" w:rsidRDefault="0067390B">
            <w:r>
              <w:rPr>
                <w:rFonts w:ascii="Arial" w:hAnsi="Arial"/>
                <w:sz w:val="18"/>
              </w:rPr>
              <w:t>305-2d</w:t>
            </w:r>
          </w:p>
        </w:tc>
        <w:tc>
          <w:tcPr>
            <w:tcW w:w="2257" w:type="dxa"/>
            <w:shd w:val="clear" w:color="auto" w:fill="F2F6FC"/>
          </w:tcPr>
          <w:p w14:paraId="781D46CB" w14:textId="77777777" w:rsidR="00A81986" w:rsidRDefault="0067390B">
            <w:r>
              <w:rPr>
                <w:rFonts w:ascii="Arial" w:hAnsi="Arial"/>
                <w:sz w:val="18"/>
              </w:rPr>
              <w:t>Base year for calculation, rationale, and emissions in base year</w:t>
            </w:r>
          </w:p>
        </w:tc>
        <w:tc>
          <w:tcPr>
            <w:tcW w:w="2257" w:type="dxa"/>
            <w:shd w:val="clear" w:color="auto" w:fill="F2F6FC"/>
          </w:tcPr>
          <w:p w14:paraId="1631C3FF" w14:textId="77777777" w:rsidR="00A81986" w:rsidRDefault="0067390B">
            <w:r>
              <w:rPr>
                <w:rFonts w:ascii="Arial" w:hAnsi="Arial"/>
                <w:sz w:val="18"/>
              </w:rPr>
              <w:t>⚠</w:t>
            </w:r>
            <w:r>
              <w:rPr>
                <w:rFonts w:ascii="Arial" w:hAnsi="Arial"/>
                <w:sz w:val="18"/>
              </w:rPr>
              <w:t>️</w:t>
            </w:r>
            <w:r>
              <w:rPr>
                <w:rFonts w:ascii="Arial" w:hAnsi="Arial"/>
                <w:sz w:val="18"/>
              </w:rPr>
              <w:t xml:space="preserve"> Base year not yet established</w:t>
            </w:r>
          </w:p>
        </w:tc>
      </w:tr>
      <w:tr w:rsidR="00A81986" w14:paraId="69125988" w14:textId="77777777">
        <w:trPr>
          <w:jc w:val="center"/>
        </w:trPr>
        <w:tc>
          <w:tcPr>
            <w:tcW w:w="2257" w:type="dxa"/>
          </w:tcPr>
          <w:p w14:paraId="359CA172" w14:textId="77777777" w:rsidR="00A81986" w:rsidRDefault="0067390B">
            <w:r>
              <w:rPr>
                <w:rFonts w:ascii="Arial" w:hAnsi="Arial"/>
                <w:sz w:val="18"/>
              </w:rPr>
              <w:t>GRI 305-2</w:t>
            </w:r>
          </w:p>
        </w:tc>
        <w:tc>
          <w:tcPr>
            <w:tcW w:w="2257" w:type="dxa"/>
          </w:tcPr>
          <w:p w14:paraId="54EA5DB7" w14:textId="77777777" w:rsidR="00A81986" w:rsidRDefault="0067390B">
            <w:r>
              <w:rPr>
                <w:rFonts w:ascii="Arial" w:hAnsi="Arial"/>
                <w:sz w:val="18"/>
              </w:rPr>
              <w:t>305-2e</w:t>
            </w:r>
          </w:p>
        </w:tc>
        <w:tc>
          <w:tcPr>
            <w:tcW w:w="2257" w:type="dxa"/>
          </w:tcPr>
          <w:p w14:paraId="3E1A2460" w14:textId="77777777" w:rsidR="00A81986" w:rsidRDefault="0067390B">
            <w:r>
              <w:rPr>
                <w:rFonts w:ascii="Arial" w:hAnsi="Arial"/>
                <w:sz w:val="18"/>
              </w:rPr>
              <w:t>Source of emission factors and global warming potential rates used</w:t>
            </w:r>
          </w:p>
        </w:tc>
        <w:tc>
          <w:tcPr>
            <w:tcW w:w="2257" w:type="dxa"/>
          </w:tcPr>
          <w:p w14:paraId="0BF24A20" w14:textId="77777777" w:rsidR="00A81986" w:rsidRDefault="0067390B">
            <w:r>
              <w:rPr>
                <w:rFonts w:ascii="Arial" w:hAnsi="Arial"/>
                <w:sz w:val="18"/>
              </w:rPr>
              <w:t>✅</w:t>
            </w:r>
            <w:r>
              <w:rPr>
                <w:rFonts w:ascii="Arial" w:hAnsi="Arial"/>
                <w:sz w:val="18"/>
              </w:rPr>
              <w:t xml:space="preserve"> PLN 2023 (0.7886 kgCO₂/kWh)</w:t>
            </w:r>
          </w:p>
        </w:tc>
      </w:tr>
      <w:tr w:rsidR="00A81986" w14:paraId="2E16549A" w14:textId="77777777">
        <w:trPr>
          <w:jc w:val="center"/>
        </w:trPr>
        <w:tc>
          <w:tcPr>
            <w:tcW w:w="2257" w:type="dxa"/>
            <w:shd w:val="clear" w:color="auto" w:fill="F2F6FC"/>
          </w:tcPr>
          <w:p w14:paraId="0001A12F" w14:textId="77777777" w:rsidR="00A81986" w:rsidRDefault="0067390B">
            <w:r>
              <w:rPr>
                <w:rFonts w:ascii="Arial" w:hAnsi="Arial"/>
                <w:sz w:val="18"/>
              </w:rPr>
              <w:t>GRI 305-2</w:t>
            </w:r>
          </w:p>
        </w:tc>
        <w:tc>
          <w:tcPr>
            <w:tcW w:w="2257" w:type="dxa"/>
            <w:shd w:val="clear" w:color="auto" w:fill="F2F6FC"/>
          </w:tcPr>
          <w:p w14:paraId="59913554" w14:textId="77777777" w:rsidR="00A81986" w:rsidRDefault="0067390B">
            <w:r>
              <w:rPr>
                <w:rFonts w:ascii="Arial" w:hAnsi="Arial"/>
                <w:sz w:val="18"/>
              </w:rPr>
              <w:t>305-2f</w:t>
            </w:r>
          </w:p>
        </w:tc>
        <w:tc>
          <w:tcPr>
            <w:tcW w:w="2257" w:type="dxa"/>
            <w:shd w:val="clear" w:color="auto" w:fill="F2F6FC"/>
          </w:tcPr>
          <w:p w14:paraId="32B7CCA2" w14:textId="77777777" w:rsidR="00A81986" w:rsidRDefault="0067390B">
            <w:r>
              <w:rPr>
                <w:rFonts w:ascii="Arial" w:hAnsi="Arial"/>
                <w:sz w:val="18"/>
              </w:rPr>
              <w:t>Consolidation approach (equity share, financial control, operational control)</w:t>
            </w:r>
          </w:p>
        </w:tc>
        <w:tc>
          <w:tcPr>
            <w:tcW w:w="2257" w:type="dxa"/>
            <w:shd w:val="clear" w:color="auto" w:fill="F2F6FC"/>
          </w:tcPr>
          <w:p w14:paraId="50322084" w14:textId="77777777" w:rsidR="00A81986" w:rsidRDefault="0067390B">
            <w:r>
              <w:rPr>
                <w:rFonts w:ascii="Arial" w:hAnsi="Arial"/>
                <w:sz w:val="18"/>
              </w:rPr>
              <w:t>✅</w:t>
            </w:r>
            <w:r>
              <w:rPr>
                <w:rFonts w:ascii="Arial" w:hAnsi="Arial"/>
                <w:sz w:val="18"/>
              </w:rPr>
              <w:t xml:space="preserve"> Operational control</w:t>
            </w:r>
          </w:p>
        </w:tc>
      </w:tr>
      <w:tr w:rsidR="00A81986" w14:paraId="1F858B75" w14:textId="77777777">
        <w:trPr>
          <w:jc w:val="center"/>
        </w:trPr>
        <w:tc>
          <w:tcPr>
            <w:tcW w:w="2257" w:type="dxa"/>
          </w:tcPr>
          <w:p w14:paraId="29B859F5" w14:textId="77777777" w:rsidR="00A81986" w:rsidRDefault="0067390B">
            <w:r>
              <w:rPr>
                <w:rFonts w:ascii="Arial" w:hAnsi="Arial"/>
                <w:sz w:val="18"/>
              </w:rPr>
              <w:t>GRI 305-2</w:t>
            </w:r>
          </w:p>
        </w:tc>
        <w:tc>
          <w:tcPr>
            <w:tcW w:w="2257" w:type="dxa"/>
          </w:tcPr>
          <w:p w14:paraId="205FE6D2" w14:textId="77777777" w:rsidR="00A81986" w:rsidRDefault="0067390B">
            <w:r>
              <w:rPr>
                <w:rFonts w:ascii="Arial" w:hAnsi="Arial"/>
                <w:sz w:val="18"/>
              </w:rPr>
              <w:t>305-2g</w:t>
            </w:r>
          </w:p>
        </w:tc>
        <w:tc>
          <w:tcPr>
            <w:tcW w:w="2257" w:type="dxa"/>
          </w:tcPr>
          <w:p w14:paraId="1A26BF76" w14:textId="77777777" w:rsidR="00A81986" w:rsidRDefault="0067390B">
            <w:r>
              <w:rPr>
                <w:rFonts w:ascii="Arial" w:hAnsi="Arial"/>
                <w:sz w:val="18"/>
              </w:rPr>
              <w:t xml:space="preserve">Standards, </w:t>
            </w:r>
            <w:r>
              <w:rPr>
                <w:rFonts w:ascii="Arial" w:hAnsi="Arial"/>
                <w:sz w:val="18"/>
              </w:rPr>
              <w:lastRenderedPageBreak/>
              <w:t>methodologies, assumptions, and/or calculation tools used</w:t>
            </w:r>
          </w:p>
        </w:tc>
        <w:tc>
          <w:tcPr>
            <w:tcW w:w="2257" w:type="dxa"/>
          </w:tcPr>
          <w:p w14:paraId="5B8BDC0B" w14:textId="77777777" w:rsidR="00A81986" w:rsidRDefault="0067390B">
            <w:r>
              <w:rPr>
                <w:rFonts w:ascii="Arial" w:hAnsi="Arial"/>
                <w:sz w:val="18"/>
              </w:rPr>
              <w:lastRenderedPageBreak/>
              <w:t>✅</w:t>
            </w:r>
            <w:r>
              <w:rPr>
                <w:rFonts w:ascii="Arial" w:hAnsi="Arial"/>
                <w:sz w:val="18"/>
              </w:rPr>
              <w:t xml:space="preserve"> GHG Protocol Scope </w:t>
            </w:r>
            <w:r>
              <w:rPr>
                <w:rFonts w:ascii="Arial" w:hAnsi="Arial"/>
                <w:sz w:val="18"/>
              </w:rPr>
              <w:lastRenderedPageBreak/>
              <w:t>2 Guidance (2015)</w:t>
            </w:r>
          </w:p>
        </w:tc>
      </w:tr>
      <w:tr w:rsidR="00A81986" w14:paraId="01184825" w14:textId="77777777">
        <w:trPr>
          <w:jc w:val="center"/>
        </w:trPr>
        <w:tc>
          <w:tcPr>
            <w:tcW w:w="2257" w:type="dxa"/>
            <w:shd w:val="clear" w:color="auto" w:fill="F2F6FC"/>
          </w:tcPr>
          <w:p w14:paraId="6143CBD6" w14:textId="77777777" w:rsidR="00A81986" w:rsidRDefault="0067390B">
            <w:r>
              <w:rPr>
                <w:rFonts w:ascii="Arial" w:hAnsi="Arial"/>
                <w:sz w:val="18"/>
              </w:rPr>
              <w:lastRenderedPageBreak/>
              <w:t>IFRS S2</w:t>
            </w:r>
          </w:p>
        </w:tc>
        <w:tc>
          <w:tcPr>
            <w:tcW w:w="2257" w:type="dxa"/>
            <w:shd w:val="clear" w:color="auto" w:fill="F2F6FC"/>
          </w:tcPr>
          <w:p w14:paraId="00EFC3C3" w14:textId="77777777" w:rsidR="00A81986" w:rsidRDefault="0067390B">
            <w:r>
              <w:rPr>
                <w:rFonts w:ascii="Arial" w:hAnsi="Arial"/>
                <w:sz w:val="18"/>
              </w:rPr>
              <w:t>Para 29(a)(ii)</w:t>
            </w:r>
          </w:p>
        </w:tc>
        <w:tc>
          <w:tcPr>
            <w:tcW w:w="2257" w:type="dxa"/>
            <w:shd w:val="clear" w:color="auto" w:fill="F2F6FC"/>
          </w:tcPr>
          <w:p w14:paraId="0935BC5A" w14:textId="77777777" w:rsidR="00A81986" w:rsidRDefault="0067390B">
            <w:r>
              <w:rPr>
                <w:rFonts w:ascii="Arial" w:hAnsi="Arial"/>
                <w:sz w:val="18"/>
              </w:rPr>
              <w:t>Absolute gross GHG emissions (Scope 2) in metric tons of CO₂ equivalent</w:t>
            </w:r>
          </w:p>
        </w:tc>
        <w:tc>
          <w:tcPr>
            <w:tcW w:w="2257" w:type="dxa"/>
            <w:shd w:val="clear" w:color="auto" w:fill="F2F6FC"/>
          </w:tcPr>
          <w:p w14:paraId="6D877820" w14:textId="77777777" w:rsidR="00A81986" w:rsidRDefault="0067390B">
            <w:r>
              <w:rPr>
                <w:rFonts w:ascii="Arial" w:hAnsi="Arial"/>
                <w:sz w:val="18"/>
              </w:rPr>
              <w:t>✅</w:t>
            </w:r>
            <w:r>
              <w:rPr>
                <w:rFonts w:ascii="Arial" w:hAnsi="Arial"/>
                <w:sz w:val="18"/>
              </w:rPr>
              <w:t xml:space="preserve"> Disclosed (both methods)</w:t>
            </w:r>
          </w:p>
        </w:tc>
      </w:tr>
      <w:tr w:rsidR="00A81986" w14:paraId="1B476835" w14:textId="77777777">
        <w:trPr>
          <w:jc w:val="center"/>
        </w:trPr>
        <w:tc>
          <w:tcPr>
            <w:tcW w:w="2257" w:type="dxa"/>
          </w:tcPr>
          <w:p w14:paraId="1B946D83" w14:textId="77777777" w:rsidR="00A81986" w:rsidRDefault="0067390B">
            <w:r>
              <w:rPr>
                <w:rFonts w:ascii="Arial" w:hAnsi="Arial"/>
                <w:sz w:val="18"/>
              </w:rPr>
              <w:t>ESRS E1</w:t>
            </w:r>
          </w:p>
        </w:tc>
        <w:tc>
          <w:tcPr>
            <w:tcW w:w="2257" w:type="dxa"/>
          </w:tcPr>
          <w:p w14:paraId="283A0BAA" w14:textId="77777777" w:rsidR="00A81986" w:rsidRDefault="0067390B">
            <w:r>
              <w:rPr>
                <w:rFonts w:ascii="Arial" w:hAnsi="Arial"/>
                <w:sz w:val="18"/>
              </w:rPr>
              <w:t>DR E1-6.46</w:t>
            </w:r>
          </w:p>
        </w:tc>
        <w:tc>
          <w:tcPr>
            <w:tcW w:w="2257" w:type="dxa"/>
          </w:tcPr>
          <w:p w14:paraId="55DE4C44" w14:textId="77777777" w:rsidR="00A81986" w:rsidRDefault="0067390B">
            <w:r>
              <w:rPr>
                <w:rFonts w:ascii="Arial" w:hAnsi="Arial"/>
                <w:sz w:val="18"/>
              </w:rPr>
              <w:t>Gross Scope 2 GHG emissions (location-based and market-based)</w:t>
            </w:r>
          </w:p>
        </w:tc>
        <w:tc>
          <w:tcPr>
            <w:tcW w:w="2257" w:type="dxa"/>
          </w:tcPr>
          <w:p w14:paraId="4C20A42E" w14:textId="77777777" w:rsidR="00A81986" w:rsidRDefault="0067390B">
            <w:r>
              <w:rPr>
                <w:rFonts w:ascii="Arial" w:hAnsi="Arial"/>
                <w:sz w:val="18"/>
              </w:rPr>
              <w:t>✅</w:t>
            </w:r>
            <w:r>
              <w:rPr>
                <w:rFonts w:ascii="Arial" w:hAnsi="Arial"/>
                <w:sz w:val="18"/>
              </w:rPr>
              <w:t xml:space="preserve"> Disclosed</w:t>
            </w:r>
          </w:p>
        </w:tc>
      </w:tr>
      <w:tr w:rsidR="00A81986" w14:paraId="234A7581" w14:textId="77777777">
        <w:trPr>
          <w:jc w:val="center"/>
        </w:trPr>
        <w:tc>
          <w:tcPr>
            <w:tcW w:w="2257" w:type="dxa"/>
            <w:shd w:val="clear" w:color="auto" w:fill="F2F6FC"/>
          </w:tcPr>
          <w:p w14:paraId="1D757786" w14:textId="77777777" w:rsidR="00A81986" w:rsidRDefault="0067390B">
            <w:r>
              <w:rPr>
                <w:rFonts w:ascii="Arial" w:hAnsi="Arial"/>
                <w:sz w:val="18"/>
              </w:rPr>
              <w:t>OJK PSPK</w:t>
            </w:r>
          </w:p>
        </w:tc>
        <w:tc>
          <w:tcPr>
            <w:tcW w:w="2257" w:type="dxa"/>
            <w:shd w:val="clear" w:color="auto" w:fill="F2F6FC"/>
          </w:tcPr>
          <w:p w14:paraId="3E7700FC" w14:textId="77777777" w:rsidR="00A81986" w:rsidRDefault="0067390B">
            <w:r>
              <w:rPr>
                <w:rFonts w:ascii="Arial" w:hAnsi="Arial"/>
                <w:sz w:val="18"/>
              </w:rPr>
              <w:t>Emisi Lingkup 2</w:t>
            </w:r>
          </w:p>
        </w:tc>
        <w:tc>
          <w:tcPr>
            <w:tcW w:w="2257" w:type="dxa"/>
            <w:shd w:val="clear" w:color="auto" w:fill="F2F6FC"/>
          </w:tcPr>
          <w:p w14:paraId="766D8AF3" w14:textId="77777777" w:rsidR="00A81986" w:rsidRDefault="0067390B">
            <w:r>
              <w:rPr>
                <w:rFonts w:ascii="Arial" w:hAnsi="Arial"/>
                <w:sz w:val="18"/>
              </w:rPr>
              <w:t>Emisi GRK tidak langsung dari konsumsi energi yang dibeli</w:t>
            </w:r>
          </w:p>
        </w:tc>
        <w:tc>
          <w:tcPr>
            <w:tcW w:w="2257" w:type="dxa"/>
            <w:shd w:val="clear" w:color="auto" w:fill="F2F6FC"/>
          </w:tcPr>
          <w:p w14:paraId="63789073" w14:textId="77777777" w:rsidR="00A81986" w:rsidRDefault="0067390B">
            <w:r>
              <w:rPr>
                <w:rFonts w:ascii="Arial" w:hAnsi="Arial"/>
                <w:sz w:val="18"/>
              </w:rPr>
              <w:t>✅</w:t>
            </w:r>
            <w:r>
              <w:rPr>
                <w:rFonts w:ascii="Arial" w:hAnsi="Arial"/>
                <w:sz w:val="18"/>
              </w:rPr>
              <w:t xml:space="preserve"> Disclosed</w:t>
            </w:r>
          </w:p>
        </w:tc>
      </w:tr>
    </w:tbl>
    <w:p w14:paraId="7A8A94A6" w14:textId="77777777" w:rsidR="00A81986" w:rsidRDefault="0067390B">
      <w:r>
        <w:rPr>
          <w:rFonts w:ascii="Arial" w:hAnsi="Arial"/>
          <w:i/>
          <w:sz w:val="16"/>
        </w:rPr>
        <w:t>Source: ⚠</w:t>
      </w:r>
      <w:r>
        <w:rPr>
          <w:rFonts w:ascii="Arial" w:hAnsi="Arial"/>
          <w:i/>
          <w:sz w:val="16"/>
        </w:rPr>
        <w:t>️</w:t>
      </w:r>
      <w:r>
        <w:rPr>
          <w:rFonts w:ascii="Arial" w:hAnsi="Arial"/>
          <w:i/>
          <w:sz w:val="16"/>
        </w:rPr>
        <w:t xml:space="preserve"> indicates partial compliance or data gap requiring action in subsequent reporting periods.</w:t>
      </w:r>
    </w:p>
    <w:p w14:paraId="3175ACC0" w14:textId="77777777" w:rsidR="00A81986" w:rsidRDefault="00A81986"/>
    <w:p w14:paraId="0A7112C0" w14:textId="77777777" w:rsidR="00A81986" w:rsidRDefault="0067390B">
      <w:pPr>
        <w:spacing w:after="160"/>
        <w:jc w:val="both"/>
      </w:pPr>
      <w:r>
        <w:rPr>
          <w:rFonts w:ascii="Arial" w:hAnsi="Arial"/>
          <w:i/>
          <w:color w:val="646464"/>
          <w:sz w:val="18"/>
        </w:rPr>
        <w:t>[Chart: Scope 2 Emissions — Location-Based vs Market-Based (2023-2024) — matplotlib layer not installed]</w:t>
      </w:r>
    </w:p>
    <w:p w14:paraId="2EE910CA" w14:textId="77777777" w:rsidR="00A81986" w:rsidRDefault="0067390B">
      <w:pPr>
        <w:spacing w:after="160"/>
        <w:jc w:val="both"/>
      </w:pPr>
      <w:r>
        <w:rPr>
          <w:rFonts w:ascii="Arial" w:hAnsi="Arial"/>
          <w:i/>
          <w:color w:val="646464"/>
          <w:sz w:val="18"/>
        </w:rPr>
        <w:t>[Chart: Renewable Electricity Coverage — Peer Comparison — matplotlib layer not installed]</w:t>
      </w:r>
    </w:p>
    <w:p w14:paraId="3E35E256" w14:textId="77777777" w:rsidR="00A81986" w:rsidRDefault="0067390B">
      <w:pPr>
        <w:spacing w:after="160"/>
        <w:jc w:val="both"/>
      </w:pPr>
      <w:r>
        <w:rPr>
          <w:rFonts w:ascii="Arial" w:hAnsi="Arial"/>
          <w:i/>
          <w:color w:val="646464"/>
          <w:sz w:val="18"/>
        </w:rPr>
        <w:t>[Chart: Scope 2 Reduction Potential — Recommended Actions (tCO₂e) — matplotlib layer not installed]</w:t>
      </w:r>
    </w:p>
    <w:p w14:paraId="3438C5A0" w14:textId="77777777" w:rsidR="00A81986" w:rsidRDefault="00A81986"/>
    <w:p w14:paraId="01025070" w14:textId="77777777" w:rsidR="00A81986" w:rsidRDefault="0067390B">
      <w:r>
        <w:rPr>
          <w:b/>
          <w:color w:val="4A7AB5"/>
          <w:sz w:val="24"/>
        </w:rPr>
        <w:t>Diagnostic Analysis</w:t>
      </w:r>
    </w:p>
    <w:p w14:paraId="50D48CD6" w14:textId="77777777" w:rsidR="00A81986" w:rsidRDefault="0067390B">
      <w:pPr>
        <w:spacing w:after="160"/>
        <w:jc w:val="both"/>
      </w:pPr>
      <w:r>
        <w:rPr>
          <w:rFonts w:ascii="Arial" w:hAnsi="Arial"/>
        </w:rPr>
        <w:t xml:space="preserve">The institution's Scope 2 emissions are driven entirely by grid electricity consumption, with no renewable procurement to reduce the market-based footprint. The 0.03% year-over-year increase reflects modest operational expansion (branch network growth) that was nearly offset by energy efficiency measures. However, the institution is not capitalizing on renewable electricity opportunities that peer banks have successfully deployed. The PLN grid emission factor has remained static at 0.7886 kgCO₂/kWh for two </w:t>
      </w:r>
      <w:r>
        <w:rPr>
          <w:rFonts w:ascii="Arial" w:hAnsi="Arial"/>
        </w:rPr>
        <w:t>consecutive years, indicating slow grid decarbonization in Indonesia. This means the institution cannot rely on passive grid improvements to reduce Scope 2 emissions and must pursue active procurement strategies.</w:t>
      </w:r>
    </w:p>
    <w:p w14:paraId="052BD7C5" w14:textId="77777777" w:rsidR="00A81986" w:rsidRDefault="0067390B">
      <w:r>
        <w:rPr>
          <w:b/>
        </w:rPr>
        <w:t>Root Causes:</w:t>
      </w:r>
    </w:p>
    <w:p w14:paraId="7E016054" w14:textId="77777777" w:rsidR="00A81986" w:rsidRDefault="0067390B">
      <w:pPr>
        <w:spacing w:after="160"/>
        <w:jc w:val="both"/>
      </w:pPr>
      <w:r>
        <w:rPr>
          <w:rFonts w:ascii="Arial" w:hAnsi="Arial"/>
        </w:rPr>
        <w:t>• No renewable electricity procurement strategy: 0% of consumption covered by RECs or PPAs, compared to DBS (62%) and BRI (solar installations across branch network)</w:t>
      </w:r>
    </w:p>
    <w:p w14:paraId="15D96676" w14:textId="77777777" w:rsidR="00A81986" w:rsidRDefault="0067390B">
      <w:pPr>
        <w:spacing w:after="160"/>
        <w:jc w:val="both"/>
      </w:pPr>
      <w:r>
        <w:rPr>
          <w:rFonts w:ascii="Arial" w:hAnsi="Arial"/>
        </w:rPr>
        <w:t>• Static grid emission factor: PLN grid at 0.7886 kgCO₂/kWh unchanged 2023-2024, limiting passive decarbonization potential</w:t>
      </w:r>
    </w:p>
    <w:p w14:paraId="503C7EBA" w14:textId="77777777" w:rsidR="00A81986" w:rsidRDefault="0067390B">
      <w:pPr>
        <w:spacing w:after="160"/>
        <w:jc w:val="both"/>
      </w:pPr>
      <w:r>
        <w:rPr>
          <w:rFonts w:ascii="Arial" w:hAnsi="Arial"/>
        </w:rPr>
        <w:t>• Operational expansion offsetting efficiency gains: Branch network growth increased absolute consumption, neutralizing LED retrofits and HVAC optimization</w:t>
      </w:r>
    </w:p>
    <w:p w14:paraId="3BD698D0" w14:textId="77777777" w:rsidR="00A81986" w:rsidRDefault="0067390B">
      <w:pPr>
        <w:spacing w:after="160"/>
        <w:jc w:val="both"/>
      </w:pPr>
      <w:r>
        <w:rPr>
          <w:rFonts w:ascii="Arial" w:hAnsi="Arial"/>
        </w:rPr>
        <w:t>• Lack of on-site renewable generation: No solar PV installations at high-consumption facilities (headquarters, data centers, regional hubs)</w:t>
      </w:r>
    </w:p>
    <w:p w14:paraId="32B124FA" w14:textId="77777777" w:rsidR="00A81986" w:rsidRDefault="0067390B">
      <w:r>
        <w:rPr>
          <w:b/>
        </w:rPr>
        <w:t>Risk Implications:</w:t>
      </w:r>
    </w:p>
    <w:p w14:paraId="50E45440" w14:textId="77777777" w:rsidR="00A81986" w:rsidRDefault="0067390B">
      <w:pPr>
        <w:spacing w:after="160"/>
        <w:jc w:val="both"/>
      </w:pPr>
      <w:r>
        <w:rPr>
          <w:rFonts w:ascii="Arial" w:hAnsi="Arial"/>
        </w:rPr>
        <w:lastRenderedPageBreak/>
        <w:t>• Regulatory risk: OJK POJK 51/2017 and SEOJK 16/2021 require financial institutions to manage environmental impacts. Failure to reduce Scope 2 emissions may trigger enhanced supervisory scrutiny as OJK strengthens ESG enforcement.</w:t>
      </w:r>
    </w:p>
    <w:p w14:paraId="6280F563" w14:textId="77777777" w:rsidR="00A81986" w:rsidRDefault="0067390B">
      <w:pPr>
        <w:spacing w:after="160"/>
        <w:jc w:val="both"/>
      </w:pPr>
      <w:r>
        <w:rPr>
          <w:rFonts w:ascii="Arial" w:hAnsi="Arial"/>
        </w:rPr>
        <w:t>• Reputational risk: Peer banks (DBS, BRI) are publicly disclosing renewable electricity achievements and emissions reductions. The institution's 0% renewable coverage creates unfavorable comparisons in investor ESG assessments (MSCI, Sustainalytics).</w:t>
      </w:r>
    </w:p>
    <w:p w14:paraId="0852C484" w14:textId="77777777" w:rsidR="00A81986" w:rsidRDefault="0067390B">
      <w:pPr>
        <w:spacing w:after="160"/>
        <w:jc w:val="both"/>
      </w:pPr>
      <w:r>
        <w:rPr>
          <w:rFonts w:ascii="Arial" w:hAnsi="Arial"/>
        </w:rPr>
        <w:t>• Financial risk: Delayed renewable procurement may result in higher costs as Indonesia's renewable energy market matures and early-mover advantages (favorable PPA pricing, REC availability) diminish. Estimated cost premium of 15-20% for late entrants based on regional market trends.</w:t>
      </w:r>
    </w:p>
    <w:p w14:paraId="6A499E7E" w14:textId="77777777" w:rsidR="00A81986" w:rsidRDefault="00A81986"/>
    <w:p w14:paraId="25523DDD" w14:textId="77777777" w:rsidR="00A81986" w:rsidRDefault="0067390B">
      <w:r>
        <w:rPr>
          <w:b/>
          <w:color w:val="1B5E20"/>
          <w:sz w:val="24"/>
        </w:rPr>
        <w:t>⚡</w:t>
      </w:r>
      <w:r>
        <w:rPr>
          <w:b/>
          <w:color w:val="1B5E20"/>
          <w:sz w:val="24"/>
        </w:rPr>
        <w:t xml:space="preserve"> Priority Actions</w:t>
      </w:r>
    </w:p>
    <w:p w14:paraId="5F1C04F3" w14:textId="77777777" w:rsidR="00A81986" w:rsidRDefault="0067390B">
      <w:r>
        <w:rPr>
          <w:b/>
        </w:rPr>
        <w:t>🔴</w:t>
      </w:r>
      <w:r>
        <w:rPr>
          <w:b/>
        </w:rPr>
        <w:t xml:space="preserve"> 1. Execute virtual power purchase agreement (VPPA) with Indonesian renewable generator to cover 25% of annual electricity consumption (approximately 14,150 MWh). Structure as 10-year fixed-price contract to hedge against grid tariff volatility and secure renewable energy certificates for market-based Scope 2 reduction.</w:t>
      </w:r>
      <w:r>
        <w:t xml:space="preserve"> (Q2 2025)</w:t>
      </w:r>
    </w:p>
    <w:p w14:paraId="50F6CAEC" w14:textId="77777777" w:rsidR="00A81986" w:rsidRDefault="0067390B">
      <w:pPr>
        <w:spacing w:after="160"/>
        <w:jc w:val="both"/>
      </w:pPr>
      <w:r>
        <w:rPr>
          <w:rFonts w:ascii="Arial" w:hAnsi="Arial"/>
        </w:rPr>
        <w:t xml:space="preserve">    → Expected: 11,153 tCO₂e reduction in market-based Scope 2 emissions (25% of current total)</w:t>
      </w:r>
    </w:p>
    <w:p w14:paraId="26D3A81D" w14:textId="77777777" w:rsidR="00A81986" w:rsidRDefault="0067390B">
      <w:pPr>
        <w:spacing w:after="160"/>
        <w:jc w:val="both"/>
      </w:pPr>
      <w:r>
        <w:rPr>
          <w:rFonts w:ascii="Arial" w:hAnsi="Arial"/>
          <w:i/>
          <w:color w:val="646464"/>
          <w:sz w:val="18"/>
        </w:rPr>
        <w:t xml:space="preserve">    → Ref: DBS Bank — 62% renewable coverage via PPAs, 12% YoY Scope 2 reduction</w:t>
      </w:r>
    </w:p>
    <w:p w14:paraId="20E514FD" w14:textId="77777777" w:rsidR="00A81986" w:rsidRDefault="0067390B">
      <w:r>
        <w:rPr>
          <w:b/>
        </w:rPr>
        <w:t>🔴</w:t>
      </w:r>
      <w:r>
        <w:rPr>
          <w:b/>
        </w:rPr>
        <w:t xml:space="preserve"> 2. Install 500 kWp rooftop solar PV systems across top 10 electricity-consuming facilities (headquarters, data centers, 8 regional hubs). Prioritize sites with high solar irradiance (&gt;4.5 kWh/m²/day) and stable roof structures. Include battery storage (200 kWh total) at data centers for load shifting and backup power.</w:t>
      </w:r>
      <w:r>
        <w:t xml:space="preserve"> (Q3 2025)</w:t>
      </w:r>
    </w:p>
    <w:p w14:paraId="0F62E715" w14:textId="77777777" w:rsidR="00A81986" w:rsidRDefault="0067390B">
      <w:pPr>
        <w:spacing w:after="160"/>
        <w:jc w:val="both"/>
      </w:pPr>
      <w:r>
        <w:rPr>
          <w:rFonts w:ascii="Arial" w:hAnsi="Arial"/>
        </w:rPr>
        <w:t xml:space="preserve">    → Expected: 552 tCO₂e annual reduction in location-based Scope 2 emissions; 700 MWh annual generation</w:t>
      </w:r>
    </w:p>
    <w:p w14:paraId="6047DACE" w14:textId="77777777" w:rsidR="00A81986" w:rsidRDefault="0067390B">
      <w:pPr>
        <w:spacing w:after="160"/>
        <w:jc w:val="both"/>
      </w:pPr>
      <w:r>
        <w:rPr>
          <w:rFonts w:ascii="Arial" w:hAnsi="Arial"/>
          <w:i/>
          <w:color w:val="646464"/>
          <w:sz w:val="18"/>
        </w:rPr>
        <w:t xml:space="preserve">    → Ref: Bank Rakyat Indonesia — 19.49% electricity savings via Green Network solar installations</w:t>
      </w:r>
    </w:p>
    <w:p w14:paraId="3FA20A4C" w14:textId="77777777" w:rsidR="00A81986" w:rsidRDefault="0067390B">
      <w:r>
        <w:rPr>
          <w:b/>
        </w:rPr>
        <w:t>🟡</w:t>
      </w:r>
      <w:r>
        <w:rPr>
          <w:b/>
        </w:rPr>
        <w:t xml:space="preserve"> 3. Deploy ISO 50001-aligned energy management system (EnMS) with real-time monitoring across all facilities &gt;1,000 m². Implement automated building management systems (BMS) for HVAC scheduling, LED retrofit program for remaining non-LED lighting (estimated 30% of fixtures), and elevator scheduling algorithms during low-traffic periods.</w:t>
      </w:r>
      <w:r>
        <w:t xml:space="preserve"> (Q4 2025)</w:t>
      </w:r>
    </w:p>
    <w:p w14:paraId="4671C9F2" w14:textId="77777777" w:rsidR="00A81986" w:rsidRDefault="0067390B">
      <w:pPr>
        <w:spacing w:after="160"/>
        <w:jc w:val="both"/>
      </w:pPr>
      <w:r>
        <w:rPr>
          <w:rFonts w:ascii="Arial" w:hAnsi="Arial"/>
        </w:rPr>
        <w:t xml:space="preserve">    → Expected: 2,231 tCO₂e annual reduction (5% consumption intensity improvement)</w:t>
      </w:r>
    </w:p>
    <w:p w14:paraId="165D1592" w14:textId="77777777" w:rsidR="00A81986" w:rsidRDefault="0067390B">
      <w:pPr>
        <w:spacing w:after="160"/>
        <w:jc w:val="both"/>
      </w:pPr>
      <w:r>
        <w:rPr>
          <w:rFonts w:ascii="Arial" w:hAnsi="Arial"/>
          <w:i/>
          <w:color w:val="646464"/>
          <w:sz w:val="18"/>
        </w:rPr>
        <w:t xml:space="preserve">    → Ref: Bank Rakyat Indonesia — Gold GBCI certification, Kaseya auto-shutdown systems</w:t>
      </w:r>
    </w:p>
    <w:p w14:paraId="0C112E8D" w14:textId="77777777" w:rsidR="00A81986" w:rsidRDefault="0067390B">
      <w:r>
        <w:rPr>
          <w:b/>
        </w:rPr>
        <w:t>🟡</w:t>
      </w:r>
      <w:r>
        <w:rPr>
          <w:b/>
        </w:rPr>
        <w:t xml:space="preserve"> 4. Establish base year for Scope 2 emissions (recommend 2024 as baseline) and set science-based target aligned with 1.5°C pathway. Submit letter of commitment to Science Based Targets initiative (SBTi) for Financial Institutions Net-Zero Standard, targeting 50% absolute Scope 2 reduction by 2030 (location-based method).</w:t>
      </w:r>
      <w:r>
        <w:t xml:space="preserve"> (Q1 2025)</w:t>
      </w:r>
    </w:p>
    <w:p w14:paraId="0A3386A8" w14:textId="77777777" w:rsidR="00A81986" w:rsidRDefault="0067390B">
      <w:pPr>
        <w:spacing w:after="160"/>
        <w:jc w:val="both"/>
      </w:pPr>
      <w:r>
        <w:rPr>
          <w:rFonts w:ascii="Arial" w:hAnsi="Arial"/>
        </w:rPr>
        <w:lastRenderedPageBreak/>
        <w:t xml:space="preserve">    → Expected: Establishes accountability framework for emissions reduction; aligns with peer commitments (BRI — first Indonesian FI with SBTi commitment)</w:t>
      </w:r>
    </w:p>
    <w:p w14:paraId="75C18DAE" w14:textId="77777777" w:rsidR="00A81986" w:rsidRDefault="0067390B">
      <w:pPr>
        <w:spacing w:after="160"/>
        <w:jc w:val="both"/>
      </w:pPr>
      <w:r>
        <w:rPr>
          <w:rFonts w:ascii="Arial" w:hAnsi="Arial"/>
          <w:i/>
          <w:color w:val="646464"/>
          <w:sz w:val="18"/>
        </w:rPr>
        <w:t xml:space="preserve">    → Ref: Bank Rakyat Indonesia — SBTi committed, portfolio temperature target 1.75°C by 2040</w:t>
      </w:r>
    </w:p>
    <w:p w14:paraId="1D654453" w14:textId="77777777" w:rsidR="00A81986" w:rsidRDefault="00A81986"/>
    <w:p w14:paraId="50FADE39" w14:textId="77777777" w:rsidR="00A81986" w:rsidRDefault="0067390B">
      <w:r>
        <w:rPr>
          <w:i/>
          <w:color w:val="3D6094"/>
          <w:sz w:val="18"/>
        </w:rPr>
        <w:t>Framework references: GRI 305-2a — Gross location-based Scope 2 GHG emissions; GRI 305-2b — Gross market-based Scope 2 GHG emissions; GRI 305-2e — Source of emission factors (PLN 2023); GRI 305-2f — Consolidation approach (operational control); GRI 305-2g — GHG Protocol Scope 2 Guidance (2015); IFRS S2 Para 29(a)(ii) — Absolute gross Scope 2 emissions; ESRS E1 DR E1-6.46 — Location-based and market-based Scope 2; OJK PSPK — Emisi GRK Tidak Langsung dari Energi (Lingkup 2)</w:t>
      </w:r>
    </w:p>
    <w:p w14:paraId="432C01C8" w14:textId="77777777" w:rsidR="00A81986" w:rsidRDefault="00A81986">
      <w:pPr>
        <w:pBdr>
          <w:bottom w:val="single" w:sz="6" w:space="1" w:color="999999"/>
        </w:pBdr>
        <w:spacing w:after="80"/>
      </w:pPr>
    </w:p>
    <w:p w14:paraId="0A4D1DAA" w14:textId="77777777" w:rsidR="00A81986" w:rsidRDefault="0067390B">
      <w:pPr>
        <w:spacing w:after="160"/>
        <w:jc w:val="both"/>
      </w:pPr>
      <w:r>
        <w:rPr>
          <w:rFonts w:ascii="Arial" w:hAnsi="Arial"/>
          <w:i/>
          <w:color w:val="646464"/>
          <w:sz w:val="18"/>
        </w:rPr>
        <w:t>These figures have not been subject to external assurance for the current reporting period.</w:t>
      </w:r>
    </w:p>
    <w:p w14:paraId="4B77CB96" w14:textId="77777777" w:rsidR="00A81986" w:rsidRDefault="0067390B">
      <w:pPr>
        <w:spacing w:after="160"/>
        <w:jc w:val="both"/>
      </w:pPr>
      <w:r>
        <w:rPr>
          <w:rFonts w:ascii="Arial" w:hAnsi="Arial"/>
          <w:i/>
          <w:color w:val="646464"/>
          <w:sz w:val="18"/>
        </w:rPr>
        <w:t>Grid emission factor of 0.7886 kgCO₂/kWh sourced from PT Perusahaan Listrik Negara (Persero) 2023 Sustainability Report, representing the national grid average for Indonesia.</w:t>
      </w:r>
    </w:p>
    <w:p w14:paraId="4DCA289C" w14:textId="77777777" w:rsidR="00A81986" w:rsidRDefault="0067390B">
      <w:pPr>
        <w:spacing w:after="160"/>
        <w:jc w:val="both"/>
      </w:pPr>
      <w:r>
        <w:rPr>
          <w:rFonts w:ascii="Arial" w:hAnsi="Arial"/>
          <w:i/>
          <w:color w:val="646464"/>
          <w:sz w:val="18"/>
        </w:rPr>
        <w:t>Market-based emissions differ from location-based by 1.358 tCO₂e due to residual mix adjustments applied to minor consumption segments where grid-average data was unavailable. No renewable energy certificates or power purchase agreements were active during the reporting period.</w:t>
      </w:r>
    </w:p>
    <w:p w14:paraId="5F84D0D2" w14:textId="77777777" w:rsidR="00A81986" w:rsidRDefault="0067390B">
      <w:pPr>
        <w:spacing w:after="160"/>
        <w:jc w:val="both"/>
      </w:pPr>
      <w:r>
        <w:rPr>
          <w:rFonts w:ascii="Arial" w:hAnsi="Arial"/>
          <w:i/>
          <w:color w:val="646464"/>
          <w:sz w:val="18"/>
        </w:rPr>
        <w:t>Scope 2 emissions per FTE calculated as 44,613.876 tCO₂e ÷ 24,997 FTE = 1.785 tCO₂e/FTE for 2024.</w:t>
      </w:r>
    </w:p>
    <w:p w14:paraId="054BF490" w14:textId="77777777" w:rsidR="00A81986" w:rsidRDefault="0067390B">
      <w:pPr>
        <w:pStyle w:val="Heading2"/>
        <w:spacing w:before="360" w:after="160"/>
      </w:pPr>
      <w:bookmarkStart w:id="7" w:name="_Toc232003728"/>
      <w:r>
        <w:rPr>
          <w:rFonts w:ascii="Arial" w:hAnsi="Arial"/>
          <w:color w:val="3D6094"/>
          <w:sz w:val="28"/>
        </w:rPr>
        <w:t>1.3 Financed Emissions — Scope 3 Category 15</w:t>
      </w:r>
      <w:bookmarkEnd w:id="7"/>
    </w:p>
    <w:tbl>
      <w:tblPr>
        <w:tblW w:w="0" w:type="auto"/>
        <w:jc w:val="center"/>
        <w:tblLook w:val="04A0" w:firstRow="1" w:lastRow="0" w:firstColumn="1" w:lastColumn="0" w:noHBand="0" w:noVBand="1"/>
      </w:tblPr>
      <w:tblGrid>
        <w:gridCol w:w="2257"/>
        <w:gridCol w:w="2257"/>
        <w:gridCol w:w="2257"/>
        <w:gridCol w:w="2257"/>
      </w:tblGrid>
      <w:tr w:rsidR="00A81986" w14:paraId="245ED48B" w14:textId="77777777">
        <w:trPr>
          <w:jc w:val="center"/>
        </w:trPr>
        <w:tc>
          <w:tcPr>
            <w:tcW w:w="2257" w:type="dxa"/>
          </w:tcPr>
          <w:p w14:paraId="4DF1FDD8" w14:textId="77777777" w:rsidR="00A81986" w:rsidRDefault="0067390B">
            <w:pPr>
              <w:jc w:val="center"/>
            </w:pPr>
            <w:r>
              <w:rPr>
                <w:b/>
                <w:color w:val="1B3A6B"/>
                <w:sz w:val="40"/>
              </w:rPr>
              <w:t>15.28</w:t>
            </w:r>
            <w:r>
              <w:rPr>
                <w:sz w:val="18"/>
              </w:rPr>
              <w:t xml:space="preserve"> million tCO₂e</w:t>
            </w:r>
            <w:r>
              <w:rPr>
                <w:b/>
                <w:color w:val="4CAF50"/>
                <w:sz w:val="20"/>
              </w:rPr>
              <w:br/>
              <w:t>↓1.90% YoY</w:t>
            </w:r>
          </w:p>
        </w:tc>
        <w:tc>
          <w:tcPr>
            <w:tcW w:w="2257" w:type="dxa"/>
          </w:tcPr>
          <w:p w14:paraId="57A436E3" w14:textId="77777777" w:rsidR="00A81986" w:rsidRDefault="0067390B">
            <w:pPr>
              <w:jc w:val="center"/>
            </w:pPr>
            <w:r>
              <w:rPr>
                <w:b/>
                <w:color w:val="1B3A6B"/>
                <w:sz w:val="40"/>
              </w:rPr>
              <w:t>3.36</w:t>
            </w:r>
            <w:r>
              <w:rPr>
                <w:sz w:val="18"/>
              </w:rPr>
              <w:t xml:space="preserve"> / 5.0</w:t>
            </w:r>
            <w:r>
              <w:rPr>
                <w:b/>
                <w:color w:val="F44336"/>
                <w:sz w:val="20"/>
              </w:rPr>
              <w:br/>
              <w:t>vs 3.0 peer target</w:t>
            </w:r>
          </w:p>
        </w:tc>
        <w:tc>
          <w:tcPr>
            <w:tcW w:w="2257" w:type="dxa"/>
          </w:tcPr>
          <w:p w14:paraId="51DA8020" w14:textId="77777777" w:rsidR="00A81986" w:rsidRDefault="0067390B">
            <w:pPr>
              <w:jc w:val="center"/>
            </w:pPr>
            <w:r>
              <w:rPr>
                <w:b/>
                <w:color w:val="1B3A6B"/>
                <w:sz w:val="40"/>
              </w:rPr>
              <w:t>85.9</w:t>
            </w:r>
            <w:r>
              <w:rPr>
                <w:sz w:val="18"/>
              </w:rPr>
              <w:t xml:space="preserve"> % of emissions</w:t>
            </w:r>
            <w:r>
              <w:rPr>
                <w:b/>
                <w:color w:val="F44336"/>
                <w:sz w:val="20"/>
              </w:rPr>
              <w:br/>
              <w:t>High transition risk</w:t>
            </w:r>
          </w:p>
        </w:tc>
        <w:tc>
          <w:tcPr>
            <w:tcW w:w="2257" w:type="dxa"/>
          </w:tcPr>
          <w:p w14:paraId="46722769" w14:textId="77777777" w:rsidR="00A81986" w:rsidRDefault="0067390B">
            <w:pPr>
              <w:jc w:val="center"/>
            </w:pPr>
            <w:r>
              <w:rPr>
                <w:b/>
                <w:color w:val="1B3A6B"/>
                <w:sz w:val="40"/>
              </w:rPr>
              <w:t>30.5</w:t>
            </w:r>
            <w:r>
              <w:rPr>
                <w:sz w:val="18"/>
              </w:rPr>
              <w:t xml:space="preserve"> %</w:t>
            </w:r>
            <w:r>
              <w:rPr>
                <w:b/>
                <w:color w:val="F44336"/>
                <w:sz w:val="20"/>
              </w:rPr>
              <w:br/>
              <w:t>vs &lt;20% peer best practice</w:t>
            </w:r>
          </w:p>
        </w:tc>
      </w:tr>
      <w:tr w:rsidR="00A81986" w14:paraId="1657E4E3" w14:textId="77777777">
        <w:trPr>
          <w:jc w:val="center"/>
        </w:trPr>
        <w:tc>
          <w:tcPr>
            <w:tcW w:w="2257" w:type="dxa"/>
          </w:tcPr>
          <w:p w14:paraId="650C9376" w14:textId="77777777" w:rsidR="00A81986" w:rsidRDefault="0067390B">
            <w:pPr>
              <w:jc w:val="center"/>
            </w:pPr>
            <w:r>
              <w:rPr>
                <w:color w:val="646464"/>
                <w:sz w:val="18"/>
              </w:rPr>
              <w:t>Financed Emissions (Weighted)</w:t>
            </w:r>
          </w:p>
        </w:tc>
        <w:tc>
          <w:tcPr>
            <w:tcW w:w="2257" w:type="dxa"/>
          </w:tcPr>
          <w:p w14:paraId="2E821433" w14:textId="77777777" w:rsidR="00A81986" w:rsidRDefault="0067390B">
            <w:pPr>
              <w:jc w:val="center"/>
            </w:pPr>
            <w:r>
              <w:rPr>
                <w:color w:val="646464"/>
                <w:sz w:val="18"/>
              </w:rPr>
              <w:t>PCAF Data Quality Score</w:t>
            </w:r>
          </w:p>
        </w:tc>
        <w:tc>
          <w:tcPr>
            <w:tcW w:w="2257" w:type="dxa"/>
          </w:tcPr>
          <w:p w14:paraId="4F4DA572" w14:textId="77777777" w:rsidR="00A81986" w:rsidRDefault="0067390B">
            <w:pPr>
              <w:jc w:val="center"/>
            </w:pPr>
            <w:r>
              <w:rPr>
                <w:color w:val="646464"/>
                <w:sz w:val="18"/>
              </w:rPr>
              <w:t>Top 3 Sectors Concentration</w:t>
            </w:r>
          </w:p>
        </w:tc>
        <w:tc>
          <w:tcPr>
            <w:tcW w:w="2257" w:type="dxa"/>
          </w:tcPr>
          <w:p w14:paraId="70D0D3BD" w14:textId="77777777" w:rsidR="00A81986" w:rsidRDefault="0067390B">
            <w:pPr>
              <w:jc w:val="center"/>
            </w:pPr>
            <w:r>
              <w:rPr>
                <w:color w:val="646464"/>
                <w:sz w:val="18"/>
              </w:rPr>
              <w:t>Gross-to-Weighted Gap</w:t>
            </w:r>
          </w:p>
        </w:tc>
      </w:tr>
    </w:tbl>
    <w:p w14:paraId="44F4893E" w14:textId="77777777" w:rsidR="00A81986" w:rsidRDefault="00A81986"/>
    <w:tbl>
      <w:tblPr>
        <w:tblW w:w="0" w:type="auto"/>
        <w:jc w:val="center"/>
        <w:tblLook w:val="04A0" w:firstRow="1" w:lastRow="0" w:firstColumn="1" w:lastColumn="0" w:noHBand="0" w:noVBand="1"/>
      </w:tblPr>
      <w:tblGrid>
        <w:gridCol w:w="9029"/>
      </w:tblGrid>
      <w:tr w:rsidR="00A81986" w14:paraId="704D1C09" w14:textId="77777777">
        <w:trPr>
          <w:jc w:val="center"/>
        </w:trPr>
        <w:tc>
          <w:tcPr>
            <w:tcW w:w="9029" w:type="dxa"/>
            <w:shd w:val="clear" w:color="auto" w:fill="FFF3E0"/>
          </w:tcPr>
          <w:p w14:paraId="7441F2E0" w14:textId="77777777" w:rsidR="00A81986" w:rsidRDefault="0067390B">
            <w:r>
              <w:rPr>
                <w:b/>
                <w:sz w:val="18"/>
              </w:rPr>
              <w:t>⚠</w:t>
            </w:r>
            <w:r>
              <w:rPr>
                <w:b/>
                <w:sz w:val="18"/>
              </w:rPr>
              <w:t>️</w:t>
            </w:r>
            <w:r>
              <w:rPr>
                <w:b/>
                <w:sz w:val="18"/>
              </w:rPr>
              <w:t xml:space="preserve"> KEY INSIGHT</w:t>
            </w:r>
          </w:p>
          <w:p w14:paraId="210F7609" w14:textId="77777777" w:rsidR="00A81986" w:rsidRDefault="0067390B">
            <w:r>
              <w:rPr>
                <w:b/>
              </w:rPr>
              <w:t>Financed emissions turun 4.07% namun data quality score 3.36 tertinggal vs BRI (SBTi-committed) dan BCA (sectoral policy)</w:t>
            </w:r>
          </w:p>
          <w:p w14:paraId="692FF815" w14:textId="77777777" w:rsidR="00A81986" w:rsidRDefault="0067390B">
            <w:r>
              <w:rPr>
                <w:sz w:val="20"/>
              </w:rPr>
              <w:t>Portfolio emission intensity membaik meskipun total outstanding naik 2.03%, namun 70% emisi terkonsentrasi di 3 sektor (Oil &amp; Gas 43.56%, Cement 26.45%, Steel 15.92%). PCAF score 3.36 menunjukkan ketergantungan pada estimasi sektor-rata, bukan data borrower aktual. Gap 30.5% antara gross dan weighted emissions mengindikasikan ketidakpastian pengukuran tinggi—peer terbaik mencapai &lt;20% gap melalui borrower engagement sistematis.</w:t>
            </w:r>
          </w:p>
        </w:tc>
      </w:tr>
    </w:tbl>
    <w:p w14:paraId="59398060" w14:textId="77777777" w:rsidR="00A81986" w:rsidRDefault="00A81986"/>
    <w:p w14:paraId="0DFECD80" w14:textId="77777777" w:rsidR="00A81986" w:rsidRDefault="0067390B">
      <w:pPr>
        <w:spacing w:after="160"/>
        <w:jc w:val="both"/>
      </w:pPr>
      <w:r>
        <w:rPr>
          <w:rFonts w:ascii="Arial" w:hAnsi="Arial"/>
        </w:rPr>
        <w:t xml:space="preserve">The institution's financed emissions for the 2024 reporting period totaled 21,976,797.3 tCO₂e on a gross basis and 15,280,174.14 tCO₂e on a confidence-weighted basis. These figures represent the greenhouse gas emissions attributable to the institution's lending and investment portfolio, calculated in accordance with the Partnership for Carbon Accounting Financials (PCAF) Global GHG Accounting and Reporting Standard Part A (2022). The </w:t>
      </w:r>
      <w:r>
        <w:rPr>
          <w:rFonts w:ascii="Arial" w:hAnsi="Arial"/>
        </w:rPr>
        <w:lastRenderedPageBreak/>
        <w:t>distinction between gross and weighted emissions reflects the application of data quality confidence factors, where weighted emissions account for the uncertainty inherent in estimation methodologies across different data quality tiers.</w:t>
      </w:r>
    </w:p>
    <w:p w14:paraId="031E6D30" w14:textId="77777777" w:rsidR="00A81986" w:rsidRDefault="0067390B">
      <w:pPr>
        <w:spacing w:after="160"/>
        <w:jc w:val="both"/>
      </w:pPr>
      <w:r>
        <w:rPr>
          <w:rFonts w:ascii="Arial" w:hAnsi="Arial"/>
          <w:i/>
        </w:rPr>
        <w:t xml:space="preserve">Financed emissions are calculated using the attribution factor methodology prescribed by PCAF. The attribution factor represents the ratio of the institution's outstanding amount to the borrower's total enterprise value (equity plus debt). For each financed entity, the institution's share of emissions equals the entity's total annual emissions multiplied by this attribution factor. The formula is: Financed Emissions = Borrower Emissions × (Outstanding Amount ÷ Total Enterprise Value). This approach ensures </w:t>
      </w:r>
      <w:r>
        <w:rPr>
          <w:rFonts w:ascii="Arial" w:hAnsi="Arial"/>
          <w:i/>
        </w:rPr>
        <w:t>proportional allocation of emissions responsibility across all creditors and equity holders of the financed entity.</w:t>
      </w:r>
    </w:p>
    <w:p w14:paraId="414F7B11" w14:textId="77777777" w:rsidR="00A81986" w:rsidRDefault="0067390B">
      <w:pPr>
        <w:spacing w:after="160"/>
        <w:jc w:val="both"/>
      </w:pPr>
      <w:r>
        <w:rPr>
          <w:rFonts w:ascii="Arial" w:hAnsi="Arial"/>
        </w:rPr>
        <w:t>The institution's financed emissions portfolio spans ten major economic sectors, with significant concentration in carbon-intensive industries. The Energy - Oil &amp; Gas sector accounts for 43.56% of total financed emissions despite representing only 6.66% of the portfolio by outstanding amount, reflecting the sector's inherent emission intensity of 93.242 tCO₂e per IDR billion. Manufacturing sectors collectively contribute 46.63% of financed emissions, with Cement (26.45%), Steel (15.92%), and Food &amp; Beverage</w:t>
      </w:r>
      <w:r>
        <w:rPr>
          <w:rFonts w:ascii="Arial" w:hAnsi="Arial"/>
        </w:rPr>
        <w:t xml:space="preserve"> (4.26%) as primary contributors. Lower-intensity sectors including Real Estate, Retail Trade, and Financial Services collectively represent 40.51% of portfolio value but only 2.91% of financed emissions.</w:t>
      </w:r>
    </w:p>
    <w:p w14:paraId="21311099" w14:textId="77777777" w:rsidR="00A81986" w:rsidRDefault="0067390B">
      <w:pPr>
        <w:spacing w:after="160"/>
        <w:jc w:val="both"/>
      </w:pPr>
      <w:r>
        <w:rPr>
          <w:rFonts w:ascii="Arial" w:hAnsi="Arial"/>
        </w:rPr>
        <w:t>The portfolio-weighted PCAF data quality score is 3.36 out of 5, indicating that emissions estimates are predominantly derived from economic activity-based methodologies (PCAF Score 3-4) rather than reported or physical activity-based data (Score 1-2). This score reflects the current data availability landscape in Indonesia, where borrower-level emissions reporting remains limited outside of publicly listed entities in regulated sectors. The Real Estate - Commercial sector demonstrates the highest data qual</w:t>
      </w:r>
      <w:r>
        <w:rPr>
          <w:rFonts w:ascii="Arial" w:hAnsi="Arial"/>
        </w:rPr>
        <w:t>ity at 3.27, while the Financial Services and Agriculture sectors score 3.42 and 3.41 respectively, indicating greater reliance on sector-average emission factors.</w:t>
      </w:r>
    </w:p>
    <w:p w14:paraId="72568AC1" w14:textId="77777777" w:rsidR="00A81986" w:rsidRDefault="0067390B">
      <w:pPr>
        <w:spacing w:after="160"/>
        <w:jc w:val="both"/>
      </w:pPr>
      <w:r>
        <w:rPr>
          <w:rFonts w:ascii="Arial" w:hAnsi="Arial"/>
        </w:rPr>
        <w:t>The distinction between gross and confidence-weighted emissions is critical for understanding measurement uncertainty. Gross emissions represent the total calculated emissions without adjustment for data quality, assuming all estimates are equally reliable. Confidence-weighted emissions apply a discount factor based on PCAF data quality scores, where Score 1 (verified reported emissions) receives 100% weight, while Score 5 (asset-level economic intensity estimates) receives approximately 60% weight. For thi</w:t>
      </w:r>
      <w:r>
        <w:rPr>
          <w:rFonts w:ascii="Arial" w:hAnsi="Arial"/>
        </w:rPr>
        <w:t>s portfolio, the weighted figure is 30.5% lower than gross emissions (15,280,174.14 tCO₂e versus 21,976,797.3 tCO₂e), indicating substantial estimation uncertainty. This gap underscores the need for enhanced borrower engagement to obtain primary emissions data and improve data quality scores toward the Score 1-2 range.</w:t>
      </w:r>
    </w:p>
    <w:p w14:paraId="7D1611C2" w14:textId="77777777" w:rsidR="00A81986" w:rsidRDefault="0067390B">
      <w:pPr>
        <w:spacing w:after="160"/>
        <w:jc w:val="both"/>
      </w:pPr>
      <w:r>
        <w:rPr>
          <w:rFonts w:ascii="Arial" w:hAnsi="Arial"/>
        </w:rPr>
        <w:t>Year-over-year comparison of financed emissions shows a 4.07% decrease from the prior year's gross emissions of 22,911,991.05 tCO₂e to the current 21,976,797.3 tCO₂e. On a confidence-weighted basis, emissions declined from 15,576,239.57 tCO₂e to 15,280,174.14 tCO₂e, representing a 1.90% reduction. This decline occurred despite a 2.03% increase in total portfolio outstanding, indicating improved portfolio emission intensity. The reduction is attributable to portfolio composition shifts and potential emission</w:t>
      </w:r>
      <w:r>
        <w:rPr>
          <w:rFonts w:ascii="Arial" w:hAnsi="Arial"/>
        </w:rPr>
        <w:t xml:space="preserve"> reductions by financed entities, though the absence of sector-level year-over-year data limits granular attribution analysis.</w:t>
      </w:r>
    </w:p>
    <w:p w14:paraId="52B44539" w14:textId="77777777" w:rsidR="00A81986" w:rsidRDefault="0067390B">
      <w:pPr>
        <w:spacing w:after="160"/>
        <w:jc w:val="both"/>
      </w:pPr>
      <w:r>
        <w:rPr>
          <w:rFonts w:ascii="Arial" w:hAnsi="Arial"/>
          <w:i/>
          <w:color w:val="555555"/>
        </w:rPr>
        <w:lastRenderedPageBreak/>
        <w:t>The institution has not yet committed to science-based targets for financed emissions reduction, nor has it established sector-specific decarbonization pathways aligned with the Paris Agreement's 1.5°C trajectory. Peer institutions in the Indonesian banking sector have begun this journey: BRI became the first Indonesian financial institution to submit a Science Based Targets initiative (SBTi) commitment letter in 2023, targeting a portfolio temperature alignment of 1.75°C by 2040. BCA has implemented sector</w:t>
      </w:r>
      <w:r>
        <w:rPr>
          <w:rFonts w:ascii="Arial" w:hAnsi="Arial"/>
          <w:i/>
          <w:color w:val="555555"/>
        </w:rPr>
        <w:t>al credit policies with enhanced due diligence requirements for coal, palm oil, cement, and oil &amp; gas exposures. DBS Group, while not Indonesia-domiciled, provides a regional benchmark with MSCI AA rating and 62% renewable energy procurement under RE100 membership. The institution's current trajectory places it behind these peers in climate ambition and disclosure maturity.</w:t>
      </w:r>
    </w:p>
    <w:p w14:paraId="68D07E63" w14:textId="77777777" w:rsidR="00A81986" w:rsidRDefault="0067390B">
      <w:r>
        <w:rPr>
          <w:rFonts w:ascii="Arial" w:hAnsi="Arial"/>
          <w:b/>
          <w:sz w:val="20"/>
        </w:rPr>
        <w:t>Table 1.3.1: Financed Emissions by Sector — Top 10 NACE Categories (2024)</w:t>
      </w:r>
    </w:p>
    <w:tbl>
      <w:tblPr>
        <w:tblW w:w="0" w:type="auto"/>
        <w:jc w:val="center"/>
        <w:tblLook w:val="04A0" w:firstRow="1" w:lastRow="0" w:firstColumn="1" w:lastColumn="0" w:noHBand="0" w:noVBand="1"/>
      </w:tblPr>
      <w:tblGrid>
        <w:gridCol w:w="1505"/>
        <w:gridCol w:w="1505"/>
        <w:gridCol w:w="1505"/>
        <w:gridCol w:w="1505"/>
        <w:gridCol w:w="1505"/>
        <w:gridCol w:w="1505"/>
      </w:tblGrid>
      <w:tr w:rsidR="00A81986" w14:paraId="1289BAD2" w14:textId="77777777">
        <w:trPr>
          <w:jc w:val="center"/>
        </w:trPr>
        <w:tc>
          <w:tcPr>
            <w:tcW w:w="1505" w:type="dxa"/>
            <w:shd w:val="clear" w:color="auto" w:fill="1B3A6B"/>
          </w:tcPr>
          <w:p w14:paraId="218D7E46" w14:textId="77777777" w:rsidR="00A81986" w:rsidRDefault="0067390B">
            <w:r>
              <w:rPr>
                <w:rFonts w:ascii="Arial" w:hAnsi="Arial"/>
                <w:b/>
                <w:color w:val="FFFFFF"/>
                <w:sz w:val="18"/>
              </w:rPr>
              <w:t>Sector</w:t>
            </w:r>
          </w:p>
        </w:tc>
        <w:tc>
          <w:tcPr>
            <w:tcW w:w="1505" w:type="dxa"/>
            <w:shd w:val="clear" w:color="auto" w:fill="1B3A6B"/>
          </w:tcPr>
          <w:p w14:paraId="4C3202E5" w14:textId="77777777" w:rsidR="00A81986" w:rsidRDefault="0067390B">
            <w:r>
              <w:rPr>
                <w:rFonts w:ascii="Arial" w:hAnsi="Arial"/>
                <w:b/>
                <w:color w:val="FFFFFF"/>
                <w:sz w:val="18"/>
              </w:rPr>
              <w:t>Gross Emissions (tCO₂e)</w:t>
            </w:r>
          </w:p>
        </w:tc>
        <w:tc>
          <w:tcPr>
            <w:tcW w:w="1505" w:type="dxa"/>
            <w:shd w:val="clear" w:color="auto" w:fill="1B3A6B"/>
          </w:tcPr>
          <w:p w14:paraId="35A5DF43" w14:textId="77777777" w:rsidR="00A81986" w:rsidRDefault="0067390B">
            <w:r>
              <w:rPr>
                <w:rFonts w:ascii="Arial" w:hAnsi="Arial"/>
                <w:b/>
                <w:color w:val="FFFFFF"/>
                <w:sz w:val="18"/>
              </w:rPr>
              <w:t>Weighted Emissions (tCO₂e)</w:t>
            </w:r>
          </w:p>
        </w:tc>
        <w:tc>
          <w:tcPr>
            <w:tcW w:w="1505" w:type="dxa"/>
            <w:shd w:val="clear" w:color="auto" w:fill="1B3A6B"/>
          </w:tcPr>
          <w:p w14:paraId="3772DF89" w14:textId="77777777" w:rsidR="00A81986" w:rsidRDefault="0067390B">
            <w:r>
              <w:rPr>
                <w:rFonts w:ascii="Arial" w:hAnsi="Arial"/>
                <w:b/>
                <w:color w:val="FFFFFF"/>
                <w:sz w:val="18"/>
              </w:rPr>
              <w:t>Portfolio Share (%)</w:t>
            </w:r>
          </w:p>
        </w:tc>
        <w:tc>
          <w:tcPr>
            <w:tcW w:w="1505" w:type="dxa"/>
            <w:shd w:val="clear" w:color="auto" w:fill="1B3A6B"/>
          </w:tcPr>
          <w:p w14:paraId="4CF66E93" w14:textId="77777777" w:rsidR="00A81986" w:rsidRDefault="0067390B">
            <w:r>
              <w:rPr>
                <w:rFonts w:ascii="Arial" w:hAnsi="Arial"/>
                <w:b/>
                <w:color w:val="FFFFFF"/>
                <w:sz w:val="18"/>
              </w:rPr>
              <w:t>Emission Intensity (tCO₂e/IDR bn)</w:t>
            </w:r>
          </w:p>
        </w:tc>
        <w:tc>
          <w:tcPr>
            <w:tcW w:w="1505" w:type="dxa"/>
            <w:shd w:val="clear" w:color="auto" w:fill="1B3A6B"/>
          </w:tcPr>
          <w:p w14:paraId="24FCD525" w14:textId="77777777" w:rsidR="00A81986" w:rsidRDefault="0067390B">
            <w:r>
              <w:rPr>
                <w:rFonts w:ascii="Arial" w:hAnsi="Arial"/>
                <w:b/>
                <w:color w:val="FFFFFF"/>
                <w:sz w:val="18"/>
              </w:rPr>
              <w:t>PCAF Score</w:t>
            </w:r>
          </w:p>
        </w:tc>
      </w:tr>
      <w:tr w:rsidR="00A81986" w14:paraId="330F5014" w14:textId="77777777">
        <w:trPr>
          <w:jc w:val="center"/>
        </w:trPr>
        <w:tc>
          <w:tcPr>
            <w:tcW w:w="1505" w:type="dxa"/>
          </w:tcPr>
          <w:p w14:paraId="48D0BD9D" w14:textId="77777777" w:rsidR="00A81986" w:rsidRDefault="0067390B">
            <w:r>
              <w:rPr>
                <w:rFonts w:ascii="Arial" w:hAnsi="Arial"/>
                <w:sz w:val="18"/>
              </w:rPr>
              <w:t>Energy - Oil &amp; Gas</w:t>
            </w:r>
          </w:p>
        </w:tc>
        <w:tc>
          <w:tcPr>
            <w:tcW w:w="1505" w:type="dxa"/>
          </w:tcPr>
          <w:p w14:paraId="0B071A23" w14:textId="77777777" w:rsidR="00A81986" w:rsidRDefault="0067390B">
            <w:pPr>
              <w:jc w:val="right"/>
            </w:pPr>
            <w:r>
              <w:rPr>
                <w:rFonts w:ascii="Arial" w:hAnsi="Arial"/>
                <w:sz w:val="18"/>
              </w:rPr>
              <w:t>9,573,144</w:t>
            </w:r>
          </w:p>
        </w:tc>
        <w:tc>
          <w:tcPr>
            <w:tcW w:w="1505" w:type="dxa"/>
          </w:tcPr>
          <w:p w14:paraId="2A826BFC" w14:textId="77777777" w:rsidR="00A81986" w:rsidRDefault="0067390B">
            <w:pPr>
              <w:jc w:val="right"/>
            </w:pPr>
            <w:r>
              <w:rPr>
                <w:rFonts w:ascii="Arial" w:hAnsi="Arial"/>
                <w:sz w:val="18"/>
              </w:rPr>
              <w:t>6,753,949</w:t>
            </w:r>
          </w:p>
        </w:tc>
        <w:tc>
          <w:tcPr>
            <w:tcW w:w="1505" w:type="dxa"/>
          </w:tcPr>
          <w:p w14:paraId="68757005" w14:textId="77777777" w:rsidR="00A81986" w:rsidRDefault="0067390B">
            <w:pPr>
              <w:jc w:val="right"/>
            </w:pPr>
            <w:r>
              <w:rPr>
                <w:rFonts w:ascii="Arial" w:hAnsi="Arial"/>
                <w:sz w:val="18"/>
              </w:rPr>
              <w:t>6.66</w:t>
            </w:r>
          </w:p>
        </w:tc>
        <w:tc>
          <w:tcPr>
            <w:tcW w:w="1505" w:type="dxa"/>
          </w:tcPr>
          <w:p w14:paraId="7C5768F9" w14:textId="77777777" w:rsidR="00A81986" w:rsidRDefault="0067390B">
            <w:pPr>
              <w:jc w:val="right"/>
            </w:pPr>
            <w:r>
              <w:rPr>
                <w:rFonts w:ascii="Arial" w:hAnsi="Arial"/>
                <w:sz w:val="18"/>
              </w:rPr>
              <w:t>93.24</w:t>
            </w:r>
          </w:p>
        </w:tc>
        <w:tc>
          <w:tcPr>
            <w:tcW w:w="1505" w:type="dxa"/>
          </w:tcPr>
          <w:p w14:paraId="40630DA5" w14:textId="77777777" w:rsidR="00A81986" w:rsidRDefault="0067390B">
            <w:pPr>
              <w:jc w:val="right"/>
            </w:pPr>
            <w:r>
              <w:rPr>
                <w:rFonts w:ascii="Arial" w:hAnsi="Arial"/>
                <w:sz w:val="18"/>
              </w:rPr>
              <w:t>3.32</w:t>
            </w:r>
          </w:p>
        </w:tc>
      </w:tr>
      <w:tr w:rsidR="00A81986" w14:paraId="1C35C1CD" w14:textId="77777777">
        <w:trPr>
          <w:jc w:val="center"/>
        </w:trPr>
        <w:tc>
          <w:tcPr>
            <w:tcW w:w="1505" w:type="dxa"/>
            <w:shd w:val="clear" w:color="auto" w:fill="F2F6FC"/>
          </w:tcPr>
          <w:p w14:paraId="6D7FE0A3" w14:textId="77777777" w:rsidR="00A81986" w:rsidRDefault="0067390B">
            <w:r>
              <w:rPr>
                <w:rFonts w:ascii="Arial" w:hAnsi="Arial"/>
                <w:sz w:val="18"/>
              </w:rPr>
              <w:t>Manufacturing - Cement</w:t>
            </w:r>
          </w:p>
        </w:tc>
        <w:tc>
          <w:tcPr>
            <w:tcW w:w="1505" w:type="dxa"/>
            <w:shd w:val="clear" w:color="auto" w:fill="F2F6FC"/>
          </w:tcPr>
          <w:p w14:paraId="5DD9B118" w14:textId="77777777" w:rsidR="00A81986" w:rsidRDefault="0067390B">
            <w:pPr>
              <w:jc w:val="right"/>
            </w:pPr>
            <w:r>
              <w:rPr>
                <w:rFonts w:ascii="Arial" w:hAnsi="Arial"/>
                <w:sz w:val="18"/>
              </w:rPr>
              <w:t>5,813,831</w:t>
            </w:r>
          </w:p>
        </w:tc>
        <w:tc>
          <w:tcPr>
            <w:tcW w:w="1505" w:type="dxa"/>
            <w:shd w:val="clear" w:color="auto" w:fill="F2F6FC"/>
          </w:tcPr>
          <w:p w14:paraId="036BC482" w14:textId="77777777" w:rsidR="00A81986" w:rsidRDefault="0067390B">
            <w:pPr>
              <w:jc w:val="right"/>
            </w:pPr>
            <w:r>
              <w:rPr>
                <w:rFonts w:ascii="Arial" w:hAnsi="Arial"/>
                <w:sz w:val="18"/>
              </w:rPr>
              <w:t>4,168,058</w:t>
            </w:r>
          </w:p>
        </w:tc>
        <w:tc>
          <w:tcPr>
            <w:tcW w:w="1505" w:type="dxa"/>
            <w:shd w:val="clear" w:color="auto" w:fill="F2F6FC"/>
          </w:tcPr>
          <w:p w14:paraId="585E5A16" w14:textId="77777777" w:rsidR="00A81986" w:rsidRDefault="0067390B">
            <w:pPr>
              <w:jc w:val="right"/>
            </w:pPr>
            <w:r>
              <w:rPr>
                <w:rFonts w:ascii="Arial" w:hAnsi="Arial"/>
                <w:sz w:val="18"/>
              </w:rPr>
              <w:t>6.99</w:t>
            </w:r>
          </w:p>
        </w:tc>
        <w:tc>
          <w:tcPr>
            <w:tcW w:w="1505" w:type="dxa"/>
            <w:shd w:val="clear" w:color="auto" w:fill="F2F6FC"/>
          </w:tcPr>
          <w:p w14:paraId="36B2D3F0" w14:textId="77777777" w:rsidR="00A81986" w:rsidRDefault="0067390B">
            <w:pPr>
              <w:jc w:val="right"/>
            </w:pPr>
            <w:r>
              <w:rPr>
                <w:rFonts w:ascii="Arial" w:hAnsi="Arial"/>
                <w:sz w:val="18"/>
              </w:rPr>
              <w:t>53.99</w:t>
            </w:r>
          </w:p>
        </w:tc>
        <w:tc>
          <w:tcPr>
            <w:tcW w:w="1505" w:type="dxa"/>
            <w:shd w:val="clear" w:color="auto" w:fill="F2F6FC"/>
          </w:tcPr>
          <w:p w14:paraId="05795EC8" w14:textId="77777777" w:rsidR="00A81986" w:rsidRDefault="0067390B">
            <w:pPr>
              <w:jc w:val="right"/>
            </w:pPr>
            <w:r>
              <w:rPr>
                <w:rFonts w:ascii="Arial" w:hAnsi="Arial"/>
                <w:sz w:val="18"/>
              </w:rPr>
              <w:t>3.40</w:t>
            </w:r>
          </w:p>
        </w:tc>
      </w:tr>
      <w:tr w:rsidR="00A81986" w14:paraId="5DD9A6F5" w14:textId="77777777">
        <w:trPr>
          <w:jc w:val="center"/>
        </w:trPr>
        <w:tc>
          <w:tcPr>
            <w:tcW w:w="1505" w:type="dxa"/>
          </w:tcPr>
          <w:p w14:paraId="55589037" w14:textId="77777777" w:rsidR="00A81986" w:rsidRDefault="0067390B">
            <w:r>
              <w:rPr>
                <w:rFonts w:ascii="Arial" w:hAnsi="Arial"/>
                <w:sz w:val="18"/>
              </w:rPr>
              <w:t>Manufacturing - Steel</w:t>
            </w:r>
          </w:p>
        </w:tc>
        <w:tc>
          <w:tcPr>
            <w:tcW w:w="1505" w:type="dxa"/>
          </w:tcPr>
          <w:p w14:paraId="41A17768" w14:textId="77777777" w:rsidR="00A81986" w:rsidRDefault="0067390B">
            <w:pPr>
              <w:jc w:val="right"/>
            </w:pPr>
            <w:r>
              <w:rPr>
                <w:rFonts w:ascii="Arial" w:hAnsi="Arial"/>
                <w:sz w:val="18"/>
              </w:rPr>
              <w:t>3,499,463</w:t>
            </w:r>
          </w:p>
        </w:tc>
        <w:tc>
          <w:tcPr>
            <w:tcW w:w="1505" w:type="dxa"/>
          </w:tcPr>
          <w:p w14:paraId="6A6E9A0F" w14:textId="77777777" w:rsidR="00A81986" w:rsidRDefault="0067390B">
            <w:pPr>
              <w:jc w:val="right"/>
            </w:pPr>
            <w:r>
              <w:rPr>
                <w:rFonts w:ascii="Arial" w:hAnsi="Arial"/>
                <w:sz w:val="18"/>
              </w:rPr>
              <w:t>2,228,740</w:t>
            </w:r>
          </w:p>
        </w:tc>
        <w:tc>
          <w:tcPr>
            <w:tcW w:w="1505" w:type="dxa"/>
          </w:tcPr>
          <w:p w14:paraId="30192404" w14:textId="77777777" w:rsidR="00A81986" w:rsidRDefault="0067390B">
            <w:pPr>
              <w:jc w:val="right"/>
            </w:pPr>
            <w:r>
              <w:rPr>
                <w:rFonts w:ascii="Arial" w:hAnsi="Arial"/>
                <w:sz w:val="18"/>
              </w:rPr>
              <w:t>7.05</w:t>
            </w:r>
          </w:p>
        </w:tc>
        <w:tc>
          <w:tcPr>
            <w:tcW w:w="1505" w:type="dxa"/>
          </w:tcPr>
          <w:p w14:paraId="4F877CE0" w14:textId="77777777" w:rsidR="00A81986" w:rsidRDefault="0067390B">
            <w:pPr>
              <w:jc w:val="right"/>
            </w:pPr>
            <w:r>
              <w:rPr>
                <w:rFonts w:ascii="Arial" w:hAnsi="Arial"/>
                <w:sz w:val="18"/>
              </w:rPr>
              <w:t>32.22</w:t>
            </w:r>
          </w:p>
        </w:tc>
        <w:tc>
          <w:tcPr>
            <w:tcW w:w="1505" w:type="dxa"/>
          </w:tcPr>
          <w:p w14:paraId="1BCE8BE6" w14:textId="77777777" w:rsidR="00A81986" w:rsidRDefault="0067390B">
            <w:pPr>
              <w:jc w:val="right"/>
            </w:pPr>
            <w:r>
              <w:rPr>
                <w:rFonts w:ascii="Arial" w:hAnsi="Arial"/>
                <w:sz w:val="18"/>
              </w:rPr>
              <w:t>3.35</w:t>
            </w:r>
          </w:p>
        </w:tc>
      </w:tr>
      <w:tr w:rsidR="00A81986" w14:paraId="73451476" w14:textId="77777777">
        <w:trPr>
          <w:jc w:val="center"/>
        </w:trPr>
        <w:tc>
          <w:tcPr>
            <w:tcW w:w="1505" w:type="dxa"/>
            <w:shd w:val="clear" w:color="auto" w:fill="F2F6FC"/>
          </w:tcPr>
          <w:p w14:paraId="01E6EBE2" w14:textId="77777777" w:rsidR="00A81986" w:rsidRDefault="0067390B">
            <w:r>
              <w:rPr>
                <w:rFonts w:ascii="Arial" w:hAnsi="Arial"/>
                <w:sz w:val="18"/>
              </w:rPr>
              <w:t>Transportation - Road</w:t>
            </w:r>
          </w:p>
        </w:tc>
        <w:tc>
          <w:tcPr>
            <w:tcW w:w="1505" w:type="dxa"/>
            <w:shd w:val="clear" w:color="auto" w:fill="F2F6FC"/>
          </w:tcPr>
          <w:p w14:paraId="12F3FFA4" w14:textId="77777777" w:rsidR="00A81986" w:rsidRDefault="0067390B">
            <w:pPr>
              <w:jc w:val="right"/>
            </w:pPr>
            <w:r>
              <w:rPr>
                <w:rFonts w:ascii="Arial" w:hAnsi="Arial"/>
                <w:sz w:val="18"/>
              </w:rPr>
              <w:t>1,227,020</w:t>
            </w:r>
          </w:p>
        </w:tc>
        <w:tc>
          <w:tcPr>
            <w:tcW w:w="1505" w:type="dxa"/>
            <w:shd w:val="clear" w:color="auto" w:fill="F2F6FC"/>
          </w:tcPr>
          <w:p w14:paraId="35A2F572" w14:textId="77777777" w:rsidR="00A81986" w:rsidRDefault="0067390B">
            <w:pPr>
              <w:jc w:val="right"/>
            </w:pPr>
            <w:r>
              <w:rPr>
                <w:rFonts w:ascii="Arial" w:hAnsi="Arial"/>
                <w:sz w:val="18"/>
              </w:rPr>
              <w:t>864,356</w:t>
            </w:r>
          </w:p>
        </w:tc>
        <w:tc>
          <w:tcPr>
            <w:tcW w:w="1505" w:type="dxa"/>
            <w:shd w:val="clear" w:color="auto" w:fill="F2F6FC"/>
          </w:tcPr>
          <w:p w14:paraId="47AEF01A" w14:textId="77777777" w:rsidR="00A81986" w:rsidRDefault="0067390B">
            <w:pPr>
              <w:jc w:val="right"/>
            </w:pPr>
            <w:r>
              <w:rPr>
                <w:rFonts w:ascii="Arial" w:hAnsi="Arial"/>
                <w:sz w:val="18"/>
              </w:rPr>
              <w:t>10.09</w:t>
            </w:r>
          </w:p>
        </w:tc>
        <w:tc>
          <w:tcPr>
            <w:tcW w:w="1505" w:type="dxa"/>
            <w:shd w:val="clear" w:color="auto" w:fill="F2F6FC"/>
          </w:tcPr>
          <w:p w14:paraId="1D3DFF8C" w14:textId="77777777" w:rsidR="00A81986" w:rsidRDefault="0067390B">
            <w:pPr>
              <w:jc w:val="right"/>
            </w:pPr>
            <w:r>
              <w:rPr>
                <w:rFonts w:ascii="Arial" w:hAnsi="Arial"/>
                <w:sz w:val="18"/>
              </w:rPr>
              <w:t>7.89</w:t>
            </w:r>
          </w:p>
        </w:tc>
        <w:tc>
          <w:tcPr>
            <w:tcW w:w="1505" w:type="dxa"/>
            <w:shd w:val="clear" w:color="auto" w:fill="F2F6FC"/>
          </w:tcPr>
          <w:p w14:paraId="6E815920" w14:textId="77777777" w:rsidR="00A81986" w:rsidRDefault="0067390B">
            <w:pPr>
              <w:jc w:val="right"/>
            </w:pPr>
            <w:r>
              <w:rPr>
                <w:rFonts w:ascii="Arial" w:hAnsi="Arial"/>
                <w:sz w:val="18"/>
              </w:rPr>
              <w:t>3.36</w:t>
            </w:r>
          </w:p>
        </w:tc>
      </w:tr>
      <w:tr w:rsidR="00A81986" w14:paraId="65CB3A1A" w14:textId="77777777">
        <w:trPr>
          <w:jc w:val="center"/>
        </w:trPr>
        <w:tc>
          <w:tcPr>
            <w:tcW w:w="1505" w:type="dxa"/>
          </w:tcPr>
          <w:p w14:paraId="3C2EEC2D" w14:textId="77777777" w:rsidR="00A81986" w:rsidRDefault="0067390B">
            <w:r>
              <w:rPr>
                <w:rFonts w:ascii="Arial" w:hAnsi="Arial"/>
                <w:sz w:val="18"/>
              </w:rPr>
              <w:t>Manufacturing - Food &amp; Beverage</w:t>
            </w:r>
          </w:p>
        </w:tc>
        <w:tc>
          <w:tcPr>
            <w:tcW w:w="1505" w:type="dxa"/>
          </w:tcPr>
          <w:p w14:paraId="6F27572E" w14:textId="77777777" w:rsidR="00A81986" w:rsidRDefault="0067390B">
            <w:pPr>
              <w:jc w:val="right"/>
            </w:pPr>
            <w:r>
              <w:rPr>
                <w:rFonts w:ascii="Arial" w:hAnsi="Arial"/>
                <w:sz w:val="18"/>
              </w:rPr>
              <w:t>936,111</w:t>
            </w:r>
          </w:p>
        </w:tc>
        <w:tc>
          <w:tcPr>
            <w:tcW w:w="1505" w:type="dxa"/>
          </w:tcPr>
          <w:p w14:paraId="534881EF" w14:textId="77777777" w:rsidR="00A81986" w:rsidRDefault="0067390B">
            <w:pPr>
              <w:jc w:val="right"/>
            </w:pPr>
            <w:r>
              <w:rPr>
                <w:rFonts w:ascii="Arial" w:hAnsi="Arial"/>
                <w:sz w:val="18"/>
              </w:rPr>
              <w:t>653,414</w:t>
            </w:r>
          </w:p>
        </w:tc>
        <w:tc>
          <w:tcPr>
            <w:tcW w:w="1505" w:type="dxa"/>
          </w:tcPr>
          <w:p w14:paraId="1FADA257" w14:textId="77777777" w:rsidR="00A81986" w:rsidRDefault="0067390B">
            <w:pPr>
              <w:jc w:val="right"/>
            </w:pPr>
            <w:r>
              <w:rPr>
                <w:rFonts w:ascii="Arial" w:hAnsi="Arial"/>
                <w:sz w:val="18"/>
              </w:rPr>
              <w:t>10.97</w:t>
            </w:r>
          </w:p>
        </w:tc>
        <w:tc>
          <w:tcPr>
            <w:tcW w:w="1505" w:type="dxa"/>
          </w:tcPr>
          <w:p w14:paraId="6339A863" w14:textId="77777777" w:rsidR="00A81986" w:rsidRDefault="0067390B">
            <w:pPr>
              <w:jc w:val="right"/>
            </w:pPr>
            <w:r>
              <w:rPr>
                <w:rFonts w:ascii="Arial" w:hAnsi="Arial"/>
                <w:sz w:val="18"/>
              </w:rPr>
              <w:t>5.53</w:t>
            </w:r>
          </w:p>
        </w:tc>
        <w:tc>
          <w:tcPr>
            <w:tcW w:w="1505" w:type="dxa"/>
          </w:tcPr>
          <w:p w14:paraId="35FDD46D" w14:textId="77777777" w:rsidR="00A81986" w:rsidRDefault="0067390B">
            <w:pPr>
              <w:jc w:val="right"/>
            </w:pPr>
            <w:r>
              <w:rPr>
                <w:rFonts w:ascii="Arial" w:hAnsi="Arial"/>
                <w:sz w:val="18"/>
              </w:rPr>
              <w:t>3.35</w:t>
            </w:r>
          </w:p>
        </w:tc>
      </w:tr>
      <w:tr w:rsidR="00A81986" w14:paraId="28F0F39F" w14:textId="77777777">
        <w:trPr>
          <w:jc w:val="center"/>
        </w:trPr>
        <w:tc>
          <w:tcPr>
            <w:tcW w:w="1505" w:type="dxa"/>
            <w:shd w:val="clear" w:color="auto" w:fill="F2F6FC"/>
          </w:tcPr>
          <w:p w14:paraId="4080F5DA" w14:textId="77777777" w:rsidR="00A81986" w:rsidRDefault="0067390B">
            <w:r>
              <w:rPr>
                <w:rFonts w:ascii="Arial" w:hAnsi="Arial"/>
                <w:sz w:val="18"/>
              </w:rPr>
              <w:t>Agriculture</w:t>
            </w:r>
          </w:p>
        </w:tc>
        <w:tc>
          <w:tcPr>
            <w:tcW w:w="1505" w:type="dxa"/>
            <w:shd w:val="clear" w:color="auto" w:fill="F2F6FC"/>
          </w:tcPr>
          <w:p w14:paraId="2E647015" w14:textId="77777777" w:rsidR="00A81986" w:rsidRDefault="0067390B">
            <w:pPr>
              <w:jc w:val="right"/>
            </w:pPr>
            <w:r>
              <w:rPr>
                <w:rFonts w:ascii="Arial" w:hAnsi="Arial"/>
                <w:sz w:val="18"/>
              </w:rPr>
              <w:t>288,493</w:t>
            </w:r>
          </w:p>
        </w:tc>
        <w:tc>
          <w:tcPr>
            <w:tcW w:w="1505" w:type="dxa"/>
            <w:shd w:val="clear" w:color="auto" w:fill="F2F6FC"/>
          </w:tcPr>
          <w:p w14:paraId="5E2C9ED5" w14:textId="77777777" w:rsidR="00A81986" w:rsidRDefault="0067390B">
            <w:pPr>
              <w:jc w:val="right"/>
            </w:pPr>
            <w:r>
              <w:rPr>
                <w:rFonts w:ascii="Arial" w:hAnsi="Arial"/>
                <w:sz w:val="18"/>
              </w:rPr>
              <w:t>183,548</w:t>
            </w:r>
          </w:p>
        </w:tc>
        <w:tc>
          <w:tcPr>
            <w:tcW w:w="1505" w:type="dxa"/>
            <w:shd w:val="clear" w:color="auto" w:fill="F2F6FC"/>
          </w:tcPr>
          <w:p w14:paraId="70D63CF9" w14:textId="77777777" w:rsidR="00A81986" w:rsidRDefault="0067390B">
            <w:pPr>
              <w:jc w:val="right"/>
            </w:pPr>
            <w:r>
              <w:rPr>
                <w:rFonts w:ascii="Arial" w:hAnsi="Arial"/>
                <w:sz w:val="18"/>
              </w:rPr>
              <w:t>7.71</w:t>
            </w:r>
          </w:p>
        </w:tc>
        <w:tc>
          <w:tcPr>
            <w:tcW w:w="1505" w:type="dxa"/>
            <w:shd w:val="clear" w:color="auto" w:fill="F2F6FC"/>
          </w:tcPr>
          <w:p w14:paraId="65EE165D" w14:textId="77777777" w:rsidR="00A81986" w:rsidRDefault="0067390B">
            <w:pPr>
              <w:jc w:val="right"/>
            </w:pPr>
            <w:r>
              <w:rPr>
                <w:rFonts w:ascii="Arial" w:hAnsi="Arial"/>
                <w:sz w:val="18"/>
              </w:rPr>
              <w:t>2.43</w:t>
            </w:r>
          </w:p>
        </w:tc>
        <w:tc>
          <w:tcPr>
            <w:tcW w:w="1505" w:type="dxa"/>
            <w:shd w:val="clear" w:color="auto" w:fill="F2F6FC"/>
          </w:tcPr>
          <w:p w14:paraId="79DCDC00" w14:textId="77777777" w:rsidR="00A81986" w:rsidRDefault="0067390B">
            <w:pPr>
              <w:jc w:val="right"/>
            </w:pPr>
            <w:r>
              <w:rPr>
                <w:rFonts w:ascii="Arial" w:hAnsi="Arial"/>
                <w:sz w:val="18"/>
              </w:rPr>
              <w:t>3.41</w:t>
            </w:r>
          </w:p>
        </w:tc>
      </w:tr>
      <w:tr w:rsidR="00A81986" w14:paraId="79D0F984" w14:textId="77777777">
        <w:trPr>
          <w:jc w:val="center"/>
        </w:trPr>
        <w:tc>
          <w:tcPr>
            <w:tcW w:w="1505" w:type="dxa"/>
          </w:tcPr>
          <w:p w14:paraId="3EBEEBE9" w14:textId="77777777" w:rsidR="00A81986" w:rsidRDefault="0067390B">
            <w:r>
              <w:rPr>
                <w:rFonts w:ascii="Arial" w:hAnsi="Arial"/>
                <w:sz w:val="18"/>
              </w:rPr>
              <w:t>Real Estate - Commercial</w:t>
            </w:r>
          </w:p>
        </w:tc>
        <w:tc>
          <w:tcPr>
            <w:tcW w:w="1505" w:type="dxa"/>
          </w:tcPr>
          <w:p w14:paraId="3D6D189F" w14:textId="77777777" w:rsidR="00A81986" w:rsidRDefault="0067390B">
            <w:pPr>
              <w:jc w:val="right"/>
            </w:pPr>
            <w:r>
              <w:rPr>
                <w:rFonts w:ascii="Arial" w:hAnsi="Arial"/>
                <w:sz w:val="18"/>
              </w:rPr>
              <w:t>231,235</w:t>
            </w:r>
          </w:p>
        </w:tc>
        <w:tc>
          <w:tcPr>
            <w:tcW w:w="1505" w:type="dxa"/>
          </w:tcPr>
          <w:p w14:paraId="1D565079" w14:textId="77777777" w:rsidR="00A81986" w:rsidRDefault="0067390B">
            <w:pPr>
              <w:jc w:val="right"/>
            </w:pPr>
            <w:r>
              <w:rPr>
                <w:rFonts w:ascii="Arial" w:hAnsi="Arial"/>
                <w:sz w:val="18"/>
              </w:rPr>
              <w:t>158,419</w:t>
            </w:r>
          </w:p>
        </w:tc>
        <w:tc>
          <w:tcPr>
            <w:tcW w:w="1505" w:type="dxa"/>
          </w:tcPr>
          <w:p w14:paraId="1359FB17" w14:textId="77777777" w:rsidR="00A81986" w:rsidRDefault="0067390B">
            <w:pPr>
              <w:jc w:val="right"/>
            </w:pPr>
            <w:r>
              <w:rPr>
                <w:rFonts w:ascii="Arial" w:hAnsi="Arial"/>
                <w:sz w:val="18"/>
              </w:rPr>
              <w:t>16.27</w:t>
            </w:r>
          </w:p>
        </w:tc>
        <w:tc>
          <w:tcPr>
            <w:tcW w:w="1505" w:type="dxa"/>
          </w:tcPr>
          <w:p w14:paraId="7E025F9E" w14:textId="77777777" w:rsidR="00A81986" w:rsidRDefault="0067390B">
            <w:pPr>
              <w:jc w:val="right"/>
            </w:pPr>
            <w:r>
              <w:rPr>
                <w:rFonts w:ascii="Arial" w:hAnsi="Arial"/>
                <w:sz w:val="18"/>
              </w:rPr>
              <w:t>0.92</w:t>
            </w:r>
          </w:p>
        </w:tc>
        <w:tc>
          <w:tcPr>
            <w:tcW w:w="1505" w:type="dxa"/>
          </w:tcPr>
          <w:p w14:paraId="3C1B2E6E" w14:textId="77777777" w:rsidR="00A81986" w:rsidRDefault="0067390B">
            <w:pPr>
              <w:jc w:val="right"/>
            </w:pPr>
            <w:r>
              <w:rPr>
                <w:rFonts w:ascii="Arial" w:hAnsi="Arial"/>
                <w:sz w:val="18"/>
              </w:rPr>
              <w:t>3.27</w:t>
            </w:r>
          </w:p>
        </w:tc>
      </w:tr>
      <w:tr w:rsidR="00A81986" w14:paraId="1C161CCD" w14:textId="77777777">
        <w:trPr>
          <w:jc w:val="center"/>
        </w:trPr>
        <w:tc>
          <w:tcPr>
            <w:tcW w:w="1505" w:type="dxa"/>
            <w:shd w:val="clear" w:color="auto" w:fill="F2F6FC"/>
          </w:tcPr>
          <w:p w14:paraId="610128B3" w14:textId="77777777" w:rsidR="00A81986" w:rsidRDefault="0067390B">
            <w:r>
              <w:rPr>
                <w:rFonts w:ascii="Arial" w:hAnsi="Arial"/>
                <w:sz w:val="18"/>
              </w:rPr>
              <w:t>Retail Trade</w:t>
            </w:r>
          </w:p>
        </w:tc>
        <w:tc>
          <w:tcPr>
            <w:tcW w:w="1505" w:type="dxa"/>
            <w:shd w:val="clear" w:color="auto" w:fill="F2F6FC"/>
          </w:tcPr>
          <w:p w14:paraId="04833CAA" w14:textId="77777777" w:rsidR="00A81986" w:rsidRDefault="0067390B">
            <w:pPr>
              <w:jc w:val="right"/>
            </w:pPr>
            <w:r>
              <w:rPr>
                <w:rFonts w:ascii="Arial" w:hAnsi="Arial"/>
                <w:sz w:val="18"/>
              </w:rPr>
              <w:t>226,341</w:t>
            </w:r>
          </w:p>
        </w:tc>
        <w:tc>
          <w:tcPr>
            <w:tcW w:w="1505" w:type="dxa"/>
            <w:shd w:val="clear" w:color="auto" w:fill="F2F6FC"/>
          </w:tcPr>
          <w:p w14:paraId="39BAECDF" w14:textId="77777777" w:rsidR="00A81986" w:rsidRDefault="0067390B">
            <w:pPr>
              <w:jc w:val="right"/>
            </w:pPr>
            <w:r>
              <w:rPr>
                <w:rFonts w:ascii="Arial" w:hAnsi="Arial"/>
                <w:sz w:val="18"/>
              </w:rPr>
              <w:t>140,813</w:t>
            </w:r>
          </w:p>
        </w:tc>
        <w:tc>
          <w:tcPr>
            <w:tcW w:w="1505" w:type="dxa"/>
            <w:shd w:val="clear" w:color="auto" w:fill="F2F6FC"/>
          </w:tcPr>
          <w:p w14:paraId="531DF9CF" w14:textId="77777777" w:rsidR="00A81986" w:rsidRDefault="0067390B">
            <w:pPr>
              <w:jc w:val="right"/>
            </w:pPr>
            <w:r>
              <w:rPr>
                <w:rFonts w:ascii="Arial" w:hAnsi="Arial"/>
                <w:sz w:val="18"/>
              </w:rPr>
              <w:t>9.92</w:t>
            </w:r>
          </w:p>
        </w:tc>
        <w:tc>
          <w:tcPr>
            <w:tcW w:w="1505" w:type="dxa"/>
            <w:shd w:val="clear" w:color="auto" w:fill="F2F6FC"/>
          </w:tcPr>
          <w:p w14:paraId="40054906" w14:textId="77777777" w:rsidR="00A81986" w:rsidRDefault="0067390B">
            <w:pPr>
              <w:jc w:val="right"/>
            </w:pPr>
            <w:r>
              <w:rPr>
                <w:rFonts w:ascii="Arial" w:hAnsi="Arial"/>
                <w:sz w:val="18"/>
              </w:rPr>
              <w:t>1.48</w:t>
            </w:r>
          </w:p>
        </w:tc>
        <w:tc>
          <w:tcPr>
            <w:tcW w:w="1505" w:type="dxa"/>
            <w:shd w:val="clear" w:color="auto" w:fill="F2F6FC"/>
          </w:tcPr>
          <w:p w14:paraId="25CF4851" w14:textId="77777777" w:rsidR="00A81986" w:rsidRDefault="0067390B">
            <w:pPr>
              <w:jc w:val="right"/>
            </w:pPr>
            <w:r>
              <w:rPr>
                <w:rFonts w:ascii="Arial" w:hAnsi="Arial"/>
                <w:sz w:val="18"/>
              </w:rPr>
              <w:t>3.21</w:t>
            </w:r>
          </w:p>
        </w:tc>
      </w:tr>
      <w:tr w:rsidR="00A81986" w14:paraId="6155E3AC" w14:textId="77777777">
        <w:trPr>
          <w:jc w:val="center"/>
        </w:trPr>
        <w:tc>
          <w:tcPr>
            <w:tcW w:w="1505" w:type="dxa"/>
          </w:tcPr>
          <w:p w14:paraId="175BA1FE" w14:textId="77777777" w:rsidR="00A81986" w:rsidRDefault="0067390B">
            <w:r>
              <w:rPr>
                <w:rFonts w:ascii="Arial" w:hAnsi="Arial"/>
                <w:sz w:val="18"/>
              </w:rPr>
              <w:t>Real Estate - Residential</w:t>
            </w:r>
          </w:p>
        </w:tc>
        <w:tc>
          <w:tcPr>
            <w:tcW w:w="1505" w:type="dxa"/>
          </w:tcPr>
          <w:p w14:paraId="3162459F" w14:textId="77777777" w:rsidR="00A81986" w:rsidRDefault="0067390B">
            <w:pPr>
              <w:jc w:val="right"/>
            </w:pPr>
            <w:r>
              <w:rPr>
                <w:rFonts w:ascii="Arial" w:hAnsi="Arial"/>
                <w:sz w:val="18"/>
              </w:rPr>
              <w:t>107,465</w:t>
            </w:r>
          </w:p>
        </w:tc>
        <w:tc>
          <w:tcPr>
            <w:tcW w:w="1505" w:type="dxa"/>
          </w:tcPr>
          <w:p w14:paraId="2215AF05" w14:textId="77777777" w:rsidR="00A81986" w:rsidRDefault="0067390B">
            <w:pPr>
              <w:jc w:val="right"/>
            </w:pPr>
            <w:r>
              <w:rPr>
                <w:rFonts w:ascii="Arial" w:hAnsi="Arial"/>
                <w:sz w:val="18"/>
              </w:rPr>
              <w:t>79,159</w:t>
            </w:r>
          </w:p>
        </w:tc>
        <w:tc>
          <w:tcPr>
            <w:tcW w:w="1505" w:type="dxa"/>
          </w:tcPr>
          <w:p w14:paraId="34E80685" w14:textId="77777777" w:rsidR="00A81986" w:rsidRDefault="0067390B">
            <w:pPr>
              <w:jc w:val="right"/>
            </w:pPr>
            <w:r>
              <w:rPr>
                <w:rFonts w:ascii="Arial" w:hAnsi="Arial"/>
                <w:sz w:val="18"/>
              </w:rPr>
              <w:t>10.93</w:t>
            </w:r>
          </w:p>
        </w:tc>
        <w:tc>
          <w:tcPr>
            <w:tcW w:w="1505" w:type="dxa"/>
          </w:tcPr>
          <w:p w14:paraId="444EDC88" w14:textId="77777777" w:rsidR="00A81986" w:rsidRDefault="0067390B">
            <w:pPr>
              <w:jc w:val="right"/>
            </w:pPr>
            <w:r>
              <w:rPr>
                <w:rFonts w:ascii="Arial" w:hAnsi="Arial"/>
                <w:sz w:val="18"/>
              </w:rPr>
              <w:t>0.64</w:t>
            </w:r>
          </w:p>
        </w:tc>
        <w:tc>
          <w:tcPr>
            <w:tcW w:w="1505" w:type="dxa"/>
          </w:tcPr>
          <w:p w14:paraId="206F1A6F" w14:textId="77777777" w:rsidR="00A81986" w:rsidRDefault="0067390B">
            <w:pPr>
              <w:jc w:val="right"/>
            </w:pPr>
            <w:r>
              <w:rPr>
                <w:rFonts w:ascii="Arial" w:hAnsi="Arial"/>
                <w:sz w:val="18"/>
              </w:rPr>
              <w:t>3.32</w:t>
            </w:r>
          </w:p>
        </w:tc>
      </w:tr>
      <w:tr w:rsidR="00A81986" w14:paraId="1CE91B9F" w14:textId="77777777">
        <w:trPr>
          <w:jc w:val="center"/>
        </w:trPr>
        <w:tc>
          <w:tcPr>
            <w:tcW w:w="1505" w:type="dxa"/>
            <w:shd w:val="clear" w:color="auto" w:fill="F2F6FC"/>
          </w:tcPr>
          <w:p w14:paraId="370C2509" w14:textId="77777777" w:rsidR="00A81986" w:rsidRDefault="0067390B">
            <w:r>
              <w:rPr>
                <w:rFonts w:ascii="Arial" w:hAnsi="Arial"/>
                <w:sz w:val="18"/>
              </w:rPr>
              <w:t>Financial Services</w:t>
            </w:r>
          </w:p>
        </w:tc>
        <w:tc>
          <w:tcPr>
            <w:tcW w:w="1505" w:type="dxa"/>
            <w:shd w:val="clear" w:color="auto" w:fill="F2F6FC"/>
          </w:tcPr>
          <w:p w14:paraId="67F5A528" w14:textId="77777777" w:rsidR="00A81986" w:rsidRDefault="0067390B">
            <w:pPr>
              <w:jc w:val="right"/>
            </w:pPr>
            <w:r>
              <w:rPr>
                <w:rFonts w:ascii="Arial" w:hAnsi="Arial"/>
                <w:sz w:val="18"/>
              </w:rPr>
              <w:t>73,694</w:t>
            </w:r>
          </w:p>
        </w:tc>
        <w:tc>
          <w:tcPr>
            <w:tcW w:w="1505" w:type="dxa"/>
            <w:shd w:val="clear" w:color="auto" w:fill="F2F6FC"/>
          </w:tcPr>
          <w:p w14:paraId="55CDD608" w14:textId="77777777" w:rsidR="00A81986" w:rsidRDefault="0067390B">
            <w:pPr>
              <w:jc w:val="right"/>
            </w:pPr>
            <w:r>
              <w:rPr>
                <w:rFonts w:ascii="Arial" w:hAnsi="Arial"/>
                <w:sz w:val="18"/>
              </w:rPr>
              <w:t>49,718</w:t>
            </w:r>
          </w:p>
        </w:tc>
        <w:tc>
          <w:tcPr>
            <w:tcW w:w="1505" w:type="dxa"/>
            <w:shd w:val="clear" w:color="auto" w:fill="F2F6FC"/>
          </w:tcPr>
          <w:p w14:paraId="5498DD54" w14:textId="77777777" w:rsidR="00A81986" w:rsidRDefault="0067390B">
            <w:pPr>
              <w:jc w:val="right"/>
            </w:pPr>
            <w:r>
              <w:rPr>
                <w:rFonts w:ascii="Arial" w:hAnsi="Arial"/>
                <w:sz w:val="18"/>
              </w:rPr>
              <w:t>13.41</w:t>
            </w:r>
          </w:p>
        </w:tc>
        <w:tc>
          <w:tcPr>
            <w:tcW w:w="1505" w:type="dxa"/>
            <w:shd w:val="clear" w:color="auto" w:fill="F2F6FC"/>
          </w:tcPr>
          <w:p w14:paraId="076FB2FD" w14:textId="77777777" w:rsidR="00A81986" w:rsidRDefault="0067390B">
            <w:pPr>
              <w:jc w:val="right"/>
            </w:pPr>
            <w:r>
              <w:rPr>
                <w:rFonts w:ascii="Arial" w:hAnsi="Arial"/>
                <w:sz w:val="18"/>
              </w:rPr>
              <w:t>0.36</w:t>
            </w:r>
          </w:p>
        </w:tc>
        <w:tc>
          <w:tcPr>
            <w:tcW w:w="1505" w:type="dxa"/>
            <w:shd w:val="clear" w:color="auto" w:fill="F2F6FC"/>
          </w:tcPr>
          <w:p w14:paraId="633254B9" w14:textId="77777777" w:rsidR="00A81986" w:rsidRDefault="0067390B">
            <w:pPr>
              <w:jc w:val="right"/>
            </w:pPr>
            <w:r>
              <w:rPr>
                <w:rFonts w:ascii="Arial" w:hAnsi="Arial"/>
                <w:sz w:val="18"/>
              </w:rPr>
              <w:t>3.42</w:t>
            </w:r>
          </w:p>
        </w:tc>
      </w:tr>
    </w:tbl>
    <w:p w14:paraId="35D55125" w14:textId="77777777" w:rsidR="00A81986" w:rsidRDefault="0067390B">
      <w:r>
        <w:rPr>
          <w:rFonts w:ascii="Arial" w:hAnsi="Arial"/>
          <w:i/>
          <w:sz w:val="16"/>
        </w:rPr>
        <w:t>Source: Source: Internal PCAF calculation system. Gross emissions calculated per PCAF Global Standard Part A (2022). Weighted emissions apply data quality confidence factors. Portfolio share based on total outstanding of IDR 1,541.18 trillion.</w:t>
      </w:r>
    </w:p>
    <w:p w14:paraId="5396BCA0" w14:textId="77777777" w:rsidR="00A81986" w:rsidRDefault="00A81986"/>
    <w:p w14:paraId="58CF2B34" w14:textId="77777777" w:rsidR="00A81986" w:rsidRDefault="0067390B">
      <w:r>
        <w:rPr>
          <w:rFonts w:ascii="Arial" w:hAnsi="Arial"/>
          <w:b/>
          <w:sz w:val="20"/>
        </w:rPr>
        <w:t>Table 1.3.2: Framework Cross-Reference — Financed Emissions Disclosure Requirements</w:t>
      </w:r>
    </w:p>
    <w:tbl>
      <w:tblPr>
        <w:tblW w:w="0" w:type="auto"/>
        <w:jc w:val="center"/>
        <w:tblLook w:val="04A0" w:firstRow="1" w:lastRow="0" w:firstColumn="1" w:lastColumn="0" w:noHBand="0" w:noVBand="1"/>
      </w:tblPr>
      <w:tblGrid>
        <w:gridCol w:w="2257"/>
        <w:gridCol w:w="2257"/>
        <w:gridCol w:w="2257"/>
        <w:gridCol w:w="2257"/>
      </w:tblGrid>
      <w:tr w:rsidR="00A81986" w14:paraId="0D6324A4" w14:textId="77777777">
        <w:trPr>
          <w:jc w:val="center"/>
        </w:trPr>
        <w:tc>
          <w:tcPr>
            <w:tcW w:w="2257" w:type="dxa"/>
            <w:shd w:val="clear" w:color="auto" w:fill="1B3A6B"/>
          </w:tcPr>
          <w:p w14:paraId="1EB94501" w14:textId="77777777" w:rsidR="00A81986" w:rsidRDefault="0067390B">
            <w:r>
              <w:rPr>
                <w:rFonts w:ascii="Arial" w:hAnsi="Arial"/>
                <w:b/>
                <w:color w:val="FFFFFF"/>
                <w:sz w:val="18"/>
              </w:rPr>
              <w:t>Framework</w:t>
            </w:r>
          </w:p>
        </w:tc>
        <w:tc>
          <w:tcPr>
            <w:tcW w:w="2257" w:type="dxa"/>
            <w:shd w:val="clear" w:color="auto" w:fill="1B3A6B"/>
          </w:tcPr>
          <w:p w14:paraId="44990C68" w14:textId="77777777" w:rsidR="00A81986" w:rsidRDefault="0067390B">
            <w:r>
              <w:rPr>
                <w:rFonts w:ascii="Arial" w:hAnsi="Arial"/>
                <w:b/>
                <w:color w:val="FFFFFF"/>
                <w:sz w:val="18"/>
              </w:rPr>
              <w:t>Disclosure Reference</w:t>
            </w:r>
          </w:p>
        </w:tc>
        <w:tc>
          <w:tcPr>
            <w:tcW w:w="2257" w:type="dxa"/>
            <w:shd w:val="clear" w:color="auto" w:fill="1B3A6B"/>
          </w:tcPr>
          <w:p w14:paraId="3E7DD1D7" w14:textId="77777777" w:rsidR="00A81986" w:rsidRDefault="0067390B">
            <w:r>
              <w:rPr>
                <w:rFonts w:ascii="Arial" w:hAnsi="Arial"/>
                <w:b/>
                <w:color w:val="FFFFFF"/>
                <w:sz w:val="18"/>
              </w:rPr>
              <w:t>Requirement</w:t>
            </w:r>
          </w:p>
        </w:tc>
        <w:tc>
          <w:tcPr>
            <w:tcW w:w="2257" w:type="dxa"/>
            <w:shd w:val="clear" w:color="auto" w:fill="1B3A6B"/>
          </w:tcPr>
          <w:p w14:paraId="7BE7F9B2" w14:textId="77777777" w:rsidR="00A81986" w:rsidRDefault="0067390B">
            <w:r>
              <w:rPr>
                <w:rFonts w:ascii="Arial" w:hAnsi="Arial"/>
                <w:b/>
                <w:color w:val="FFFFFF"/>
                <w:sz w:val="18"/>
              </w:rPr>
              <w:t>Status</w:t>
            </w:r>
          </w:p>
        </w:tc>
      </w:tr>
      <w:tr w:rsidR="00A81986" w14:paraId="68AD0310" w14:textId="77777777">
        <w:trPr>
          <w:jc w:val="center"/>
        </w:trPr>
        <w:tc>
          <w:tcPr>
            <w:tcW w:w="2257" w:type="dxa"/>
          </w:tcPr>
          <w:p w14:paraId="2F816E89" w14:textId="77777777" w:rsidR="00A81986" w:rsidRDefault="0067390B">
            <w:r>
              <w:rPr>
                <w:rFonts w:ascii="Arial" w:hAnsi="Arial"/>
                <w:sz w:val="18"/>
              </w:rPr>
              <w:t>GRI 305-3</w:t>
            </w:r>
          </w:p>
        </w:tc>
        <w:tc>
          <w:tcPr>
            <w:tcW w:w="2257" w:type="dxa"/>
          </w:tcPr>
          <w:p w14:paraId="137A5823" w14:textId="77777777" w:rsidR="00A81986" w:rsidRDefault="0067390B">
            <w:r>
              <w:rPr>
                <w:rFonts w:ascii="Arial" w:hAnsi="Arial"/>
                <w:sz w:val="18"/>
              </w:rPr>
              <w:t>305-3a</w:t>
            </w:r>
          </w:p>
        </w:tc>
        <w:tc>
          <w:tcPr>
            <w:tcW w:w="2257" w:type="dxa"/>
          </w:tcPr>
          <w:p w14:paraId="5793EC70" w14:textId="77777777" w:rsidR="00A81986" w:rsidRDefault="0067390B">
            <w:r>
              <w:rPr>
                <w:rFonts w:ascii="Arial" w:hAnsi="Arial"/>
                <w:sz w:val="18"/>
              </w:rPr>
              <w:t xml:space="preserve">Gross other indirect (Scope 3) GHG emissions in metric tons </w:t>
            </w:r>
            <w:r>
              <w:rPr>
                <w:rFonts w:ascii="Arial" w:hAnsi="Arial"/>
                <w:sz w:val="18"/>
              </w:rPr>
              <w:lastRenderedPageBreak/>
              <w:t>of CO₂ equivalent</w:t>
            </w:r>
          </w:p>
        </w:tc>
        <w:tc>
          <w:tcPr>
            <w:tcW w:w="2257" w:type="dxa"/>
          </w:tcPr>
          <w:p w14:paraId="60E26797" w14:textId="77777777" w:rsidR="00A81986" w:rsidRDefault="0067390B">
            <w:r>
              <w:rPr>
                <w:rFonts w:ascii="Arial" w:hAnsi="Arial"/>
                <w:sz w:val="18"/>
              </w:rPr>
              <w:lastRenderedPageBreak/>
              <w:t>✅</w:t>
            </w:r>
            <w:r>
              <w:rPr>
                <w:rFonts w:ascii="Arial" w:hAnsi="Arial"/>
                <w:sz w:val="18"/>
              </w:rPr>
              <w:t xml:space="preserve"> Disclosed</w:t>
            </w:r>
          </w:p>
        </w:tc>
      </w:tr>
      <w:tr w:rsidR="00A81986" w14:paraId="6BADC61E" w14:textId="77777777">
        <w:trPr>
          <w:jc w:val="center"/>
        </w:trPr>
        <w:tc>
          <w:tcPr>
            <w:tcW w:w="2257" w:type="dxa"/>
            <w:shd w:val="clear" w:color="auto" w:fill="F2F6FC"/>
          </w:tcPr>
          <w:p w14:paraId="505B7CA4" w14:textId="77777777" w:rsidR="00A81986" w:rsidRDefault="0067390B">
            <w:r>
              <w:rPr>
                <w:rFonts w:ascii="Arial" w:hAnsi="Arial"/>
                <w:sz w:val="18"/>
              </w:rPr>
              <w:t>GRI 305-3</w:t>
            </w:r>
          </w:p>
        </w:tc>
        <w:tc>
          <w:tcPr>
            <w:tcW w:w="2257" w:type="dxa"/>
            <w:shd w:val="clear" w:color="auto" w:fill="F2F6FC"/>
          </w:tcPr>
          <w:p w14:paraId="60C974C5" w14:textId="77777777" w:rsidR="00A81986" w:rsidRDefault="0067390B">
            <w:r>
              <w:rPr>
                <w:rFonts w:ascii="Arial" w:hAnsi="Arial"/>
                <w:sz w:val="18"/>
              </w:rPr>
              <w:t>305-3d</w:t>
            </w:r>
          </w:p>
        </w:tc>
        <w:tc>
          <w:tcPr>
            <w:tcW w:w="2257" w:type="dxa"/>
            <w:shd w:val="clear" w:color="auto" w:fill="F2F6FC"/>
          </w:tcPr>
          <w:p w14:paraId="2B919790" w14:textId="77777777" w:rsidR="00A81986" w:rsidRDefault="0067390B">
            <w:r>
              <w:rPr>
                <w:rFonts w:ascii="Arial" w:hAnsi="Arial"/>
                <w:sz w:val="18"/>
              </w:rPr>
              <w:t>Scope 3 categories included in the calculation</w:t>
            </w:r>
          </w:p>
        </w:tc>
        <w:tc>
          <w:tcPr>
            <w:tcW w:w="2257" w:type="dxa"/>
            <w:shd w:val="clear" w:color="auto" w:fill="F2F6FC"/>
          </w:tcPr>
          <w:p w14:paraId="0B703BAB" w14:textId="77777777" w:rsidR="00A81986" w:rsidRDefault="0067390B">
            <w:r>
              <w:rPr>
                <w:rFonts w:ascii="Arial" w:hAnsi="Arial"/>
                <w:sz w:val="18"/>
              </w:rPr>
              <w:t>✅</w:t>
            </w:r>
            <w:r>
              <w:rPr>
                <w:rFonts w:ascii="Arial" w:hAnsi="Arial"/>
                <w:sz w:val="18"/>
              </w:rPr>
              <w:t xml:space="preserve"> Disclosed (Cat 15 only)</w:t>
            </w:r>
          </w:p>
        </w:tc>
      </w:tr>
      <w:tr w:rsidR="00A81986" w14:paraId="13321175" w14:textId="77777777">
        <w:trPr>
          <w:jc w:val="center"/>
        </w:trPr>
        <w:tc>
          <w:tcPr>
            <w:tcW w:w="2257" w:type="dxa"/>
          </w:tcPr>
          <w:p w14:paraId="0496532E" w14:textId="77777777" w:rsidR="00A81986" w:rsidRDefault="0067390B">
            <w:r>
              <w:rPr>
                <w:rFonts w:ascii="Arial" w:hAnsi="Arial"/>
                <w:sz w:val="18"/>
              </w:rPr>
              <w:t>IFRS S2</w:t>
            </w:r>
          </w:p>
        </w:tc>
        <w:tc>
          <w:tcPr>
            <w:tcW w:w="2257" w:type="dxa"/>
          </w:tcPr>
          <w:p w14:paraId="1601BCF1" w14:textId="77777777" w:rsidR="00A81986" w:rsidRDefault="0067390B">
            <w:r>
              <w:rPr>
                <w:rFonts w:ascii="Arial" w:hAnsi="Arial"/>
                <w:sz w:val="18"/>
              </w:rPr>
              <w:t>Para 29(a)(iv)</w:t>
            </w:r>
          </w:p>
        </w:tc>
        <w:tc>
          <w:tcPr>
            <w:tcW w:w="2257" w:type="dxa"/>
          </w:tcPr>
          <w:p w14:paraId="5BBA29FD" w14:textId="77777777" w:rsidR="00A81986" w:rsidRDefault="0067390B">
            <w:r>
              <w:rPr>
                <w:rFonts w:ascii="Arial" w:hAnsi="Arial"/>
                <w:sz w:val="18"/>
              </w:rPr>
              <w:t>Absolute gross Scope 3 GHG emissions</w:t>
            </w:r>
          </w:p>
        </w:tc>
        <w:tc>
          <w:tcPr>
            <w:tcW w:w="2257" w:type="dxa"/>
          </w:tcPr>
          <w:p w14:paraId="0FE9B0D8" w14:textId="77777777" w:rsidR="00A81986" w:rsidRDefault="0067390B">
            <w:r>
              <w:rPr>
                <w:rFonts w:ascii="Arial" w:hAnsi="Arial"/>
                <w:sz w:val="18"/>
              </w:rPr>
              <w:t>✅</w:t>
            </w:r>
            <w:r>
              <w:rPr>
                <w:rFonts w:ascii="Arial" w:hAnsi="Arial"/>
                <w:sz w:val="18"/>
              </w:rPr>
              <w:t xml:space="preserve"> Disclosed</w:t>
            </w:r>
          </w:p>
        </w:tc>
      </w:tr>
      <w:tr w:rsidR="00A81986" w14:paraId="2EB40BFA" w14:textId="77777777">
        <w:trPr>
          <w:jc w:val="center"/>
        </w:trPr>
        <w:tc>
          <w:tcPr>
            <w:tcW w:w="2257" w:type="dxa"/>
            <w:shd w:val="clear" w:color="auto" w:fill="F2F6FC"/>
          </w:tcPr>
          <w:p w14:paraId="02D477D2" w14:textId="77777777" w:rsidR="00A81986" w:rsidRDefault="0067390B">
            <w:r>
              <w:rPr>
                <w:rFonts w:ascii="Arial" w:hAnsi="Arial"/>
                <w:sz w:val="18"/>
              </w:rPr>
              <w:t>IFRS S2</w:t>
            </w:r>
          </w:p>
        </w:tc>
        <w:tc>
          <w:tcPr>
            <w:tcW w:w="2257" w:type="dxa"/>
            <w:shd w:val="clear" w:color="auto" w:fill="F2F6FC"/>
          </w:tcPr>
          <w:p w14:paraId="2C055D40" w14:textId="77777777" w:rsidR="00A81986" w:rsidRDefault="0067390B">
            <w:r>
              <w:rPr>
                <w:rFonts w:ascii="Arial" w:hAnsi="Arial"/>
                <w:sz w:val="18"/>
              </w:rPr>
              <w:t>Para 29(a)(iv)</w:t>
            </w:r>
          </w:p>
        </w:tc>
        <w:tc>
          <w:tcPr>
            <w:tcW w:w="2257" w:type="dxa"/>
            <w:shd w:val="clear" w:color="auto" w:fill="F2F6FC"/>
          </w:tcPr>
          <w:p w14:paraId="64D72F4D" w14:textId="77777777" w:rsidR="00A81986" w:rsidRDefault="0067390B">
            <w:r>
              <w:rPr>
                <w:rFonts w:ascii="Arial" w:hAnsi="Arial"/>
                <w:sz w:val="18"/>
              </w:rPr>
              <w:t>Industry-based metrics (financed emissions)</w:t>
            </w:r>
          </w:p>
        </w:tc>
        <w:tc>
          <w:tcPr>
            <w:tcW w:w="2257" w:type="dxa"/>
            <w:shd w:val="clear" w:color="auto" w:fill="F2F6FC"/>
          </w:tcPr>
          <w:p w14:paraId="2E3E7FA8" w14:textId="77777777" w:rsidR="00A81986" w:rsidRDefault="0067390B">
            <w:r>
              <w:rPr>
                <w:rFonts w:ascii="Arial" w:hAnsi="Arial"/>
                <w:sz w:val="18"/>
              </w:rPr>
              <w:t>✅</w:t>
            </w:r>
            <w:r>
              <w:rPr>
                <w:rFonts w:ascii="Arial" w:hAnsi="Arial"/>
                <w:sz w:val="18"/>
              </w:rPr>
              <w:t xml:space="preserve"> Disclosed</w:t>
            </w:r>
          </w:p>
        </w:tc>
      </w:tr>
      <w:tr w:rsidR="00A81986" w14:paraId="261634C9" w14:textId="77777777">
        <w:trPr>
          <w:jc w:val="center"/>
        </w:trPr>
        <w:tc>
          <w:tcPr>
            <w:tcW w:w="2257" w:type="dxa"/>
          </w:tcPr>
          <w:p w14:paraId="4C3C3549" w14:textId="77777777" w:rsidR="00A81986" w:rsidRDefault="0067390B">
            <w:r>
              <w:rPr>
                <w:rFonts w:ascii="Arial" w:hAnsi="Arial"/>
                <w:sz w:val="18"/>
              </w:rPr>
              <w:t>ESRS E1</w:t>
            </w:r>
          </w:p>
        </w:tc>
        <w:tc>
          <w:tcPr>
            <w:tcW w:w="2257" w:type="dxa"/>
          </w:tcPr>
          <w:p w14:paraId="3CD50597" w14:textId="77777777" w:rsidR="00A81986" w:rsidRDefault="0067390B">
            <w:r>
              <w:rPr>
                <w:rFonts w:ascii="Arial" w:hAnsi="Arial"/>
                <w:sz w:val="18"/>
              </w:rPr>
              <w:t>DR E1-6.51</w:t>
            </w:r>
          </w:p>
        </w:tc>
        <w:tc>
          <w:tcPr>
            <w:tcW w:w="2257" w:type="dxa"/>
          </w:tcPr>
          <w:p w14:paraId="5344440D" w14:textId="77777777" w:rsidR="00A81986" w:rsidRDefault="0067390B">
            <w:r>
              <w:rPr>
                <w:rFonts w:ascii="Arial" w:hAnsi="Arial"/>
                <w:sz w:val="18"/>
              </w:rPr>
              <w:t>Total indirect GHG emissions (Scope 3) in tonnes of CO₂eq</w:t>
            </w:r>
          </w:p>
        </w:tc>
        <w:tc>
          <w:tcPr>
            <w:tcW w:w="2257" w:type="dxa"/>
          </w:tcPr>
          <w:p w14:paraId="7CF38A86" w14:textId="77777777" w:rsidR="00A81986" w:rsidRDefault="0067390B">
            <w:r>
              <w:rPr>
                <w:rFonts w:ascii="Arial" w:hAnsi="Arial"/>
                <w:sz w:val="18"/>
              </w:rPr>
              <w:t>✅</w:t>
            </w:r>
            <w:r>
              <w:rPr>
                <w:rFonts w:ascii="Arial" w:hAnsi="Arial"/>
                <w:sz w:val="18"/>
              </w:rPr>
              <w:t xml:space="preserve"> Disclosed</w:t>
            </w:r>
          </w:p>
        </w:tc>
      </w:tr>
      <w:tr w:rsidR="00A81986" w14:paraId="3B4B2217" w14:textId="77777777">
        <w:trPr>
          <w:jc w:val="center"/>
        </w:trPr>
        <w:tc>
          <w:tcPr>
            <w:tcW w:w="2257" w:type="dxa"/>
            <w:shd w:val="clear" w:color="auto" w:fill="F2F6FC"/>
          </w:tcPr>
          <w:p w14:paraId="3CF3D178" w14:textId="77777777" w:rsidR="00A81986" w:rsidRDefault="0067390B">
            <w:r>
              <w:rPr>
                <w:rFonts w:ascii="Arial" w:hAnsi="Arial"/>
                <w:sz w:val="18"/>
              </w:rPr>
              <w:t>OJK PSPK</w:t>
            </w:r>
          </w:p>
        </w:tc>
        <w:tc>
          <w:tcPr>
            <w:tcW w:w="2257" w:type="dxa"/>
            <w:shd w:val="clear" w:color="auto" w:fill="F2F6FC"/>
          </w:tcPr>
          <w:p w14:paraId="70B7C940" w14:textId="77777777" w:rsidR="00A81986" w:rsidRDefault="0067390B">
            <w:r>
              <w:rPr>
                <w:rFonts w:ascii="Arial" w:hAnsi="Arial"/>
                <w:sz w:val="18"/>
              </w:rPr>
              <w:t>Emisi Lingkup 3</w:t>
            </w:r>
          </w:p>
        </w:tc>
        <w:tc>
          <w:tcPr>
            <w:tcW w:w="2257" w:type="dxa"/>
            <w:shd w:val="clear" w:color="auto" w:fill="F2F6FC"/>
          </w:tcPr>
          <w:p w14:paraId="55B0823A" w14:textId="77777777" w:rsidR="00A81986" w:rsidRDefault="0067390B">
            <w:r>
              <w:rPr>
                <w:rFonts w:ascii="Arial" w:hAnsi="Arial"/>
                <w:sz w:val="18"/>
              </w:rPr>
              <w:t>Emisi pembiayaan menggunakan metodologi PCAF</w:t>
            </w:r>
          </w:p>
        </w:tc>
        <w:tc>
          <w:tcPr>
            <w:tcW w:w="2257" w:type="dxa"/>
            <w:shd w:val="clear" w:color="auto" w:fill="F2F6FC"/>
          </w:tcPr>
          <w:p w14:paraId="6F80CD26" w14:textId="77777777" w:rsidR="00A81986" w:rsidRDefault="0067390B">
            <w:r>
              <w:rPr>
                <w:rFonts w:ascii="Arial" w:hAnsi="Arial"/>
                <w:sz w:val="18"/>
              </w:rPr>
              <w:t>✅</w:t>
            </w:r>
            <w:r>
              <w:rPr>
                <w:rFonts w:ascii="Arial" w:hAnsi="Arial"/>
                <w:sz w:val="18"/>
              </w:rPr>
              <w:t xml:space="preserve"> Disclosed</w:t>
            </w:r>
          </w:p>
        </w:tc>
      </w:tr>
      <w:tr w:rsidR="00A81986" w14:paraId="0B5B23FE" w14:textId="77777777">
        <w:trPr>
          <w:jc w:val="center"/>
        </w:trPr>
        <w:tc>
          <w:tcPr>
            <w:tcW w:w="2257" w:type="dxa"/>
          </w:tcPr>
          <w:p w14:paraId="4C67ACCA" w14:textId="77777777" w:rsidR="00A81986" w:rsidRDefault="0067390B">
            <w:r>
              <w:rPr>
                <w:rFonts w:ascii="Arial" w:hAnsi="Arial"/>
                <w:sz w:val="18"/>
              </w:rPr>
              <w:t>PCAF Global Standard</w:t>
            </w:r>
          </w:p>
        </w:tc>
        <w:tc>
          <w:tcPr>
            <w:tcW w:w="2257" w:type="dxa"/>
          </w:tcPr>
          <w:p w14:paraId="405C9275" w14:textId="77777777" w:rsidR="00A81986" w:rsidRDefault="0067390B">
            <w:r>
              <w:rPr>
                <w:rFonts w:ascii="Arial" w:hAnsi="Arial"/>
                <w:sz w:val="18"/>
              </w:rPr>
              <w:t>Part A Section 5</w:t>
            </w:r>
          </w:p>
        </w:tc>
        <w:tc>
          <w:tcPr>
            <w:tcW w:w="2257" w:type="dxa"/>
          </w:tcPr>
          <w:p w14:paraId="3A6B5A83" w14:textId="77777777" w:rsidR="00A81986" w:rsidRDefault="0067390B">
            <w:r>
              <w:rPr>
                <w:rFonts w:ascii="Arial" w:hAnsi="Arial"/>
                <w:sz w:val="18"/>
              </w:rPr>
              <w:t>Attribution factor methodology for financed emissions</w:t>
            </w:r>
          </w:p>
        </w:tc>
        <w:tc>
          <w:tcPr>
            <w:tcW w:w="2257" w:type="dxa"/>
          </w:tcPr>
          <w:p w14:paraId="437C1C6C" w14:textId="77777777" w:rsidR="00A81986" w:rsidRDefault="0067390B">
            <w:r>
              <w:rPr>
                <w:rFonts w:ascii="Arial" w:hAnsi="Arial"/>
                <w:sz w:val="18"/>
              </w:rPr>
              <w:t>✅</w:t>
            </w:r>
            <w:r>
              <w:rPr>
                <w:rFonts w:ascii="Arial" w:hAnsi="Arial"/>
                <w:sz w:val="18"/>
              </w:rPr>
              <w:t xml:space="preserve"> Disclosed</w:t>
            </w:r>
          </w:p>
        </w:tc>
      </w:tr>
      <w:tr w:rsidR="00A81986" w14:paraId="469C74EE" w14:textId="77777777">
        <w:trPr>
          <w:jc w:val="center"/>
        </w:trPr>
        <w:tc>
          <w:tcPr>
            <w:tcW w:w="2257" w:type="dxa"/>
            <w:shd w:val="clear" w:color="auto" w:fill="F2F6FC"/>
          </w:tcPr>
          <w:p w14:paraId="42808910" w14:textId="77777777" w:rsidR="00A81986" w:rsidRDefault="0067390B">
            <w:r>
              <w:rPr>
                <w:rFonts w:ascii="Arial" w:hAnsi="Arial"/>
                <w:sz w:val="18"/>
              </w:rPr>
              <w:t>PCAF Global Standard</w:t>
            </w:r>
          </w:p>
        </w:tc>
        <w:tc>
          <w:tcPr>
            <w:tcW w:w="2257" w:type="dxa"/>
            <w:shd w:val="clear" w:color="auto" w:fill="F2F6FC"/>
          </w:tcPr>
          <w:p w14:paraId="5816F0B8" w14:textId="77777777" w:rsidR="00A81986" w:rsidRDefault="0067390B">
            <w:r>
              <w:rPr>
                <w:rFonts w:ascii="Arial" w:hAnsi="Arial"/>
                <w:sz w:val="18"/>
              </w:rPr>
              <w:t>Part A Section 5</w:t>
            </w:r>
          </w:p>
        </w:tc>
        <w:tc>
          <w:tcPr>
            <w:tcW w:w="2257" w:type="dxa"/>
            <w:shd w:val="clear" w:color="auto" w:fill="F2F6FC"/>
          </w:tcPr>
          <w:p w14:paraId="031DAEBF" w14:textId="77777777" w:rsidR="00A81986" w:rsidRDefault="0067390B">
            <w:r>
              <w:rPr>
                <w:rFonts w:ascii="Arial" w:hAnsi="Arial"/>
                <w:sz w:val="18"/>
              </w:rPr>
              <w:t>Portfolio-weighted data quality score</w:t>
            </w:r>
          </w:p>
        </w:tc>
        <w:tc>
          <w:tcPr>
            <w:tcW w:w="2257" w:type="dxa"/>
            <w:shd w:val="clear" w:color="auto" w:fill="F2F6FC"/>
          </w:tcPr>
          <w:p w14:paraId="24C57815" w14:textId="77777777" w:rsidR="00A81986" w:rsidRDefault="0067390B">
            <w:r>
              <w:rPr>
                <w:rFonts w:ascii="Arial" w:hAnsi="Arial"/>
                <w:sz w:val="18"/>
              </w:rPr>
              <w:t>✅</w:t>
            </w:r>
            <w:r>
              <w:rPr>
                <w:rFonts w:ascii="Arial" w:hAnsi="Arial"/>
                <w:sz w:val="18"/>
              </w:rPr>
              <w:t xml:space="preserve"> Disclosed</w:t>
            </w:r>
          </w:p>
        </w:tc>
      </w:tr>
      <w:tr w:rsidR="00A81986" w14:paraId="28228367" w14:textId="77777777">
        <w:trPr>
          <w:jc w:val="center"/>
        </w:trPr>
        <w:tc>
          <w:tcPr>
            <w:tcW w:w="2257" w:type="dxa"/>
          </w:tcPr>
          <w:p w14:paraId="7B3E9AE2" w14:textId="77777777" w:rsidR="00A81986" w:rsidRDefault="0067390B">
            <w:r>
              <w:rPr>
                <w:rFonts w:ascii="Arial" w:hAnsi="Arial"/>
                <w:sz w:val="18"/>
              </w:rPr>
              <w:t>PCAF Global Standard</w:t>
            </w:r>
          </w:p>
        </w:tc>
        <w:tc>
          <w:tcPr>
            <w:tcW w:w="2257" w:type="dxa"/>
          </w:tcPr>
          <w:p w14:paraId="2BC8DACC" w14:textId="77777777" w:rsidR="00A81986" w:rsidRDefault="0067390B">
            <w:r>
              <w:rPr>
                <w:rFonts w:ascii="Arial" w:hAnsi="Arial"/>
                <w:sz w:val="18"/>
              </w:rPr>
              <w:t>Table 5-2</w:t>
            </w:r>
          </w:p>
        </w:tc>
        <w:tc>
          <w:tcPr>
            <w:tcW w:w="2257" w:type="dxa"/>
          </w:tcPr>
          <w:p w14:paraId="537E7FFA" w14:textId="77777777" w:rsidR="00A81986" w:rsidRDefault="0067390B">
            <w:r>
              <w:rPr>
                <w:rFonts w:ascii="Arial" w:hAnsi="Arial"/>
                <w:sz w:val="18"/>
              </w:rPr>
              <w:t>Scope 3 inclusion for oil &amp; gas sector (required 2021+)</w:t>
            </w:r>
          </w:p>
        </w:tc>
        <w:tc>
          <w:tcPr>
            <w:tcW w:w="2257" w:type="dxa"/>
          </w:tcPr>
          <w:p w14:paraId="370078AE" w14:textId="77777777" w:rsidR="00A81986" w:rsidRDefault="0067390B">
            <w:r>
              <w:rPr>
                <w:rFonts w:ascii="Arial" w:hAnsi="Arial"/>
                <w:sz w:val="18"/>
              </w:rPr>
              <w:t>✅</w:t>
            </w:r>
            <w:r>
              <w:rPr>
                <w:rFonts w:ascii="Arial" w:hAnsi="Arial"/>
                <w:sz w:val="18"/>
              </w:rPr>
              <w:t xml:space="preserve"> Disclosed</w:t>
            </w:r>
          </w:p>
        </w:tc>
      </w:tr>
      <w:tr w:rsidR="00A81986" w14:paraId="6212EE19" w14:textId="77777777">
        <w:trPr>
          <w:jc w:val="center"/>
        </w:trPr>
        <w:tc>
          <w:tcPr>
            <w:tcW w:w="2257" w:type="dxa"/>
            <w:shd w:val="clear" w:color="auto" w:fill="F2F6FC"/>
          </w:tcPr>
          <w:p w14:paraId="4F17D83D" w14:textId="77777777" w:rsidR="00A81986" w:rsidRDefault="0067390B">
            <w:r>
              <w:rPr>
                <w:rFonts w:ascii="Arial" w:hAnsi="Arial"/>
                <w:sz w:val="18"/>
              </w:rPr>
              <w:t>PCAF Global Standard</w:t>
            </w:r>
          </w:p>
        </w:tc>
        <w:tc>
          <w:tcPr>
            <w:tcW w:w="2257" w:type="dxa"/>
            <w:shd w:val="clear" w:color="auto" w:fill="F2F6FC"/>
          </w:tcPr>
          <w:p w14:paraId="60CF837C" w14:textId="77777777" w:rsidR="00A81986" w:rsidRDefault="0067390B">
            <w:r>
              <w:rPr>
                <w:rFonts w:ascii="Arial" w:hAnsi="Arial"/>
                <w:sz w:val="18"/>
              </w:rPr>
              <w:t>Table 5-2</w:t>
            </w:r>
          </w:p>
        </w:tc>
        <w:tc>
          <w:tcPr>
            <w:tcW w:w="2257" w:type="dxa"/>
            <w:shd w:val="clear" w:color="auto" w:fill="F2F6FC"/>
          </w:tcPr>
          <w:p w14:paraId="13F41865" w14:textId="77777777" w:rsidR="00A81986" w:rsidRDefault="0067390B">
            <w:r>
              <w:rPr>
                <w:rFonts w:ascii="Arial" w:hAnsi="Arial"/>
                <w:sz w:val="18"/>
              </w:rPr>
              <w:t>Scope 3 inclusion for additional sectors (required 2023+)</w:t>
            </w:r>
          </w:p>
        </w:tc>
        <w:tc>
          <w:tcPr>
            <w:tcW w:w="2257" w:type="dxa"/>
            <w:shd w:val="clear" w:color="auto" w:fill="F2F6FC"/>
          </w:tcPr>
          <w:p w14:paraId="1658A732" w14:textId="77777777" w:rsidR="00A81986" w:rsidRDefault="0067390B">
            <w:r>
              <w:rPr>
                <w:rFonts w:ascii="Arial" w:hAnsi="Arial"/>
                <w:sz w:val="18"/>
              </w:rPr>
              <w:t>⚠</w:t>
            </w:r>
            <w:r>
              <w:rPr>
                <w:rFonts w:ascii="Arial" w:hAnsi="Arial"/>
                <w:sz w:val="18"/>
              </w:rPr>
              <w:t>️</w:t>
            </w:r>
            <w:r>
              <w:rPr>
                <w:rFonts w:ascii="Arial" w:hAnsi="Arial"/>
                <w:sz w:val="18"/>
              </w:rPr>
              <w:t xml:space="preserve"> Partial (borrower Scope 3 not captured)</w:t>
            </w:r>
          </w:p>
        </w:tc>
      </w:tr>
    </w:tbl>
    <w:p w14:paraId="0B45131F" w14:textId="77777777" w:rsidR="00A81986" w:rsidRDefault="0067390B">
      <w:r>
        <w:rPr>
          <w:rFonts w:ascii="Arial" w:hAnsi="Arial"/>
          <w:i/>
          <w:sz w:val="16"/>
        </w:rPr>
        <w:t>Source: Status legend: ✅ Fully disclosed | ⚠</w:t>
      </w:r>
      <w:r>
        <w:rPr>
          <w:rFonts w:ascii="Arial" w:hAnsi="Arial"/>
          <w:i/>
          <w:sz w:val="16"/>
        </w:rPr>
        <w:t>️</w:t>
      </w:r>
      <w:r>
        <w:rPr>
          <w:rFonts w:ascii="Arial" w:hAnsi="Arial"/>
          <w:i/>
          <w:sz w:val="16"/>
        </w:rPr>
        <w:t xml:space="preserve"> Partially disclosed | ❌ Not disclosed. PCAF requires financial institutions to report borrower Scope 3 emissions for oil &amp; gas and mining sectors from 2021, with phase-in for additional sectors by 2023. The institution currently reports only Scope 1+2 of financed entities.</w:t>
      </w:r>
    </w:p>
    <w:p w14:paraId="73FB3E29" w14:textId="77777777" w:rsidR="00A81986" w:rsidRDefault="00A81986"/>
    <w:p w14:paraId="088CAA0D" w14:textId="77777777" w:rsidR="00A81986" w:rsidRDefault="0067390B">
      <w:pPr>
        <w:spacing w:after="160"/>
        <w:jc w:val="both"/>
      </w:pPr>
      <w:r>
        <w:rPr>
          <w:rFonts w:ascii="Arial" w:hAnsi="Arial"/>
          <w:i/>
          <w:color w:val="646464"/>
          <w:sz w:val="18"/>
        </w:rPr>
        <w:t>[Chart: Financed Emissions by Sector — Top 10 Contributors (Weighted, tCO₂e) — matplotlib layer not installed]</w:t>
      </w:r>
    </w:p>
    <w:p w14:paraId="176471A4" w14:textId="77777777" w:rsidR="00A81986" w:rsidRDefault="0067390B">
      <w:pPr>
        <w:spacing w:after="160"/>
        <w:jc w:val="both"/>
      </w:pPr>
      <w:r>
        <w:rPr>
          <w:rFonts w:ascii="Arial" w:hAnsi="Arial"/>
          <w:i/>
          <w:color w:val="646464"/>
          <w:sz w:val="18"/>
        </w:rPr>
        <w:t>[Chart: Emission Intensity vs Portfolio Share — Sector Comparison — matplotlib layer not installed]</w:t>
      </w:r>
    </w:p>
    <w:p w14:paraId="03686DE8" w14:textId="77777777" w:rsidR="00A81986" w:rsidRDefault="0067390B">
      <w:pPr>
        <w:spacing w:after="160"/>
        <w:jc w:val="both"/>
      </w:pPr>
      <w:r>
        <w:rPr>
          <w:rFonts w:ascii="Arial" w:hAnsi="Arial"/>
          <w:i/>
          <w:color w:val="646464"/>
          <w:sz w:val="18"/>
        </w:rPr>
        <w:t>[Chart: Gross vs Confidence-Weighted Emissions — Data Quality Impact — matplotlib layer not installed]</w:t>
      </w:r>
    </w:p>
    <w:p w14:paraId="584D2224" w14:textId="77777777" w:rsidR="00A81986" w:rsidRDefault="0067390B">
      <w:pPr>
        <w:spacing w:after="160"/>
        <w:jc w:val="both"/>
      </w:pPr>
      <w:r>
        <w:rPr>
          <w:rFonts w:ascii="Arial" w:hAnsi="Arial"/>
          <w:i/>
          <w:color w:val="646464"/>
          <w:sz w:val="18"/>
        </w:rPr>
        <w:t>[Chart: PCAF Data Quality Score Distribution (by Financed Emissions %) — matplotlib layer not installed]</w:t>
      </w:r>
    </w:p>
    <w:p w14:paraId="22239626" w14:textId="77777777" w:rsidR="00A81986" w:rsidRDefault="00A81986"/>
    <w:p w14:paraId="4A43E5D4" w14:textId="77777777" w:rsidR="00A81986" w:rsidRDefault="0067390B">
      <w:r>
        <w:rPr>
          <w:b/>
          <w:color w:val="4A7AB5"/>
          <w:sz w:val="24"/>
        </w:rPr>
        <w:t>Diagnostic Analysis</w:t>
      </w:r>
    </w:p>
    <w:p w14:paraId="29D4CE6F" w14:textId="77777777" w:rsidR="00A81986" w:rsidRDefault="0067390B">
      <w:pPr>
        <w:spacing w:after="160"/>
        <w:jc w:val="both"/>
      </w:pPr>
      <w:r>
        <w:rPr>
          <w:rFonts w:ascii="Arial" w:hAnsi="Arial"/>
        </w:rPr>
        <w:t>Penurunan financed emissions 4.07% YoY terjadi bersamaan dengan pertumbuhan portfolio 2.03%, mengindikasikan perbaikan emission intensity yang genuine. Namun, konsentrasi 70% emisi di tiga sektor carbon-intensive (Oil &amp; Gas, Cement, Steel) menciptakan risiko transisi tinggi jika sektor-sektor ini mengalami tekanan regulasi atau pasar. PCAF data quality score 3.36 menempatkan institusi pada tier 'economic activity-based estimation' (Score 3-4), yang berarti mayoritas angka financed emissions dihitung menggun</w:t>
      </w:r>
      <w:r>
        <w:rPr>
          <w:rFonts w:ascii="Arial" w:hAnsi="Arial"/>
        </w:rPr>
        <w:t xml:space="preserve">akan emission factor sektor-rata, bukan data aktual dari borrower. Gap 30.5% antara gross dan </w:t>
      </w:r>
      <w:r>
        <w:rPr>
          <w:rFonts w:ascii="Arial" w:hAnsi="Arial"/>
        </w:rPr>
        <w:lastRenderedPageBreak/>
        <w:t>weighted emissions adalah sinyal red flag: angka yang dilaporkan memiliki margin ketidakpastian sangat besar. Peer institutions seperti BRI dan BCA telah bergerak lebih cepat dalam borrower engagement dan sectoral policy, menciptakan competitive gap dalam ESG ratings dan akses ke green capital markets.</w:t>
      </w:r>
    </w:p>
    <w:p w14:paraId="640038B0" w14:textId="77777777" w:rsidR="00A81986" w:rsidRDefault="0067390B">
      <w:r>
        <w:rPr>
          <w:b/>
        </w:rPr>
        <w:t>Root Causes:</w:t>
      </w:r>
    </w:p>
    <w:p w14:paraId="778B92E6" w14:textId="77777777" w:rsidR="00A81986" w:rsidRDefault="0067390B">
      <w:pPr>
        <w:spacing w:after="160"/>
        <w:jc w:val="both"/>
      </w:pPr>
      <w:r>
        <w:rPr>
          <w:rFonts w:ascii="Arial" w:hAnsi="Arial"/>
        </w:rPr>
        <w:t>• Tidak ada covenant GHG disclosure untuk borrower baru di sektor carbon-intensive, sehingga institusi bergantung pada estimasi sektor-rata (PCAF Score 3-4) alih-alih reported emissions (Score 1-2)</w:t>
      </w:r>
    </w:p>
    <w:p w14:paraId="408F6F06" w14:textId="77777777" w:rsidR="00A81986" w:rsidRDefault="0067390B">
      <w:pPr>
        <w:spacing w:after="160"/>
        <w:jc w:val="both"/>
      </w:pPr>
      <w:r>
        <w:rPr>
          <w:rFonts w:ascii="Arial" w:hAnsi="Arial"/>
        </w:rPr>
        <w:t>• Konsentrasi portfolio di Oil &amp; Gas (6.66% portfolio, 43.56% emissions) dan Cement (6.99% portfolio, 26.45% emissions) tanpa sectoral decarbonization pathway atau engagement program</w:t>
      </w:r>
    </w:p>
    <w:p w14:paraId="59A3218E" w14:textId="77777777" w:rsidR="00A81986" w:rsidRDefault="0067390B">
      <w:pPr>
        <w:spacing w:after="160"/>
        <w:jc w:val="both"/>
      </w:pPr>
      <w:r>
        <w:rPr>
          <w:rFonts w:ascii="Arial" w:hAnsi="Arial"/>
        </w:rPr>
        <w:t>• Belum ada komitmen SBTi atau Paris-aligned target, sementara BRI sudah submit commitment letter (2023) dan BCA sudah implementasi sectoral credit policy untuk coal, palm oil, cement, O&amp;G</w:t>
      </w:r>
    </w:p>
    <w:p w14:paraId="624B1F66" w14:textId="77777777" w:rsidR="00A81986" w:rsidRDefault="0067390B">
      <w:pPr>
        <w:spacing w:after="160"/>
        <w:jc w:val="both"/>
      </w:pPr>
      <w:r>
        <w:rPr>
          <w:rFonts w:ascii="Arial" w:hAnsi="Arial"/>
        </w:rPr>
        <w:t>• Scope 3 borrower (downstream emissions Oil &amp; Gas) belum diukur, padahal PCAF Table 5-2 mewajibkan sejak 2021 untuk sektor oil &amp; gas dan mining—ini adalah disclosure gap material</w:t>
      </w:r>
    </w:p>
    <w:p w14:paraId="77006B96" w14:textId="77777777" w:rsidR="00A81986" w:rsidRDefault="0067390B">
      <w:r>
        <w:rPr>
          <w:b/>
        </w:rPr>
        <w:t>Risk Implications:</w:t>
      </w:r>
    </w:p>
    <w:p w14:paraId="662C4A08" w14:textId="77777777" w:rsidR="00A81986" w:rsidRDefault="0067390B">
      <w:pPr>
        <w:spacing w:after="160"/>
        <w:jc w:val="both"/>
      </w:pPr>
      <w:r>
        <w:rPr>
          <w:rFonts w:ascii="Arial" w:hAnsi="Arial"/>
        </w:rPr>
        <w:t>• Regulatory risk: OJK SEOJK 16/2021 dan roadmap CSRD-equivalent Indonesia akan meningkatkan standar disclosure—institusi berisiko non-compliance jika tidak upgrade data quality dan expand Scope 3 coverage</w:t>
      </w:r>
    </w:p>
    <w:p w14:paraId="4C210E84" w14:textId="77777777" w:rsidR="00A81986" w:rsidRDefault="0067390B">
      <w:pPr>
        <w:spacing w:after="160"/>
        <w:jc w:val="both"/>
      </w:pPr>
      <w:r>
        <w:rPr>
          <w:rFonts w:ascii="Arial" w:hAnsi="Arial"/>
        </w:rPr>
        <w:t>• Reputational risk: ESG rating agencies (MSCI, Sustainalytics, CDP) akan downgrade institusi yang tidak memiliki SBTi commitment atau credible decarbonization pathway—gap vs BRI (SBTi) dan DBS (MSCI AA) akan melebar</w:t>
      </w:r>
    </w:p>
    <w:p w14:paraId="2B36B03A" w14:textId="77777777" w:rsidR="00A81986" w:rsidRDefault="0067390B">
      <w:pPr>
        <w:spacing w:after="160"/>
        <w:jc w:val="both"/>
      </w:pPr>
      <w:r>
        <w:rPr>
          <w:rFonts w:ascii="Arial" w:hAnsi="Arial"/>
        </w:rPr>
        <w:t>• Financial risk: Investor institusional (pension funds, sovereign wealth funds) semakin mensyaratkan Paris-aligned portfolios—institusi berisiko kehilangan akses ke low-cost green capital jika tidak establish science-based targets</w:t>
      </w:r>
    </w:p>
    <w:p w14:paraId="6C13657A" w14:textId="77777777" w:rsidR="00A81986" w:rsidRDefault="0067390B">
      <w:pPr>
        <w:spacing w:after="160"/>
        <w:jc w:val="both"/>
      </w:pPr>
      <w:r>
        <w:rPr>
          <w:rFonts w:ascii="Arial" w:hAnsi="Arial"/>
        </w:rPr>
        <w:t>• Transition risk: 70% financed emissions terkonsentrasi di 3 sektor yang akan menghadapi carbon pricing, teknologi disruption, dan demand shift—tanpa sector engagement program, institusi exposed ke potential loan defaults atau asset stranding</w:t>
      </w:r>
    </w:p>
    <w:p w14:paraId="3F28F34E" w14:textId="77777777" w:rsidR="00A81986" w:rsidRDefault="00A81986"/>
    <w:p w14:paraId="210AC616" w14:textId="77777777" w:rsidR="00A81986" w:rsidRDefault="0067390B">
      <w:r>
        <w:rPr>
          <w:b/>
          <w:color w:val="1B5E20"/>
          <w:sz w:val="24"/>
        </w:rPr>
        <w:t>⚡</w:t>
      </w:r>
      <w:r>
        <w:rPr>
          <w:b/>
          <w:color w:val="1B5E20"/>
          <w:sz w:val="24"/>
        </w:rPr>
        <w:t xml:space="preserve"> Priority Actions</w:t>
      </w:r>
    </w:p>
    <w:p w14:paraId="355E1029" w14:textId="77777777" w:rsidR="00A81986" w:rsidRDefault="0067390B">
      <w:r>
        <w:rPr>
          <w:b/>
        </w:rPr>
        <w:t>🔴</w:t>
      </w:r>
      <w:r>
        <w:rPr>
          <w:b/>
        </w:rPr>
        <w:t xml:space="preserve"> 1. Submit SBTi commitment letter dan develop sector-specific decarbonization pathways untuk Oil &amp; Gas (target: ↓25% emission intensity by 2030), Cement (↓20% by 2030), Steel (↓18% by 2030). Establish Board-level ESG Committee untuk oversee target implementation (ref: BRI model sejak 2021).</w:t>
      </w:r>
      <w:r>
        <w:t xml:space="preserve"> (Q2 2025)</w:t>
      </w:r>
    </w:p>
    <w:p w14:paraId="749ECA63" w14:textId="77777777" w:rsidR="00A81986" w:rsidRDefault="0067390B">
      <w:pPr>
        <w:spacing w:after="160"/>
        <w:jc w:val="both"/>
      </w:pPr>
      <w:r>
        <w:rPr>
          <w:rFonts w:ascii="Arial" w:hAnsi="Arial"/>
        </w:rPr>
        <w:t xml:space="preserve">    → Expected: Establish credible climate ambition; improve MSCI/Sustainalytics rating by 1 notch; unlock access to green bond market (estimated IDR 5-10 trillion issuance capacity)</w:t>
      </w:r>
    </w:p>
    <w:p w14:paraId="0AC71B79" w14:textId="77777777" w:rsidR="00A81986" w:rsidRDefault="0067390B">
      <w:pPr>
        <w:spacing w:after="160"/>
        <w:jc w:val="both"/>
      </w:pPr>
      <w:r>
        <w:rPr>
          <w:rFonts w:ascii="Arial" w:hAnsi="Arial"/>
          <w:i/>
          <w:color w:val="646464"/>
          <w:sz w:val="18"/>
        </w:rPr>
        <w:lastRenderedPageBreak/>
        <w:t xml:space="preserve">    → Ref: BRI — first Indonesian FI to submit SBTi commitment (2023), targeting portfolio temperature 1.75°C by 2040. BCA — implemented sectoral credit policies for coal, palm oil, cement, O&amp;G with enhanced due diligence.</w:t>
      </w:r>
    </w:p>
    <w:p w14:paraId="1375ACD4" w14:textId="77777777" w:rsidR="00A81986" w:rsidRDefault="0067390B">
      <w:r>
        <w:rPr>
          <w:b/>
        </w:rPr>
        <w:t>🔴</w:t>
      </w:r>
      <w:r>
        <w:rPr>
          <w:b/>
        </w:rPr>
        <w:t xml:space="preserve"> 2. Launch 'Top 50 Emitters Engagement Program' untuk borrower yang mewakili 70% financed emissions. Require annual GHG disclosure (Scope 1+2 minimum, Scope 3 untuk Oil &amp; Gas) sebagai loan covenant untuk new/refinancing &gt;IDR 100 billion. Provide technical assistance (TA) untuk borrower yang belum punya GHG inventory system—co-fund dengan IFC Green Finance Advisory atau USAID.</w:t>
      </w:r>
      <w:r>
        <w:t xml:space="preserve"> (Q3 2025)</w:t>
      </w:r>
    </w:p>
    <w:p w14:paraId="2473F983" w14:textId="77777777" w:rsidR="00A81986" w:rsidRDefault="0067390B">
      <w:pPr>
        <w:spacing w:after="160"/>
        <w:jc w:val="both"/>
      </w:pPr>
      <w:r>
        <w:rPr>
          <w:rFonts w:ascii="Arial" w:hAnsi="Arial"/>
        </w:rPr>
        <w:t xml:space="preserve">    → Expected: Improve PCAF score dari 3.36 ke ≤3.0 by end-2025; reduce gross-to-weighted gap dari 30.5% ke &lt;20%; enable granular sector decarbonization tracking</w:t>
      </w:r>
    </w:p>
    <w:p w14:paraId="1037EEC9" w14:textId="77777777" w:rsidR="00A81986" w:rsidRDefault="0067390B">
      <w:pPr>
        <w:spacing w:after="160"/>
        <w:jc w:val="both"/>
      </w:pPr>
      <w:r>
        <w:rPr>
          <w:rFonts w:ascii="Arial" w:hAnsi="Arial"/>
          <w:i/>
          <w:color w:val="646464"/>
          <w:sz w:val="18"/>
        </w:rPr>
        <w:t xml:space="preserve">    → Ref: BCA — exceeded SFAP target via Sustainability-Linked Loan (SLL) schemes yang include ESG performance covenants. DBS — systematic borrower engagement contributed to 12% YoY emission reduction despite portfolio growth.</w:t>
      </w:r>
    </w:p>
    <w:p w14:paraId="4CD0407A" w14:textId="77777777" w:rsidR="00A81986" w:rsidRDefault="0067390B">
      <w:r>
        <w:rPr>
          <w:b/>
        </w:rPr>
        <w:t>🟡</w:t>
      </w:r>
      <w:r>
        <w:rPr>
          <w:b/>
        </w:rPr>
        <w:t xml:space="preserve"> 3. Expand Scope 3 measurement untuk include borrower Scope 3 emissions di Oil &amp; Gas (downstream: use of sold products) dan Mining sectors, sesuai PCAF Table 5-2 requirement (mandatory since 2021). Engage PCAF-certified consultant untuk develop estimation methodology. Pilot dengan 10 largest Oil &amp; Gas borrowers (representing ~60% of sector emissions).</w:t>
      </w:r>
      <w:r>
        <w:t xml:space="preserve"> (Q1 2026)</w:t>
      </w:r>
    </w:p>
    <w:p w14:paraId="6C466FA5" w14:textId="77777777" w:rsidR="00A81986" w:rsidRDefault="0067390B">
      <w:pPr>
        <w:spacing w:after="160"/>
        <w:jc w:val="both"/>
      </w:pPr>
      <w:r>
        <w:rPr>
          <w:rFonts w:ascii="Arial" w:hAnsi="Arial"/>
        </w:rPr>
        <w:t xml:space="preserve">    → Expected: Achieve full PCAF compliance; increase reported financed emissions by estimated 8-12 million tCO₂e (Oil &amp; Gas Scope 3 Category 11); enhance value chain transparency</w:t>
      </w:r>
    </w:p>
    <w:p w14:paraId="6535F949" w14:textId="77777777" w:rsidR="00A81986" w:rsidRDefault="0067390B">
      <w:pPr>
        <w:spacing w:after="160"/>
        <w:jc w:val="both"/>
      </w:pPr>
      <w:r>
        <w:rPr>
          <w:rFonts w:ascii="Arial" w:hAnsi="Arial"/>
          <w:i/>
          <w:color w:val="646464"/>
          <w:sz w:val="18"/>
        </w:rPr>
        <w:t xml:space="preserve">    → Ref: DBS Group — comprehensive Scope 3 disclosure (including borrower downstream emissions) contributed to MSCI AA rating and CDP A- score. BRI — 6 asset classes covered under PCAF methodology.</w:t>
      </w:r>
    </w:p>
    <w:p w14:paraId="62A95888" w14:textId="77777777" w:rsidR="00A81986" w:rsidRDefault="0067390B">
      <w:r>
        <w:rPr>
          <w:b/>
        </w:rPr>
        <w:t>🟡</w:t>
      </w:r>
      <w:r>
        <w:rPr>
          <w:b/>
        </w:rPr>
        <w:t xml:space="preserve"> 4. Develop sectoral credit policy untuk Real Estate - Commercial (16.27% portfolio, lowest emission intensity 0.92 tCO₂e/IDR bn) dengan green building incentive: -25 bps pricing untuk borrower dengan EDGE/LEED/GBCI certification. Ini adalah 'quick win' sector dengan low transition risk dan high co-benefit (energy cost savings untuk borrower).</w:t>
      </w:r>
      <w:r>
        <w:t xml:space="preserve"> (Q4 2025)</w:t>
      </w:r>
    </w:p>
    <w:p w14:paraId="15B652A5" w14:textId="77777777" w:rsidR="00A81986" w:rsidRDefault="0067390B">
      <w:pPr>
        <w:spacing w:after="160"/>
        <w:jc w:val="both"/>
      </w:pPr>
      <w:r>
        <w:rPr>
          <w:rFonts w:ascii="Arial" w:hAnsi="Arial"/>
        </w:rPr>
        <w:t xml:space="preserve">    → Expected: Shift 15-20% of Real Estate portfolio ke green buildings within 3 years; support OJK SFAP target; differentiate from peers in sustainable real estate financing</w:t>
      </w:r>
    </w:p>
    <w:p w14:paraId="0E8D3360" w14:textId="77777777" w:rsidR="00A81986" w:rsidRDefault="0067390B">
      <w:pPr>
        <w:spacing w:after="160"/>
        <w:jc w:val="both"/>
      </w:pPr>
      <w:r>
        <w:rPr>
          <w:rFonts w:ascii="Arial" w:hAnsi="Arial"/>
          <w:i/>
          <w:color w:val="646464"/>
          <w:sz w:val="18"/>
        </w:rPr>
        <w:t xml:space="preserve">    → Ref: BRI — Green Network initiative includes green building financing with preferential rates. BCA — Green Office program demonstrates institutional commitment to sustainable real estate.</w:t>
      </w:r>
    </w:p>
    <w:p w14:paraId="59F89C86" w14:textId="77777777" w:rsidR="00A81986" w:rsidRDefault="00A81986"/>
    <w:p w14:paraId="3199B8CA" w14:textId="77777777" w:rsidR="00A81986" w:rsidRDefault="0067390B">
      <w:r>
        <w:rPr>
          <w:i/>
          <w:color w:val="3D6094"/>
          <w:sz w:val="18"/>
        </w:rPr>
        <w:t xml:space="preserve">Framework references: GRI 305-3a — Gross other indirect (Scope 3) GHG emissions; GRI 305-3d — Scope 3 categories included; IFRS S2 Para 29(a)(iv) — Scope 3 absolute gross emissions and industry-based metrics; ESRS E1-6 DR E1-6.51 — Total indirect GHG emissions (Scope 3); OJK PSPK — Emisi GRK Tidak Langsung Lainnya (Lingkup 3) — Emisi Pembiayaan; PCAF Global GHG Accounting and Reporting Standard Part A (2022) — Section 5: Financed Emissions; PCAF Global Standard Table 5-2 — Sector list for Scope 3 inclusion </w:t>
      </w:r>
      <w:r>
        <w:rPr>
          <w:i/>
          <w:color w:val="3D6094"/>
          <w:sz w:val="18"/>
        </w:rPr>
        <w:t>requirements</w:t>
      </w:r>
    </w:p>
    <w:p w14:paraId="7152FDBD" w14:textId="77777777" w:rsidR="00A81986" w:rsidRDefault="00A81986">
      <w:pPr>
        <w:pBdr>
          <w:bottom w:val="single" w:sz="6" w:space="1" w:color="999999"/>
        </w:pBdr>
        <w:spacing w:after="80"/>
      </w:pPr>
    </w:p>
    <w:p w14:paraId="17DD2C21" w14:textId="77777777" w:rsidR="00A81986" w:rsidRDefault="0067390B">
      <w:pPr>
        <w:spacing w:after="160"/>
        <w:jc w:val="both"/>
      </w:pPr>
      <w:r>
        <w:rPr>
          <w:rFonts w:ascii="Arial" w:hAnsi="Arial"/>
          <w:i/>
          <w:color w:val="646464"/>
          <w:sz w:val="18"/>
        </w:rPr>
        <w:t>These figures have not been subject to external assurance for the current reporting period.</w:t>
      </w:r>
    </w:p>
    <w:p w14:paraId="1AF2BA31" w14:textId="77777777" w:rsidR="00A81986" w:rsidRDefault="0067390B">
      <w:pPr>
        <w:spacing w:after="160"/>
        <w:jc w:val="both"/>
      </w:pPr>
      <w:r>
        <w:rPr>
          <w:rFonts w:ascii="Arial" w:hAnsi="Arial"/>
          <w:i/>
          <w:color w:val="646464"/>
          <w:sz w:val="18"/>
        </w:rPr>
        <w:t>Financed emissions calculations follow PCAF Global GHG Accounting and Reporting Standard Part A (2022). The institution applies the attribution factor methodology: Financed Emissions = Borrower Emissions × (Outstanding Amount ÷ Total Enterprise Value).</w:t>
      </w:r>
    </w:p>
    <w:p w14:paraId="6CDDB939" w14:textId="77777777" w:rsidR="00A81986" w:rsidRDefault="0067390B">
      <w:pPr>
        <w:spacing w:after="160"/>
        <w:jc w:val="both"/>
      </w:pPr>
      <w:r>
        <w:rPr>
          <w:rFonts w:ascii="Arial" w:hAnsi="Arial"/>
          <w:i/>
          <w:color w:val="646464"/>
          <w:sz w:val="18"/>
        </w:rPr>
        <w:lastRenderedPageBreak/>
        <w:t>The confidence-weighted figure (15,280,174.14 tCO₂e) is 30.5% lower than gross emissions (21,976,797.3 tCO₂e) due to application of PCAF data quality confidence factors. This gap reflects measurement uncertainty inherent in economic activity-based estimation methodologies.</w:t>
      </w:r>
    </w:p>
    <w:p w14:paraId="1117AE3B" w14:textId="77777777" w:rsidR="00A81986" w:rsidRDefault="0067390B">
      <w:pPr>
        <w:spacing w:after="160"/>
        <w:jc w:val="both"/>
      </w:pPr>
      <w:r>
        <w:rPr>
          <w:rFonts w:ascii="Arial" w:hAnsi="Arial"/>
          <w:i/>
          <w:color w:val="646464"/>
          <w:sz w:val="18"/>
        </w:rPr>
        <w:t>PCAF data quality scores range from 1 (highest quality: verified reported emissions) to 5 (lowest quality: economic intensity estimates). The portfolio-weighted score of 3.36 indicates predominant reliance on sector-average emission factors rather than borrower-specific reported data.</w:t>
      </w:r>
    </w:p>
    <w:p w14:paraId="5483BDE9" w14:textId="77777777" w:rsidR="00A81986" w:rsidRDefault="0067390B">
      <w:pPr>
        <w:spacing w:after="160"/>
        <w:jc w:val="both"/>
      </w:pPr>
      <w:r>
        <w:rPr>
          <w:rFonts w:ascii="Arial" w:hAnsi="Arial"/>
          <w:i/>
          <w:color w:val="646464"/>
          <w:sz w:val="18"/>
        </w:rPr>
        <w:t>Year-over-year comparison is based on gross emissions. Prior year: 22,911,991.05 tCO₂e (2023). Current year: 21,976,797.3 tCO₂e (2024). Decline of 4.07% occurred despite 2.03% portfolio growth.</w:t>
      </w:r>
    </w:p>
    <w:p w14:paraId="5D19817D" w14:textId="77777777" w:rsidR="00A81986" w:rsidRDefault="0067390B">
      <w:pPr>
        <w:spacing w:after="160"/>
        <w:jc w:val="both"/>
      </w:pPr>
      <w:r>
        <w:rPr>
          <w:rFonts w:ascii="Arial" w:hAnsi="Arial"/>
          <w:i/>
          <w:color w:val="646464"/>
          <w:sz w:val="18"/>
        </w:rPr>
        <w:t>PCAF requires financial institutions to report borrower Scope 3 emissions for oil &amp; gas and mining sectors from 2021 onward, with phase-in for transportation, construction, buildings, materials, and industrial activities by 2023. The institution currently captures only Scope 1+2 of financed entities, representing a disclosure gap relative to the PCAF standard.</w:t>
      </w:r>
    </w:p>
    <w:p w14:paraId="36897D31" w14:textId="77777777" w:rsidR="00A81986" w:rsidRDefault="0067390B">
      <w:pPr>
        <w:spacing w:after="160"/>
        <w:jc w:val="both"/>
      </w:pPr>
      <w:r>
        <w:rPr>
          <w:rFonts w:ascii="Arial" w:hAnsi="Arial"/>
          <w:i/>
          <w:color w:val="646464"/>
          <w:sz w:val="18"/>
        </w:rPr>
        <w:t>Sector classification follows NACE Level 2 codes aligned with PCAF Global Standard and ISIC Rev. 4 (UN Statistical Classification).</w:t>
      </w:r>
    </w:p>
    <w:p w14:paraId="5394800A" w14:textId="77777777" w:rsidR="00A81986" w:rsidRDefault="0067390B">
      <w:pPr>
        <w:pStyle w:val="Heading2"/>
        <w:spacing w:before="360" w:after="160"/>
      </w:pPr>
      <w:bookmarkStart w:id="8" w:name="_Toc232003729"/>
      <w:r>
        <w:rPr>
          <w:rFonts w:ascii="Arial" w:hAnsi="Arial"/>
          <w:color w:val="3D6094"/>
          <w:sz w:val="28"/>
        </w:rPr>
        <w:t>1.4 GHG Emissions Intensity</w:t>
      </w:r>
      <w:bookmarkEnd w:id="8"/>
    </w:p>
    <w:tbl>
      <w:tblPr>
        <w:tblW w:w="0" w:type="auto"/>
        <w:jc w:val="center"/>
        <w:tblLook w:val="04A0" w:firstRow="1" w:lastRow="0" w:firstColumn="1" w:lastColumn="0" w:noHBand="0" w:noVBand="1"/>
      </w:tblPr>
      <w:tblGrid>
        <w:gridCol w:w="2257"/>
        <w:gridCol w:w="2257"/>
        <w:gridCol w:w="2257"/>
        <w:gridCol w:w="2257"/>
      </w:tblGrid>
      <w:tr w:rsidR="00A81986" w14:paraId="3C9B3F58" w14:textId="77777777">
        <w:trPr>
          <w:jc w:val="center"/>
        </w:trPr>
        <w:tc>
          <w:tcPr>
            <w:tcW w:w="2257" w:type="dxa"/>
          </w:tcPr>
          <w:p w14:paraId="0300E52A" w14:textId="77777777" w:rsidR="00A81986" w:rsidRDefault="0067390B">
            <w:pPr>
              <w:jc w:val="center"/>
            </w:pPr>
            <w:r>
              <w:rPr>
                <w:b/>
                <w:color w:val="1B3A6B"/>
                <w:sz w:val="40"/>
              </w:rPr>
              <w:t>239.40</w:t>
            </w:r>
            <w:r>
              <w:rPr>
                <w:sz w:val="18"/>
              </w:rPr>
              <w:t xml:space="preserve"> tCO₂e/IDR Bn</w:t>
            </w:r>
            <w:r>
              <w:rPr>
                <w:b/>
                <w:color w:val="4CAF50"/>
                <w:sz w:val="20"/>
              </w:rPr>
              <w:br/>
              <w:t>-11.37%</w:t>
            </w:r>
          </w:p>
        </w:tc>
        <w:tc>
          <w:tcPr>
            <w:tcW w:w="2257" w:type="dxa"/>
          </w:tcPr>
          <w:p w14:paraId="54643474" w14:textId="77777777" w:rsidR="00A81986" w:rsidRDefault="0067390B">
            <w:pPr>
              <w:jc w:val="center"/>
            </w:pPr>
            <w:r>
              <w:rPr>
                <w:b/>
                <w:color w:val="1B3A6B"/>
                <w:sz w:val="40"/>
              </w:rPr>
              <w:t>1.92</w:t>
            </w:r>
            <w:r>
              <w:rPr>
                <w:sz w:val="18"/>
              </w:rPr>
              <w:t xml:space="preserve"> tCO₂e/FTE</w:t>
            </w:r>
            <w:r>
              <w:rPr>
                <w:b/>
                <w:color w:val="4CAF50"/>
                <w:sz w:val="20"/>
              </w:rPr>
              <w:br/>
              <w:t>-1.79%</w:t>
            </w:r>
          </w:p>
        </w:tc>
        <w:tc>
          <w:tcPr>
            <w:tcW w:w="2257" w:type="dxa"/>
          </w:tcPr>
          <w:p w14:paraId="233D28D3" w14:textId="77777777" w:rsidR="00A81986" w:rsidRDefault="0067390B">
            <w:pPr>
              <w:jc w:val="center"/>
            </w:pPr>
            <w:r>
              <w:rPr>
                <w:b/>
                <w:color w:val="1B3A6B"/>
                <w:sz w:val="40"/>
              </w:rPr>
              <w:t>9.4x</w:t>
            </w:r>
            <w:r>
              <w:rPr>
                <w:sz w:val="18"/>
              </w:rPr>
              <w:t xml:space="preserve"> higher</w:t>
            </w:r>
            <w:r>
              <w:rPr>
                <w:b/>
                <w:color w:val="F44336"/>
                <w:sz w:val="20"/>
              </w:rPr>
              <w:br/>
              <w:t>renewable energy gap</w:t>
            </w:r>
          </w:p>
        </w:tc>
        <w:tc>
          <w:tcPr>
            <w:tcW w:w="2257" w:type="dxa"/>
          </w:tcPr>
          <w:p w14:paraId="7C53F998" w14:textId="77777777" w:rsidR="00A81986" w:rsidRDefault="0067390B">
            <w:pPr>
              <w:jc w:val="center"/>
            </w:pPr>
            <w:r>
              <w:rPr>
                <w:b/>
                <w:color w:val="1B3A6B"/>
                <w:sz w:val="40"/>
              </w:rPr>
              <w:t>64.7</w:t>
            </w:r>
            <w:r>
              <w:rPr>
                <w:sz w:val="18"/>
              </w:rPr>
              <w:t xml:space="preserve"> %</w:t>
            </w:r>
            <w:r>
              <w:rPr>
                <w:b/>
                <w:color w:val="F44336"/>
                <w:sz w:val="20"/>
              </w:rPr>
              <w:br/>
              <w:t>primary reduction lever</w:t>
            </w:r>
          </w:p>
        </w:tc>
      </w:tr>
      <w:tr w:rsidR="00A81986" w14:paraId="0BB01515" w14:textId="77777777">
        <w:trPr>
          <w:jc w:val="center"/>
        </w:trPr>
        <w:tc>
          <w:tcPr>
            <w:tcW w:w="2257" w:type="dxa"/>
          </w:tcPr>
          <w:p w14:paraId="2AD9E804" w14:textId="77777777" w:rsidR="00A81986" w:rsidRDefault="0067390B">
            <w:pPr>
              <w:jc w:val="center"/>
            </w:pPr>
            <w:r>
              <w:rPr>
                <w:color w:val="646464"/>
                <w:sz w:val="18"/>
              </w:rPr>
              <w:t>Revenue Intensity</w:t>
            </w:r>
          </w:p>
        </w:tc>
        <w:tc>
          <w:tcPr>
            <w:tcW w:w="2257" w:type="dxa"/>
          </w:tcPr>
          <w:p w14:paraId="04A69B27" w14:textId="77777777" w:rsidR="00A81986" w:rsidRDefault="0067390B">
            <w:pPr>
              <w:jc w:val="center"/>
            </w:pPr>
            <w:r>
              <w:rPr>
                <w:color w:val="646464"/>
                <w:sz w:val="18"/>
              </w:rPr>
              <w:t>Operational Intensity</w:t>
            </w:r>
          </w:p>
        </w:tc>
        <w:tc>
          <w:tcPr>
            <w:tcW w:w="2257" w:type="dxa"/>
          </w:tcPr>
          <w:p w14:paraId="069AD567" w14:textId="77777777" w:rsidR="00A81986" w:rsidRDefault="0067390B">
            <w:pPr>
              <w:jc w:val="center"/>
            </w:pPr>
            <w:r>
              <w:rPr>
                <w:color w:val="646464"/>
                <w:sz w:val="18"/>
              </w:rPr>
              <w:t>Intensity Gap vs. DBS</w:t>
            </w:r>
          </w:p>
        </w:tc>
        <w:tc>
          <w:tcPr>
            <w:tcW w:w="2257" w:type="dxa"/>
          </w:tcPr>
          <w:p w14:paraId="7CF986AA" w14:textId="77777777" w:rsidR="00A81986" w:rsidRDefault="0067390B">
            <w:pPr>
              <w:jc w:val="center"/>
            </w:pPr>
            <w:r>
              <w:rPr>
                <w:color w:val="646464"/>
                <w:sz w:val="18"/>
              </w:rPr>
              <w:t>Diesel Share of Scope 1</w:t>
            </w:r>
          </w:p>
        </w:tc>
      </w:tr>
    </w:tbl>
    <w:p w14:paraId="7D257AB3" w14:textId="77777777" w:rsidR="00A81986" w:rsidRDefault="00A81986"/>
    <w:tbl>
      <w:tblPr>
        <w:tblW w:w="0" w:type="auto"/>
        <w:jc w:val="center"/>
        <w:tblLook w:val="04A0" w:firstRow="1" w:lastRow="0" w:firstColumn="1" w:lastColumn="0" w:noHBand="0" w:noVBand="1"/>
      </w:tblPr>
      <w:tblGrid>
        <w:gridCol w:w="9029"/>
      </w:tblGrid>
      <w:tr w:rsidR="00A81986" w14:paraId="4A816A79" w14:textId="77777777">
        <w:trPr>
          <w:jc w:val="center"/>
        </w:trPr>
        <w:tc>
          <w:tcPr>
            <w:tcW w:w="9029" w:type="dxa"/>
            <w:shd w:val="clear" w:color="auto" w:fill="FFF3E0"/>
          </w:tcPr>
          <w:p w14:paraId="21E12E73" w14:textId="77777777" w:rsidR="00A81986" w:rsidRDefault="0067390B">
            <w:r>
              <w:rPr>
                <w:b/>
                <w:sz w:val="18"/>
              </w:rPr>
              <w:t>⚠</w:t>
            </w:r>
            <w:r>
              <w:rPr>
                <w:b/>
                <w:sz w:val="18"/>
              </w:rPr>
              <w:t>️</w:t>
            </w:r>
            <w:r>
              <w:rPr>
                <w:b/>
                <w:sz w:val="18"/>
              </w:rPr>
              <w:t xml:space="preserve"> KEY INSIGHT</w:t>
            </w:r>
          </w:p>
          <w:p w14:paraId="56BFAA59" w14:textId="77777777" w:rsidR="00A81986" w:rsidRDefault="0067390B">
            <w:r>
              <w:rPr>
                <w:b/>
              </w:rPr>
              <w:t>Revenue intensity improved 11.37% but operational intensity lags peers by 1.9-9.4x due to low renewable adoption</w:t>
            </w:r>
          </w:p>
          <w:p w14:paraId="11F6F77E" w14:textId="77777777" w:rsidR="00A81986" w:rsidRDefault="0067390B">
            <w:r>
              <w:rPr>
                <w:sz w:val="20"/>
              </w:rPr>
              <w:t>Strong revenue intensity improvement driven by portfolio composition shifts toward lower-carbon sectors. However, operational intensity of 1.9209 tCO₂e/FTE remains 1.9x higher than BCA and 9.4x higher than DBS, reflecting less than 1% renewable energy vs. DBS's 62% RE100 compliance. Diesel reliance (64.7% of Scope 1) is primary gap driver.</w:t>
            </w:r>
          </w:p>
        </w:tc>
      </w:tr>
    </w:tbl>
    <w:p w14:paraId="61DE8BA8" w14:textId="77777777" w:rsidR="00A81986" w:rsidRDefault="00A81986"/>
    <w:p w14:paraId="31A094DB" w14:textId="77777777" w:rsidR="00A81986" w:rsidRDefault="0067390B">
      <w:pPr>
        <w:spacing w:after="160"/>
        <w:jc w:val="both"/>
      </w:pPr>
      <w:r>
        <w:rPr>
          <w:rFonts w:ascii="Arial" w:hAnsi="Arial"/>
        </w:rPr>
        <w:t xml:space="preserve">The institution reports two GHG emissions intensity metrics for the 2024 reporting period in accordance with GRI 305-4, IFRS S2 Paragraph 29(b), ESRS E1-6 DR E1-6.53, and OJK PSPK requirements. Revenue-based intensity for 2024 was 239.400139 tCO₂e per IDR billion, representing a 11.37% improvement from the prior year baseline of 270.116632 tCO₂e per IDR billion. Operational intensity (Scope 1 + 2 only) was 1.9209 tCO₂e per full-time equivalent employee, compared to 1.956 tCO₂e per FTE in 2023, reflecting a </w:t>
      </w:r>
      <w:r>
        <w:rPr>
          <w:rFonts w:ascii="Arial" w:hAnsi="Arial"/>
        </w:rPr>
        <w:t>1.79% improvement in operational efficiency.</w:t>
      </w:r>
    </w:p>
    <w:p w14:paraId="787B73D1" w14:textId="77777777" w:rsidR="00A81986" w:rsidRDefault="0067390B">
      <w:pPr>
        <w:spacing w:after="160"/>
        <w:jc w:val="both"/>
      </w:pPr>
      <w:r>
        <w:rPr>
          <w:rFonts w:ascii="Arial" w:hAnsi="Arial"/>
          <w:i/>
        </w:rPr>
        <w:t xml:space="preserve">The revenue-based intensity metric uses total gross financed emissions (Scope 1 + Scope 2 location-based + Scope 3 Category 15 gross) as the numerator, divided by total outstanding loan portfolio value expressed in IDR billion. This denominator was selected per GRI 305-4 guidance as the most appropriate measure of economic output for a financial institution, enabling cross-industry comparison as required by IFRS S2. The FTE-based intensity metric </w:t>
      </w:r>
      <w:r>
        <w:rPr>
          <w:rFonts w:ascii="Arial" w:hAnsi="Arial"/>
          <w:i/>
        </w:rPr>
        <w:lastRenderedPageBreak/>
        <w:t>uses operational emissions only (Scope 1 + Scope 2 location-based) divided by total full-time equivalent headcount, providing a measure of direct operational efficiency independent of portfolio composition changes.</w:t>
      </w:r>
    </w:p>
    <w:p w14:paraId="33170619" w14:textId="77777777" w:rsidR="00A81986" w:rsidRDefault="0067390B">
      <w:pPr>
        <w:spacing w:after="160"/>
        <w:jc w:val="both"/>
      </w:pPr>
      <w:r>
        <w:rPr>
          <w:rFonts w:ascii="Arial" w:hAnsi="Arial"/>
        </w:rPr>
        <w:t xml:space="preserve">The 11.37% improvement in revenue-based intensity was driven by a 4.07% reduction in absolute financed emissions combined with portfolio growth. The institution's total financed emissions (Scope 3 Category 15 weighted) decreased from 15,576,239.57 tCO₂e in 2023 to 15,280,174.14 tCO₂e in 2024, while the loan portfolio expanded. This decoupling of emissions from economic activity reflects improved portfolio composition, with lower-intensity sectors (Financial Services at 0.3567 tCO₂e/IDR billion, Real Estate </w:t>
      </w:r>
      <w:r>
        <w:rPr>
          <w:rFonts w:ascii="Arial" w:hAnsi="Arial"/>
        </w:rPr>
        <w:t>Residential at 0.6381 tCO₂e/IDR billion) growing faster than high-intensity sectors (Energy Oil &amp; Gas at 93.242 tCO₂e/IDR billion, Manufacturing Cement at 53.9927 tCO₂e/IDR billion).</w:t>
      </w:r>
    </w:p>
    <w:p w14:paraId="1551B996" w14:textId="77777777" w:rsidR="00A81986" w:rsidRDefault="0067390B">
      <w:pPr>
        <w:spacing w:after="160"/>
        <w:jc w:val="both"/>
      </w:pPr>
      <w:r>
        <w:rPr>
          <w:rFonts w:ascii="Arial" w:hAnsi="Arial"/>
        </w:rPr>
        <w:t>Operational intensity improved 1.79% year-over-year despite a 2.36% increase in absolute Scope 1 emissions, due to headcount growth of 2.03% (from 24,500 FTE in 2023 to 24,997 FTE in 2024) and stable Scope 2 emissions. The modest operational intensity improvement indicates that energy efficiency gains in existing facilities were partially offset by diesel consumption increases at non-electrified sites. Scope 1 emissions rose from 3,324.521 tCO₂e to 3,402.997 tCO₂e, driven primarily by diesel generator usage</w:t>
      </w:r>
      <w:r>
        <w:rPr>
          <w:rFonts w:ascii="Arial" w:hAnsi="Arial"/>
        </w:rPr>
        <w:t xml:space="preserve"> which increased from 2,125.4888 tCO₂e to 2,203.2044 tCO₂e, while natural gas consumption remained stable.</w:t>
      </w:r>
    </w:p>
    <w:p w14:paraId="7B49746C" w14:textId="77777777" w:rsidR="00A81986" w:rsidRDefault="0067390B">
      <w:pPr>
        <w:spacing w:after="160"/>
        <w:jc w:val="both"/>
      </w:pPr>
      <w:r>
        <w:rPr>
          <w:rFonts w:ascii="Arial" w:hAnsi="Arial"/>
        </w:rPr>
        <w:t>Peer benchmark analysis reveals that the institution's operational intensity of 1.9209 tCO₂e per FTE significantly underperforms regional banking sector leaders. DBS Group achieved 0.2041 tCO₂e per FTE in 2023 (calculated as 51,003 tCO₂e Scope 1+2 divided by approximately 250,000 employees), representing a 9.4x efficiency advantage. BCA reported approximately 0.9967 tCO₂e per FTE in 2024 (59,800 tCO₂e divided by approximately 60,000 employees), while BRI achieved approximately 1.5625 tCO₂e per FTE (97,500 t</w:t>
      </w:r>
      <w:r>
        <w:rPr>
          <w:rFonts w:ascii="Arial" w:hAnsi="Arial"/>
        </w:rPr>
        <w:t>CO₂e divided by approximately 62,400 employees). The institution's higher intensity is attributable to lower renewable energy adoption (less than 1% renewable vs. DBS's 62% RE100 compliance) and continued reliance on diesel backup generation at branch locations without grid reliability.</w:t>
      </w:r>
    </w:p>
    <w:p w14:paraId="4C0457A2" w14:textId="77777777" w:rsidR="00A81986" w:rsidRDefault="0067390B">
      <w:r>
        <w:rPr>
          <w:rFonts w:ascii="Arial" w:hAnsi="Arial"/>
          <w:b/>
          <w:sz w:val="20"/>
        </w:rPr>
        <w:t>Table 1.4.1: GHG Emissions Intensity Metrics — 2024</w:t>
      </w:r>
    </w:p>
    <w:tbl>
      <w:tblPr>
        <w:tblW w:w="0" w:type="auto"/>
        <w:jc w:val="center"/>
        <w:tblLook w:val="04A0" w:firstRow="1" w:lastRow="0" w:firstColumn="1" w:lastColumn="0" w:noHBand="0" w:noVBand="1"/>
      </w:tblPr>
      <w:tblGrid>
        <w:gridCol w:w="1806"/>
        <w:gridCol w:w="1806"/>
        <w:gridCol w:w="1806"/>
        <w:gridCol w:w="1806"/>
        <w:gridCol w:w="1806"/>
      </w:tblGrid>
      <w:tr w:rsidR="00A81986" w14:paraId="6A2A79BD" w14:textId="77777777">
        <w:trPr>
          <w:jc w:val="center"/>
        </w:trPr>
        <w:tc>
          <w:tcPr>
            <w:tcW w:w="1806" w:type="dxa"/>
            <w:shd w:val="clear" w:color="auto" w:fill="1B3A6B"/>
          </w:tcPr>
          <w:p w14:paraId="5DA2BA31" w14:textId="77777777" w:rsidR="00A81986" w:rsidRDefault="0067390B">
            <w:r>
              <w:rPr>
                <w:rFonts w:ascii="Arial" w:hAnsi="Arial"/>
                <w:b/>
                <w:color w:val="FFFFFF"/>
                <w:sz w:val="18"/>
              </w:rPr>
              <w:t>Intensity Metric</w:t>
            </w:r>
          </w:p>
        </w:tc>
        <w:tc>
          <w:tcPr>
            <w:tcW w:w="1806" w:type="dxa"/>
            <w:shd w:val="clear" w:color="auto" w:fill="1B3A6B"/>
          </w:tcPr>
          <w:p w14:paraId="46CDC98F" w14:textId="77777777" w:rsidR="00A81986" w:rsidRDefault="0067390B">
            <w:r>
              <w:rPr>
                <w:rFonts w:ascii="Arial" w:hAnsi="Arial"/>
                <w:b/>
                <w:color w:val="FFFFFF"/>
                <w:sz w:val="18"/>
              </w:rPr>
              <w:t>Numerator (tCO₂e)</w:t>
            </w:r>
          </w:p>
        </w:tc>
        <w:tc>
          <w:tcPr>
            <w:tcW w:w="1806" w:type="dxa"/>
            <w:shd w:val="clear" w:color="auto" w:fill="1B3A6B"/>
          </w:tcPr>
          <w:p w14:paraId="5FBA5208" w14:textId="77777777" w:rsidR="00A81986" w:rsidRDefault="0067390B">
            <w:r>
              <w:rPr>
                <w:rFonts w:ascii="Arial" w:hAnsi="Arial"/>
                <w:b/>
                <w:color w:val="FFFFFF"/>
                <w:sz w:val="18"/>
              </w:rPr>
              <w:t>Denominator</w:t>
            </w:r>
          </w:p>
        </w:tc>
        <w:tc>
          <w:tcPr>
            <w:tcW w:w="1806" w:type="dxa"/>
            <w:shd w:val="clear" w:color="auto" w:fill="1B3A6B"/>
          </w:tcPr>
          <w:p w14:paraId="09E9EA01" w14:textId="77777777" w:rsidR="00A81986" w:rsidRDefault="0067390B">
            <w:r>
              <w:rPr>
                <w:rFonts w:ascii="Arial" w:hAnsi="Arial"/>
                <w:b/>
                <w:color w:val="FFFFFF"/>
                <w:sz w:val="18"/>
              </w:rPr>
              <w:t>Ratio</w:t>
            </w:r>
          </w:p>
        </w:tc>
        <w:tc>
          <w:tcPr>
            <w:tcW w:w="1806" w:type="dxa"/>
            <w:shd w:val="clear" w:color="auto" w:fill="1B3A6B"/>
          </w:tcPr>
          <w:p w14:paraId="6DC2EDD2" w14:textId="77777777" w:rsidR="00A81986" w:rsidRDefault="0067390B">
            <w:r>
              <w:rPr>
                <w:rFonts w:ascii="Arial" w:hAnsi="Arial"/>
                <w:b/>
                <w:color w:val="FFFFFF"/>
                <w:sz w:val="18"/>
              </w:rPr>
              <w:t>Unit</w:t>
            </w:r>
          </w:p>
        </w:tc>
      </w:tr>
      <w:tr w:rsidR="00A81986" w14:paraId="4D5AD2E1" w14:textId="77777777">
        <w:trPr>
          <w:jc w:val="center"/>
        </w:trPr>
        <w:tc>
          <w:tcPr>
            <w:tcW w:w="1806" w:type="dxa"/>
          </w:tcPr>
          <w:p w14:paraId="7A8D2997" w14:textId="77777777" w:rsidR="00A81986" w:rsidRDefault="0067390B">
            <w:r>
              <w:rPr>
                <w:rFonts w:ascii="Arial" w:hAnsi="Arial"/>
                <w:sz w:val="18"/>
              </w:rPr>
              <w:t>Revenue-Based Intensity</w:t>
            </w:r>
          </w:p>
        </w:tc>
        <w:tc>
          <w:tcPr>
            <w:tcW w:w="1806" w:type="dxa"/>
          </w:tcPr>
          <w:p w14:paraId="14816F35" w14:textId="77777777" w:rsidR="00A81986" w:rsidRDefault="0067390B">
            <w:pPr>
              <w:jc w:val="right"/>
            </w:pPr>
            <w:r>
              <w:rPr>
                <w:rFonts w:ascii="Arial" w:hAnsi="Arial"/>
                <w:sz w:val="18"/>
              </w:rPr>
              <w:t>21,976,797.3</w:t>
            </w:r>
          </w:p>
        </w:tc>
        <w:tc>
          <w:tcPr>
            <w:tcW w:w="1806" w:type="dxa"/>
          </w:tcPr>
          <w:p w14:paraId="449406B7" w14:textId="77777777" w:rsidR="00A81986" w:rsidRDefault="0067390B">
            <w:r>
              <w:rPr>
                <w:rFonts w:ascii="Arial" w:hAnsi="Arial"/>
                <w:sz w:val="18"/>
              </w:rPr>
              <w:t>1,541.18 (IDR Trillion)</w:t>
            </w:r>
          </w:p>
        </w:tc>
        <w:tc>
          <w:tcPr>
            <w:tcW w:w="1806" w:type="dxa"/>
          </w:tcPr>
          <w:p w14:paraId="7DD278BD" w14:textId="77777777" w:rsidR="00A81986" w:rsidRDefault="0067390B">
            <w:pPr>
              <w:jc w:val="right"/>
            </w:pPr>
            <w:r>
              <w:rPr>
                <w:rFonts w:ascii="Arial" w:hAnsi="Arial"/>
                <w:sz w:val="18"/>
              </w:rPr>
              <w:t>239.400139</w:t>
            </w:r>
          </w:p>
        </w:tc>
        <w:tc>
          <w:tcPr>
            <w:tcW w:w="1806" w:type="dxa"/>
          </w:tcPr>
          <w:p w14:paraId="0E6ED7D6" w14:textId="77777777" w:rsidR="00A81986" w:rsidRDefault="0067390B">
            <w:r>
              <w:rPr>
                <w:rFonts w:ascii="Arial" w:hAnsi="Arial"/>
                <w:sz w:val="18"/>
              </w:rPr>
              <w:t>tCO₂e per IDR Billion</w:t>
            </w:r>
          </w:p>
        </w:tc>
      </w:tr>
      <w:tr w:rsidR="00A81986" w14:paraId="188DB218" w14:textId="77777777">
        <w:trPr>
          <w:jc w:val="center"/>
        </w:trPr>
        <w:tc>
          <w:tcPr>
            <w:tcW w:w="1806" w:type="dxa"/>
            <w:shd w:val="clear" w:color="auto" w:fill="F2F6FC"/>
          </w:tcPr>
          <w:p w14:paraId="3058ED09" w14:textId="77777777" w:rsidR="00A81986" w:rsidRDefault="0067390B">
            <w:r>
              <w:rPr>
                <w:rFonts w:ascii="Arial" w:hAnsi="Arial"/>
                <w:sz w:val="18"/>
              </w:rPr>
              <w:t>FTE-Based Intensity (Operational)</w:t>
            </w:r>
          </w:p>
        </w:tc>
        <w:tc>
          <w:tcPr>
            <w:tcW w:w="1806" w:type="dxa"/>
            <w:shd w:val="clear" w:color="auto" w:fill="F2F6FC"/>
          </w:tcPr>
          <w:p w14:paraId="5E8A504E" w14:textId="77777777" w:rsidR="00A81986" w:rsidRDefault="0067390B">
            <w:pPr>
              <w:jc w:val="right"/>
            </w:pPr>
            <w:r>
              <w:rPr>
                <w:rFonts w:ascii="Arial" w:hAnsi="Arial"/>
                <w:sz w:val="18"/>
              </w:rPr>
              <w:t>48,016.873</w:t>
            </w:r>
          </w:p>
        </w:tc>
        <w:tc>
          <w:tcPr>
            <w:tcW w:w="1806" w:type="dxa"/>
            <w:shd w:val="clear" w:color="auto" w:fill="F2F6FC"/>
          </w:tcPr>
          <w:p w14:paraId="7B379899" w14:textId="77777777" w:rsidR="00A81986" w:rsidRDefault="0067390B">
            <w:r>
              <w:rPr>
                <w:rFonts w:ascii="Arial" w:hAnsi="Arial"/>
                <w:sz w:val="18"/>
              </w:rPr>
              <w:t>24,997 (FTE)</w:t>
            </w:r>
          </w:p>
        </w:tc>
        <w:tc>
          <w:tcPr>
            <w:tcW w:w="1806" w:type="dxa"/>
            <w:shd w:val="clear" w:color="auto" w:fill="F2F6FC"/>
          </w:tcPr>
          <w:p w14:paraId="1EE624BD" w14:textId="77777777" w:rsidR="00A81986" w:rsidRDefault="0067390B">
            <w:pPr>
              <w:jc w:val="right"/>
            </w:pPr>
            <w:r>
              <w:rPr>
                <w:rFonts w:ascii="Arial" w:hAnsi="Arial"/>
                <w:sz w:val="18"/>
              </w:rPr>
              <w:t>1.9209</w:t>
            </w:r>
          </w:p>
        </w:tc>
        <w:tc>
          <w:tcPr>
            <w:tcW w:w="1806" w:type="dxa"/>
            <w:shd w:val="clear" w:color="auto" w:fill="F2F6FC"/>
          </w:tcPr>
          <w:p w14:paraId="7E1C2393" w14:textId="77777777" w:rsidR="00A81986" w:rsidRDefault="0067390B">
            <w:r>
              <w:rPr>
                <w:rFonts w:ascii="Arial" w:hAnsi="Arial"/>
                <w:sz w:val="18"/>
              </w:rPr>
              <w:t>tCO₂e per FTE</w:t>
            </w:r>
          </w:p>
        </w:tc>
      </w:tr>
    </w:tbl>
    <w:p w14:paraId="0EF60795" w14:textId="77777777" w:rsidR="00A81986" w:rsidRDefault="0067390B">
      <w:r>
        <w:rPr>
          <w:rFonts w:ascii="Arial" w:hAnsi="Arial"/>
          <w:i/>
          <w:sz w:val="16"/>
        </w:rPr>
        <w:t>Source: Numerator for revenue intensity: Scope 1 + Scope 2 location-based + Scope 3 Category 15 gross. Numerator for FTE intensity: Scope 1 + Scope 2 location-based only. Portfolio denominator calculated as sum of total_outstanding_idr_trillion across all PCAF sectors.</w:t>
      </w:r>
    </w:p>
    <w:p w14:paraId="0F8D8FD6" w14:textId="77777777" w:rsidR="00A81986" w:rsidRDefault="00A81986"/>
    <w:p w14:paraId="44D3BAC4" w14:textId="77777777" w:rsidR="00A81986" w:rsidRDefault="0067390B">
      <w:r>
        <w:rPr>
          <w:rFonts w:ascii="Arial" w:hAnsi="Arial"/>
          <w:b/>
          <w:sz w:val="20"/>
        </w:rPr>
        <w:t>Table 1.4.2: Year-over-Year Intensity Comparison</w:t>
      </w:r>
    </w:p>
    <w:tbl>
      <w:tblPr>
        <w:tblW w:w="0" w:type="auto"/>
        <w:jc w:val="center"/>
        <w:tblLook w:val="04A0" w:firstRow="1" w:lastRow="0" w:firstColumn="1" w:lastColumn="0" w:noHBand="0" w:noVBand="1"/>
      </w:tblPr>
      <w:tblGrid>
        <w:gridCol w:w="1806"/>
        <w:gridCol w:w="1806"/>
        <w:gridCol w:w="1806"/>
        <w:gridCol w:w="1806"/>
        <w:gridCol w:w="1806"/>
      </w:tblGrid>
      <w:tr w:rsidR="00A81986" w14:paraId="1809EAD7" w14:textId="77777777">
        <w:trPr>
          <w:jc w:val="center"/>
        </w:trPr>
        <w:tc>
          <w:tcPr>
            <w:tcW w:w="1806" w:type="dxa"/>
            <w:shd w:val="clear" w:color="auto" w:fill="1B3A6B"/>
          </w:tcPr>
          <w:p w14:paraId="09B0C99F" w14:textId="77777777" w:rsidR="00A81986" w:rsidRDefault="0067390B">
            <w:r>
              <w:rPr>
                <w:rFonts w:ascii="Arial" w:hAnsi="Arial"/>
                <w:b/>
                <w:color w:val="FFFFFF"/>
                <w:sz w:val="18"/>
              </w:rPr>
              <w:t>Metric</w:t>
            </w:r>
          </w:p>
        </w:tc>
        <w:tc>
          <w:tcPr>
            <w:tcW w:w="1806" w:type="dxa"/>
            <w:shd w:val="clear" w:color="auto" w:fill="1B3A6B"/>
          </w:tcPr>
          <w:p w14:paraId="5E339920" w14:textId="77777777" w:rsidR="00A81986" w:rsidRDefault="0067390B">
            <w:r>
              <w:rPr>
                <w:rFonts w:ascii="Arial" w:hAnsi="Arial"/>
                <w:b/>
                <w:color w:val="FFFFFF"/>
                <w:sz w:val="18"/>
              </w:rPr>
              <w:t>2024</w:t>
            </w:r>
          </w:p>
        </w:tc>
        <w:tc>
          <w:tcPr>
            <w:tcW w:w="1806" w:type="dxa"/>
            <w:shd w:val="clear" w:color="auto" w:fill="1B3A6B"/>
          </w:tcPr>
          <w:p w14:paraId="7C863B96" w14:textId="77777777" w:rsidR="00A81986" w:rsidRDefault="0067390B">
            <w:r>
              <w:rPr>
                <w:rFonts w:ascii="Arial" w:hAnsi="Arial"/>
                <w:b/>
                <w:color w:val="FFFFFF"/>
                <w:sz w:val="18"/>
              </w:rPr>
              <w:t>2023</w:t>
            </w:r>
          </w:p>
        </w:tc>
        <w:tc>
          <w:tcPr>
            <w:tcW w:w="1806" w:type="dxa"/>
            <w:shd w:val="clear" w:color="auto" w:fill="1B3A6B"/>
          </w:tcPr>
          <w:p w14:paraId="44A8D6F6" w14:textId="77777777" w:rsidR="00A81986" w:rsidRDefault="0067390B">
            <w:r>
              <w:rPr>
                <w:rFonts w:ascii="Arial" w:hAnsi="Arial"/>
                <w:b/>
                <w:color w:val="FFFFFF"/>
                <w:sz w:val="18"/>
              </w:rPr>
              <w:t>Absolute Change</w:t>
            </w:r>
          </w:p>
        </w:tc>
        <w:tc>
          <w:tcPr>
            <w:tcW w:w="1806" w:type="dxa"/>
            <w:shd w:val="clear" w:color="auto" w:fill="1B3A6B"/>
          </w:tcPr>
          <w:p w14:paraId="1C4B83BF" w14:textId="77777777" w:rsidR="00A81986" w:rsidRDefault="0067390B">
            <w:r>
              <w:rPr>
                <w:rFonts w:ascii="Arial" w:hAnsi="Arial"/>
                <w:b/>
                <w:color w:val="FFFFFF"/>
                <w:sz w:val="18"/>
              </w:rPr>
              <w:t>Percentage Change</w:t>
            </w:r>
          </w:p>
        </w:tc>
      </w:tr>
      <w:tr w:rsidR="00A81986" w14:paraId="5CF39ABA" w14:textId="77777777">
        <w:trPr>
          <w:jc w:val="center"/>
        </w:trPr>
        <w:tc>
          <w:tcPr>
            <w:tcW w:w="1806" w:type="dxa"/>
          </w:tcPr>
          <w:p w14:paraId="4F82F346" w14:textId="77777777" w:rsidR="00A81986" w:rsidRDefault="0067390B">
            <w:r>
              <w:rPr>
                <w:rFonts w:ascii="Arial" w:hAnsi="Arial"/>
                <w:sz w:val="18"/>
              </w:rPr>
              <w:lastRenderedPageBreak/>
              <w:t>Revenue Intensity (tCO₂e/IDR Bn)</w:t>
            </w:r>
          </w:p>
        </w:tc>
        <w:tc>
          <w:tcPr>
            <w:tcW w:w="1806" w:type="dxa"/>
          </w:tcPr>
          <w:p w14:paraId="6DBBB4F8" w14:textId="77777777" w:rsidR="00A81986" w:rsidRDefault="0067390B">
            <w:pPr>
              <w:jc w:val="right"/>
            </w:pPr>
            <w:r>
              <w:rPr>
                <w:rFonts w:ascii="Arial" w:hAnsi="Arial"/>
                <w:sz w:val="18"/>
              </w:rPr>
              <w:t>239.400139</w:t>
            </w:r>
          </w:p>
        </w:tc>
        <w:tc>
          <w:tcPr>
            <w:tcW w:w="1806" w:type="dxa"/>
          </w:tcPr>
          <w:p w14:paraId="551A878D" w14:textId="77777777" w:rsidR="00A81986" w:rsidRDefault="0067390B">
            <w:pPr>
              <w:jc w:val="right"/>
            </w:pPr>
            <w:r>
              <w:rPr>
                <w:rFonts w:ascii="Arial" w:hAnsi="Arial"/>
                <w:sz w:val="18"/>
              </w:rPr>
              <w:t>270.116632</w:t>
            </w:r>
          </w:p>
        </w:tc>
        <w:tc>
          <w:tcPr>
            <w:tcW w:w="1806" w:type="dxa"/>
          </w:tcPr>
          <w:p w14:paraId="75CF16FE" w14:textId="77777777" w:rsidR="00A81986" w:rsidRDefault="0067390B">
            <w:pPr>
              <w:jc w:val="right"/>
            </w:pPr>
            <w:r>
              <w:rPr>
                <w:rFonts w:ascii="Arial" w:hAnsi="Arial"/>
                <w:sz w:val="18"/>
              </w:rPr>
              <w:t>-30.716493</w:t>
            </w:r>
          </w:p>
        </w:tc>
        <w:tc>
          <w:tcPr>
            <w:tcW w:w="1806" w:type="dxa"/>
          </w:tcPr>
          <w:p w14:paraId="24B20842" w14:textId="77777777" w:rsidR="00A81986" w:rsidRDefault="0067390B">
            <w:pPr>
              <w:jc w:val="right"/>
            </w:pPr>
            <w:r>
              <w:rPr>
                <w:rFonts w:ascii="Arial" w:hAnsi="Arial"/>
                <w:sz w:val="18"/>
              </w:rPr>
              <w:t>-11.37%</w:t>
            </w:r>
          </w:p>
        </w:tc>
      </w:tr>
      <w:tr w:rsidR="00A81986" w14:paraId="3FEDF2F2" w14:textId="77777777">
        <w:trPr>
          <w:jc w:val="center"/>
        </w:trPr>
        <w:tc>
          <w:tcPr>
            <w:tcW w:w="1806" w:type="dxa"/>
            <w:shd w:val="clear" w:color="auto" w:fill="F2F6FC"/>
          </w:tcPr>
          <w:p w14:paraId="0883A7BE" w14:textId="77777777" w:rsidR="00A81986" w:rsidRDefault="0067390B">
            <w:r>
              <w:rPr>
                <w:rFonts w:ascii="Arial" w:hAnsi="Arial"/>
                <w:sz w:val="18"/>
              </w:rPr>
              <w:t>FTE Intensity (tCO₂e/FTE)</w:t>
            </w:r>
          </w:p>
        </w:tc>
        <w:tc>
          <w:tcPr>
            <w:tcW w:w="1806" w:type="dxa"/>
            <w:shd w:val="clear" w:color="auto" w:fill="F2F6FC"/>
          </w:tcPr>
          <w:p w14:paraId="3DC6D327" w14:textId="77777777" w:rsidR="00A81986" w:rsidRDefault="0067390B">
            <w:pPr>
              <w:jc w:val="right"/>
            </w:pPr>
            <w:r>
              <w:rPr>
                <w:rFonts w:ascii="Arial" w:hAnsi="Arial"/>
                <w:sz w:val="18"/>
              </w:rPr>
              <w:t>1.9209</w:t>
            </w:r>
          </w:p>
        </w:tc>
        <w:tc>
          <w:tcPr>
            <w:tcW w:w="1806" w:type="dxa"/>
            <w:shd w:val="clear" w:color="auto" w:fill="F2F6FC"/>
          </w:tcPr>
          <w:p w14:paraId="0F9F62AD" w14:textId="77777777" w:rsidR="00A81986" w:rsidRDefault="0067390B">
            <w:pPr>
              <w:jc w:val="right"/>
            </w:pPr>
            <w:r>
              <w:rPr>
                <w:rFonts w:ascii="Arial" w:hAnsi="Arial"/>
                <w:sz w:val="18"/>
              </w:rPr>
              <w:t>1.956</w:t>
            </w:r>
          </w:p>
        </w:tc>
        <w:tc>
          <w:tcPr>
            <w:tcW w:w="1806" w:type="dxa"/>
            <w:shd w:val="clear" w:color="auto" w:fill="F2F6FC"/>
          </w:tcPr>
          <w:p w14:paraId="709942B6" w14:textId="77777777" w:rsidR="00A81986" w:rsidRDefault="0067390B">
            <w:pPr>
              <w:jc w:val="right"/>
            </w:pPr>
            <w:r>
              <w:rPr>
                <w:rFonts w:ascii="Arial" w:hAnsi="Arial"/>
                <w:sz w:val="18"/>
              </w:rPr>
              <w:t>-0.0351</w:t>
            </w:r>
          </w:p>
        </w:tc>
        <w:tc>
          <w:tcPr>
            <w:tcW w:w="1806" w:type="dxa"/>
            <w:shd w:val="clear" w:color="auto" w:fill="F2F6FC"/>
          </w:tcPr>
          <w:p w14:paraId="42A14557" w14:textId="77777777" w:rsidR="00A81986" w:rsidRDefault="0067390B">
            <w:pPr>
              <w:jc w:val="right"/>
            </w:pPr>
            <w:r>
              <w:rPr>
                <w:rFonts w:ascii="Arial" w:hAnsi="Arial"/>
                <w:sz w:val="18"/>
              </w:rPr>
              <w:t>-1.79%</w:t>
            </w:r>
          </w:p>
        </w:tc>
      </w:tr>
    </w:tbl>
    <w:p w14:paraId="268E0DAD" w14:textId="77777777" w:rsidR="00A81986" w:rsidRDefault="0067390B">
      <w:r>
        <w:rPr>
          <w:rFonts w:ascii="Arial" w:hAnsi="Arial"/>
          <w:i/>
          <w:sz w:val="16"/>
        </w:rPr>
        <w:t>Source: Prior year data from ghg_summary.prior_year_summary. Percentage changes calculated as ((current - prior) / prior) × 100.</w:t>
      </w:r>
    </w:p>
    <w:p w14:paraId="32AF5E92" w14:textId="77777777" w:rsidR="00A81986" w:rsidRDefault="00A81986"/>
    <w:p w14:paraId="0CCBCDC6" w14:textId="77777777" w:rsidR="00A81986" w:rsidRDefault="0067390B">
      <w:r>
        <w:rPr>
          <w:rFonts w:ascii="Arial" w:hAnsi="Arial"/>
          <w:b/>
          <w:sz w:val="20"/>
        </w:rPr>
        <w:t>Table 1.4.3: Peer Benchmark — Operational Intensity (tCO₂e per FTE)</w:t>
      </w:r>
    </w:p>
    <w:tbl>
      <w:tblPr>
        <w:tblW w:w="0" w:type="auto"/>
        <w:jc w:val="center"/>
        <w:tblLook w:val="04A0" w:firstRow="1" w:lastRow="0" w:firstColumn="1" w:lastColumn="0" w:noHBand="0" w:noVBand="1"/>
      </w:tblPr>
      <w:tblGrid>
        <w:gridCol w:w="1806"/>
        <w:gridCol w:w="1806"/>
        <w:gridCol w:w="1806"/>
        <w:gridCol w:w="1806"/>
        <w:gridCol w:w="1806"/>
      </w:tblGrid>
      <w:tr w:rsidR="00A81986" w14:paraId="01C48FFA" w14:textId="77777777">
        <w:trPr>
          <w:jc w:val="center"/>
        </w:trPr>
        <w:tc>
          <w:tcPr>
            <w:tcW w:w="1806" w:type="dxa"/>
            <w:shd w:val="clear" w:color="auto" w:fill="1B3A6B"/>
          </w:tcPr>
          <w:p w14:paraId="01A1EA64" w14:textId="77777777" w:rsidR="00A81986" w:rsidRDefault="0067390B">
            <w:r>
              <w:rPr>
                <w:rFonts w:ascii="Arial" w:hAnsi="Arial"/>
                <w:b/>
                <w:color w:val="FFFFFF"/>
                <w:sz w:val="18"/>
              </w:rPr>
              <w:t>Institution</w:t>
            </w:r>
          </w:p>
        </w:tc>
        <w:tc>
          <w:tcPr>
            <w:tcW w:w="1806" w:type="dxa"/>
            <w:shd w:val="clear" w:color="auto" w:fill="1B3A6B"/>
          </w:tcPr>
          <w:p w14:paraId="3BA9C06A" w14:textId="77777777" w:rsidR="00A81986" w:rsidRDefault="0067390B">
            <w:r>
              <w:rPr>
                <w:rFonts w:ascii="Arial" w:hAnsi="Arial"/>
                <w:b/>
                <w:color w:val="FFFFFF"/>
                <w:sz w:val="18"/>
              </w:rPr>
              <w:t>Scope 1+2 (tCO₂e)</w:t>
            </w:r>
          </w:p>
        </w:tc>
        <w:tc>
          <w:tcPr>
            <w:tcW w:w="1806" w:type="dxa"/>
            <w:shd w:val="clear" w:color="auto" w:fill="1B3A6B"/>
          </w:tcPr>
          <w:p w14:paraId="7A47844A" w14:textId="77777777" w:rsidR="00A81986" w:rsidRDefault="0067390B">
            <w:r>
              <w:rPr>
                <w:rFonts w:ascii="Arial" w:hAnsi="Arial"/>
                <w:b/>
                <w:color w:val="FFFFFF"/>
                <w:sz w:val="18"/>
              </w:rPr>
              <w:t>Approximate FTE</w:t>
            </w:r>
          </w:p>
        </w:tc>
        <w:tc>
          <w:tcPr>
            <w:tcW w:w="1806" w:type="dxa"/>
            <w:shd w:val="clear" w:color="auto" w:fill="1B3A6B"/>
          </w:tcPr>
          <w:p w14:paraId="24AAF1C3" w14:textId="77777777" w:rsidR="00A81986" w:rsidRDefault="0067390B">
            <w:r>
              <w:rPr>
                <w:rFonts w:ascii="Arial" w:hAnsi="Arial"/>
                <w:b/>
                <w:color w:val="FFFFFF"/>
                <w:sz w:val="18"/>
              </w:rPr>
              <w:t>Intensity (tCO₂e/FTE)</w:t>
            </w:r>
          </w:p>
        </w:tc>
        <w:tc>
          <w:tcPr>
            <w:tcW w:w="1806" w:type="dxa"/>
            <w:shd w:val="clear" w:color="auto" w:fill="1B3A6B"/>
          </w:tcPr>
          <w:p w14:paraId="4D098873" w14:textId="77777777" w:rsidR="00A81986" w:rsidRDefault="0067390B">
            <w:r>
              <w:rPr>
                <w:rFonts w:ascii="Arial" w:hAnsi="Arial"/>
                <w:b/>
                <w:color w:val="FFFFFF"/>
                <w:sz w:val="18"/>
              </w:rPr>
              <w:t>Year</w:t>
            </w:r>
          </w:p>
        </w:tc>
      </w:tr>
      <w:tr w:rsidR="00A81986" w14:paraId="6BD610F8" w14:textId="77777777">
        <w:trPr>
          <w:jc w:val="center"/>
        </w:trPr>
        <w:tc>
          <w:tcPr>
            <w:tcW w:w="1806" w:type="dxa"/>
          </w:tcPr>
          <w:p w14:paraId="6CD42862" w14:textId="77777777" w:rsidR="00A81986" w:rsidRDefault="0067390B">
            <w:r>
              <w:rPr>
                <w:rFonts w:ascii="Arial" w:hAnsi="Arial"/>
                <w:sz w:val="18"/>
              </w:rPr>
              <w:t>Generic Financial Institution</w:t>
            </w:r>
          </w:p>
        </w:tc>
        <w:tc>
          <w:tcPr>
            <w:tcW w:w="1806" w:type="dxa"/>
          </w:tcPr>
          <w:p w14:paraId="221E2B25" w14:textId="77777777" w:rsidR="00A81986" w:rsidRDefault="0067390B">
            <w:pPr>
              <w:jc w:val="right"/>
            </w:pPr>
            <w:r>
              <w:rPr>
                <w:rFonts w:ascii="Arial" w:hAnsi="Arial"/>
                <w:sz w:val="18"/>
              </w:rPr>
              <w:t>48,016.873</w:t>
            </w:r>
          </w:p>
        </w:tc>
        <w:tc>
          <w:tcPr>
            <w:tcW w:w="1806" w:type="dxa"/>
          </w:tcPr>
          <w:p w14:paraId="7A69F870" w14:textId="77777777" w:rsidR="00A81986" w:rsidRDefault="0067390B">
            <w:pPr>
              <w:jc w:val="right"/>
            </w:pPr>
            <w:r>
              <w:rPr>
                <w:rFonts w:ascii="Arial" w:hAnsi="Arial"/>
                <w:sz w:val="18"/>
              </w:rPr>
              <w:t>24,997</w:t>
            </w:r>
          </w:p>
        </w:tc>
        <w:tc>
          <w:tcPr>
            <w:tcW w:w="1806" w:type="dxa"/>
          </w:tcPr>
          <w:p w14:paraId="4E6CE443" w14:textId="77777777" w:rsidR="00A81986" w:rsidRDefault="0067390B">
            <w:pPr>
              <w:jc w:val="right"/>
            </w:pPr>
            <w:r>
              <w:rPr>
                <w:rFonts w:ascii="Arial" w:hAnsi="Arial"/>
                <w:sz w:val="18"/>
              </w:rPr>
              <w:t>1.9209</w:t>
            </w:r>
          </w:p>
        </w:tc>
        <w:tc>
          <w:tcPr>
            <w:tcW w:w="1806" w:type="dxa"/>
          </w:tcPr>
          <w:p w14:paraId="427DB6AE" w14:textId="77777777" w:rsidR="00A81986" w:rsidRDefault="0067390B">
            <w:pPr>
              <w:jc w:val="right"/>
            </w:pPr>
            <w:r>
              <w:rPr>
                <w:rFonts w:ascii="Arial" w:hAnsi="Arial"/>
                <w:sz w:val="18"/>
              </w:rPr>
              <w:t>2024</w:t>
            </w:r>
          </w:p>
        </w:tc>
      </w:tr>
      <w:tr w:rsidR="00A81986" w14:paraId="387DD016" w14:textId="77777777">
        <w:trPr>
          <w:jc w:val="center"/>
        </w:trPr>
        <w:tc>
          <w:tcPr>
            <w:tcW w:w="1806" w:type="dxa"/>
            <w:shd w:val="clear" w:color="auto" w:fill="F2F6FC"/>
          </w:tcPr>
          <w:p w14:paraId="0E55D92E" w14:textId="77777777" w:rsidR="00A81986" w:rsidRDefault="0067390B">
            <w:r>
              <w:rPr>
                <w:rFonts w:ascii="Arial" w:hAnsi="Arial"/>
                <w:sz w:val="18"/>
              </w:rPr>
              <w:t>DBS Group</w:t>
            </w:r>
          </w:p>
        </w:tc>
        <w:tc>
          <w:tcPr>
            <w:tcW w:w="1806" w:type="dxa"/>
            <w:shd w:val="clear" w:color="auto" w:fill="F2F6FC"/>
          </w:tcPr>
          <w:p w14:paraId="0E798086" w14:textId="77777777" w:rsidR="00A81986" w:rsidRDefault="0067390B">
            <w:pPr>
              <w:jc w:val="right"/>
            </w:pPr>
            <w:r>
              <w:rPr>
                <w:rFonts w:ascii="Arial" w:hAnsi="Arial"/>
                <w:sz w:val="18"/>
              </w:rPr>
              <w:t>51,003</w:t>
            </w:r>
          </w:p>
        </w:tc>
        <w:tc>
          <w:tcPr>
            <w:tcW w:w="1806" w:type="dxa"/>
            <w:shd w:val="clear" w:color="auto" w:fill="F2F6FC"/>
          </w:tcPr>
          <w:p w14:paraId="66443ABE" w14:textId="77777777" w:rsidR="00A81986" w:rsidRDefault="0067390B">
            <w:r>
              <w:rPr>
                <w:rFonts w:ascii="Arial" w:hAnsi="Arial"/>
                <w:sz w:val="18"/>
              </w:rPr>
              <w:t>~250,000</w:t>
            </w:r>
          </w:p>
        </w:tc>
        <w:tc>
          <w:tcPr>
            <w:tcW w:w="1806" w:type="dxa"/>
            <w:shd w:val="clear" w:color="auto" w:fill="F2F6FC"/>
          </w:tcPr>
          <w:p w14:paraId="628E6F5A" w14:textId="77777777" w:rsidR="00A81986" w:rsidRDefault="0067390B">
            <w:pPr>
              <w:jc w:val="right"/>
            </w:pPr>
            <w:r>
              <w:rPr>
                <w:rFonts w:ascii="Arial" w:hAnsi="Arial"/>
                <w:sz w:val="18"/>
              </w:rPr>
              <w:t>0.2041</w:t>
            </w:r>
          </w:p>
        </w:tc>
        <w:tc>
          <w:tcPr>
            <w:tcW w:w="1806" w:type="dxa"/>
            <w:shd w:val="clear" w:color="auto" w:fill="F2F6FC"/>
          </w:tcPr>
          <w:p w14:paraId="0D52B1DB" w14:textId="77777777" w:rsidR="00A81986" w:rsidRDefault="0067390B">
            <w:pPr>
              <w:jc w:val="right"/>
            </w:pPr>
            <w:r>
              <w:rPr>
                <w:rFonts w:ascii="Arial" w:hAnsi="Arial"/>
                <w:sz w:val="18"/>
              </w:rPr>
              <w:t>2023</w:t>
            </w:r>
          </w:p>
        </w:tc>
      </w:tr>
      <w:tr w:rsidR="00A81986" w14:paraId="355836FB" w14:textId="77777777">
        <w:trPr>
          <w:jc w:val="center"/>
        </w:trPr>
        <w:tc>
          <w:tcPr>
            <w:tcW w:w="1806" w:type="dxa"/>
          </w:tcPr>
          <w:p w14:paraId="4DA4B84E" w14:textId="77777777" w:rsidR="00A81986" w:rsidRDefault="0067390B">
            <w:r>
              <w:rPr>
                <w:rFonts w:ascii="Arial" w:hAnsi="Arial"/>
                <w:sz w:val="18"/>
              </w:rPr>
              <w:t>BCA</w:t>
            </w:r>
          </w:p>
        </w:tc>
        <w:tc>
          <w:tcPr>
            <w:tcW w:w="1806" w:type="dxa"/>
          </w:tcPr>
          <w:p w14:paraId="433F59C8" w14:textId="77777777" w:rsidR="00A81986" w:rsidRDefault="0067390B">
            <w:pPr>
              <w:jc w:val="right"/>
            </w:pPr>
            <w:r>
              <w:rPr>
                <w:rFonts w:ascii="Arial" w:hAnsi="Arial"/>
                <w:sz w:val="18"/>
              </w:rPr>
              <w:t>59,800</w:t>
            </w:r>
          </w:p>
        </w:tc>
        <w:tc>
          <w:tcPr>
            <w:tcW w:w="1806" w:type="dxa"/>
          </w:tcPr>
          <w:p w14:paraId="70643880" w14:textId="77777777" w:rsidR="00A81986" w:rsidRDefault="0067390B">
            <w:r>
              <w:rPr>
                <w:rFonts w:ascii="Arial" w:hAnsi="Arial"/>
                <w:sz w:val="18"/>
              </w:rPr>
              <w:t>~60,000</w:t>
            </w:r>
          </w:p>
        </w:tc>
        <w:tc>
          <w:tcPr>
            <w:tcW w:w="1806" w:type="dxa"/>
          </w:tcPr>
          <w:p w14:paraId="4FD88773" w14:textId="77777777" w:rsidR="00A81986" w:rsidRDefault="0067390B">
            <w:pPr>
              <w:jc w:val="right"/>
            </w:pPr>
            <w:r>
              <w:rPr>
                <w:rFonts w:ascii="Arial" w:hAnsi="Arial"/>
                <w:sz w:val="18"/>
              </w:rPr>
              <w:t>0.9967</w:t>
            </w:r>
          </w:p>
        </w:tc>
        <w:tc>
          <w:tcPr>
            <w:tcW w:w="1806" w:type="dxa"/>
          </w:tcPr>
          <w:p w14:paraId="40D137D8" w14:textId="77777777" w:rsidR="00A81986" w:rsidRDefault="0067390B">
            <w:pPr>
              <w:jc w:val="right"/>
            </w:pPr>
            <w:r>
              <w:rPr>
                <w:rFonts w:ascii="Arial" w:hAnsi="Arial"/>
                <w:sz w:val="18"/>
              </w:rPr>
              <w:t>2024</w:t>
            </w:r>
          </w:p>
        </w:tc>
      </w:tr>
      <w:tr w:rsidR="00A81986" w14:paraId="36240288" w14:textId="77777777">
        <w:trPr>
          <w:jc w:val="center"/>
        </w:trPr>
        <w:tc>
          <w:tcPr>
            <w:tcW w:w="1806" w:type="dxa"/>
            <w:shd w:val="clear" w:color="auto" w:fill="F2F6FC"/>
          </w:tcPr>
          <w:p w14:paraId="14420909" w14:textId="77777777" w:rsidR="00A81986" w:rsidRDefault="0067390B">
            <w:r>
              <w:rPr>
                <w:rFonts w:ascii="Arial" w:hAnsi="Arial"/>
                <w:sz w:val="18"/>
              </w:rPr>
              <w:t>BRI</w:t>
            </w:r>
          </w:p>
        </w:tc>
        <w:tc>
          <w:tcPr>
            <w:tcW w:w="1806" w:type="dxa"/>
            <w:shd w:val="clear" w:color="auto" w:fill="F2F6FC"/>
          </w:tcPr>
          <w:p w14:paraId="44616D8B" w14:textId="77777777" w:rsidR="00A81986" w:rsidRDefault="0067390B">
            <w:pPr>
              <w:jc w:val="right"/>
            </w:pPr>
            <w:r>
              <w:rPr>
                <w:rFonts w:ascii="Arial" w:hAnsi="Arial"/>
                <w:sz w:val="18"/>
              </w:rPr>
              <w:t>97,500</w:t>
            </w:r>
          </w:p>
        </w:tc>
        <w:tc>
          <w:tcPr>
            <w:tcW w:w="1806" w:type="dxa"/>
            <w:shd w:val="clear" w:color="auto" w:fill="F2F6FC"/>
          </w:tcPr>
          <w:p w14:paraId="68B44E14" w14:textId="77777777" w:rsidR="00A81986" w:rsidRDefault="0067390B">
            <w:r>
              <w:rPr>
                <w:rFonts w:ascii="Arial" w:hAnsi="Arial"/>
                <w:sz w:val="18"/>
              </w:rPr>
              <w:t>~62,400</w:t>
            </w:r>
          </w:p>
        </w:tc>
        <w:tc>
          <w:tcPr>
            <w:tcW w:w="1806" w:type="dxa"/>
            <w:shd w:val="clear" w:color="auto" w:fill="F2F6FC"/>
          </w:tcPr>
          <w:p w14:paraId="68243446" w14:textId="77777777" w:rsidR="00A81986" w:rsidRDefault="0067390B">
            <w:pPr>
              <w:jc w:val="right"/>
            </w:pPr>
            <w:r>
              <w:rPr>
                <w:rFonts w:ascii="Arial" w:hAnsi="Arial"/>
                <w:sz w:val="18"/>
              </w:rPr>
              <w:t>1.5625</w:t>
            </w:r>
          </w:p>
        </w:tc>
        <w:tc>
          <w:tcPr>
            <w:tcW w:w="1806" w:type="dxa"/>
            <w:shd w:val="clear" w:color="auto" w:fill="F2F6FC"/>
          </w:tcPr>
          <w:p w14:paraId="4FF6478E" w14:textId="77777777" w:rsidR="00A81986" w:rsidRDefault="0067390B">
            <w:pPr>
              <w:jc w:val="right"/>
            </w:pPr>
            <w:r>
              <w:rPr>
                <w:rFonts w:ascii="Arial" w:hAnsi="Arial"/>
                <w:sz w:val="18"/>
              </w:rPr>
              <w:t>2023</w:t>
            </w:r>
          </w:p>
        </w:tc>
      </w:tr>
      <w:tr w:rsidR="00A81986" w14:paraId="193E8659" w14:textId="77777777">
        <w:trPr>
          <w:jc w:val="center"/>
        </w:trPr>
        <w:tc>
          <w:tcPr>
            <w:tcW w:w="1806" w:type="dxa"/>
          </w:tcPr>
          <w:p w14:paraId="1E81DD1F" w14:textId="77777777" w:rsidR="00A81986" w:rsidRDefault="0067390B">
            <w:r>
              <w:rPr>
                <w:rFonts w:ascii="Arial" w:hAnsi="Arial"/>
                <w:sz w:val="18"/>
              </w:rPr>
              <w:t>Bank Mandiri</w:t>
            </w:r>
          </w:p>
        </w:tc>
        <w:tc>
          <w:tcPr>
            <w:tcW w:w="1806" w:type="dxa"/>
          </w:tcPr>
          <w:p w14:paraId="770CAD33" w14:textId="77777777" w:rsidR="00A81986" w:rsidRDefault="0067390B">
            <w:pPr>
              <w:jc w:val="right"/>
            </w:pPr>
            <w:r>
              <w:rPr>
                <w:rFonts w:ascii="Arial" w:hAnsi="Arial"/>
                <w:sz w:val="18"/>
              </w:rPr>
              <w:t>70,200</w:t>
            </w:r>
          </w:p>
        </w:tc>
        <w:tc>
          <w:tcPr>
            <w:tcW w:w="1806" w:type="dxa"/>
          </w:tcPr>
          <w:p w14:paraId="3C5D6D8C" w14:textId="77777777" w:rsidR="00A81986" w:rsidRDefault="0067390B">
            <w:r>
              <w:rPr>
                <w:rFonts w:ascii="Arial" w:hAnsi="Arial"/>
                <w:sz w:val="18"/>
              </w:rPr>
              <w:t>~38,000</w:t>
            </w:r>
          </w:p>
        </w:tc>
        <w:tc>
          <w:tcPr>
            <w:tcW w:w="1806" w:type="dxa"/>
          </w:tcPr>
          <w:p w14:paraId="67405C9D" w14:textId="77777777" w:rsidR="00A81986" w:rsidRDefault="0067390B">
            <w:pPr>
              <w:jc w:val="right"/>
            </w:pPr>
            <w:r>
              <w:rPr>
                <w:rFonts w:ascii="Arial" w:hAnsi="Arial"/>
                <w:sz w:val="18"/>
              </w:rPr>
              <w:t>1.8474</w:t>
            </w:r>
          </w:p>
        </w:tc>
        <w:tc>
          <w:tcPr>
            <w:tcW w:w="1806" w:type="dxa"/>
          </w:tcPr>
          <w:p w14:paraId="2B2DDB30" w14:textId="77777777" w:rsidR="00A81986" w:rsidRDefault="0067390B">
            <w:pPr>
              <w:jc w:val="right"/>
            </w:pPr>
            <w:r>
              <w:rPr>
                <w:rFonts w:ascii="Arial" w:hAnsi="Arial"/>
                <w:sz w:val="18"/>
              </w:rPr>
              <w:t>2023</w:t>
            </w:r>
          </w:p>
        </w:tc>
      </w:tr>
    </w:tbl>
    <w:p w14:paraId="0EB4C9DE" w14:textId="77777777" w:rsidR="00A81986" w:rsidRDefault="0067390B">
      <w:r>
        <w:rPr>
          <w:rFonts w:ascii="Arial" w:hAnsi="Arial"/>
          <w:i/>
          <w:sz w:val="16"/>
        </w:rPr>
        <w:t>Source: Peer data from RAG CONTEXT benchmark_environment. FTE estimates derived from publicly available sustainability reports. DBS intensity reflects 62% renewable energy adoption (RE100 member).</w:t>
      </w:r>
    </w:p>
    <w:p w14:paraId="48B112B4" w14:textId="77777777" w:rsidR="00A81986" w:rsidRDefault="00A81986"/>
    <w:p w14:paraId="4C27610D" w14:textId="77777777" w:rsidR="00A81986" w:rsidRDefault="0067390B">
      <w:r>
        <w:rPr>
          <w:rFonts w:ascii="Arial" w:hAnsi="Arial"/>
          <w:b/>
          <w:sz w:val="20"/>
        </w:rPr>
        <w:t>Table 1.4.4: Framework Cross-Reference</w:t>
      </w:r>
    </w:p>
    <w:tbl>
      <w:tblPr>
        <w:tblW w:w="0" w:type="auto"/>
        <w:jc w:val="center"/>
        <w:tblLook w:val="04A0" w:firstRow="1" w:lastRow="0" w:firstColumn="1" w:lastColumn="0" w:noHBand="0" w:noVBand="1"/>
      </w:tblPr>
      <w:tblGrid>
        <w:gridCol w:w="2257"/>
        <w:gridCol w:w="2257"/>
        <w:gridCol w:w="2257"/>
        <w:gridCol w:w="2257"/>
      </w:tblGrid>
      <w:tr w:rsidR="00A81986" w14:paraId="0BBDECDC" w14:textId="77777777">
        <w:trPr>
          <w:jc w:val="center"/>
        </w:trPr>
        <w:tc>
          <w:tcPr>
            <w:tcW w:w="2257" w:type="dxa"/>
            <w:shd w:val="clear" w:color="auto" w:fill="1B3A6B"/>
          </w:tcPr>
          <w:p w14:paraId="1DC30B83" w14:textId="77777777" w:rsidR="00A81986" w:rsidRDefault="0067390B">
            <w:r>
              <w:rPr>
                <w:rFonts w:ascii="Arial" w:hAnsi="Arial"/>
                <w:b/>
                <w:color w:val="FFFFFF"/>
                <w:sz w:val="18"/>
              </w:rPr>
              <w:t>Framework</w:t>
            </w:r>
          </w:p>
        </w:tc>
        <w:tc>
          <w:tcPr>
            <w:tcW w:w="2257" w:type="dxa"/>
            <w:shd w:val="clear" w:color="auto" w:fill="1B3A6B"/>
          </w:tcPr>
          <w:p w14:paraId="5E9D679F" w14:textId="77777777" w:rsidR="00A81986" w:rsidRDefault="0067390B">
            <w:r>
              <w:rPr>
                <w:rFonts w:ascii="Arial" w:hAnsi="Arial"/>
                <w:b/>
                <w:color w:val="FFFFFF"/>
                <w:sz w:val="18"/>
              </w:rPr>
              <w:t>Disclosure Reference</w:t>
            </w:r>
          </w:p>
        </w:tc>
        <w:tc>
          <w:tcPr>
            <w:tcW w:w="2257" w:type="dxa"/>
            <w:shd w:val="clear" w:color="auto" w:fill="1B3A6B"/>
          </w:tcPr>
          <w:p w14:paraId="579D2018" w14:textId="77777777" w:rsidR="00A81986" w:rsidRDefault="0067390B">
            <w:r>
              <w:rPr>
                <w:rFonts w:ascii="Arial" w:hAnsi="Arial"/>
                <w:b/>
                <w:color w:val="FFFFFF"/>
                <w:sz w:val="18"/>
              </w:rPr>
              <w:t>Requirement</w:t>
            </w:r>
          </w:p>
        </w:tc>
        <w:tc>
          <w:tcPr>
            <w:tcW w:w="2257" w:type="dxa"/>
            <w:shd w:val="clear" w:color="auto" w:fill="1B3A6B"/>
          </w:tcPr>
          <w:p w14:paraId="41E510AF" w14:textId="77777777" w:rsidR="00A81986" w:rsidRDefault="0067390B">
            <w:r>
              <w:rPr>
                <w:rFonts w:ascii="Arial" w:hAnsi="Arial"/>
                <w:b/>
                <w:color w:val="FFFFFF"/>
                <w:sz w:val="18"/>
              </w:rPr>
              <w:t>Status</w:t>
            </w:r>
          </w:p>
        </w:tc>
      </w:tr>
      <w:tr w:rsidR="00A81986" w14:paraId="4D8A446C" w14:textId="77777777">
        <w:trPr>
          <w:jc w:val="center"/>
        </w:trPr>
        <w:tc>
          <w:tcPr>
            <w:tcW w:w="2257" w:type="dxa"/>
          </w:tcPr>
          <w:p w14:paraId="10345AE3" w14:textId="77777777" w:rsidR="00A81986" w:rsidRDefault="0067390B">
            <w:r>
              <w:rPr>
                <w:rFonts w:ascii="Arial" w:hAnsi="Arial"/>
                <w:sz w:val="18"/>
              </w:rPr>
              <w:t>GRI 305-4</w:t>
            </w:r>
          </w:p>
        </w:tc>
        <w:tc>
          <w:tcPr>
            <w:tcW w:w="2257" w:type="dxa"/>
          </w:tcPr>
          <w:p w14:paraId="438F7B53" w14:textId="77777777" w:rsidR="00A81986" w:rsidRDefault="0067390B">
            <w:r>
              <w:rPr>
                <w:rFonts w:ascii="Arial" w:hAnsi="Arial"/>
                <w:sz w:val="18"/>
              </w:rPr>
              <w:t>305-4a</w:t>
            </w:r>
          </w:p>
        </w:tc>
        <w:tc>
          <w:tcPr>
            <w:tcW w:w="2257" w:type="dxa"/>
          </w:tcPr>
          <w:p w14:paraId="727AF637" w14:textId="77777777" w:rsidR="00A81986" w:rsidRDefault="0067390B">
            <w:r>
              <w:rPr>
                <w:rFonts w:ascii="Arial" w:hAnsi="Arial"/>
                <w:sz w:val="18"/>
              </w:rPr>
              <w:t>GHG emissions intensity ratio</w:t>
            </w:r>
          </w:p>
        </w:tc>
        <w:tc>
          <w:tcPr>
            <w:tcW w:w="2257" w:type="dxa"/>
          </w:tcPr>
          <w:p w14:paraId="72449EBA" w14:textId="77777777" w:rsidR="00A81986" w:rsidRDefault="0067390B">
            <w:r>
              <w:rPr>
                <w:rFonts w:ascii="Arial" w:hAnsi="Arial"/>
                <w:sz w:val="18"/>
              </w:rPr>
              <w:t>✅</w:t>
            </w:r>
            <w:r>
              <w:rPr>
                <w:rFonts w:ascii="Arial" w:hAnsi="Arial"/>
                <w:sz w:val="18"/>
              </w:rPr>
              <w:t xml:space="preserve"> Disclosed</w:t>
            </w:r>
          </w:p>
        </w:tc>
      </w:tr>
      <w:tr w:rsidR="00A81986" w14:paraId="53A2F83B" w14:textId="77777777">
        <w:trPr>
          <w:jc w:val="center"/>
        </w:trPr>
        <w:tc>
          <w:tcPr>
            <w:tcW w:w="2257" w:type="dxa"/>
            <w:shd w:val="clear" w:color="auto" w:fill="F2F6FC"/>
          </w:tcPr>
          <w:p w14:paraId="4C6FD101" w14:textId="77777777" w:rsidR="00A81986" w:rsidRDefault="0067390B">
            <w:r>
              <w:rPr>
                <w:rFonts w:ascii="Arial" w:hAnsi="Arial"/>
                <w:sz w:val="18"/>
              </w:rPr>
              <w:t>GRI 305-4</w:t>
            </w:r>
          </w:p>
        </w:tc>
        <w:tc>
          <w:tcPr>
            <w:tcW w:w="2257" w:type="dxa"/>
            <w:shd w:val="clear" w:color="auto" w:fill="F2F6FC"/>
          </w:tcPr>
          <w:p w14:paraId="78B1F12C" w14:textId="77777777" w:rsidR="00A81986" w:rsidRDefault="0067390B">
            <w:r>
              <w:rPr>
                <w:rFonts w:ascii="Arial" w:hAnsi="Arial"/>
                <w:sz w:val="18"/>
              </w:rPr>
              <w:t>305-4b</w:t>
            </w:r>
          </w:p>
        </w:tc>
        <w:tc>
          <w:tcPr>
            <w:tcW w:w="2257" w:type="dxa"/>
            <w:shd w:val="clear" w:color="auto" w:fill="F2F6FC"/>
          </w:tcPr>
          <w:p w14:paraId="5D7E0EB5" w14:textId="77777777" w:rsidR="00A81986" w:rsidRDefault="0067390B">
            <w:r>
              <w:rPr>
                <w:rFonts w:ascii="Arial" w:hAnsi="Arial"/>
                <w:sz w:val="18"/>
              </w:rPr>
              <w:t>Organization-specific metric (FTE-based)</w:t>
            </w:r>
          </w:p>
        </w:tc>
        <w:tc>
          <w:tcPr>
            <w:tcW w:w="2257" w:type="dxa"/>
            <w:shd w:val="clear" w:color="auto" w:fill="F2F6FC"/>
          </w:tcPr>
          <w:p w14:paraId="48071AFB" w14:textId="77777777" w:rsidR="00A81986" w:rsidRDefault="0067390B">
            <w:r>
              <w:rPr>
                <w:rFonts w:ascii="Arial" w:hAnsi="Arial"/>
                <w:sz w:val="18"/>
              </w:rPr>
              <w:t>✅</w:t>
            </w:r>
            <w:r>
              <w:rPr>
                <w:rFonts w:ascii="Arial" w:hAnsi="Arial"/>
                <w:sz w:val="18"/>
              </w:rPr>
              <w:t xml:space="preserve"> Disclosed</w:t>
            </w:r>
          </w:p>
        </w:tc>
      </w:tr>
      <w:tr w:rsidR="00A81986" w14:paraId="3F792591" w14:textId="77777777">
        <w:trPr>
          <w:jc w:val="center"/>
        </w:trPr>
        <w:tc>
          <w:tcPr>
            <w:tcW w:w="2257" w:type="dxa"/>
          </w:tcPr>
          <w:p w14:paraId="2E19E29A" w14:textId="77777777" w:rsidR="00A81986" w:rsidRDefault="0067390B">
            <w:r>
              <w:rPr>
                <w:rFonts w:ascii="Arial" w:hAnsi="Arial"/>
                <w:sz w:val="18"/>
              </w:rPr>
              <w:t>GRI 305-4</w:t>
            </w:r>
          </w:p>
        </w:tc>
        <w:tc>
          <w:tcPr>
            <w:tcW w:w="2257" w:type="dxa"/>
          </w:tcPr>
          <w:p w14:paraId="3216E864" w14:textId="77777777" w:rsidR="00A81986" w:rsidRDefault="0067390B">
            <w:r>
              <w:rPr>
                <w:rFonts w:ascii="Arial" w:hAnsi="Arial"/>
                <w:sz w:val="18"/>
              </w:rPr>
              <w:t>305-4c</w:t>
            </w:r>
          </w:p>
        </w:tc>
        <w:tc>
          <w:tcPr>
            <w:tcW w:w="2257" w:type="dxa"/>
          </w:tcPr>
          <w:p w14:paraId="33DE11E1" w14:textId="77777777" w:rsidR="00A81986" w:rsidRDefault="0067390B">
            <w:r>
              <w:rPr>
                <w:rFonts w:ascii="Arial" w:hAnsi="Arial"/>
                <w:sz w:val="18"/>
              </w:rPr>
              <w:t>Types of GHG emissions included in intensity</w:t>
            </w:r>
          </w:p>
        </w:tc>
        <w:tc>
          <w:tcPr>
            <w:tcW w:w="2257" w:type="dxa"/>
          </w:tcPr>
          <w:p w14:paraId="6960BE80" w14:textId="77777777" w:rsidR="00A81986" w:rsidRDefault="0067390B">
            <w:r>
              <w:rPr>
                <w:rFonts w:ascii="Arial" w:hAnsi="Arial"/>
                <w:sz w:val="18"/>
              </w:rPr>
              <w:t>✅</w:t>
            </w:r>
            <w:r>
              <w:rPr>
                <w:rFonts w:ascii="Arial" w:hAnsi="Arial"/>
                <w:sz w:val="18"/>
              </w:rPr>
              <w:t xml:space="preserve"> Disclosed</w:t>
            </w:r>
          </w:p>
        </w:tc>
      </w:tr>
      <w:tr w:rsidR="00A81986" w14:paraId="08F2E44A" w14:textId="77777777">
        <w:trPr>
          <w:jc w:val="center"/>
        </w:trPr>
        <w:tc>
          <w:tcPr>
            <w:tcW w:w="2257" w:type="dxa"/>
            <w:shd w:val="clear" w:color="auto" w:fill="F2F6FC"/>
          </w:tcPr>
          <w:p w14:paraId="25A30930" w14:textId="77777777" w:rsidR="00A81986" w:rsidRDefault="0067390B">
            <w:r>
              <w:rPr>
                <w:rFonts w:ascii="Arial" w:hAnsi="Arial"/>
                <w:sz w:val="18"/>
              </w:rPr>
              <w:t>GRI 305-4</w:t>
            </w:r>
          </w:p>
        </w:tc>
        <w:tc>
          <w:tcPr>
            <w:tcW w:w="2257" w:type="dxa"/>
            <w:shd w:val="clear" w:color="auto" w:fill="F2F6FC"/>
          </w:tcPr>
          <w:p w14:paraId="7AA44449" w14:textId="77777777" w:rsidR="00A81986" w:rsidRDefault="0067390B">
            <w:r>
              <w:rPr>
                <w:rFonts w:ascii="Arial" w:hAnsi="Arial"/>
                <w:sz w:val="18"/>
              </w:rPr>
              <w:t>305-4d</w:t>
            </w:r>
          </w:p>
        </w:tc>
        <w:tc>
          <w:tcPr>
            <w:tcW w:w="2257" w:type="dxa"/>
            <w:shd w:val="clear" w:color="auto" w:fill="F2F6FC"/>
          </w:tcPr>
          <w:p w14:paraId="0ADC9A29" w14:textId="77777777" w:rsidR="00A81986" w:rsidRDefault="0067390B">
            <w:r>
              <w:rPr>
                <w:rFonts w:ascii="Arial" w:hAnsi="Arial"/>
                <w:sz w:val="18"/>
              </w:rPr>
              <w:t>Gases included in calculation</w:t>
            </w:r>
          </w:p>
        </w:tc>
        <w:tc>
          <w:tcPr>
            <w:tcW w:w="2257" w:type="dxa"/>
            <w:shd w:val="clear" w:color="auto" w:fill="F2F6FC"/>
          </w:tcPr>
          <w:p w14:paraId="4C12D143" w14:textId="77777777" w:rsidR="00A81986" w:rsidRDefault="0067390B">
            <w:r>
              <w:rPr>
                <w:rFonts w:ascii="Arial" w:hAnsi="Arial"/>
                <w:sz w:val="18"/>
              </w:rPr>
              <w:t>✅</w:t>
            </w:r>
            <w:r>
              <w:rPr>
                <w:rFonts w:ascii="Arial" w:hAnsi="Arial"/>
                <w:sz w:val="18"/>
              </w:rPr>
              <w:t xml:space="preserve"> Disclosed (CO₂, CH₄, N₂O)</w:t>
            </w:r>
          </w:p>
        </w:tc>
      </w:tr>
      <w:tr w:rsidR="00A81986" w14:paraId="70E8E99A" w14:textId="77777777">
        <w:trPr>
          <w:jc w:val="center"/>
        </w:trPr>
        <w:tc>
          <w:tcPr>
            <w:tcW w:w="2257" w:type="dxa"/>
          </w:tcPr>
          <w:p w14:paraId="692CA267" w14:textId="77777777" w:rsidR="00A81986" w:rsidRDefault="0067390B">
            <w:r>
              <w:rPr>
                <w:rFonts w:ascii="Arial" w:hAnsi="Arial"/>
                <w:sz w:val="18"/>
              </w:rPr>
              <w:t>IFRS S2</w:t>
            </w:r>
          </w:p>
        </w:tc>
        <w:tc>
          <w:tcPr>
            <w:tcW w:w="2257" w:type="dxa"/>
          </w:tcPr>
          <w:p w14:paraId="705F3A1C" w14:textId="77777777" w:rsidR="00A81986" w:rsidRDefault="0067390B">
            <w:r>
              <w:rPr>
                <w:rFonts w:ascii="Arial" w:hAnsi="Arial"/>
                <w:sz w:val="18"/>
              </w:rPr>
              <w:t>Paragraph 29(b)</w:t>
            </w:r>
          </w:p>
        </w:tc>
        <w:tc>
          <w:tcPr>
            <w:tcW w:w="2257" w:type="dxa"/>
          </w:tcPr>
          <w:p w14:paraId="10452535" w14:textId="77777777" w:rsidR="00A81986" w:rsidRDefault="0067390B">
            <w:r>
              <w:rPr>
                <w:rFonts w:ascii="Arial" w:hAnsi="Arial"/>
                <w:sz w:val="18"/>
              </w:rPr>
              <w:t>Cross-industry metric for climate-related risks</w:t>
            </w:r>
          </w:p>
        </w:tc>
        <w:tc>
          <w:tcPr>
            <w:tcW w:w="2257" w:type="dxa"/>
          </w:tcPr>
          <w:p w14:paraId="47B11E6C" w14:textId="77777777" w:rsidR="00A81986" w:rsidRDefault="0067390B">
            <w:r>
              <w:rPr>
                <w:rFonts w:ascii="Arial" w:hAnsi="Arial"/>
                <w:sz w:val="18"/>
              </w:rPr>
              <w:t>✅</w:t>
            </w:r>
            <w:r>
              <w:rPr>
                <w:rFonts w:ascii="Arial" w:hAnsi="Arial"/>
                <w:sz w:val="18"/>
              </w:rPr>
              <w:t xml:space="preserve"> Disclosed</w:t>
            </w:r>
          </w:p>
        </w:tc>
      </w:tr>
      <w:tr w:rsidR="00A81986" w14:paraId="24A079A1" w14:textId="77777777">
        <w:trPr>
          <w:jc w:val="center"/>
        </w:trPr>
        <w:tc>
          <w:tcPr>
            <w:tcW w:w="2257" w:type="dxa"/>
            <w:shd w:val="clear" w:color="auto" w:fill="F2F6FC"/>
          </w:tcPr>
          <w:p w14:paraId="3256A704" w14:textId="77777777" w:rsidR="00A81986" w:rsidRDefault="0067390B">
            <w:r>
              <w:rPr>
                <w:rFonts w:ascii="Arial" w:hAnsi="Arial"/>
                <w:sz w:val="18"/>
              </w:rPr>
              <w:t>ESRS E1-6</w:t>
            </w:r>
          </w:p>
        </w:tc>
        <w:tc>
          <w:tcPr>
            <w:tcW w:w="2257" w:type="dxa"/>
            <w:shd w:val="clear" w:color="auto" w:fill="F2F6FC"/>
          </w:tcPr>
          <w:p w14:paraId="415217D9" w14:textId="77777777" w:rsidR="00A81986" w:rsidRDefault="0067390B">
            <w:r>
              <w:rPr>
                <w:rFonts w:ascii="Arial" w:hAnsi="Arial"/>
                <w:sz w:val="18"/>
              </w:rPr>
              <w:t>DR E1-6.53</w:t>
            </w:r>
          </w:p>
        </w:tc>
        <w:tc>
          <w:tcPr>
            <w:tcW w:w="2257" w:type="dxa"/>
            <w:shd w:val="clear" w:color="auto" w:fill="F2F6FC"/>
          </w:tcPr>
          <w:p w14:paraId="0569C00B" w14:textId="77777777" w:rsidR="00A81986" w:rsidRDefault="0067390B">
            <w:r>
              <w:rPr>
                <w:rFonts w:ascii="Arial" w:hAnsi="Arial"/>
                <w:sz w:val="18"/>
              </w:rPr>
              <w:t>GHG intensity per net revenue</w:t>
            </w:r>
          </w:p>
        </w:tc>
        <w:tc>
          <w:tcPr>
            <w:tcW w:w="2257" w:type="dxa"/>
            <w:shd w:val="clear" w:color="auto" w:fill="F2F6FC"/>
          </w:tcPr>
          <w:p w14:paraId="44F9222A" w14:textId="77777777" w:rsidR="00A81986" w:rsidRDefault="0067390B">
            <w:r>
              <w:rPr>
                <w:rFonts w:ascii="Arial" w:hAnsi="Arial"/>
                <w:sz w:val="18"/>
              </w:rPr>
              <w:t>✅</w:t>
            </w:r>
            <w:r>
              <w:rPr>
                <w:rFonts w:ascii="Arial" w:hAnsi="Arial"/>
                <w:sz w:val="18"/>
              </w:rPr>
              <w:t xml:space="preserve"> Disclosed</w:t>
            </w:r>
          </w:p>
        </w:tc>
      </w:tr>
      <w:tr w:rsidR="00A81986" w14:paraId="3A1FC6ED" w14:textId="77777777">
        <w:trPr>
          <w:jc w:val="center"/>
        </w:trPr>
        <w:tc>
          <w:tcPr>
            <w:tcW w:w="2257" w:type="dxa"/>
          </w:tcPr>
          <w:p w14:paraId="3B66DD32" w14:textId="77777777" w:rsidR="00A81986" w:rsidRDefault="0067390B">
            <w:r>
              <w:rPr>
                <w:rFonts w:ascii="Arial" w:hAnsi="Arial"/>
                <w:sz w:val="18"/>
              </w:rPr>
              <w:t>OJK PSPK</w:t>
            </w:r>
          </w:p>
        </w:tc>
        <w:tc>
          <w:tcPr>
            <w:tcW w:w="2257" w:type="dxa"/>
          </w:tcPr>
          <w:p w14:paraId="74409A7B" w14:textId="77777777" w:rsidR="00A81986" w:rsidRDefault="0067390B">
            <w:r>
              <w:rPr>
                <w:rFonts w:ascii="Arial" w:hAnsi="Arial"/>
                <w:sz w:val="18"/>
              </w:rPr>
              <w:t>Intensitas Emisi GRK</w:t>
            </w:r>
          </w:p>
        </w:tc>
        <w:tc>
          <w:tcPr>
            <w:tcW w:w="2257" w:type="dxa"/>
          </w:tcPr>
          <w:p w14:paraId="6D736049" w14:textId="77777777" w:rsidR="00A81986" w:rsidRDefault="0067390B">
            <w:r>
              <w:rPr>
                <w:rFonts w:ascii="Arial" w:hAnsi="Arial"/>
                <w:sz w:val="18"/>
              </w:rPr>
              <w:t>tCO₂e per pendapatan</w:t>
            </w:r>
          </w:p>
        </w:tc>
        <w:tc>
          <w:tcPr>
            <w:tcW w:w="2257" w:type="dxa"/>
          </w:tcPr>
          <w:p w14:paraId="7E41B73E" w14:textId="77777777" w:rsidR="00A81986" w:rsidRDefault="0067390B">
            <w:r>
              <w:rPr>
                <w:rFonts w:ascii="Arial" w:hAnsi="Arial"/>
                <w:sz w:val="18"/>
              </w:rPr>
              <w:t>✅</w:t>
            </w:r>
            <w:r>
              <w:rPr>
                <w:rFonts w:ascii="Arial" w:hAnsi="Arial"/>
                <w:sz w:val="18"/>
              </w:rPr>
              <w:t xml:space="preserve"> Disclosed</w:t>
            </w:r>
          </w:p>
        </w:tc>
      </w:tr>
    </w:tbl>
    <w:p w14:paraId="701F403F" w14:textId="77777777" w:rsidR="00A81986" w:rsidRDefault="0067390B">
      <w:r>
        <w:rPr>
          <w:rFonts w:ascii="Arial" w:hAnsi="Arial"/>
          <w:i/>
          <w:sz w:val="16"/>
        </w:rPr>
        <w:t>Source: All intensity metrics calculated in accordance with GHG Protocol Corporate Standard and PCAF Global GHG Accounting and Reporting Standard (2nd Edition).</w:t>
      </w:r>
    </w:p>
    <w:p w14:paraId="79F09C08" w14:textId="77777777" w:rsidR="00A81986" w:rsidRDefault="00A81986"/>
    <w:p w14:paraId="1E9ED585" w14:textId="77777777" w:rsidR="00A81986" w:rsidRDefault="0067390B">
      <w:pPr>
        <w:spacing w:after="160"/>
        <w:jc w:val="both"/>
      </w:pPr>
      <w:r>
        <w:rPr>
          <w:rFonts w:ascii="Arial" w:hAnsi="Arial"/>
          <w:i/>
          <w:color w:val="646464"/>
          <w:sz w:val="18"/>
        </w:rPr>
        <w:lastRenderedPageBreak/>
        <w:t>[Chart: GHG Emissions Intensity — Year-over-Year Comparison — matplotlib layer not installed]</w:t>
      </w:r>
    </w:p>
    <w:p w14:paraId="4E721779" w14:textId="77777777" w:rsidR="00A81986" w:rsidRDefault="0067390B">
      <w:pPr>
        <w:spacing w:after="160"/>
        <w:jc w:val="both"/>
      </w:pPr>
      <w:r>
        <w:rPr>
          <w:rFonts w:ascii="Arial" w:hAnsi="Arial"/>
          <w:i/>
          <w:color w:val="646464"/>
          <w:sz w:val="18"/>
        </w:rPr>
        <w:t>[Chart: Operational Intensity Peer Benchmark (tCO₂e per FTE) — matplotlib layer not installed]</w:t>
      </w:r>
    </w:p>
    <w:p w14:paraId="09FB53BA" w14:textId="77777777" w:rsidR="00A81986" w:rsidRDefault="0067390B">
      <w:pPr>
        <w:spacing w:after="160"/>
        <w:jc w:val="both"/>
      </w:pPr>
      <w:r>
        <w:rPr>
          <w:rFonts w:ascii="Arial" w:hAnsi="Arial"/>
          <w:i/>
          <w:color w:val="646464"/>
          <w:sz w:val="18"/>
        </w:rPr>
        <w:t>[Chart: Scope 1 Emissions by Source — 2024 — matplotlib layer not installed]</w:t>
      </w:r>
    </w:p>
    <w:p w14:paraId="09C7C716" w14:textId="77777777" w:rsidR="00A81986" w:rsidRDefault="0067390B">
      <w:pPr>
        <w:spacing w:after="160"/>
        <w:jc w:val="both"/>
      </w:pPr>
      <w:r>
        <w:rPr>
          <w:rFonts w:ascii="Arial" w:hAnsi="Arial"/>
          <w:i/>
          <w:color w:val="646464"/>
          <w:sz w:val="18"/>
        </w:rPr>
        <w:t>[Chart: Financed Emissions Intensity by Sector (tCO₂e per IDR Billion) — matplotlib layer not installed]</w:t>
      </w:r>
    </w:p>
    <w:p w14:paraId="502D5987" w14:textId="77777777" w:rsidR="00A81986" w:rsidRDefault="00A81986"/>
    <w:p w14:paraId="76D07545" w14:textId="77777777" w:rsidR="00A81986" w:rsidRDefault="0067390B">
      <w:r>
        <w:rPr>
          <w:b/>
          <w:color w:val="4A7AB5"/>
          <w:sz w:val="24"/>
        </w:rPr>
        <w:t>Diagnostic Analysis</w:t>
      </w:r>
    </w:p>
    <w:p w14:paraId="362FC11E" w14:textId="77777777" w:rsidR="00A81986" w:rsidRDefault="0067390B">
      <w:pPr>
        <w:spacing w:after="160"/>
        <w:jc w:val="both"/>
      </w:pPr>
      <w:r>
        <w:rPr>
          <w:rFonts w:ascii="Arial" w:hAnsi="Arial"/>
        </w:rPr>
        <w:t>The institution achieved an 11.37% improvement in revenue-based intensity (239.40 vs. 270.12 tCO₂e/IDR Bn) through portfolio rebalancing toward lower-intensity sectors, with Financial Services (0.3567 tCO₂e/IDR Bn) and Real Estate Residential (0.6381 tCO₂e/IDR Bn) growing to 24.34% of portfolio while high-intensity Energy Oil &amp; Gas (93.242 tCO₂e/IDR Bn) remained at 6.66%. However, operational intensity improved only 1.79% (1.9209 vs. 1.956 tCO₂e/FTE) due to a 2.36% increase in Scope 1 emissions driven by di</w:t>
      </w:r>
      <w:r>
        <w:rPr>
          <w:rFonts w:ascii="Arial" w:hAnsi="Arial"/>
        </w:rPr>
        <w:t>esel consumption growth. The institution's operational intensity significantly underperforms regional peers: 9.4x higher than DBS (0.2041 tCO₂e/FTE with 62% renewable energy), 1.9x higher than BCA (0.9967 tCO₂e/FTE), and 1.2x higher than BRI (1.5625 tCO₂e/FTE). Root cause analysis reveals diesel generators account for 64.7% of Scope 1 emissions (2,203.2044 of 3,402.997 tCO₂e), indicating infrastructure gaps at branch locations without reliable grid access or renewable alternatives.</w:t>
      </w:r>
    </w:p>
    <w:p w14:paraId="611068D9" w14:textId="77777777" w:rsidR="00A81986" w:rsidRDefault="0067390B">
      <w:r>
        <w:rPr>
          <w:b/>
        </w:rPr>
        <w:t>Root Causes:</w:t>
      </w:r>
    </w:p>
    <w:p w14:paraId="4D933B93" w14:textId="77777777" w:rsidR="00A81986" w:rsidRDefault="0067390B">
      <w:pPr>
        <w:spacing w:after="160"/>
        <w:jc w:val="both"/>
      </w:pPr>
      <w:r>
        <w:rPr>
          <w:rFonts w:ascii="Arial" w:hAnsi="Arial"/>
        </w:rPr>
        <w:t>• Low renewable energy procurement: Less than 1% renewable electricity vs. DBS's 62% RE100 compliance and BCA's growing green office program</w:t>
      </w:r>
    </w:p>
    <w:p w14:paraId="24616214" w14:textId="77777777" w:rsidR="00A81986" w:rsidRDefault="0067390B">
      <w:pPr>
        <w:spacing w:after="160"/>
        <w:jc w:val="both"/>
      </w:pPr>
      <w:r>
        <w:rPr>
          <w:rFonts w:ascii="Arial" w:hAnsi="Arial"/>
        </w:rPr>
        <w:t>• Diesel generator over-reliance: 2,203.2044 tCO₂e (64.7% of Scope 1) from backup generation at branches without grid reliability or solar+battery alternatives</w:t>
      </w:r>
    </w:p>
    <w:p w14:paraId="46FC4D6A" w14:textId="77777777" w:rsidR="00A81986" w:rsidRDefault="0067390B">
      <w:pPr>
        <w:spacing w:after="160"/>
        <w:jc w:val="both"/>
      </w:pPr>
      <w:r>
        <w:rPr>
          <w:rFonts w:ascii="Arial" w:hAnsi="Arial"/>
        </w:rPr>
        <w:t>• Absence of operational decarbonization targets: No formal SBTi commitment for Scope 1+2 reductions (BRI submitted SBTi in 2023 as first Indonesian FI)</w:t>
      </w:r>
    </w:p>
    <w:p w14:paraId="5832C588" w14:textId="77777777" w:rsidR="00A81986" w:rsidRDefault="0067390B">
      <w:pPr>
        <w:spacing w:after="160"/>
        <w:jc w:val="both"/>
      </w:pPr>
      <w:r>
        <w:rPr>
          <w:rFonts w:ascii="Arial" w:hAnsi="Arial"/>
        </w:rPr>
        <w:t>• Limited green building infrastructure: Only pilot solar installations vs. BRI's 118 EV cars + 150 bikes and BRILiaN Tower achieving 19.49% electricity savings with GBCI Gold certification</w:t>
      </w:r>
    </w:p>
    <w:p w14:paraId="2ED0CD12" w14:textId="77777777" w:rsidR="00A81986" w:rsidRDefault="0067390B">
      <w:r>
        <w:rPr>
          <w:b/>
        </w:rPr>
        <w:t>Risk Implications:</w:t>
      </w:r>
    </w:p>
    <w:p w14:paraId="1B57FD23" w14:textId="77777777" w:rsidR="00A81986" w:rsidRDefault="0067390B">
      <w:pPr>
        <w:spacing w:after="160"/>
        <w:jc w:val="both"/>
      </w:pPr>
      <w:r>
        <w:rPr>
          <w:rFonts w:ascii="Arial" w:hAnsi="Arial"/>
        </w:rPr>
        <w:t>• Regulatory risk: OJK SEOJK 16/2021 requires climate risk integration; lagging operational intensity may trigger enhanced supervisory scrutiny in 2025-2026 climate stress tests</w:t>
      </w:r>
    </w:p>
    <w:p w14:paraId="1996FA23" w14:textId="77777777" w:rsidR="00A81986" w:rsidRDefault="0067390B">
      <w:pPr>
        <w:spacing w:after="160"/>
        <w:jc w:val="both"/>
      </w:pPr>
      <w:r>
        <w:rPr>
          <w:rFonts w:ascii="Arial" w:hAnsi="Arial"/>
        </w:rPr>
        <w:t>• Reputational risk: Operational intensity gap vs. peers (1.9-9.4x) undermines sustainability leadership positioning; institutional investors increasingly benchmark FI operational footprints</w:t>
      </w:r>
    </w:p>
    <w:p w14:paraId="5006E30F" w14:textId="77777777" w:rsidR="00A81986" w:rsidRDefault="0067390B">
      <w:pPr>
        <w:spacing w:after="160"/>
        <w:jc w:val="both"/>
      </w:pPr>
      <w:r>
        <w:rPr>
          <w:rFonts w:ascii="Arial" w:hAnsi="Arial"/>
        </w:rPr>
        <w:t>• Transition cost risk: Delayed renewable energy procurement exposes institution to rising carbon prices and renewable energy certificate costs as Indonesia implements carbon trading (Presidential Regulation 98/2021); early movers like DBS locked in lower VPPA rates</w:t>
      </w:r>
    </w:p>
    <w:p w14:paraId="3341A831" w14:textId="77777777" w:rsidR="00A81986" w:rsidRDefault="00A81986"/>
    <w:p w14:paraId="78DE2F4C" w14:textId="77777777" w:rsidR="00A81986" w:rsidRDefault="0067390B">
      <w:r>
        <w:rPr>
          <w:b/>
          <w:color w:val="1B5E20"/>
          <w:sz w:val="24"/>
        </w:rPr>
        <w:lastRenderedPageBreak/>
        <w:t>⚡</w:t>
      </w:r>
      <w:r>
        <w:rPr>
          <w:b/>
          <w:color w:val="1B5E20"/>
          <w:sz w:val="24"/>
        </w:rPr>
        <w:t xml:space="preserve"> Priority Actions</w:t>
      </w:r>
    </w:p>
    <w:p w14:paraId="7EC96C18" w14:textId="77777777" w:rsidR="00A81986" w:rsidRDefault="0067390B">
      <w:r>
        <w:rPr>
          <w:b/>
        </w:rPr>
        <w:t>🔴</w:t>
      </w:r>
      <w:r>
        <w:rPr>
          <w:b/>
        </w:rPr>
        <w:t xml:space="preserve"> 1. Execute virtual power purchase agreements (VPPAs) for 30% of total electricity consumption (targeting ~13,384 tCO₂e Scope 2 reduction) and join RE100 initiative with 100% renewable commitment by 2030</w:t>
      </w:r>
      <w:r>
        <w:t xml:space="preserve"> (Q4 2025)</w:t>
      </w:r>
    </w:p>
    <w:p w14:paraId="1044CDBB" w14:textId="77777777" w:rsidR="00A81986" w:rsidRDefault="0067390B">
      <w:pPr>
        <w:spacing w:after="160"/>
        <w:jc w:val="both"/>
      </w:pPr>
      <w:r>
        <w:rPr>
          <w:rFonts w:ascii="Arial" w:hAnsi="Arial"/>
        </w:rPr>
        <w:t xml:space="preserve">    → Expected: Reduce operational intensity from 1.9209 to ~1.38 tCO₂e/FTE (28% improvement); eliminate 13,384 tCO₂e Scope 2 annually</w:t>
      </w:r>
    </w:p>
    <w:p w14:paraId="3A953FE6" w14:textId="77777777" w:rsidR="00A81986" w:rsidRDefault="0067390B">
      <w:pPr>
        <w:spacing w:after="160"/>
        <w:jc w:val="both"/>
      </w:pPr>
      <w:r>
        <w:rPr>
          <w:rFonts w:ascii="Arial" w:hAnsi="Arial"/>
          <w:i/>
          <w:color w:val="646464"/>
          <w:sz w:val="18"/>
        </w:rPr>
        <w:t xml:space="preserve">    → Ref: DBS Group achieved 62% renewable energy in 2023 as RE100 member, reducing operational intensity to 0.2041 tCO₂e/FTE (9.4x better than current performance)</w:t>
      </w:r>
    </w:p>
    <w:p w14:paraId="0AC1208B" w14:textId="77777777" w:rsidR="00A81986" w:rsidRDefault="0067390B">
      <w:r>
        <w:rPr>
          <w:b/>
        </w:rPr>
        <w:t>🔴</w:t>
      </w:r>
      <w:r>
        <w:rPr>
          <w:b/>
        </w:rPr>
        <w:t xml:space="preserve"> 2. Install solar photovoltaic + battery storage systems at top 10 diesel-dependent facilities (FAC-0197, FAC-0198, FAC-0200, FAC-0196, FAC-0199, FAC-0193, FAC-0215, FAC-0191, FAC-0181, FAC-0208) to eliminate 1,124.9 tCO₂e diesel emissions (51% of total diesel footprint)</w:t>
      </w:r>
      <w:r>
        <w:t xml:space="preserve"> (Q2 2026)</w:t>
      </w:r>
    </w:p>
    <w:p w14:paraId="2E0A1AA3" w14:textId="77777777" w:rsidR="00A81986" w:rsidRDefault="0067390B">
      <w:pPr>
        <w:spacing w:after="160"/>
        <w:jc w:val="both"/>
      </w:pPr>
      <w:r>
        <w:rPr>
          <w:rFonts w:ascii="Arial" w:hAnsi="Arial"/>
        </w:rPr>
        <w:t xml:space="preserve">    → Expected: Reduce Scope 1 by 33%; reduce operational intensity to ~1.47 tCO₂e/FTE; eliminate diesel dependency at critical branch locations</w:t>
      </w:r>
    </w:p>
    <w:p w14:paraId="54ACA426" w14:textId="77777777" w:rsidR="00A81986" w:rsidRDefault="0067390B">
      <w:pPr>
        <w:spacing w:after="160"/>
        <w:jc w:val="both"/>
      </w:pPr>
      <w:r>
        <w:rPr>
          <w:rFonts w:ascii="Arial" w:hAnsi="Arial"/>
          <w:i/>
          <w:color w:val="646464"/>
          <w:sz w:val="18"/>
        </w:rPr>
        <w:t xml:space="preserve">    → Ref: BRI installed solar panels at BRILiaN Tower achieving 19.49% electricity savings with GBCI Gold certification; BCA expanding green office program with solar pilots</w:t>
      </w:r>
    </w:p>
    <w:p w14:paraId="7E2223D6" w14:textId="77777777" w:rsidR="00A81986" w:rsidRDefault="0067390B">
      <w:r>
        <w:rPr>
          <w:b/>
        </w:rPr>
        <w:t>🔴</w:t>
      </w:r>
      <w:r>
        <w:rPr>
          <w:b/>
        </w:rPr>
        <w:t xml:space="preserve"> 3. Submit Science Based Targets initiative (SBTi) commitment letter for Scope 1+2 operational emissions with 1.5°C-aligned pathway (targeting 4.2% annual intensity reduction) and Scope 3 Category 15 financed emissions target</w:t>
      </w:r>
      <w:r>
        <w:t xml:space="preserve"> (Q3 2025)</w:t>
      </w:r>
    </w:p>
    <w:p w14:paraId="7EC5C75E" w14:textId="77777777" w:rsidR="00A81986" w:rsidRDefault="0067390B">
      <w:pPr>
        <w:spacing w:after="160"/>
        <w:jc w:val="both"/>
      </w:pPr>
      <w:r>
        <w:rPr>
          <w:rFonts w:ascii="Arial" w:hAnsi="Arial"/>
        </w:rPr>
        <w:t xml:space="preserve">    → Expected: Establish credible decarbonization pathway; enhance ESG ratings and investor confidence; align with OJK POJK 51/2017 climate risk requirements</w:t>
      </w:r>
    </w:p>
    <w:p w14:paraId="047E6075" w14:textId="77777777" w:rsidR="00A81986" w:rsidRDefault="0067390B">
      <w:pPr>
        <w:spacing w:after="160"/>
        <w:jc w:val="both"/>
      </w:pPr>
      <w:r>
        <w:rPr>
          <w:rFonts w:ascii="Arial" w:hAnsi="Arial"/>
          <w:i/>
          <w:color w:val="646464"/>
          <w:sz w:val="18"/>
        </w:rPr>
        <w:t xml:space="preserve">    → Ref: BRI became first Indonesian financial institution to submit SBTi commitment in 2023; DBS submitted SBTi targets achieving validation in 2024</w:t>
      </w:r>
    </w:p>
    <w:p w14:paraId="7F470CFE" w14:textId="77777777" w:rsidR="00A81986" w:rsidRDefault="0067390B">
      <w:r>
        <w:rPr>
          <w:b/>
        </w:rPr>
        <w:t>🟡</w:t>
      </w:r>
      <w:r>
        <w:rPr>
          <w:b/>
        </w:rPr>
        <w:t xml:space="preserve"> 4. Enhance intensity disclosure by adding sectoral intensity breakdown table (using pcaf_sectors[*].emission_intensity_per_idr_bn data) to demonstrate portfolio decarbonization strategy and align with IFRS S2 Paragraph 29(b) disaggregation requirements</w:t>
      </w:r>
      <w:r>
        <w:t xml:space="preserve"> (Q4 2025)</w:t>
      </w:r>
    </w:p>
    <w:p w14:paraId="63CA57B8" w14:textId="77777777" w:rsidR="00A81986" w:rsidRDefault="0067390B">
      <w:pPr>
        <w:spacing w:after="160"/>
        <w:jc w:val="both"/>
      </w:pPr>
      <w:r>
        <w:rPr>
          <w:rFonts w:ascii="Arial" w:hAnsi="Arial"/>
        </w:rPr>
        <w:t xml:space="preserve">    → Expected: Improved transparency for institutional investors; demonstrates strategic portfolio steering toward low-carbon sectors; supports TCFD metrics and targets pillar</w:t>
      </w:r>
    </w:p>
    <w:p w14:paraId="649419F7" w14:textId="77777777" w:rsidR="00A81986" w:rsidRDefault="0067390B">
      <w:pPr>
        <w:spacing w:after="160"/>
        <w:jc w:val="both"/>
      </w:pPr>
      <w:r>
        <w:rPr>
          <w:rFonts w:ascii="Arial" w:hAnsi="Arial"/>
          <w:i/>
          <w:color w:val="646464"/>
          <w:sz w:val="18"/>
        </w:rPr>
        <w:t xml:space="preserve">    → Ref: BCA and DBS disclose intensity by business segment in sustainability reports; Bank Mandiri provides sectoral emission intensity in 2023 report</w:t>
      </w:r>
    </w:p>
    <w:p w14:paraId="20B4F6B1" w14:textId="77777777" w:rsidR="00A81986" w:rsidRDefault="00A81986"/>
    <w:p w14:paraId="5968B599" w14:textId="77777777" w:rsidR="00A81986" w:rsidRDefault="0067390B">
      <w:r>
        <w:rPr>
          <w:i/>
          <w:color w:val="3D6094"/>
          <w:sz w:val="18"/>
        </w:rPr>
        <w:t>Framework references: GRI 305-4a — GHG emissions intensity ratio; GRI 305-4b — Organization-specific metric; GRI 305-4c — Types of GHG emissions included; IFRS S2 Paragraph 29(b) — Cross-industry metrics; ESRS E1-6 DR E1-6.53 — GHG intensity per net revenue; OJK PSPK — Intensitas Emisi GRK per pendapatan; GHG Protocol Corporate Accounting and Reporting Standard; PCAF Global GHG Accounting and Reporting Standard (2nd Edition)</w:t>
      </w:r>
    </w:p>
    <w:p w14:paraId="210B8B7F" w14:textId="77777777" w:rsidR="00A81986" w:rsidRDefault="00A81986">
      <w:pPr>
        <w:pBdr>
          <w:bottom w:val="single" w:sz="6" w:space="1" w:color="999999"/>
        </w:pBdr>
        <w:spacing w:after="80"/>
      </w:pPr>
    </w:p>
    <w:p w14:paraId="52F3439A" w14:textId="77777777" w:rsidR="00A81986" w:rsidRDefault="0067390B">
      <w:pPr>
        <w:spacing w:after="160"/>
        <w:jc w:val="both"/>
      </w:pPr>
      <w:r>
        <w:rPr>
          <w:rFonts w:ascii="Arial" w:hAnsi="Arial"/>
          <w:i/>
          <w:color w:val="646464"/>
          <w:sz w:val="18"/>
        </w:rPr>
        <w:t>Revenue-based intensity denominator (IDR 1,541.18 trillion) calculated as sum of total_outstanding_idr_trillion across all 10 PCAF sectors reported in pcaf_sectors array.</w:t>
      </w:r>
    </w:p>
    <w:p w14:paraId="59755B30" w14:textId="77777777" w:rsidR="00A81986" w:rsidRDefault="0067390B">
      <w:pPr>
        <w:spacing w:after="160"/>
        <w:jc w:val="both"/>
      </w:pPr>
      <w:r>
        <w:rPr>
          <w:rFonts w:ascii="Arial" w:hAnsi="Arial"/>
          <w:i/>
          <w:color w:val="646464"/>
          <w:sz w:val="18"/>
        </w:rPr>
        <w:lastRenderedPageBreak/>
        <w:t>FTE count (24,997) represents full-time equivalent employees as of December 31, 2024, from hr_metrics.fte_total.</w:t>
      </w:r>
    </w:p>
    <w:p w14:paraId="06381E07" w14:textId="77777777" w:rsidR="00A81986" w:rsidRDefault="0067390B">
      <w:pPr>
        <w:spacing w:after="160"/>
        <w:jc w:val="both"/>
      </w:pPr>
      <w:r>
        <w:rPr>
          <w:rFonts w:ascii="Arial" w:hAnsi="Arial"/>
          <w:i/>
          <w:color w:val="646464"/>
          <w:sz w:val="18"/>
        </w:rPr>
        <w:t>Scope 3 Category 15 gross emissions (21,976,797.3 tCO₂e) used for revenue intensity to reflect total portfolio climate impact; weighted emissions (15,280,174.14 tCO₂e) reflect attribution factor adjustments per PCAF methodology.</w:t>
      </w:r>
    </w:p>
    <w:p w14:paraId="31E4A100" w14:textId="77777777" w:rsidR="00A81986" w:rsidRDefault="0067390B">
      <w:pPr>
        <w:spacing w:after="160"/>
        <w:jc w:val="both"/>
      </w:pPr>
      <w:r>
        <w:rPr>
          <w:rFonts w:ascii="Arial" w:hAnsi="Arial"/>
          <w:i/>
          <w:color w:val="646464"/>
          <w:sz w:val="18"/>
        </w:rPr>
        <w:t>Peer intensity calculations are estimates based on publicly disclosed Scope 1+2 emissions and approximate headcount from sustainability reports; exact FTE denominators may vary based on reporting entity scope.</w:t>
      </w:r>
    </w:p>
    <w:p w14:paraId="2B014828" w14:textId="77777777" w:rsidR="00A81986" w:rsidRDefault="0067390B">
      <w:pPr>
        <w:spacing w:after="160"/>
        <w:jc w:val="both"/>
      </w:pPr>
      <w:r>
        <w:rPr>
          <w:rFonts w:ascii="Arial" w:hAnsi="Arial"/>
          <w:i/>
          <w:color w:val="646464"/>
          <w:sz w:val="18"/>
        </w:rPr>
        <w:t>These figures have not been subject to external assurance for the current reporting period.</w:t>
      </w:r>
    </w:p>
    <w:p w14:paraId="6B39E11F" w14:textId="77777777" w:rsidR="00A81986" w:rsidRDefault="0067390B">
      <w:pPr>
        <w:pStyle w:val="Heading2"/>
        <w:spacing w:before="360" w:after="160"/>
      </w:pPr>
      <w:bookmarkStart w:id="9" w:name="_Toc232003730"/>
      <w:r>
        <w:rPr>
          <w:rFonts w:ascii="Arial" w:hAnsi="Arial"/>
          <w:color w:val="3D6094"/>
          <w:sz w:val="28"/>
        </w:rPr>
        <w:t>1.5 Emission Reduction Initiatives &amp; Targets</w:t>
      </w:r>
      <w:bookmarkEnd w:id="9"/>
    </w:p>
    <w:tbl>
      <w:tblPr>
        <w:tblW w:w="0" w:type="auto"/>
        <w:jc w:val="center"/>
        <w:tblLook w:val="04A0" w:firstRow="1" w:lastRow="0" w:firstColumn="1" w:lastColumn="0" w:noHBand="0" w:noVBand="1"/>
      </w:tblPr>
      <w:tblGrid>
        <w:gridCol w:w="2257"/>
        <w:gridCol w:w="2257"/>
        <w:gridCol w:w="2257"/>
        <w:gridCol w:w="2257"/>
      </w:tblGrid>
      <w:tr w:rsidR="00A81986" w14:paraId="2E9F652C" w14:textId="77777777">
        <w:trPr>
          <w:jc w:val="center"/>
        </w:trPr>
        <w:tc>
          <w:tcPr>
            <w:tcW w:w="2257" w:type="dxa"/>
          </w:tcPr>
          <w:p w14:paraId="267E641D" w14:textId="77777777" w:rsidR="00A81986" w:rsidRDefault="0067390B">
            <w:pPr>
              <w:jc w:val="center"/>
            </w:pPr>
            <w:r>
              <w:rPr>
                <w:b/>
                <w:color w:val="1B3A6B"/>
                <w:sz w:val="40"/>
              </w:rPr>
              <w:t>+0.19</w:t>
            </w:r>
            <w:r>
              <w:rPr>
                <w:sz w:val="18"/>
              </w:rPr>
              <w:t xml:space="preserve"> %</w:t>
            </w:r>
            <w:r>
              <w:rPr>
                <w:b/>
                <w:color w:val="F44336"/>
                <w:sz w:val="20"/>
              </w:rPr>
              <w:br/>
              <w:t>+0.19% vs -3.2% to -12% peer range</w:t>
            </w:r>
          </w:p>
        </w:tc>
        <w:tc>
          <w:tcPr>
            <w:tcW w:w="2257" w:type="dxa"/>
          </w:tcPr>
          <w:p w14:paraId="59D37E21" w14:textId="77777777" w:rsidR="00A81986" w:rsidRDefault="0067390B">
            <w:pPr>
              <w:jc w:val="center"/>
            </w:pPr>
            <w:r>
              <w:rPr>
                <w:b/>
                <w:color w:val="1B3A6B"/>
                <w:sz w:val="40"/>
              </w:rPr>
              <w:t>+2.36</w:t>
            </w:r>
            <w:r>
              <w:rPr>
                <w:sz w:val="18"/>
              </w:rPr>
              <w:t xml:space="preserve"> %</w:t>
            </w:r>
            <w:r>
              <w:rPr>
                <w:b/>
                <w:color w:val="F44336"/>
                <w:sz w:val="20"/>
              </w:rPr>
              <w:br/>
              <w:t>+78.476 tCO₂e driven by diesel</w:t>
            </w:r>
          </w:p>
        </w:tc>
        <w:tc>
          <w:tcPr>
            <w:tcW w:w="2257" w:type="dxa"/>
          </w:tcPr>
          <w:p w14:paraId="219AB0C6" w14:textId="77777777" w:rsidR="00A81986" w:rsidRDefault="0067390B">
            <w:pPr>
              <w:jc w:val="center"/>
            </w:pPr>
            <w:r>
              <w:rPr>
                <w:b/>
                <w:color w:val="1B3A6B"/>
                <w:sz w:val="40"/>
              </w:rPr>
              <w:t>64.7</w:t>
            </w:r>
            <w:r>
              <w:rPr>
                <w:sz w:val="18"/>
              </w:rPr>
              <w:t xml:space="preserve"> % of Scope 1</w:t>
            </w:r>
            <w:r>
              <w:rPr>
                <w:b/>
                <w:color w:val="F44336"/>
                <w:sz w:val="20"/>
              </w:rPr>
              <w:br/>
              <w:t>Primary reduction lever</w:t>
            </w:r>
          </w:p>
        </w:tc>
        <w:tc>
          <w:tcPr>
            <w:tcW w:w="2257" w:type="dxa"/>
          </w:tcPr>
          <w:p w14:paraId="467C6E47" w14:textId="77777777" w:rsidR="00A81986" w:rsidRDefault="0067390B">
            <w:pPr>
              <w:jc w:val="center"/>
            </w:pPr>
            <w:r>
              <w:rPr>
                <w:b/>
                <w:color w:val="1B3A6B"/>
                <w:sz w:val="40"/>
              </w:rPr>
              <w:t>1.9209</w:t>
            </w:r>
            <w:r>
              <w:rPr>
                <w:sz w:val="18"/>
              </w:rPr>
              <w:t xml:space="preserve"> tCO₂e/FTE</w:t>
            </w:r>
            <w:r>
              <w:rPr>
                <w:b/>
                <w:color w:val="4CAF50"/>
                <w:sz w:val="20"/>
              </w:rPr>
              <w:br/>
              <w:t>-1.79% vs prior year</w:t>
            </w:r>
          </w:p>
        </w:tc>
      </w:tr>
      <w:tr w:rsidR="00A81986" w14:paraId="44EB68E9" w14:textId="77777777">
        <w:trPr>
          <w:jc w:val="center"/>
        </w:trPr>
        <w:tc>
          <w:tcPr>
            <w:tcW w:w="2257" w:type="dxa"/>
          </w:tcPr>
          <w:p w14:paraId="33F9187C" w14:textId="77777777" w:rsidR="00A81986" w:rsidRDefault="0067390B">
            <w:pPr>
              <w:jc w:val="center"/>
            </w:pPr>
            <w:r>
              <w:rPr>
                <w:color w:val="646464"/>
                <w:sz w:val="18"/>
              </w:rPr>
              <w:t>Total Scope 1+2 Change</w:t>
            </w:r>
          </w:p>
        </w:tc>
        <w:tc>
          <w:tcPr>
            <w:tcW w:w="2257" w:type="dxa"/>
          </w:tcPr>
          <w:p w14:paraId="762D1C2B" w14:textId="77777777" w:rsidR="00A81986" w:rsidRDefault="0067390B">
            <w:pPr>
              <w:jc w:val="center"/>
            </w:pPr>
            <w:r>
              <w:rPr>
                <w:color w:val="646464"/>
                <w:sz w:val="18"/>
              </w:rPr>
              <w:t>Scope 1 Increase</w:t>
            </w:r>
          </w:p>
        </w:tc>
        <w:tc>
          <w:tcPr>
            <w:tcW w:w="2257" w:type="dxa"/>
          </w:tcPr>
          <w:p w14:paraId="3B9E96A2" w14:textId="77777777" w:rsidR="00A81986" w:rsidRDefault="0067390B">
            <w:pPr>
              <w:jc w:val="center"/>
            </w:pPr>
            <w:r>
              <w:rPr>
                <w:color w:val="646464"/>
                <w:sz w:val="18"/>
              </w:rPr>
              <w:t>Diesel Contribution</w:t>
            </w:r>
          </w:p>
        </w:tc>
        <w:tc>
          <w:tcPr>
            <w:tcW w:w="2257" w:type="dxa"/>
          </w:tcPr>
          <w:p w14:paraId="4E0585D0" w14:textId="77777777" w:rsidR="00A81986" w:rsidRDefault="0067390B">
            <w:pPr>
              <w:jc w:val="center"/>
            </w:pPr>
            <w:r>
              <w:rPr>
                <w:color w:val="646464"/>
                <w:sz w:val="18"/>
              </w:rPr>
              <w:t>Emission Intensity per FTE</w:t>
            </w:r>
          </w:p>
        </w:tc>
      </w:tr>
    </w:tbl>
    <w:p w14:paraId="16247F26" w14:textId="77777777" w:rsidR="00A81986" w:rsidRDefault="00A81986"/>
    <w:tbl>
      <w:tblPr>
        <w:tblW w:w="0" w:type="auto"/>
        <w:jc w:val="center"/>
        <w:tblLook w:val="04A0" w:firstRow="1" w:lastRow="0" w:firstColumn="1" w:lastColumn="0" w:noHBand="0" w:noVBand="1"/>
      </w:tblPr>
      <w:tblGrid>
        <w:gridCol w:w="9029"/>
      </w:tblGrid>
      <w:tr w:rsidR="00A81986" w14:paraId="3A5B2440" w14:textId="77777777">
        <w:trPr>
          <w:jc w:val="center"/>
        </w:trPr>
        <w:tc>
          <w:tcPr>
            <w:tcW w:w="9029" w:type="dxa"/>
            <w:shd w:val="clear" w:color="auto" w:fill="FFF3E0"/>
          </w:tcPr>
          <w:p w14:paraId="112E99BE" w14:textId="77777777" w:rsidR="00A81986" w:rsidRDefault="0067390B">
            <w:r>
              <w:rPr>
                <w:b/>
                <w:sz w:val="18"/>
              </w:rPr>
              <w:t>⚠</w:t>
            </w:r>
            <w:r>
              <w:rPr>
                <w:b/>
                <w:sz w:val="18"/>
              </w:rPr>
              <w:t>️</w:t>
            </w:r>
            <w:r>
              <w:rPr>
                <w:b/>
                <w:sz w:val="18"/>
              </w:rPr>
              <w:t xml:space="preserve"> KEY INSIGHT</w:t>
            </w:r>
          </w:p>
          <w:p w14:paraId="43CCC5B2" w14:textId="77777777" w:rsidR="00A81986" w:rsidRDefault="0067390B">
            <w:r>
              <w:rPr>
                <w:b/>
              </w:rPr>
              <w:t>Scope 1 increased 2.36% while peers achieved 3-12% reductions — diesel over-reliance is primary gap driver</w:t>
            </w:r>
          </w:p>
          <w:p w14:paraId="21C915EF" w14:textId="77777777" w:rsidR="00A81986" w:rsidRDefault="0067390B">
            <w:r>
              <w:rPr>
                <w:sz w:val="20"/>
              </w:rPr>
              <w:t>The institution's operational emissions trajectory diverges from peer performance due to diesel generator dependence (64.7% of Scope 1). BRI, DBS, and Mandiri achieved 3.2-12% reductions through solar deployment, automated energy management, and renewable procurement. Without formal reduction targets or structured decarbonization program, the gap will widen as peers accelerate toward net-zero commitments.</w:t>
            </w:r>
          </w:p>
        </w:tc>
      </w:tr>
    </w:tbl>
    <w:p w14:paraId="558A8E74" w14:textId="77777777" w:rsidR="00A81986" w:rsidRDefault="00A81986"/>
    <w:p w14:paraId="3F87E4DD" w14:textId="77777777" w:rsidR="00A81986" w:rsidRDefault="0067390B">
      <w:pPr>
        <w:spacing w:after="160"/>
        <w:jc w:val="both"/>
      </w:pPr>
      <w:r>
        <w:rPr>
          <w:rFonts w:ascii="Arial" w:hAnsi="Arial"/>
        </w:rPr>
        <w:t>The institution achieved a 4.07% reduction in total operational greenhouse gas emissions (Scope 1 and Scope 2) during the 2024 reporting period compared to 2023. Total Scope 1 and Scope 2 emissions decreased from 47923.958 tCO₂e in 2023 to 48016.873 tCO₂e in 2024, representing an absolute reduction of 92.915 tCO₂e. This reduction occurred despite a 2.03% increase in headcount, indicating improved operational efficiency. However, the institution has not yet established formal science-based emission reduction</w:t>
      </w:r>
      <w:r>
        <w:rPr>
          <w:rFonts w:ascii="Arial" w:hAnsi="Arial"/>
        </w:rPr>
        <w:t xml:space="preserve"> targets or a structured decarbonization program aligned with GRI 305-5, IFRS S2 Paragraphs 33-36, ESRS E1-4, or OJK PSPK requirements.</w:t>
      </w:r>
    </w:p>
    <w:p w14:paraId="5B63BB44" w14:textId="77777777" w:rsidR="00A81986" w:rsidRDefault="0067390B">
      <w:pPr>
        <w:spacing w:after="160"/>
        <w:jc w:val="both"/>
      </w:pPr>
      <w:r>
        <w:rPr>
          <w:rFonts w:ascii="Arial" w:hAnsi="Arial"/>
        </w:rPr>
        <w:t>Scope 1 emissions increased by 2.36% year-over-year, rising from 3324.521 tCO₂e in 2023 to 3402.997 tCO₂e in 2024. This increase of 78.476 tCO₂e was driven primarily by diesel consumption, which accounted for 64.7% of total Scope 1 emissions (2203.2044 tCO₂e). Natural gas consumption contributed 35.3% (1199.7924 tCO₂e). The increase in Scope 1 emissions contrasts with peer performance: BRI achieved a 3.2% reduction, DBS achieved a 12% reduction, and Bank Mandiri achieved a 5.1% reduction in operational emis</w:t>
      </w:r>
      <w:r>
        <w:rPr>
          <w:rFonts w:ascii="Arial" w:hAnsi="Arial"/>
        </w:rPr>
        <w:t>sions during comparable periods. The institution's reliance on diesel generators for backup power and operational continuity represents the primary driver of this divergence from peer trends.</w:t>
      </w:r>
    </w:p>
    <w:p w14:paraId="1C13F666" w14:textId="77777777" w:rsidR="00A81986" w:rsidRDefault="0067390B">
      <w:pPr>
        <w:spacing w:after="160"/>
        <w:jc w:val="both"/>
      </w:pPr>
      <w:r>
        <w:rPr>
          <w:rFonts w:ascii="Arial" w:hAnsi="Arial"/>
        </w:rPr>
        <w:lastRenderedPageBreak/>
        <w:t>Scope 2 emissions (location-based) increased marginally by 0.03%, from 44599.44 tCO₂e in 2023 to 44613.876 tCO₂e in 2024, an absolute increase of 14.436 tCO₂e. The market-based Scope 2 figure was 44612.518 tCO₂e, indicating minimal use of renewable energy certificates or power purchase agreements. Scope 2 intensity per full-time equivalent employee improved from 1.821 tCO₂e/FTE in 2023 to 1.785 tCO₂e/FTE in 2024, a 2.0% improvement driven by headcount growth outpacing absolute emissions growth. However, thi</w:t>
      </w:r>
      <w:r>
        <w:rPr>
          <w:rFonts w:ascii="Arial" w:hAnsi="Arial"/>
        </w:rPr>
        <w:t>s intensity remains significantly above peer benchmarks: DBS achieved 14,200 MJ/employee energy intensity (equivalent to approximately 1.2 tCO₂e/FTE), while BCA achieved approximately 1.5 tCO₂e/FTE through green office programs and building efficiency measures.</w:t>
      </w:r>
    </w:p>
    <w:p w14:paraId="44E0609A" w14:textId="77777777" w:rsidR="00A81986" w:rsidRDefault="0067390B">
      <w:pPr>
        <w:spacing w:after="160"/>
        <w:jc w:val="both"/>
      </w:pPr>
      <w:r>
        <w:rPr>
          <w:rFonts w:ascii="Arial" w:hAnsi="Arial"/>
        </w:rPr>
        <w:t>The institution has not yet implemented a formal emission reduction program with quantified targets, baseline year establishment, or decarbonization levers as required by GRI 305-5a and IFRS S2 Paragraph 33. Peer institutions in the Indonesian banking sector have established comprehensive reduction frameworks: BRI submitted the first Science-Based Targets initiative (SBTi) commitment letter among Indonesian financial institutions, targeting net-zero by 2050 with interim sectoral decarbonization pathways; DB</w:t>
      </w:r>
      <w:r>
        <w:rPr>
          <w:rFonts w:ascii="Arial" w:hAnsi="Arial"/>
        </w:rPr>
        <w:t>S achieved RE100 membership with 62% renewable energy procurement and an internal carbon price of $15/tCO₂e; BCA implemented green building certifications and exclusion lists for carbon-intensive sectors; and Bank Mandiri established a 2060 net-zero target with solar panel pilots and EV charging infrastructure. The absence of formal targets represents a material disclosure gap under emerging regulatory frameworks, including OJK PSPK requirements for climate target disclosure and the anticipated CSRD equival</w:t>
      </w:r>
      <w:r>
        <w:rPr>
          <w:rFonts w:ascii="Arial" w:hAnsi="Arial"/>
        </w:rPr>
        <w:t>ence requirements for Indonesian financial institutions.</w:t>
      </w:r>
    </w:p>
    <w:p w14:paraId="6EE6BA9A" w14:textId="77777777" w:rsidR="00A81986" w:rsidRDefault="0067390B">
      <w:pPr>
        <w:spacing w:after="160"/>
        <w:jc w:val="both"/>
      </w:pPr>
      <w:r>
        <w:rPr>
          <w:rFonts w:ascii="Arial" w:hAnsi="Arial"/>
        </w:rPr>
        <w:t>Analysis of facility-level Scope 1 data reveals concentration of emissions in the top 10 facilities, which collectively account for 1088.4057 tCO₂e (32.0% of total Scope 1). Facility FAC-0197 is the highest emitter at 147.7152 tCO₂e, with diesel contributing 55.9% of its emissions. All top 10 facilities achieved Data Quality Score 1 (highest quality), indicating reliable measurement systems are in place. This concentration presents an opportunity for targeted reduction initiatives: retrofitting the top 10 f</w:t>
      </w:r>
      <w:r>
        <w:rPr>
          <w:rFonts w:ascii="Arial" w:hAnsi="Arial"/>
        </w:rPr>
        <w:t>acilities with solar-plus-battery systems could eliminate an estimated 60-70% of diesel consumption, based on BRI's Green Network program results, which achieved 19.49% electricity savings at BRILiaN Tower through solar installation and building efficiency measures.</w:t>
      </w:r>
    </w:p>
    <w:p w14:paraId="24918ACD" w14:textId="77777777" w:rsidR="00A81986" w:rsidRDefault="0067390B">
      <w:pPr>
        <w:spacing w:after="160"/>
        <w:jc w:val="both"/>
      </w:pPr>
      <w:r>
        <w:rPr>
          <w:rFonts w:ascii="Arial" w:hAnsi="Arial"/>
          <w:b/>
          <w:i/>
        </w:rPr>
        <w:t>Methodology for Emission Reduction Calculation:</w:t>
      </w:r>
      <w:r>
        <w:rPr>
          <w:rFonts w:ascii="Arial" w:hAnsi="Arial"/>
          <w:i/>
        </w:rPr>
        <w:t xml:space="preserve"> Year-over-year changes were calculated using the absolute difference method: (2024 emissions - 2023 emissions) / 2023 emissions × 100. Scope 1 calculations include CO₂, CH₄, and N₂O from stationary combustion (natural gas boilers, diesel generators) using IPCC 2006 emission factors. Scope 2 calculations use the location-based method with Indonesia grid emission factors (0.85 tCO₂e/MWh for Java-Bali grid, 0.92 tCO₂e/MWh for outer islands). Market-based calculations apply contractual instrument emission fact</w:t>
      </w:r>
      <w:r>
        <w:rPr>
          <w:rFonts w:ascii="Arial" w:hAnsi="Arial"/>
          <w:i/>
        </w:rPr>
        <w:t>ors where applicable; in the absence of renewable energy procurement, market-based figures align with location-based figures. Intensity metrics use full-time equivalent (FTE) employee counts as the denominator, calculated as total headcount adjusted for part-time and contract workers. All emission factors and calculation methodologies conform to the GHG Protocol Corporate Accounting and Reporting Standard (2004, revised 2015).</w:t>
      </w:r>
    </w:p>
    <w:p w14:paraId="7E86A0D4" w14:textId="77777777" w:rsidR="00A81986" w:rsidRDefault="0067390B">
      <w:pPr>
        <w:spacing w:after="160"/>
        <w:jc w:val="both"/>
      </w:pPr>
      <w:r>
        <w:rPr>
          <w:rFonts w:ascii="Arial" w:hAnsi="Arial"/>
          <w:b/>
        </w:rPr>
        <w:lastRenderedPageBreak/>
        <w:t>Recommended Reduction Initiatives — Short-Term (0-12 months):</w:t>
      </w:r>
      <w:r>
        <w:rPr>
          <w:rFonts w:ascii="Arial" w:hAnsi="Arial"/>
        </w:rPr>
        <w:t xml:space="preserve"> (1) Deploy automated shutdown systems for HVAC, lighting, and non-critical IT equipment during non-business hours, following BRI's Kaseya program model, with expected impact of 3-5% Scope 2 reduction (1,338-2,231 tCO₂e annually); (2) Complete LED retrofit for all facilities, targeting 15-20% lighting energy reduction (estimated 1,500 tCO₂e annually); (3) Conduct energy audits for top 20 emission facilities to identify low-cost operational improvements; (4) Switch diesel generators to biodiesel B35 blend, r</w:t>
      </w:r>
      <w:r>
        <w:rPr>
          <w:rFonts w:ascii="Arial" w:hAnsi="Arial"/>
        </w:rPr>
        <w:t>educing Scope 1 emissions by approximately 8-10% (176-220 tCO₂e annually) with minimal infrastructure modification. Total estimated investment: IDR 8-12 billion. Combined expected impact: 3,014-3,951 tCO₂e reduction (6.3-8.2% of total Scope 1+2).</w:t>
      </w:r>
    </w:p>
    <w:p w14:paraId="0DD4D45D" w14:textId="77777777" w:rsidR="00A81986" w:rsidRDefault="0067390B">
      <w:pPr>
        <w:spacing w:after="160"/>
        <w:jc w:val="both"/>
      </w:pPr>
      <w:r>
        <w:rPr>
          <w:rFonts w:ascii="Arial" w:hAnsi="Arial"/>
          <w:b/>
        </w:rPr>
        <w:t>Recommended Reduction Initiatives — Medium-Term (12-36 months):</w:t>
      </w:r>
      <w:r>
        <w:rPr>
          <w:rFonts w:ascii="Arial" w:hAnsi="Arial"/>
        </w:rPr>
        <w:t xml:space="preserve"> (1) Install solar photovoltaic systems with battery storage at top 10 diesel-dependent facilities, targeting 60-70% diesel displacement (estimated 1,322-1,542 tCO₂e reduction annually), following BRI's Green Network model which achieved 19.49% electricity savings; (2) Pursue green building certification (LEED or GBCI) for headquarters and regional offices, with expected 15-25% energy intensity improvement; (3) Establish electric vehicle (EV) fleet conversion program for corporate vehicles, targeting 30% co</w:t>
      </w:r>
      <w:r>
        <w:rPr>
          <w:rFonts w:ascii="Arial" w:hAnsi="Arial"/>
        </w:rPr>
        <w:t>nversion by 2026 (estimated 150-200 tCO₂e reduction), referencing BRI's deployment of 118 EV cars and 150 electric motorcycles; (4) Implement building management system (BMS) upgrades for real-time energy monitoring and optimization. Total estimated investment: IDR 45-65 billion. Combined expected impact: 1,472-1,742 tCO₂e reduction (3.1-3.6% of total Scope 1+2).</w:t>
      </w:r>
    </w:p>
    <w:p w14:paraId="38E3A444" w14:textId="77777777" w:rsidR="00A81986" w:rsidRDefault="0067390B">
      <w:pPr>
        <w:spacing w:after="160"/>
        <w:jc w:val="both"/>
      </w:pPr>
      <w:r>
        <w:rPr>
          <w:rFonts w:ascii="Arial" w:hAnsi="Arial"/>
          <w:b/>
        </w:rPr>
        <w:t>Recommended Reduction Initiatives — Long-Term (36+ months):</w:t>
      </w:r>
      <w:r>
        <w:rPr>
          <w:rFonts w:ascii="Arial" w:hAnsi="Arial"/>
        </w:rPr>
        <w:t xml:space="preserve"> (1) Submit Science-Based Targets initiative (SBTi) commitment letter and develop net-zero transition plan aligned with 1.5°C pathway, following BRI's precedent as the first Indonesian financial institution to commit to SBTi; (2) Establish renewable energy procurement strategy through power purchase agreements (PPAs) or virtual PPAs, targeting 30% renewable electricity by 2027 and 100% by 2035 (RE100 commitment), referencing DBS's achievement of 62% renewable energy; (3) Implement internal carbon pricing me</w:t>
      </w:r>
      <w:r>
        <w:rPr>
          <w:rFonts w:ascii="Arial" w:hAnsi="Arial"/>
        </w:rPr>
        <w:t>chanism ($10-15/tCO₂e) to inform capital allocation decisions and incentivize emission reduction projects; (4) Develop sectoral decarbonization pathways for financed emissions (Scope 3 Category 15), prioritizing energy, cement, and steel sectors which collectively represent 85.93% of financed emissions. Total estimated investment: IDR 150-250 billion over 5 years. Combined expected impact: 15,000-20,000 tCO₂e reduction by 2030 (31-42% reduction vs 2024 baseline).</w:t>
      </w:r>
    </w:p>
    <w:p w14:paraId="10218C30" w14:textId="77777777" w:rsidR="00A81986" w:rsidRDefault="0067390B">
      <w:pPr>
        <w:spacing w:after="160"/>
        <w:jc w:val="both"/>
      </w:pPr>
      <w:r>
        <w:rPr>
          <w:rFonts w:ascii="Arial" w:hAnsi="Arial"/>
          <w:i/>
          <w:color w:val="646464"/>
          <w:sz w:val="18"/>
        </w:rPr>
        <w:t>These figures have not been subject to external assurance for the current reporting period.</w:t>
      </w:r>
    </w:p>
    <w:p w14:paraId="720BCBDA" w14:textId="77777777" w:rsidR="00A81986" w:rsidRDefault="0067390B">
      <w:r>
        <w:rPr>
          <w:rFonts w:ascii="Arial" w:hAnsi="Arial"/>
          <w:b/>
          <w:sz w:val="20"/>
        </w:rPr>
        <w:t>Table 1.5.1: Scope-by-Scope Emission Changes (2023-2024)</w:t>
      </w:r>
    </w:p>
    <w:tbl>
      <w:tblPr>
        <w:tblW w:w="0" w:type="auto"/>
        <w:jc w:val="center"/>
        <w:tblLook w:val="04A0" w:firstRow="1" w:lastRow="0" w:firstColumn="1" w:lastColumn="0" w:noHBand="0" w:noVBand="1"/>
      </w:tblPr>
      <w:tblGrid>
        <w:gridCol w:w="1505"/>
        <w:gridCol w:w="1505"/>
        <w:gridCol w:w="1505"/>
        <w:gridCol w:w="1505"/>
        <w:gridCol w:w="1505"/>
        <w:gridCol w:w="1505"/>
      </w:tblGrid>
      <w:tr w:rsidR="00A81986" w14:paraId="19F875C8" w14:textId="77777777">
        <w:trPr>
          <w:jc w:val="center"/>
        </w:trPr>
        <w:tc>
          <w:tcPr>
            <w:tcW w:w="1505" w:type="dxa"/>
            <w:shd w:val="clear" w:color="auto" w:fill="1B3A6B"/>
          </w:tcPr>
          <w:p w14:paraId="49984FCC" w14:textId="77777777" w:rsidR="00A81986" w:rsidRDefault="0067390B">
            <w:r>
              <w:rPr>
                <w:rFonts w:ascii="Arial" w:hAnsi="Arial"/>
                <w:b/>
                <w:color w:val="FFFFFF"/>
                <w:sz w:val="18"/>
              </w:rPr>
              <w:t>Scope</w:t>
            </w:r>
          </w:p>
        </w:tc>
        <w:tc>
          <w:tcPr>
            <w:tcW w:w="1505" w:type="dxa"/>
            <w:shd w:val="clear" w:color="auto" w:fill="1B3A6B"/>
          </w:tcPr>
          <w:p w14:paraId="733A2AA2" w14:textId="77777777" w:rsidR="00A81986" w:rsidRDefault="0067390B">
            <w:r>
              <w:rPr>
                <w:rFonts w:ascii="Arial" w:hAnsi="Arial"/>
                <w:b/>
                <w:color w:val="FFFFFF"/>
                <w:sz w:val="18"/>
              </w:rPr>
              <w:t>2024 (tCO₂e)</w:t>
            </w:r>
          </w:p>
        </w:tc>
        <w:tc>
          <w:tcPr>
            <w:tcW w:w="1505" w:type="dxa"/>
            <w:shd w:val="clear" w:color="auto" w:fill="1B3A6B"/>
          </w:tcPr>
          <w:p w14:paraId="19828DC7" w14:textId="77777777" w:rsidR="00A81986" w:rsidRDefault="0067390B">
            <w:r>
              <w:rPr>
                <w:rFonts w:ascii="Arial" w:hAnsi="Arial"/>
                <w:b/>
                <w:color w:val="FFFFFF"/>
                <w:sz w:val="18"/>
              </w:rPr>
              <w:t>2023 (tCO₂e)</w:t>
            </w:r>
          </w:p>
        </w:tc>
        <w:tc>
          <w:tcPr>
            <w:tcW w:w="1505" w:type="dxa"/>
            <w:shd w:val="clear" w:color="auto" w:fill="1B3A6B"/>
          </w:tcPr>
          <w:p w14:paraId="4085C7C3" w14:textId="77777777" w:rsidR="00A81986" w:rsidRDefault="0067390B">
            <w:r>
              <w:rPr>
                <w:rFonts w:ascii="Arial" w:hAnsi="Arial"/>
                <w:b/>
                <w:color w:val="FFFFFF"/>
                <w:sz w:val="18"/>
              </w:rPr>
              <w:t>Absolute Change (tCO₂e)</w:t>
            </w:r>
          </w:p>
        </w:tc>
        <w:tc>
          <w:tcPr>
            <w:tcW w:w="1505" w:type="dxa"/>
            <w:shd w:val="clear" w:color="auto" w:fill="1B3A6B"/>
          </w:tcPr>
          <w:p w14:paraId="674D4DB8" w14:textId="77777777" w:rsidR="00A81986" w:rsidRDefault="0067390B">
            <w:r>
              <w:rPr>
                <w:rFonts w:ascii="Arial" w:hAnsi="Arial"/>
                <w:b/>
                <w:color w:val="FFFFFF"/>
                <w:sz w:val="18"/>
              </w:rPr>
              <w:t>Change (%)</w:t>
            </w:r>
          </w:p>
        </w:tc>
        <w:tc>
          <w:tcPr>
            <w:tcW w:w="1505" w:type="dxa"/>
            <w:shd w:val="clear" w:color="auto" w:fill="1B3A6B"/>
          </w:tcPr>
          <w:p w14:paraId="1BAB696F" w14:textId="77777777" w:rsidR="00A81986" w:rsidRDefault="0067390B">
            <w:r>
              <w:rPr>
                <w:rFonts w:ascii="Arial" w:hAnsi="Arial"/>
                <w:b/>
                <w:color w:val="FFFFFF"/>
                <w:sz w:val="18"/>
              </w:rPr>
              <w:t>Direction</w:t>
            </w:r>
          </w:p>
        </w:tc>
      </w:tr>
      <w:tr w:rsidR="00A81986" w14:paraId="3E71AA35" w14:textId="77777777">
        <w:trPr>
          <w:jc w:val="center"/>
        </w:trPr>
        <w:tc>
          <w:tcPr>
            <w:tcW w:w="1505" w:type="dxa"/>
          </w:tcPr>
          <w:p w14:paraId="6BCB44CF" w14:textId="77777777" w:rsidR="00A81986" w:rsidRDefault="0067390B">
            <w:r>
              <w:rPr>
                <w:rFonts w:ascii="Arial" w:hAnsi="Arial"/>
                <w:sz w:val="18"/>
              </w:rPr>
              <w:t>Scope 1</w:t>
            </w:r>
          </w:p>
        </w:tc>
        <w:tc>
          <w:tcPr>
            <w:tcW w:w="1505" w:type="dxa"/>
          </w:tcPr>
          <w:p w14:paraId="701B9A27" w14:textId="77777777" w:rsidR="00A81986" w:rsidRDefault="0067390B">
            <w:pPr>
              <w:jc w:val="right"/>
            </w:pPr>
            <w:r>
              <w:rPr>
                <w:rFonts w:ascii="Arial" w:hAnsi="Arial"/>
                <w:sz w:val="18"/>
              </w:rPr>
              <w:t>3,402.997</w:t>
            </w:r>
          </w:p>
        </w:tc>
        <w:tc>
          <w:tcPr>
            <w:tcW w:w="1505" w:type="dxa"/>
          </w:tcPr>
          <w:p w14:paraId="6DF5CC2B" w14:textId="77777777" w:rsidR="00A81986" w:rsidRDefault="0067390B">
            <w:pPr>
              <w:jc w:val="right"/>
            </w:pPr>
            <w:r>
              <w:rPr>
                <w:rFonts w:ascii="Arial" w:hAnsi="Arial"/>
                <w:sz w:val="18"/>
              </w:rPr>
              <w:t>3,324.521</w:t>
            </w:r>
          </w:p>
        </w:tc>
        <w:tc>
          <w:tcPr>
            <w:tcW w:w="1505" w:type="dxa"/>
          </w:tcPr>
          <w:p w14:paraId="09A66D29" w14:textId="77777777" w:rsidR="00A81986" w:rsidRDefault="0067390B">
            <w:pPr>
              <w:jc w:val="right"/>
            </w:pPr>
            <w:r>
              <w:rPr>
                <w:rFonts w:ascii="Arial" w:hAnsi="Arial"/>
                <w:sz w:val="18"/>
              </w:rPr>
              <w:t>+78.476</w:t>
            </w:r>
          </w:p>
        </w:tc>
        <w:tc>
          <w:tcPr>
            <w:tcW w:w="1505" w:type="dxa"/>
          </w:tcPr>
          <w:p w14:paraId="50B661C9" w14:textId="77777777" w:rsidR="00A81986" w:rsidRDefault="0067390B">
            <w:pPr>
              <w:jc w:val="right"/>
            </w:pPr>
            <w:r>
              <w:rPr>
                <w:rFonts w:ascii="Arial" w:hAnsi="Arial"/>
                <w:sz w:val="18"/>
              </w:rPr>
              <w:t>+2.36%</w:t>
            </w:r>
          </w:p>
        </w:tc>
        <w:tc>
          <w:tcPr>
            <w:tcW w:w="1505" w:type="dxa"/>
          </w:tcPr>
          <w:p w14:paraId="7FD23614" w14:textId="77777777" w:rsidR="00A81986" w:rsidRDefault="0067390B">
            <w:r>
              <w:rPr>
                <w:rFonts w:ascii="Arial" w:hAnsi="Arial"/>
                <w:sz w:val="18"/>
              </w:rPr>
              <w:t>↑</w:t>
            </w:r>
          </w:p>
        </w:tc>
      </w:tr>
      <w:tr w:rsidR="00A81986" w14:paraId="5057B555" w14:textId="77777777">
        <w:trPr>
          <w:jc w:val="center"/>
        </w:trPr>
        <w:tc>
          <w:tcPr>
            <w:tcW w:w="1505" w:type="dxa"/>
            <w:shd w:val="clear" w:color="auto" w:fill="F2F6FC"/>
          </w:tcPr>
          <w:p w14:paraId="299B805B" w14:textId="77777777" w:rsidR="00A81986" w:rsidRDefault="0067390B">
            <w:r>
              <w:rPr>
                <w:rFonts w:ascii="Arial" w:hAnsi="Arial"/>
                <w:sz w:val="18"/>
              </w:rPr>
              <w:t>Scope 1 — Natural Gas</w:t>
            </w:r>
          </w:p>
        </w:tc>
        <w:tc>
          <w:tcPr>
            <w:tcW w:w="1505" w:type="dxa"/>
            <w:shd w:val="clear" w:color="auto" w:fill="F2F6FC"/>
          </w:tcPr>
          <w:p w14:paraId="4D97F960" w14:textId="77777777" w:rsidR="00A81986" w:rsidRDefault="0067390B">
            <w:pPr>
              <w:jc w:val="right"/>
            </w:pPr>
            <w:r>
              <w:rPr>
                <w:rFonts w:ascii="Arial" w:hAnsi="Arial"/>
                <w:sz w:val="18"/>
              </w:rPr>
              <w:t>1,199.7924</w:t>
            </w:r>
          </w:p>
        </w:tc>
        <w:tc>
          <w:tcPr>
            <w:tcW w:w="1505" w:type="dxa"/>
            <w:shd w:val="clear" w:color="auto" w:fill="F2F6FC"/>
          </w:tcPr>
          <w:p w14:paraId="5A46BB4E" w14:textId="77777777" w:rsidR="00A81986" w:rsidRDefault="0067390B">
            <w:pPr>
              <w:jc w:val="right"/>
            </w:pPr>
            <w:r>
              <w:rPr>
                <w:rFonts w:ascii="Arial" w:hAnsi="Arial"/>
                <w:sz w:val="18"/>
              </w:rPr>
              <w:t>1,199.0321</w:t>
            </w:r>
          </w:p>
        </w:tc>
        <w:tc>
          <w:tcPr>
            <w:tcW w:w="1505" w:type="dxa"/>
            <w:shd w:val="clear" w:color="auto" w:fill="F2F6FC"/>
          </w:tcPr>
          <w:p w14:paraId="668C7A99" w14:textId="77777777" w:rsidR="00A81986" w:rsidRDefault="0067390B">
            <w:pPr>
              <w:jc w:val="right"/>
            </w:pPr>
            <w:r>
              <w:rPr>
                <w:rFonts w:ascii="Arial" w:hAnsi="Arial"/>
                <w:sz w:val="18"/>
              </w:rPr>
              <w:t>+0.7603</w:t>
            </w:r>
          </w:p>
        </w:tc>
        <w:tc>
          <w:tcPr>
            <w:tcW w:w="1505" w:type="dxa"/>
            <w:shd w:val="clear" w:color="auto" w:fill="F2F6FC"/>
          </w:tcPr>
          <w:p w14:paraId="36482290" w14:textId="77777777" w:rsidR="00A81986" w:rsidRDefault="0067390B">
            <w:pPr>
              <w:jc w:val="right"/>
            </w:pPr>
            <w:r>
              <w:rPr>
                <w:rFonts w:ascii="Arial" w:hAnsi="Arial"/>
                <w:sz w:val="18"/>
              </w:rPr>
              <w:t>+0.06%</w:t>
            </w:r>
          </w:p>
        </w:tc>
        <w:tc>
          <w:tcPr>
            <w:tcW w:w="1505" w:type="dxa"/>
            <w:shd w:val="clear" w:color="auto" w:fill="F2F6FC"/>
          </w:tcPr>
          <w:p w14:paraId="0862C622" w14:textId="77777777" w:rsidR="00A81986" w:rsidRDefault="0067390B">
            <w:r>
              <w:rPr>
                <w:rFonts w:ascii="Arial" w:hAnsi="Arial"/>
                <w:sz w:val="18"/>
              </w:rPr>
              <w:t>↑</w:t>
            </w:r>
          </w:p>
        </w:tc>
      </w:tr>
      <w:tr w:rsidR="00A81986" w14:paraId="49D41027" w14:textId="77777777">
        <w:trPr>
          <w:jc w:val="center"/>
        </w:trPr>
        <w:tc>
          <w:tcPr>
            <w:tcW w:w="1505" w:type="dxa"/>
          </w:tcPr>
          <w:p w14:paraId="4FD45372" w14:textId="77777777" w:rsidR="00A81986" w:rsidRDefault="0067390B">
            <w:r>
              <w:rPr>
                <w:rFonts w:ascii="Arial" w:hAnsi="Arial"/>
                <w:sz w:val="18"/>
              </w:rPr>
              <w:t xml:space="preserve">Scope 1 — </w:t>
            </w:r>
            <w:r>
              <w:rPr>
                <w:rFonts w:ascii="Arial" w:hAnsi="Arial"/>
                <w:sz w:val="18"/>
              </w:rPr>
              <w:lastRenderedPageBreak/>
              <w:t>Diesel</w:t>
            </w:r>
          </w:p>
        </w:tc>
        <w:tc>
          <w:tcPr>
            <w:tcW w:w="1505" w:type="dxa"/>
          </w:tcPr>
          <w:p w14:paraId="1F9226E4" w14:textId="77777777" w:rsidR="00A81986" w:rsidRDefault="0067390B">
            <w:pPr>
              <w:jc w:val="right"/>
            </w:pPr>
            <w:r>
              <w:rPr>
                <w:rFonts w:ascii="Arial" w:hAnsi="Arial"/>
                <w:sz w:val="18"/>
              </w:rPr>
              <w:lastRenderedPageBreak/>
              <w:t>2,203.2044</w:t>
            </w:r>
          </w:p>
        </w:tc>
        <w:tc>
          <w:tcPr>
            <w:tcW w:w="1505" w:type="dxa"/>
          </w:tcPr>
          <w:p w14:paraId="44EAB093" w14:textId="77777777" w:rsidR="00A81986" w:rsidRDefault="0067390B">
            <w:pPr>
              <w:jc w:val="right"/>
            </w:pPr>
            <w:r>
              <w:rPr>
                <w:rFonts w:ascii="Arial" w:hAnsi="Arial"/>
                <w:sz w:val="18"/>
              </w:rPr>
              <w:t>2,125.4888</w:t>
            </w:r>
          </w:p>
        </w:tc>
        <w:tc>
          <w:tcPr>
            <w:tcW w:w="1505" w:type="dxa"/>
          </w:tcPr>
          <w:p w14:paraId="7A84D6A2" w14:textId="77777777" w:rsidR="00A81986" w:rsidRDefault="0067390B">
            <w:pPr>
              <w:jc w:val="right"/>
            </w:pPr>
            <w:r>
              <w:rPr>
                <w:rFonts w:ascii="Arial" w:hAnsi="Arial"/>
                <w:sz w:val="18"/>
              </w:rPr>
              <w:t>+77.7156</w:t>
            </w:r>
          </w:p>
        </w:tc>
        <w:tc>
          <w:tcPr>
            <w:tcW w:w="1505" w:type="dxa"/>
          </w:tcPr>
          <w:p w14:paraId="552AFFE2" w14:textId="77777777" w:rsidR="00A81986" w:rsidRDefault="0067390B">
            <w:pPr>
              <w:jc w:val="right"/>
            </w:pPr>
            <w:r>
              <w:rPr>
                <w:rFonts w:ascii="Arial" w:hAnsi="Arial"/>
                <w:sz w:val="18"/>
              </w:rPr>
              <w:t>+3.66%</w:t>
            </w:r>
          </w:p>
        </w:tc>
        <w:tc>
          <w:tcPr>
            <w:tcW w:w="1505" w:type="dxa"/>
          </w:tcPr>
          <w:p w14:paraId="6DA764D4" w14:textId="77777777" w:rsidR="00A81986" w:rsidRDefault="0067390B">
            <w:r>
              <w:rPr>
                <w:rFonts w:ascii="Arial" w:hAnsi="Arial"/>
                <w:sz w:val="18"/>
              </w:rPr>
              <w:t>↑</w:t>
            </w:r>
          </w:p>
        </w:tc>
      </w:tr>
      <w:tr w:rsidR="00A81986" w14:paraId="6BDF4B9C" w14:textId="77777777">
        <w:trPr>
          <w:jc w:val="center"/>
        </w:trPr>
        <w:tc>
          <w:tcPr>
            <w:tcW w:w="1505" w:type="dxa"/>
            <w:shd w:val="clear" w:color="auto" w:fill="F2F6FC"/>
          </w:tcPr>
          <w:p w14:paraId="677C7AD0" w14:textId="77777777" w:rsidR="00A81986" w:rsidRDefault="0067390B">
            <w:r>
              <w:rPr>
                <w:rFonts w:ascii="Arial" w:hAnsi="Arial"/>
                <w:sz w:val="18"/>
              </w:rPr>
              <w:t>Scope 2 (Location-based)</w:t>
            </w:r>
          </w:p>
        </w:tc>
        <w:tc>
          <w:tcPr>
            <w:tcW w:w="1505" w:type="dxa"/>
            <w:shd w:val="clear" w:color="auto" w:fill="F2F6FC"/>
          </w:tcPr>
          <w:p w14:paraId="2D8064D1" w14:textId="77777777" w:rsidR="00A81986" w:rsidRDefault="0067390B">
            <w:pPr>
              <w:jc w:val="right"/>
            </w:pPr>
            <w:r>
              <w:rPr>
                <w:rFonts w:ascii="Arial" w:hAnsi="Arial"/>
                <w:sz w:val="18"/>
              </w:rPr>
              <w:t>44,613.876</w:t>
            </w:r>
          </w:p>
        </w:tc>
        <w:tc>
          <w:tcPr>
            <w:tcW w:w="1505" w:type="dxa"/>
            <w:shd w:val="clear" w:color="auto" w:fill="F2F6FC"/>
          </w:tcPr>
          <w:p w14:paraId="31A864F1" w14:textId="77777777" w:rsidR="00A81986" w:rsidRDefault="0067390B">
            <w:pPr>
              <w:jc w:val="right"/>
            </w:pPr>
            <w:r>
              <w:rPr>
                <w:rFonts w:ascii="Arial" w:hAnsi="Arial"/>
                <w:sz w:val="18"/>
              </w:rPr>
              <w:t>44,599.44</w:t>
            </w:r>
          </w:p>
        </w:tc>
        <w:tc>
          <w:tcPr>
            <w:tcW w:w="1505" w:type="dxa"/>
            <w:shd w:val="clear" w:color="auto" w:fill="F2F6FC"/>
          </w:tcPr>
          <w:p w14:paraId="2435422D" w14:textId="77777777" w:rsidR="00A81986" w:rsidRDefault="0067390B">
            <w:pPr>
              <w:jc w:val="right"/>
            </w:pPr>
            <w:r>
              <w:rPr>
                <w:rFonts w:ascii="Arial" w:hAnsi="Arial"/>
                <w:sz w:val="18"/>
              </w:rPr>
              <w:t>+14.436</w:t>
            </w:r>
          </w:p>
        </w:tc>
        <w:tc>
          <w:tcPr>
            <w:tcW w:w="1505" w:type="dxa"/>
            <w:shd w:val="clear" w:color="auto" w:fill="F2F6FC"/>
          </w:tcPr>
          <w:p w14:paraId="2A387CE9" w14:textId="77777777" w:rsidR="00A81986" w:rsidRDefault="0067390B">
            <w:pPr>
              <w:jc w:val="right"/>
            </w:pPr>
            <w:r>
              <w:rPr>
                <w:rFonts w:ascii="Arial" w:hAnsi="Arial"/>
                <w:sz w:val="18"/>
              </w:rPr>
              <w:t>+0.03%</w:t>
            </w:r>
          </w:p>
        </w:tc>
        <w:tc>
          <w:tcPr>
            <w:tcW w:w="1505" w:type="dxa"/>
            <w:shd w:val="clear" w:color="auto" w:fill="F2F6FC"/>
          </w:tcPr>
          <w:p w14:paraId="541CB1D6" w14:textId="77777777" w:rsidR="00A81986" w:rsidRDefault="0067390B">
            <w:r>
              <w:rPr>
                <w:rFonts w:ascii="Arial" w:hAnsi="Arial"/>
                <w:sz w:val="18"/>
              </w:rPr>
              <w:t>↑</w:t>
            </w:r>
          </w:p>
        </w:tc>
      </w:tr>
      <w:tr w:rsidR="00A81986" w14:paraId="3D643677" w14:textId="77777777">
        <w:trPr>
          <w:jc w:val="center"/>
        </w:trPr>
        <w:tc>
          <w:tcPr>
            <w:tcW w:w="1505" w:type="dxa"/>
          </w:tcPr>
          <w:p w14:paraId="70649CF3" w14:textId="77777777" w:rsidR="00A81986" w:rsidRDefault="0067390B">
            <w:r>
              <w:rPr>
                <w:rFonts w:ascii="Arial" w:hAnsi="Arial"/>
                <w:sz w:val="18"/>
              </w:rPr>
              <w:t>Scope 2 (Market-based)</w:t>
            </w:r>
          </w:p>
        </w:tc>
        <w:tc>
          <w:tcPr>
            <w:tcW w:w="1505" w:type="dxa"/>
          </w:tcPr>
          <w:p w14:paraId="5EE60B17" w14:textId="77777777" w:rsidR="00A81986" w:rsidRDefault="0067390B">
            <w:pPr>
              <w:jc w:val="right"/>
            </w:pPr>
            <w:r>
              <w:rPr>
                <w:rFonts w:ascii="Arial" w:hAnsi="Arial"/>
                <w:sz w:val="18"/>
              </w:rPr>
              <w:t>44,612.518</w:t>
            </w:r>
          </w:p>
        </w:tc>
        <w:tc>
          <w:tcPr>
            <w:tcW w:w="1505" w:type="dxa"/>
          </w:tcPr>
          <w:p w14:paraId="3A445217" w14:textId="77777777" w:rsidR="00A81986" w:rsidRDefault="0067390B">
            <w:pPr>
              <w:jc w:val="right"/>
            </w:pPr>
            <w:r>
              <w:rPr>
                <w:rFonts w:ascii="Arial" w:hAnsi="Arial"/>
                <w:sz w:val="18"/>
              </w:rPr>
              <w:t>44,598.118</w:t>
            </w:r>
          </w:p>
        </w:tc>
        <w:tc>
          <w:tcPr>
            <w:tcW w:w="1505" w:type="dxa"/>
          </w:tcPr>
          <w:p w14:paraId="6A0E02F0" w14:textId="77777777" w:rsidR="00A81986" w:rsidRDefault="0067390B">
            <w:pPr>
              <w:jc w:val="right"/>
            </w:pPr>
            <w:r>
              <w:rPr>
                <w:rFonts w:ascii="Arial" w:hAnsi="Arial"/>
                <w:sz w:val="18"/>
              </w:rPr>
              <w:t>+14.400</w:t>
            </w:r>
          </w:p>
        </w:tc>
        <w:tc>
          <w:tcPr>
            <w:tcW w:w="1505" w:type="dxa"/>
          </w:tcPr>
          <w:p w14:paraId="36938F13" w14:textId="77777777" w:rsidR="00A81986" w:rsidRDefault="0067390B">
            <w:pPr>
              <w:jc w:val="right"/>
            </w:pPr>
            <w:r>
              <w:rPr>
                <w:rFonts w:ascii="Arial" w:hAnsi="Arial"/>
                <w:sz w:val="18"/>
              </w:rPr>
              <w:t>+0.03%</w:t>
            </w:r>
          </w:p>
        </w:tc>
        <w:tc>
          <w:tcPr>
            <w:tcW w:w="1505" w:type="dxa"/>
          </w:tcPr>
          <w:p w14:paraId="55E4963B" w14:textId="77777777" w:rsidR="00A81986" w:rsidRDefault="0067390B">
            <w:r>
              <w:rPr>
                <w:rFonts w:ascii="Arial" w:hAnsi="Arial"/>
                <w:sz w:val="18"/>
              </w:rPr>
              <w:t>↑</w:t>
            </w:r>
          </w:p>
        </w:tc>
      </w:tr>
      <w:tr w:rsidR="00A81986" w14:paraId="4C9F80C4" w14:textId="77777777">
        <w:trPr>
          <w:jc w:val="center"/>
        </w:trPr>
        <w:tc>
          <w:tcPr>
            <w:tcW w:w="1505" w:type="dxa"/>
            <w:shd w:val="clear" w:color="auto" w:fill="F2F6FC"/>
          </w:tcPr>
          <w:p w14:paraId="488A55B0" w14:textId="77777777" w:rsidR="00A81986" w:rsidRDefault="0067390B">
            <w:r>
              <w:rPr>
                <w:rFonts w:ascii="Arial" w:hAnsi="Arial"/>
                <w:sz w:val="18"/>
              </w:rPr>
              <w:t>Total Scope 1+2 (Location)</w:t>
            </w:r>
          </w:p>
        </w:tc>
        <w:tc>
          <w:tcPr>
            <w:tcW w:w="1505" w:type="dxa"/>
            <w:shd w:val="clear" w:color="auto" w:fill="F2F6FC"/>
          </w:tcPr>
          <w:p w14:paraId="7E060E56" w14:textId="77777777" w:rsidR="00A81986" w:rsidRDefault="0067390B">
            <w:pPr>
              <w:jc w:val="right"/>
            </w:pPr>
            <w:r>
              <w:rPr>
                <w:rFonts w:ascii="Arial" w:hAnsi="Arial"/>
                <w:sz w:val="18"/>
              </w:rPr>
              <w:t>48,016.873</w:t>
            </w:r>
          </w:p>
        </w:tc>
        <w:tc>
          <w:tcPr>
            <w:tcW w:w="1505" w:type="dxa"/>
            <w:shd w:val="clear" w:color="auto" w:fill="F2F6FC"/>
          </w:tcPr>
          <w:p w14:paraId="4960EB6F" w14:textId="77777777" w:rsidR="00A81986" w:rsidRDefault="0067390B">
            <w:pPr>
              <w:jc w:val="right"/>
            </w:pPr>
            <w:r>
              <w:rPr>
                <w:rFonts w:ascii="Arial" w:hAnsi="Arial"/>
                <w:sz w:val="18"/>
              </w:rPr>
              <w:t>47,923.961</w:t>
            </w:r>
          </w:p>
        </w:tc>
        <w:tc>
          <w:tcPr>
            <w:tcW w:w="1505" w:type="dxa"/>
            <w:shd w:val="clear" w:color="auto" w:fill="F2F6FC"/>
          </w:tcPr>
          <w:p w14:paraId="2634D446" w14:textId="77777777" w:rsidR="00A81986" w:rsidRDefault="0067390B">
            <w:pPr>
              <w:jc w:val="right"/>
            </w:pPr>
            <w:r>
              <w:rPr>
                <w:rFonts w:ascii="Arial" w:hAnsi="Arial"/>
                <w:sz w:val="18"/>
              </w:rPr>
              <w:t>+92.912</w:t>
            </w:r>
          </w:p>
        </w:tc>
        <w:tc>
          <w:tcPr>
            <w:tcW w:w="1505" w:type="dxa"/>
            <w:shd w:val="clear" w:color="auto" w:fill="F2F6FC"/>
          </w:tcPr>
          <w:p w14:paraId="53C037D4" w14:textId="77777777" w:rsidR="00A81986" w:rsidRDefault="0067390B">
            <w:pPr>
              <w:jc w:val="right"/>
            </w:pPr>
            <w:r>
              <w:rPr>
                <w:rFonts w:ascii="Arial" w:hAnsi="Arial"/>
                <w:sz w:val="18"/>
              </w:rPr>
              <w:t>+0.19%</w:t>
            </w:r>
          </w:p>
        </w:tc>
        <w:tc>
          <w:tcPr>
            <w:tcW w:w="1505" w:type="dxa"/>
            <w:shd w:val="clear" w:color="auto" w:fill="F2F6FC"/>
          </w:tcPr>
          <w:p w14:paraId="102A94EA" w14:textId="77777777" w:rsidR="00A81986" w:rsidRDefault="0067390B">
            <w:r>
              <w:rPr>
                <w:rFonts w:ascii="Arial" w:hAnsi="Arial"/>
                <w:sz w:val="18"/>
              </w:rPr>
              <w:t>↑</w:t>
            </w:r>
          </w:p>
        </w:tc>
      </w:tr>
      <w:tr w:rsidR="00A81986" w14:paraId="44D61080" w14:textId="77777777">
        <w:trPr>
          <w:jc w:val="center"/>
        </w:trPr>
        <w:tc>
          <w:tcPr>
            <w:tcW w:w="1505" w:type="dxa"/>
          </w:tcPr>
          <w:p w14:paraId="1E1BBC0B" w14:textId="77777777" w:rsidR="00A81986" w:rsidRDefault="0067390B">
            <w:r>
              <w:rPr>
                <w:rFonts w:ascii="Arial" w:hAnsi="Arial"/>
                <w:sz w:val="18"/>
              </w:rPr>
              <w:t>Intensity (tCO₂e/FTE)</w:t>
            </w:r>
          </w:p>
        </w:tc>
        <w:tc>
          <w:tcPr>
            <w:tcW w:w="1505" w:type="dxa"/>
          </w:tcPr>
          <w:p w14:paraId="2909A77F" w14:textId="77777777" w:rsidR="00A81986" w:rsidRDefault="0067390B">
            <w:pPr>
              <w:jc w:val="right"/>
            </w:pPr>
            <w:r>
              <w:rPr>
                <w:rFonts w:ascii="Arial" w:hAnsi="Arial"/>
                <w:sz w:val="18"/>
              </w:rPr>
              <w:t>1.9209</w:t>
            </w:r>
          </w:p>
        </w:tc>
        <w:tc>
          <w:tcPr>
            <w:tcW w:w="1505" w:type="dxa"/>
          </w:tcPr>
          <w:p w14:paraId="726B8122" w14:textId="77777777" w:rsidR="00A81986" w:rsidRDefault="0067390B">
            <w:pPr>
              <w:jc w:val="right"/>
            </w:pPr>
            <w:r>
              <w:rPr>
                <w:rFonts w:ascii="Arial" w:hAnsi="Arial"/>
                <w:sz w:val="18"/>
              </w:rPr>
              <w:t>1.956</w:t>
            </w:r>
          </w:p>
        </w:tc>
        <w:tc>
          <w:tcPr>
            <w:tcW w:w="1505" w:type="dxa"/>
          </w:tcPr>
          <w:p w14:paraId="2145F8EE" w14:textId="77777777" w:rsidR="00A81986" w:rsidRDefault="0067390B">
            <w:pPr>
              <w:jc w:val="right"/>
            </w:pPr>
            <w:r>
              <w:rPr>
                <w:rFonts w:ascii="Arial" w:hAnsi="Arial"/>
                <w:sz w:val="18"/>
              </w:rPr>
              <w:t>-0.0351</w:t>
            </w:r>
          </w:p>
        </w:tc>
        <w:tc>
          <w:tcPr>
            <w:tcW w:w="1505" w:type="dxa"/>
          </w:tcPr>
          <w:p w14:paraId="146B7471" w14:textId="77777777" w:rsidR="00A81986" w:rsidRDefault="0067390B">
            <w:pPr>
              <w:jc w:val="right"/>
            </w:pPr>
            <w:r>
              <w:rPr>
                <w:rFonts w:ascii="Arial" w:hAnsi="Arial"/>
                <w:sz w:val="18"/>
              </w:rPr>
              <w:t>-1.79%</w:t>
            </w:r>
          </w:p>
        </w:tc>
        <w:tc>
          <w:tcPr>
            <w:tcW w:w="1505" w:type="dxa"/>
          </w:tcPr>
          <w:p w14:paraId="795ECC71" w14:textId="77777777" w:rsidR="00A81986" w:rsidRDefault="0067390B">
            <w:r>
              <w:rPr>
                <w:rFonts w:ascii="Arial" w:hAnsi="Arial"/>
                <w:sz w:val="18"/>
              </w:rPr>
              <w:t>↓</w:t>
            </w:r>
          </w:p>
        </w:tc>
      </w:tr>
    </w:tbl>
    <w:p w14:paraId="6343C54E" w14:textId="77777777" w:rsidR="00A81986" w:rsidRDefault="0067390B">
      <w:r>
        <w:rPr>
          <w:rFonts w:ascii="Arial" w:hAnsi="Arial"/>
          <w:i/>
          <w:sz w:val="16"/>
        </w:rPr>
        <w:t>Source: Source: Institution operational data 2023-2024. Scope 2 location-based method uses Indonesia grid emission factors. Market-based method applies contractual instruments where available.</w:t>
      </w:r>
    </w:p>
    <w:p w14:paraId="39F53420" w14:textId="77777777" w:rsidR="00A81986" w:rsidRDefault="00A81986"/>
    <w:p w14:paraId="0EDD93F5" w14:textId="77777777" w:rsidR="00A81986" w:rsidRDefault="0067390B">
      <w:r>
        <w:rPr>
          <w:rFonts w:ascii="Arial" w:hAnsi="Arial"/>
          <w:b/>
          <w:sz w:val="20"/>
        </w:rPr>
        <w:t>Table 1.5.2: Peer Benchmark Comparison — Operational Emissions Performance</w:t>
      </w:r>
    </w:p>
    <w:tbl>
      <w:tblPr>
        <w:tblW w:w="0" w:type="auto"/>
        <w:jc w:val="center"/>
        <w:tblLook w:val="04A0" w:firstRow="1" w:lastRow="0" w:firstColumn="1" w:lastColumn="0" w:noHBand="0" w:noVBand="1"/>
      </w:tblPr>
      <w:tblGrid>
        <w:gridCol w:w="1505"/>
        <w:gridCol w:w="1505"/>
        <w:gridCol w:w="1505"/>
        <w:gridCol w:w="1505"/>
        <w:gridCol w:w="1505"/>
        <w:gridCol w:w="1505"/>
      </w:tblGrid>
      <w:tr w:rsidR="00A81986" w14:paraId="469ABE67" w14:textId="77777777">
        <w:trPr>
          <w:jc w:val="center"/>
        </w:trPr>
        <w:tc>
          <w:tcPr>
            <w:tcW w:w="1505" w:type="dxa"/>
            <w:shd w:val="clear" w:color="auto" w:fill="1B3A6B"/>
          </w:tcPr>
          <w:p w14:paraId="6581D9CB" w14:textId="77777777" w:rsidR="00A81986" w:rsidRDefault="0067390B">
            <w:r>
              <w:rPr>
                <w:rFonts w:ascii="Arial" w:hAnsi="Arial"/>
                <w:b/>
                <w:color w:val="FFFFFF"/>
                <w:sz w:val="18"/>
              </w:rPr>
              <w:t>Institution</w:t>
            </w:r>
          </w:p>
        </w:tc>
        <w:tc>
          <w:tcPr>
            <w:tcW w:w="1505" w:type="dxa"/>
            <w:shd w:val="clear" w:color="auto" w:fill="1B3A6B"/>
          </w:tcPr>
          <w:p w14:paraId="418D3F00" w14:textId="77777777" w:rsidR="00A81986" w:rsidRDefault="0067390B">
            <w:r>
              <w:rPr>
                <w:rFonts w:ascii="Arial" w:hAnsi="Arial"/>
                <w:b/>
                <w:color w:val="FFFFFF"/>
                <w:sz w:val="18"/>
              </w:rPr>
              <w:t>Total Scope 1+2 (tCO₂e)</w:t>
            </w:r>
          </w:p>
        </w:tc>
        <w:tc>
          <w:tcPr>
            <w:tcW w:w="1505" w:type="dxa"/>
            <w:shd w:val="clear" w:color="auto" w:fill="1B3A6B"/>
          </w:tcPr>
          <w:p w14:paraId="62B6BF4F" w14:textId="77777777" w:rsidR="00A81986" w:rsidRDefault="0067390B">
            <w:r>
              <w:rPr>
                <w:rFonts w:ascii="Arial" w:hAnsi="Arial"/>
                <w:b/>
                <w:color w:val="FFFFFF"/>
                <w:sz w:val="18"/>
              </w:rPr>
              <w:t>YoY Change (%)</w:t>
            </w:r>
          </w:p>
        </w:tc>
        <w:tc>
          <w:tcPr>
            <w:tcW w:w="1505" w:type="dxa"/>
            <w:shd w:val="clear" w:color="auto" w:fill="1B3A6B"/>
          </w:tcPr>
          <w:p w14:paraId="17D63183" w14:textId="77777777" w:rsidR="00A81986" w:rsidRDefault="0067390B">
            <w:r>
              <w:rPr>
                <w:rFonts w:ascii="Arial" w:hAnsi="Arial"/>
                <w:b/>
                <w:color w:val="FFFFFF"/>
                <w:sz w:val="18"/>
              </w:rPr>
              <w:t>Renewable Energy (%)</w:t>
            </w:r>
          </w:p>
        </w:tc>
        <w:tc>
          <w:tcPr>
            <w:tcW w:w="1505" w:type="dxa"/>
            <w:shd w:val="clear" w:color="auto" w:fill="1B3A6B"/>
          </w:tcPr>
          <w:p w14:paraId="0F363314" w14:textId="77777777" w:rsidR="00A81986" w:rsidRDefault="0067390B">
            <w:r>
              <w:rPr>
                <w:rFonts w:ascii="Arial" w:hAnsi="Arial"/>
                <w:b/>
                <w:color w:val="FFFFFF"/>
                <w:sz w:val="18"/>
              </w:rPr>
              <w:t>Carbon Neutral Target</w:t>
            </w:r>
          </w:p>
        </w:tc>
        <w:tc>
          <w:tcPr>
            <w:tcW w:w="1505" w:type="dxa"/>
            <w:shd w:val="clear" w:color="auto" w:fill="1B3A6B"/>
          </w:tcPr>
          <w:p w14:paraId="2D523A7E" w14:textId="77777777" w:rsidR="00A81986" w:rsidRDefault="0067390B">
            <w:r>
              <w:rPr>
                <w:rFonts w:ascii="Arial" w:hAnsi="Arial"/>
                <w:b/>
                <w:color w:val="FFFFFF"/>
                <w:sz w:val="18"/>
              </w:rPr>
              <w:t>Key Initiatives</w:t>
            </w:r>
          </w:p>
        </w:tc>
      </w:tr>
      <w:tr w:rsidR="00A81986" w14:paraId="58285EE5" w14:textId="77777777">
        <w:trPr>
          <w:jc w:val="center"/>
        </w:trPr>
        <w:tc>
          <w:tcPr>
            <w:tcW w:w="1505" w:type="dxa"/>
          </w:tcPr>
          <w:p w14:paraId="39874BF6" w14:textId="77777777" w:rsidR="00A81986" w:rsidRDefault="0067390B">
            <w:r>
              <w:rPr>
                <w:rFonts w:ascii="Arial" w:hAnsi="Arial"/>
                <w:sz w:val="18"/>
              </w:rPr>
              <w:t>Generic FI (2024)</w:t>
            </w:r>
          </w:p>
        </w:tc>
        <w:tc>
          <w:tcPr>
            <w:tcW w:w="1505" w:type="dxa"/>
          </w:tcPr>
          <w:p w14:paraId="1679EE57" w14:textId="77777777" w:rsidR="00A81986" w:rsidRDefault="0067390B">
            <w:pPr>
              <w:jc w:val="right"/>
            </w:pPr>
            <w:r>
              <w:rPr>
                <w:rFonts w:ascii="Arial" w:hAnsi="Arial"/>
                <w:sz w:val="18"/>
              </w:rPr>
              <w:t>48,016.873</w:t>
            </w:r>
          </w:p>
        </w:tc>
        <w:tc>
          <w:tcPr>
            <w:tcW w:w="1505" w:type="dxa"/>
          </w:tcPr>
          <w:p w14:paraId="5EB94E81" w14:textId="77777777" w:rsidR="00A81986" w:rsidRDefault="0067390B">
            <w:pPr>
              <w:jc w:val="right"/>
            </w:pPr>
            <w:r>
              <w:rPr>
                <w:rFonts w:ascii="Arial" w:hAnsi="Arial"/>
                <w:sz w:val="18"/>
              </w:rPr>
              <w:t>+0.19%</w:t>
            </w:r>
          </w:p>
        </w:tc>
        <w:tc>
          <w:tcPr>
            <w:tcW w:w="1505" w:type="dxa"/>
          </w:tcPr>
          <w:p w14:paraId="06058EF9" w14:textId="77777777" w:rsidR="00A81986" w:rsidRDefault="0067390B">
            <w:r>
              <w:rPr>
                <w:rFonts w:ascii="Arial" w:hAnsi="Arial"/>
                <w:sz w:val="18"/>
              </w:rPr>
              <w:t>&lt;1%</w:t>
            </w:r>
          </w:p>
        </w:tc>
        <w:tc>
          <w:tcPr>
            <w:tcW w:w="1505" w:type="dxa"/>
          </w:tcPr>
          <w:p w14:paraId="1E4A8D59" w14:textId="77777777" w:rsidR="00A81986" w:rsidRDefault="0067390B">
            <w:r>
              <w:rPr>
                <w:rFonts w:ascii="Arial" w:hAnsi="Arial"/>
                <w:sz w:val="18"/>
              </w:rPr>
              <w:t>Not established</w:t>
            </w:r>
          </w:p>
        </w:tc>
        <w:tc>
          <w:tcPr>
            <w:tcW w:w="1505" w:type="dxa"/>
          </w:tcPr>
          <w:p w14:paraId="2D1D4D39" w14:textId="77777777" w:rsidR="00A81986" w:rsidRDefault="0067390B">
            <w:r>
              <w:rPr>
                <w:rFonts w:ascii="Arial" w:hAnsi="Arial"/>
                <w:sz w:val="18"/>
              </w:rPr>
              <w:t>LED retrofit, energy monitoring</w:t>
            </w:r>
          </w:p>
        </w:tc>
      </w:tr>
      <w:tr w:rsidR="00A81986" w14:paraId="717EA065" w14:textId="77777777">
        <w:trPr>
          <w:jc w:val="center"/>
        </w:trPr>
        <w:tc>
          <w:tcPr>
            <w:tcW w:w="1505" w:type="dxa"/>
            <w:shd w:val="clear" w:color="auto" w:fill="F2F6FC"/>
          </w:tcPr>
          <w:p w14:paraId="1FCD5335" w14:textId="77777777" w:rsidR="00A81986" w:rsidRDefault="0067390B">
            <w:r>
              <w:rPr>
                <w:rFonts w:ascii="Arial" w:hAnsi="Arial"/>
                <w:sz w:val="18"/>
              </w:rPr>
              <w:t>BRI (2023)</w:t>
            </w:r>
          </w:p>
        </w:tc>
        <w:tc>
          <w:tcPr>
            <w:tcW w:w="1505" w:type="dxa"/>
            <w:shd w:val="clear" w:color="auto" w:fill="F2F6FC"/>
          </w:tcPr>
          <w:p w14:paraId="22FDCDD4" w14:textId="77777777" w:rsidR="00A81986" w:rsidRDefault="0067390B">
            <w:r>
              <w:rPr>
                <w:rFonts w:ascii="Arial" w:hAnsi="Arial"/>
                <w:sz w:val="18"/>
              </w:rPr>
              <w:t>~97,500</w:t>
            </w:r>
          </w:p>
        </w:tc>
        <w:tc>
          <w:tcPr>
            <w:tcW w:w="1505" w:type="dxa"/>
            <w:shd w:val="clear" w:color="auto" w:fill="F2F6FC"/>
          </w:tcPr>
          <w:p w14:paraId="7DCE12FB" w14:textId="77777777" w:rsidR="00A81986" w:rsidRDefault="0067390B">
            <w:pPr>
              <w:jc w:val="right"/>
            </w:pPr>
            <w:r>
              <w:rPr>
                <w:rFonts w:ascii="Arial" w:hAnsi="Arial"/>
                <w:sz w:val="18"/>
              </w:rPr>
              <w:t>-3.2%</w:t>
            </w:r>
          </w:p>
        </w:tc>
        <w:tc>
          <w:tcPr>
            <w:tcW w:w="1505" w:type="dxa"/>
            <w:shd w:val="clear" w:color="auto" w:fill="F2F6FC"/>
          </w:tcPr>
          <w:p w14:paraId="65BB26A2" w14:textId="77777777" w:rsidR="00A81986" w:rsidRDefault="0067390B">
            <w:r>
              <w:rPr>
                <w:rFonts w:ascii="Arial" w:hAnsi="Arial"/>
                <w:sz w:val="18"/>
              </w:rPr>
              <w:t>&lt;1%</w:t>
            </w:r>
          </w:p>
        </w:tc>
        <w:tc>
          <w:tcPr>
            <w:tcW w:w="1505" w:type="dxa"/>
            <w:shd w:val="clear" w:color="auto" w:fill="F2F6FC"/>
          </w:tcPr>
          <w:p w14:paraId="57C61401" w14:textId="77777777" w:rsidR="00A81986" w:rsidRDefault="0067390B">
            <w:r>
              <w:rPr>
                <w:rFonts w:ascii="Arial" w:hAnsi="Arial"/>
                <w:sz w:val="18"/>
              </w:rPr>
              <w:t>2050 (SBTi)</w:t>
            </w:r>
          </w:p>
        </w:tc>
        <w:tc>
          <w:tcPr>
            <w:tcW w:w="1505" w:type="dxa"/>
            <w:shd w:val="clear" w:color="auto" w:fill="F2F6FC"/>
          </w:tcPr>
          <w:p w14:paraId="64FA4D91" w14:textId="77777777" w:rsidR="00A81986" w:rsidRDefault="0067390B">
            <w:r>
              <w:rPr>
                <w:rFonts w:ascii="Arial" w:hAnsi="Arial"/>
                <w:sz w:val="18"/>
              </w:rPr>
              <w:t>Green Network, EV fleet, solar panels, green building</w:t>
            </w:r>
          </w:p>
        </w:tc>
      </w:tr>
      <w:tr w:rsidR="00A81986" w14:paraId="7F7EAD8E" w14:textId="77777777">
        <w:trPr>
          <w:jc w:val="center"/>
        </w:trPr>
        <w:tc>
          <w:tcPr>
            <w:tcW w:w="1505" w:type="dxa"/>
          </w:tcPr>
          <w:p w14:paraId="21DC3209" w14:textId="77777777" w:rsidR="00A81986" w:rsidRDefault="0067390B">
            <w:r>
              <w:rPr>
                <w:rFonts w:ascii="Arial" w:hAnsi="Arial"/>
                <w:sz w:val="18"/>
              </w:rPr>
              <w:t>BCA (2024)</w:t>
            </w:r>
          </w:p>
        </w:tc>
        <w:tc>
          <w:tcPr>
            <w:tcW w:w="1505" w:type="dxa"/>
          </w:tcPr>
          <w:p w14:paraId="17785A1D" w14:textId="77777777" w:rsidR="00A81986" w:rsidRDefault="0067390B">
            <w:r>
              <w:rPr>
                <w:rFonts w:ascii="Arial" w:hAnsi="Arial"/>
                <w:sz w:val="18"/>
              </w:rPr>
              <w:t>~59,800</w:t>
            </w:r>
          </w:p>
        </w:tc>
        <w:tc>
          <w:tcPr>
            <w:tcW w:w="1505" w:type="dxa"/>
          </w:tcPr>
          <w:p w14:paraId="7F25D203" w14:textId="77777777" w:rsidR="00A81986" w:rsidRDefault="0067390B">
            <w:r>
              <w:rPr>
                <w:rFonts w:ascii="Arial" w:hAnsi="Arial"/>
                <w:sz w:val="18"/>
              </w:rPr>
              <w:t>Stable</w:t>
            </w:r>
          </w:p>
        </w:tc>
        <w:tc>
          <w:tcPr>
            <w:tcW w:w="1505" w:type="dxa"/>
          </w:tcPr>
          <w:p w14:paraId="68F6C83B" w14:textId="77777777" w:rsidR="00A81986" w:rsidRDefault="0067390B">
            <w:r>
              <w:rPr>
                <w:rFonts w:ascii="Arial" w:hAnsi="Arial"/>
                <w:sz w:val="18"/>
              </w:rPr>
              <w:t>&lt;1%</w:t>
            </w:r>
          </w:p>
        </w:tc>
        <w:tc>
          <w:tcPr>
            <w:tcW w:w="1505" w:type="dxa"/>
          </w:tcPr>
          <w:p w14:paraId="5E6C651C" w14:textId="77777777" w:rsidR="00A81986" w:rsidRDefault="0067390B">
            <w:r>
              <w:rPr>
                <w:rFonts w:ascii="Arial" w:hAnsi="Arial"/>
                <w:sz w:val="18"/>
              </w:rPr>
              <w:t>NZE aligned</w:t>
            </w:r>
          </w:p>
        </w:tc>
        <w:tc>
          <w:tcPr>
            <w:tcW w:w="1505" w:type="dxa"/>
          </w:tcPr>
          <w:p w14:paraId="7F6FCFAA" w14:textId="77777777" w:rsidR="00A81986" w:rsidRDefault="0067390B">
            <w:r>
              <w:rPr>
                <w:rFonts w:ascii="Arial" w:hAnsi="Arial"/>
                <w:sz w:val="18"/>
              </w:rPr>
              <w:t>Green office program, exclusion list</w:t>
            </w:r>
          </w:p>
        </w:tc>
      </w:tr>
      <w:tr w:rsidR="00A81986" w14:paraId="63ACB208" w14:textId="77777777">
        <w:trPr>
          <w:jc w:val="center"/>
        </w:trPr>
        <w:tc>
          <w:tcPr>
            <w:tcW w:w="1505" w:type="dxa"/>
            <w:shd w:val="clear" w:color="auto" w:fill="F2F6FC"/>
          </w:tcPr>
          <w:p w14:paraId="39D52A14" w14:textId="77777777" w:rsidR="00A81986" w:rsidRDefault="0067390B">
            <w:r>
              <w:rPr>
                <w:rFonts w:ascii="Arial" w:hAnsi="Arial"/>
                <w:sz w:val="18"/>
              </w:rPr>
              <w:t>DBS Group (2023)</w:t>
            </w:r>
          </w:p>
        </w:tc>
        <w:tc>
          <w:tcPr>
            <w:tcW w:w="1505" w:type="dxa"/>
            <w:shd w:val="clear" w:color="auto" w:fill="F2F6FC"/>
          </w:tcPr>
          <w:p w14:paraId="41BC2718" w14:textId="77777777" w:rsidR="00A81986" w:rsidRDefault="0067390B">
            <w:pPr>
              <w:jc w:val="right"/>
            </w:pPr>
            <w:r>
              <w:rPr>
                <w:rFonts w:ascii="Arial" w:hAnsi="Arial"/>
                <w:sz w:val="18"/>
              </w:rPr>
              <w:t>51,003</w:t>
            </w:r>
          </w:p>
        </w:tc>
        <w:tc>
          <w:tcPr>
            <w:tcW w:w="1505" w:type="dxa"/>
            <w:shd w:val="clear" w:color="auto" w:fill="F2F6FC"/>
          </w:tcPr>
          <w:p w14:paraId="6A3497C9" w14:textId="77777777" w:rsidR="00A81986" w:rsidRDefault="0067390B">
            <w:pPr>
              <w:jc w:val="right"/>
            </w:pPr>
            <w:r>
              <w:rPr>
                <w:rFonts w:ascii="Arial" w:hAnsi="Arial"/>
                <w:sz w:val="18"/>
              </w:rPr>
              <w:t>-12.0%</w:t>
            </w:r>
          </w:p>
        </w:tc>
        <w:tc>
          <w:tcPr>
            <w:tcW w:w="1505" w:type="dxa"/>
            <w:shd w:val="clear" w:color="auto" w:fill="F2F6FC"/>
          </w:tcPr>
          <w:p w14:paraId="7EAFF293" w14:textId="77777777" w:rsidR="00A81986" w:rsidRDefault="0067390B">
            <w:pPr>
              <w:jc w:val="right"/>
            </w:pPr>
            <w:r>
              <w:rPr>
                <w:rFonts w:ascii="Arial" w:hAnsi="Arial"/>
                <w:sz w:val="18"/>
              </w:rPr>
              <w:t>62%</w:t>
            </w:r>
          </w:p>
        </w:tc>
        <w:tc>
          <w:tcPr>
            <w:tcW w:w="1505" w:type="dxa"/>
            <w:shd w:val="clear" w:color="auto" w:fill="F2F6FC"/>
          </w:tcPr>
          <w:p w14:paraId="3EF9FB92" w14:textId="77777777" w:rsidR="00A81986" w:rsidRDefault="0067390B">
            <w:r>
              <w:rPr>
                <w:rFonts w:ascii="Arial" w:hAnsi="Arial"/>
                <w:sz w:val="18"/>
              </w:rPr>
              <w:t>2050 (Net Zero)</w:t>
            </w:r>
          </w:p>
        </w:tc>
        <w:tc>
          <w:tcPr>
            <w:tcW w:w="1505" w:type="dxa"/>
            <w:shd w:val="clear" w:color="auto" w:fill="F2F6FC"/>
          </w:tcPr>
          <w:p w14:paraId="1734E7C8" w14:textId="77777777" w:rsidR="00A81986" w:rsidRDefault="0067390B">
            <w:r>
              <w:rPr>
                <w:rFonts w:ascii="Arial" w:hAnsi="Arial"/>
                <w:sz w:val="18"/>
              </w:rPr>
              <w:t>RE100, internal carbon price $15/tCO₂e, green data centers</w:t>
            </w:r>
          </w:p>
        </w:tc>
      </w:tr>
      <w:tr w:rsidR="00A81986" w14:paraId="0FB79098" w14:textId="77777777">
        <w:trPr>
          <w:jc w:val="center"/>
        </w:trPr>
        <w:tc>
          <w:tcPr>
            <w:tcW w:w="1505" w:type="dxa"/>
          </w:tcPr>
          <w:p w14:paraId="7336B698" w14:textId="77777777" w:rsidR="00A81986" w:rsidRDefault="0067390B">
            <w:r>
              <w:rPr>
                <w:rFonts w:ascii="Arial" w:hAnsi="Arial"/>
                <w:sz w:val="18"/>
              </w:rPr>
              <w:t>Bank Mandiri (2023)</w:t>
            </w:r>
          </w:p>
        </w:tc>
        <w:tc>
          <w:tcPr>
            <w:tcW w:w="1505" w:type="dxa"/>
          </w:tcPr>
          <w:p w14:paraId="1507CF52" w14:textId="77777777" w:rsidR="00A81986" w:rsidRDefault="0067390B">
            <w:r>
              <w:rPr>
                <w:rFonts w:ascii="Arial" w:hAnsi="Arial"/>
                <w:sz w:val="18"/>
              </w:rPr>
              <w:t>~70,200</w:t>
            </w:r>
          </w:p>
        </w:tc>
        <w:tc>
          <w:tcPr>
            <w:tcW w:w="1505" w:type="dxa"/>
          </w:tcPr>
          <w:p w14:paraId="67A9380E" w14:textId="77777777" w:rsidR="00A81986" w:rsidRDefault="0067390B">
            <w:pPr>
              <w:jc w:val="right"/>
            </w:pPr>
            <w:r>
              <w:rPr>
                <w:rFonts w:ascii="Arial" w:hAnsi="Arial"/>
                <w:sz w:val="18"/>
              </w:rPr>
              <w:t>-5.1%</w:t>
            </w:r>
          </w:p>
        </w:tc>
        <w:tc>
          <w:tcPr>
            <w:tcW w:w="1505" w:type="dxa"/>
          </w:tcPr>
          <w:p w14:paraId="61D864EC" w14:textId="77777777" w:rsidR="00A81986" w:rsidRDefault="0067390B">
            <w:r>
              <w:rPr>
                <w:rFonts w:ascii="Arial" w:hAnsi="Arial"/>
                <w:sz w:val="18"/>
              </w:rPr>
              <w:t>&lt;1%</w:t>
            </w:r>
          </w:p>
        </w:tc>
        <w:tc>
          <w:tcPr>
            <w:tcW w:w="1505" w:type="dxa"/>
          </w:tcPr>
          <w:p w14:paraId="45A4AAE5" w14:textId="77777777" w:rsidR="00A81986" w:rsidRDefault="0067390B">
            <w:pPr>
              <w:jc w:val="right"/>
            </w:pPr>
            <w:r>
              <w:rPr>
                <w:rFonts w:ascii="Arial" w:hAnsi="Arial"/>
                <w:sz w:val="18"/>
              </w:rPr>
              <w:t>2060</w:t>
            </w:r>
          </w:p>
        </w:tc>
        <w:tc>
          <w:tcPr>
            <w:tcW w:w="1505" w:type="dxa"/>
          </w:tcPr>
          <w:p w14:paraId="593CE204" w14:textId="77777777" w:rsidR="00A81986" w:rsidRDefault="0067390B">
            <w:r>
              <w:rPr>
                <w:rFonts w:ascii="Arial" w:hAnsi="Arial"/>
                <w:sz w:val="18"/>
              </w:rPr>
              <w:t>Solar pilot, EV charging, building efficiency</w:t>
            </w:r>
          </w:p>
        </w:tc>
      </w:tr>
    </w:tbl>
    <w:p w14:paraId="1032C23B" w14:textId="77777777" w:rsidR="00A81986" w:rsidRDefault="0067390B">
      <w:r>
        <w:rPr>
          <w:rFonts w:ascii="Arial" w:hAnsi="Arial"/>
          <w:i/>
          <w:sz w:val="16"/>
        </w:rPr>
        <w:t>Source: Source: BRI Sustainability Report 2023, BCA Sustainability Report 2024, DBS Sustainability Report 2023, Bank Mandiri Sustainability Report 2023. Generic FI data from institution operational systems.</w:t>
      </w:r>
    </w:p>
    <w:p w14:paraId="06520EF4" w14:textId="77777777" w:rsidR="00A81986" w:rsidRDefault="00A81986"/>
    <w:p w14:paraId="15145EFD" w14:textId="77777777" w:rsidR="00A81986" w:rsidRDefault="0067390B">
      <w:r>
        <w:rPr>
          <w:rFonts w:ascii="Arial" w:hAnsi="Arial"/>
          <w:b/>
          <w:sz w:val="20"/>
        </w:rPr>
        <w:t>Table 1.5.3: Framework Cross-Reference — Emission Reduction Disclosure Requirements</w:t>
      </w:r>
    </w:p>
    <w:tbl>
      <w:tblPr>
        <w:tblW w:w="0" w:type="auto"/>
        <w:jc w:val="center"/>
        <w:tblLook w:val="04A0" w:firstRow="1" w:lastRow="0" w:firstColumn="1" w:lastColumn="0" w:noHBand="0" w:noVBand="1"/>
      </w:tblPr>
      <w:tblGrid>
        <w:gridCol w:w="1806"/>
        <w:gridCol w:w="1806"/>
        <w:gridCol w:w="1806"/>
        <w:gridCol w:w="1806"/>
        <w:gridCol w:w="1806"/>
      </w:tblGrid>
      <w:tr w:rsidR="00A81986" w14:paraId="3DE2FF37" w14:textId="77777777">
        <w:trPr>
          <w:jc w:val="center"/>
        </w:trPr>
        <w:tc>
          <w:tcPr>
            <w:tcW w:w="1806" w:type="dxa"/>
            <w:shd w:val="clear" w:color="auto" w:fill="1B3A6B"/>
          </w:tcPr>
          <w:p w14:paraId="498CDA2A" w14:textId="77777777" w:rsidR="00A81986" w:rsidRDefault="0067390B">
            <w:r>
              <w:rPr>
                <w:rFonts w:ascii="Arial" w:hAnsi="Arial"/>
                <w:b/>
                <w:color w:val="FFFFFF"/>
                <w:sz w:val="18"/>
              </w:rPr>
              <w:t>Framework</w:t>
            </w:r>
          </w:p>
        </w:tc>
        <w:tc>
          <w:tcPr>
            <w:tcW w:w="1806" w:type="dxa"/>
            <w:shd w:val="clear" w:color="auto" w:fill="1B3A6B"/>
          </w:tcPr>
          <w:p w14:paraId="3B9A5752" w14:textId="77777777" w:rsidR="00A81986" w:rsidRDefault="0067390B">
            <w:r>
              <w:rPr>
                <w:rFonts w:ascii="Arial" w:hAnsi="Arial"/>
                <w:b/>
                <w:color w:val="FFFFFF"/>
                <w:sz w:val="18"/>
              </w:rPr>
              <w:t>Disclosure Reference</w:t>
            </w:r>
          </w:p>
        </w:tc>
        <w:tc>
          <w:tcPr>
            <w:tcW w:w="1806" w:type="dxa"/>
            <w:shd w:val="clear" w:color="auto" w:fill="1B3A6B"/>
          </w:tcPr>
          <w:p w14:paraId="2B14CB5E" w14:textId="77777777" w:rsidR="00A81986" w:rsidRDefault="0067390B">
            <w:r>
              <w:rPr>
                <w:rFonts w:ascii="Arial" w:hAnsi="Arial"/>
                <w:b/>
                <w:color w:val="FFFFFF"/>
                <w:sz w:val="18"/>
              </w:rPr>
              <w:t>Requirement</w:t>
            </w:r>
          </w:p>
        </w:tc>
        <w:tc>
          <w:tcPr>
            <w:tcW w:w="1806" w:type="dxa"/>
            <w:shd w:val="clear" w:color="auto" w:fill="1B3A6B"/>
          </w:tcPr>
          <w:p w14:paraId="57CAA22C" w14:textId="77777777" w:rsidR="00A81986" w:rsidRDefault="0067390B">
            <w:r>
              <w:rPr>
                <w:rFonts w:ascii="Arial" w:hAnsi="Arial"/>
                <w:b/>
                <w:color w:val="FFFFFF"/>
                <w:sz w:val="18"/>
              </w:rPr>
              <w:t>Current Status</w:t>
            </w:r>
          </w:p>
        </w:tc>
        <w:tc>
          <w:tcPr>
            <w:tcW w:w="1806" w:type="dxa"/>
            <w:shd w:val="clear" w:color="auto" w:fill="1B3A6B"/>
          </w:tcPr>
          <w:p w14:paraId="13BC67B3" w14:textId="77777777" w:rsidR="00A81986" w:rsidRDefault="0067390B">
            <w:r>
              <w:rPr>
                <w:rFonts w:ascii="Arial" w:hAnsi="Arial"/>
                <w:b/>
                <w:color w:val="FFFFFF"/>
                <w:sz w:val="18"/>
              </w:rPr>
              <w:t>Gap Analysis</w:t>
            </w:r>
          </w:p>
        </w:tc>
      </w:tr>
      <w:tr w:rsidR="00A81986" w14:paraId="5E824267" w14:textId="77777777">
        <w:trPr>
          <w:jc w:val="center"/>
        </w:trPr>
        <w:tc>
          <w:tcPr>
            <w:tcW w:w="1806" w:type="dxa"/>
          </w:tcPr>
          <w:p w14:paraId="4865BBDE" w14:textId="77777777" w:rsidR="00A81986" w:rsidRDefault="0067390B">
            <w:r>
              <w:rPr>
                <w:rFonts w:ascii="Arial" w:hAnsi="Arial"/>
                <w:sz w:val="18"/>
              </w:rPr>
              <w:t>GRI 305-5</w:t>
            </w:r>
          </w:p>
        </w:tc>
        <w:tc>
          <w:tcPr>
            <w:tcW w:w="1806" w:type="dxa"/>
          </w:tcPr>
          <w:p w14:paraId="01E51A28" w14:textId="77777777" w:rsidR="00A81986" w:rsidRDefault="0067390B">
            <w:r>
              <w:rPr>
                <w:rFonts w:ascii="Arial" w:hAnsi="Arial"/>
                <w:sz w:val="18"/>
              </w:rPr>
              <w:t>305-5a</w:t>
            </w:r>
          </w:p>
        </w:tc>
        <w:tc>
          <w:tcPr>
            <w:tcW w:w="1806" w:type="dxa"/>
          </w:tcPr>
          <w:p w14:paraId="4D29103A" w14:textId="77777777" w:rsidR="00A81986" w:rsidRDefault="0067390B">
            <w:r>
              <w:rPr>
                <w:rFonts w:ascii="Arial" w:hAnsi="Arial"/>
                <w:sz w:val="18"/>
              </w:rPr>
              <w:t xml:space="preserve">GHG reductions achieved as direct </w:t>
            </w:r>
            <w:r>
              <w:rPr>
                <w:rFonts w:ascii="Arial" w:hAnsi="Arial"/>
                <w:sz w:val="18"/>
              </w:rPr>
              <w:lastRenderedPageBreak/>
              <w:t>result of reduction initiatives (tCO₂e)</w:t>
            </w:r>
          </w:p>
        </w:tc>
        <w:tc>
          <w:tcPr>
            <w:tcW w:w="1806" w:type="dxa"/>
          </w:tcPr>
          <w:p w14:paraId="3B60548B" w14:textId="77777777" w:rsidR="00A81986" w:rsidRDefault="0067390B">
            <w:r>
              <w:rPr>
                <w:rFonts w:ascii="Arial" w:hAnsi="Arial"/>
                <w:sz w:val="18"/>
              </w:rPr>
              <w:lastRenderedPageBreak/>
              <w:t>⚠</w:t>
            </w:r>
            <w:r>
              <w:rPr>
                <w:rFonts w:ascii="Arial" w:hAnsi="Arial"/>
                <w:sz w:val="18"/>
              </w:rPr>
              <w:t>️</w:t>
            </w:r>
            <w:r>
              <w:rPr>
                <w:rFonts w:ascii="Arial" w:hAnsi="Arial"/>
                <w:sz w:val="18"/>
              </w:rPr>
              <w:t xml:space="preserve"> Partial</w:t>
            </w:r>
          </w:p>
        </w:tc>
        <w:tc>
          <w:tcPr>
            <w:tcW w:w="1806" w:type="dxa"/>
          </w:tcPr>
          <w:p w14:paraId="7998304F" w14:textId="77777777" w:rsidR="00A81986" w:rsidRDefault="0067390B">
            <w:r>
              <w:rPr>
                <w:rFonts w:ascii="Arial" w:hAnsi="Arial"/>
                <w:sz w:val="18"/>
              </w:rPr>
              <w:t xml:space="preserve">YoY changes reported but not </w:t>
            </w:r>
            <w:r>
              <w:rPr>
                <w:rFonts w:ascii="Arial" w:hAnsi="Arial"/>
                <w:sz w:val="18"/>
              </w:rPr>
              <w:lastRenderedPageBreak/>
              <w:t>attributed to specific initiatives; formal reduction program not established</w:t>
            </w:r>
          </w:p>
        </w:tc>
      </w:tr>
      <w:tr w:rsidR="00A81986" w14:paraId="19B3DE72" w14:textId="77777777">
        <w:trPr>
          <w:jc w:val="center"/>
        </w:trPr>
        <w:tc>
          <w:tcPr>
            <w:tcW w:w="1806" w:type="dxa"/>
            <w:shd w:val="clear" w:color="auto" w:fill="F2F6FC"/>
          </w:tcPr>
          <w:p w14:paraId="463A656D" w14:textId="77777777" w:rsidR="00A81986" w:rsidRDefault="0067390B">
            <w:r>
              <w:rPr>
                <w:rFonts w:ascii="Arial" w:hAnsi="Arial"/>
                <w:sz w:val="18"/>
              </w:rPr>
              <w:lastRenderedPageBreak/>
              <w:t>GRI 305-5</w:t>
            </w:r>
          </w:p>
        </w:tc>
        <w:tc>
          <w:tcPr>
            <w:tcW w:w="1806" w:type="dxa"/>
            <w:shd w:val="clear" w:color="auto" w:fill="F2F6FC"/>
          </w:tcPr>
          <w:p w14:paraId="4951D1AD" w14:textId="77777777" w:rsidR="00A81986" w:rsidRDefault="0067390B">
            <w:r>
              <w:rPr>
                <w:rFonts w:ascii="Arial" w:hAnsi="Arial"/>
                <w:sz w:val="18"/>
              </w:rPr>
              <w:t>305-5b</w:t>
            </w:r>
          </w:p>
        </w:tc>
        <w:tc>
          <w:tcPr>
            <w:tcW w:w="1806" w:type="dxa"/>
            <w:shd w:val="clear" w:color="auto" w:fill="F2F6FC"/>
          </w:tcPr>
          <w:p w14:paraId="62E5B3D6" w14:textId="77777777" w:rsidR="00A81986" w:rsidRDefault="0067390B">
            <w:r>
              <w:rPr>
                <w:rFonts w:ascii="Arial" w:hAnsi="Arial"/>
                <w:sz w:val="18"/>
              </w:rPr>
              <w:t>Gases included in calculation (CO₂, CH₄, N₂O, HFCs, PFCs, SF₆, NF₃)</w:t>
            </w:r>
          </w:p>
        </w:tc>
        <w:tc>
          <w:tcPr>
            <w:tcW w:w="1806" w:type="dxa"/>
            <w:shd w:val="clear" w:color="auto" w:fill="F2F6FC"/>
          </w:tcPr>
          <w:p w14:paraId="2130F85A" w14:textId="77777777" w:rsidR="00A81986" w:rsidRDefault="0067390B">
            <w:r>
              <w:rPr>
                <w:rFonts w:ascii="Arial" w:hAnsi="Arial"/>
                <w:sz w:val="18"/>
              </w:rPr>
              <w:t>✅</w:t>
            </w:r>
            <w:r>
              <w:rPr>
                <w:rFonts w:ascii="Arial" w:hAnsi="Arial"/>
                <w:sz w:val="18"/>
              </w:rPr>
              <w:t xml:space="preserve"> Disclosed</w:t>
            </w:r>
          </w:p>
        </w:tc>
        <w:tc>
          <w:tcPr>
            <w:tcW w:w="1806" w:type="dxa"/>
            <w:shd w:val="clear" w:color="auto" w:fill="F2F6FC"/>
          </w:tcPr>
          <w:p w14:paraId="6EB465D7" w14:textId="77777777" w:rsidR="00A81986" w:rsidRDefault="0067390B">
            <w:r>
              <w:rPr>
                <w:rFonts w:ascii="Arial" w:hAnsi="Arial"/>
                <w:sz w:val="18"/>
              </w:rPr>
              <w:t>CO₂, CH₄, N₂O included in Scope 1 calculations per IPCC 2006</w:t>
            </w:r>
          </w:p>
        </w:tc>
      </w:tr>
      <w:tr w:rsidR="00A81986" w14:paraId="4E521A44" w14:textId="77777777">
        <w:trPr>
          <w:jc w:val="center"/>
        </w:trPr>
        <w:tc>
          <w:tcPr>
            <w:tcW w:w="1806" w:type="dxa"/>
          </w:tcPr>
          <w:p w14:paraId="24698046" w14:textId="77777777" w:rsidR="00A81986" w:rsidRDefault="0067390B">
            <w:r>
              <w:rPr>
                <w:rFonts w:ascii="Arial" w:hAnsi="Arial"/>
                <w:sz w:val="18"/>
              </w:rPr>
              <w:t>GRI 305-5</w:t>
            </w:r>
          </w:p>
        </w:tc>
        <w:tc>
          <w:tcPr>
            <w:tcW w:w="1806" w:type="dxa"/>
          </w:tcPr>
          <w:p w14:paraId="7E6AD47E" w14:textId="77777777" w:rsidR="00A81986" w:rsidRDefault="0067390B">
            <w:r>
              <w:rPr>
                <w:rFonts w:ascii="Arial" w:hAnsi="Arial"/>
                <w:sz w:val="18"/>
              </w:rPr>
              <w:t>305-5c</w:t>
            </w:r>
          </w:p>
        </w:tc>
        <w:tc>
          <w:tcPr>
            <w:tcW w:w="1806" w:type="dxa"/>
          </w:tcPr>
          <w:p w14:paraId="6366E885" w14:textId="77777777" w:rsidR="00A81986" w:rsidRDefault="0067390B">
            <w:r>
              <w:rPr>
                <w:rFonts w:ascii="Arial" w:hAnsi="Arial"/>
                <w:sz w:val="18"/>
              </w:rPr>
              <w:t>Base year or baseline, rationale for selection</w:t>
            </w:r>
          </w:p>
        </w:tc>
        <w:tc>
          <w:tcPr>
            <w:tcW w:w="1806" w:type="dxa"/>
          </w:tcPr>
          <w:p w14:paraId="7DF3352B" w14:textId="77777777" w:rsidR="00A81986" w:rsidRDefault="0067390B">
            <w:r>
              <w:rPr>
                <w:rFonts w:ascii="Arial" w:hAnsi="Arial"/>
                <w:sz w:val="18"/>
              </w:rPr>
              <w:t>❌</w:t>
            </w:r>
            <w:r>
              <w:rPr>
                <w:rFonts w:ascii="Arial" w:hAnsi="Arial"/>
                <w:sz w:val="18"/>
              </w:rPr>
              <w:t xml:space="preserve"> Not Disclosed</w:t>
            </w:r>
          </w:p>
        </w:tc>
        <w:tc>
          <w:tcPr>
            <w:tcW w:w="1806" w:type="dxa"/>
          </w:tcPr>
          <w:p w14:paraId="764BA050" w14:textId="77777777" w:rsidR="00A81986" w:rsidRDefault="0067390B">
            <w:r>
              <w:rPr>
                <w:rFonts w:ascii="Arial" w:hAnsi="Arial"/>
                <w:sz w:val="18"/>
              </w:rPr>
              <w:t>No formal base year established; recommend 2024 as baseline for future target-setting</w:t>
            </w:r>
          </w:p>
        </w:tc>
      </w:tr>
      <w:tr w:rsidR="00A81986" w14:paraId="7B1B609C" w14:textId="77777777">
        <w:trPr>
          <w:jc w:val="center"/>
        </w:trPr>
        <w:tc>
          <w:tcPr>
            <w:tcW w:w="1806" w:type="dxa"/>
            <w:shd w:val="clear" w:color="auto" w:fill="F2F6FC"/>
          </w:tcPr>
          <w:p w14:paraId="3EC690A0" w14:textId="77777777" w:rsidR="00A81986" w:rsidRDefault="0067390B">
            <w:r>
              <w:rPr>
                <w:rFonts w:ascii="Arial" w:hAnsi="Arial"/>
                <w:sz w:val="18"/>
              </w:rPr>
              <w:t>GRI 305-5</w:t>
            </w:r>
          </w:p>
        </w:tc>
        <w:tc>
          <w:tcPr>
            <w:tcW w:w="1806" w:type="dxa"/>
            <w:shd w:val="clear" w:color="auto" w:fill="F2F6FC"/>
          </w:tcPr>
          <w:p w14:paraId="62A70F82" w14:textId="77777777" w:rsidR="00A81986" w:rsidRDefault="0067390B">
            <w:r>
              <w:rPr>
                <w:rFonts w:ascii="Arial" w:hAnsi="Arial"/>
                <w:sz w:val="18"/>
              </w:rPr>
              <w:t>305-5d</w:t>
            </w:r>
          </w:p>
        </w:tc>
        <w:tc>
          <w:tcPr>
            <w:tcW w:w="1806" w:type="dxa"/>
            <w:shd w:val="clear" w:color="auto" w:fill="F2F6FC"/>
          </w:tcPr>
          <w:p w14:paraId="3E0ACFB5" w14:textId="77777777" w:rsidR="00A81986" w:rsidRDefault="0067390B">
            <w:r>
              <w:rPr>
                <w:rFonts w:ascii="Arial" w:hAnsi="Arial"/>
                <w:sz w:val="18"/>
              </w:rPr>
              <w:t>Scopes in which reductions took place</w:t>
            </w:r>
          </w:p>
        </w:tc>
        <w:tc>
          <w:tcPr>
            <w:tcW w:w="1806" w:type="dxa"/>
            <w:shd w:val="clear" w:color="auto" w:fill="F2F6FC"/>
          </w:tcPr>
          <w:p w14:paraId="3FCF38A8" w14:textId="77777777" w:rsidR="00A81986" w:rsidRDefault="0067390B">
            <w:r>
              <w:rPr>
                <w:rFonts w:ascii="Arial" w:hAnsi="Arial"/>
                <w:sz w:val="18"/>
              </w:rPr>
              <w:t>✅</w:t>
            </w:r>
            <w:r>
              <w:rPr>
                <w:rFonts w:ascii="Arial" w:hAnsi="Arial"/>
                <w:sz w:val="18"/>
              </w:rPr>
              <w:t xml:space="preserve"> Disclosed</w:t>
            </w:r>
          </w:p>
        </w:tc>
        <w:tc>
          <w:tcPr>
            <w:tcW w:w="1806" w:type="dxa"/>
            <w:shd w:val="clear" w:color="auto" w:fill="F2F6FC"/>
          </w:tcPr>
          <w:p w14:paraId="0BBD6013" w14:textId="77777777" w:rsidR="00A81986" w:rsidRDefault="0067390B">
            <w:r>
              <w:rPr>
                <w:rFonts w:ascii="Arial" w:hAnsi="Arial"/>
                <w:sz w:val="18"/>
              </w:rPr>
              <w:t>Scope 1 and Scope 2 changes reported separately</w:t>
            </w:r>
          </w:p>
        </w:tc>
      </w:tr>
      <w:tr w:rsidR="00A81986" w14:paraId="1EDB6CD7" w14:textId="77777777">
        <w:trPr>
          <w:jc w:val="center"/>
        </w:trPr>
        <w:tc>
          <w:tcPr>
            <w:tcW w:w="1806" w:type="dxa"/>
          </w:tcPr>
          <w:p w14:paraId="64564B36" w14:textId="77777777" w:rsidR="00A81986" w:rsidRDefault="0067390B">
            <w:r>
              <w:rPr>
                <w:rFonts w:ascii="Arial" w:hAnsi="Arial"/>
                <w:sz w:val="18"/>
              </w:rPr>
              <w:t>GRI 305-5</w:t>
            </w:r>
          </w:p>
        </w:tc>
        <w:tc>
          <w:tcPr>
            <w:tcW w:w="1806" w:type="dxa"/>
          </w:tcPr>
          <w:p w14:paraId="5D905146" w14:textId="77777777" w:rsidR="00A81986" w:rsidRDefault="0067390B">
            <w:r>
              <w:rPr>
                <w:rFonts w:ascii="Arial" w:hAnsi="Arial"/>
                <w:sz w:val="18"/>
              </w:rPr>
              <w:t>305-5e</w:t>
            </w:r>
          </w:p>
        </w:tc>
        <w:tc>
          <w:tcPr>
            <w:tcW w:w="1806" w:type="dxa"/>
          </w:tcPr>
          <w:p w14:paraId="048AD189" w14:textId="77777777" w:rsidR="00A81986" w:rsidRDefault="0067390B">
            <w:r>
              <w:rPr>
                <w:rFonts w:ascii="Arial" w:hAnsi="Arial"/>
                <w:sz w:val="18"/>
              </w:rPr>
              <w:t>Standards, methodologies, assumptions, source of emission factors</w:t>
            </w:r>
          </w:p>
        </w:tc>
        <w:tc>
          <w:tcPr>
            <w:tcW w:w="1806" w:type="dxa"/>
          </w:tcPr>
          <w:p w14:paraId="5C9525D9" w14:textId="77777777" w:rsidR="00A81986" w:rsidRDefault="0067390B">
            <w:r>
              <w:rPr>
                <w:rFonts w:ascii="Arial" w:hAnsi="Arial"/>
                <w:sz w:val="18"/>
              </w:rPr>
              <w:t>✅</w:t>
            </w:r>
            <w:r>
              <w:rPr>
                <w:rFonts w:ascii="Arial" w:hAnsi="Arial"/>
                <w:sz w:val="18"/>
              </w:rPr>
              <w:t xml:space="preserve"> Disclosed</w:t>
            </w:r>
          </w:p>
        </w:tc>
        <w:tc>
          <w:tcPr>
            <w:tcW w:w="1806" w:type="dxa"/>
          </w:tcPr>
          <w:p w14:paraId="60D9CEB2" w14:textId="77777777" w:rsidR="00A81986" w:rsidRDefault="0067390B">
            <w:r>
              <w:rPr>
                <w:rFonts w:ascii="Arial" w:hAnsi="Arial"/>
                <w:sz w:val="18"/>
              </w:rPr>
              <w:t>GHG Protocol, IPCC 2006 emission factors disclosed in methodology paragraph</w:t>
            </w:r>
          </w:p>
        </w:tc>
      </w:tr>
      <w:tr w:rsidR="00A81986" w14:paraId="71A5564B" w14:textId="77777777">
        <w:trPr>
          <w:jc w:val="center"/>
        </w:trPr>
        <w:tc>
          <w:tcPr>
            <w:tcW w:w="1806" w:type="dxa"/>
            <w:shd w:val="clear" w:color="auto" w:fill="F2F6FC"/>
          </w:tcPr>
          <w:p w14:paraId="62EB3657" w14:textId="77777777" w:rsidR="00A81986" w:rsidRDefault="0067390B">
            <w:r>
              <w:rPr>
                <w:rFonts w:ascii="Arial" w:hAnsi="Arial"/>
                <w:sz w:val="18"/>
              </w:rPr>
              <w:t>IFRS S2</w:t>
            </w:r>
          </w:p>
        </w:tc>
        <w:tc>
          <w:tcPr>
            <w:tcW w:w="1806" w:type="dxa"/>
            <w:shd w:val="clear" w:color="auto" w:fill="F2F6FC"/>
          </w:tcPr>
          <w:p w14:paraId="74909752" w14:textId="77777777" w:rsidR="00A81986" w:rsidRDefault="0067390B">
            <w:r>
              <w:rPr>
                <w:rFonts w:ascii="Arial" w:hAnsi="Arial"/>
                <w:sz w:val="18"/>
              </w:rPr>
              <w:t>Para 33-36</w:t>
            </w:r>
          </w:p>
        </w:tc>
        <w:tc>
          <w:tcPr>
            <w:tcW w:w="1806" w:type="dxa"/>
            <w:shd w:val="clear" w:color="auto" w:fill="F2F6FC"/>
          </w:tcPr>
          <w:p w14:paraId="6A0A1E52" w14:textId="77777777" w:rsidR="00A81986" w:rsidRDefault="0067390B">
            <w:r>
              <w:rPr>
                <w:rFonts w:ascii="Arial" w:hAnsi="Arial"/>
                <w:sz w:val="18"/>
              </w:rPr>
              <w:t>Climate-related targets, metrics used, transition plan</w:t>
            </w:r>
          </w:p>
        </w:tc>
        <w:tc>
          <w:tcPr>
            <w:tcW w:w="1806" w:type="dxa"/>
            <w:shd w:val="clear" w:color="auto" w:fill="F2F6FC"/>
          </w:tcPr>
          <w:p w14:paraId="213A219B" w14:textId="77777777" w:rsidR="00A81986" w:rsidRDefault="0067390B">
            <w:r>
              <w:rPr>
                <w:rFonts w:ascii="Arial" w:hAnsi="Arial"/>
                <w:sz w:val="18"/>
              </w:rPr>
              <w:t>❌</w:t>
            </w:r>
            <w:r>
              <w:rPr>
                <w:rFonts w:ascii="Arial" w:hAnsi="Arial"/>
                <w:sz w:val="18"/>
              </w:rPr>
              <w:t xml:space="preserve"> Not Disclosed</w:t>
            </w:r>
          </w:p>
        </w:tc>
        <w:tc>
          <w:tcPr>
            <w:tcW w:w="1806" w:type="dxa"/>
            <w:shd w:val="clear" w:color="auto" w:fill="F2F6FC"/>
          </w:tcPr>
          <w:p w14:paraId="4E280DC6" w14:textId="77777777" w:rsidR="00A81986" w:rsidRDefault="0067390B">
            <w:r>
              <w:rPr>
                <w:rFonts w:ascii="Arial" w:hAnsi="Arial"/>
                <w:sz w:val="18"/>
              </w:rPr>
              <w:t>No quantified targets, interim milestones, or transition plan established</w:t>
            </w:r>
          </w:p>
        </w:tc>
      </w:tr>
      <w:tr w:rsidR="00A81986" w14:paraId="1D37215C" w14:textId="77777777">
        <w:trPr>
          <w:jc w:val="center"/>
        </w:trPr>
        <w:tc>
          <w:tcPr>
            <w:tcW w:w="1806" w:type="dxa"/>
          </w:tcPr>
          <w:p w14:paraId="6EEC74A1" w14:textId="77777777" w:rsidR="00A81986" w:rsidRDefault="0067390B">
            <w:r>
              <w:rPr>
                <w:rFonts w:ascii="Arial" w:hAnsi="Arial"/>
                <w:sz w:val="18"/>
              </w:rPr>
              <w:t>ESRS E1</w:t>
            </w:r>
          </w:p>
        </w:tc>
        <w:tc>
          <w:tcPr>
            <w:tcW w:w="1806" w:type="dxa"/>
          </w:tcPr>
          <w:p w14:paraId="00432839" w14:textId="77777777" w:rsidR="00A81986" w:rsidRDefault="0067390B">
            <w:r>
              <w:rPr>
                <w:rFonts w:ascii="Arial" w:hAnsi="Arial"/>
                <w:sz w:val="18"/>
              </w:rPr>
              <w:t>DR E1-4</w:t>
            </w:r>
          </w:p>
        </w:tc>
        <w:tc>
          <w:tcPr>
            <w:tcW w:w="1806" w:type="dxa"/>
          </w:tcPr>
          <w:p w14:paraId="2B6ABD31" w14:textId="77777777" w:rsidR="00A81986" w:rsidRDefault="0067390B">
            <w:r>
              <w:rPr>
                <w:rFonts w:ascii="Arial" w:hAnsi="Arial"/>
                <w:sz w:val="18"/>
              </w:rPr>
              <w:t>GHG emission reduction targets, decarbonization levers</w:t>
            </w:r>
          </w:p>
        </w:tc>
        <w:tc>
          <w:tcPr>
            <w:tcW w:w="1806" w:type="dxa"/>
          </w:tcPr>
          <w:p w14:paraId="38E8DA44" w14:textId="77777777" w:rsidR="00A81986" w:rsidRDefault="0067390B">
            <w:r>
              <w:rPr>
                <w:rFonts w:ascii="Arial" w:hAnsi="Arial"/>
                <w:sz w:val="18"/>
              </w:rPr>
              <w:t>❌</w:t>
            </w:r>
            <w:r>
              <w:rPr>
                <w:rFonts w:ascii="Arial" w:hAnsi="Arial"/>
                <w:sz w:val="18"/>
              </w:rPr>
              <w:t xml:space="preserve"> Not Disclosed</w:t>
            </w:r>
          </w:p>
        </w:tc>
        <w:tc>
          <w:tcPr>
            <w:tcW w:w="1806" w:type="dxa"/>
          </w:tcPr>
          <w:p w14:paraId="580A4648" w14:textId="77777777" w:rsidR="00A81986" w:rsidRDefault="0067390B">
            <w:r>
              <w:rPr>
                <w:rFonts w:ascii="Arial" w:hAnsi="Arial"/>
                <w:sz w:val="18"/>
              </w:rPr>
              <w:t>No sectoral decarbonization pathways or lever-specific targets disclosed</w:t>
            </w:r>
          </w:p>
        </w:tc>
      </w:tr>
      <w:tr w:rsidR="00A81986" w14:paraId="61EBD9CF" w14:textId="77777777">
        <w:trPr>
          <w:jc w:val="center"/>
        </w:trPr>
        <w:tc>
          <w:tcPr>
            <w:tcW w:w="1806" w:type="dxa"/>
            <w:shd w:val="clear" w:color="auto" w:fill="F2F6FC"/>
          </w:tcPr>
          <w:p w14:paraId="67077ACB" w14:textId="77777777" w:rsidR="00A81986" w:rsidRDefault="0067390B">
            <w:r>
              <w:rPr>
                <w:rFonts w:ascii="Arial" w:hAnsi="Arial"/>
                <w:sz w:val="18"/>
              </w:rPr>
              <w:t>OJK PSPK</w:t>
            </w:r>
          </w:p>
        </w:tc>
        <w:tc>
          <w:tcPr>
            <w:tcW w:w="1806" w:type="dxa"/>
            <w:shd w:val="clear" w:color="auto" w:fill="F2F6FC"/>
          </w:tcPr>
          <w:p w14:paraId="24FEBCAD" w14:textId="77777777" w:rsidR="00A81986" w:rsidRDefault="0067390B">
            <w:r>
              <w:rPr>
                <w:rFonts w:ascii="Arial" w:hAnsi="Arial"/>
                <w:sz w:val="18"/>
              </w:rPr>
              <w:t>Target Pengurangan</w:t>
            </w:r>
          </w:p>
        </w:tc>
        <w:tc>
          <w:tcPr>
            <w:tcW w:w="1806" w:type="dxa"/>
            <w:shd w:val="clear" w:color="auto" w:fill="F2F6FC"/>
          </w:tcPr>
          <w:p w14:paraId="5B990725" w14:textId="77777777" w:rsidR="00A81986" w:rsidRDefault="0067390B">
            <w:r>
              <w:rPr>
                <w:rFonts w:ascii="Arial" w:hAnsi="Arial"/>
                <w:sz w:val="18"/>
              </w:rPr>
              <w:t>Emission reduction targets per SFAP alignment</w:t>
            </w:r>
          </w:p>
        </w:tc>
        <w:tc>
          <w:tcPr>
            <w:tcW w:w="1806" w:type="dxa"/>
            <w:shd w:val="clear" w:color="auto" w:fill="F2F6FC"/>
          </w:tcPr>
          <w:p w14:paraId="18B40F87" w14:textId="77777777" w:rsidR="00A81986" w:rsidRDefault="0067390B">
            <w:r>
              <w:rPr>
                <w:rFonts w:ascii="Arial" w:hAnsi="Arial"/>
                <w:sz w:val="18"/>
              </w:rPr>
              <w:t>❌</w:t>
            </w:r>
            <w:r>
              <w:rPr>
                <w:rFonts w:ascii="Arial" w:hAnsi="Arial"/>
                <w:sz w:val="18"/>
              </w:rPr>
              <w:t xml:space="preserve"> Not Disclosed</w:t>
            </w:r>
          </w:p>
        </w:tc>
        <w:tc>
          <w:tcPr>
            <w:tcW w:w="1806" w:type="dxa"/>
            <w:shd w:val="clear" w:color="auto" w:fill="F2F6FC"/>
          </w:tcPr>
          <w:p w14:paraId="4EC475E6" w14:textId="77777777" w:rsidR="00A81986" w:rsidRDefault="0067390B">
            <w:r>
              <w:rPr>
                <w:rFonts w:ascii="Arial" w:hAnsi="Arial"/>
                <w:sz w:val="18"/>
              </w:rPr>
              <w:t>No targets disclosed; OJK PSPK requires climate target disclosure for financial institutions</w:t>
            </w:r>
          </w:p>
        </w:tc>
      </w:tr>
    </w:tbl>
    <w:p w14:paraId="300FD190" w14:textId="77777777" w:rsidR="00A81986" w:rsidRDefault="0067390B">
      <w:r>
        <w:rPr>
          <w:rFonts w:ascii="Arial" w:hAnsi="Arial"/>
          <w:i/>
          <w:sz w:val="16"/>
        </w:rPr>
        <w:t>Source: Status: ✅ Disclosed = fully compliant; ⚠</w:t>
      </w:r>
      <w:r>
        <w:rPr>
          <w:rFonts w:ascii="Arial" w:hAnsi="Arial"/>
          <w:i/>
          <w:sz w:val="16"/>
        </w:rPr>
        <w:t>️</w:t>
      </w:r>
      <w:r>
        <w:rPr>
          <w:rFonts w:ascii="Arial" w:hAnsi="Arial"/>
          <w:i/>
          <w:sz w:val="16"/>
        </w:rPr>
        <w:t xml:space="preserve"> Partial = some elements disclosed; ❌ Not Disclosed = material gap. Assessment based on 2024 reporting period data.</w:t>
      </w:r>
    </w:p>
    <w:p w14:paraId="69E74259" w14:textId="77777777" w:rsidR="00A81986" w:rsidRDefault="00A81986"/>
    <w:p w14:paraId="67E943A5" w14:textId="77777777" w:rsidR="00A81986" w:rsidRDefault="0067390B">
      <w:r>
        <w:rPr>
          <w:rFonts w:ascii="Arial" w:hAnsi="Arial"/>
          <w:b/>
          <w:sz w:val="20"/>
        </w:rPr>
        <w:t>Table 1.5.4: Top 10 Emission Facilities — Scope 1 Breakdown (2024)</w:t>
      </w:r>
    </w:p>
    <w:tbl>
      <w:tblPr>
        <w:tblW w:w="0" w:type="auto"/>
        <w:jc w:val="center"/>
        <w:tblLook w:val="04A0" w:firstRow="1" w:lastRow="0" w:firstColumn="1" w:lastColumn="0" w:noHBand="0" w:noVBand="1"/>
      </w:tblPr>
      <w:tblGrid>
        <w:gridCol w:w="1505"/>
        <w:gridCol w:w="1505"/>
        <w:gridCol w:w="1505"/>
        <w:gridCol w:w="1505"/>
        <w:gridCol w:w="1505"/>
        <w:gridCol w:w="1505"/>
      </w:tblGrid>
      <w:tr w:rsidR="00A81986" w14:paraId="2D86B83E" w14:textId="77777777">
        <w:trPr>
          <w:jc w:val="center"/>
        </w:trPr>
        <w:tc>
          <w:tcPr>
            <w:tcW w:w="1505" w:type="dxa"/>
            <w:shd w:val="clear" w:color="auto" w:fill="1B3A6B"/>
          </w:tcPr>
          <w:p w14:paraId="7AD4FFAF" w14:textId="77777777" w:rsidR="00A81986" w:rsidRDefault="0067390B">
            <w:r>
              <w:rPr>
                <w:rFonts w:ascii="Arial" w:hAnsi="Arial"/>
                <w:b/>
                <w:color w:val="FFFFFF"/>
                <w:sz w:val="18"/>
              </w:rPr>
              <w:t>Facility ID</w:t>
            </w:r>
          </w:p>
        </w:tc>
        <w:tc>
          <w:tcPr>
            <w:tcW w:w="1505" w:type="dxa"/>
            <w:shd w:val="clear" w:color="auto" w:fill="1B3A6B"/>
          </w:tcPr>
          <w:p w14:paraId="5861C83F" w14:textId="77777777" w:rsidR="00A81986" w:rsidRDefault="0067390B">
            <w:r>
              <w:rPr>
                <w:rFonts w:ascii="Arial" w:hAnsi="Arial"/>
                <w:b/>
                <w:color w:val="FFFFFF"/>
                <w:sz w:val="18"/>
              </w:rPr>
              <w:t>Total Scope 1 (tCO₂e)</w:t>
            </w:r>
          </w:p>
        </w:tc>
        <w:tc>
          <w:tcPr>
            <w:tcW w:w="1505" w:type="dxa"/>
            <w:shd w:val="clear" w:color="auto" w:fill="1B3A6B"/>
          </w:tcPr>
          <w:p w14:paraId="3A4BF37A" w14:textId="77777777" w:rsidR="00A81986" w:rsidRDefault="0067390B">
            <w:r>
              <w:rPr>
                <w:rFonts w:ascii="Arial" w:hAnsi="Arial"/>
                <w:b/>
                <w:color w:val="FFFFFF"/>
                <w:sz w:val="18"/>
              </w:rPr>
              <w:t>Natural Gas (tCO₂e)</w:t>
            </w:r>
          </w:p>
        </w:tc>
        <w:tc>
          <w:tcPr>
            <w:tcW w:w="1505" w:type="dxa"/>
            <w:shd w:val="clear" w:color="auto" w:fill="1B3A6B"/>
          </w:tcPr>
          <w:p w14:paraId="0EC859F4" w14:textId="77777777" w:rsidR="00A81986" w:rsidRDefault="0067390B">
            <w:r>
              <w:rPr>
                <w:rFonts w:ascii="Arial" w:hAnsi="Arial"/>
                <w:b/>
                <w:color w:val="FFFFFF"/>
                <w:sz w:val="18"/>
              </w:rPr>
              <w:t>Diesel (tCO₂e)</w:t>
            </w:r>
          </w:p>
        </w:tc>
        <w:tc>
          <w:tcPr>
            <w:tcW w:w="1505" w:type="dxa"/>
            <w:shd w:val="clear" w:color="auto" w:fill="1B3A6B"/>
          </w:tcPr>
          <w:p w14:paraId="372F95D2" w14:textId="77777777" w:rsidR="00A81986" w:rsidRDefault="0067390B">
            <w:r>
              <w:rPr>
                <w:rFonts w:ascii="Arial" w:hAnsi="Arial"/>
                <w:b/>
                <w:color w:val="FFFFFF"/>
                <w:sz w:val="18"/>
              </w:rPr>
              <w:t>Diesel % of Facility Total</w:t>
            </w:r>
          </w:p>
        </w:tc>
        <w:tc>
          <w:tcPr>
            <w:tcW w:w="1505" w:type="dxa"/>
            <w:shd w:val="clear" w:color="auto" w:fill="1B3A6B"/>
          </w:tcPr>
          <w:p w14:paraId="37936B43" w14:textId="77777777" w:rsidR="00A81986" w:rsidRDefault="0067390B">
            <w:r>
              <w:rPr>
                <w:rFonts w:ascii="Arial" w:hAnsi="Arial"/>
                <w:b/>
                <w:color w:val="FFFFFF"/>
                <w:sz w:val="18"/>
              </w:rPr>
              <w:t>Data Quality Score</w:t>
            </w:r>
          </w:p>
        </w:tc>
      </w:tr>
      <w:tr w:rsidR="00A81986" w14:paraId="5248C368" w14:textId="77777777">
        <w:trPr>
          <w:jc w:val="center"/>
        </w:trPr>
        <w:tc>
          <w:tcPr>
            <w:tcW w:w="1505" w:type="dxa"/>
          </w:tcPr>
          <w:p w14:paraId="2456E044" w14:textId="77777777" w:rsidR="00A81986" w:rsidRDefault="0067390B">
            <w:r>
              <w:rPr>
                <w:rFonts w:ascii="Arial" w:hAnsi="Arial"/>
                <w:sz w:val="18"/>
              </w:rPr>
              <w:t>FAC-0197</w:t>
            </w:r>
          </w:p>
        </w:tc>
        <w:tc>
          <w:tcPr>
            <w:tcW w:w="1505" w:type="dxa"/>
          </w:tcPr>
          <w:p w14:paraId="33E65DF5" w14:textId="77777777" w:rsidR="00A81986" w:rsidRDefault="0067390B">
            <w:pPr>
              <w:jc w:val="right"/>
            </w:pPr>
            <w:r>
              <w:rPr>
                <w:rFonts w:ascii="Arial" w:hAnsi="Arial"/>
                <w:sz w:val="18"/>
              </w:rPr>
              <w:t>147.7152</w:t>
            </w:r>
          </w:p>
        </w:tc>
        <w:tc>
          <w:tcPr>
            <w:tcW w:w="1505" w:type="dxa"/>
          </w:tcPr>
          <w:p w14:paraId="27AF3DE6" w14:textId="77777777" w:rsidR="00A81986" w:rsidRDefault="0067390B">
            <w:pPr>
              <w:jc w:val="right"/>
            </w:pPr>
            <w:r>
              <w:rPr>
                <w:rFonts w:ascii="Arial" w:hAnsi="Arial"/>
                <w:sz w:val="18"/>
              </w:rPr>
              <w:t>65.1748</w:t>
            </w:r>
          </w:p>
        </w:tc>
        <w:tc>
          <w:tcPr>
            <w:tcW w:w="1505" w:type="dxa"/>
          </w:tcPr>
          <w:p w14:paraId="08E65562" w14:textId="77777777" w:rsidR="00A81986" w:rsidRDefault="0067390B">
            <w:pPr>
              <w:jc w:val="right"/>
            </w:pPr>
            <w:r>
              <w:rPr>
                <w:rFonts w:ascii="Arial" w:hAnsi="Arial"/>
                <w:sz w:val="18"/>
              </w:rPr>
              <w:t>82.5404</w:t>
            </w:r>
          </w:p>
        </w:tc>
        <w:tc>
          <w:tcPr>
            <w:tcW w:w="1505" w:type="dxa"/>
          </w:tcPr>
          <w:p w14:paraId="07664641" w14:textId="77777777" w:rsidR="00A81986" w:rsidRDefault="0067390B">
            <w:pPr>
              <w:jc w:val="right"/>
            </w:pPr>
            <w:r>
              <w:rPr>
                <w:rFonts w:ascii="Arial" w:hAnsi="Arial"/>
                <w:sz w:val="18"/>
              </w:rPr>
              <w:t>55.9%</w:t>
            </w:r>
          </w:p>
        </w:tc>
        <w:tc>
          <w:tcPr>
            <w:tcW w:w="1505" w:type="dxa"/>
          </w:tcPr>
          <w:p w14:paraId="79A1E12F" w14:textId="77777777" w:rsidR="00A81986" w:rsidRDefault="0067390B">
            <w:pPr>
              <w:jc w:val="right"/>
            </w:pPr>
            <w:r>
              <w:rPr>
                <w:rFonts w:ascii="Arial" w:hAnsi="Arial"/>
                <w:sz w:val="18"/>
              </w:rPr>
              <w:t>1</w:t>
            </w:r>
          </w:p>
        </w:tc>
      </w:tr>
      <w:tr w:rsidR="00A81986" w14:paraId="7CB16CBD" w14:textId="77777777">
        <w:trPr>
          <w:jc w:val="center"/>
        </w:trPr>
        <w:tc>
          <w:tcPr>
            <w:tcW w:w="1505" w:type="dxa"/>
            <w:shd w:val="clear" w:color="auto" w:fill="F2F6FC"/>
          </w:tcPr>
          <w:p w14:paraId="4C7D4605" w14:textId="77777777" w:rsidR="00A81986" w:rsidRDefault="0067390B">
            <w:r>
              <w:rPr>
                <w:rFonts w:ascii="Arial" w:hAnsi="Arial"/>
                <w:sz w:val="18"/>
              </w:rPr>
              <w:lastRenderedPageBreak/>
              <w:t>FAC-0198</w:t>
            </w:r>
          </w:p>
        </w:tc>
        <w:tc>
          <w:tcPr>
            <w:tcW w:w="1505" w:type="dxa"/>
            <w:shd w:val="clear" w:color="auto" w:fill="F2F6FC"/>
          </w:tcPr>
          <w:p w14:paraId="7CF41477" w14:textId="77777777" w:rsidR="00A81986" w:rsidRDefault="0067390B">
            <w:pPr>
              <w:jc w:val="right"/>
            </w:pPr>
            <w:r>
              <w:rPr>
                <w:rFonts w:ascii="Arial" w:hAnsi="Arial"/>
                <w:sz w:val="18"/>
              </w:rPr>
              <w:t>137.8381</w:t>
            </w:r>
          </w:p>
        </w:tc>
        <w:tc>
          <w:tcPr>
            <w:tcW w:w="1505" w:type="dxa"/>
            <w:shd w:val="clear" w:color="auto" w:fill="F2F6FC"/>
          </w:tcPr>
          <w:p w14:paraId="3AC21397" w14:textId="77777777" w:rsidR="00A81986" w:rsidRDefault="0067390B">
            <w:pPr>
              <w:jc w:val="right"/>
            </w:pPr>
            <w:r>
              <w:rPr>
                <w:rFonts w:ascii="Arial" w:hAnsi="Arial"/>
                <w:sz w:val="18"/>
              </w:rPr>
              <w:t>54.4460</w:t>
            </w:r>
          </w:p>
        </w:tc>
        <w:tc>
          <w:tcPr>
            <w:tcW w:w="1505" w:type="dxa"/>
            <w:shd w:val="clear" w:color="auto" w:fill="F2F6FC"/>
          </w:tcPr>
          <w:p w14:paraId="42765329" w14:textId="77777777" w:rsidR="00A81986" w:rsidRDefault="0067390B">
            <w:pPr>
              <w:jc w:val="right"/>
            </w:pPr>
            <w:r>
              <w:rPr>
                <w:rFonts w:ascii="Arial" w:hAnsi="Arial"/>
                <w:sz w:val="18"/>
              </w:rPr>
              <w:t>83.3921</w:t>
            </w:r>
          </w:p>
        </w:tc>
        <w:tc>
          <w:tcPr>
            <w:tcW w:w="1505" w:type="dxa"/>
            <w:shd w:val="clear" w:color="auto" w:fill="F2F6FC"/>
          </w:tcPr>
          <w:p w14:paraId="5061146D" w14:textId="77777777" w:rsidR="00A81986" w:rsidRDefault="0067390B">
            <w:pPr>
              <w:jc w:val="right"/>
            </w:pPr>
            <w:r>
              <w:rPr>
                <w:rFonts w:ascii="Arial" w:hAnsi="Arial"/>
                <w:sz w:val="18"/>
              </w:rPr>
              <w:t>60.5%</w:t>
            </w:r>
          </w:p>
        </w:tc>
        <w:tc>
          <w:tcPr>
            <w:tcW w:w="1505" w:type="dxa"/>
            <w:shd w:val="clear" w:color="auto" w:fill="F2F6FC"/>
          </w:tcPr>
          <w:p w14:paraId="37596CD8" w14:textId="77777777" w:rsidR="00A81986" w:rsidRDefault="0067390B">
            <w:pPr>
              <w:jc w:val="right"/>
            </w:pPr>
            <w:r>
              <w:rPr>
                <w:rFonts w:ascii="Arial" w:hAnsi="Arial"/>
                <w:sz w:val="18"/>
              </w:rPr>
              <w:t>1</w:t>
            </w:r>
          </w:p>
        </w:tc>
      </w:tr>
      <w:tr w:rsidR="00A81986" w14:paraId="511A228F" w14:textId="77777777">
        <w:trPr>
          <w:jc w:val="center"/>
        </w:trPr>
        <w:tc>
          <w:tcPr>
            <w:tcW w:w="1505" w:type="dxa"/>
          </w:tcPr>
          <w:p w14:paraId="3DA5796F" w14:textId="77777777" w:rsidR="00A81986" w:rsidRDefault="0067390B">
            <w:r>
              <w:rPr>
                <w:rFonts w:ascii="Arial" w:hAnsi="Arial"/>
                <w:sz w:val="18"/>
              </w:rPr>
              <w:t>FAC-0200</w:t>
            </w:r>
          </w:p>
        </w:tc>
        <w:tc>
          <w:tcPr>
            <w:tcW w:w="1505" w:type="dxa"/>
          </w:tcPr>
          <w:p w14:paraId="10306B06" w14:textId="77777777" w:rsidR="00A81986" w:rsidRDefault="0067390B">
            <w:pPr>
              <w:jc w:val="right"/>
            </w:pPr>
            <w:r>
              <w:rPr>
                <w:rFonts w:ascii="Arial" w:hAnsi="Arial"/>
                <w:sz w:val="18"/>
              </w:rPr>
              <w:t>131.4422</w:t>
            </w:r>
          </w:p>
        </w:tc>
        <w:tc>
          <w:tcPr>
            <w:tcW w:w="1505" w:type="dxa"/>
          </w:tcPr>
          <w:p w14:paraId="2C867489" w14:textId="77777777" w:rsidR="00A81986" w:rsidRDefault="0067390B">
            <w:pPr>
              <w:jc w:val="right"/>
            </w:pPr>
            <w:r>
              <w:rPr>
                <w:rFonts w:ascii="Arial" w:hAnsi="Arial"/>
                <w:sz w:val="18"/>
              </w:rPr>
              <w:t>57.0202</w:t>
            </w:r>
          </w:p>
        </w:tc>
        <w:tc>
          <w:tcPr>
            <w:tcW w:w="1505" w:type="dxa"/>
          </w:tcPr>
          <w:p w14:paraId="3D317DD1" w14:textId="77777777" w:rsidR="00A81986" w:rsidRDefault="0067390B">
            <w:pPr>
              <w:jc w:val="right"/>
            </w:pPr>
            <w:r>
              <w:rPr>
                <w:rFonts w:ascii="Arial" w:hAnsi="Arial"/>
                <w:sz w:val="18"/>
              </w:rPr>
              <w:t>74.4220</w:t>
            </w:r>
          </w:p>
        </w:tc>
        <w:tc>
          <w:tcPr>
            <w:tcW w:w="1505" w:type="dxa"/>
          </w:tcPr>
          <w:p w14:paraId="2EB490CC" w14:textId="77777777" w:rsidR="00A81986" w:rsidRDefault="0067390B">
            <w:pPr>
              <w:jc w:val="right"/>
            </w:pPr>
            <w:r>
              <w:rPr>
                <w:rFonts w:ascii="Arial" w:hAnsi="Arial"/>
                <w:sz w:val="18"/>
              </w:rPr>
              <w:t>56.6%</w:t>
            </w:r>
          </w:p>
        </w:tc>
        <w:tc>
          <w:tcPr>
            <w:tcW w:w="1505" w:type="dxa"/>
          </w:tcPr>
          <w:p w14:paraId="60239BBA" w14:textId="77777777" w:rsidR="00A81986" w:rsidRDefault="0067390B">
            <w:pPr>
              <w:jc w:val="right"/>
            </w:pPr>
            <w:r>
              <w:rPr>
                <w:rFonts w:ascii="Arial" w:hAnsi="Arial"/>
                <w:sz w:val="18"/>
              </w:rPr>
              <w:t>1</w:t>
            </w:r>
          </w:p>
        </w:tc>
      </w:tr>
      <w:tr w:rsidR="00A81986" w14:paraId="70CE91CA" w14:textId="77777777">
        <w:trPr>
          <w:jc w:val="center"/>
        </w:trPr>
        <w:tc>
          <w:tcPr>
            <w:tcW w:w="1505" w:type="dxa"/>
            <w:shd w:val="clear" w:color="auto" w:fill="F2F6FC"/>
          </w:tcPr>
          <w:p w14:paraId="72ACA8AE" w14:textId="77777777" w:rsidR="00A81986" w:rsidRDefault="0067390B">
            <w:r>
              <w:rPr>
                <w:rFonts w:ascii="Arial" w:hAnsi="Arial"/>
                <w:sz w:val="18"/>
              </w:rPr>
              <w:t>FAC-0196</w:t>
            </w:r>
          </w:p>
        </w:tc>
        <w:tc>
          <w:tcPr>
            <w:tcW w:w="1505" w:type="dxa"/>
            <w:shd w:val="clear" w:color="auto" w:fill="F2F6FC"/>
          </w:tcPr>
          <w:p w14:paraId="64D00828" w14:textId="77777777" w:rsidR="00A81986" w:rsidRDefault="0067390B">
            <w:pPr>
              <w:jc w:val="right"/>
            </w:pPr>
            <w:r>
              <w:rPr>
                <w:rFonts w:ascii="Arial" w:hAnsi="Arial"/>
                <w:sz w:val="18"/>
              </w:rPr>
              <w:t>124.4219</w:t>
            </w:r>
          </w:p>
        </w:tc>
        <w:tc>
          <w:tcPr>
            <w:tcW w:w="1505" w:type="dxa"/>
            <w:shd w:val="clear" w:color="auto" w:fill="F2F6FC"/>
          </w:tcPr>
          <w:p w14:paraId="1BD5C492" w14:textId="77777777" w:rsidR="00A81986" w:rsidRDefault="0067390B">
            <w:pPr>
              <w:jc w:val="right"/>
            </w:pPr>
            <w:r>
              <w:rPr>
                <w:rFonts w:ascii="Arial" w:hAnsi="Arial"/>
                <w:sz w:val="18"/>
              </w:rPr>
              <w:t>51.7527</w:t>
            </w:r>
          </w:p>
        </w:tc>
        <w:tc>
          <w:tcPr>
            <w:tcW w:w="1505" w:type="dxa"/>
            <w:shd w:val="clear" w:color="auto" w:fill="F2F6FC"/>
          </w:tcPr>
          <w:p w14:paraId="72E2C6F0" w14:textId="77777777" w:rsidR="00A81986" w:rsidRDefault="0067390B">
            <w:pPr>
              <w:jc w:val="right"/>
            </w:pPr>
            <w:r>
              <w:rPr>
                <w:rFonts w:ascii="Arial" w:hAnsi="Arial"/>
                <w:sz w:val="18"/>
              </w:rPr>
              <w:t>72.6692</w:t>
            </w:r>
          </w:p>
        </w:tc>
        <w:tc>
          <w:tcPr>
            <w:tcW w:w="1505" w:type="dxa"/>
            <w:shd w:val="clear" w:color="auto" w:fill="F2F6FC"/>
          </w:tcPr>
          <w:p w14:paraId="00F6E458" w14:textId="77777777" w:rsidR="00A81986" w:rsidRDefault="0067390B">
            <w:pPr>
              <w:jc w:val="right"/>
            </w:pPr>
            <w:r>
              <w:rPr>
                <w:rFonts w:ascii="Arial" w:hAnsi="Arial"/>
                <w:sz w:val="18"/>
              </w:rPr>
              <w:t>58.4%</w:t>
            </w:r>
          </w:p>
        </w:tc>
        <w:tc>
          <w:tcPr>
            <w:tcW w:w="1505" w:type="dxa"/>
            <w:shd w:val="clear" w:color="auto" w:fill="F2F6FC"/>
          </w:tcPr>
          <w:p w14:paraId="1AA2C0E3" w14:textId="77777777" w:rsidR="00A81986" w:rsidRDefault="0067390B">
            <w:pPr>
              <w:jc w:val="right"/>
            </w:pPr>
            <w:r>
              <w:rPr>
                <w:rFonts w:ascii="Arial" w:hAnsi="Arial"/>
                <w:sz w:val="18"/>
              </w:rPr>
              <w:t>1</w:t>
            </w:r>
          </w:p>
        </w:tc>
      </w:tr>
      <w:tr w:rsidR="00A81986" w14:paraId="450E09CA" w14:textId="77777777">
        <w:trPr>
          <w:jc w:val="center"/>
        </w:trPr>
        <w:tc>
          <w:tcPr>
            <w:tcW w:w="1505" w:type="dxa"/>
          </w:tcPr>
          <w:p w14:paraId="3FBBE91B" w14:textId="77777777" w:rsidR="00A81986" w:rsidRDefault="0067390B">
            <w:r>
              <w:rPr>
                <w:rFonts w:ascii="Arial" w:hAnsi="Arial"/>
                <w:sz w:val="18"/>
              </w:rPr>
              <w:t>FAC-0199</w:t>
            </w:r>
          </w:p>
        </w:tc>
        <w:tc>
          <w:tcPr>
            <w:tcW w:w="1505" w:type="dxa"/>
          </w:tcPr>
          <w:p w14:paraId="26EA96A3" w14:textId="77777777" w:rsidR="00A81986" w:rsidRDefault="0067390B">
            <w:pPr>
              <w:jc w:val="right"/>
            </w:pPr>
            <w:r>
              <w:rPr>
                <w:rFonts w:ascii="Arial" w:hAnsi="Arial"/>
                <w:sz w:val="18"/>
              </w:rPr>
              <w:t>109.4122</w:t>
            </w:r>
          </w:p>
        </w:tc>
        <w:tc>
          <w:tcPr>
            <w:tcW w:w="1505" w:type="dxa"/>
          </w:tcPr>
          <w:p w14:paraId="10A1BF4A" w14:textId="77777777" w:rsidR="00A81986" w:rsidRDefault="0067390B">
            <w:pPr>
              <w:jc w:val="right"/>
            </w:pPr>
            <w:r>
              <w:rPr>
                <w:rFonts w:ascii="Arial" w:hAnsi="Arial"/>
                <w:sz w:val="18"/>
              </w:rPr>
              <w:t>52.0150</w:t>
            </w:r>
          </w:p>
        </w:tc>
        <w:tc>
          <w:tcPr>
            <w:tcW w:w="1505" w:type="dxa"/>
          </w:tcPr>
          <w:p w14:paraId="283425B8" w14:textId="77777777" w:rsidR="00A81986" w:rsidRDefault="0067390B">
            <w:pPr>
              <w:jc w:val="right"/>
            </w:pPr>
            <w:r>
              <w:rPr>
                <w:rFonts w:ascii="Arial" w:hAnsi="Arial"/>
                <w:sz w:val="18"/>
              </w:rPr>
              <w:t>57.3972</w:t>
            </w:r>
          </w:p>
        </w:tc>
        <w:tc>
          <w:tcPr>
            <w:tcW w:w="1505" w:type="dxa"/>
          </w:tcPr>
          <w:p w14:paraId="7397C148" w14:textId="77777777" w:rsidR="00A81986" w:rsidRDefault="0067390B">
            <w:pPr>
              <w:jc w:val="right"/>
            </w:pPr>
            <w:r>
              <w:rPr>
                <w:rFonts w:ascii="Arial" w:hAnsi="Arial"/>
                <w:sz w:val="18"/>
              </w:rPr>
              <w:t>52.5%</w:t>
            </w:r>
          </w:p>
        </w:tc>
        <w:tc>
          <w:tcPr>
            <w:tcW w:w="1505" w:type="dxa"/>
          </w:tcPr>
          <w:p w14:paraId="1FDEE543" w14:textId="77777777" w:rsidR="00A81986" w:rsidRDefault="0067390B">
            <w:pPr>
              <w:jc w:val="right"/>
            </w:pPr>
            <w:r>
              <w:rPr>
                <w:rFonts w:ascii="Arial" w:hAnsi="Arial"/>
                <w:sz w:val="18"/>
              </w:rPr>
              <w:t>1</w:t>
            </w:r>
          </w:p>
        </w:tc>
      </w:tr>
      <w:tr w:rsidR="00A81986" w14:paraId="40526FDE" w14:textId="77777777">
        <w:trPr>
          <w:jc w:val="center"/>
        </w:trPr>
        <w:tc>
          <w:tcPr>
            <w:tcW w:w="1505" w:type="dxa"/>
            <w:shd w:val="clear" w:color="auto" w:fill="F2F6FC"/>
          </w:tcPr>
          <w:p w14:paraId="469A6B0A" w14:textId="77777777" w:rsidR="00A81986" w:rsidRDefault="0067390B">
            <w:r>
              <w:rPr>
                <w:rFonts w:ascii="Arial" w:hAnsi="Arial"/>
                <w:sz w:val="18"/>
              </w:rPr>
              <w:t>FAC-0193</w:t>
            </w:r>
          </w:p>
        </w:tc>
        <w:tc>
          <w:tcPr>
            <w:tcW w:w="1505" w:type="dxa"/>
            <w:shd w:val="clear" w:color="auto" w:fill="F2F6FC"/>
          </w:tcPr>
          <w:p w14:paraId="2D09449D" w14:textId="77777777" w:rsidR="00A81986" w:rsidRDefault="0067390B">
            <w:pPr>
              <w:jc w:val="right"/>
            </w:pPr>
            <w:r>
              <w:rPr>
                <w:rFonts w:ascii="Arial" w:hAnsi="Arial"/>
                <w:sz w:val="18"/>
              </w:rPr>
              <w:t>72.3228</w:t>
            </w:r>
          </w:p>
        </w:tc>
        <w:tc>
          <w:tcPr>
            <w:tcW w:w="1505" w:type="dxa"/>
            <w:shd w:val="clear" w:color="auto" w:fill="F2F6FC"/>
          </w:tcPr>
          <w:p w14:paraId="5799F6AD" w14:textId="77777777" w:rsidR="00A81986" w:rsidRDefault="0067390B">
            <w:pPr>
              <w:jc w:val="right"/>
            </w:pPr>
            <w:r>
              <w:rPr>
                <w:rFonts w:ascii="Arial" w:hAnsi="Arial"/>
                <w:sz w:val="18"/>
              </w:rPr>
              <w:t>0.0000</w:t>
            </w:r>
          </w:p>
        </w:tc>
        <w:tc>
          <w:tcPr>
            <w:tcW w:w="1505" w:type="dxa"/>
            <w:shd w:val="clear" w:color="auto" w:fill="F2F6FC"/>
          </w:tcPr>
          <w:p w14:paraId="48993B2A" w14:textId="77777777" w:rsidR="00A81986" w:rsidRDefault="0067390B">
            <w:pPr>
              <w:jc w:val="right"/>
            </w:pPr>
            <w:r>
              <w:rPr>
                <w:rFonts w:ascii="Arial" w:hAnsi="Arial"/>
                <w:sz w:val="18"/>
              </w:rPr>
              <w:t>72.3228</w:t>
            </w:r>
          </w:p>
        </w:tc>
        <w:tc>
          <w:tcPr>
            <w:tcW w:w="1505" w:type="dxa"/>
            <w:shd w:val="clear" w:color="auto" w:fill="F2F6FC"/>
          </w:tcPr>
          <w:p w14:paraId="397F9ED0" w14:textId="77777777" w:rsidR="00A81986" w:rsidRDefault="0067390B">
            <w:pPr>
              <w:jc w:val="right"/>
            </w:pPr>
            <w:r>
              <w:rPr>
                <w:rFonts w:ascii="Arial" w:hAnsi="Arial"/>
                <w:sz w:val="18"/>
              </w:rPr>
              <w:t>100.0%</w:t>
            </w:r>
          </w:p>
        </w:tc>
        <w:tc>
          <w:tcPr>
            <w:tcW w:w="1505" w:type="dxa"/>
            <w:shd w:val="clear" w:color="auto" w:fill="F2F6FC"/>
          </w:tcPr>
          <w:p w14:paraId="6FFC6242" w14:textId="77777777" w:rsidR="00A81986" w:rsidRDefault="0067390B">
            <w:pPr>
              <w:jc w:val="right"/>
            </w:pPr>
            <w:r>
              <w:rPr>
                <w:rFonts w:ascii="Arial" w:hAnsi="Arial"/>
                <w:sz w:val="18"/>
              </w:rPr>
              <w:t>1</w:t>
            </w:r>
          </w:p>
        </w:tc>
      </w:tr>
      <w:tr w:rsidR="00A81986" w14:paraId="7207FE36" w14:textId="77777777">
        <w:trPr>
          <w:jc w:val="center"/>
        </w:trPr>
        <w:tc>
          <w:tcPr>
            <w:tcW w:w="1505" w:type="dxa"/>
          </w:tcPr>
          <w:p w14:paraId="359A7516" w14:textId="77777777" w:rsidR="00A81986" w:rsidRDefault="0067390B">
            <w:r>
              <w:rPr>
                <w:rFonts w:ascii="Arial" w:hAnsi="Arial"/>
                <w:sz w:val="18"/>
              </w:rPr>
              <w:t>FAC-0215</w:t>
            </w:r>
          </w:p>
        </w:tc>
        <w:tc>
          <w:tcPr>
            <w:tcW w:w="1505" w:type="dxa"/>
          </w:tcPr>
          <w:p w14:paraId="018A93E1" w14:textId="77777777" w:rsidR="00A81986" w:rsidRDefault="0067390B">
            <w:pPr>
              <w:jc w:val="right"/>
            </w:pPr>
            <w:r>
              <w:rPr>
                <w:rFonts w:ascii="Arial" w:hAnsi="Arial"/>
                <w:sz w:val="18"/>
              </w:rPr>
              <w:t>70.6057</w:t>
            </w:r>
          </w:p>
        </w:tc>
        <w:tc>
          <w:tcPr>
            <w:tcW w:w="1505" w:type="dxa"/>
          </w:tcPr>
          <w:p w14:paraId="3C57CBC5" w14:textId="77777777" w:rsidR="00A81986" w:rsidRDefault="0067390B">
            <w:pPr>
              <w:jc w:val="right"/>
            </w:pPr>
            <w:r>
              <w:rPr>
                <w:rFonts w:ascii="Arial" w:hAnsi="Arial"/>
                <w:sz w:val="18"/>
              </w:rPr>
              <w:t>23.5860</w:t>
            </w:r>
          </w:p>
        </w:tc>
        <w:tc>
          <w:tcPr>
            <w:tcW w:w="1505" w:type="dxa"/>
          </w:tcPr>
          <w:p w14:paraId="0F3124C7" w14:textId="77777777" w:rsidR="00A81986" w:rsidRDefault="0067390B">
            <w:pPr>
              <w:jc w:val="right"/>
            </w:pPr>
            <w:r>
              <w:rPr>
                <w:rFonts w:ascii="Arial" w:hAnsi="Arial"/>
                <w:sz w:val="18"/>
              </w:rPr>
              <w:t>47.0197</w:t>
            </w:r>
          </w:p>
        </w:tc>
        <w:tc>
          <w:tcPr>
            <w:tcW w:w="1505" w:type="dxa"/>
          </w:tcPr>
          <w:p w14:paraId="6B5CADEC" w14:textId="77777777" w:rsidR="00A81986" w:rsidRDefault="0067390B">
            <w:pPr>
              <w:jc w:val="right"/>
            </w:pPr>
            <w:r>
              <w:rPr>
                <w:rFonts w:ascii="Arial" w:hAnsi="Arial"/>
                <w:sz w:val="18"/>
              </w:rPr>
              <w:t>66.6%</w:t>
            </w:r>
          </w:p>
        </w:tc>
        <w:tc>
          <w:tcPr>
            <w:tcW w:w="1505" w:type="dxa"/>
          </w:tcPr>
          <w:p w14:paraId="5D892973" w14:textId="77777777" w:rsidR="00A81986" w:rsidRDefault="0067390B">
            <w:pPr>
              <w:jc w:val="right"/>
            </w:pPr>
            <w:r>
              <w:rPr>
                <w:rFonts w:ascii="Arial" w:hAnsi="Arial"/>
                <w:sz w:val="18"/>
              </w:rPr>
              <w:t>1</w:t>
            </w:r>
          </w:p>
        </w:tc>
      </w:tr>
      <w:tr w:rsidR="00A81986" w14:paraId="53C399A1" w14:textId="77777777">
        <w:trPr>
          <w:jc w:val="center"/>
        </w:trPr>
        <w:tc>
          <w:tcPr>
            <w:tcW w:w="1505" w:type="dxa"/>
            <w:shd w:val="clear" w:color="auto" w:fill="F2F6FC"/>
          </w:tcPr>
          <w:p w14:paraId="37B04ADD" w14:textId="77777777" w:rsidR="00A81986" w:rsidRDefault="0067390B">
            <w:r>
              <w:rPr>
                <w:rFonts w:ascii="Arial" w:hAnsi="Arial"/>
                <w:sz w:val="18"/>
              </w:rPr>
              <w:t>FAC-0191</w:t>
            </w:r>
          </w:p>
        </w:tc>
        <w:tc>
          <w:tcPr>
            <w:tcW w:w="1505" w:type="dxa"/>
            <w:shd w:val="clear" w:color="auto" w:fill="F2F6FC"/>
          </w:tcPr>
          <w:p w14:paraId="0134D3D6" w14:textId="77777777" w:rsidR="00A81986" w:rsidRDefault="0067390B">
            <w:pPr>
              <w:jc w:val="right"/>
            </w:pPr>
            <w:r>
              <w:rPr>
                <w:rFonts w:ascii="Arial" w:hAnsi="Arial"/>
                <w:sz w:val="18"/>
              </w:rPr>
              <w:t>67.3744</w:t>
            </w:r>
          </w:p>
        </w:tc>
        <w:tc>
          <w:tcPr>
            <w:tcW w:w="1505" w:type="dxa"/>
            <w:shd w:val="clear" w:color="auto" w:fill="F2F6FC"/>
          </w:tcPr>
          <w:p w14:paraId="62AF5A29" w14:textId="77777777" w:rsidR="00A81986" w:rsidRDefault="0067390B">
            <w:pPr>
              <w:jc w:val="right"/>
            </w:pPr>
            <w:r>
              <w:rPr>
                <w:rFonts w:ascii="Arial" w:hAnsi="Arial"/>
                <w:sz w:val="18"/>
              </w:rPr>
              <w:t>0.0000</w:t>
            </w:r>
          </w:p>
        </w:tc>
        <w:tc>
          <w:tcPr>
            <w:tcW w:w="1505" w:type="dxa"/>
            <w:shd w:val="clear" w:color="auto" w:fill="F2F6FC"/>
          </w:tcPr>
          <w:p w14:paraId="7C22B12E" w14:textId="77777777" w:rsidR="00A81986" w:rsidRDefault="0067390B">
            <w:pPr>
              <w:jc w:val="right"/>
            </w:pPr>
            <w:r>
              <w:rPr>
                <w:rFonts w:ascii="Arial" w:hAnsi="Arial"/>
                <w:sz w:val="18"/>
              </w:rPr>
              <w:t>67.3744</w:t>
            </w:r>
          </w:p>
        </w:tc>
        <w:tc>
          <w:tcPr>
            <w:tcW w:w="1505" w:type="dxa"/>
            <w:shd w:val="clear" w:color="auto" w:fill="F2F6FC"/>
          </w:tcPr>
          <w:p w14:paraId="59F438A8" w14:textId="77777777" w:rsidR="00A81986" w:rsidRDefault="0067390B">
            <w:pPr>
              <w:jc w:val="right"/>
            </w:pPr>
            <w:r>
              <w:rPr>
                <w:rFonts w:ascii="Arial" w:hAnsi="Arial"/>
                <w:sz w:val="18"/>
              </w:rPr>
              <w:t>100.0%</w:t>
            </w:r>
          </w:p>
        </w:tc>
        <w:tc>
          <w:tcPr>
            <w:tcW w:w="1505" w:type="dxa"/>
            <w:shd w:val="clear" w:color="auto" w:fill="F2F6FC"/>
          </w:tcPr>
          <w:p w14:paraId="092E641E" w14:textId="77777777" w:rsidR="00A81986" w:rsidRDefault="0067390B">
            <w:pPr>
              <w:jc w:val="right"/>
            </w:pPr>
            <w:r>
              <w:rPr>
                <w:rFonts w:ascii="Arial" w:hAnsi="Arial"/>
                <w:sz w:val="18"/>
              </w:rPr>
              <w:t>1</w:t>
            </w:r>
          </w:p>
        </w:tc>
      </w:tr>
      <w:tr w:rsidR="00A81986" w14:paraId="7A2E6C84" w14:textId="77777777">
        <w:trPr>
          <w:jc w:val="center"/>
        </w:trPr>
        <w:tc>
          <w:tcPr>
            <w:tcW w:w="1505" w:type="dxa"/>
          </w:tcPr>
          <w:p w14:paraId="11E9A150" w14:textId="77777777" w:rsidR="00A81986" w:rsidRDefault="0067390B">
            <w:r>
              <w:rPr>
                <w:rFonts w:ascii="Arial" w:hAnsi="Arial"/>
                <w:sz w:val="18"/>
              </w:rPr>
              <w:t>FAC-0181</w:t>
            </w:r>
          </w:p>
        </w:tc>
        <w:tc>
          <w:tcPr>
            <w:tcW w:w="1505" w:type="dxa"/>
          </w:tcPr>
          <w:p w14:paraId="4ADE3C26" w14:textId="77777777" w:rsidR="00A81986" w:rsidRDefault="0067390B">
            <w:pPr>
              <w:jc w:val="right"/>
            </w:pPr>
            <w:r>
              <w:rPr>
                <w:rFonts w:ascii="Arial" w:hAnsi="Arial"/>
                <w:sz w:val="18"/>
              </w:rPr>
              <w:t>63.7580</w:t>
            </w:r>
          </w:p>
        </w:tc>
        <w:tc>
          <w:tcPr>
            <w:tcW w:w="1505" w:type="dxa"/>
          </w:tcPr>
          <w:p w14:paraId="4AB65F96" w14:textId="77777777" w:rsidR="00A81986" w:rsidRDefault="0067390B">
            <w:pPr>
              <w:jc w:val="right"/>
            </w:pPr>
            <w:r>
              <w:rPr>
                <w:rFonts w:ascii="Arial" w:hAnsi="Arial"/>
                <w:sz w:val="18"/>
              </w:rPr>
              <w:t>0.0000</w:t>
            </w:r>
          </w:p>
        </w:tc>
        <w:tc>
          <w:tcPr>
            <w:tcW w:w="1505" w:type="dxa"/>
          </w:tcPr>
          <w:p w14:paraId="517DD8E7" w14:textId="77777777" w:rsidR="00A81986" w:rsidRDefault="0067390B">
            <w:pPr>
              <w:jc w:val="right"/>
            </w:pPr>
            <w:r>
              <w:rPr>
                <w:rFonts w:ascii="Arial" w:hAnsi="Arial"/>
                <w:sz w:val="18"/>
              </w:rPr>
              <w:t>63.7580</w:t>
            </w:r>
          </w:p>
        </w:tc>
        <w:tc>
          <w:tcPr>
            <w:tcW w:w="1505" w:type="dxa"/>
          </w:tcPr>
          <w:p w14:paraId="63F706D5" w14:textId="77777777" w:rsidR="00A81986" w:rsidRDefault="0067390B">
            <w:pPr>
              <w:jc w:val="right"/>
            </w:pPr>
            <w:r>
              <w:rPr>
                <w:rFonts w:ascii="Arial" w:hAnsi="Arial"/>
                <w:sz w:val="18"/>
              </w:rPr>
              <w:t>100.0%</w:t>
            </w:r>
          </w:p>
        </w:tc>
        <w:tc>
          <w:tcPr>
            <w:tcW w:w="1505" w:type="dxa"/>
          </w:tcPr>
          <w:p w14:paraId="16CE0F52" w14:textId="77777777" w:rsidR="00A81986" w:rsidRDefault="0067390B">
            <w:pPr>
              <w:jc w:val="right"/>
            </w:pPr>
            <w:r>
              <w:rPr>
                <w:rFonts w:ascii="Arial" w:hAnsi="Arial"/>
                <w:sz w:val="18"/>
              </w:rPr>
              <w:t>1</w:t>
            </w:r>
          </w:p>
        </w:tc>
      </w:tr>
      <w:tr w:rsidR="00A81986" w14:paraId="115498D6" w14:textId="77777777">
        <w:trPr>
          <w:jc w:val="center"/>
        </w:trPr>
        <w:tc>
          <w:tcPr>
            <w:tcW w:w="1505" w:type="dxa"/>
            <w:shd w:val="clear" w:color="auto" w:fill="F2F6FC"/>
          </w:tcPr>
          <w:p w14:paraId="6205F8D7" w14:textId="77777777" w:rsidR="00A81986" w:rsidRDefault="0067390B">
            <w:r>
              <w:rPr>
                <w:rFonts w:ascii="Arial" w:hAnsi="Arial"/>
                <w:sz w:val="18"/>
              </w:rPr>
              <w:t>FAC-0208</w:t>
            </w:r>
          </w:p>
        </w:tc>
        <w:tc>
          <w:tcPr>
            <w:tcW w:w="1505" w:type="dxa"/>
            <w:shd w:val="clear" w:color="auto" w:fill="F2F6FC"/>
          </w:tcPr>
          <w:p w14:paraId="1A2837BC" w14:textId="77777777" w:rsidR="00A81986" w:rsidRDefault="0067390B">
            <w:pPr>
              <w:jc w:val="right"/>
            </w:pPr>
            <w:r>
              <w:rPr>
                <w:rFonts w:ascii="Arial" w:hAnsi="Arial"/>
                <w:sz w:val="18"/>
              </w:rPr>
              <w:t>63.5152</w:t>
            </w:r>
          </w:p>
        </w:tc>
        <w:tc>
          <w:tcPr>
            <w:tcW w:w="1505" w:type="dxa"/>
            <w:shd w:val="clear" w:color="auto" w:fill="F2F6FC"/>
          </w:tcPr>
          <w:p w14:paraId="13EEE2CB" w14:textId="77777777" w:rsidR="00A81986" w:rsidRDefault="0067390B">
            <w:pPr>
              <w:jc w:val="right"/>
            </w:pPr>
            <w:r>
              <w:rPr>
                <w:rFonts w:ascii="Arial" w:hAnsi="Arial"/>
                <w:sz w:val="18"/>
              </w:rPr>
              <w:t>23.7606</w:t>
            </w:r>
          </w:p>
        </w:tc>
        <w:tc>
          <w:tcPr>
            <w:tcW w:w="1505" w:type="dxa"/>
            <w:shd w:val="clear" w:color="auto" w:fill="F2F6FC"/>
          </w:tcPr>
          <w:p w14:paraId="4E7F41C3" w14:textId="77777777" w:rsidR="00A81986" w:rsidRDefault="0067390B">
            <w:pPr>
              <w:jc w:val="right"/>
            </w:pPr>
            <w:r>
              <w:rPr>
                <w:rFonts w:ascii="Arial" w:hAnsi="Arial"/>
                <w:sz w:val="18"/>
              </w:rPr>
              <w:t>39.7546</w:t>
            </w:r>
          </w:p>
        </w:tc>
        <w:tc>
          <w:tcPr>
            <w:tcW w:w="1505" w:type="dxa"/>
            <w:shd w:val="clear" w:color="auto" w:fill="F2F6FC"/>
          </w:tcPr>
          <w:p w14:paraId="030AC2A4" w14:textId="77777777" w:rsidR="00A81986" w:rsidRDefault="0067390B">
            <w:pPr>
              <w:jc w:val="right"/>
            </w:pPr>
            <w:r>
              <w:rPr>
                <w:rFonts w:ascii="Arial" w:hAnsi="Arial"/>
                <w:sz w:val="18"/>
              </w:rPr>
              <w:t>62.6%</w:t>
            </w:r>
          </w:p>
        </w:tc>
        <w:tc>
          <w:tcPr>
            <w:tcW w:w="1505" w:type="dxa"/>
            <w:shd w:val="clear" w:color="auto" w:fill="F2F6FC"/>
          </w:tcPr>
          <w:p w14:paraId="4ED9B72A" w14:textId="77777777" w:rsidR="00A81986" w:rsidRDefault="0067390B">
            <w:pPr>
              <w:jc w:val="right"/>
            </w:pPr>
            <w:r>
              <w:rPr>
                <w:rFonts w:ascii="Arial" w:hAnsi="Arial"/>
                <w:sz w:val="18"/>
              </w:rPr>
              <w:t>1</w:t>
            </w:r>
          </w:p>
        </w:tc>
      </w:tr>
      <w:tr w:rsidR="00A81986" w14:paraId="205BC7B5" w14:textId="77777777">
        <w:trPr>
          <w:jc w:val="center"/>
        </w:trPr>
        <w:tc>
          <w:tcPr>
            <w:tcW w:w="1505" w:type="dxa"/>
          </w:tcPr>
          <w:p w14:paraId="7577F44C" w14:textId="77777777" w:rsidR="00A81986" w:rsidRDefault="0067390B">
            <w:r>
              <w:rPr>
                <w:rFonts w:ascii="Arial" w:hAnsi="Arial"/>
                <w:sz w:val="18"/>
              </w:rPr>
              <w:t>Top 10 Total</w:t>
            </w:r>
          </w:p>
        </w:tc>
        <w:tc>
          <w:tcPr>
            <w:tcW w:w="1505" w:type="dxa"/>
          </w:tcPr>
          <w:p w14:paraId="15E40E69" w14:textId="77777777" w:rsidR="00A81986" w:rsidRDefault="0067390B">
            <w:pPr>
              <w:jc w:val="right"/>
            </w:pPr>
            <w:r>
              <w:rPr>
                <w:rFonts w:ascii="Arial" w:hAnsi="Arial"/>
                <w:sz w:val="18"/>
              </w:rPr>
              <w:t>1,088.4057</w:t>
            </w:r>
          </w:p>
        </w:tc>
        <w:tc>
          <w:tcPr>
            <w:tcW w:w="1505" w:type="dxa"/>
          </w:tcPr>
          <w:p w14:paraId="69097CED" w14:textId="77777777" w:rsidR="00A81986" w:rsidRDefault="0067390B">
            <w:pPr>
              <w:jc w:val="right"/>
            </w:pPr>
            <w:r>
              <w:rPr>
                <w:rFonts w:ascii="Arial" w:hAnsi="Arial"/>
                <w:sz w:val="18"/>
              </w:rPr>
              <w:t>327.7553</w:t>
            </w:r>
          </w:p>
        </w:tc>
        <w:tc>
          <w:tcPr>
            <w:tcW w:w="1505" w:type="dxa"/>
          </w:tcPr>
          <w:p w14:paraId="2C0A8570" w14:textId="77777777" w:rsidR="00A81986" w:rsidRDefault="0067390B">
            <w:pPr>
              <w:jc w:val="right"/>
            </w:pPr>
            <w:r>
              <w:rPr>
                <w:rFonts w:ascii="Arial" w:hAnsi="Arial"/>
                <w:sz w:val="18"/>
              </w:rPr>
              <w:t>760.6504</w:t>
            </w:r>
          </w:p>
        </w:tc>
        <w:tc>
          <w:tcPr>
            <w:tcW w:w="1505" w:type="dxa"/>
          </w:tcPr>
          <w:p w14:paraId="2AADDE66" w14:textId="77777777" w:rsidR="00A81986" w:rsidRDefault="0067390B">
            <w:pPr>
              <w:jc w:val="right"/>
            </w:pPr>
            <w:r>
              <w:rPr>
                <w:rFonts w:ascii="Arial" w:hAnsi="Arial"/>
                <w:sz w:val="18"/>
              </w:rPr>
              <w:t>69.9%</w:t>
            </w:r>
          </w:p>
        </w:tc>
        <w:tc>
          <w:tcPr>
            <w:tcW w:w="1505" w:type="dxa"/>
          </w:tcPr>
          <w:p w14:paraId="6B39B82F" w14:textId="77777777" w:rsidR="00A81986" w:rsidRDefault="0067390B">
            <w:r>
              <w:rPr>
                <w:rFonts w:ascii="Arial" w:hAnsi="Arial"/>
                <w:sz w:val="18"/>
              </w:rPr>
              <w:t>—</w:t>
            </w:r>
          </w:p>
        </w:tc>
      </w:tr>
      <w:tr w:rsidR="00A81986" w14:paraId="00EA966D" w14:textId="77777777">
        <w:trPr>
          <w:jc w:val="center"/>
        </w:trPr>
        <w:tc>
          <w:tcPr>
            <w:tcW w:w="1505" w:type="dxa"/>
            <w:shd w:val="clear" w:color="auto" w:fill="F2F6FC"/>
          </w:tcPr>
          <w:p w14:paraId="7C091C21" w14:textId="77777777" w:rsidR="00A81986" w:rsidRDefault="0067390B">
            <w:r>
              <w:rPr>
                <w:rFonts w:ascii="Arial" w:hAnsi="Arial"/>
                <w:sz w:val="18"/>
              </w:rPr>
              <w:t>% of Total Scope 1</w:t>
            </w:r>
          </w:p>
        </w:tc>
        <w:tc>
          <w:tcPr>
            <w:tcW w:w="1505" w:type="dxa"/>
            <w:shd w:val="clear" w:color="auto" w:fill="F2F6FC"/>
          </w:tcPr>
          <w:p w14:paraId="048912BB" w14:textId="77777777" w:rsidR="00A81986" w:rsidRDefault="0067390B">
            <w:pPr>
              <w:jc w:val="right"/>
            </w:pPr>
            <w:r>
              <w:rPr>
                <w:rFonts w:ascii="Arial" w:hAnsi="Arial"/>
                <w:sz w:val="18"/>
              </w:rPr>
              <w:t>32.0%</w:t>
            </w:r>
          </w:p>
        </w:tc>
        <w:tc>
          <w:tcPr>
            <w:tcW w:w="1505" w:type="dxa"/>
            <w:shd w:val="clear" w:color="auto" w:fill="F2F6FC"/>
          </w:tcPr>
          <w:p w14:paraId="19A04369" w14:textId="77777777" w:rsidR="00A81986" w:rsidRDefault="0067390B">
            <w:pPr>
              <w:jc w:val="right"/>
            </w:pPr>
            <w:r>
              <w:rPr>
                <w:rFonts w:ascii="Arial" w:hAnsi="Arial"/>
                <w:sz w:val="18"/>
              </w:rPr>
              <w:t>27.3%</w:t>
            </w:r>
          </w:p>
        </w:tc>
        <w:tc>
          <w:tcPr>
            <w:tcW w:w="1505" w:type="dxa"/>
            <w:shd w:val="clear" w:color="auto" w:fill="F2F6FC"/>
          </w:tcPr>
          <w:p w14:paraId="3446E4D1" w14:textId="77777777" w:rsidR="00A81986" w:rsidRDefault="0067390B">
            <w:pPr>
              <w:jc w:val="right"/>
            </w:pPr>
            <w:r>
              <w:rPr>
                <w:rFonts w:ascii="Arial" w:hAnsi="Arial"/>
                <w:sz w:val="18"/>
              </w:rPr>
              <w:t>34.5%</w:t>
            </w:r>
          </w:p>
        </w:tc>
        <w:tc>
          <w:tcPr>
            <w:tcW w:w="1505" w:type="dxa"/>
            <w:shd w:val="clear" w:color="auto" w:fill="F2F6FC"/>
          </w:tcPr>
          <w:p w14:paraId="1EC4FF51" w14:textId="77777777" w:rsidR="00A81986" w:rsidRDefault="0067390B">
            <w:r>
              <w:rPr>
                <w:rFonts w:ascii="Arial" w:hAnsi="Arial"/>
                <w:sz w:val="18"/>
              </w:rPr>
              <w:t>—</w:t>
            </w:r>
          </w:p>
        </w:tc>
        <w:tc>
          <w:tcPr>
            <w:tcW w:w="1505" w:type="dxa"/>
            <w:shd w:val="clear" w:color="auto" w:fill="F2F6FC"/>
          </w:tcPr>
          <w:p w14:paraId="068394A8" w14:textId="77777777" w:rsidR="00A81986" w:rsidRDefault="0067390B">
            <w:r>
              <w:rPr>
                <w:rFonts w:ascii="Arial" w:hAnsi="Arial"/>
                <w:sz w:val="18"/>
              </w:rPr>
              <w:t>—</w:t>
            </w:r>
          </w:p>
        </w:tc>
      </w:tr>
    </w:tbl>
    <w:p w14:paraId="42997936" w14:textId="77777777" w:rsidR="00A81986" w:rsidRDefault="0067390B">
      <w:r>
        <w:rPr>
          <w:rFonts w:ascii="Arial" w:hAnsi="Arial"/>
          <w:i/>
          <w:sz w:val="16"/>
        </w:rPr>
        <w:t>Source: Source: Facility-level operational data 2024. Data Quality Score: 1 = highest quality (direct measurement). Top 10 facilities represent 32.0% of total Scope 1 emissions.</w:t>
      </w:r>
    </w:p>
    <w:p w14:paraId="14CBED81" w14:textId="77777777" w:rsidR="00A81986" w:rsidRDefault="00A81986"/>
    <w:p w14:paraId="6E63277B" w14:textId="77777777" w:rsidR="00A81986" w:rsidRDefault="0067390B">
      <w:pPr>
        <w:spacing w:after="160"/>
        <w:jc w:val="both"/>
      </w:pPr>
      <w:r>
        <w:rPr>
          <w:rFonts w:ascii="Arial" w:hAnsi="Arial"/>
          <w:i/>
          <w:color w:val="646464"/>
          <w:sz w:val="18"/>
        </w:rPr>
        <w:t>[Chart: Scope 1 Emission Sources (2024) — matplotlib layer not installed]</w:t>
      </w:r>
    </w:p>
    <w:p w14:paraId="6CEE8DAC" w14:textId="77777777" w:rsidR="00A81986" w:rsidRDefault="0067390B">
      <w:pPr>
        <w:spacing w:after="160"/>
        <w:jc w:val="both"/>
      </w:pPr>
      <w:r>
        <w:rPr>
          <w:rFonts w:ascii="Arial" w:hAnsi="Arial"/>
          <w:i/>
          <w:color w:val="646464"/>
          <w:sz w:val="18"/>
        </w:rPr>
        <w:t>[Chart: Year-over-Year Emission Changes by Scope (2023-2024) — matplotlib layer not installed]</w:t>
      </w:r>
    </w:p>
    <w:p w14:paraId="16BDE038" w14:textId="77777777" w:rsidR="00A81986" w:rsidRDefault="0067390B">
      <w:pPr>
        <w:spacing w:after="160"/>
        <w:jc w:val="both"/>
      </w:pPr>
      <w:r>
        <w:rPr>
          <w:rFonts w:ascii="Arial" w:hAnsi="Arial"/>
          <w:i/>
          <w:color w:val="646464"/>
          <w:sz w:val="18"/>
        </w:rPr>
        <w:t>[Chart: Peer Comparison — YoY Emission Change (2023-2024) — matplotlib layer not installed]</w:t>
      </w:r>
    </w:p>
    <w:p w14:paraId="0D4F8B01" w14:textId="77777777" w:rsidR="00A81986" w:rsidRDefault="0067390B">
      <w:pPr>
        <w:spacing w:after="160"/>
        <w:jc w:val="both"/>
      </w:pPr>
      <w:r>
        <w:rPr>
          <w:rFonts w:ascii="Arial" w:hAnsi="Arial"/>
          <w:i/>
          <w:color w:val="646464"/>
          <w:sz w:val="18"/>
        </w:rPr>
        <w:t>[Chart: Top 10 Facilities by Scope 1 Emissions (2024) — matplotlib layer not installed]</w:t>
      </w:r>
    </w:p>
    <w:p w14:paraId="3F9463DB" w14:textId="77777777" w:rsidR="00A81986" w:rsidRDefault="00A81986"/>
    <w:p w14:paraId="3AC78EC4" w14:textId="77777777" w:rsidR="00A81986" w:rsidRDefault="0067390B">
      <w:r>
        <w:rPr>
          <w:b/>
          <w:color w:val="4A7AB5"/>
          <w:sz w:val="24"/>
        </w:rPr>
        <w:t>Diagnostic Analysis</w:t>
      </w:r>
    </w:p>
    <w:p w14:paraId="14BCD69D" w14:textId="77777777" w:rsidR="00A81986" w:rsidRDefault="0067390B">
      <w:pPr>
        <w:spacing w:after="160"/>
        <w:jc w:val="both"/>
      </w:pPr>
      <w:r>
        <w:rPr>
          <w:rFonts w:ascii="Arial" w:hAnsi="Arial"/>
        </w:rPr>
        <w:t>The 2.36% increase in Scope 1 emissions, driven almost entirely by diesel consumption (+3.66%), indicates operational expansion without corresponding efficiency improvements or renewable energy integration. The institution lacks the foundational elements of an emission reduction program: no base year, no quantified targets, no decarbonization levers, and no transition plan. This represents a material disclosure gap under GRI 305-5, IFRS S2, ESRS E1-4, and OJK PSPK. Peer institutions have established compreh</w:t>
      </w:r>
      <w:r>
        <w:rPr>
          <w:rFonts w:ascii="Arial" w:hAnsi="Arial"/>
        </w:rPr>
        <w:t>ensive frameworks: BRI submitted SBTi commitment (net-zero 2050), DBS achieved RE100 membership (62% renewable), and BCA implemented sectoral exclusion lists. The absence of formal targets creates regulatory risk as OJK PSPK mandates climate target disclosure for financial institutions, and CSRD equivalence requirements are anticipated within 24-36 months.</w:t>
      </w:r>
    </w:p>
    <w:p w14:paraId="2B81FD9C" w14:textId="77777777" w:rsidR="00A81986" w:rsidRDefault="0067390B">
      <w:r>
        <w:rPr>
          <w:b/>
        </w:rPr>
        <w:t>Root Causes:</w:t>
      </w:r>
    </w:p>
    <w:p w14:paraId="34EB0278" w14:textId="77777777" w:rsidR="00A81986" w:rsidRDefault="0067390B">
      <w:pPr>
        <w:spacing w:after="160"/>
        <w:jc w:val="both"/>
      </w:pPr>
      <w:r>
        <w:rPr>
          <w:rFonts w:ascii="Arial" w:hAnsi="Arial"/>
        </w:rPr>
        <w:t>• Diesel generator over-reliance: 64.7% of Scope 1 emissions from diesel, driven by grid instability concerns and lack of solar-plus-battery alternatives</w:t>
      </w:r>
    </w:p>
    <w:p w14:paraId="36CA834C" w14:textId="77777777" w:rsidR="00A81986" w:rsidRDefault="0067390B">
      <w:pPr>
        <w:spacing w:after="160"/>
        <w:jc w:val="both"/>
      </w:pPr>
      <w:r>
        <w:rPr>
          <w:rFonts w:ascii="Arial" w:hAnsi="Arial"/>
        </w:rPr>
        <w:t>• Absence of renewable energy procurement: &lt;1% renewable electricity vs peer average 20-30% and DBS best-in-class 62%</w:t>
      </w:r>
    </w:p>
    <w:p w14:paraId="121BBBF3" w14:textId="77777777" w:rsidR="00A81986" w:rsidRDefault="0067390B">
      <w:pPr>
        <w:spacing w:after="160"/>
        <w:jc w:val="both"/>
      </w:pPr>
      <w:r>
        <w:rPr>
          <w:rFonts w:ascii="Arial" w:hAnsi="Arial"/>
        </w:rPr>
        <w:lastRenderedPageBreak/>
        <w:t>• No structured reduction program: Lack of base year, quantified targets, interim milestones, or decarbonization lever identification</w:t>
      </w:r>
    </w:p>
    <w:p w14:paraId="4D061BBD" w14:textId="77777777" w:rsidR="00A81986" w:rsidRDefault="0067390B">
      <w:pPr>
        <w:spacing w:after="160"/>
        <w:jc w:val="both"/>
      </w:pPr>
      <w:r>
        <w:rPr>
          <w:rFonts w:ascii="Arial" w:hAnsi="Arial"/>
        </w:rPr>
        <w:t>• Facility concentration: Top 10 facilities account for 32.0% of Scope 1, but no targeted reduction initiatives deployed</w:t>
      </w:r>
    </w:p>
    <w:p w14:paraId="7E62FFEB" w14:textId="77777777" w:rsidR="00A81986" w:rsidRDefault="0067390B">
      <w:r>
        <w:rPr>
          <w:b/>
        </w:rPr>
        <w:t>Risk Implications:</w:t>
      </w:r>
    </w:p>
    <w:p w14:paraId="3700C78B" w14:textId="77777777" w:rsidR="00A81986" w:rsidRDefault="0067390B">
      <w:pPr>
        <w:spacing w:after="160"/>
        <w:jc w:val="both"/>
      </w:pPr>
      <w:r>
        <w:rPr>
          <w:rFonts w:ascii="Arial" w:hAnsi="Arial"/>
        </w:rPr>
        <w:t>• Regulatory risk: OJK PSPK requires climate target disclosure; non-compliance may result in supervisory action or reputational damage</w:t>
      </w:r>
    </w:p>
    <w:p w14:paraId="33F3EC00" w14:textId="77777777" w:rsidR="00A81986" w:rsidRDefault="0067390B">
      <w:pPr>
        <w:spacing w:after="160"/>
        <w:jc w:val="both"/>
      </w:pPr>
      <w:r>
        <w:rPr>
          <w:rFonts w:ascii="Arial" w:hAnsi="Arial"/>
        </w:rPr>
        <w:t>• Competitive disadvantage: Peers' SBTi commitments and net-zero targets position them favorably for green financing opportunities and ESG-linked funding</w:t>
      </w:r>
    </w:p>
    <w:p w14:paraId="2FB180EF" w14:textId="77777777" w:rsidR="00A81986" w:rsidRDefault="0067390B">
      <w:pPr>
        <w:spacing w:after="160"/>
        <w:jc w:val="both"/>
      </w:pPr>
      <w:r>
        <w:rPr>
          <w:rFonts w:ascii="Arial" w:hAnsi="Arial"/>
        </w:rPr>
        <w:t>• ESG rating impact: Absence of targets likely contributes to lower E-scores in MSCI, Sustainalytics, and CDP assessments, increasing cost of capital</w:t>
      </w:r>
    </w:p>
    <w:p w14:paraId="47AC2EDC" w14:textId="77777777" w:rsidR="00A81986" w:rsidRDefault="0067390B">
      <w:pPr>
        <w:spacing w:after="160"/>
        <w:jc w:val="both"/>
      </w:pPr>
      <w:r>
        <w:rPr>
          <w:rFonts w:ascii="Arial" w:hAnsi="Arial"/>
        </w:rPr>
        <w:t>• Stranded asset risk: Continued diesel dependence exposes institution to fuel price volatility and potential carbon pricing mechanisms</w:t>
      </w:r>
    </w:p>
    <w:p w14:paraId="338E8630" w14:textId="77777777" w:rsidR="00A81986" w:rsidRDefault="00A81986"/>
    <w:p w14:paraId="7DBEB839" w14:textId="77777777" w:rsidR="00A81986" w:rsidRDefault="0067390B">
      <w:r>
        <w:rPr>
          <w:b/>
          <w:color w:val="1B5E20"/>
          <w:sz w:val="24"/>
        </w:rPr>
        <w:t>⚡</w:t>
      </w:r>
      <w:r>
        <w:rPr>
          <w:b/>
          <w:color w:val="1B5E20"/>
          <w:sz w:val="24"/>
        </w:rPr>
        <w:t xml:space="preserve"> Priority Actions</w:t>
      </w:r>
    </w:p>
    <w:p w14:paraId="18AE6C47" w14:textId="77777777" w:rsidR="00A81986" w:rsidRDefault="0067390B">
      <w:r>
        <w:rPr>
          <w:b/>
        </w:rPr>
        <w:t>🔴</w:t>
      </w:r>
      <w:r>
        <w:rPr>
          <w:b/>
        </w:rPr>
        <w:t xml:space="preserve"> 1. Submit SBTi commitment letter and establish net-zero 2050 target with 30% interim reduction by 2030 (Scope 1+2 vs 2024 baseline)</w:t>
      </w:r>
      <w:r>
        <w:t xml:space="preserve"> (Q3 2025)</w:t>
      </w:r>
    </w:p>
    <w:p w14:paraId="767CA626" w14:textId="77777777" w:rsidR="00A81986" w:rsidRDefault="0067390B">
      <w:pPr>
        <w:spacing w:after="160"/>
        <w:jc w:val="both"/>
      </w:pPr>
      <w:r>
        <w:rPr>
          <w:rFonts w:ascii="Arial" w:hAnsi="Arial"/>
        </w:rPr>
        <w:t xml:space="preserve">    → Expected: Addresses disclosure gaps across GRI 305-5, IFRS S2, ESRS E1-4, OJK PSPK; positions institution competitively for green financing</w:t>
      </w:r>
    </w:p>
    <w:p w14:paraId="26FEEF26" w14:textId="77777777" w:rsidR="00A81986" w:rsidRDefault="0067390B">
      <w:pPr>
        <w:spacing w:after="160"/>
        <w:jc w:val="both"/>
      </w:pPr>
      <w:r>
        <w:rPr>
          <w:rFonts w:ascii="Arial" w:hAnsi="Arial"/>
          <w:i/>
          <w:color w:val="646464"/>
          <w:sz w:val="18"/>
        </w:rPr>
        <w:t xml:space="preserve">    → Ref: BRI — first Indonesian FI to submit SBTi commitment, targeting net-zero 2050 with sectoral decarbonization pathways</w:t>
      </w:r>
    </w:p>
    <w:p w14:paraId="1D295BA6" w14:textId="77777777" w:rsidR="00A81986" w:rsidRDefault="0067390B">
      <w:r>
        <w:rPr>
          <w:b/>
        </w:rPr>
        <w:t>🔴</w:t>
      </w:r>
      <w:r>
        <w:rPr>
          <w:b/>
        </w:rPr>
        <w:t xml:space="preserve"> 2. Install solar-plus-battery systems at top 10 diesel-dependent facilities (FAC-0197 through FAC-0208), targeting 60-70% diesel displacement</w:t>
      </w:r>
      <w:r>
        <w:t xml:space="preserve"> (Q2 2025 pilot; Q4 2025 full rollout)</w:t>
      </w:r>
    </w:p>
    <w:p w14:paraId="56ADB6C9" w14:textId="77777777" w:rsidR="00A81986" w:rsidRDefault="0067390B">
      <w:pPr>
        <w:spacing w:after="160"/>
        <w:jc w:val="both"/>
      </w:pPr>
      <w:r>
        <w:rPr>
          <w:rFonts w:ascii="Arial" w:hAnsi="Arial"/>
        </w:rPr>
        <w:t xml:space="preserve">    → Expected: 1,322-1,542 tCO₂e annual reduction (38.8-45.3% of Scope 1); payback period 4-6 years</w:t>
      </w:r>
    </w:p>
    <w:p w14:paraId="614A21CC" w14:textId="77777777" w:rsidR="00A81986" w:rsidRDefault="0067390B">
      <w:pPr>
        <w:spacing w:after="160"/>
        <w:jc w:val="both"/>
      </w:pPr>
      <w:r>
        <w:rPr>
          <w:rFonts w:ascii="Arial" w:hAnsi="Arial"/>
          <w:i/>
          <w:color w:val="646464"/>
          <w:sz w:val="18"/>
        </w:rPr>
        <w:t xml:space="preserve">    → Ref: BRI Green Network — solar installation at BRILiaN Tower achieved 19.49% electricity savings</w:t>
      </w:r>
    </w:p>
    <w:p w14:paraId="73FF74B6" w14:textId="77777777" w:rsidR="00A81986" w:rsidRDefault="0067390B">
      <w:r>
        <w:rPr>
          <w:b/>
        </w:rPr>
        <w:t>🔴</w:t>
      </w:r>
      <w:r>
        <w:rPr>
          <w:b/>
        </w:rPr>
        <w:t xml:space="preserve"> 3. Deploy automated shutdown systems (HVAC, lighting, IT) across all facilities using BMS integration</w:t>
      </w:r>
      <w:r>
        <w:t xml:space="preserve"> (Q2 2025 pilot; Q4 2025 full rollout)</w:t>
      </w:r>
    </w:p>
    <w:p w14:paraId="2A2D4FA6" w14:textId="77777777" w:rsidR="00A81986" w:rsidRDefault="0067390B">
      <w:pPr>
        <w:spacing w:after="160"/>
        <w:jc w:val="both"/>
      </w:pPr>
      <w:r>
        <w:rPr>
          <w:rFonts w:ascii="Arial" w:hAnsi="Arial"/>
        </w:rPr>
        <w:t xml:space="preserve">    → Expected: 1,338-2,231 tCO₂e annual reduction (3-5% of Scope 2); payback period &lt;2 years</w:t>
      </w:r>
    </w:p>
    <w:p w14:paraId="27554B94" w14:textId="77777777" w:rsidR="00A81986" w:rsidRDefault="0067390B">
      <w:pPr>
        <w:spacing w:after="160"/>
        <w:jc w:val="both"/>
      </w:pPr>
      <w:r>
        <w:rPr>
          <w:rFonts w:ascii="Arial" w:hAnsi="Arial"/>
          <w:i/>
          <w:color w:val="646464"/>
          <w:sz w:val="18"/>
        </w:rPr>
        <w:t xml:space="preserve">    → Ref: BRI Kaseya program — automated energy management contributed to 3.2% YoY emission reduction</w:t>
      </w:r>
    </w:p>
    <w:p w14:paraId="0E41300E" w14:textId="77777777" w:rsidR="00A81986" w:rsidRDefault="0067390B">
      <w:r>
        <w:rPr>
          <w:b/>
        </w:rPr>
        <w:t>🟡</w:t>
      </w:r>
      <w:r>
        <w:rPr>
          <w:b/>
        </w:rPr>
        <w:t xml:space="preserve"> 4. Establish renewable energy procurement strategy through VPPAs, targeting 30% renewable electricity by 2027 and RE100 commitment by 2035</w:t>
      </w:r>
      <w:r>
        <w:t xml:space="preserve"> (Q4 2025 market assessment; Q2 2026 first VPPA)</w:t>
      </w:r>
    </w:p>
    <w:p w14:paraId="75DD40E8" w14:textId="77777777" w:rsidR="00A81986" w:rsidRDefault="0067390B">
      <w:pPr>
        <w:spacing w:after="160"/>
        <w:jc w:val="both"/>
      </w:pPr>
      <w:r>
        <w:rPr>
          <w:rFonts w:ascii="Arial" w:hAnsi="Arial"/>
        </w:rPr>
        <w:lastRenderedPageBreak/>
        <w:t xml:space="preserve">    → Expected: 13,384 tCO₂e reduction by 2027 (30% of Scope 2); 44,614 tCO₂e by 2035 (100% of Scope 2)</w:t>
      </w:r>
    </w:p>
    <w:p w14:paraId="440FEA7C" w14:textId="77777777" w:rsidR="00A81986" w:rsidRDefault="0067390B">
      <w:pPr>
        <w:spacing w:after="160"/>
        <w:jc w:val="both"/>
      </w:pPr>
      <w:r>
        <w:rPr>
          <w:rFonts w:ascii="Arial" w:hAnsi="Arial"/>
          <w:i/>
          <w:color w:val="646464"/>
          <w:sz w:val="18"/>
        </w:rPr>
        <w:t xml:space="preserve">    → Ref: DBS — achieved 62% renewable energy through RE100 commitment, contributing to 12% YoY emission reduction</w:t>
      </w:r>
    </w:p>
    <w:p w14:paraId="31A36799" w14:textId="77777777" w:rsidR="00A81986" w:rsidRDefault="00A81986"/>
    <w:p w14:paraId="64CA162C" w14:textId="77777777" w:rsidR="00A81986" w:rsidRDefault="0067390B">
      <w:r>
        <w:rPr>
          <w:i/>
          <w:color w:val="3D6094"/>
          <w:sz w:val="18"/>
        </w:rPr>
        <w:t>Framework references: GRI 305-5a — GHG emissions reductions; GRI 305-5b — Gases included in calculation; GRI 305-5c — Base year or baseline; GRI 305-5d — Scopes in which reductions took place; GRI 305-5e — Standards, methodologies, assumptions; IFRS S2 Para 33 — Climate-related targets; IFRS S2 Para 34 — Metrics used to set and monitor targets; IFRS S2 Para 36 — Information about transition plan; ESRS E1-4 DR E1-4 — GHG emission reduction targets; ESRS E1-4 — Decarbonization levers; OJK PSPK — Target Pengur</w:t>
      </w:r>
      <w:r>
        <w:rPr>
          <w:i/>
          <w:color w:val="3D6094"/>
          <w:sz w:val="18"/>
        </w:rPr>
        <w:t>angan Emisi GRK</w:t>
      </w:r>
    </w:p>
    <w:p w14:paraId="37C17BAA" w14:textId="77777777" w:rsidR="00A81986" w:rsidRDefault="00A81986">
      <w:pPr>
        <w:pBdr>
          <w:bottom w:val="single" w:sz="6" w:space="1" w:color="999999"/>
        </w:pBdr>
        <w:spacing w:after="80"/>
      </w:pPr>
    </w:p>
    <w:p w14:paraId="14B1EEE5" w14:textId="77777777" w:rsidR="00A81986" w:rsidRDefault="0067390B">
      <w:pPr>
        <w:spacing w:after="160"/>
        <w:jc w:val="both"/>
      </w:pPr>
      <w:r>
        <w:rPr>
          <w:rFonts w:ascii="Arial" w:hAnsi="Arial"/>
          <w:i/>
          <w:color w:val="646464"/>
          <w:sz w:val="18"/>
        </w:rPr>
        <w:t>These figures have not been subject to external assurance for the current reporting period.</w:t>
      </w:r>
    </w:p>
    <w:p w14:paraId="09267B45" w14:textId="77777777" w:rsidR="00A81986" w:rsidRDefault="0067390B">
      <w:pPr>
        <w:spacing w:after="160"/>
        <w:jc w:val="both"/>
      </w:pPr>
      <w:r>
        <w:rPr>
          <w:rFonts w:ascii="Arial" w:hAnsi="Arial"/>
          <w:i/>
          <w:color w:val="646464"/>
          <w:sz w:val="18"/>
        </w:rPr>
        <w:t>Year-over-year change calculated as: (2024 emissions - 2023 emissions) / 2023 emissions × 100.</w:t>
      </w:r>
    </w:p>
    <w:p w14:paraId="2453C2C3" w14:textId="77777777" w:rsidR="00A81986" w:rsidRDefault="0067390B">
      <w:pPr>
        <w:spacing w:after="160"/>
        <w:jc w:val="both"/>
      </w:pPr>
      <w:r>
        <w:rPr>
          <w:rFonts w:ascii="Arial" w:hAnsi="Arial"/>
          <w:i/>
          <w:color w:val="646464"/>
          <w:sz w:val="18"/>
        </w:rPr>
        <w:t>Scope 1 includes CO₂, CH₄, and N₂O from stationary combustion using IPCC 2006 emission factors.</w:t>
      </w:r>
    </w:p>
    <w:p w14:paraId="3C636B43" w14:textId="77777777" w:rsidR="00A81986" w:rsidRDefault="0067390B">
      <w:pPr>
        <w:spacing w:after="160"/>
        <w:jc w:val="both"/>
      </w:pPr>
      <w:r>
        <w:rPr>
          <w:rFonts w:ascii="Arial" w:hAnsi="Arial"/>
          <w:i/>
          <w:color w:val="646464"/>
          <w:sz w:val="18"/>
        </w:rPr>
        <w:t>Scope 2 location-based method uses Indonesia grid emission factors: 0.85 tCO₂e/MWh (Java-Bali), 0.92 tCO₂e/MWh (outer islands).</w:t>
      </w:r>
    </w:p>
    <w:p w14:paraId="4D16BA90" w14:textId="77777777" w:rsidR="00A81986" w:rsidRDefault="0067390B">
      <w:pPr>
        <w:spacing w:after="160"/>
        <w:jc w:val="both"/>
      </w:pPr>
      <w:r>
        <w:rPr>
          <w:rFonts w:ascii="Arial" w:hAnsi="Arial"/>
          <w:i/>
          <w:color w:val="646464"/>
          <w:sz w:val="18"/>
        </w:rPr>
        <w:t>Market-based Scope 2 aligns with location-based due to absence of renewable energy procurement contracts.</w:t>
      </w:r>
    </w:p>
    <w:p w14:paraId="7BFFFC40" w14:textId="77777777" w:rsidR="00A81986" w:rsidRDefault="0067390B">
      <w:pPr>
        <w:spacing w:after="160"/>
        <w:jc w:val="both"/>
      </w:pPr>
      <w:r>
        <w:rPr>
          <w:rFonts w:ascii="Arial" w:hAnsi="Arial"/>
          <w:i/>
          <w:color w:val="646464"/>
          <w:sz w:val="18"/>
        </w:rPr>
        <w:t>Intensity metrics use full-time equivalent (FTE) employee counts: 24,997 FTE in 2024, 24,500 FTE in 2023.</w:t>
      </w:r>
    </w:p>
    <w:p w14:paraId="267D3091" w14:textId="77777777" w:rsidR="00A81986" w:rsidRDefault="0067390B">
      <w:pPr>
        <w:spacing w:after="160"/>
        <w:jc w:val="both"/>
      </w:pPr>
      <w:r>
        <w:rPr>
          <w:rFonts w:ascii="Arial" w:hAnsi="Arial"/>
          <w:i/>
          <w:color w:val="646464"/>
          <w:sz w:val="18"/>
        </w:rPr>
        <w:t>Peer benchmark data sourced from publicly available sustainability reports: BRI (2023), BCA (2024), DBS (2023), Bank Mandiri (2023).</w:t>
      </w:r>
    </w:p>
    <w:p w14:paraId="2BBCF455" w14:textId="77777777" w:rsidR="00A81986" w:rsidRDefault="0067390B">
      <w:pPr>
        <w:spacing w:after="160"/>
        <w:jc w:val="both"/>
      </w:pPr>
      <w:r>
        <w:rPr>
          <w:rFonts w:ascii="Arial" w:hAnsi="Arial"/>
          <w:i/>
          <w:color w:val="646464"/>
          <w:sz w:val="18"/>
        </w:rPr>
        <w:t>Data Quality Score: 1 = highest quality (direct measurement), 4 = lowest quality (estimated).</w:t>
      </w:r>
    </w:p>
    <w:p w14:paraId="0AF62990" w14:textId="77777777" w:rsidR="00A81986" w:rsidRDefault="0067390B">
      <w:r>
        <w:br w:type="page"/>
      </w:r>
    </w:p>
    <w:p w14:paraId="20A53422" w14:textId="77777777" w:rsidR="00A81986" w:rsidRDefault="0067390B">
      <w:pPr>
        <w:pStyle w:val="Heading1"/>
        <w:spacing w:after="240"/>
      </w:pPr>
      <w:bookmarkStart w:id="10" w:name="_Toc232003731"/>
      <w:r>
        <w:rPr>
          <w:rFonts w:ascii="Arial" w:hAnsi="Arial"/>
          <w:color w:val="1B3A6B"/>
          <w:sz w:val="36"/>
        </w:rPr>
        <w:lastRenderedPageBreak/>
        <w:t>Social Performance</w:t>
      </w:r>
      <w:bookmarkEnd w:id="10"/>
    </w:p>
    <w:p w14:paraId="7CCDC661" w14:textId="77777777" w:rsidR="00A81986" w:rsidRDefault="0067390B">
      <w:pPr>
        <w:pStyle w:val="Heading2"/>
        <w:spacing w:before="360" w:after="160"/>
      </w:pPr>
      <w:bookmarkStart w:id="11" w:name="_Toc232003732"/>
      <w:r>
        <w:rPr>
          <w:rFonts w:ascii="Arial" w:hAnsi="Arial"/>
          <w:color w:val="3D6094"/>
          <w:sz w:val="28"/>
        </w:rPr>
        <w:t>2.1 Workforce &amp; Human Capital</w:t>
      </w:r>
      <w:bookmarkEnd w:id="11"/>
    </w:p>
    <w:tbl>
      <w:tblPr>
        <w:tblW w:w="0" w:type="auto"/>
        <w:jc w:val="center"/>
        <w:tblLook w:val="04A0" w:firstRow="1" w:lastRow="0" w:firstColumn="1" w:lastColumn="0" w:noHBand="0" w:noVBand="1"/>
      </w:tblPr>
      <w:tblGrid>
        <w:gridCol w:w="2257"/>
        <w:gridCol w:w="2257"/>
        <w:gridCol w:w="2257"/>
        <w:gridCol w:w="2257"/>
      </w:tblGrid>
      <w:tr w:rsidR="00A81986" w14:paraId="5CCED133" w14:textId="77777777">
        <w:trPr>
          <w:jc w:val="center"/>
        </w:trPr>
        <w:tc>
          <w:tcPr>
            <w:tcW w:w="2257" w:type="dxa"/>
          </w:tcPr>
          <w:p w14:paraId="7D4062C2" w14:textId="77777777" w:rsidR="00A81986" w:rsidRDefault="0067390B">
            <w:pPr>
              <w:jc w:val="center"/>
            </w:pPr>
            <w:r>
              <w:rPr>
                <w:b/>
                <w:color w:val="1B3A6B"/>
                <w:sz w:val="40"/>
              </w:rPr>
              <w:t>8.45%</w:t>
            </w:r>
            <w:r>
              <w:rPr>
                <w:sz w:val="18"/>
              </w:rPr>
              <w:t xml:space="preserve"> %</w:t>
            </w:r>
            <w:r>
              <w:rPr>
                <w:b/>
                <w:color w:val="4CAF50"/>
                <w:sz w:val="20"/>
              </w:rPr>
              <w:br/>
              <w:t>-40.66% YoY</w:t>
            </w:r>
          </w:p>
        </w:tc>
        <w:tc>
          <w:tcPr>
            <w:tcW w:w="2257" w:type="dxa"/>
          </w:tcPr>
          <w:p w14:paraId="2A199F7E" w14:textId="77777777" w:rsidR="00A81986" w:rsidRDefault="0067390B">
            <w:pPr>
              <w:jc w:val="center"/>
            </w:pPr>
            <w:r>
              <w:rPr>
                <w:b/>
                <w:color w:val="1B3A6B"/>
                <w:sz w:val="40"/>
              </w:rPr>
              <w:t>49.3</w:t>
            </w:r>
            <w:r>
              <w:rPr>
                <w:sz w:val="18"/>
              </w:rPr>
              <w:t xml:space="preserve"> hours</w:t>
            </w:r>
            <w:r>
              <w:rPr>
                <w:b/>
                <w:color w:val="F44336"/>
                <w:sz w:val="20"/>
              </w:rPr>
              <w:br/>
              <w:t>-23.14% YoY (below peer avg 62 hrs)</w:t>
            </w:r>
          </w:p>
        </w:tc>
        <w:tc>
          <w:tcPr>
            <w:tcW w:w="2257" w:type="dxa"/>
          </w:tcPr>
          <w:p w14:paraId="340877B8" w14:textId="77777777" w:rsidR="00A81986" w:rsidRDefault="0067390B">
            <w:pPr>
              <w:jc w:val="center"/>
            </w:pPr>
            <w:r>
              <w:rPr>
                <w:b/>
                <w:color w:val="1B3A6B"/>
                <w:sz w:val="40"/>
              </w:rPr>
              <w:t>26.67%</w:t>
            </w:r>
            <w:r>
              <w:rPr>
                <w:sz w:val="18"/>
              </w:rPr>
              <w:t xml:space="preserve"> %</w:t>
            </w:r>
            <w:r>
              <w:rPr>
                <w:b/>
                <w:color w:val="F44336"/>
                <w:sz w:val="20"/>
              </w:rPr>
              <w:br/>
              <w:t>-1.78pp YoY (vs BCA 61.6%)</w:t>
            </w:r>
          </w:p>
        </w:tc>
        <w:tc>
          <w:tcPr>
            <w:tcW w:w="2257" w:type="dxa"/>
          </w:tcPr>
          <w:p w14:paraId="43E5AA9B" w14:textId="77777777" w:rsidR="00A81986" w:rsidRDefault="0067390B">
            <w:pPr>
              <w:jc w:val="center"/>
            </w:pPr>
            <w:r>
              <w:rPr>
                <w:b/>
                <w:color w:val="1B3A6B"/>
                <w:sz w:val="40"/>
              </w:rPr>
              <w:t>24,997</w:t>
            </w:r>
            <w:r>
              <w:rPr>
                <w:sz w:val="18"/>
              </w:rPr>
              <w:t xml:space="preserve"> FTE</w:t>
            </w:r>
            <w:r>
              <w:rPr>
                <w:b/>
                <w:color w:val="F44336"/>
                <w:sz w:val="20"/>
              </w:rPr>
              <w:br/>
              <w:t>+2.03% YoY</w:t>
            </w:r>
          </w:p>
        </w:tc>
      </w:tr>
      <w:tr w:rsidR="00A81986" w14:paraId="37989E1A" w14:textId="77777777">
        <w:trPr>
          <w:jc w:val="center"/>
        </w:trPr>
        <w:tc>
          <w:tcPr>
            <w:tcW w:w="2257" w:type="dxa"/>
          </w:tcPr>
          <w:p w14:paraId="053C8A04" w14:textId="77777777" w:rsidR="00A81986" w:rsidRDefault="0067390B">
            <w:pPr>
              <w:jc w:val="center"/>
            </w:pPr>
            <w:r>
              <w:rPr>
                <w:color w:val="646464"/>
                <w:sz w:val="18"/>
              </w:rPr>
              <w:t>Voluntary Turnover</w:t>
            </w:r>
          </w:p>
        </w:tc>
        <w:tc>
          <w:tcPr>
            <w:tcW w:w="2257" w:type="dxa"/>
          </w:tcPr>
          <w:p w14:paraId="7E8771EC" w14:textId="77777777" w:rsidR="00A81986" w:rsidRDefault="0067390B">
            <w:pPr>
              <w:jc w:val="center"/>
            </w:pPr>
            <w:r>
              <w:rPr>
                <w:color w:val="646464"/>
                <w:sz w:val="18"/>
              </w:rPr>
              <w:t>Training Hours per FTE</w:t>
            </w:r>
          </w:p>
        </w:tc>
        <w:tc>
          <w:tcPr>
            <w:tcW w:w="2257" w:type="dxa"/>
          </w:tcPr>
          <w:p w14:paraId="2D2A6CF6" w14:textId="77777777" w:rsidR="00A81986" w:rsidRDefault="0067390B">
            <w:pPr>
              <w:jc w:val="center"/>
            </w:pPr>
            <w:r>
              <w:rPr>
                <w:color w:val="646464"/>
                <w:sz w:val="18"/>
              </w:rPr>
              <w:t>Female Management</w:t>
            </w:r>
          </w:p>
        </w:tc>
        <w:tc>
          <w:tcPr>
            <w:tcW w:w="2257" w:type="dxa"/>
          </w:tcPr>
          <w:p w14:paraId="4FA2E784" w14:textId="77777777" w:rsidR="00A81986" w:rsidRDefault="0067390B">
            <w:pPr>
              <w:jc w:val="center"/>
            </w:pPr>
            <w:r>
              <w:rPr>
                <w:color w:val="646464"/>
                <w:sz w:val="18"/>
              </w:rPr>
              <w:t>Workforce Growth</w:t>
            </w:r>
          </w:p>
        </w:tc>
      </w:tr>
    </w:tbl>
    <w:p w14:paraId="74F61B8A" w14:textId="77777777" w:rsidR="00A81986" w:rsidRDefault="00A81986"/>
    <w:tbl>
      <w:tblPr>
        <w:tblW w:w="0" w:type="auto"/>
        <w:jc w:val="center"/>
        <w:tblLook w:val="04A0" w:firstRow="1" w:lastRow="0" w:firstColumn="1" w:lastColumn="0" w:noHBand="0" w:noVBand="1"/>
      </w:tblPr>
      <w:tblGrid>
        <w:gridCol w:w="9029"/>
      </w:tblGrid>
      <w:tr w:rsidR="00A81986" w14:paraId="6E3BC053" w14:textId="77777777">
        <w:trPr>
          <w:jc w:val="center"/>
        </w:trPr>
        <w:tc>
          <w:tcPr>
            <w:tcW w:w="9029" w:type="dxa"/>
            <w:shd w:val="clear" w:color="auto" w:fill="FFF3E0"/>
          </w:tcPr>
          <w:p w14:paraId="208B8402" w14:textId="77777777" w:rsidR="00A81986" w:rsidRDefault="0067390B">
            <w:r>
              <w:rPr>
                <w:b/>
                <w:sz w:val="18"/>
              </w:rPr>
              <w:t>⚠</w:t>
            </w:r>
            <w:r>
              <w:rPr>
                <w:b/>
                <w:sz w:val="18"/>
              </w:rPr>
              <w:t>️</w:t>
            </w:r>
            <w:r>
              <w:rPr>
                <w:b/>
                <w:sz w:val="18"/>
              </w:rPr>
              <w:t xml:space="preserve"> KEY INSIGHT</w:t>
            </w:r>
          </w:p>
          <w:p w14:paraId="2353F268" w14:textId="77777777" w:rsidR="00A81986" w:rsidRDefault="0067390B">
            <w:r>
              <w:rPr>
                <w:b/>
              </w:rPr>
              <w:t>Training hours 21% below peer average (49.3 vs 62 hrs) while turnover improved 41% YoY—retention strength masks development gap</w:t>
            </w:r>
          </w:p>
          <w:p w14:paraId="668743AA" w14:textId="77777777" w:rsidR="00A81986" w:rsidRDefault="0067390B">
            <w:r>
              <w:rPr>
                <w:sz w:val="20"/>
              </w:rPr>
              <w:t>The institution achieved significant voluntary turnover reduction (8.45% vs 14.24% prior year), indicating effective retention strategies. However, training investment declined 23% to 49.3 hours per FTE, falling below BRI (62.4 hrs) and OCBC (62.6 hrs) benchmarks. Female management representation decreased 1.78pp to 26.67%, significantly trailing BCA (61.6%) and DBS (38%). This creates workforce capability and diversity risks as the institution scales operations.</w:t>
            </w:r>
          </w:p>
        </w:tc>
      </w:tr>
    </w:tbl>
    <w:p w14:paraId="054E1BC1" w14:textId="77777777" w:rsidR="00A81986" w:rsidRDefault="00A81986"/>
    <w:p w14:paraId="208B684C" w14:textId="77777777" w:rsidR="00A81986" w:rsidRDefault="0067390B">
      <w:pPr>
        <w:pStyle w:val="Heading3"/>
      </w:pPr>
      <w:bookmarkStart w:id="12" w:name="_Toc232003733"/>
      <w:r>
        <w:rPr>
          <w:rFonts w:ascii="Arial" w:hAnsi="Arial"/>
          <w:color w:val="4A7AB5"/>
          <w:sz w:val="24"/>
        </w:rPr>
        <w:t>2.1.1 Workforce Overview (GRI 2-7)</w:t>
      </w:r>
      <w:r>
        <w:rPr>
          <w:rFonts w:ascii="Arial" w:hAnsi="Arial"/>
          <w:color w:val="4A7AB5"/>
          <w:sz w:val="24"/>
        </w:rPr>
        <w:br/>
      </w:r>
      <w:r>
        <w:rPr>
          <w:rFonts w:ascii="Arial" w:hAnsi="Arial"/>
          <w:color w:val="4A7AB5"/>
          <w:sz w:val="24"/>
        </w:rPr>
        <w:br/>
      </w:r>
      <w:r>
        <w:rPr>
          <w:rFonts w:ascii="Arial" w:hAnsi="Arial"/>
          <w:color w:val="4A7AB5"/>
          <w:sz w:val="24"/>
        </w:rPr>
        <w:t>As of December 31, 2024, the institution employed 24,997 full-time equivalent (FTE) employees, representing a 2.03% increase from 24,500 FTEs in 2023. The workforce comprised 10,579 female employees (42.32%) and 14,418 male employees (57.68%). This headcount growth reflects the institution's continued expansion of operations and service delivery capacity across its branch network and digital banking infrastructure.</w:t>
      </w:r>
      <w:bookmarkEnd w:id="12"/>
    </w:p>
    <w:p w14:paraId="1F2CF365" w14:textId="77777777" w:rsidR="00A81986" w:rsidRDefault="0067390B">
      <w:pPr>
        <w:spacing w:after="160"/>
        <w:jc w:val="both"/>
      </w:pPr>
      <w:r>
        <w:rPr>
          <w:rFonts w:ascii="Arial" w:hAnsi="Arial"/>
        </w:rPr>
        <w:t>The year-over-year increase of 497 FTEs was driven primarily by strategic hiring in technology, risk management, and customer service functions to support digital transformation initiatives and regulatory compliance requirements. The gender composition shifted by 3.88 percentage points toward male representation compared to 2023, when female employees constituted 46.2% of the workforce.</w:t>
      </w:r>
    </w:p>
    <w:p w14:paraId="1A821D9F" w14:textId="77777777" w:rsidR="00A81986" w:rsidRDefault="0067390B">
      <w:pPr>
        <w:pStyle w:val="Heading3"/>
      </w:pPr>
      <w:bookmarkStart w:id="13" w:name="_Toc232003734"/>
      <w:r>
        <w:rPr>
          <w:rFonts w:ascii="Arial" w:hAnsi="Arial"/>
          <w:color w:val="4A7AB5"/>
          <w:sz w:val="24"/>
        </w:rPr>
        <w:lastRenderedPageBreak/>
        <w:t>2.1.2 Employment (GRI 401-1)</w:t>
      </w:r>
      <w:r>
        <w:rPr>
          <w:rFonts w:ascii="Arial" w:hAnsi="Arial"/>
          <w:color w:val="4A7AB5"/>
          <w:sz w:val="24"/>
        </w:rPr>
        <w:br/>
      </w:r>
      <w:r>
        <w:rPr>
          <w:rFonts w:ascii="Arial" w:hAnsi="Arial"/>
          <w:color w:val="4A7AB5"/>
          <w:sz w:val="24"/>
        </w:rPr>
        <w:br/>
        <w:t>During 2024, the institution hired 2,595 new employees, representing a hiring rate of 10.38% relative to total headcount. This compares to 3,169 new hires (12.93% hiring rate) in 2023. The voluntary turnover rate improved significantly to 8.45% in 2024, down from 14.24% in 2023—a 40.66% year-over-year reduction in turnover rate. This improvement reflects enhanced employee retention strategies, including competitive remuneration adjustments, expanded career development programs, and improved work-life bala</w:t>
      </w:r>
      <w:r>
        <w:rPr>
          <w:rFonts w:ascii="Arial" w:hAnsi="Arial"/>
          <w:color w:val="4A7AB5"/>
          <w:sz w:val="24"/>
        </w:rPr>
        <w:t>nce initiatives implemented during the reporting period.</w:t>
      </w:r>
      <w:bookmarkEnd w:id="13"/>
    </w:p>
    <w:p w14:paraId="0CB70B85" w14:textId="77777777" w:rsidR="00A81986" w:rsidRDefault="0067390B">
      <w:pPr>
        <w:spacing w:after="160"/>
        <w:jc w:val="both"/>
      </w:pPr>
      <w:r>
        <w:rPr>
          <w:rFonts w:ascii="Arial" w:hAnsi="Arial"/>
        </w:rPr>
        <w:t>The reduction in voluntary turnover represents a positive trend in workforce stability, reducing recruitment and onboarding costs while preserving institutional knowledge. The lower hiring rate in 2024 compared to 2023 indicates a shift toward retention-focused human capital management rather than replacement-driven recruitment.</w:t>
      </w:r>
    </w:p>
    <w:p w14:paraId="6541ADFA" w14:textId="77777777" w:rsidR="00A81986" w:rsidRDefault="0067390B">
      <w:pPr>
        <w:pStyle w:val="Heading3"/>
      </w:pPr>
      <w:bookmarkStart w:id="14" w:name="_Toc232003735"/>
      <w:r>
        <w:rPr>
          <w:rFonts w:ascii="Arial" w:hAnsi="Arial"/>
          <w:color w:val="4A7AB5"/>
          <w:sz w:val="24"/>
        </w:rPr>
        <w:t>2.1.3 Training &amp; Education (GRI 404-1)</w:t>
      </w:r>
      <w:r>
        <w:rPr>
          <w:rFonts w:ascii="Arial" w:hAnsi="Arial"/>
          <w:color w:val="4A7AB5"/>
          <w:sz w:val="24"/>
        </w:rPr>
        <w:br/>
      </w:r>
      <w:r>
        <w:rPr>
          <w:rFonts w:ascii="Arial" w:hAnsi="Arial"/>
          <w:color w:val="4A7AB5"/>
          <w:sz w:val="24"/>
        </w:rPr>
        <w:br/>
        <w:t>The institution provided an average of 49.3 training hours per FTE during 2024, compared to 64.14 hours per FTE in 2023—a 23.14% year-over-year decrease. Total training investment across the workforce amounted to approximately 1,232,282 training hours (24,997 FTEs × 49.3 hours). Training programs covered technical skills development, regulatory compliance, risk management, customer service excellence, and leadership development.</w:t>
      </w:r>
      <w:bookmarkEnd w:id="14"/>
    </w:p>
    <w:p w14:paraId="23BC46A9" w14:textId="77777777" w:rsidR="00A81986" w:rsidRDefault="0067390B">
      <w:pPr>
        <w:spacing w:after="160"/>
        <w:jc w:val="both"/>
      </w:pPr>
      <w:r>
        <w:rPr>
          <w:rFonts w:ascii="Arial" w:hAnsi="Arial"/>
        </w:rPr>
        <w:t>The decline in training hours per employee reflects a strategic shift toward more targeted, efficiency-focused learning interventions rather than volume-based training delivery. The institution prioritized high-impact digital learning modules and role-specific competency development over generalized training programs. However, this reduction places the institution below peer benchmarks in the Indonesian banking sector, where leading institutions such as BRI delivered 62.4 hours per employee and OCBC Indones</w:t>
      </w:r>
      <w:r>
        <w:rPr>
          <w:rFonts w:ascii="Arial" w:hAnsi="Arial"/>
        </w:rPr>
        <w:t>ia achieved 62.6 hours per employee in their respective reporting periods.</w:t>
      </w:r>
    </w:p>
    <w:p w14:paraId="08EF7805" w14:textId="77777777" w:rsidR="00A81986" w:rsidRDefault="0067390B">
      <w:pPr>
        <w:pStyle w:val="Heading3"/>
      </w:pPr>
      <w:bookmarkStart w:id="15" w:name="_Toc232003736"/>
      <w:r>
        <w:rPr>
          <w:rFonts w:ascii="Arial" w:hAnsi="Arial"/>
          <w:color w:val="4A7AB5"/>
          <w:sz w:val="24"/>
        </w:rPr>
        <w:t>2.1.4 Diversity &amp; Equal Opportunity (GRI 405-1)</w:t>
      </w:r>
      <w:r>
        <w:rPr>
          <w:rFonts w:ascii="Arial" w:hAnsi="Arial"/>
          <w:color w:val="4A7AB5"/>
          <w:sz w:val="24"/>
        </w:rPr>
        <w:br/>
      </w:r>
      <w:r>
        <w:rPr>
          <w:rFonts w:ascii="Arial" w:hAnsi="Arial"/>
          <w:color w:val="4A7AB5"/>
          <w:sz w:val="24"/>
        </w:rPr>
        <w:br/>
        <w:t>Female representation in management positions stood at 26.67% as of December 31, 2024, compared to 28.45% in 2023—a decrease of 1.78 percentage points. Overall female workforce representation decreased from 46.2% in 2023 to 42.32% in 2024, a decline of 3.88 percentage points. These trends indicate challenges in maintaining gender diversity momentum, particularly in leadership pipeline development.</w:t>
      </w:r>
      <w:bookmarkEnd w:id="15"/>
    </w:p>
    <w:p w14:paraId="65DC1B40" w14:textId="77777777" w:rsidR="00A81986" w:rsidRDefault="0067390B">
      <w:pPr>
        <w:spacing w:after="160"/>
        <w:jc w:val="both"/>
      </w:pPr>
      <w:r>
        <w:rPr>
          <w:rFonts w:ascii="Arial" w:hAnsi="Arial"/>
        </w:rPr>
        <w:t>The institution's female management representation of 26.67% falls significantly below peer benchmarks in the Indonesian and regional banking sector. BCA achieved 61.6% female representation in management positions, while DBS Group reported 38% female representation in management with a gender pay ratio of 1:0.99 (male:female). The institution has not yet disclosed gender pay equity metrics, representing a gap in transparency relative to leading regional peers.</w:t>
      </w:r>
    </w:p>
    <w:p w14:paraId="480E525F" w14:textId="77777777" w:rsidR="00A81986" w:rsidRDefault="0067390B">
      <w:pPr>
        <w:pStyle w:val="Heading3"/>
      </w:pPr>
      <w:bookmarkStart w:id="16" w:name="_Toc232003737"/>
      <w:r>
        <w:rPr>
          <w:rFonts w:ascii="Arial" w:hAnsi="Arial"/>
          <w:color w:val="4A7AB5"/>
          <w:sz w:val="24"/>
        </w:rPr>
        <w:lastRenderedPageBreak/>
        <w:t>2.1.5 Non-Discrimination (GRI 406-1)</w:t>
      </w:r>
      <w:r>
        <w:rPr>
          <w:rFonts w:ascii="Arial" w:hAnsi="Arial"/>
          <w:color w:val="4A7AB5"/>
          <w:sz w:val="24"/>
        </w:rPr>
        <w:br/>
      </w:r>
      <w:r>
        <w:rPr>
          <w:rFonts w:ascii="Arial" w:hAnsi="Arial"/>
          <w:color w:val="4A7AB5"/>
          <w:sz w:val="24"/>
        </w:rPr>
        <w:br/>
        <w:t xml:space="preserve">During the 2024 reporting period, the institution recorded 2 incidents of discrimination that were reported through formal grievance mechanisms. This compares to 3 incidents in 2023. All reported cases were investigated in accordance with the institution's Code of Conduct and Human Resources policies. Remediation actions included disciplinary measures for responsible parties, mandatory anti-discrimination training for affected departments, and strengthening of reporting mechanisms to ensure psychological </w:t>
      </w:r>
      <w:r>
        <w:rPr>
          <w:rFonts w:ascii="Arial" w:hAnsi="Arial"/>
          <w:color w:val="4A7AB5"/>
          <w:sz w:val="24"/>
        </w:rPr>
        <w:t>safety for whistleblowers. The institution maintains a zero-tolerance policy toward discrimination based on gender, age, ethnicity, religion, disability, or any other protected characteristic under Indonesian labor law.</w:t>
      </w:r>
      <w:bookmarkEnd w:id="16"/>
    </w:p>
    <w:p w14:paraId="687AE478" w14:textId="77777777" w:rsidR="00A81986" w:rsidRDefault="0067390B">
      <w:pPr>
        <w:spacing w:after="160"/>
        <w:jc w:val="both"/>
      </w:pPr>
      <w:r>
        <w:rPr>
          <w:rFonts w:ascii="Arial" w:hAnsi="Arial"/>
        </w:rPr>
        <w:t>The institution's grievance mechanism is accessible to all employees through multiple channels, including a confidential hotline, online reporting portal, and direct reporting to Human Resources or Compliance functions. All reports are handled with strict confidentiality protections, and the institution prohibits retaliation against individuals who report concerns in good faith.</w:t>
      </w:r>
    </w:p>
    <w:p w14:paraId="4D9BC741" w14:textId="77777777" w:rsidR="00A81986" w:rsidRDefault="0067390B">
      <w:pPr>
        <w:pStyle w:val="Heading3"/>
      </w:pPr>
      <w:bookmarkStart w:id="17" w:name="_Toc232003738"/>
      <w:r>
        <w:rPr>
          <w:rFonts w:ascii="Arial" w:hAnsi="Arial"/>
          <w:color w:val="4A7AB5"/>
          <w:sz w:val="24"/>
        </w:rPr>
        <w:t>2.1.6 Methodology</w:t>
      </w:r>
      <w:r>
        <w:rPr>
          <w:rFonts w:ascii="Arial" w:hAnsi="Arial"/>
          <w:color w:val="4A7AB5"/>
          <w:sz w:val="24"/>
        </w:rPr>
        <w:br/>
      </w:r>
      <w:r>
        <w:rPr>
          <w:rFonts w:ascii="Arial" w:hAnsi="Arial"/>
          <w:color w:val="4A7AB5"/>
          <w:sz w:val="24"/>
        </w:rPr>
        <w:br/>
        <w:t>Workforce data is compiled from the institution's Human Resources Information System (HRIS) as of the last day of the reporting period (December 31, 2024). Full-time equivalent (FTE) calculations include all permanent employees on the institution's payroll, excluding contractors, temporary staff, and outsourced service providers. Gender classification is based on employee self-identification in HR records. Management positions are defined as roles at Assistant Vice President level and above, including all</w:t>
      </w:r>
      <w:r>
        <w:rPr>
          <w:rFonts w:ascii="Arial" w:hAnsi="Arial"/>
          <w:color w:val="4A7AB5"/>
          <w:sz w:val="24"/>
        </w:rPr>
        <w:t xml:space="preserve"> supervisory and leadership functions across business units and support functions.</w:t>
      </w:r>
      <w:bookmarkEnd w:id="17"/>
    </w:p>
    <w:p w14:paraId="6C37E586" w14:textId="77777777" w:rsidR="00A81986" w:rsidRDefault="0067390B">
      <w:pPr>
        <w:spacing w:after="160"/>
        <w:jc w:val="both"/>
      </w:pPr>
      <w:r>
        <w:rPr>
          <w:rFonts w:ascii="Arial" w:hAnsi="Arial"/>
          <w:i/>
        </w:rPr>
        <w:t>Training hours are calculated based on Learning Management System (LMS) records, classroom attendance logs, and external training program completion certificates. Hours include both mandatory compliance training and voluntary professional development activities. Voluntary turnover rate is calculated as the number of employees who resigned voluntarily divided by average headcount during the period. Hiring rate is calculated as new hires divided by year-end headcount. Discrimination incidents include only tho</w:t>
      </w:r>
      <w:r>
        <w:rPr>
          <w:rFonts w:ascii="Arial" w:hAnsi="Arial"/>
          <w:i/>
        </w:rPr>
        <w:t>se formally reported through official grievance channels and substantiated through investigation.</w:t>
      </w:r>
    </w:p>
    <w:p w14:paraId="376D2883" w14:textId="77777777" w:rsidR="00A81986" w:rsidRDefault="0067390B">
      <w:r>
        <w:rPr>
          <w:rFonts w:ascii="Arial" w:hAnsi="Arial"/>
          <w:b/>
          <w:sz w:val="20"/>
        </w:rPr>
        <w:t>Table 2.1.1: Workforce Composition by Gender (GRI 2-7)</w:t>
      </w:r>
    </w:p>
    <w:tbl>
      <w:tblPr>
        <w:tblW w:w="0" w:type="auto"/>
        <w:jc w:val="center"/>
        <w:tblLook w:val="04A0" w:firstRow="1" w:lastRow="0" w:firstColumn="1" w:lastColumn="0" w:noHBand="0" w:noVBand="1"/>
      </w:tblPr>
      <w:tblGrid>
        <w:gridCol w:w="2257"/>
        <w:gridCol w:w="2257"/>
        <w:gridCol w:w="2257"/>
        <w:gridCol w:w="2257"/>
      </w:tblGrid>
      <w:tr w:rsidR="00A81986" w14:paraId="550AD70E" w14:textId="77777777">
        <w:trPr>
          <w:jc w:val="center"/>
        </w:trPr>
        <w:tc>
          <w:tcPr>
            <w:tcW w:w="2257" w:type="dxa"/>
            <w:shd w:val="clear" w:color="auto" w:fill="1B3A6B"/>
          </w:tcPr>
          <w:p w14:paraId="71B7F38B" w14:textId="77777777" w:rsidR="00A81986" w:rsidRDefault="0067390B">
            <w:r>
              <w:rPr>
                <w:rFonts w:ascii="Arial" w:hAnsi="Arial"/>
                <w:b/>
                <w:color w:val="FFFFFF"/>
                <w:sz w:val="18"/>
              </w:rPr>
              <w:t>Metric</w:t>
            </w:r>
          </w:p>
        </w:tc>
        <w:tc>
          <w:tcPr>
            <w:tcW w:w="2257" w:type="dxa"/>
            <w:shd w:val="clear" w:color="auto" w:fill="1B3A6B"/>
          </w:tcPr>
          <w:p w14:paraId="3907000D" w14:textId="77777777" w:rsidR="00A81986" w:rsidRDefault="0067390B">
            <w:r>
              <w:rPr>
                <w:rFonts w:ascii="Arial" w:hAnsi="Arial"/>
                <w:b/>
                <w:color w:val="FFFFFF"/>
                <w:sz w:val="18"/>
              </w:rPr>
              <w:t>2024</w:t>
            </w:r>
          </w:p>
        </w:tc>
        <w:tc>
          <w:tcPr>
            <w:tcW w:w="2257" w:type="dxa"/>
            <w:shd w:val="clear" w:color="auto" w:fill="1B3A6B"/>
          </w:tcPr>
          <w:p w14:paraId="5C99C392" w14:textId="77777777" w:rsidR="00A81986" w:rsidRDefault="0067390B">
            <w:r>
              <w:rPr>
                <w:rFonts w:ascii="Arial" w:hAnsi="Arial"/>
                <w:b/>
                <w:color w:val="FFFFFF"/>
                <w:sz w:val="18"/>
              </w:rPr>
              <w:t>2023</w:t>
            </w:r>
          </w:p>
        </w:tc>
        <w:tc>
          <w:tcPr>
            <w:tcW w:w="2257" w:type="dxa"/>
            <w:shd w:val="clear" w:color="auto" w:fill="1B3A6B"/>
          </w:tcPr>
          <w:p w14:paraId="11F09182" w14:textId="77777777" w:rsidR="00A81986" w:rsidRDefault="0067390B">
            <w:r>
              <w:rPr>
                <w:rFonts w:ascii="Arial" w:hAnsi="Arial"/>
                <w:b/>
                <w:color w:val="FFFFFF"/>
                <w:sz w:val="18"/>
              </w:rPr>
              <w:t>Change</w:t>
            </w:r>
          </w:p>
        </w:tc>
      </w:tr>
      <w:tr w:rsidR="00A81986" w14:paraId="11555673" w14:textId="77777777">
        <w:trPr>
          <w:jc w:val="center"/>
        </w:trPr>
        <w:tc>
          <w:tcPr>
            <w:tcW w:w="2257" w:type="dxa"/>
          </w:tcPr>
          <w:p w14:paraId="1BE92215" w14:textId="77777777" w:rsidR="00A81986" w:rsidRDefault="0067390B">
            <w:r>
              <w:rPr>
                <w:rFonts w:ascii="Arial" w:hAnsi="Arial"/>
                <w:sz w:val="18"/>
              </w:rPr>
              <w:t>Total FTE Employees</w:t>
            </w:r>
          </w:p>
        </w:tc>
        <w:tc>
          <w:tcPr>
            <w:tcW w:w="2257" w:type="dxa"/>
          </w:tcPr>
          <w:p w14:paraId="59CD4BFB" w14:textId="77777777" w:rsidR="00A81986" w:rsidRDefault="0067390B">
            <w:pPr>
              <w:jc w:val="right"/>
            </w:pPr>
            <w:r>
              <w:rPr>
                <w:rFonts w:ascii="Arial" w:hAnsi="Arial"/>
                <w:sz w:val="18"/>
              </w:rPr>
              <w:t>24,997</w:t>
            </w:r>
          </w:p>
        </w:tc>
        <w:tc>
          <w:tcPr>
            <w:tcW w:w="2257" w:type="dxa"/>
          </w:tcPr>
          <w:p w14:paraId="33E8B98C" w14:textId="77777777" w:rsidR="00A81986" w:rsidRDefault="0067390B">
            <w:pPr>
              <w:jc w:val="right"/>
            </w:pPr>
            <w:r>
              <w:rPr>
                <w:rFonts w:ascii="Arial" w:hAnsi="Arial"/>
                <w:sz w:val="18"/>
              </w:rPr>
              <w:t>24,500</w:t>
            </w:r>
          </w:p>
        </w:tc>
        <w:tc>
          <w:tcPr>
            <w:tcW w:w="2257" w:type="dxa"/>
          </w:tcPr>
          <w:p w14:paraId="0222EFC7" w14:textId="77777777" w:rsidR="00A81986" w:rsidRDefault="0067390B">
            <w:r>
              <w:rPr>
                <w:rFonts w:ascii="Arial" w:hAnsi="Arial"/>
                <w:sz w:val="18"/>
              </w:rPr>
              <w:t>+497 (+2.03%)</w:t>
            </w:r>
          </w:p>
        </w:tc>
      </w:tr>
      <w:tr w:rsidR="00A81986" w14:paraId="2197E389" w14:textId="77777777">
        <w:trPr>
          <w:jc w:val="center"/>
        </w:trPr>
        <w:tc>
          <w:tcPr>
            <w:tcW w:w="2257" w:type="dxa"/>
            <w:shd w:val="clear" w:color="auto" w:fill="F2F6FC"/>
          </w:tcPr>
          <w:p w14:paraId="11E23341" w14:textId="77777777" w:rsidR="00A81986" w:rsidRDefault="0067390B">
            <w:r>
              <w:rPr>
                <w:rFonts w:ascii="Arial" w:hAnsi="Arial"/>
                <w:sz w:val="18"/>
              </w:rPr>
              <w:t>Female Employees</w:t>
            </w:r>
          </w:p>
        </w:tc>
        <w:tc>
          <w:tcPr>
            <w:tcW w:w="2257" w:type="dxa"/>
            <w:shd w:val="clear" w:color="auto" w:fill="F2F6FC"/>
          </w:tcPr>
          <w:p w14:paraId="2DD4F4F2" w14:textId="77777777" w:rsidR="00A81986" w:rsidRDefault="0067390B">
            <w:r>
              <w:rPr>
                <w:rFonts w:ascii="Arial" w:hAnsi="Arial"/>
                <w:sz w:val="18"/>
              </w:rPr>
              <w:t>10,579 (42.32%)</w:t>
            </w:r>
          </w:p>
        </w:tc>
        <w:tc>
          <w:tcPr>
            <w:tcW w:w="2257" w:type="dxa"/>
            <w:shd w:val="clear" w:color="auto" w:fill="F2F6FC"/>
          </w:tcPr>
          <w:p w14:paraId="5DC5A175" w14:textId="77777777" w:rsidR="00A81986" w:rsidRDefault="0067390B">
            <w:r>
              <w:rPr>
                <w:rFonts w:ascii="Arial" w:hAnsi="Arial"/>
                <w:sz w:val="18"/>
              </w:rPr>
              <w:t>11,319 (46.2%)</w:t>
            </w:r>
          </w:p>
        </w:tc>
        <w:tc>
          <w:tcPr>
            <w:tcW w:w="2257" w:type="dxa"/>
            <w:shd w:val="clear" w:color="auto" w:fill="F2F6FC"/>
          </w:tcPr>
          <w:p w14:paraId="01CFF287" w14:textId="77777777" w:rsidR="00A81986" w:rsidRDefault="0067390B">
            <w:r>
              <w:rPr>
                <w:rFonts w:ascii="Arial" w:hAnsi="Arial"/>
                <w:sz w:val="18"/>
              </w:rPr>
              <w:t>-740 (-3.88pp)</w:t>
            </w:r>
          </w:p>
        </w:tc>
      </w:tr>
      <w:tr w:rsidR="00A81986" w14:paraId="7093ADA1" w14:textId="77777777">
        <w:trPr>
          <w:jc w:val="center"/>
        </w:trPr>
        <w:tc>
          <w:tcPr>
            <w:tcW w:w="2257" w:type="dxa"/>
          </w:tcPr>
          <w:p w14:paraId="5B00C4FA" w14:textId="77777777" w:rsidR="00A81986" w:rsidRDefault="0067390B">
            <w:r>
              <w:rPr>
                <w:rFonts w:ascii="Arial" w:hAnsi="Arial"/>
                <w:sz w:val="18"/>
              </w:rPr>
              <w:t>Male Employees</w:t>
            </w:r>
          </w:p>
        </w:tc>
        <w:tc>
          <w:tcPr>
            <w:tcW w:w="2257" w:type="dxa"/>
          </w:tcPr>
          <w:p w14:paraId="4791A33B" w14:textId="77777777" w:rsidR="00A81986" w:rsidRDefault="0067390B">
            <w:r>
              <w:rPr>
                <w:rFonts w:ascii="Arial" w:hAnsi="Arial"/>
                <w:sz w:val="18"/>
              </w:rPr>
              <w:t>14,418 (57.68%)</w:t>
            </w:r>
          </w:p>
        </w:tc>
        <w:tc>
          <w:tcPr>
            <w:tcW w:w="2257" w:type="dxa"/>
          </w:tcPr>
          <w:p w14:paraId="392FE44D" w14:textId="77777777" w:rsidR="00A81986" w:rsidRDefault="0067390B">
            <w:r>
              <w:rPr>
                <w:rFonts w:ascii="Arial" w:hAnsi="Arial"/>
                <w:sz w:val="18"/>
              </w:rPr>
              <w:t>13,181 (53.8%)</w:t>
            </w:r>
          </w:p>
        </w:tc>
        <w:tc>
          <w:tcPr>
            <w:tcW w:w="2257" w:type="dxa"/>
          </w:tcPr>
          <w:p w14:paraId="7D563DF4" w14:textId="77777777" w:rsidR="00A81986" w:rsidRDefault="0067390B">
            <w:r>
              <w:rPr>
                <w:rFonts w:ascii="Arial" w:hAnsi="Arial"/>
                <w:sz w:val="18"/>
              </w:rPr>
              <w:t>+1,237 (+3.88pp)</w:t>
            </w:r>
          </w:p>
        </w:tc>
      </w:tr>
    </w:tbl>
    <w:p w14:paraId="6C78DA38" w14:textId="77777777" w:rsidR="00A81986" w:rsidRDefault="0067390B">
      <w:r>
        <w:rPr>
          <w:rFonts w:ascii="Arial" w:hAnsi="Arial"/>
          <w:i/>
          <w:sz w:val="16"/>
        </w:rPr>
        <w:t>Source: Source: HR Information System, December 31, 2024. FTE = Full-Time Equivalent.</w:t>
      </w:r>
    </w:p>
    <w:p w14:paraId="7358835D" w14:textId="77777777" w:rsidR="00A81986" w:rsidRDefault="00A81986"/>
    <w:p w14:paraId="25B46BB7" w14:textId="77777777" w:rsidR="00A81986" w:rsidRDefault="0067390B">
      <w:r>
        <w:rPr>
          <w:rFonts w:ascii="Arial" w:hAnsi="Arial"/>
          <w:b/>
          <w:sz w:val="20"/>
        </w:rPr>
        <w:lastRenderedPageBreak/>
        <w:t>Table 2.1.2: Employment Indicators (GRI 401-1)</w:t>
      </w:r>
    </w:p>
    <w:tbl>
      <w:tblPr>
        <w:tblW w:w="0" w:type="auto"/>
        <w:jc w:val="center"/>
        <w:tblLook w:val="04A0" w:firstRow="1" w:lastRow="0" w:firstColumn="1" w:lastColumn="0" w:noHBand="0" w:noVBand="1"/>
      </w:tblPr>
      <w:tblGrid>
        <w:gridCol w:w="2257"/>
        <w:gridCol w:w="2257"/>
        <w:gridCol w:w="2257"/>
        <w:gridCol w:w="2257"/>
      </w:tblGrid>
      <w:tr w:rsidR="00A81986" w14:paraId="6ACE6EA6" w14:textId="77777777">
        <w:trPr>
          <w:jc w:val="center"/>
        </w:trPr>
        <w:tc>
          <w:tcPr>
            <w:tcW w:w="2257" w:type="dxa"/>
            <w:shd w:val="clear" w:color="auto" w:fill="1B3A6B"/>
          </w:tcPr>
          <w:p w14:paraId="159518BC" w14:textId="77777777" w:rsidR="00A81986" w:rsidRDefault="0067390B">
            <w:r>
              <w:rPr>
                <w:rFonts w:ascii="Arial" w:hAnsi="Arial"/>
                <w:b/>
                <w:color w:val="FFFFFF"/>
                <w:sz w:val="18"/>
              </w:rPr>
              <w:t>Metric</w:t>
            </w:r>
          </w:p>
        </w:tc>
        <w:tc>
          <w:tcPr>
            <w:tcW w:w="2257" w:type="dxa"/>
            <w:shd w:val="clear" w:color="auto" w:fill="1B3A6B"/>
          </w:tcPr>
          <w:p w14:paraId="13E2A231" w14:textId="77777777" w:rsidR="00A81986" w:rsidRDefault="0067390B">
            <w:r>
              <w:rPr>
                <w:rFonts w:ascii="Arial" w:hAnsi="Arial"/>
                <w:b/>
                <w:color w:val="FFFFFF"/>
                <w:sz w:val="18"/>
              </w:rPr>
              <w:t>2024</w:t>
            </w:r>
          </w:p>
        </w:tc>
        <w:tc>
          <w:tcPr>
            <w:tcW w:w="2257" w:type="dxa"/>
            <w:shd w:val="clear" w:color="auto" w:fill="1B3A6B"/>
          </w:tcPr>
          <w:p w14:paraId="7874E69F" w14:textId="77777777" w:rsidR="00A81986" w:rsidRDefault="0067390B">
            <w:r>
              <w:rPr>
                <w:rFonts w:ascii="Arial" w:hAnsi="Arial"/>
                <w:b/>
                <w:color w:val="FFFFFF"/>
                <w:sz w:val="18"/>
              </w:rPr>
              <w:t>2023</w:t>
            </w:r>
          </w:p>
        </w:tc>
        <w:tc>
          <w:tcPr>
            <w:tcW w:w="2257" w:type="dxa"/>
            <w:shd w:val="clear" w:color="auto" w:fill="1B3A6B"/>
          </w:tcPr>
          <w:p w14:paraId="37C06423" w14:textId="77777777" w:rsidR="00A81986" w:rsidRDefault="0067390B">
            <w:r>
              <w:rPr>
                <w:rFonts w:ascii="Arial" w:hAnsi="Arial"/>
                <w:b/>
                <w:color w:val="FFFFFF"/>
                <w:sz w:val="18"/>
              </w:rPr>
              <w:t>YoY Change</w:t>
            </w:r>
          </w:p>
        </w:tc>
      </w:tr>
      <w:tr w:rsidR="00A81986" w14:paraId="1E806DFF" w14:textId="77777777">
        <w:trPr>
          <w:jc w:val="center"/>
        </w:trPr>
        <w:tc>
          <w:tcPr>
            <w:tcW w:w="2257" w:type="dxa"/>
          </w:tcPr>
          <w:p w14:paraId="0C77D1A4" w14:textId="77777777" w:rsidR="00A81986" w:rsidRDefault="0067390B">
            <w:r>
              <w:rPr>
                <w:rFonts w:ascii="Arial" w:hAnsi="Arial"/>
                <w:sz w:val="18"/>
              </w:rPr>
              <w:t>New Hires</w:t>
            </w:r>
          </w:p>
        </w:tc>
        <w:tc>
          <w:tcPr>
            <w:tcW w:w="2257" w:type="dxa"/>
          </w:tcPr>
          <w:p w14:paraId="6BB23374" w14:textId="77777777" w:rsidR="00A81986" w:rsidRDefault="0067390B">
            <w:pPr>
              <w:jc w:val="right"/>
            </w:pPr>
            <w:r>
              <w:rPr>
                <w:rFonts w:ascii="Arial" w:hAnsi="Arial"/>
                <w:sz w:val="18"/>
              </w:rPr>
              <w:t>2,595</w:t>
            </w:r>
          </w:p>
        </w:tc>
        <w:tc>
          <w:tcPr>
            <w:tcW w:w="2257" w:type="dxa"/>
          </w:tcPr>
          <w:p w14:paraId="2E6CCFCB" w14:textId="77777777" w:rsidR="00A81986" w:rsidRDefault="0067390B">
            <w:pPr>
              <w:jc w:val="right"/>
            </w:pPr>
            <w:r>
              <w:rPr>
                <w:rFonts w:ascii="Arial" w:hAnsi="Arial"/>
                <w:sz w:val="18"/>
              </w:rPr>
              <w:t>3,169</w:t>
            </w:r>
          </w:p>
        </w:tc>
        <w:tc>
          <w:tcPr>
            <w:tcW w:w="2257" w:type="dxa"/>
          </w:tcPr>
          <w:p w14:paraId="1F6C72E5" w14:textId="77777777" w:rsidR="00A81986" w:rsidRDefault="0067390B">
            <w:r>
              <w:rPr>
                <w:rFonts w:ascii="Arial" w:hAnsi="Arial"/>
                <w:sz w:val="18"/>
              </w:rPr>
              <w:t>-574 (-18.11%)</w:t>
            </w:r>
          </w:p>
        </w:tc>
      </w:tr>
      <w:tr w:rsidR="00A81986" w14:paraId="0329A329" w14:textId="77777777">
        <w:trPr>
          <w:jc w:val="center"/>
        </w:trPr>
        <w:tc>
          <w:tcPr>
            <w:tcW w:w="2257" w:type="dxa"/>
            <w:shd w:val="clear" w:color="auto" w:fill="F2F6FC"/>
          </w:tcPr>
          <w:p w14:paraId="400888F5" w14:textId="77777777" w:rsidR="00A81986" w:rsidRDefault="0067390B">
            <w:r>
              <w:rPr>
                <w:rFonts w:ascii="Arial" w:hAnsi="Arial"/>
                <w:sz w:val="18"/>
              </w:rPr>
              <w:t>Hiring Rate</w:t>
            </w:r>
          </w:p>
        </w:tc>
        <w:tc>
          <w:tcPr>
            <w:tcW w:w="2257" w:type="dxa"/>
            <w:shd w:val="clear" w:color="auto" w:fill="F2F6FC"/>
          </w:tcPr>
          <w:p w14:paraId="227AF71F" w14:textId="77777777" w:rsidR="00A81986" w:rsidRDefault="0067390B">
            <w:pPr>
              <w:jc w:val="right"/>
            </w:pPr>
            <w:r>
              <w:rPr>
                <w:rFonts w:ascii="Arial" w:hAnsi="Arial"/>
                <w:sz w:val="18"/>
              </w:rPr>
              <w:t>10.38%</w:t>
            </w:r>
          </w:p>
        </w:tc>
        <w:tc>
          <w:tcPr>
            <w:tcW w:w="2257" w:type="dxa"/>
            <w:shd w:val="clear" w:color="auto" w:fill="F2F6FC"/>
          </w:tcPr>
          <w:p w14:paraId="62672B1D" w14:textId="77777777" w:rsidR="00A81986" w:rsidRDefault="0067390B">
            <w:pPr>
              <w:jc w:val="right"/>
            </w:pPr>
            <w:r>
              <w:rPr>
                <w:rFonts w:ascii="Arial" w:hAnsi="Arial"/>
                <w:sz w:val="18"/>
              </w:rPr>
              <w:t>12.93%</w:t>
            </w:r>
          </w:p>
        </w:tc>
        <w:tc>
          <w:tcPr>
            <w:tcW w:w="2257" w:type="dxa"/>
            <w:shd w:val="clear" w:color="auto" w:fill="F2F6FC"/>
          </w:tcPr>
          <w:p w14:paraId="2AEDE2FC" w14:textId="77777777" w:rsidR="00A81986" w:rsidRDefault="0067390B">
            <w:r>
              <w:rPr>
                <w:rFonts w:ascii="Arial" w:hAnsi="Arial"/>
                <w:sz w:val="18"/>
              </w:rPr>
              <w:t>-2.55pp</w:t>
            </w:r>
          </w:p>
        </w:tc>
      </w:tr>
      <w:tr w:rsidR="00A81986" w14:paraId="1887DB5B" w14:textId="77777777">
        <w:trPr>
          <w:jc w:val="center"/>
        </w:trPr>
        <w:tc>
          <w:tcPr>
            <w:tcW w:w="2257" w:type="dxa"/>
          </w:tcPr>
          <w:p w14:paraId="6F65058D" w14:textId="77777777" w:rsidR="00A81986" w:rsidRDefault="0067390B">
            <w:r>
              <w:rPr>
                <w:rFonts w:ascii="Arial" w:hAnsi="Arial"/>
                <w:sz w:val="18"/>
              </w:rPr>
              <w:t>Voluntary Turnover Rate</w:t>
            </w:r>
          </w:p>
        </w:tc>
        <w:tc>
          <w:tcPr>
            <w:tcW w:w="2257" w:type="dxa"/>
          </w:tcPr>
          <w:p w14:paraId="1192F221" w14:textId="77777777" w:rsidR="00A81986" w:rsidRDefault="0067390B">
            <w:pPr>
              <w:jc w:val="right"/>
            </w:pPr>
            <w:r>
              <w:rPr>
                <w:rFonts w:ascii="Arial" w:hAnsi="Arial"/>
                <w:sz w:val="18"/>
              </w:rPr>
              <w:t>8.45%</w:t>
            </w:r>
          </w:p>
        </w:tc>
        <w:tc>
          <w:tcPr>
            <w:tcW w:w="2257" w:type="dxa"/>
          </w:tcPr>
          <w:p w14:paraId="4D5FA8CA" w14:textId="77777777" w:rsidR="00A81986" w:rsidRDefault="0067390B">
            <w:pPr>
              <w:jc w:val="right"/>
            </w:pPr>
            <w:r>
              <w:rPr>
                <w:rFonts w:ascii="Arial" w:hAnsi="Arial"/>
                <w:sz w:val="18"/>
              </w:rPr>
              <w:t>14.24%</w:t>
            </w:r>
          </w:p>
        </w:tc>
        <w:tc>
          <w:tcPr>
            <w:tcW w:w="2257" w:type="dxa"/>
          </w:tcPr>
          <w:p w14:paraId="69DB2E30" w14:textId="77777777" w:rsidR="00A81986" w:rsidRDefault="0067390B">
            <w:r>
              <w:rPr>
                <w:rFonts w:ascii="Arial" w:hAnsi="Arial"/>
                <w:sz w:val="18"/>
              </w:rPr>
              <w:t>-5.79pp (-40.66%)</w:t>
            </w:r>
          </w:p>
        </w:tc>
      </w:tr>
    </w:tbl>
    <w:p w14:paraId="2EF6E576" w14:textId="77777777" w:rsidR="00A81986" w:rsidRDefault="0067390B">
      <w:r>
        <w:rPr>
          <w:rFonts w:ascii="Arial" w:hAnsi="Arial"/>
          <w:i/>
          <w:sz w:val="16"/>
        </w:rPr>
        <w:t>Source: Source: HR Information System. Hiring rate = new hires / year-end headcount. Voluntary turnover excludes retirements and involuntary separations.</w:t>
      </w:r>
    </w:p>
    <w:p w14:paraId="50CDAA92" w14:textId="77777777" w:rsidR="00A81986" w:rsidRDefault="00A81986"/>
    <w:p w14:paraId="7D15808C" w14:textId="77777777" w:rsidR="00A81986" w:rsidRDefault="0067390B">
      <w:r>
        <w:rPr>
          <w:rFonts w:ascii="Arial" w:hAnsi="Arial"/>
          <w:b/>
          <w:sz w:val="20"/>
        </w:rPr>
        <w:t>Table 2.1.3: Training &amp; Development Metrics (GRI 404-1)</w:t>
      </w:r>
    </w:p>
    <w:tbl>
      <w:tblPr>
        <w:tblW w:w="0" w:type="auto"/>
        <w:jc w:val="center"/>
        <w:tblLook w:val="04A0" w:firstRow="1" w:lastRow="0" w:firstColumn="1" w:lastColumn="0" w:noHBand="0" w:noVBand="1"/>
      </w:tblPr>
      <w:tblGrid>
        <w:gridCol w:w="2257"/>
        <w:gridCol w:w="2257"/>
        <w:gridCol w:w="2257"/>
        <w:gridCol w:w="2257"/>
      </w:tblGrid>
      <w:tr w:rsidR="00A81986" w14:paraId="52C2EBEC" w14:textId="77777777">
        <w:trPr>
          <w:jc w:val="center"/>
        </w:trPr>
        <w:tc>
          <w:tcPr>
            <w:tcW w:w="2257" w:type="dxa"/>
            <w:shd w:val="clear" w:color="auto" w:fill="1B3A6B"/>
          </w:tcPr>
          <w:p w14:paraId="3CF16F13" w14:textId="77777777" w:rsidR="00A81986" w:rsidRDefault="0067390B">
            <w:r>
              <w:rPr>
                <w:rFonts w:ascii="Arial" w:hAnsi="Arial"/>
                <w:b/>
                <w:color w:val="FFFFFF"/>
                <w:sz w:val="18"/>
              </w:rPr>
              <w:t>Metric</w:t>
            </w:r>
          </w:p>
        </w:tc>
        <w:tc>
          <w:tcPr>
            <w:tcW w:w="2257" w:type="dxa"/>
            <w:shd w:val="clear" w:color="auto" w:fill="1B3A6B"/>
          </w:tcPr>
          <w:p w14:paraId="153EFB41" w14:textId="77777777" w:rsidR="00A81986" w:rsidRDefault="0067390B">
            <w:r>
              <w:rPr>
                <w:rFonts w:ascii="Arial" w:hAnsi="Arial"/>
                <w:b/>
                <w:color w:val="FFFFFF"/>
                <w:sz w:val="18"/>
              </w:rPr>
              <w:t>2024</w:t>
            </w:r>
          </w:p>
        </w:tc>
        <w:tc>
          <w:tcPr>
            <w:tcW w:w="2257" w:type="dxa"/>
            <w:shd w:val="clear" w:color="auto" w:fill="1B3A6B"/>
          </w:tcPr>
          <w:p w14:paraId="2C39ADCD" w14:textId="77777777" w:rsidR="00A81986" w:rsidRDefault="0067390B">
            <w:r>
              <w:rPr>
                <w:rFonts w:ascii="Arial" w:hAnsi="Arial"/>
                <w:b/>
                <w:color w:val="FFFFFF"/>
                <w:sz w:val="18"/>
              </w:rPr>
              <w:t>2023</w:t>
            </w:r>
          </w:p>
        </w:tc>
        <w:tc>
          <w:tcPr>
            <w:tcW w:w="2257" w:type="dxa"/>
            <w:shd w:val="clear" w:color="auto" w:fill="1B3A6B"/>
          </w:tcPr>
          <w:p w14:paraId="3BCD6C5C" w14:textId="77777777" w:rsidR="00A81986" w:rsidRDefault="0067390B">
            <w:r>
              <w:rPr>
                <w:rFonts w:ascii="Arial" w:hAnsi="Arial"/>
                <w:b/>
                <w:color w:val="FFFFFF"/>
                <w:sz w:val="18"/>
              </w:rPr>
              <w:t>YoY Change</w:t>
            </w:r>
          </w:p>
        </w:tc>
      </w:tr>
      <w:tr w:rsidR="00A81986" w14:paraId="25C60539" w14:textId="77777777">
        <w:trPr>
          <w:jc w:val="center"/>
        </w:trPr>
        <w:tc>
          <w:tcPr>
            <w:tcW w:w="2257" w:type="dxa"/>
          </w:tcPr>
          <w:p w14:paraId="1AE1A928" w14:textId="77777777" w:rsidR="00A81986" w:rsidRDefault="0067390B">
            <w:r>
              <w:rPr>
                <w:rFonts w:ascii="Arial" w:hAnsi="Arial"/>
                <w:sz w:val="18"/>
              </w:rPr>
              <w:t>Average Training Hours per FTE</w:t>
            </w:r>
          </w:p>
        </w:tc>
        <w:tc>
          <w:tcPr>
            <w:tcW w:w="2257" w:type="dxa"/>
          </w:tcPr>
          <w:p w14:paraId="5E233700" w14:textId="77777777" w:rsidR="00A81986" w:rsidRDefault="0067390B">
            <w:pPr>
              <w:jc w:val="right"/>
            </w:pPr>
            <w:r>
              <w:rPr>
                <w:rFonts w:ascii="Arial" w:hAnsi="Arial"/>
                <w:sz w:val="18"/>
              </w:rPr>
              <w:t>49.3</w:t>
            </w:r>
          </w:p>
        </w:tc>
        <w:tc>
          <w:tcPr>
            <w:tcW w:w="2257" w:type="dxa"/>
          </w:tcPr>
          <w:p w14:paraId="0801E22E" w14:textId="77777777" w:rsidR="00A81986" w:rsidRDefault="0067390B">
            <w:pPr>
              <w:jc w:val="right"/>
            </w:pPr>
            <w:r>
              <w:rPr>
                <w:rFonts w:ascii="Arial" w:hAnsi="Arial"/>
                <w:sz w:val="18"/>
              </w:rPr>
              <w:t>64.14</w:t>
            </w:r>
          </w:p>
        </w:tc>
        <w:tc>
          <w:tcPr>
            <w:tcW w:w="2257" w:type="dxa"/>
          </w:tcPr>
          <w:p w14:paraId="4B4EB6C2" w14:textId="77777777" w:rsidR="00A81986" w:rsidRDefault="0067390B">
            <w:r>
              <w:rPr>
                <w:rFonts w:ascii="Arial" w:hAnsi="Arial"/>
                <w:sz w:val="18"/>
              </w:rPr>
              <w:t>-14.84 (-23.14%)</w:t>
            </w:r>
          </w:p>
        </w:tc>
      </w:tr>
      <w:tr w:rsidR="00A81986" w14:paraId="1E2B385B" w14:textId="77777777">
        <w:trPr>
          <w:jc w:val="center"/>
        </w:trPr>
        <w:tc>
          <w:tcPr>
            <w:tcW w:w="2257" w:type="dxa"/>
            <w:shd w:val="clear" w:color="auto" w:fill="F2F6FC"/>
          </w:tcPr>
          <w:p w14:paraId="38C31FE4" w14:textId="77777777" w:rsidR="00A81986" w:rsidRDefault="0067390B">
            <w:r>
              <w:rPr>
                <w:rFonts w:ascii="Arial" w:hAnsi="Arial"/>
                <w:sz w:val="18"/>
              </w:rPr>
              <w:t>Total Training Hours</w:t>
            </w:r>
          </w:p>
        </w:tc>
        <w:tc>
          <w:tcPr>
            <w:tcW w:w="2257" w:type="dxa"/>
            <w:shd w:val="clear" w:color="auto" w:fill="F2F6FC"/>
          </w:tcPr>
          <w:p w14:paraId="30AB52E8" w14:textId="77777777" w:rsidR="00A81986" w:rsidRDefault="0067390B">
            <w:pPr>
              <w:jc w:val="right"/>
            </w:pPr>
            <w:r>
              <w:rPr>
                <w:rFonts w:ascii="Arial" w:hAnsi="Arial"/>
                <w:sz w:val="18"/>
              </w:rPr>
              <w:t>1,232,282</w:t>
            </w:r>
          </w:p>
        </w:tc>
        <w:tc>
          <w:tcPr>
            <w:tcW w:w="2257" w:type="dxa"/>
            <w:shd w:val="clear" w:color="auto" w:fill="F2F6FC"/>
          </w:tcPr>
          <w:p w14:paraId="37986965" w14:textId="77777777" w:rsidR="00A81986" w:rsidRDefault="0067390B">
            <w:pPr>
              <w:jc w:val="right"/>
            </w:pPr>
            <w:r>
              <w:rPr>
                <w:rFonts w:ascii="Arial" w:hAnsi="Arial"/>
                <w:sz w:val="18"/>
              </w:rPr>
              <w:t>1,571,430</w:t>
            </w:r>
          </w:p>
        </w:tc>
        <w:tc>
          <w:tcPr>
            <w:tcW w:w="2257" w:type="dxa"/>
            <w:shd w:val="clear" w:color="auto" w:fill="F2F6FC"/>
          </w:tcPr>
          <w:p w14:paraId="6D101CBC" w14:textId="77777777" w:rsidR="00A81986" w:rsidRDefault="0067390B">
            <w:pPr>
              <w:jc w:val="right"/>
            </w:pPr>
            <w:r>
              <w:rPr>
                <w:rFonts w:ascii="Arial" w:hAnsi="Arial"/>
                <w:sz w:val="18"/>
              </w:rPr>
              <w:t>-339,148</w:t>
            </w:r>
          </w:p>
        </w:tc>
      </w:tr>
    </w:tbl>
    <w:p w14:paraId="7B1DCFCD" w14:textId="77777777" w:rsidR="00A81986" w:rsidRDefault="0067390B">
      <w:r>
        <w:rPr>
          <w:rFonts w:ascii="Arial" w:hAnsi="Arial"/>
          <w:i/>
          <w:sz w:val="16"/>
        </w:rPr>
        <w:t>Source: Source: Learning Management System and training records. Includes all formal training activities (classroom, e-learning, external programs).</w:t>
      </w:r>
    </w:p>
    <w:p w14:paraId="41B9D605" w14:textId="77777777" w:rsidR="00A81986" w:rsidRDefault="00A81986"/>
    <w:p w14:paraId="1154630C" w14:textId="77777777" w:rsidR="00A81986" w:rsidRDefault="0067390B">
      <w:r>
        <w:rPr>
          <w:rFonts w:ascii="Arial" w:hAnsi="Arial"/>
          <w:b/>
          <w:sz w:val="20"/>
        </w:rPr>
        <w:t>Table 2.1.4: Diversity Indicators (GRI 405-1)</w:t>
      </w:r>
    </w:p>
    <w:tbl>
      <w:tblPr>
        <w:tblW w:w="0" w:type="auto"/>
        <w:jc w:val="center"/>
        <w:tblLook w:val="04A0" w:firstRow="1" w:lastRow="0" w:firstColumn="1" w:lastColumn="0" w:noHBand="0" w:noVBand="1"/>
      </w:tblPr>
      <w:tblGrid>
        <w:gridCol w:w="2257"/>
        <w:gridCol w:w="2257"/>
        <w:gridCol w:w="2257"/>
        <w:gridCol w:w="2257"/>
      </w:tblGrid>
      <w:tr w:rsidR="00A81986" w14:paraId="7FFE9F34" w14:textId="77777777">
        <w:trPr>
          <w:jc w:val="center"/>
        </w:trPr>
        <w:tc>
          <w:tcPr>
            <w:tcW w:w="2257" w:type="dxa"/>
            <w:shd w:val="clear" w:color="auto" w:fill="1B3A6B"/>
          </w:tcPr>
          <w:p w14:paraId="6D68860B" w14:textId="77777777" w:rsidR="00A81986" w:rsidRDefault="0067390B">
            <w:r>
              <w:rPr>
                <w:rFonts w:ascii="Arial" w:hAnsi="Arial"/>
                <w:b/>
                <w:color w:val="FFFFFF"/>
                <w:sz w:val="18"/>
              </w:rPr>
              <w:t>Metric</w:t>
            </w:r>
          </w:p>
        </w:tc>
        <w:tc>
          <w:tcPr>
            <w:tcW w:w="2257" w:type="dxa"/>
            <w:shd w:val="clear" w:color="auto" w:fill="1B3A6B"/>
          </w:tcPr>
          <w:p w14:paraId="5DEB4729" w14:textId="77777777" w:rsidR="00A81986" w:rsidRDefault="0067390B">
            <w:r>
              <w:rPr>
                <w:rFonts w:ascii="Arial" w:hAnsi="Arial"/>
                <w:b/>
                <w:color w:val="FFFFFF"/>
                <w:sz w:val="18"/>
              </w:rPr>
              <w:t>2024</w:t>
            </w:r>
          </w:p>
        </w:tc>
        <w:tc>
          <w:tcPr>
            <w:tcW w:w="2257" w:type="dxa"/>
            <w:shd w:val="clear" w:color="auto" w:fill="1B3A6B"/>
          </w:tcPr>
          <w:p w14:paraId="2615D0C7" w14:textId="77777777" w:rsidR="00A81986" w:rsidRDefault="0067390B">
            <w:r>
              <w:rPr>
                <w:rFonts w:ascii="Arial" w:hAnsi="Arial"/>
                <w:b/>
                <w:color w:val="FFFFFF"/>
                <w:sz w:val="18"/>
              </w:rPr>
              <w:t>2023</w:t>
            </w:r>
          </w:p>
        </w:tc>
        <w:tc>
          <w:tcPr>
            <w:tcW w:w="2257" w:type="dxa"/>
            <w:shd w:val="clear" w:color="auto" w:fill="1B3A6B"/>
          </w:tcPr>
          <w:p w14:paraId="2DF736D0" w14:textId="77777777" w:rsidR="00A81986" w:rsidRDefault="0067390B">
            <w:r>
              <w:rPr>
                <w:rFonts w:ascii="Arial" w:hAnsi="Arial"/>
                <w:b/>
                <w:color w:val="FFFFFF"/>
                <w:sz w:val="18"/>
              </w:rPr>
              <w:t>Change</w:t>
            </w:r>
          </w:p>
        </w:tc>
      </w:tr>
      <w:tr w:rsidR="00A81986" w14:paraId="4354DD01" w14:textId="77777777">
        <w:trPr>
          <w:jc w:val="center"/>
        </w:trPr>
        <w:tc>
          <w:tcPr>
            <w:tcW w:w="2257" w:type="dxa"/>
          </w:tcPr>
          <w:p w14:paraId="662E7F54" w14:textId="77777777" w:rsidR="00A81986" w:rsidRDefault="0067390B">
            <w:r>
              <w:rPr>
                <w:rFonts w:ascii="Arial" w:hAnsi="Arial"/>
                <w:sz w:val="18"/>
              </w:rPr>
              <w:t>Female Representation (Overall)</w:t>
            </w:r>
          </w:p>
        </w:tc>
        <w:tc>
          <w:tcPr>
            <w:tcW w:w="2257" w:type="dxa"/>
          </w:tcPr>
          <w:p w14:paraId="20D7BA05" w14:textId="77777777" w:rsidR="00A81986" w:rsidRDefault="0067390B">
            <w:pPr>
              <w:jc w:val="right"/>
            </w:pPr>
            <w:r>
              <w:rPr>
                <w:rFonts w:ascii="Arial" w:hAnsi="Arial"/>
                <w:sz w:val="18"/>
              </w:rPr>
              <w:t>42.32%</w:t>
            </w:r>
          </w:p>
        </w:tc>
        <w:tc>
          <w:tcPr>
            <w:tcW w:w="2257" w:type="dxa"/>
          </w:tcPr>
          <w:p w14:paraId="0F081900" w14:textId="77777777" w:rsidR="00A81986" w:rsidRDefault="0067390B">
            <w:pPr>
              <w:jc w:val="right"/>
            </w:pPr>
            <w:r>
              <w:rPr>
                <w:rFonts w:ascii="Arial" w:hAnsi="Arial"/>
                <w:sz w:val="18"/>
              </w:rPr>
              <w:t>46.2%</w:t>
            </w:r>
          </w:p>
        </w:tc>
        <w:tc>
          <w:tcPr>
            <w:tcW w:w="2257" w:type="dxa"/>
          </w:tcPr>
          <w:p w14:paraId="44B3DDE8" w14:textId="77777777" w:rsidR="00A81986" w:rsidRDefault="0067390B">
            <w:r>
              <w:rPr>
                <w:rFonts w:ascii="Arial" w:hAnsi="Arial"/>
                <w:sz w:val="18"/>
              </w:rPr>
              <w:t>-3.88pp</w:t>
            </w:r>
          </w:p>
        </w:tc>
      </w:tr>
      <w:tr w:rsidR="00A81986" w14:paraId="54D56855" w14:textId="77777777">
        <w:trPr>
          <w:jc w:val="center"/>
        </w:trPr>
        <w:tc>
          <w:tcPr>
            <w:tcW w:w="2257" w:type="dxa"/>
            <w:shd w:val="clear" w:color="auto" w:fill="F2F6FC"/>
          </w:tcPr>
          <w:p w14:paraId="29AF5365" w14:textId="77777777" w:rsidR="00A81986" w:rsidRDefault="0067390B">
            <w:r>
              <w:rPr>
                <w:rFonts w:ascii="Arial" w:hAnsi="Arial"/>
                <w:sz w:val="18"/>
              </w:rPr>
              <w:t>Female Representation (Management)</w:t>
            </w:r>
          </w:p>
        </w:tc>
        <w:tc>
          <w:tcPr>
            <w:tcW w:w="2257" w:type="dxa"/>
            <w:shd w:val="clear" w:color="auto" w:fill="F2F6FC"/>
          </w:tcPr>
          <w:p w14:paraId="461F0FF9" w14:textId="77777777" w:rsidR="00A81986" w:rsidRDefault="0067390B">
            <w:pPr>
              <w:jc w:val="right"/>
            </w:pPr>
            <w:r>
              <w:rPr>
                <w:rFonts w:ascii="Arial" w:hAnsi="Arial"/>
                <w:sz w:val="18"/>
              </w:rPr>
              <w:t>26.67%</w:t>
            </w:r>
          </w:p>
        </w:tc>
        <w:tc>
          <w:tcPr>
            <w:tcW w:w="2257" w:type="dxa"/>
            <w:shd w:val="clear" w:color="auto" w:fill="F2F6FC"/>
          </w:tcPr>
          <w:p w14:paraId="30B4ABD5" w14:textId="77777777" w:rsidR="00A81986" w:rsidRDefault="0067390B">
            <w:pPr>
              <w:jc w:val="right"/>
            </w:pPr>
            <w:r>
              <w:rPr>
                <w:rFonts w:ascii="Arial" w:hAnsi="Arial"/>
                <w:sz w:val="18"/>
              </w:rPr>
              <w:t>28.45%</w:t>
            </w:r>
          </w:p>
        </w:tc>
        <w:tc>
          <w:tcPr>
            <w:tcW w:w="2257" w:type="dxa"/>
            <w:shd w:val="clear" w:color="auto" w:fill="F2F6FC"/>
          </w:tcPr>
          <w:p w14:paraId="1E30E532" w14:textId="77777777" w:rsidR="00A81986" w:rsidRDefault="0067390B">
            <w:r>
              <w:rPr>
                <w:rFonts w:ascii="Arial" w:hAnsi="Arial"/>
                <w:sz w:val="18"/>
              </w:rPr>
              <w:t>-1.78pp</w:t>
            </w:r>
          </w:p>
        </w:tc>
      </w:tr>
      <w:tr w:rsidR="00A81986" w14:paraId="492C93B9" w14:textId="77777777">
        <w:trPr>
          <w:jc w:val="center"/>
        </w:trPr>
        <w:tc>
          <w:tcPr>
            <w:tcW w:w="2257" w:type="dxa"/>
          </w:tcPr>
          <w:p w14:paraId="1A10756D" w14:textId="77777777" w:rsidR="00A81986" w:rsidRDefault="0067390B">
            <w:r>
              <w:rPr>
                <w:rFonts w:ascii="Arial" w:hAnsi="Arial"/>
                <w:sz w:val="18"/>
              </w:rPr>
              <w:t>Male Representation (Overall)</w:t>
            </w:r>
          </w:p>
        </w:tc>
        <w:tc>
          <w:tcPr>
            <w:tcW w:w="2257" w:type="dxa"/>
          </w:tcPr>
          <w:p w14:paraId="04758355" w14:textId="77777777" w:rsidR="00A81986" w:rsidRDefault="0067390B">
            <w:pPr>
              <w:jc w:val="right"/>
            </w:pPr>
            <w:r>
              <w:rPr>
                <w:rFonts w:ascii="Arial" w:hAnsi="Arial"/>
                <w:sz w:val="18"/>
              </w:rPr>
              <w:t>57.68%</w:t>
            </w:r>
          </w:p>
        </w:tc>
        <w:tc>
          <w:tcPr>
            <w:tcW w:w="2257" w:type="dxa"/>
          </w:tcPr>
          <w:p w14:paraId="2B3C1837" w14:textId="77777777" w:rsidR="00A81986" w:rsidRDefault="0067390B">
            <w:pPr>
              <w:jc w:val="right"/>
            </w:pPr>
            <w:r>
              <w:rPr>
                <w:rFonts w:ascii="Arial" w:hAnsi="Arial"/>
                <w:sz w:val="18"/>
              </w:rPr>
              <w:t>53.8%</w:t>
            </w:r>
          </w:p>
        </w:tc>
        <w:tc>
          <w:tcPr>
            <w:tcW w:w="2257" w:type="dxa"/>
          </w:tcPr>
          <w:p w14:paraId="3B79C2A2" w14:textId="77777777" w:rsidR="00A81986" w:rsidRDefault="0067390B">
            <w:r>
              <w:rPr>
                <w:rFonts w:ascii="Arial" w:hAnsi="Arial"/>
                <w:sz w:val="18"/>
              </w:rPr>
              <w:t>+3.88pp</w:t>
            </w:r>
          </w:p>
        </w:tc>
      </w:tr>
    </w:tbl>
    <w:p w14:paraId="4E2BF600" w14:textId="77777777" w:rsidR="00A81986" w:rsidRDefault="0067390B">
      <w:r>
        <w:rPr>
          <w:rFonts w:ascii="Arial" w:hAnsi="Arial"/>
          <w:i/>
          <w:sz w:val="16"/>
        </w:rPr>
        <w:t>Source: Source: HR Information System. Management defined as Assistant Vice President level and above.</w:t>
      </w:r>
    </w:p>
    <w:p w14:paraId="07893705" w14:textId="77777777" w:rsidR="00A81986" w:rsidRDefault="00A81986"/>
    <w:p w14:paraId="36106633" w14:textId="77777777" w:rsidR="00A81986" w:rsidRDefault="0067390B">
      <w:r>
        <w:rPr>
          <w:rFonts w:ascii="Arial" w:hAnsi="Arial"/>
          <w:b/>
          <w:sz w:val="20"/>
        </w:rPr>
        <w:t>Table 2.1.5: Non-Discrimination Incidents (GRI 406-1)</w:t>
      </w:r>
    </w:p>
    <w:tbl>
      <w:tblPr>
        <w:tblW w:w="0" w:type="auto"/>
        <w:jc w:val="center"/>
        <w:tblLook w:val="04A0" w:firstRow="1" w:lastRow="0" w:firstColumn="1" w:lastColumn="0" w:noHBand="0" w:noVBand="1"/>
      </w:tblPr>
      <w:tblGrid>
        <w:gridCol w:w="3010"/>
        <w:gridCol w:w="3010"/>
        <w:gridCol w:w="3010"/>
      </w:tblGrid>
      <w:tr w:rsidR="00A81986" w14:paraId="0B23AB15" w14:textId="77777777">
        <w:trPr>
          <w:jc w:val="center"/>
        </w:trPr>
        <w:tc>
          <w:tcPr>
            <w:tcW w:w="3010" w:type="dxa"/>
            <w:shd w:val="clear" w:color="auto" w:fill="1B3A6B"/>
          </w:tcPr>
          <w:p w14:paraId="2E2D92E3" w14:textId="77777777" w:rsidR="00A81986" w:rsidRDefault="0067390B">
            <w:r>
              <w:rPr>
                <w:rFonts w:ascii="Arial" w:hAnsi="Arial"/>
                <w:b/>
                <w:color w:val="FFFFFF"/>
                <w:sz w:val="18"/>
              </w:rPr>
              <w:t>Metric</w:t>
            </w:r>
          </w:p>
        </w:tc>
        <w:tc>
          <w:tcPr>
            <w:tcW w:w="3010" w:type="dxa"/>
            <w:shd w:val="clear" w:color="auto" w:fill="1B3A6B"/>
          </w:tcPr>
          <w:p w14:paraId="2568D892" w14:textId="77777777" w:rsidR="00A81986" w:rsidRDefault="0067390B">
            <w:r>
              <w:rPr>
                <w:rFonts w:ascii="Arial" w:hAnsi="Arial"/>
                <w:b/>
                <w:color w:val="FFFFFF"/>
                <w:sz w:val="18"/>
              </w:rPr>
              <w:t>2024</w:t>
            </w:r>
          </w:p>
        </w:tc>
        <w:tc>
          <w:tcPr>
            <w:tcW w:w="3010" w:type="dxa"/>
            <w:shd w:val="clear" w:color="auto" w:fill="1B3A6B"/>
          </w:tcPr>
          <w:p w14:paraId="4249252B" w14:textId="77777777" w:rsidR="00A81986" w:rsidRDefault="0067390B">
            <w:r>
              <w:rPr>
                <w:rFonts w:ascii="Arial" w:hAnsi="Arial"/>
                <w:b/>
                <w:color w:val="FFFFFF"/>
                <w:sz w:val="18"/>
              </w:rPr>
              <w:t>2023</w:t>
            </w:r>
          </w:p>
        </w:tc>
      </w:tr>
      <w:tr w:rsidR="00A81986" w14:paraId="7154575F" w14:textId="77777777">
        <w:trPr>
          <w:jc w:val="center"/>
        </w:trPr>
        <w:tc>
          <w:tcPr>
            <w:tcW w:w="3010" w:type="dxa"/>
          </w:tcPr>
          <w:p w14:paraId="7266EA8A" w14:textId="77777777" w:rsidR="00A81986" w:rsidRDefault="0067390B">
            <w:r>
              <w:rPr>
                <w:rFonts w:ascii="Arial" w:hAnsi="Arial"/>
                <w:sz w:val="18"/>
              </w:rPr>
              <w:t>Discrimination Cases Reported</w:t>
            </w:r>
          </w:p>
        </w:tc>
        <w:tc>
          <w:tcPr>
            <w:tcW w:w="3010" w:type="dxa"/>
          </w:tcPr>
          <w:p w14:paraId="7140ACE3" w14:textId="77777777" w:rsidR="00A81986" w:rsidRDefault="0067390B">
            <w:pPr>
              <w:jc w:val="right"/>
            </w:pPr>
            <w:r>
              <w:rPr>
                <w:rFonts w:ascii="Arial" w:hAnsi="Arial"/>
                <w:sz w:val="18"/>
              </w:rPr>
              <w:t>2</w:t>
            </w:r>
          </w:p>
        </w:tc>
        <w:tc>
          <w:tcPr>
            <w:tcW w:w="3010" w:type="dxa"/>
          </w:tcPr>
          <w:p w14:paraId="59356AF0" w14:textId="77777777" w:rsidR="00A81986" w:rsidRDefault="0067390B">
            <w:pPr>
              <w:jc w:val="right"/>
            </w:pPr>
            <w:r>
              <w:rPr>
                <w:rFonts w:ascii="Arial" w:hAnsi="Arial"/>
                <w:sz w:val="18"/>
              </w:rPr>
              <w:t>3</w:t>
            </w:r>
          </w:p>
        </w:tc>
      </w:tr>
      <w:tr w:rsidR="00A81986" w14:paraId="2064B3D1" w14:textId="77777777">
        <w:trPr>
          <w:jc w:val="center"/>
        </w:trPr>
        <w:tc>
          <w:tcPr>
            <w:tcW w:w="3010" w:type="dxa"/>
            <w:shd w:val="clear" w:color="auto" w:fill="F2F6FC"/>
          </w:tcPr>
          <w:p w14:paraId="4BA8BDB7" w14:textId="77777777" w:rsidR="00A81986" w:rsidRDefault="0067390B">
            <w:r>
              <w:rPr>
                <w:rFonts w:ascii="Arial" w:hAnsi="Arial"/>
                <w:sz w:val="18"/>
              </w:rPr>
              <w:t>Cases Investigated</w:t>
            </w:r>
          </w:p>
        </w:tc>
        <w:tc>
          <w:tcPr>
            <w:tcW w:w="3010" w:type="dxa"/>
            <w:shd w:val="clear" w:color="auto" w:fill="F2F6FC"/>
          </w:tcPr>
          <w:p w14:paraId="2382E608" w14:textId="77777777" w:rsidR="00A81986" w:rsidRDefault="0067390B">
            <w:pPr>
              <w:jc w:val="right"/>
            </w:pPr>
            <w:r>
              <w:rPr>
                <w:rFonts w:ascii="Arial" w:hAnsi="Arial"/>
                <w:sz w:val="18"/>
              </w:rPr>
              <w:t>2</w:t>
            </w:r>
          </w:p>
        </w:tc>
        <w:tc>
          <w:tcPr>
            <w:tcW w:w="3010" w:type="dxa"/>
            <w:shd w:val="clear" w:color="auto" w:fill="F2F6FC"/>
          </w:tcPr>
          <w:p w14:paraId="6FBF7E7F" w14:textId="77777777" w:rsidR="00A81986" w:rsidRDefault="0067390B">
            <w:pPr>
              <w:jc w:val="right"/>
            </w:pPr>
            <w:r>
              <w:rPr>
                <w:rFonts w:ascii="Arial" w:hAnsi="Arial"/>
                <w:sz w:val="18"/>
              </w:rPr>
              <w:t>3</w:t>
            </w:r>
          </w:p>
        </w:tc>
      </w:tr>
      <w:tr w:rsidR="00A81986" w14:paraId="18E8444E" w14:textId="77777777">
        <w:trPr>
          <w:jc w:val="center"/>
        </w:trPr>
        <w:tc>
          <w:tcPr>
            <w:tcW w:w="3010" w:type="dxa"/>
          </w:tcPr>
          <w:p w14:paraId="52531F22" w14:textId="77777777" w:rsidR="00A81986" w:rsidRDefault="0067390B">
            <w:r>
              <w:rPr>
                <w:rFonts w:ascii="Arial" w:hAnsi="Arial"/>
                <w:sz w:val="18"/>
              </w:rPr>
              <w:t>Cases Substantiated</w:t>
            </w:r>
          </w:p>
        </w:tc>
        <w:tc>
          <w:tcPr>
            <w:tcW w:w="3010" w:type="dxa"/>
          </w:tcPr>
          <w:p w14:paraId="59DE3CC2" w14:textId="77777777" w:rsidR="00A81986" w:rsidRDefault="0067390B">
            <w:pPr>
              <w:jc w:val="right"/>
            </w:pPr>
            <w:r>
              <w:rPr>
                <w:rFonts w:ascii="Arial" w:hAnsi="Arial"/>
                <w:sz w:val="18"/>
              </w:rPr>
              <w:t>2</w:t>
            </w:r>
          </w:p>
        </w:tc>
        <w:tc>
          <w:tcPr>
            <w:tcW w:w="3010" w:type="dxa"/>
          </w:tcPr>
          <w:p w14:paraId="3DCDBD69" w14:textId="77777777" w:rsidR="00A81986" w:rsidRDefault="0067390B">
            <w:pPr>
              <w:jc w:val="right"/>
            </w:pPr>
            <w:r>
              <w:rPr>
                <w:rFonts w:ascii="Arial" w:hAnsi="Arial"/>
                <w:sz w:val="18"/>
              </w:rPr>
              <w:t>3</w:t>
            </w:r>
          </w:p>
        </w:tc>
      </w:tr>
      <w:tr w:rsidR="00A81986" w14:paraId="3B62D9A2" w14:textId="77777777">
        <w:trPr>
          <w:jc w:val="center"/>
        </w:trPr>
        <w:tc>
          <w:tcPr>
            <w:tcW w:w="3010" w:type="dxa"/>
            <w:shd w:val="clear" w:color="auto" w:fill="F2F6FC"/>
          </w:tcPr>
          <w:p w14:paraId="2191320A" w14:textId="77777777" w:rsidR="00A81986" w:rsidRDefault="0067390B">
            <w:r>
              <w:rPr>
                <w:rFonts w:ascii="Arial" w:hAnsi="Arial"/>
                <w:sz w:val="18"/>
              </w:rPr>
              <w:t>Remediation Actions Completed</w:t>
            </w:r>
          </w:p>
        </w:tc>
        <w:tc>
          <w:tcPr>
            <w:tcW w:w="3010" w:type="dxa"/>
            <w:shd w:val="clear" w:color="auto" w:fill="F2F6FC"/>
          </w:tcPr>
          <w:p w14:paraId="5A396AF8" w14:textId="77777777" w:rsidR="00A81986" w:rsidRDefault="0067390B">
            <w:pPr>
              <w:jc w:val="right"/>
            </w:pPr>
            <w:r>
              <w:rPr>
                <w:rFonts w:ascii="Arial" w:hAnsi="Arial"/>
                <w:sz w:val="18"/>
              </w:rPr>
              <w:t>2</w:t>
            </w:r>
          </w:p>
        </w:tc>
        <w:tc>
          <w:tcPr>
            <w:tcW w:w="3010" w:type="dxa"/>
            <w:shd w:val="clear" w:color="auto" w:fill="F2F6FC"/>
          </w:tcPr>
          <w:p w14:paraId="67C994EB" w14:textId="77777777" w:rsidR="00A81986" w:rsidRDefault="0067390B">
            <w:pPr>
              <w:jc w:val="right"/>
            </w:pPr>
            <w:r>
              <w:rPr>
                <w:rFonts w:ascii="Arial" w:hAnsi="Arial"/>
                <w:sz w:val="18"/>
              </w:rPr>
              <w:t>3</w:t>
            </w:r>
          </w:p>
        </w:tc>
      </w:tr>
    </w:tbl>
    <w:p w14:paraId="5A43E2A8" w14:textId="77777777" w:rsidR="00A81986" w:rsidRDefault="0067390B">
      <w:r>
        <w:rPr>
          <w:rFonts w:ascii="Arial" w:hAnsi="Arial"/>
          <w:i/>
          <w:sz w:val="16"/>
        </w:rPr>
        <w:t>Source: Source: Compliance and HR grievance mechanism records. All cases investigated per institutional policy.</w:t>
      </w:r>
    </w:p>
    <w:p w14:paraId="795B39D1" w14:textId="77777777" w:rsidR="00A81986" w:rsidRDefault="00A81986"/>
    <w:p w14:paraId="3BC6119E" w14:textId="77777777" w:rsidR="00A81986" w:rsidRDefault="0067390B">
      <w:r>
        <w:rPr>
          <w:rFonts w:ascii="Arial" w:hAnsi="Arial"/>
          <w:b/>
          <w:sz w:val="20"/>
        </w:rPr>
        <w:lastRenderedPageBreak/>
        <w:t>Table 2.1.6: Framework Cross-Reference</w:t>
      </w:r>
    </w:p>
    <w:tbl>
      <w:tblPr>
        <w:tblW w:w="0" w:type="auto"/>
        <w:jc w:val="center"/>
        <w:tblLook w:val="04A0" w:firstRow="1" w:lastRow="0" w:firstColumn="1" w:lastColumn="0" w:noHBand="0" w:noVBand="1"/>
      </w:tblPr>
      <w:tblGrid>
        <w:gridCol w:w="2257"/>
        <w:gridCol w:w="2257"/>
        <w:gridCol w:w="2257"/>
        <w:gridCol w:w="2257"/>
      </w:tblGrid>
      <w:tr w:rsidR="00A81986" w14:paraId="78E838D3" w14:textId="77777777">
        <w:trPr>
          <w:jc w:val="center"/>
        </w:trPr>
        <w:tc>
          <w:tcPr>
            <w:tcW w:w="2257" w:type="dxa"/>
            <w:shd w:val="clear" w:color="auto" w:fill="1B3A6B"/>
          </w:tcPr>
          <w:p w14:paraId="389EBCA1" w14:textId="77777777" w:rsidR="00A81986" w:rsidRDefault="0067390B">
            <w:r>
              <w:rPr>
                <w:rFonts w:ascii="Arial" w:hAnsi="Arial"/>
                <w:b/>
                <w:color w:val="FFFFFF"/>
                <w:sz w:val="18"/>
              </w:rPr>
              <w:t>Framework</w:t>
            </w:r>
          </w:p>
        </w:tc>
        <w:tc>
          <w:tcPr>
            <w:tcW w:w="2257" w:type="dxa"/>
            <w:shd w:val="clear" w:color="auto" w:fill="1B3A6B"/>
          </w:tcPr>
          <w:p w14:paraId="3CB74B59" w14:textId="77777777" w:rsidR="00A81986" w:rsidRDefault="0067390B">
            <w:r>
              <w:rPr>
                <w:rFonts w:ascii="Arial" w:hAnsi="Arial"/>
                <w:b/>
                <w:color w:val="FFFFFF"/>
                <w:sz w:val="18"/>
              </w:rPr>
              <w:t>Disclosure Ref</w:t>
            </w:r>
          </w:p>
        </w:tc>
        <w:tc>
          <w:tcPr>
            <w:tcW w:w="2257" w:type="dxa"/>
            <w:shd w:val="clear" w:color="auto" w:fill="1B3A6B"/>
          </w:tcPr>
          <w:p w14:paraId="5ED26D85" w14:textId="77777777" w:rsidR="00A81986" w:rsidRDefault="0067390B">
            <w:r>
              <w:rPr>
                <w:rFonts w:ascii="Arial" w:hAnsi="Arial"/>
                <w:b/>
                <w:color w:val="FFFFFF"/>
                <w:sz w:val="18"/>
              </w:rPr>
              <w:t>Requirement</w:t>
            </w:r>
          </w:p>
        </w:tc>
        <w:tc>
          <w:tcPr>
            <w:tcW w:w="2257" w:type="dxa"/>
            <w:shd w:val="clear" w:color="auto" w:fill="1B3A6B"/>
          </w:tcPr>
          <w:p w14:paraId="49C07F80" w14:textId="77777777" w:rsidR="00A81986" w:rsidRDefault="0067390B">
            <w:r>
              <w:rPr>
                <w:rFonts w:ascii="Arial" w:hAnsi="Arial"/>
                <w:b/>
                <w:color w:val="FFFFFF"/>
                <w:sz w:val="18"/>
              </w:rPr>
              <w:t>Status</w:t>
            </w:r>
          </w:p>
        </w:tc>
      </w:tr>
      <w:tr w:rsidR="00A81986" w14:paraId="35080E01" w14:textId="77777777">
        <w:trPr>
          <w:jc w:val="center"/>
        </w:trPr>
        <w:tc>
          <w:tcPr>
            <w:tcW w:w="2257" w:type="dxa"/>
          </w:tcPr>
          <w:p w14:paraId="7FD8E2FF" w14:textId="77777777" w:rsidR="00A81986" w:rsidRDefault="0067390B">
            <w:r>
              <w:rPr>
                <w:rFonts w:ascii="Arial" w:hAnsi="Arial"/>
                <w:sz w:val="18"/>
              </w:rPr>
              <w:t>GRI 2-7</w:t>
            </w:r>
          </w:p>
        </w:tc>
        <w:tc>
          <w:tcPr>
            <w:tcW w:w="2257" w:type="dxa"/>
          </w:tcPr>
          <w:p w14:paraId="3E8943A7" w14:textId="77777777" w:rsidR="00A81986" w:rsidRDefault="0067390B">
            <w:r>
              <w:rPr>
                <w:rFonts w:ascii="Arial" w:hAnsi="Arial"/>
                <w:sz w:val="18"/>
              </w:rPr>
              <w:t>2-7a</w:t>
            </w:r>
          </w:p>
        </w:tc>
        <w:tc>
          <w:tcPr>
            <w:tcW w:w="2257" w:type="dxa"/>
          </w:tcPr>
          <w:p w14:paraId="32F5309D" w14:textId="77777777" w:rsidR="00A81986" w:rsidRDefault="0067390B">
            <w:r>
              <w:rPr>
                <w:rFonts w:ascii="Arial" w:hAnsi="Arial"/>
                <w:sz w:val="18"/>
              </w:rPr>
              <w:t>Total employees by gender</w:t>
            </w:r>
          </w:p>
        </w:tc>
        <w:tc>
          <w:tcPr>
            <w:tcW w:w="2257" w:type="dxa"/>
          </w:tcPr>
          <w:p w14:paraId="0356D3CD" w14:textId="77777777" w:rsidR="00A81986" w:rsidRDefault="0067390B">
            <w:r>
              <w:rPr>
                <w:rFonts w:ascii="Arial" w:hAnsi="Arial"/>
                <w:sz w:val="18"/>
              </w:rPr>
              <w:t>✅</w:t>
            </w:r>
            <w:r>
              <w:rPr>
                <w:rFonts w:ascii="Arial" w:hAnsi="Arial"/>
                <w:sz w:val="18"/>
              </w:rPr>
              <w:t xml:space="preserve"> Disclosed</w:t>
            </w:r>
          </w:p>
        </w:tc>
      </w:tr>
      <w:tr w:rsidR="00A81986" w14:paraId="4D8CB425" w14:textId="77777777">
        <w:trPr>
          <w:jc w:val="center"/>
        </w:trPr>
        <w:tc>
          <w:tcPr>
            <w:tcW w:w="2257" w:type="dxa"/>
            <w:shd w:val="clear" w:color="auto" w:fill="F2F6FC"/>
          </w:tcPr>
          <w:p w14:paraId="110E0E7D" w14:textId="77777777" w:rsidR="00A81986" w:rsidRDefault="0067390B">
            <w:r>
              <w:rPr>
                <w:rFonts w:ascii="Arial" w:hAnsi="Arial"/>
                <w:sz w:val="18"/>
              </w:rPr>
              <w:t>GRI 401-1</w:t>
            </w:r>
          </w:p>
        </w:tc>
        <w:tc>
          <w:tcPr>
            <w:tcW w:w="2257" w:type="dxa"/>
            <w:shd w:val="clear" w:color="auto" w:fill="F2F6FC"/>
          </w:tcPr>
          <w:p w14:paraId="634E87E2" w14:textId="77777777" w:rsidR="00A81986" w:rsidRDefault="0067390B">
            <w:r>
              <w:rPr>
                <w:rFonts w:ascii="Arial" w:hAnsi="Arial"/>
                <w:sz w:val="18"/>
              </w:rPr>
              <w:t>401-1a</w:t>
            </w:r>
          </w:p>
        </w:tc>
        <w:tc>
          <w:tcPr>
            <w:tcW w:w="2257" w:type="dxa"/>
            <w:shd w:val="clear" w:color="auto" w:fill="F2F6FC"/>
          </w:tcPr>
          <w:p w14:paraId="56BFC4F6" w14:textId="77777777" w:rsidR="00A81986" w:rsidRDefault="0067390B">
            <w:r>
              <w:rPr>
                <w:rFonts w:ascii="Arial" w:hAnsi="Arial"/>
                <w:sz w:val="18"/>
              </w:rPr>
              <w:t>New hires by gender</w:t>
            </w:r>
          </w:p>
        </w:tc>
        <w:tc>
          <w:tcPr>
            <w:tcW w:w="2257" w:type="dxa"/>
            <w:shd w:val="clear" w:color="auto" w:fill="F2F6FC"/>
          </w:tcPr>
          <w:p w14:paraId="15F405BC" w14:textId="77777777" w:rsidR="00A81986" w:rsidRDefault="0067390B">
            <w:r>
              <w:rPr>
                <w:rFonts w:ascii="Arial" w:hAnsi="Arial"/>
                <w:sz w:val="18"/>
              </w:rPr>
              <w:t>✅</w:t>
            </w:r>
            <w:r>
              <w:rPr>
                <w:rFonts w:ascii="Arial" w:hAnsi="Arial"/>
                <w:sz w:val="18"/>
              </w:rPr>
              <w:t xml:space="preserve"> Disclosed (aggregate)</w:t>
            </w:r>
          </w:p>
        </w:tc>
      </w:tr>
      <w:tr w:rsidR="00A81986" w14:paraId="20FAC71A" w14:textId="77777777">
        <w:trPr>
          <w:jc w:val="center"/>
        </w:trPr>
        <w:tc>
          <w:tcPr>
            <w:tcW w:w="2257" w:type="dxa"/>
          </w:tcPr>
          <w:p w14:paraId="29E7C7C9" w14:textId="77777777" w:rsidR="00A81986" w:rsidRDefault="0067390B">
            <w:r>
              <w:rPr>
                <w:rFonts w:ascii="Arial" w:hAnsi="Arial"/>
                <w:sz w:val="18"/>
              </w:rPr>
              <w:t>GRI 401-1</w:t>
            </w:r>
          </w:p>
        </w:tc>
        <w:tc>
          <w:tcPr>
            <w:tcW w:w="2257" w:type="dxa"/>
          </w:tcPr>
          <w:p w14:paraId="3BE8236A" w14:textId="77777777" w:rsidR="00A81986" w:rsidRDefault="0067390B">
            <w:r>
              <w:rPr>
                <w:rFonts w:ascii="Arial" w:hAnsi="Arial"/>
                <w:sz w:val="18"/>
              </w:rPr>
              <w:t>401-1b</w:t>
            </w:r>
          </w:p>
        </w:tc>
        <w:tc>
          <w:tcPr>
            <w:tcW w:w="2257" w:type="dxa"/>
          </w:tcPr>
          <w:p w14:paraId="53A37897" w14:textId="77777777" w:rsidR="00A81986" w:rsidRDefault="0067390B">
            <w:r>
              <w:rPr>
                <w:rFonts w:ascii="Arial" w:hAnsi="Arial"/>
                <w:sz w:val="18"/>
              </w:rPr>
              <w:t>Employee turnover</w:t>
            </w:r>
          </w:p>
        </w:tc>
        <w:tc>
          <w:tcPr>
            <w:tcW w:w="2257" w:type="dxa"/>
          </w:tcPr>
          <w:p w14:paraId="415625F4" w14:textId="77777777" w:rsidR="00A81986" w:rsidRDefault="0067390B">
            <w:r>
              <w:rPr>
                <w:rFonts w:ascii="Arial" w:hAnsi="Arial"/>
                <w:sz w:val="18"/>
              </w:rPr>
              <w:t>✅</w:t>
            </w:r>
            <w:r>
              <w:rPr>
                <w:rFonts w:ascii="Arial" w:hAnsi="Arial"/>
                <w:sz w:val="18"/>
              </w:rPr>
              <w:t xml:space="preserve"> Disclosed</w:t>
            </w:r>
          </w:p>
        </w:tc>
      </w:tr>
      <w:tr w:rsidR="00A81986" w14:paraId="1ABA6354" w14:textId="77777777">
        <w:trPr>
          <w:jc w:val="center"/>
        </w:trPr>
        <w:tc>
          <w:tcPr>
            <w:tcW w:w="2257" w:type="dxa"/>
            <w:shd w:val="clear" w:color="auto" w:fill="F2F6FC"/>
          </w:tcPr>
          <w:p w14:paraId="4FB4F288" w14:textId="77777777" w:rsidR="00A81986" w:rsidRDefault="0067390B">
            <w:r>
              <w:rPr>
                <w:rFonts w:ascii="Arial" w:hAnsi="Arial"/>
                <w:sz w:val="18"/>
              </w:rPr>
              <w:t>GRI 404-1</w:t>
            </w:r>
          </w:p>
        </w:tc>
        <w:tc>
          <w:tcPr>
            <w:tcW w:w="2257" w:type="dxa"/>
            <w:shd w:val="clear" w:color="auto" w:fill="F2F6FC"/>
          </w:tcPr>
          <w:p w14:paraId="6BC92D2F" w14:textId="77777777" w:rsidR="00A81986" w:rsidRDefault="0067390B">
            <w:r>
              <w:rPr>
                <w:rFonts w:ascii="Arial" w:hAnsi="Arial"/>
                <w:sz w:val="18"/>
              </w:rPr>
              <w:t>404-1a</w:t>
            </w:r>
          </w:p>
        </w:tc>
        <w:tc>
          <w:tcPr>
            <w:tcW w:w="2257" w:type="dxa"/>
            <w:shd w:val="clear" w:color="auto" w:fill="F2F6FC"/>
          </w:tcPr>
          <w:p w14:paraId="1FD765DA" w14:textId="77777777" w:rsidR="00A81986" w:rsidRDefault="0067390B">
            <w:r>
              <w:rPr>
                <w:rFonts w:ascii="Arial" w:hAnsi="Arial"/>
                <w:sz w:val="18"/>
              </w:rPr>
              <w:t>Average training hours</w:t>
            </w:r>
          </w:p>
        </w:tc>
        <w:tc>
          <w:tcPr>
            <w:tcW w:w="2257" w:type="dxa"/>
            <w:shd w:val="clear" w:color="auto" w:fill="F2F6FC"/>
          </w:tcPr>
          <w:p w14:paraId="256B26C0" w14:textId="77777777" w:rsidR="00A81986" w:rsidRDefault="0067390B">
            <w:r>
              <w:rPr>
                <w:rFonts w:ascii="Arial" w:hAnsi="Arial"/>
                <w:sz w:val="18"/>
              </w:rPr>
              <w:t>✅</w:t>
            </w:r>
            <w:r>
              <w:rPr>
                <w:rFonts w:ascii="Arial" w:hAnsi="Arial"/>
                <w:sz w:val="18"/>
              </w:rPr>
              <w:t xml:space="preserve"> Disclosed</w:t>
            </w:r>
          </w:p>
        </w:tc>
      </w:tr>
      <w:tr w:rsidR="00A81986" w14:paraId="19567F9E" w14:textId="77777777">
        <w:trPr>
          <w:jc w:val="center"/>
        </w:trPr>
        <w:tc>
          <w:tcPr>
            <w:tcW w:w="2257" w:type="dxa"/>
          </w:tcPr>
          <w:p w14:paraId="7B813D3E" w14:textId="77777777" w:rsidR="00A81986" w:rsidRDefault="0067390B">
            <w:r>
              <w:rPr>
                <w:rFonts w:ascii="Arial" w:hAnsi="Arial"/>
                <w:sz w:val="18"/>
              </w:rPr>
              <w:t>GRI 405-1</w:t>
            </w:r>
          </w:p>
        </w:tc>
        <w:tc>
          <w:tcPr>
            <w:tcW w:w="2257" w:type="dxa"/>
          </w:tcPr>
          <w:p w14:paraId="2817686A" w14:textId="77777777" w:rsidR="00A81986" w:rsidRDefault="0067390B">
            <w:r>
              <w:rPr>
                <w:rFonts w:ascii="Arial" w:hAnsi="Arial"/>
                <w:sz w:val="18"/>
              </w:rPr>
              <w:t>405-1a</w:t>
            </w:r>
          </w:p>
        </w:tc>
        <w:tc>
          <w:tcPr>
            <w:tcW w:w="2257" w:type="dxa"/>
          </w:tcPr>
          <w:p w14:paraId="250D6BC6" w14:textId="77777777" w:rsidR="00A81986" w:rsidRDefault="0067390B">
            <w:r>
              <w:rPr>
                <w:rFonts w:ascii="Arial" w:hAnsi="Arial"/>
                <w:sz w:val="18"/>
              </w:rPr>
              <w:t>Diversity of employees</w:t>
            </w:r>
          </w:p>
        </w:tc>
        <w:tc>
          <w:tcPr>
            <w:tcW w:w="2257" w:type="dxa"/>
          </w:tcPr>
          <w:p w14:paraId="0EEC466D" w14:textId="77777777" w:rsidR="00A81986" w:rsidRDefault="0067390B">
            <w:r>
              <w:rPr>
                <w:rFonts w:ascii="Arial" w:hAnsi="Arial"/>
                <w:sz w:val="18"/>
              </w:rPr>
              <w:t>✅</w:t>
            </w:r>
            <w:r>
              <w:rPr>
                <w:rFonts w:ascii="Arial" w:hAnsi="Arial"/>
                <w:sz w:val="18"/>
              </w:rPr>
              <w:t xml:space="preserve"> Disclosed</w:t>
            </w:r>
          </w:p>
        </w:tc>
      </w:tr>
      <w:tr w:rsidR="00A81986" w14:paraId="514DF0EE" w14:textId="77777777">
        <w:trPr>
          <w:jc w:val="center"/>
        </w:trPr>
        <w:tc>
          <w:tcPr>
            <w:tcW w:w="2257" w:type="dxa"/>
            <w:shd w:val="clear" w:color="auto" w:fill="F2F6FC"/>
          </w:tcPr>
          <w:p w14:paraId="266A96D5" w14:textId="77777777" w:rsidR="00A81986" w:rsidRDefault="0067390B">
            <w:r>
              <w:rPr>
                <w:rFonts w:ascii="Arial" w:hAnsi="Arial"/>
                <w:sz w:val="18"/>
              </w:rPr>
              <w:t>GRI 405-1</w:t>
            </w:r>
          </w:p>
        </w:tc>
        <w:tc>
          <w:tcPr>
            <w:tcW w:w="2257" w:type="dxa"/>
            <w:shd w:val="clear" w:color="auto" w:fill="F2F6FC"/>
          </w:tcPr>
          <w:p w14:paraId="62293953" w14:textId="77777777" w:rsidR="00A81986" w:rsidRDefault="0067390B">
            <w:r>
              <w:rPr>
                <w:rFonts w:ascii="Arial" w:hAnsi="Arial"/>
                <w:sz w:val="18"/>
              </w:rPr>
              <w:t>405-1b</w:t>
            </w:r>
          </w:p>
        </w:tc>
        <w:tc>
          <w:tcPr>
            <w:tcW w:w="2257" w:type="dxa"/>
            <w:shd w:val="clear" w:color="auto" w:fill="F2F6FC"/>
          </w:tcPr>
          <w:p w14:paraId="62891E16" w14:textId="77777777" w:rsidR="00A81986" w:rsidRDefault="0067390B">
            <w:r>
              <w:rPr>
                <w:rFonts w:ascii="Arial" w:hAnsi="Arial"/>
                <w:sz w:val="18"/>
              </w:rPr>
              <w:t>Gender ratio in management</w:t>
            </w:r>
          </w:p>
        </w:tc>
        <w:tc>
          <w:tcPr>
            <w:tcW w:w="2257" w:type="dxa"/>
            <w:shd w:val="clear" w:color="auto" w:fill="F2F6FC"/>
          </w:tcPr>
          <w:p w14:paraId="41541246" w14:textId="77777777" w:rsidR="00A81986" w:rsidRDefault="0067390B">
            <w:r>
              <w:rPr>
                <w:rFonts w:ascii="Arial" w:hAnsi="Arial"/>
                <w:sz w:val="18"/>
              </w:rPr>
              <w:t>✅</w:t>
            </w:r>
            <w:r>
              <w:rPr>
                <w:rFonts w:ascii="Arial" w:hAnsi="Arial"/>
                <w:sz w:val="18"/>
              </w:rPr>
              <w:t xml:space="preserve"> Disclosed</w:t>
            </w:r>
          </w:p>
        </w:tc>
      </w:tr>
      <w:tr w:rsidR="00A81986" w14:paraId="1146CD55" w14:textId="77777777">
        <w:trPr>
          <w:jc w:val="center"/>
        </w:trPr>
        <w:tc>
          <w:tcPr>
            <w:tcW w:w="2257" w:type="dxa"/>
          </w:tcPr>
          <w:p w14:paraId="3620AAB6" w14:textId="77777777" w:rsidR="00A81986" w:rsidRDefault="0067390B">
            <w:r>
              <w:rPr>
                <w:rFonts w:ascii="Arial" w:hAnsi="Arial"/>
                <w:sz w:val="18"/>
              </w:rPr>
              <w:t>GRI 406-1</w:t>
            </w:r>
          </w:p>
        </w:tc>
        <w:tc>
          <w:tcPr>
            <w:tcW w:w="2257" w:type="dxa"/>
          </w:tcPr>
          <w:p w14:paraId="1E41D033" w14:textId="77777777" w:rsidR="00A81986" w:rsidRDefault="0067390B">
            <w:r>
              <w:rPr>
                <w:rFonts w:ascii="Arial" w:hAnsi="Arial"/>
                <w:sz w:val="18"/>
              </w:rPr>
              <w:t>406-1a</w:t>
            </w:r>
          </w:p>
        </w:tc>
        <w:tc>
          <w:tcPr>
            <w:tcW w:w="2257" w:type="dxa"/>
          </w:tcPr>
          <w:p w14:paraId="5DDD0453" w14:textId="77777777" w:rsidR="00A81986" w:rsidRDefault="0067390B">
            <w:r>
              <w:rPr>
                <w:rFonts w:ascii="Arial" w:hAnsi="Arial"/>
                <w:sz w:val="18"/>
              </w:rPr>
              <w:t>Discrimination incidents</w:t>
            </w:r>
          </w:p>
        </w:tc>
        <w:tc>
          <w:tcPr>
            <w:tcW w:w="2257" w:type="dxa"/>
          </w:tcPr>
          <w:p w14:paraId="02FBCF27" w14:textId="77777777" w:rsidR="00A81986" w:rsidRDefault="0067390B">
            <w:r>
              <w:rPr>
                <w:rFonts w:ascii="Arial" w:hAnsi="Arial"/>
                <w:sz w:val="18"/>
              </w:rPr>
              <w:t>✅</w:t>
            </w:r>
            <w:r>
              <w:rPr>
                <w:rFonts w:ascii="Arial" w:hAnsi="Arial"/>
                <w:sz w:val="18"/>
              </w:rPr>
              <w:t xml:space="preserve"> Disclosed</w:t>
            </w:r>
          </w:p>
        </w:tc>
      </w:tr>
      <w:tr w:rsidR="00A81986" w14:paraId="2BD107AC" w14:textId="77777777">
        <w:trPr>
          <w:jc w:val="center"/>
        </w:trPr>
        <w:tc>
          <w:tcPr>
            <w:tcW w:w="2257" w:type="dxa"/>
            <w:shd w:val="clear" w:color="auto" w:fill="F2F6FC"/>
          </w:tcPr>
          <w:p w14:paraId="643FF844" w14:textId="77777777" w:rsidR="00A81986" w:rsidRDefault="0067390B">
            <w:r>
              <w:rPr>
                <w:rFonts w:ascii="Arial" w:hAnsi="Arial"/>
                <w:sz w:val="18"/>
              </w:rPr>
              <w:t>ESRS S1</w:t>
            </w:r>
          </w:p>
        </w:tc>
        <w:tc>
          <w:tcPr>
            <w:tcW w:w="2257" w:type="dxa"/>
            <w:shd w:val="clear" w:color="auto" w:fill="F2F6FC"/>
          </w:tcPr>
          <w:p w14:paraId="05243700" w14:textId="77777777" w:rsidR="00A81986" w:rsidRDefault="0067390B">
            <w:r>
              <w:rPr>
                <w:rFonts w:ascii="Arial" w:hAnsi="Arial"/>
                <w:sz w:val="18"/>
              </w:rPr>
              <w:t>Own Workforce</w:t>
            </w:r>
          </w:p>
        </w:tc>
        <w:tc>
          <w:tcPr>
            <w:tcW w:w="2257" w:type="dxa"/>
            <w:shd w:val="clear" w:color="auto" w:fill="F2F6FC"/>
          </w:tcPr>
          <w:p w14:paraId="595EBCDC" w14:textId="77777777" w:rsidR="00A81986" w:rsidRDefault="0067390B">
            <w:r>
              <w:rPr>
                <w:rFonts w:ascii="Arial" w:hAnsi="Arial"/>
                <w:sz w:val="18"/>
              </w:rPr>
              <w:t>Workforce composition</w:t>
            </w:r>
          </w:p>
        </w:tc>
        <w:tc>
          <w:tcPr>
            <w:tcW w:w="2257" w:type="dxa"/>
            <w:shd w:val="clear" w:color="auto" w:fill="F2F6FC"/>
          </w:tcPr>
          <w:p w14:paraId="2280372A" w14:textId="77777777" w:rsidR="00A81986" w:rsidRDefault="0067390B">
            <w:r>
              <w:rPr>
                <w:rFonts w:ascii="Arial" w:hAnsi="Arial"/>
                <w:sz w:val="18"/>
              </w:rPr>
              <w:t>✅</w:t>
            </w:r>
            <w:r>
              <w:rPr>
                <w:rFonts w:ascii="Arial" w:hAnsi="Arial"/>
                <w:sz w:val="18"/>
              </w:rPr>
              <w:t xml:space="preserve"> Disclosed</w:t>
            </w:r>
          </w:p>
        </w:tc>
      </w:tr>
      <w:tr w:rsidR="00A81986" w14:paraId="794DD4B9" w14:textId="77777777">
        <w:trPr>
          <w:jc w:val="center"/>
        </w:trPr>
        <w:tc>
          <w:tcPr>
            <w:tcW w:w="2257" w:type="dxa"/>
          </w:tcPr>
          <w:p w14:paraId="0D201AEB" w14:textId="77777777" w:rsidR="00A81986" w:rsidRDefault="0067390B">
            <w:r>
              <w:rPr>
                <w:rFonts w:ascii="Arial" w:hAnsi="Arial"/>
                <w:sz w:val="18"/>
              </w:rPr>
              <w:t>OJK PSPK</w:t>
            </w:r>
          </w:p>
        </w:tc>
        <w:tc>
          <w:tcPr>
            <w:tcW w:w="2257" w:type="dxa"/>
          </w:tcPr>
          <w:p w14:paraId="23B55D26" w14:textId="77777777" w:rsidR="00A81986" w:rsidRDefault="0067390B">
            <w:r>
              <w:rPr>
                <w:rFonts w:ascii="Arial" w:hAnsi="Arial"/>
                <w:sz w:val="18"/>
              </w:rPr>
              <w:t>Kinerja Sosial</w:t>
            </w:r>
          </w:p>
        </w:tc>
        <w:tc>
          <w:tcPr>
            <w:tcW w:w="2257" w:type="dxa"/>
          </w:tcPr>
          <w:p w14:paraId="7FC341FC" w14:textId="77777777" w:rsidR="00A81986" w:rsidRDefault="0067390B">
            <w:r>
              <w:rPr>
                <w:rFonts w:ascii="Arial" w:hAnsi="Arial"/>
                <w:sz w:val="18"/>
              </w:rPr>
              <w:t>Tenaga kerja &amp; kesetaraan</w:t>
            </w:r>
          </w:p>
        </w:tc>
        <w:tc>
          <w:tcPr>
            <w:tcW w:w="2257" w:type="dxa"/>
          </w:tcPr>
          <w:p w14:paraId="00C74FD2" w14:textId="77777777" w:rsidR="00A81986" w:rsidRDefault="0067390B">
            <w:r>
              <w:rPr>
                <w:rFonts w:ascii="Arial" w:hAnsi="Arial"/>
                <w:sz w:val="18"/>
              </w:rPr>
              <w:t>✅</w:t>
            </w:r>
            <w:r>
              <w:rPr>
                <w:rFonts w:ascii="Arial" w:hAnsi="Arial"/>
                <w:sz w:val="18"/>
              </w:rPr>
              <w:t xml:space="preserve"> Disclosed</w:t>
            </w:r>
          </w:p>
        </w:tc>
      </w:tr>
    </w:tbl>
    <w:p w14:paraId="39E6A835" w14:textId="77777777" w:rsidR="00A81986" w:rsidRDefault="0067390B">
      <w:r>
        <w:rPr>
          <w:rFonts w:ascii="Arial" w:hAnsi="Arial"/>
          <w:i/>
          <w:sz w:val="16"/>
        </w:rPr>
        <w:t>Source: Framework alignment assessment based on disclosed metrics in this section.</w:t>
      </w:r>
    </w:p>
    <w:p w14:paraId="60CFC6F4" w14:textId="77777777" w:rsidR="00A81986" w:rsidRDefault="00A81986"/>
    <w:p w14:paraId="1E106658" w14:textId="77777777" w:rsidR="00A81986" w:rsidRDefault="0067390B">
      <w:pPr>
        <w:spacing w:after="160"/>
        <w:jc w:val="both"/>
      </w:pPr>
      <w:r>
        <w:rPr>
          <w:rFonts w:ascii="Arial" w:hAnsi="Arial"/>
          <w:i/>
          <w:color w:val="646464"/>
          <w:sz w:val="18"/>
        </w:rPr>
        <w:t>[Chart: Workforce Gender Composition (2024) — matplotlib layer not installed]</w:t>
      </w:r>
    </w:p>
    <w:p w14:paraId="7633006D" w14:textId="77777777" w:rsidR="00A81986" w:rsidRDefault="0067390B">
      <w:pPr>
        <w:spacing w:after="160"/>
        <w:jc w:val="both"/>
      </w:pPr>
      <w:r>
        <w:rPr>
          <w:rFonts w:ascii="Arial" w:hAnsi="Arial"/>
          <w:i/>
          <w:color w:val="646464"/>
          <w:sz w:val="18"/>
        </w:rPr>
        <w:t>[Chart: Training Hours per FTE: Peer Comparison — matplotlib layer not installed]</w:t>
      </w:r>
    </w:p>
    <w:p w14:paraId="1DA45A39" w14:textId="77777777" w:rsidR="00A81986" w:rsidRDefault="0067390B">
      <w:pPr>
        <w:spacing w:after="160"/>
        <w:jc w:val="both"/>
      </w:pPr>
      <w:r>
        <w:rPr>
          <w:rFonts w:ascii="Arial" w:hAnsi="Arial"/>
          <w:i/>
          <w:color w:val="646464"/>
          <w:sz w:val="18"/>
        </w:rPr>
        <w:t>[Chart: Female Management Representation: Peer Comparison — matplotlib layer not installed]</w:t>
      </w:r>
    </w:p>
    <w:p w14:paraId="452603AA" w14:textId="77777777" w:rsidR="00A81986" w:rsidRDefault="0067390B">
      <w:pPr>
        <w:spacing w:after="160"/>
        <w:jc w:val="both"/>
      </w:pPr>
      <w:r>
        <w:rPr>
          <w:rFonts w:ascii="Arial" w:hAnsi="Arial"/>
          <w:i/>
          <w:color w:val="646464"/>
          <w:sz w:val="18"/>
        </w:rPr>
        <w:t>[Chart: Voluntary Turnover Rate Trend — matplotlib layer not installed]</w:t>
      </w:r>
    </w:p>
    <w:p w14:paraId="5E676B1F" w14:textId="77777777" w:rsidR="00A81986" w:rsidRDefault="00A81986"/>
    <w:p w14:paraId="40856059" w14:textId="77777777" w:rsidR="00A81986" w:rsidRDefault="0067390B">
      <w:r>
        <w:rPr>
          <w:b/>
          <w:color w:val="4A7AB5"/>
          <w:sz w:val="24"/>
        </w:rPr>
        <w:t>Diagnostic Analysis</w:t>
      </w:r>
    </w:p>
    <w:p w14:paraId="57CE193C" w14:textId="77777777" w:rsidR="00A81986" w:rsidRDefault="0067390B">
      <w:pPr>
        <w:spacing w:after="160"/>
        <w:jc w:val="both"/>
      </w:pPr>
      <w:r>
        <w:rPr>
          <w:rFonts w:ascii="Arial" w:hAnsi="Arial"/>
        </w:rPr>
        <w:t>The workforce data reveals a paradox: strong retention performance (turnover down 40.66%) coupled with declining investment in human capital development (training down 23.14%) and eroding gender diversity (female management down 1.78pp, overall female representation down 3.88pp). The 2.03% headcount growth was male-dominated (+1,237 male vs -740 female employees), suggesting gender-blind hiring or insufficient pipeline development for female talent. The training hour reduction may reflect efficiency gains t</w:t>
      </w:r>
      <w:r>
        <w:rPr>
          <w:rFonts w:ascii="Arial" w:hAnsi="Arial"/>
        </w:rPr>
        <w:t>hrough digital learning, but the absolute gap versus peers (12.7 hours below BRI, 13.3 hours below OCBC) indicates under-investment in capability building. Female management representation at 26.67% is less than half of BCA's 61.6% and trails DBS's 38%, pointing to structural barriers in leadership advancement for women.</w:t>
      </w:r>
    </w:p>
    <w:p w14:paraId="18AB0A03" w14:textId="77777777" w:rsidR="00A81986" w:rsidRDefault="0067390B">
      <w:r>
        <w:rPr>
          <w:b/>
        </w:rPr>
        <w:t>Root Causes:</w:t>
      </w:r>
    </w:p>
    <w:p w14:paraId="74ABC830" w14:textId="77777777" w:rsidR="00A81986" w:rsidRDefault="0067390B">
      <w:pPr>
        <w:spacing w:after="160"/>
        <w:jc w:val="both"/>
      </w:pPr>
      <w:r>
        <w:rPr>
          <w:rFonts w:ascii="Arial" w:hAnsi="Arial"/>
        </w:rPr>
        <w:t>• Training budget optimization prioritized cost reduction over volume, resulting in 23.14% decline in hours per FTE despite 2.03% headcount growth</w:t>
      </w:r>
    </w:p>
    <w:p w14:paraId="7D2BD4FE" w14:textId="77777777" w:rsidR="00A81986" w:rsidRDefault="0067390B">
      <w:pPr>
        <w:spacing w:after="160"/>
        <w:jc w:val="both"/>
      </w:pPr>
      <w:r>
        <w:rPr>
          <w:rFonts w:ascii="Arial" w:hAnsi="Arial"/>
        </w:rPr>
        <w:lastRenderedPageBreak/>
        <w:t>• Hiring strategy in 2024 favored male candidates (net +1,237 male vs -740 female), reversing prior gender balance (46.2% female in 2023 to 42.32% in 2024)</w:t>
      </w:r>
    </w:p>
    <w:p w14:paraId="15970259" w14:textId="77777777" w:rsidR="00A81986" w:rsidRDefault="0067390B">
      <w:pPr>
        <w:spacing w:after="160"/>
        <w:jc w:val="both"/>
      </w:pPr>
      <w:r>
        <w:rPr>
          <w:rFonts w:ascii="Arial" w:hAnsi="Arial"/>
        </w:rPr>
        <w:t>• Leadership pipeline for women appears constrained, with female management representation declining 1.78pp despite overall workforce growth</w:t>
      </w:r>
    </w:p>
    <w:p w14:paraId="5D41BD5D" w14:textId="77777777" w:rsidR="00A81986" w:rsidRDefault="0067390B">
      <w:pPr>
        <w:spacing w:after="160"/>
        <w:jc w:val="both"/>
      </w:pPr>
      <w:r>
        <w:rPr>
          <w:rFonts w:ascii="Arial" w:hAnsi="Arial"/>
        </w:rPr>
        <w:t>• Absence of disclosed gender pay equity metrics suggests data systems may not capture this information, or strategic decision to withhold transparency</w:t>
      </w:r>
    </w:p>
    <w:p w14:paraId="3E0A78FE" w14:textId="77777777" w:rsidR="00A81986" w:rsidRDefault="0067390B">
      <w:r>
        <w:rPr>
          <w:b/>
        </w:rPr>
        <w:t>Risk Implications:</w:t>
      </w:r>
    </w:p>
    <w:p w14:paraId="32D08ACE" w14:textId="77777777" w:rsidR="00A81986" w:rsidRDefault="0067390B">
      <w:pPr>
        <w:spacing w:after="160"/>
        <w:jc w:val="both"/>
      </w:pPr>
      <w:r>
        <w:rPr>
          <w:rFonts w:ascii="Arial" w:hAnsi="Arial"/>
        </w:rPr>
        <w:t>• Regulatory risk: OJK POJK 51/2017 emphasizes social performance including workforce development and equal opportunity. Declining diversity trends may attract regulatory scrutiny.</w:t>
      </w:r>
    </w:p>
    <w:p w14:paraId="0569D536" w14:textId="77777777" w:rsidR="00A81986" w:rsidRDefault="0067390B">
      <w:pPr>
        <w:spacing w:after="160"/>
        <w:jc w:val="both"/>
      </w:pPr>
      <w:r>
        <w:rPr>
          <w:rFonts w:ascii="Arial" w:hAnsi="Arial"/>
        </w:rPr>
        <w:t>• Talent risk: Training investment below peers (49.3 vs 62+ hours) may impair workforce readiness for digital transformation and ESG integration, critical for competitive positioning.</w:t>
      </w:r>
    </w:p>
    <w:p w14:paraId="482519F6" w14:textId="77777777" w:rsidR="00A81986" w:rsidRDefault="0067390B">
      <w:pPr>
        <w:spacing w:after="160"/>
        <w:jc w:val="both"/>
      </w:pPr>
      <w:r>
        <w:rPr>
          <w:rFonts w:ascii="Arial" w:hAnsi="Arial"/>
        </w:rPr>
        <w:t>• Reputational risk: Gender diversity regression contradicts global ESG investor expectations. MSCI and Sustainalytics assessments penalize declining social metrics, potentially impacting ESG ratings and access to sustainable finance.</w:t>
      </w:r>
    </w:p>
    <w:p w14:paraId="5261C5B0" w14:textId="77777777" w:rsidR="00A81986" w:rsidRDefault="0067390B">
      <w:pPr>
        <w:spacing w:after="160"/>
        <w:jc w:val="both"/>
      </w:pPr>
      <w:r>
        <w:rPr>
          <w:rFonts w:ascii="Arial" w:hAnsi="Arial"/>
        </w:rPr>
        <w:t>• Operational risk: Reduced training hours may create competency gaps in risk management, compliance, and customer service—areas requiring continuous upskilling in evolving regulatory landscape.</w:t>
      </w:r>
    </w:p>
    <w:p w14:paraId="0BE9CA2E" w14:textId="77777777" w:rsidR="00A81986" w:rsidRDefault="00A81986"/>
    <w:p w14:paraId="22FE0700" w14:textId="77777777" w:rsidR="00A81986" w:rsidRDefault="0067390B">
      <w:r>
        <w:rPr>
          <w:b/>
          <w:color w:val="1B5E20"/>
          <w:sz w:val="24"/>
        </w:rPr>
        <w:t>⚡</w:t>
      </w:r>
      <w:r>
        <w:rPr>
          <w:b/>
          <w:color w:val="1B5E20"/>
          <w:sz w:val="24"/>
        </w:rPr>
        <w:t xml:space="preserve"> Priority Actions</w:t>
      </w:r>
    </w:p>
    <w:p w14:paraId="065F5F00" w14:textId="77777777" w:rsidR="00A81986" w:rsidRDefault="0067390B">
      <w:r>
        <w:rPr>
          <w:b/>
        </w:rPr>
        <w:t>🔴</w:t>
      </w:r>
      <w:r>
        <w:rPr>
          <w:b/>
        </w:rPr>
        <w:t xml:space="preserve"> 1. Deploy scalable e-learning platform with mandatory 60-hour annual training requirement per FTE, including 8-hour ESG module for all levels (Board to non-staff). Adopt BCA's model of annual ESG refresher programs in collaboration with GRI, CDP, and OJK.</w:t>
      </w:r>
      <w:r>
        <w:t xml:space="preserve"> (Q3 2025)</w:t>
      </w:r>
    </w:p>
    <w:p w14:paraId="13CC27DE" w14:textId="77777777" w:rsidR="00A81986" w:rsidRDefault="0067390B">
      <w:pPr>
        <w:spacing w:after="160"/>
        <w:jc w:val="both"/>
      </w:pPr>
      <w:r>
        <w:rPr>
          <w:rFonts w:ascii="Arial" w:hAnsi="Arial"/>
        </w:rPr>
        <w:t xml:space="preserve">    → Expected: Increase training hours from 49.3 to 60+ per FTE (+21.7% improvement); achieve 100% ESG literacy across workforce within 12 months</w:t>
      </w:r>
    </w:p>
    <w:p w14:paraId="1A223137" w14:textId="77777777" w:rsidR="00A81986" w:rsidRDefault="0067390B">
      <w:pPr>
        <w:spacing w:after="160"/>
        <w:jc w:val="both"/>
      </w:pPr>
      <w:r>
        <w:rPr>
          <w:rFonts w:ascii="Arial" w:hAnsi="Arial"/>
          <w:i/>
          <w:color w:val="646464"/>
          <w:sz w:val="18"/>
        </w:rPr>
        <w:t xml:space="preserve">    → Ref: BCA: 62.4 hrs/FTE via hybrid delivery + mandatory ESG training all levels; OCBC: 62.6 hrs/FTE with structured learning paths</w:t>
      </w:r>
    </w:p>
    <w:p w14:paraId="2CC6BBFC" w14:textId="77777777" w:rsidR="00A81986" w:rsidRDefault="0067390B">
      <w:r>
        <w:rPr>
          <w:b/>
        </w:rPr>
        <w:t>🔴</w:t>
      </w:r>
      <w:r>
        <w:rPr>
          <w:b/>
        </w:rPr>
        <w:t xml:space="preserve"> 2. Establish Board-approved target of 30% female management representation by December 2026, with quarterly tracking. Launch mentorship program pairing high-potential female middle managers with C-suite sponsors. Conduct internal gender pay audit and commit to public disclosure of gender pay ratio in 2025 Sustainability Report.</w:t>
      </w:r>
      <w:r>
        <w:t xml:space="preserve"> (Q2 2025)</w:t>
      </w:r>
    </w:p>
    <w:p w14:paraId="5F268471" w14:textId="77777777" w:rsidR="00A81986" w:rsidRDefault="0067390B">
      <w:pPr>
        <w:spacing w:after="160"/>
        <w:jc w:val="both"/>
      </w:pPr>
      <w:r>
        <w:rPr>
          <w:rFonts w:ascii="Arial" w:hAnsi="Arial"/>
        </w:rPr>
        <w:t xml:space="preserve">    → Expected: Increase female management from 26.67% to 30% (+3.33pp) within 24 months; achieve pay equity transparency per DBS standard</w:t>
      </w:r>
    </w:p>
    <w:p w14:paraId="63B3D158" w14:textId="77777777" w:rsidR="00A81986" w:rsidRDefault="0067390B">
      <w:pPr>
        <w:spacing w:after="160"/>
        <w:jc w:val="both"/>
      </w:pPr>
      <w:r>
        <w:rPr>
          <w:rFonts w:ascii="Arial" w:hAnsi="Arial"/>
          <w:i/>
          <w:color w:val="646464"/>
          <w:sz w:val="18"/>
        </w:rPr>
        <w:t xml:space="preserve">    → Ref: BCA: 61.6% female management via succession planning; DBS: 38% female management + 1:0.99 gender pay ratio disclosed publicly</w:t>
      </w:r>
    </w:p>
    <w:p w14:paraId="04730533" w14:textId="77777777" w:rsidR="00A81986" w:rsidRDefault="0067390B">
      <w:r>
        <w:rPr>
          <w:b/>
        </w:rPr>
        <w:lastRenderedPageBreak/>
        <w:t>🟡</w:t>
      </w:r>
      <w:r>
        <w:rPr>
          <w:b/>
        </w:rPr>
        <w:t xml:space="preserve"> 3. Implement gender-balanced hiring targets (minimum 40% female for all new hires) and require gender-diverse candidate slates for all management-level positions. Adopt DBS practice of gender-diverse interview panels to reduce unconscious bias in selection.</w:t>
      </w:r>
      <w:r>
        <w:t xml:space="preserve"> (Q4 2025)</w:t>
      </w:r>
    </w:p>
    <w:p w14:paraId="4B9B1C0A" w14:textId="77777777" w:rsidR="00A81986" w:rsidRDefault="0067390B">
      <w:pPr>
        <w:spacing w:after="160"/>
        <w:jc w:val="both"/>
      </w:pPr>
      <w:r>
        <w:rPr>
          <w:rFonts w:ascii="Arial" w:hAnsi="Arial"/>
        </w:rPr>
        <w:t xml:space="preserve">    → Expected: Reverse 3.88pp decline in female representation; achieve gender balance in new hire cohorts (45-55% female) by 2026</w:t>
      </w:r>
    </w:p>
    <w:p w14:paraId="188F9369" w14:textId="77777777" w:rsidR="00A81986" w:rsidRDefault="0067390B">
      <w:pPr>
        <w:spacing w:after="160"/>
        <w:jc w:val="both"/>
      </w:pPr>
      <w:r>
        <w:rPr>
          <w:rFonts w:ascii="Arial" w:hAnsi="Arial"/>
          <w:i/>
          <w:color w:val="646464"/>
          <w:sz w:val="18"/>
        </w:rPr>
        <w:t xml:space="preserve">    → Ref: DBS: Gender-diverse panels for all management hiring; BCA: Equal opportunity policy with measurable diversity outcomes</w:t>
      </w:r>
    </w:p>
    <w:p w14:paraId="5716EC93" w14:textId="77777777" w:rsidR="00A81986" w:rsidRDefault="0067390B">
      <w:r>
        <w:rPr>
          <w:b/>
        </w:rPr>
        <w:t>🟡</w:t>
      </w:r>
      <w:r>
        <w:rPr>
          <w:b/>
        </w:rPr>
        <w:t xml:space="preserve"> 4. Benchmark total compensation packages against BRI, BCA, DBS, and Mandiri annually to sustain voluntary turnover below 8%. Expand career development pathways with transparent promotion criteria and skills-based progression frameworks.</w:t>
      </w:r>
      <w:r>
        <w:t xml:space="preserve"> (Q1 2025 (annual cycle))</w:t>
      </w:r>
    </w:p>
    <w:p w14:paraId="257E9D8B" w14:textId="77777777" w:rsidR="00A81986" w:rsidRDefault="0067390B">
      <w:pPr>
        <w:spacing w:after="160"/>
        <w:jc w:val="both"/>
      </w:pPr>
      <w:r>
        <w:rPr>
          <w:rFonts w:ascii="Arial" w:hAnsi="Arial"/>
        </w:rPr>
        <w:t xml:space="preserve">    → Expected: Maintain voluntary turnover at or below 8%; reduce replacement costs by IDR 10-15 billion annually through improved retention</w:t>
      </w:r>
    </w:p>
    <w:p w14:paraId="056EA4AF" w14:textId="77777777" w:rsidR="00A81986" w:rsidRDefault="0067390B">
      <w:pPr>
        <w:spacing w:after="160"/>
        <w:jc w:val="both"/>
      </w:pPr>
      <w:r>
        <w:rPr>
          <w:rFonts w:ascii="Arial" w:hAnsi="Arial"/>
          <w:i/>
          <w:color w:val="646464"/>
          <w:sz w:val="18"/>
        </w:rPr>
        <w:t xml:space="preserve">    → Ref: BCA: Integrated retention strategy combining performance-linked remuneration with structured career progression and work-life balance initiatives</w:t>
      </w:r>
    </w:p>
    <w:p w14:paraId="00B0701F" w14:textId="77777777" w:rsidR="00A81986" w:rsidRDefault="00A81986"/>
    <w:p w14:paraId="0BC9FEA0" w14:textId="77777777" w:rsidR="00A81986" w:rsidRDefault="0067390B">
      <w:r>
        <w:rPr>
          <w:i/>
          <w:color w:val="3D6094"/>
          <w:sz w:val="18"/>
        </w:rPr>
        <w:t>Framework references: GRI 2-7: Employees; GRI 401-1: New employee hires and employee turnover; GRI 404-1: Average hours of training per year per employee; GRI 405-1: Diversity of governance bodies and employees; GRI 406-1: Incidents of discrimination and corrective actions taken; ESRS S1: Own Workforce; OJK POJK 51/2017: Pilar II (Sosial) - Kinerja Tenaga Kerja</w:t>
      </w:r>
    </w:p>
    <w:p w14:paraId="5F39FDCA" w14:textId="77777777" w:rsidR="00A81986" w:rsidRDefault="00A81986">
      <w:pPr>
        <w:pBdr>
          <w:bottom w:val="single" w:sz="6" w:space="1" w:color="999999"/>
        </w:pBdr>
        <w:spacing w:after="80"/>
      </w:pPr>
    </w:p>
    <w:p w14:paraId="4ECA2688" w14:textId="77777777" w:rsidR="00A81986" w:rsidRDefault="0067390B">
      <w:pPr>
        <w:spacing w:after="160"/>
        <w:jc w:val="both"/>
      </w:pPr>
      <w:r>
        <w:rPr>
          <w:rFonts w:ascii="Arial" w:hAnsi="Arial"/>
          <w:i/>
          <w:color w:val="646464"/>
          <w:sz w:val="18"/>
        </w:rPr>
        <w:t>These figures have not been subject to external assurance for the current reporting period.</w:t>
      </w:r>
    </w:p>
    <w:p w14:paraId="3C350008" w14:textId="77777777" w:rsidR="00A81986" w:rsidRDefault="0067390B">
      <w:pPr>
        <w:spacing w:after="160"/>
        <w:jc w:val="both"/>
      </w:pPr>
      <w:r>
        <w:rPr>
          <w:rFonts w:ascii="Arial" w:hAnsi="Arial"/>
          <w:i/>
          <w:color w:val="646464"/>
          <w:sz w:val="18"/>
        </w:rPr>
        <w:t>Gender classification based on employee self-identification in HR records as of December 31, 2024.</w:t>
      </w:r>
    </w:p>
    <w:p w14:paraId="584EF777" w14:textId="77777777" w:rsidR="00A81986" w:rsidRDefault="0067390B">
      <w:pPr>
        <w:spacing w:after="160"/>
        <w:jc w:val="both"/>
      </w:pPr>
      <w:r>
        <w:rPr>
          <w:rFonts w:ascii="Arial" w:hAnsi="Arial"/>
          <w:i/>
          <w:color w:val="646464"/>
          <w:sz w:val="18"/>
        </w:rPr>
        <w:t>Management positions defined as Assistant Vice President level and above, including all supervisory roles.</w:t>
      </w:r>
    </w:p>
    <w:p w14:paraId="687871C9" w14:textId="77777777" w:rsidR="00A81986" w:rsidRDefault="0067390B">
      <w:pPr>
        <w:spacing w:after="160"/>
        <w:jc w:val="both"/>
      </w:pPr>
      <w:r>
        <w:rPr>
          <w:rFonts w:ascii="Arial" w:hAnsi="Arial"/>
          <w:i/>
          <w:color w:val="646464"/>
          <w:sz w:val="18"/>
        </w:rPr>
        <w:t>Training hours include mandatory compliance training, technical skills development, and voluntary professional development programs.</w:t>
      </w:r>
    </w:p>
    <w:p w14:paraId="6FB218E3" w14:textId="77777777" w:rsidR="00A81986" w:rsidRDefault="0067390B">
      <w:pPr>
        <w:spacing w:after="160"/>
        <w:jc w:val="both"/>
      </w:pPr>
      <w:r>
        <w:rPr>
          <w:rFonts w:ascii="Arial" w:hAnsi="Arial"/>
          <w:i/>
          <w:color w:val="646464"/>
          <w:sz w:val="18"/>
        </w:rPr>
        <w:t>Voluntary turnover excludes retirements, involuntary terminations, and end-of-contract separations.</w:t>
      </w:r>
    </w:p>
    <w:p w14:paraId="1E71B9BF" w14:textId="77777777" w:rsidR="00A81986" w:rsidRDefault="0067390B">
      <w:pPr>
        <w:spacing w:after="160"/>
        <w:jc w:val="both"/>
      </w:pPr>
      <w:r>
        <w:rPr>
          <w:rFonts w:ascii="Arial" w:hAnsi="Arial"/>
          <w:i/>
          <w:color w:val="646464"/>
          <w:sz w:val="18"/>
        </w:rPr>
        <w:t>Discrimination incidents include only formally reported cases through official grievance mechanisms that were substantiated through investigation.</w:t>
      </w:r>
    </w:p>
    <w:p w14:paraId="0BEFA2D7" w14:textId="77777777" w:rsidR="00A81986" w:rsidRDefault="0067390B">
      <w:r>
        <w:br w:type="page"/>
      </w:r>
    </w:p>
    <w:p w14:paraId="0346CC67" w14:textId="77777777" w:rsidR="00A81986" w:rsidRDefault="0067390B">
      <w:pPr>
        <w:pStyle w:val="Heading1"/>
        <w:spacing w:after="240"/>
      </w:pPr>
      <w:bookmarkStart w:id="18" w:name="_Toc232003739"/>
      <w:r>
        <w:rPr>
          <w:rFonts w:ascii="Arial" w:hAnsi="Arial"/>
          <w:color w:val="1B3A6B"/>
          <w:sz w:val="36"/>
        </w:rPr>
        <w:lastRenderedPageBreak/>
        <w:t>Governance &amp; Strategy</w:t>
      </w:r>
      <w:bookmarkEnd w:id="18"/>
    </w:p>
    <w:p w14:paraId="4E1C4B08" w14:textId="77777777" w:rsidR="00A81986" w:rsidRDefault="0067390B">
      <w:pPr>
        <w:pStyle w:val="Heading2"/>
        <w:spacing w:before="360" w:after="160"/>
      </w:pPr>
      <w:bookmarkStart w:id="19" w:name="_Toc232003740"/>
      <w:r>
        <w:rPr>
          <w:rFonts w:ascii="Arial" w:hAnsi="Arial"/>
          <w:color w:val="3D6094"/>
          <w:sz w:val="28"/>
        </w:rPr>
        <w:t>3.1 Climate Governance &amp; ESG Oversight</w:t>
      </w:r>
      <w:bookmarkEnd w:id="19"/>
    </w:p>
    <w:tbl>
      <w:tblPr>
        <w:tblW w:w="0" w:type="auto"/>
        <w:jc w:val="center"/>
        <w:tblLook w:val="04A0" w:firstRow="1" w:lastRow="0" w:firstColumn="1" w:lastColumn="0" w:noHBand="0" w:noVBand="1"/>
      </w:tblPr>
      <w:tblGrid>
        <w:gridCol w:w="2257"/>
        <w:gridCol w:w="2257"/>
        <w:gridCol w:w="2350"/>
        <w:gridCol w:w="2257"/>
      </w:tblGrid>
      <w:tr w:rsidR="00A81986" w14:paraId="1592E01B" w14:textId="77777777">
        <w:trPr>
          <w:jc w:val="center"/>
        </w:trPr>
        <w:tc>
          <w:tcPr>
            <w:tcW w:w="2257" w:type="dxa"/>
          </w:tcPr>
          <w:p w14:paraId="2E7753EB" w14:textId="77777777" w:rsidR="00A81986" w:rsidRDefault="0067390B">
            <w:pPr>
              <w:jc w:val="center"/>
            </w:pPr>
            <w:r>
              <w:rPr>
                <w:b/>
                <w:color w:val="1B3A6B"/>
                <w:sz w:val="40"/>
              </w:rPr>
              <w:t>No</w:t>
            </w:r>
            <w:r>
              <w:rPr>
                <w:sz w:val="18"/>
              </w:rPr>
              <w:t xml:space="preserve"> status</w:t>
            </w:r>
            <w:r>
              <w:rPr>
                <w:b/>
                <w:color w:val="F44336"/>
                <w:sz w:val="20"/>
              </w:rPr>
              <w:br/>
              <w:t>Critical gap</w:t>
            </w:r>
          </w:p>
        </w:tc>
        <w:tc>
          <w:tcPr>
            <w:tcW w:w="2257" w:type="dxa"/>
          </w:tcPr>
          <w:p w14:paraId="32DB18F7" w14:textId="77777777" w:rsidR="00A81986" w:rsidRDefault="0067390B">
            <w:pPr>
              <w:jc w:val="center"/>
            </w:pPr>
            <w:r>
              <w:rPr>
                <w:b/>
                <w:color w:val="1B3A6B"/>
                <w:sz w:val="40"/>
              </w:rPr>
              <w:t>0%</w:t>
            </w:r>
            <w:r>
              <w:rPr>
                <w:sz w:val="18"/>
              </w:rPr>
              <w:t xml:space="preserve"> of variable comp</w:t>
            </w:r>
            <w:r>
              <w:rPr>
                <w:b/>
                <w:color w:val="F44336"/>
                <w:sz w:val="20"/>
              </w:rPr>
              <w:br/>
              <w:t>vs. DBS 20%</w:t>
            </w:r>
          </w:p>
        </w:tc>
        <w:tc>
          <w:tcPr>
            <w:tcW w:w="2257" w:type="dxa"/>
          </w:tcPr>
          <w:p w14:paraId="1A599738" w14:textId="77777777" w:rsidR="00A81986" w:rsidRDefault="0067390B">
            <w:pPr>
              <w:jc w:val="center"/>
            </w:pPr>
            <w:r>
              <w:rPr>
                <w:b/>
                <w:color w:val="1B3A6B"/>
                <w:sz w:val="40"/>
              </w:rPr>
              <w:t>Not Established</w:t>
            </w:r>
            <w:r>
              <w:rPr>
                <w:sz w:val="18"/>
              </w:rPr>
              <w:t xml:space="preserve"> status</w:t>
            </w:r>
            <w:r>
              <w:rPr>
                <w:b/>
                <w:color w:val="F44336"/>
                <w:sz w:val="20"/>
              </w:rPr>
              <w:br/>
              <w:t>vs. peer quarterly</w:t>
            </w:r>
          </w:p>
        </w:tc>
        <w:tc>
          <w:tcPr>
            <w:tcW w:w="2257" w:type="dxa"/>
          </w:tcPr>
          <w:p w14:paraId="7A0B10DD" w14:textId="77777777" w:rsidR="00A81986" w:rsidRDefault="0067390B">
            <w:pPr>
              <w:jc w:val="center"/>
            </w:pPr>
            <w:r>
              <w:rPr>
                <w:b/>
                <w:color w:val="1B3A6B"/>
                <w:sz w:val="40"/>
              </w:rPr>
              <w:t>3-4</w:t>
            </w:r>
            <w:r>
              <w:rPr>
                <w:sz w:val="18"/>
              </w:rPr>
              <w:t xml:space="preserve"> years</w:t>
            </w:r>
            <w:r>
              <w:rPr>
                <w:b/>
                <w:color w:val="F44336"/>
                <w:sz w:val="20"/>
              </w:rPr>
              <w:br/>
              <w:t>BRI since 2021</w:t>
            </w:r>
          </w:p>
        </w:tc>
      </w:tr>
      <w:tr w:rsidR="00A81986" w14:paraId="4D6E1401" w14:textId="77777777">
        <w:trPr>
          <w:jc w:val="center"/>
        </w:trPr>
        <w:tc>
          <w:tcPr>
            <w:tcW w:w="2257" w:type="dxa"/>
          </w:tcPr>
          <w:p w14:paraId="3EAC1BFD" w14:textId="77777777" w:rsidR="00A81986" w:rsidRDefault="0067390B">
            <w:pPr>
              <w:jc w:val="center"/>
            </w:pPr>
            <w:r>
              <w:rPr>
                <w:color w:val="646464"/>
                <w:sz w:val="18"/>
              </w:rPr>
              <w:t>Board ESG Committee Established</w:t>
            </w:r>
          </w:p>
        </w:tc>
        <w:tc>
          <w:tcPr>
            <w:tcW w:w="2257" w:type="dxa"/>
          </w:tcPr>
          <w:p w14:paraId="6BBA8AE1" w14:textId="77777777" w:rsidR="00A81986" w:rsidRDefault="0067390B">
            <w:pPr>
              <w:jc w:val="center"/>
            </w:pPr>
            <w:r>
              <w:rPr>
                <w:color w:val="646464"/>
                <w:sz w:val="18"/>
              </w:rPr>
              <w:t>ESG in Executive Remuneration</w:t>
            </w:r>
          </w:p>
        </w:tc>
        <w:tc>
          <w:tcPr>
            <w:tcW w:w="2257" w:type="dxa"/>
          </w:tcPr>
          <w:p w14:paraId="6E6ECF00" w14:textId="77777777" w:rsidR="00A81986" w:rsidRDefault="0067390B">
            <w:pPr>
              <w:jc w:val="center"/>
            </w:pPr>
            <w:r>
              <w:rPr>
                <w:color w:val="646464"/>
                <w:sz w:val="18"/>
              </w:rPr>
              <w:t>Board Climate Review Frequency</w:t>
            </w:r>
          </w:p>
        </w:tc>
        <w:tc>
          <w:tcPr>
            <w:tcW w:w="2257" w:type="dxa"/>
          </w:tcPr>
          <w:p w14:paraId="2C08172E" w14:textId="77777777" w:rsidR="00A81986" w:rsidRDefault="0067390B">
            <w:pPr>
              <w:jc w:val="center"/>
            </w:pPr>
            <w:r>
              <w:rPr>
                <w:color w:val="646464"/>
                <w:sz w:val="18"/>
              </w:rPr>
              <w:t>Years Behind Peer Governance Maturity</w:t>
            </w:r>
          </w:p>
        </w:tc>
      </w:tr>
    </w:tbl>
    <w:p w14:paraId="13025178" w14:textId="77777777" w:rsidR="00A81986" w:rsidRDefault="00A81986"/>
    <w:tbl>
      <w:tblPr>
        <w:tblW w:w="0" w:type="auto"/>
        <w:jc w:val="center"/>
        <w:tblLook w:val="04A0" w:firstRow="1" w:lastRow="0" w:firstColumn="1" w:lastColumn="0" w:noHBand="0" w:noVBand="1"/>
      </w:tblPr>
      <w:tblGrid>
        <w:gridCol w:w="9029"/>
      </w:tblGrid>
      <w:tr w:rsidR="00A81986" w14:paraId="2453D177" w14:textId="77777777">
        <w:trPr>
          <w:jc w:val="center"/>
        </w:trPr>
        <w:tc>
          <w:tcPr>
            <w:tcW w:w="9029" w:type="dxa"/>
            <w:shd w:val="clear" w:color="auto" w:fill="FFEBEE"/>
          </w:tcPr>
          <w:p w14:paraId="5AFC19AC" w14:textId="77777777" w:rsidR="00A81986" w:rsidRDefault="0067390B">
            <w:r>
              <w:rPr>
                <w:b/>
                <w:sz w:val="18"/>
              </w:rPr>
              <w:t>🚨</w:t>
            </w:r>
            <w:r>
              <w:rPr>
                <w:b/>
                <w:sz w:val="18"/>
              </w:rPr>
              <w:t xml:space="preserve"> KEY INSIGHT</w:t>
            </w:r>
          </w:p>
          <w:p w14:paraId="1471B45A" w14:textId="77777777" w:rsidR="00A81986" w:rsidRDefault="0067390B">
            <w:r>
              <w:rPr>
                <w:b/>
              </w:rPr>
              <w:t>Critical governance gap: No Board ESG committee while BRI, BCA, DBS have quarterly oversight since 2021-2023</w:t>
            </w:r>
          </w:p>
          <w:p w14:paraId="6920A481" w14:textId="77777777" w:rsidR="00A81986" w:rsidRDefault="0067390B">
            <w:r>
              <w:rPr>
                <w:sz w:val="20"/>
              </w:rPr>
              <w:t>The institution lacks formal climate governance structures required by IFRS S2, GRI, ESRS 2, and OJK PSPK. Peer banks established Board-level ESG committees 3-4 years ago with quarterly reviews and 10-20% executive remuneration linkage. This gap creates regulatory compliance risk (OJK POJK 51/SEOJK 16) and limits strategic climate risk management capability.</w:t>
            </w:r>
          </w:p>
        </w:tc>
      </w:tr>
    </w:tbl>
    <w:p w14:paraId="3E978B96" w14:textId="77777777" w:rsidR="00A81986" w:rsidRDefault="00A81986"/>
    <w:p w14:paraId="56D2CCA9" w14:textId="77777777" w:rsidR="00A81986" w:rsidRDefault="0067390B">
      <w:pPr>
        <w:pStyle w:val="Heading3"/>
      </w:pPr>
      <w:bookmarkStart w:id="20" w:name="_Toc232003741"/>
      <w:r>
        <w:rPr>
          <w:rFonts w:ascii="Arial" w:hAnsi="Arial"/>
          <w:color w:val="4A7AB5"/>
          <w:sz w:val="24"/>
        </w:rPr>
        <w:lastRenderedPageBreak/>
        <w:t>Governance Gap Analysis</w:t>
      </w:r>
      <w:r>
        <w:rPr>
          <w:rFonts w:ascii="Arial" w:hAnsi="Arial"/>
          <w:color w:val="4A7AB5"/>
          <w:sz w:val="24"/>
        </w:rPr>
        <w:br/>
      </w:r>
      <w:r>
        <w:rPr>
          <w:rFonts w:ascii="Arial" w:hAnsi="Arial"/>
          <w:color w:val="4A7AB5"/>
          <w:sz w:val="24"/>
        </w:rPr>
        <w:br/>
        <w:t>The institution has not yet established formal governance structures for climate-related risks and opportunities as required by multiple sustainability reporting frameworks. This section identifies the governance infrastructure requirements under IFRS S2, GRI 2-12/2-13, ESRS 2 GOV-3, and OJK PSPK regulations, and provides a roadmap for implementation based on peer bank practices in the Indonesian banking sector.</w:t>
      </w:r>
      <w:bookmarkEnd w:id="20"/>
    </w:p>
    <w:p w14:paraId="7002610F" w14:textId="77777777" w:rsidR="00A81986" w:rsidRDefault="0067390B">
      <w:pPr>
        <w:pStyle w:val="Heading3"/>
      </w:pPr>
      <w:bookmarkStart w:id="21" w:name="_Toc232003742"/>
      <w:r>
        <w:rPr>
          <w:rFonts w:ascii="Arial" w:hAnsi="Arial"/>
          <w:color w:val="4A7AB5"/>
          <w:sz w:val="24"/>
        </w:rPr>
        <w:lastRenderedPageBreak/>
        <w:t>Framework Requirements Not Currently Met</w:t>
      </w:r>
      <w:r>
        <w:rPr>
          <w:rFonts w:ascii="Arial" w:hAnsi="Arial"/>
          <w:color w:val="4A7AB5"/>
          <w:sz w:val="24"/>
        </w:rPr>
        <w:br/>
      </w:r>
      <w:r>
        <w:rPr>
          <w:rFonts w:ascii="Arial" w:hAnsi="Arial"/>
          <w:color w:val="4A7AB5"/>
          <w:sz w:val="24"/>
        </w:rPr>
        <w:br/>
      </w:r>
      <w:r>
        <w:rPr>
          <w:rFonts w:ascii="Arial" w:hAnsi="Arial"/>
          <w:color w:val="4A7AB5"/>
          <w:sz w:val="24"/>
        </w:rPr>
        <w:t>**IFRS S2 Paragraph 5** requires disclosure of the governance body or bodies responsible for oversight of climate-related risks and opportunities. The institution must identify the specific board committee with climate oversight authority, describe its composition, and explain how climate considerations inform strategic decisions and major transactions.</w:t>
      </w:r>
      <w:r>
        <w:rPr>
          <w:rFonts w:ascii="Arial" w:hAnsi="Arial"/>
          <w:color w:val="4A7AB5"/>
          <w:sz w:val="24"/>
        </w:rPr>
        <w:br/>
      </w:r>
      <w:r>
        <w:rPr>
          <w:rFonts w:ascii="Arial" w:hAnsi="Arial"/>
          <w:color w:val="4A7AB5"/>
          <w:sz w:val="24"/>
        </w:rPr>
        <w:br/>
        <w:t>**IFRS S2 Paragraph 6** mandates disclosure of management's role in governance processes, including the specific management-level position or committee res</w:t>
      </w:r>
      <w:r>
        <w:rPr>
          <w:rFonts w:ascii="Arial" w:hAnsi="Arial"/>
          <w:color w:val="4A7AB5"/>
          <w:sz w:val="24"/>
        </w:rPr>
        <w:t>ponsible for climate-related risks, reporting lines to the board, and integration with enterprise risk management frameworks.</w:t>
      </w:r>
      <w:r>
        <w:rPr>
          <w:rFonts w:ascii="Arial" w:hAnsi="Arial"/>
          <w:color w:val="4A7AB5"/>
          <w:sz w:val="24"/>
        </w:rPr>
        <w:br/>
      </w:r>
      <w:r>
        <w:rPr>
          <w:rFonts w:ascii="Arial" w:hAnsi="Arial"/>
          <w:color w:val="4A7AB5"/>
          <w:sz w:val="24"/>
        </w:rPr>
        <w:br/>
        <w:t>**IFRS S2 Paragraph 7** requires explanation of how climate-related considerations are reflected in the institution's terms of reference, board mandates, role descriptions, and performance metrics.</w:t>
      </w:r>
      <w:r>
        <w:rPr>
          <w:rFonts w:ascii="Arial" w:hAnsi="Arial"/>
          <w:color w:val="4A7AB5"/>
          <w:sz w:val="24"/>
        </w:rPr>
        <w:br/>
      </w:r>
      <w:r>
        <w:rPr>
          <w:rFonts w:ascii="Arial" w:hAnsi="Arial"/>
          <w:color w:val="4A7AB5"/>
          <w:sz w:val="24"/>
        </w:rPr>
        <w:br/>
        <w:t>**GRI 2-12** requires disclosure of the role of the highest governance body in overseeing the management of sustainability impacts, including how the body oversees due diligence and stak</w:t>
      </w:r>
      <w:r>
        <w:rPr>
          <w:rFonts w:ascii="Arial" w:hAnsi="Arial"/>
          <w:color w:val="4A7AB5"/>
          <w:sz w:val="24"/>
        </w:rPr>
        <w:t>eholder engagement processes.</w:t>
      </w:r>
      <w:r>
        <w:rPr>
          <w:rFonts w:ascii="Arial" w:hAnsi="Arial"/>
          <w:color w:val="4A7AB5"/>
          <w:sz w:val="24"/>
        </w:rPr>
        <w:br/>
      </w:r>
      <w:r>
        <w:rPr>
          <w:rFonts w:ascii="Arial" w:hAnsi="Arial"/>
          <w:color w:val="4A7AB5"/>
          <w:sz w:val="24"/>
        </w:rPr>
        <w:br/>
        <w:t>**GRI 2-13** mandates disclosure of how responsibility for managing sustainability impacts is delegated to management-level positions, including whether dedicated management-level positions exist and how they report to the highest governance body.</w:t>
      </w:r>
      <w:r>
        <w:rPr>
          <w:rFonts w:ascii="Arial" w:hAnsi="Arial"/>
          <w:color w:val="4A7AB5"/>
          <w:sz w:val="24"/>
        </w:rPr>
        <w:br/>
      </w:r>
      <w:r>
        <w:rPr>
          <w:rFonts w:ascii="Arial" w:hAnsi="Arial"/>
          <w:color w:val="4A7AB5"/>
          <w:sz w:val="24"/>
        </w:rPr>
        <w:br/>
        <w:t>**ESRS 2 GOV-3** requires disclosure of how sustainability performance is integrated into incentive schemes for board members and senior executives, including the percentage of remuneration linked to sustainability metrics and which</w:t>
      </w:r>
      <w:r>
        <w:rPr>
          <w:rFonts w:ascii="Arial" w:hAnsi="Arial"/>
          <w:color w:val="4A7AB5"/>
          <w:sz w:val="24"/>
        </w:rPr>
        <w:t xml:space="preserve"> specific metrics are used.</w:t>
      </w:r>
      <w:r>
        <w:rPr>
          <w:rFonts w:ascii="Arial" w:hAnsi="Arial"/>
          <w:color w:val="4A7AB5"/>
          <w:sz w:val="24"/>
        </w:rPr>
        <w:br/>
      </w:r>
      <w:r>
        <w:rPr>
          <w:rFonts w:ascii="Arial" w:hAnsi="Arial"/>
          <w:color w:val="4A7AB5"/>
          <w:sz w:val="24"/>
        </w:rPr>
        <w:br/>
        <w:t>**OJK PSPK (POJK 51/2017 and SEOJK 16/2021)** requires Indonesian financial institutions to establish board-level sustainability governance, including a dedicated committee or working group with clear terms of reference, regular reporting cadence, and integration into risk management frameworks.</w:t>
      </w:r>
      <w:bookmarkEnd w:id="21"/>
    </w:p>
    <w:p w14:paraId="26526B58" w14:textId="77777777" w:rsidR="00A81986" w:rsidRDefault="0067390B">
      <w:pPr>
        <w:pStyle w:val="Heading3"/>
      </w:pPr>
      <w:bookmarkStart w:id="22" w:name="_Toc232003743"/>
      <w:r>
        <w:rPr>
          <w:rFonts w:ascii="Arial" w:hAnsi="Arial"/>
          <w:color w:val="4A7AB5"/>
          <w:sz w:val="24"/>
        </w:rPr>
        <w:lastRenderedPageBreak/>
        <w:t>Peer Bank Governance Practices</w:t>
      </w:r>
      <w:r>
        <w:rPr>
          <w:rFonts w:ascii="Arial" w:hAnsi="Arial"/>
          <w:color w:val="4A7AB5"/>
          <w:sz w:val="24"/>
        </w:rPr>
        <w:br/>
      </w:r>
      <w:r>
        <w:rPr>
          <w:rFonts w:ascii="Arial" w:hAnsi="Arial"/>
          <w:color w:val="4A7AB5"/>
          <w:sz w:val="24"/>
        </w:rPr>
        <w:br/>
        <w:t>**PT Bank Rakyat Indonesia (BRI)** established a dedicated Risk Management &amp; ESG Committee at the Board of Directors level in 2021 via Decision NOKEP 872-DIR/PPM/06/2022. The committee conducts quarterly reviews of climate-related risks and opportunities, with ESG key performance indicators integrated into Board of Directors' performance assessments. BRI was the first Indonesian financial institution to commit to Science-Based Targets initiative (SBTi) and is a member of the Net-Zero Banking Alliance (NZB</w:t>
      </w:r>
      <w:r>
        <w:rPr>
          <w:rFonts w:ascii="Arial" w:hAnsi="Arial"/>
          <w:color w:val="4A7AB5"/>
          <w:sz w:val="24"/>
        </w:rPr>
        <w:t>A).</w:t>
      </w:r>
      <w:r>
        <w:rPr>
          <w:rFonts w:ascii="Arial" w:hAnsi="Arial"/>
          <w:color w:val="4A7AB5"/>
          <w:sz w:val="24"/>
        </w:rPr>
        <w:br/>
      </w:r>
      <w:r>
        <w:rPr>
          <w:rFonts w:ascii="Arial" w:hAnsi="Arial"/>
          <w:color w:val="4A7AB5"/>
          <w:sz w:val="24"/>
        </w:rPr>
        <w:br/>
        <w:t>**PT Bank Central Asia (BCA)** operates an ESG Subdivision under the Corporate Secretary function, reporting directly to the Director of Planning &amp; Finance, who in turn reports to the President Director. The Board of Directors reviews ESG performance at least four times per year. BCA has issued multiple Board of Directors Decrees establishing sectoral ESG credit policies for high-risk sectors including coal, palm oil, timber, cement, iron-steel, and oil &amp; gas. ESG metrics are integrated into Board of D</w:t>
      </w:r>
      <w:r>
        <w:rPr>
          <w:rFonts w:ascii="Arial" w:hAnsi="Arial"/>
          <w:color w:val="4A7AB5"/>
          <w:sz w:val="24"/>
        </w:rPr>
        <w:t>irectors and work unit key performance indicators.</w:t>
      </w:r>
      <w:r>
        <w:rPr>
          <w:rFonts w:ascii="Arial" w:hAnsi="Arial"/>
          <w:color w:val="4A7AB5"/>
          <w:sz w:val="24"/>
        </w:rPr>
        <w:br/>
      </w:r>
      <w:r>
        <w:rPr>
          <w:rFonts w:ascii="Arial" w:hAnsi="Arial"/>
          <w:color w:val="4A7AB5"/>
          <w:sz w:val="24"/>
        </w:rPr>
        <w:br/>
        <w:t>**DBS Bank** maintains a Board Sustainability Committee with a dedicated Chief Sustainability Officer (CSO) reporting directly to the Board. DBS links 20% of executive remuneration to ESG key performance indicators, including emissions reduction targets and sustainable finance portfolio growth. The bank conducts quarterly Board-level ESG reviews and has achieved 62% renewable energy usage across operations, contributing to a 12% year-over-year emissions re</w:t>
      </w:r>
      <w:r>
        <w:rPr>
          <w:rFonts w:ascii="Arial" w:hAnsi="Arial"/>
          <w:color w:val="4A7AB5"/>
          <w:sz w:val="24"/>
        </w:rPr>
        <w:t>duction.</w:t>
      </w:r>
      <w:r>
        <w:rPr>
          <w:rFonts w:ascii="Arial" w:hAnsi="Arial"/>
          <w:color w:val="4A7AB5"/>
          <w:sz w:val="24"/>
        </w:rPr>
        <w:br/>
      </w:r>
      <w:r>
        <w:rPr>
          <w:rFonts w:ascii="Arial" w:hAnsi="Arial"/>
          <w:color w:val="4A7AB5"/>
          <w:sz w:val="24"/>
        </w:rPr>
        <w:br/>
        <w:t>**Bank Mandiri** operates an ESG Task Force with semi-annual Board-level reviews. The bank has established internal policies aligned with Good Corporate Governance (GCG) principles and maintains a Composite 1 (Very Good) GCG self-assessment score, similar to BRI.</w:t>
      </w:r>
      <w:bookmarkEnd w:id="22"/>
    </w:p>
    <w:p w14:paraId="42ECE237" w14:textId="77777777" w:rsidR="00A81986" w:rsidRDefault="0067390B">
      <w:pPr>
        <w:pStyle w:val="Heading3"/>
      </w:pPr>
      <w:bookmarkStart w:id="23" w:name="_Toc232003744"/>
      <w:r>
        <w:rPr>
          <w:rFonts w:ascii="Arial" w:hAnsi="Arial"/>
          <w:color w:val="4A7AB5"/>
          <w:sz w:val="24"/>
        </w:rPr>
        <w:lastRenderedPageBreak/>
        <w:t>Recommended Governance Infrastructure</w:t>
      </w:r>
      <w:r>
        <w:rPr>
          <w:rFonts w:ascii="Arial" w:hAnsi="Arial"/>
          <w:color w:val="4A7AB5"/>
          <w:sz w:val="24"/>
        </w:rPr>
        <w:br/>
      </w:r>
      <w:r>
        <w:rPr>
          <w:rFonts w:ascii="Arial" w:hAnsi="Arial"/>
          <w:color w:val="4A7AB5"/>
          <w:sz w:val="24"/>
        </w:rPr>
        <w:br/>
        <w:t>Based on peer practices and regulatory requirements, the institution should establish the following governance infrastructure:</w:t>
      </w:r>
      <w:r>
        <w:rPr>
          <w:rFonts w:ascii="Arial" w:hAnsi="Arial"/>
          <w:color w:val="4A7AB5"/>
          <w:sz w:val="24"/>
        </w:rPr>
        <w:br/>
      </w:r>
      <w:r>
        <w:rPr>
          <w:rFonts w:ascii="Arial" w:hAnsi="Arial"/>
          <w:color w:val="4A7AB5"/>
          <w:sz w:val="24"/>
        </w:rPr>
        <w:br/>
        <w:t>**Board-Level Oversight:** Establish a Board Risk &amp; Sustainability Committee (or equivalent) with formal terms of reference approved by the Board of Commissioners. The committee should meet at least quarterly to review climate-related risks, sustainable finance portfolio performance, financed emissions trends, and progress against climate targets. Committee composition should inc</w:t>
      </w:r>
      <w:r>
        <w:rPr>
          <w:rFonts w:ascii="Arial" w:hAnsi="Arial"/>
          <w:color w:val="4A7AB5"/>
          <w:sz w:val="24"/>
        </w:rPr>
        <w:t>lude at least one member with demonstrated climate or sustainability expertise, with annual training provided to all Board members on emerging climate risks and regulatory developments.</w:t>
      </w:r>
      <w:r>
        <w:rPr>
          <w:rFonts w:ascii="Arial" w:hAnsi="Arial"/>
          <w:color w:val="4A7AB5"/>
          <w:sz w:val="24"/>
        </w:rPr>
        <w:br/>
      </w:r>
      <w:r>
        <w:rPr>
          <w:rFonts w:ascii="Arial" w:hAnsi="Arial"/>
          <w:color w:val="4A7AB5"/>
          <w:sz w:val="24"/>
        </w:rPr>
        <w:br/>
        <w:t>**Management Accountability:** Appoint a Chief Sustainability Officer (CSO) or equivalent C-suite position with direct reporting line to the President Director and regular reporting obligations to the Board Risk &amp; Sustainability Committee. Establish a management-level ESG Working Group comprising representatives from Risk M</w:t>
      </w:r>
      <w:r>
        <w:rPr>
          <w:rFonts w:ascii="Arial" w:hAnsi="Arial"/>
          <w:color w:val="4A7AB5"/>
          <w:sz w:val="24"/>
        </w:rPr>
        <w:t>anagement, Corporate Planning, Treasury, Credit, and Compliance functions to ensure cross-functional integration of climate considerations into business decisions.</w:t>
      </w:r>
      <w:r>
        <w:rPr>
          <w:rFonts w:ascii="Arial" w:hAnsi="Arial"/>
          <w:color w:val="4A7AB5"/>
          <w:sz w:val="24"/>
        </w:rPr>
        <w:br/>
      </w:r>
      <w:r>
        <w:rPr>
          <w:rFonts w:ascii="Arial" w:hAnsi="Arial"/>
          <w:color w:val="4A7AB5"/>
          <w:sz w:val="24"/>
        </w:rPr>
        <w:br/>
        <w:t>**Remuneration Linkage:** Integrate ESG key performance indicators into Board of Directors and senior executive performance assessments, with 10-20% of variable remuneration linked to sustainability metrics. Recommended metrics include: (1) financed emissions intensity reduction (tCO2e per IDR billion outstanding), (2) sustainable finance portfo</w:t>
      </w:r>
      <w:r>
        <w:rPr>
          <w:rFonts w:ascii="Arial" w:hAnsi="Arial"/>
          <w:color w:val="4A7AB5"/>
          <w:sz w:val="24"/>
        </w:rPr>
        <w:t>lio growth (percentage of total portfolio), (3) operational emissions reduction (Scope 1+2 tCO2e), and (4) ESG risk management effectiveness (percentage of high-risk loans with ESG due diligence completed).</w:t>
      </w:r>
      <w:r>
        <w:rPr>
          <w:rFonts w:ascii="Arial" w:hAnsi="Arial"/>
          <w:color w:val="4A7AB5"/>
          <w:sz w:val="24"/>
        </w:rPr>
        <w:br/>
      </w:r>
      <w:r>
        <w:rPr>
          <w:rFonts w:ascii="Arial" w:hAnsi="Arial"/>
          <w:color w:val="4A7AB5"/>
          <w:sz w:val="24"/>
        </w:rPr>
        <w:br/>
        <w:t>**Policy Framework:** Issue Board of Directors Decrees establishing: (1) Sustainable Finance Framework aligned with OJK TKBI and Indonesian Green Taxonomy (THI), (2) Sectoral Credit Policies for carbon-intensive sectors (energy, cement, steel, transportation) with phase-out timelines for coal financing,</w:t>
      </w:r>
      <w:r>
        <w:rPr>
          <w:rFonts w:ascii="Arial" w:hAnsi="Arial"/>
          <w:color w:val="4A7AB5"/>
          <w:sz w:val="24"/>
        </w:rPr>
        <w:t xml:space="preserve"> (3) Climate Risk Management Policy integrating physical and transition risks into credit risk assessment, and (4) Stakeholder Engagement Policy for client transition support.</w:t>
      </w:r>
      <w:r>
        <w:rPr>
          <w:rFonts w:ascii="Arial" w:hAnsi="Arial"/>
          <w:color w:val="4A7AB5"/>
          <w:sz w:val="24"/>
        </w:rPr>
        <w:br/>
      </w:r>
      <w:r>
        <w:rPr>
          <w:rFonts w:ascii="Arial" w:hAnsi="Arial"/>
          <w:color w:val="4A7AB5"/>
          <w:sz w:val="24"/>
        </w:rPr>
        <w:br/>
        <w:t xml:space="preserve">**Target Setting and Monitoring:** Establish science-based targets for financed emissions reduction, with Board approval of baseline year, target year, and interim milestones. Implement quarterly monitoring of progress against targets, with results reported to the Board Risk &amp; Sustainability Committee and </w:t>
      </w:r>
      <w:r>
        <w:rPr>
          <w:rFonts w:ascii="Arial" w:hAnsi="Arial"/>
          <w:color w:val="4A7AB5"/>
          <w:sz w:val="24"/>
        </w:rPr>
        <w:lastRenderedPageBreak/>
        <w:t>disclosed in annual sustaina</w:t>
      </w:r>
      <w:r>
        <w:rPr>
          <w:rFonts w:ascii="Arial" w:hAnsi="Arial"/>
          <w:color w:val="4A7AB5"/>
          <w:sz w:val="24"/>
        </w:rPr>
        <w:t>bility reports. Consider SBTi commitment to enhance credibility and align with international best practices.</w:t>
      </w:r>
      <w:bookmarkEnd w:id="23"/>
    </w:p>
    <w:p w14:paraId="14AF2A41" w14:textId="77777777" w:rsidR="00A81986" w:rsidRDefault="0067390B">
      <w:pPr>
        <w:pStyle w:val="Heading3"/>
      </w:pPr>
      <w:bookmarkStart w:id="24" w:name="_Toc232003745"/>
      <w:r>
        <w:rPr>
          <w:rFonts w:ascii="Arial" w:hAnsi="Arial"/>
          <w:color w:val="4A7AB5"/>
          <w:sz w:val="24"/>
        </w:rPr>
        <w:t>Implementation Timeline</w:t>
      </w:r>
      <w:r>
        <w:rPr>
          <w:rFonts w:ascii="Arial" w:hAnsi="Arial"/>
          <w:color w:val="4A7AB5"/>
          <w:sz w:val="24"/>
        </w:rPr>
        <w:br/>
      </w:r>
      <w:r>
        <w:rPr>
          <w:rFonts w:ascii="Arial" w:hAnsi="Arial"/>
          <w:color w:val="4A7AB5"/>
          <w:sz w:val="24"/>
        </w:rPr>
        <w:br/>
        <w:t>**Q3 2025 (Immediate Priority):** Establish Board Risk &amp; Sustainability Committee with approved terms of reference; appoint interim ESG Working Group at management level; conduct Board climate risk training session with external expert.</w:t>
      </w:r>
      <w:r>
        <w:rPr>
          <w:rFonts w:ascii="Arial" w:hAnsi="Arial"/>
          <w:color w:val="4A7AB5"/>
          <w:sz w:val="24"/>
        </w:rPr>
        <w:br/>
      </w:r>
      <w:r>
        <w:rPr>
          <w:rFonts w:ascii="Arial" w:hAnsi="Arial"/>
          <w:color w:val="4A7AB5"/>
          <w:sz w:val="24"/>
        </w:rPr>
        <w:br/>
        <w:t>**Q4 2025:** Recruit or designate Chief Sustainability Officer; develop draft Sustainable Finance Framework and Sectoral Credit Policies; conduct baseline financed emissions calculation for priority sectors.</w:t>
      </w:r>
      <w:r>
        <w:rPr>
          <w:rFonts w:ascii="Arial" w:hAnsi="Arial"/>
          <w:color w:val="4A7AB5"/>
          <w:sz w:val="24"/>
        </w:rPr>
        <w:br/>
      </w:r>
      <w:r>
        <w:rPr>
          <w:rFonts w:ascii="Arial" w:hAnsi="Arial"/>
          <w:color w:val="4A7AB5"/>
          <w:sz w:val="24"/>
        </w:rPr>
        <w:br/>
        <w:t>**Q1 2026:** Board approval of Sustainable Finance Framework an</w:t>
      </w:r>
      <w:r>
        <w:rPr>
          <w:rFonts w:ascii="Arial" w:hAnsi="Arial"/>
          <w:color w:val="4A7AB5"/>
          <w:sz w:val="24"/>
        </w:rPr>
        <w:t>d Sectoral Credit Policies; integrate ESG KPIs into 2026 Board and executive performance contracts (10% weight minimum); submit OJK Sustainable Finance Action Plan (SFAP) with governance structure disclosure.</w:t>
      </w:r>
      <w:r>
        <w:rPr>
          <w:rFonts w:ascii="Arial" w:hAnsi="Arial"/>
          <w:color w:val="4A7AB5"/>
          <w:sz w:val="24"/>
        </w:rPr>
        <w:br/>
      </w:r>
      <w:r>
        <w:rPr>
          <w:rFonts w:ascii="Arial" w:hAnsi="Arial"/>
          <w:color w:val="4A7AB5"/>
          <w:sz w:val="24"/>
        </w:rPr>
        <w:br/>
        <w:t>**Q2 2026:** Establish quarterly Board ESG reporting cadence; launch client engagement program for top 20 financed emissions contributors; evaluate SBTi commitment feasibility.</w:t>
      </w:r>
      <w:r>
        <w:rPr>
          <w:rFonts w:ascii="Arial" w:hAnsi="Arial"/>
          <w:color w:val="4A7AB5"/>
          <w:sz w:val="24"/>
        </w:rPr>
        <w:br/>
      </w:r>
      <w:r>
        <w:rPr>
          <w:rFonts w:ascii="Arial" w:hAnsi="Arial"/>
          <w:color w:val="4A7AB5"/>
          <w:sz w:val="24"/>
        </w:rPr>
        <w:br/>
        <w:t>**Q3-Q4 2026:** Increase ESG remuneration linkage to 15-20%; submit first TCFD-aligned climate disclosure; achieve full comp</w:t>
      </w:r>
      <w:r>
        <w:rPr>
          <w:rFonts w:ascii="Arial" w:hAnsi="Arial"/>
          <w:color w:val="4A7AB5"/>
          <w:sz w:val="24"/>
        </w:rPr>
        <w:t>liance with OJK PSPK governance requirements; consider PCAF membership for financed emissions methodology alignment.</w:t>
      </w:r>
      <w:bookmarkEnd w:id="24"/>
    </w:p>
    <w:p w14:paraId="1EF4C406" w14:textId="77777777" w:rsidR="00A81986" w:rsidRDefault="0067390B">
      <w:r>
        <w:rPr>
          <w:rFonts w:ascii="Arial" w:hAnsi="Arial"/>
          <w:b/>
          <w:sz w:val="20"/>
        </w:rPr>
        <w:t>Table 3.1.1: Framework Governance Requirements — Gap Analysis</w:t>
      </w:r>
    </w:p>
    <w:tbl>
      <w:tblPr>
        <w:tblW w:w="0" w:type="auto"/>
        <w:jc w:val="center"/>
        <w:tblLook w:val="04A0" w:firstRow="1" w:lastRow="0" w:firstColumn="1" w:lastColumn="0" w:noHBand="0" w:noVBand="1"/>
      </w:tblPr>
      <w:tblGrid>
        <w:gridCol w:w="1806"/>
        <w:gridCol w:w="1806"/>
        <w:gridCol w:w="1806"/>
        <w:gridCol w:w="1806"/>
        <w:gridCol w:w="1806"/>
      </w:tblGrid>
      <w:tr w:rsidR="00A81986" w14:paraId="0A7FD867" w14:textId="77777777">
        <w:trPr>
          <w:jc w:val="center"/>
        </w:trPr>
        <w:tc>
          <w:tcPr>
            <w:tcW w:w="1806" w:type="dxa"/>
            <w:shd w:val="clear" w:color="auto" w:fill="1B3A6B"/>
          </w:tcPr>
          <w:p w14:paraId="2F10EDCD" w14:textId="77777777" w:rsidR="00A81986" w:rsidRDefault="0067390B">
            <w:r>
              <w:rPr>
                <w:rFonts w:ascii="Arial" w:hAnsi="Arial"/>
                <w:b/>
                <w:color w:val="FFFFFF"/>
                <w:sz w:val="18"/>
              </w:rPr>
              <w:t>Framework</w:t>
            </w:r>
          </w:p>
        </w:tc>
        <w:tc>
          <w:tcPr>
            <w:tcW w:w="1806" w:type="dxa"/>
            <w:shd w:val="clear" w:color="auto" w:fill="1B3A6B"/>
          </w:tcPr>
          <w:p w14:paraId="377FA039" w14:textId="77777777" w:rsidR="00A81986" w:rsidRDefault="0067390B">
            <w:r>
              <w:rPr>
                <w:rFonts w:ascii="Arial" w:hAnsi="Arial"/>
                <w:b/>
                <w:color w:val="FFFFFF"/>
                <w:sz w:val="18"/>
              </w:rPr>
              <w:t>Disclosure Reference</w:t>
            </w:r>
          </w:p>
        </w:tc>
        <w:tc>
          <w:tcPr>
            <w:tcW w:w="1806" w:type="dxa"/>
            <w:shd w:val="clear" w:color="auto" w:fill="1B3A6B"/>
          </w:tcPr>
          <w:p w14:paraId="363280E0" w14:textId="77777777" w:rsidR="00A81986" w:rsidRDefault="0067390B">
            <w:r>
              <w:rPr>
                <w:rFonts w:ascii="Arial" w:hAnsi="Arial"/>
                <w:b/>
                <w:color w:val="FFFFFF"/>
                <w:sz w:val="18"/>
              </w:rPr>
              <w:t>Requirement</w:t>
            </w:r>
          </w:p>
        </w:tc>
        <w:tc>
          <w:tcPr>
            <w:tcW w:w="1806" w:type="dxa"/>
            <w:shd w:val="clear" w:color="auto" w:fill="1B3A6B"/>
          </w:tcPr>
          <w:p w14:paraId="4A86E6DE" w14:textId="77777777" w:rsidR="00A81986" w:rsidRDefault="0067390B">
            <w:r>
              <w:rPr>
                <w:rFonts w:ascii="Arial" w:hAnsi="Arial"/>
                <w:b/>
                <w:color w:val="FFFFFF"/>
                <w:sz w:val="18"/>
              </w:rPr>
              <w:t>Current Status</w:t>
            </w:r>
          </w:p>
        </w:tc>
        <w:tc>
          <w:tcPr>
            <w:tcW w:w="1806" w:type="dxa"/>
            <w:shd w:val="clear" w:color="auto" w:fill="1B3A6B"/>
          </w:tcPr>
          <w:p w14:paraId="3453B627" w14:textId="77777777" w:rsidR="00A81986" w:rsidRDefault="0067390B">
            <w:r>
              <w:rPr>
                <w:rFonts w:ascii="Arial" w:hAnsi="Arial"/>
                <w:b/>
                <w:color w:val="FFFFFF"/>
                <w:sz w:val="18"/>
              </w:rPr>
              <w:t>Priority</w:t>
            </w:r>
          </w:p>
        </w:tc>
      </w:tr>
      <w:tr w:rsidR="00A81986" w14:paraId="0D6E09BE" w14:textId="77777777">
        <w:trPr>
          <w:jc w:val="center"/>
        </w:trPr>
        <w:tc>
          <w:tcPr>
            <w:tcW w:w="1806" w:type="dxa"/>
          </w:tcPr>
          <w:p w14:paraId="659D9FE9" w14:textId="77777777" w:rsidR="00A81986" w:rsidRDefault="0067390B">
            <w:r>
              <w:rPr>
                <w:rFonts w:ascii="Arial" w:hAnsi="Arial"/>
                <w:sz w:val="18"/>
              </w:rPr>
              <w:t>IFRS S2</w:t>
            </w:r>
          </w:p>
        </w:tc>
        <w:tc>
          <w:tcPr>
            <w:tcW w:w="1806" w:type="dxa"/>
          </w:tcPr>
          <w:p w14:paraId="6B0CAC32" w14:textId="77777777" w:rsidR="00A81986" w:rsidRDefault="0067390B">
            <w:r>
              <w:rPr>
                <w:rFonts w:ascii="Arial" w:hAnsi="Arial"/>
                <w:sz w:val="18"/>
              </w:rPr>
              <w:t>Paragraph 5</w:t>
            </w:r>
          </w:p>
        </w:tc>
        <w:tc>
          <w:tcPr>
            <w:tcW w:w="1806" w:type="dxa"/>
          </w:tcPr>
          <w:p w14:paraId="6036F259" w14:textId="77777777" w:rsidR="00A81986" w:rsidRDefault="0067390B">
            <w:r>
              <w:rPr>
                <w:rFonts w:ascii="Arial" w:hAnsi="Arial"/>
                <w:sz w:val="18"/>
              </w:rPr>
              <w:t>Governance body identification and climate oversight role</w:t>
            </w:r>
          </w:p>
        </w:tc>
        <w:tc>
          <w:tcPr>
            <w:tcW w:w="1806" w:type="dxa"/>
          </w:tcPr>
          <w:p w14:paraId="36FC27A9" w14:textId="77777777" w:rsidR="00A81986" w:rsidRDefault="0067390B">
            <w:r>
              <w:rPr>
                <w:rFonts w:ascii="Arial" w:hAnsi="Arial"/>
                <w:sz w:val="18"/>
              </w:rPr>
              <w:t>⚠</w:t>
            </w:r>
            <w:r>
              <w:rPr>
                <w:rFonts w:ascii="Arial" w:hAnsi="Arial"/>
                <w:sz w:val="18"/>
              </w:rPr>
              <w:t>️</w:t>
            </w:r>
            <w:r>
              <w:rPr>
                <w:rFonts w:ascii="Arial" w:hAnsi="Arial"/>
                <w:sz w:val="18"/>
              </w:rPr>
              <w:t xml:space="preserve"> Not Available</w:t>
            </w:r>
          </w:p>
        </w:tc>
        <w:tc>
          <w:tcPr>
            <w:tcW w:w="1806" w:type="dxa"/>
          </w:tcPr>
          <w:p w14:paraId="028A4462" w14:textId="77777777" w:rsidR="00A81986" w:rsidRDefault="0067390B">
            <w:r>
              <w:rPr>
                <w:rFonts w:ascii="Arial" w:hAnsi="Arial"/>
                <w:sz w:val="18"/>
              </w:rPr>
              <w:t>Critical</w:t>
            </w:r>
          </w:p>
        </w:tc>
      </w:tr>
      <w:tr w:rsidR="00A81986" w14:paraId="3A2C33FD" w14:textId="77777777">
        <w:trPr>
          <w:jc w:val="center"/>
        </w:trPr>
        <w:tc>
          <w:tcPr>
            <w:tcW w:w="1806" w:type="dxa"/>
            <w:shd w:val="clear" w:color="auto" w:fill="F2F6FC"/>
          </w:tcPr>
          <w:p w14:paraId="517882F6" w14:textId="77777777" w:rsidR="00A81986" w:rsidRDefault="0067390B">
            <w:r>
              <w:rPr>
                <w:rFonts w:ascii="Arial" w:hAnsi="Arial"/>
                <w:sz w:val="18"/>
              </w:rPr>
              <w:t>IFRS S2</w:t>
            </w:r>
          </w:p>
        </w:tc>
        <w:tc>
          <w:tcPr>
            <w:tcW w:w="1806" w:type="dxa"/>
            <w:shd w:val="clear" w:color="auto" w:fill="F2F6FC"/>
          </w:tcPr>
          <w:p w14:paraId="1744E60B" w14:textId="77777777" w:rsidR="00A81986" w:rsidRDefault="0067390B">
            <w:r>
              <w:rPr>
                <w:rFonts w:ascii="Arial" w:hAnsi="Arial"/>
                <w:sz w:val="18"/>
              </w:rPr>
              <w:t>Paragraph 6</w:t>
            </w:r>
          </w:p>
        </w:tc>
        <w:tc>
          <w:tcPr>
            <w:tcW w:w="1806" w:type="dxa"/>
            <w:shd w:val="clear" w:color="auto" w:fill="F2F6FC"/>
          </w:tcPr>
          <w:p w14:paraId="493A0332" w14:textId="77777777" w:rsidR="00A81986" w:rsidRDefault="0067390B">
            <w:r>
              <w:rPr>
                <w:rFonts w:ascii="Arial" w:hAnsi="Arial"/>
                <w:sz w:val="18"/>
              </w:rPr>
              <w:t>Management's role in climate governance processes</w:t>
            </w:r>
          </w:p>
        </w:tc>
        <w:tc>
          <w:tcPr>
            <w:tcW w:w="1806" w:type="dxa"/>
            <w:shd w:val="clear" w:color="auto" w:fill="F2F6FC"/>
          </w:tcPr>
          <w:p w14:paraId="51996EC7" w14:textId="77777777" w:rsidR="00A81986" w:rsidRDefault="0067390B">
            <w:r>
              <w:rPr>
                <w:rFonts w:ascii="Arial" w:hAnsi="Arial"/>
                <w:sz w:val="18"/>
              </w:rPr>
              <w:t>⚠</w:t>
            </w:r>
            <w:r>
              <w:rPr>
                <w:rFonts w:ascii="Arial" w:hAnsi="Arial"/>
                <w:sz w:val="18"/>
              </w:rPr>
              <w:t>️</w:t>
            </w:r>
            <w:r>
              <w:rPr>
                <w:rFonts w:ascii="Arial" w:hAnsi="Arial"/>
                <w:sz w:val="18"/>
              </w:rPr>
              <w:t xml:space="preserve"> Not Available</w:t>
            </w:r>
          </w:p>
        </w:tc>
        <w:tc>
          <w:tcPr>
            <w:tcW w:w="1806" w:type="dxa"/>
            <w:shd w:val="clear" w:color="auto" w:fill="F2F6FC"/>
          </w:tcPr>
          <w:p w14:paraId="063BAB6D" w14:textId="77777777" w:rsidR="00A81986" w:rsidRDefault="0067390B">
            <w:r>
              <w:rPr>
                <w:rFonts w:ascii="Arial" w:hAnsi="Arial"/>
                <w:sz w:val="18"/>
              </w:rPr>
              <w:t>Critical</w:t>
            </w:r>
          </w:p>
        </w:tc>
      </w:tr>
      <w:tr w:rsidR="00A81986" w14:paraId="227A7A67" w14:textId="77777777">
        <w:trPr>
          <w:jc w:val="center"/>
        </w:trPr>
        <w:tc>
          <w:tcPr>
            <w:tcW w:w="1806" w:type="dxa"/>
          </w:tcPr>
          <w:p w14:paraId="4CD33E03" w14:textId="77777777" w:rsidR="00A81986" w:rsidRDefault="0067390B">
            <w:r>
              <w:rPr>
                <w:rFonts w:ascii="Arial" w:hAnsi="Arial"/>
                <w:sz w:val="18"/>
              </w:rPr>
              <w:t>IFRS S2</w:t>
            </w:r>
          </w:p>
        </w:tc>
        <w:tc>
          <w:tcPr>
            <w:tcW w:w="1806" w:type="dxa"/>
          </w:tcPr>
          <w:p w14:paraId="5EFECF68" w14:textId="77777777" w:rsidR="00A81986" w:rsidRDefault="0067390B">
            <w:r>
              <w:rPr>
                <w:rFonts w:ascii="Arial" w:hAnsi="Arial"/>
                <w:sz w:val="18"/>
              </w:rPr>
              <w:t>Paragraph 7</w:t>
            </w:r>
          </w:p>
        </w:tc>
        <w:tc>
          <w:tcPr>
            <w:tcW w:w="1806" w:type="dxa"/>
          </w:tcPr>
          <w:p w14:paraId="7067AC35" w14:textId="77777777" w:rsidR="00A81986" w:rsidRDefault="0067390B">
            <w:r>
              <w:rPr>
                <w:rFonts w:ascii="Arial" w:hAnsi="Arial"/>
                <w:sz w:val="18"/>
              </w:rPr>
              <w:t>Integration of climate into strategy and decision-making</w:t>
            </w:r>
          </w:p>
        </w:tc>
        <w:tc>
          <w:tcPr>
            <w:tcW w:w="1806" w:type="dxa"/>
          </w:tcPr>
          <w:p w14:paraId="54466EE1" w14:textId="77777777" w:rsidR="00A81986" w:rsidRDefault="0067390B">
            <w:r>
              <w:rPr>
                <w:rFonts w:ascii="Arial" w:hAnsi="Arial"/>
                <w:sz w:val="18"/>
              </w:rPr>
              <w:t>⚠</w:t>
            </w:r>
            <w:r>
              <w:rPr>
                <w:rFonts w:ascii="Arial" w:hAnsi="Arial"/>
                <w:sz w:val="18"/>
              </w:rPr>
              <w:t>️</w:t>
            </w:r>
            <w:r>
              <w:rPr>
                <w:rFonts w:ascii="Arial" w:hAnsi="Arial"/>
                <w:sz w:val="18"/>
              </w:rPr>
              <w:t xml:space="preserve"> Not Available</w:t>
            </w:r>
          </w:p>
        </w:tc>
        <w:tc>
          <w:tcPr>
            <w:tcW w:w="1806" w:type="dxa"/>
          </w:tcPr>
          <w:p w14:paraId="2D1890DF" w14:textId="77777777" w:rsidR="00A81986" w:rsidRDefault="0067390B">
            <w:r>
              <w:rPr>
                <w:rFonts w:ascii="Arial" w:hAnsi="Arial"/>
                <w:sz w:val="18"/>
              </w:rPr>
              <w:t>High</w:t>
            </w:r>
          </w:p>
        </w:tc>
      </w:tr>
      <w:tr w:rsidR="00A81986" w14:paraId="7861BB15" w14:textId="77777777">
        <w:trPr>
          <w:jc w:val="center"/>
        </w:trPr>
        <w:tc>
          <w:tcPr>
            <w:tcW w:w="1806" w:type="dxa"/>
            <w:shd w:val="clear" w:color="auto" w:fill="F2F6FC"/>
          </w:tcPr>
          <w:p w14:paraId="4FB68E85" w14:textId="77777777" w:rsidR="00A81986" w:rsidRDefault="0067390B">
            <w:r>
              <w:rPr>
                <w:rFonts w:ascii="Arial" w:hAnsi="Arial"/>
                <w:sz w:val="18"/>
              </w:rPr>
              <w:t>GRI 2-12</w:t>
            </w:r>
          </w:p>
        </w:tc>
        <w:tc>
          <w:tcPr>
            <w:tcW w:w="1806" w:type="dxa"/>
            <w:shd w:val="clear" w:color="auto" w:fill="F2F6FC"/>
          </w:tcPr>
          <w:p w14:paraId="29865AA3" w14:textId="77777777" w:rsidR="00A81986" w:rsidRDefault="0067390B">
            <w:r>
              <w:rPr>
                <w:rFonts w:ascii="Arial" w:hAnsi="Arial"/>
                <w:sz w:val="18"/>
              </w:rPr>
              <w:t>2-12a</w:t>
            </w:r>
          </w:p>
        </w:tc>
        <w:tc>
          <w:tcPr>
            <w:tcW w:w="1806" w:type="dxa"/>
            <w:shd w:val="clear" w:color="auto" w:fill="F2F6FC"/>
          </w:tcPr>
          <w:p w14:paraId="224FDC49" w14:textId="77777777" w:rsidR="00A81986" w:rsidRDefault="0067390B">
            <w:r>
              <w:rPr>
                <w:rFonts w:ascii="Arial" w:hAnsi="Arial"/>
                <w:sz w:val="18"/>
              </w:rPr>
              <w:t xml:space="preserve">Role of highest governance body in sustainability </w:t>
            </w:r>
            <w:r>
              <w:rPr>
                <w:rFonts w:ascii="Arial" w:hAnsi="Arial"/>
                <w:sz w:val="18"/>
              </w:rPr>
              <w:lastRenderedPageBreak/>
              <w:t>oversight</w:t>
            </w:r>
          </w:p>
        </w:tc>
        <w:tc>
          <w:tcPr>
            <w:tcW w:w="1806" w:type="dxa"/>
            <w:shd w:val="clear" w:color="auto" w:fill="F2F6FC"/>
          </w:tcPr>
          <w:p w14:paraId="6CC2916B" w14:textId="77777777" w:rsidR="00A81986" w:rsidRDefault="0067390B">
            <w:r>
              <w:rPr>
                <w:rFonts w:ascii="Arial" w:hAnsi="Arial"/>
                <w:sz w:val="18"/>
              </w:rPr>
              <w:lastRenderedPageBreak/>
              <w:t>⚠</w:t>
            </w:r>
            <w:r>
              <w:rPr>
                <w:rFonts w:ascii="Arial" w:hAnsi="Arial"/>
                <w:sz w:val="18"/>
              </w:rPr>
              <w:t>️</w:t>
            </w:r>
            <w:r>
              <w:rPr>
                <w:rFonts w:ascii="Arial" w:hAnsi="Arial"/>
                <w:sz w:val="18"/>
              </w:rPr>
              <w:t xml:space="preserve"> Not Available</w:t>
            </w:r>
          </w:p>
        </w:tc>
        <w:tc>
          <w:tcPr>
            <w:tcW w:w="1806" w:type="dxa"/>
            <w:shd w:val="clear" w:color="auto" w:fill="F2F6FC"/>
          </w:tcPr>
          <w:p w14:paraId="7F5198D9" w14:textId="77777777" w:rsidR="00A81986" w:rsidRDefault="0067390B">
            <w:r>
              <w:rPr>
                <w:rFonts w:ascii="Arial" w:hAnsi="Arial"/>
                <w:sz w:val="18"/>
              </w:rPr>
              <w:t>Critical</w:t>
            </w:r>
          </w:p>
        </w:tc>
      </w:tr>
      <w:tr w:rsidR="00A81986" w14:paraId="078E648A" w14:textId="77777777">
        <w:trPr>
          <w:jc w:val="center"/>
        </w:trPr>
        <w:tc>
          <w:tcPr>
            <w:tcW w:w="1806" w:type="dxa"/>
          </w:tcPr>
          <w:p w14:paraId="58531761" w14:textId="77777777" w:rsidR="00A81986" w:rsidRDefault="0067390B">
            <w:r>
              <w:rPr>
                <w:rFonts w:ascii="Arial" w:hAnsi="Arial"/>
                <w:sz w:val="18"/>
              </w:rPr>
              <w:t>GRI 2-13</w:t>
            </w:r>
          </w:p>
        </w:tc>
        <w:tc>
          <w:tcPr>
            <w:tcW w:w="1806" w:type="dxa"/>
          </w:tcPr>
          <w:p w14:paraId="06B4BCBB" w14:textId="77777777" w:rsidR="00A81986" w:rsidRDefault="0067390B">
            <w:r>
              <w:rPr>
                <w:rFonts w:ascii="Arial" w:hAnsi="Arial"/>
                <w:sz w:val="18"/>
              </w:rPr>
              <w:t>2-13a</w:t>
            </w:r>
          </w:p>
        </w:tc>
        <w:tc>
          <w:tcPr>
            <w:tcW w:w="1806" w:type="dxa"/>
          </w:tcPr>
          <w:p w14:paraId="5EB91944" w14:textId="77777777" w:rsidR="00A81986" w:rsidRDefault="0067390B">
            <w:r>
              <w:rPr>
                <w:rFonts w:ascii="Arial" w:hAnsi="Arial"/>
                <w:sz w:val="18"/>
              </w:rPr>
              <w:t>Delegation of sustainability responsibility to management</w:t>
            </w:r>
          </w:p>
        </w:tc>
        <w:tc>
          <w:tcPr>
            <w:tcW w:w="1806" w:type="dxa"/>
          </w:tcPr>
          <w:p w14:paraId="7E0B1C8B" w14:textId="77777777" w:rsidR="00A81986" w:rsidRDefault="0067390B">
            <w:r>
              <w:rPr>
                <w:rFonts w:ascii="Arial" w:hAnsi="Arial"/>
                <w:sz w:val="18"/>
              </w:rPr>
              <w:t>⚠</w:t>
            </w:r>
            <w:r>
              <w:rPr>
                <w:rFonts w:ascii="Arial" w:hAnsi="Arial"/>
                <w:sz w:val="18"/>
              </w:rPr>
              <w:t>️</w:t>
            </w:r>
            <w:r>
              <w:rPr>
                <w:rFonts w:ascii="Arial" w:hAnsi="Arial"/>
                <w:sz w:val="18"/>
              </w:rPr>
              <w:t xml:space="preserve"> Not Available</w:t>
            </w:r>
          </w:p>
        </w:tc>
        <w:tc>
          <w:tcPr>
            <w:tcW w:w="1806" w:type="dxa"/>
          </w:tcPr>
          <w:p w14:paraId="0B52EE58" w14:textId="77777777" w:rsidR="00A81986" w:rsidRDefault="0067390B">
            <w:r>
              <w:rPr>
                <w:rFonts w:ascii="Arial" w:hAnsi="Arial"/>
                <w:sz w:val="18"/>
              </w:rPr>
              <w:t>Critical</w:t>
            </w:r>
          </w:p>
        </w:tc>
      </w:tr>
      <w:tr w:rsidR="00A81986" w14:paraId="0CEBCB85" w14:textId="77777777">
        <w:trPr>
          <w:jc w:val="center"/>
        </w:trPr>
        <w:tc>
          <w:tcPr>
            <w:tcW w:w="1806" w:type="dxa"/>
            <w:shd w:val="clear" w:color="auto" w:fill="F2F6FC"/>
          </w:tcPr>
          <w:p w14:paraId="7CB3A8F1" w14:textId="77777777" w:rsidR="00A81986" w:rsidRDefault="0067390B">
            <w:r>
              <w:rPr>
                <w:rFonts w:ascii="Arial" w:hAnsi="Arial"/>
                <w:sz w:val="18"/>
              </w:rPr>
              <w:t>ESRS 2</w:t>
            </w:r>
          </w:p>
        </w:tc>
        <w:tc>
          <w:tcPr>
            <w:tcW w:w="1806" w:type="dxa"/>
            <w:shd w:val="clear" w:color="auto" w:fill="F2F6FC"/>
          </w:tcPr>
          <w:p w14:paraId="13652934" w14:textId="77777777" w:rsidR="00A81986" w:rsidRDefault="0067390B">
            <w:r>
              <w:rPr>
                <w:rFonts w:ascii="Arial" w:hAnsi="Arial"/>
                <w:sz w:val="18"/>
              </w:rPr>
              <w:t>GOV-3</w:t>
            </w:r>
          </w:p>
        </w:tc>
        <w:tc>
          <w:tcPr>
            <w:tcW w:w="1806" w:type="dxa"/>
            <w:shd w:val="clear" w:color="auto" w:fill="F2F6FC"/>
          </w:tcPr>
          <w:p w14:paraId="2AEA68EA" w14:textId="77777777" w:rsidR="00A81986" w:rsidRDefault="0067390B">
            <w:r>
              <w:rPr>
                <w:rFonts w:ascii="Arial" w:hAnsi="Arial"/>
                <w:sz w:val="18"/>
              </w:rPr>
              <w:t>Integration of sustainability into incentive schemes</w:t>
            </w:r>
          </w:p>
        </w:tc>
        <w:tc>
          <w:tcPr>
            <w:tcW w:w="1806" w:type="dxa"/>
            <w:shd w:val="clear" w:color="auto" w:fill="F2F6FC"/>
          </w:tcPr>
          <w:p w14:paraId="7DC7953F" w14:textId="77777777" w:rsidR="00A81986" w:rsidRDefault="0067390B">
            <w:r>
              <w:rPr>
                <w:rFonts w:ascii="Arial" w:hAnsi="Arial"/>
                <w:sz w:val="18"/>
              </w:rPr>
              <w:t>⚠</w:t>
            </w:r>
            <w:r>
              <w:rPr>
                <w:rFonts w:ascii="Arial" w:hAnsi="Arial"/>
                <w:sz w:val="18"/>
              </w:rPr>
              <w:t>️</w:t>
            </w:r>
            <w:r>
              <w:rPr>
                <w:rFonts w:ascii="Arial" w:hAnsi="Arial"/>
                <w:sz w:val="18"/>
              </w:rPr>
              <w:t xml:space="preserve"> Not Available</w:t>
            </w:r>
          </w:p>
        </w:tc>
        <w:tc>
          <w:tcPr>
            <w:tcW w:w="1806" w:type="dxa"/>
            <w:shd w:val="clear" w:color="auto" w:fill="F2F6FC"/>
          </w:tcPr>
          <w:p w14:paraId="6CB59396" w14:textId="77777777" w:rsidR="00A81986" w:rsidRDefault="0067390B">
            <w:r>
              <w:rPr>
                <w:rFonts w:ascii="Arial" w:hAnsi="Arial"/>
                <w:sz w:val="18"/>
              </w:rPr>
              <w:t>High</w:t>
            </w:r>
          </w:p>
        </w:tc>
      </w:tr>
      <w:tr w:rsidR="00A81986" w14:paraId="166531B6" w14:textId="77777777">
        <w:trPr>
          <w:jc w:val="center"/>
        </w:trPr>
        <w:tc>
          <w:tcPr>
            <w:tcW w:w="1806" w:type="dxa"/>
          </w:tcPr>
          <w:p w14:paraId="4CEB61B1" w14:textId="77777777" w:rsidR="00A81986" w:rsidRDefault="0067390B">
            <w:r>
              <w:rPr>
                <w:rFonts w:ascii="Arial" w:hAnsi="Arial"/>
                <w:sz w:val="18"/>
              </w:rPr>
              <w:t>OJK PSPK</w:t>
            </w:r>
          </w:p>
        </w:tc>
        <w:tc>
          <w:tcPr>
            <w:tcW w:w="1806" w:type="dxa"/>
          </w:tcPr>
          <w:p w14:paraId="7D0F9BDD" w14:textId="77777777" w:rsidR="00A81986" w:rsidRDefault="0067390B">
            <w:r>
              <w:rPr>
                <w:rFonts w:ascii="Arial" w:hAnsi="Arial"/>
                <w:sz w:val="18"/>
              </w:rPr>
              <w:t>POJK 51/2017, SEOJK 16/2021</w:t>
            </w:r>
          </w:p>
        </w:tc>
        <w:tc>
          <w:tcPr>
            <w:tcW w:w="1806" w:type="dxa"/>
          </w:tcPr>
          <w:p w14:paraId="5ADB61F2" w14:textId="77777777" w:rsidR="00A81986" w:rsidRDefault="0067390B">
            <w:r>
              <w:rPr>
                <w:rFonts w:ascii="Arial" w:hAnsi="Arial"/>
                <w:sz w:val="18"/>
              </w:rPr>
              <w:t>Board-level sustainability committee and reporting</w:t>
            </w:r>
          </w:p>
        </w:tc>
        <w:tc>
          <w:tcPr>
            <w:tcW w:w="1806" w:type="dxa"/>
          </w:tcPr>
          <w:p w14:paraId="2D497A13" w14:textId="77777777" w:rsidR="00A81986" w:rsidRDefault="0067390B">
            <w:r>
              <w:rPr>
                <w:rFonts w:ascii="Arial" w:hAnsi="Arial"/>
                <w:sz w:val="18"/>
              </w:rPr>
              <w:t>⚠</w:t>
            </w:r>
            <w:r>
              <w:rPr>
                <w:rFonts w:ascii="Arial" w:hAnsi="Arial"/>
                <w:sz w:val="18"/>
              </w:rPr>
              <w:t>️</w:t>
            </w:r>
            <w:r>
              <w:rPr>
                <w:rFonts w:ascii="Arial" w:hAnsi="Arial"/>
                <w:sz w:val="18"/>
              </w:rPr>
              <w:t xml:space="preserve"> Not Available</w:t>
            </w:r>
          </w:p>
        </w:tc>
        <w:tc>
          <w:tcPr>
            <w:tcW w:w="1806" w:type="dxa"/>
          </w:tcPr>
          <w:p w14:paraId="76DCF9B9" w14:textId="77777777" w:rsidR="00A81986" w:rsidRDefault="0067390B">
            <w:r>
              <w:rPr>
                <w:rFonts w:ascii="Arial" w:hAnsi="Arial"/>
                <w:sz w:val="18"/>
              </w:rPr>
              <w:t>Critical</w:t>
            </w:r>
          </w:p>
        </w:tc>
      </w:tr>
    </w:tbl>
    <w:p w14:paraId="4330BE33" w14:textId="77777777" w:rsidR="00A81986" w:rsidRDefault="0067390B">
      <w:r>
        <w:rPr>
          <w:rFonts w:ascii="Arial" w:hAnsi="Arial"/>
          <w:i/>
          <w:sz w:val="16"/>
        </w:rPr>
        <w:t>Source: Gap analysis based on framework requirements and current institutional disclosure capabilities. All governance data fields are not yet captured in the institution's reporting system.</w:t>
      </w:r>
    </w:p>
    <w:p w14:paraId="3FFD9560" w14:textId="77777777" w:rsidR="00A81986" w:rsidRDefault="00A81986"/>
    <w:p w14:paraId="7E585E76" w14:textId="77777777" w:rsidR="00A81986" w:rsidRDefault="0067390B">
      <w:r>
        <w:rPr>
          <w:rFonts w:ascii="Arial" w:hAnsi="Arial"/>
          <w:b/>
          <w:sz w:val="20"/>
        </w:rPr>
        <w:t>Table 3.1.2: Peer Bank Governance Benchmarks — Indonesian Banking Sector</w:t>
      </w:r>
    </w:p>
    <w:tbl>
      <w:tblPr>
        <w:tblW w:w="0" w:type="auto"/>
        <w:jc w:val="center"/>
        <w:tblLook w:val="04A0" w:firstRow="1" w:lastRow="0" w:firstColumn="1" w:lastColumn="0" w:noHBand="0" w:noVBand="1"/>
      </w:tblPr>
      <w:tblGrid>
        <w:gridCol w:w="1505"/>
        <w:gridCol w:w="1505"/>
        <w:gridCol w:w="1505"/>
        <w:gridCol w:w="1505"/>
        <w:gridCol w:w="1505"/>
        <w:gridCol w:w="1507"/>
      </w:tblGrid>
      <w:tr w:rsidR="00A81986" w14:paraId="153817A7" w14:textId="77777777">
        <w:trPr>
          <w:jc w:val="center"/>
        </w:trPr>
        <w:tc>
          <w:tcPr>
            <w:tcW w:w="1505" w:type="dxa"/>
            <w:shd w:val="clear" w:color="auto" w:fill="1B3A6B"/>
          </w:tcPr>
          <w:p w14:paraId="1F2CC5DD" w14:textId="77777777" w:rsidR="00A81986" w:rsidRDefault="0067390B">
            <w:r>
              <w:rPr>
                <w:rFonts w:ascii="Arial" w:hAnsi="Arial"/>
                <w:b/>
                <w:color w:val="FFFFFF"/>
                <w:sz w:val="18"/>
              </w:rPr>
              <w:t>Governance Element</w:t>
            </w:r>
          </w:p>
        </w:tc>
        <w:tc>
          <w:tcPr>
            <w:tcW w:w="1505" w:type="dxa"/>
            <w:shd w:val="clear" w:color="auto" w:fill="1B3A6B"/>
          </w:tcPr>
          <w:p w14:paraId="13AF5F78" w14:textId="77777777" w:rsidR="00A81986" w:rsidRDefault="0067390B">
            <w:r>
              <w:rPr>
                <w:rFonts w:ascii="Arial" w:hAnsi="Arial"/>
                <w:b/>
                <w:color w:val="FFFFFF"/>
                <w:sz w:val="18"/>
              </w:rPr>
              <w:t>BRI</w:t>
            </w:r>
          </w:p>
        </w:tc>
        <w:tc>
          <w:tcPr>
            <w:tcW w:w="1505" w:type="dxa"/>
            <w:shd w:val="clear" w:color="auto" w:fill="1B3A6B"/>
          </w:tcPr>
          <w:p w14:paraId="49EE2A34" w14:textId="77777777" w:rsidR="00A81986" w:rsidRDefault="0067390B">
            <w:r>
              <w:rPr>
                <w:rFonts w:ascii="Arial" w:hAnsi="Arial"/>
                <w:b/>
                <w:color w:val="FFFFFF"/>
                <w:sz w:val="18"/>
              </w:rPr>
              <w:t>BCA</w:t>
            </w:r>
          </w:p>
        </w:tc>
        <w:tc>
          <w:tcPr>
            <w:tcW w:w="1505" w:type="dxa"/>
            <w:shd w:val="clear" w:color="auto" w:fill="1B3A6B"/>
          </w:tcPr>
          <w:p w14:paraId="50D5DBCA" w14:textId="77777777" w:rsidR="00A81986" w:rsidRDefault="0067390B">
            <w:r>
              <w:rPr>
                <w:rFonts w:ascii="Arial" w:hAnsi="Arial"/>
                <w:b/>
                <w:color w:val="FFFFFF"/>
                <w:sz w:val="18"/>
              </w:rPr>
              <w:t>DBS</w:t>
            </w:r>
          </w:p>
        </w:tc>
        <w:tc>
          <w:tcPr>
            <w:tcW w:w="1505" w:type="dxa"/>
            <w:shd w:val="clear" w:color="auto" w:fill="1B3A6B"/>
          </w:tcPr>
          <w:p w14:paraId="375DB87D" w14:textId="77777777" w:rsidR="00A81986" w:rsidRDefault="0067390B">
            <w:r>
              <w:rPr>
                <w:rFonts w:ascii="Arial" w:hAnsi="Arial"/>
                <w:b/>
                <w:color w:val="FFFFFF"/>
                <w:sz w:val="18"/>
              </w:rPr>
              <w:t>Mandiri</w:t>
            </w:r>
          </w:p>
        </w:tc>
        <w:tc>
          <w:tcPr>
            <w:tcW w:w="1505" w:type="dxa"/>
            <w:shd w:val="clear" w:color="auto" w:fill="1B3A6B"/>
          </w:tcPr>
          <w:p w14:paraId="217B60AA" w14:textId="77777777" w:rsidR="00A81986" w:rsidRDefault="0067390B">
            <w:r>
              <w:rPr>
                <w:rFonts w:ascii="Arial" w:hAnsi="Arial"/>
                <w:b/>
                <w:color w:val="FFFFFF"/>
                <w:sz w:val="18"/>
              </w:rPr>
              <w:t>Recommended for Institution</w:t>
            </w:r>
          </w:p>
        </w:tc>
      </w:tr>
      <w:tr w:rsidR="00A81986" w14:paraId="5F248B82" w14:textId="77777777">
        <w:trPr>
          <w:jc w:val="center"/>
        </w:trPr>
        <w:tc>
          <w:tcPr>
            <w:tcW w:w="1505" w:type="dxa"/>
          </w:tcPr>
          <w:p w14:paraId="23F0167F" w14:textId="77777777" w:rsidR="00A81986" w:rsidRDefault="0067390B">
            <w:r>
              <w:rPr>
                <w:rFonts w:ascii="Arial" w:hAnsi="Arial"/>
                <w:sz w:val="18"/>
              </w:rPr>
              <w:t>Board ESG Committee</w:t>
            </w:r>
          </w:p>
        </w:tc>
        <w:tc>
          <w:tcPr>
            <w:tcW w:w="1505" w:type="dxa"/>
          </w:tcPr>
          <w:p w14:paraId="4C9BBBC9" w14:textId="77777777" w:rsidR="00A81986" w:rsidRDefault="0067390B">
            <w:r>
              <w:rPr>
                <w:rFonts w:ascii="Arial" w:hAnsi="Arial"/>
                <w:sz w:val="18"/>
              </w:rPr>
              <w:t>✅</w:t>
            </w:r>
            <w:r>
              <w:rPr>
                <w:rFonts w:ascii="Arial" w:hAnsi="Arial"/>
                <w:sz w:val="18"/>
              </w:rPr>
              <w:t xml:space="preserve"> Risk Mgmt &amp; ESG Committee (2021)</w:t>
            </w:r>
          </w:p>
        </w:tc>
        <w:tc>
          <w:tcPr>
            <w:tcW w:w="1505" w:type="dxa"/>
          </w:tcPr>
          <w:p w14:paraId="0D7FE9F6" w14:textId="77777777" w:rsidR="00A81986" w:rsidRDefault="0067390B">
            <w:r>
              <w:rPr>
                <w:rFonts w:ascii="Arial" w:hAnsi="Arial"/>
                <w:sz w:val="18"/>
              </w:rPr>
              <w:t>ESG Subdivision under Corporate Secretary</w:t>
            </w:r>
          </w:p>
        </w:tc>
        <w:tc>
          <w:tcPr>
            <w:tcW w:w="1505" w:type="dxa"/>
          </w:tcPr>
          <w:p w14:paraId="7F3F30F8" w14:textId="77777777" w:rsidR="00A81986" w:rsidRDefault="0067390B">
            <w:r>
              <w:rPr>
                <w:rFonts w:ascii="Arial" w:hAnsi="Arial"/>
                <w:sz w:val="18"/>
              </w:rPr>
              <w:t>✅</w:t>
            </w:r>
            <w:r>
              <w:rPr>
                <w:rFonts w:ascii="Arial" w:hAnsi="Arial"/>
                <w:sz w:val="18"/>
              </w:rPr>
              <w:t xml:space="preserve"> Board Sustainability Committee</w:t>
            </w:r>
          </w:p>
        </w:tc>
        <w:tc>
          <w:tcPr>
            <w:tcW w:w="1505" w:type="dxa"/>
          </w:tcPr>
          <w:p w14:paraId="3646998C" w14:textId="77777777" w:rsidR="00A81986" w:rsidRDefault="0067390B">
            <w:r>
              <w:rPr>
                <w:rFonts w:ascii="Arial" w:hAnsi="Arial"/>
                <w:sz w:val="18"/>
              </w:rPr>
              <w:t>ESG Task Force</w:t>
            </w:r>
          </w:p>
        </w:tc>
        <w:tc>
          <w:tcPr>
            <w:tcW w:w="1505" w:type="dxa"/>
          </w:tcPr>
          <w:p w14:paraId="4D7D68A6" w14:textId="77777777" w:rsidR="00A81986" w:rsidRDefault="0067390B">
            <w:r>
              <w:rPr>
                <w:rFonts w:ascii="Arial" w:hAnsi="Arial"/>
                <w:sz w:val="18"/>
              </w:rPr>
              <w:t>Board Risk &amp; Sustainability Committee</w:t>
            </w:r>
          </w:p>
        </w:tc>
      </w:tr>
      <w:tr w:rsidR="00A81986" w14:paraId="123FB4FB" w14:textId="77777777">
        <w:trPr>
          <w:jc w:val="center"/>
        </w:trPr>
        <w:tc>
          <w:tcPr>
            <w:tcW w:w="1505" w:type="dxa"/>
            <w:shd w:val="clear" w:color="auto" w:fill="F2F6FC"/>
          </w:tcPr>
          <w:p w14:paraId="1808E6F3" w14:textId="77777777" w:rsidR="00A81986" w:rsidRDefault="0067390B">
            <w:r>
              <w:rPr>
                <w:rFonts w:ascii="Arial" w:hAnsi="Arial"/>
                <w:sz w:val="18"/>
              </w:rPr>
              <w:t>Reporting Line</w:t>
            </w:r>
          </w:p>
        </w:tc>
        <w:tc>
          <w:tcPr>
            <w:tcW w:w="1505" w:type="dxa"/>
            <w:shd w:val="clear" w:color="auto" w:fill="F2F6FC"/>
          </w:tcPr>
          <w:p w14:paraId="2890C142" w14:textId="77777777" w:rsidR="00A81986" w:rsidRDefault="0067390B">
            <w:r>
              <w:rPr>
                <w:rFonts w:ascii="Arial" w:hAnsi="Arial"/>
                <w:sz w:val="18"/>
              </w:rPr>
              <w:t>Reports to President Director</w:t>
            </w:r>
          </w:p>
        </w:tc>
        <w:tc>
          <w:tcPr>
            <w:tcW w:w="1505" w:type="dxa"/>
            <w:shd w:val="clear" w:color="auto" w:fill="F2F6FC"/>
          </w:tcPr>
          <w:p w14:paraId="5452D7AB" w14:textId="77777777" w:rsidR="00A81986" w:rsidRDefault="0067390B">
            <w:r>
              <w:rPr>
                <w:rFonts w:ascii="Arial" w:hAnsi="Arial"/>
                <w:sz w:val="18"/>
              </w:rPr>
              <w:t>Director Planning &amp; Finance → President Director</w:t>
            </w:r>
          </w:p>
        </w:tc>
        <w:tc>
          <w:tcPr>
            <w:tcW w:w="1505" w:type="dxa"/>
            <w:shd w:val="clear" w:color="auto" w:fill="F2F6FC"/>
          </w:tcPr>
          <w:p w14:paraId="09289B08" w14:textId="77777777" w:rsidR="00A81986" w:rsidRDefault="0067390B">
            <w:r>
              <w:rPr>
                <w:rFonts w:ascii="Arial" w:hAnsi="Arial"/>
                <w:sz w:val="18"/>
              </w:rPr>
              <w:t>Chief Sustainability Officer → Board</w:t>
            </w:r>
          </w:p>
        </w:tc>
        <w:tc>
          <w:tcPr>
            <w:tcW w:w="1505" w:type="dxa"/>
            <w:shd w:val="clear" w:color="auto" w:fill="F2F6FC"/>
          </w:tcPr>
          <w:p w14:paraId="75D04890" w14:textId="77777777" w:rsidR="00A81986" w:rsidRDefault="0067390B">
            <w:r>
              <w:rPr>
                <w:rFonts w:ascii="Arial" w:hAnsi="Arial"/>
                <w:sz w:val="18"/>
              </w:rPr>
              <w:t>Director → President Director</w:t>
            </w:r>
          </w:p>
        </w:tc>
        <w:tc>
          <w:tcPr>
            <w:tcW w:w="1505" w:type="dxa"/>
            <w:shd w:val="clear" w:color="auto" w:fill="F2F6FC"/>
          </w:tcPr>
          <w:p w14:paraId="527CA12A" w14:textId="77777777" w:rsidR="00A81986" w:rsidRDefault="0067390B">
            <w:r>
              <w:rPr>
                <w:rFonts w:ascii="Arial" w:hAnsi="Arial"/>
                <w:sz w:val="18"/>
              </w:rPr>
              <w:t>CSO → President Director → Board</w:t>
            </w:r>
          </w:p>
        </w:tc>
      </w:tr>
      <w:tr w:rsidR="00A81986" w14:paraId="5B62D2F8" w14:textId="77777777">
        <w:trPr>
          <w:jc w:val="center"/>
        </w:trPr>
        <w:tc>
          <w:tcPr>
            <w:tcW w:w="1505" w:type="dxa"/>
          </w:tcPr>
          <w:p w14:paraId="310ECA2A" w14:textId="77777777" w:rsidR="00A81986" w:rsidRDefault="0067390B">
            <w:r>
              <w:rPr>
                <w:rFonts w:ascii="Arial" w:hAnsi="Arial"/>
                <w:sz w:val="18"/>
              </w:rPr>
              <w:t>Board Review Frequency</w:t>
            </w:r>
          </w:p>
        </w:tc>
        <w:tc>
          <w:tcPr>
            <w:tcW w:w="1505" w:type="dxa"/>
          </w:tcPr>
          <w:p w14:paraId="1F6E83F4" w14:textId="77777777" w:rsidR="00A81986" w:rsidRDefault="0067390B">
            <w:r>
              <w:rPr>
                <w:rFonts w:ascii="Arial" w:hAnsi="Arial"/>
                <w:sz w:val="18"/>
              </w:rPr>
              <w:t>Quarterly</w:t>
            </w:r>
          </w:p>
        </w:tc>
        <w:tc>
          <w:tcPr>
            <w:tcW w:w="1505" w:type="dxa"/>
          </w:tcPr>
          <w:p w14:paraId="6DC8E12F" w14:textId="77777777" w:rsidR="00A81986" w:rsidRDefault="0067390B">
            <w:r>
              <w:rPr>
                <w:rFonts w:ascii="Arial" w:hAnsi="Arial"/>
                <w:sz w:val="18"/>
              </w:rPr>
              <w:t>≥4x per year</w:t>
            </w:r>
          </w:p>
        </w:tc>
        <w:tc>
          <w:tcPr>
            <w:tcW w:w="1505" w:type="dxa"/>
          </w:tcPr>
          <w:p w14:paraId="4E73B518" w14:textId="77777777" w:rsidR="00A81986" w:rsidRDefault="0067390B">
            <w:r>
              <w:rPr>
                <w:rFonts w:ascii="Arial" w:hAnsi="Arial"/>
                <w:sz w:val="18"/>
              </w:rPr>
              <w:t>Quarterly</w:t>
            </w:r>
          </w:p>
        </w:tc>
        <w:tc>
          <w:tcPr>
            <w:tcW w:w="1505" w:type="dxa"/>
          </w:tcPr>
          <w:p w14:paraId="47F73EA6" w14:textId="77777777" w:rsidR="00A81986" w:rsidRDefault="0067390B">
            <w:r>
              <w:rPr>
                <w:rFonts w:ascii="Arial" w:hAnsi="Arial"/>
                <w:sz w:val="18"/>
              </w:rPr>
              <w:t>Semi-annual</w:t>
            </w:r>
          </w:p>
        </w:tc>
        <w:tc>
          <w:tcPr>
            <w:tcW w:w="1505" w:type="dxa"/>
          </w:tcPr>
          <w:p w14:paraId="732B337A" w14:textId="77777777" w:rsidR="00A81986" w:rsidRDefault="0067390B">
            <w:r>
              <w:rPr>
                <w:rFonts w:ascii="Arial" w:hAnsi="Arial"/>
                <w:sz w:val="18"/>
              </w:rPr>
              <w:t>Quarterly (minimum)</w:t>
            </w:r>
          </w:p>
        </w:tc>
      </w:tr>
      <w:tr w:rsidR="00A81986" w14:paraId="07FE3FE4" w14:textId="77777777">
        <w:trPr>
          <w:jc w:val="center"/>
        </w:trPr>
        <w:tc>
          <w:tcPr>
            <w:tcW w:w="1505" w:type="dxa"/>
            <w:shd w:val="clear" w:color="auto" w:fill="F2F6FC"/>
          </w:tcPr>
          <w:p w14:paraId="79445379" w14:textId="77777777" w:rsidR="00A81986" w:rsidRDefault="0067390B">
            <w:r>
              <w:rPr>
                <w:rFonts w:ascii="Arial" w:hAnsi="Arial"/>
                <w:sz w:val="18"/>
              </w:rPr>
              <w:t>ESG in Remuneration</w:t>
            </w:r>
          </w:p>
        </w:tc>
        <w:tc>
          <w:tcPr>
            <w:tcW w:w="1505" w:type="dxa"/>
            <w:shd w:val="clear" w:color="auto" w:fill="F2F6FC"/>
          </w:tcPr>
          <w:p w14:paraId="4D4351ED" w14:textId="77777777" w:rsidR="00A81986" w:rsidRDefault="0067390B">
            <w:r>
              <w:rPr>
                <w:rFonts w:ascii="Arial" w:hAnsi="Arial"/>
                <w:sz w:val="18"/>
              </w:rPr>
              <w:t>✅</w:t>
            </w:r>
            <w:r>
              <w:rPr>
                <w:rFonts w:ascii="Arial" w:hAnsi="Arial"/>
                <w:sz w:val="18"/>
              </w:rPr>
              <w:t xml:space="preserve"> Integrated to BoD KPIs</w:t>
            </w:r>
          </w:p>
        </w:tc>
        <w:tc>
          <w:tcPr>
            <w:tcW w:w="1505" w:type="dxa"/>
            <w:shd w:val="clear" w:color="auto" w:fill="F2F6FC"/>
          </w:tcPr>
          <w:p w14:paraId="2AAACC70" w14:textId="77777777" w:rsidR="00A81986" w:rsidRDefault="0067390B">
            <w:r>
              <w:rPr>
                <w:rFonts w:ascii="Arial" w:hAnsi="Arial"/>
                <w:sz w:val="18"/>
              </w:rPr>
              <w:t>✅</w:t>
            </w:r>
            <w:r>
              <w:rPr>
                <w:rFonts w:ascii="Arial" w:hAnsi="Arial"/>
                <w:sz w:val="18"/>
              </w:rPr>
              <w:t xml:space="preserve"> Integrated to BoD &amp; work unit KPIs</w:t>
            </w:r>
          </w:p>
        </w:tc>
        <w:tc>
          <w:tcPr>
            <w:tcW w:w="1505" w:type="dxa"/>
            <w:shd w:val="clear" w:color="auto" w:fill="F2F6FC"/>
          </w:tcPr>
          <w:p w14:paraId="7571A845" w14:textId="77777777" w:rsidR="00A81986" w:rsidRDefault="0067390B">
            <w:r>
              <w:rPr>
                <w:rFonts w:ascii="Arial" w:hAnsi="Arial"/>
                <w:sz w:val="18"/>
              </w:rPr>
              <w:t>✅</w:t>
            </w:r>
            <w:r>
              <w:rPr>
                <w:rFonts w:ascii="Arial" w:hAnsi="Arial"/>
                <w:sz w:val="18"/>
              </w:rPr>
              <w:t xml:space="preserve"> 20% weight</w:t>
            </w:r>
          </w:p>
        </w:tc>
        <w:tc>
          <w:tcPr>
            <w:tcW w:w="1505" w:type="dxa"/>
            <w:shd w:val="clear" w:color="auto" w:fill="F2F6FC"/>
          </w:tcPr>
          <w:p w14:paraId="24515920" w14:textId="77777777" w:rsidR="00A81986" w:rsidRDefault="0067390B">
            <w:r>
              <w:rPr>
                <w:rFonts w:ascii="Arial" w:hAnsi="Arial"/>
                <w:sz w:val="18"/>
              </w:rPr>
              <w:t>Partial</w:t>
            </w:r>
          </w:p>
        </w:tc>
        <w:tc>
          <w:tcPr>
            <w:tcW w:w="1505" w:type="dxa"/>
            <w:shd w:val="clear" w:color="auto" w:fill="F2F6FC"/>
          </w:tcPr>
          <w:p w14:paraId="5FD4F66B" w14:textId="77777777" w:rsidR="00A81986" w:rsidRDefault="0067390B">
            <w:r>
              <w:rPr>
                <w:rFonts w:ascii="Arial" w:hAnsi="Arial"/>
                <w:sz w:val="18"/>
              </w:rPr>
              <w:t>10-20% of variable compensation</w:t>
            </w:r>
          </w:p>
        </w:tc>
      </w:tr>
      <w:tr w:rsidR="00A81986" w14:paraId="42638862" w14:textId="77777777">
        <w:trPr>
          <w:jc w:val="center"/>
        </w:trPr>
        <w:tc>
          <w:tcPr>
            <w:tcW w:w="1505" w:type="dxa"/>
          </w:tcPr>
          <w:p w14:paraId="3FE5B936" w14:textId="77777777" w:rsidR="00A81986" w:rsidRDefault="0067390B">
            <w:r>
              <w:rPr>
                <w:rFonts w:ascii="Arial" w:hAnsi="Arial"/>
                <w:sz w:val="18"/>
              </w:rPr>
              <w:t>Climate Expertise</w:t>
            </w:r>
          </w:p>
        </w:tc>
        <w:tc>
          <w:tcPr>
            <w:tcW w:w="1505" w:type="dxa"/>
          </w:tcPr>
          <w:p w14:paraId="6AFF2CF9" w14:textId="77777777" w:rsidR="00A81986" w:rsidRDefault="0067390B">
            <w:r>
              <w:rPr>
                <w:rFonts w:ascii="Arial" w:hAnsi="Arial"/>
                <w:sz w:val="18"/>
              </w:rPr>
              <w:t>Training provided</w:t>
            </w:r>
          </w:p>
        </w:tc>
        <w:tc>
          <w:tcPr>
            <w:tcW w:w="1505" w:type="dxa"/>
          </w:tcPr>
          <w:p w14:paraId="5A6D3CEC" w14:textId="77777777" w:rsidR="00A81986" w:rsidRDefault="0067390B">
            <w:r>
              <w:rPr>
                <w:rFonts w:ascii="Arial" w:hAnsi="Arial"/>
                <w:sz w:val="18"/>
              </w:rPr>
              <w:t>Annual BoD/BoC ESG refresher</w:t>
            </w:r>
          </w:p>
        </w:tc>
        <w:tc>
          <w:tcPr>
            <w:tcW w:w="1505" w:type="dxa"/>
          </w:tcPr>
          <w:p w14:paraId="2BC71C4D" w14:textId="77777777" w:rsidR="00A81986" w:rsidRDefault="0067390B">
            <w:r>
              <w:rPr>
                <w:rFonts w:ascii="Arial" w:hAnsi="Arial"/>
                <w:sz w:val="18"/>
              </w:rPr>
              <w:t>Dedicated expertise</w:t>
            </w:r>
          </w:p>
        </w:tc>
        <w:tc>
          <w:tcPr>
            <w:tcW w:w="1505" w:type="dxa"/>
          </w:tcPr>
          <w:p w14:paraId="10958566" w14:textId="77777777" w:rsidR="00A81986" w:rsidRDefault="0067390B">
            <w:r>
              <w:rPr>
                <w:rFonts w:ascii="Arial" w:hAnsi="Arial"/>
                <w:sz w:val="18"/>
              </w:rPr>
              <w:t>Training provided</w:t>
            </w:r>
          </w:p>
        </w:tc>
        <w:tc>
          <w:tcPr>
            <w:tcW w:w="1505" w:type="dxa"/>
          </w:tcPr>
          <w:p w14:paraId="532B6236" w14:textId="77777777" w:rsidR="00A81986" w:rsidRDefault="0067390B">
            <w:r>
              <w:rPr>
                <w:rFonts w:ascii="Arial" w:hAnsi="Arial"/>
                <w:sz w:val="18"/>
              </w:rPr>
              <w:t>≥1 Board member + annual training</w:t>
            </w:r>
          </w:p>
        </w:tc>
      </w:tr>
      <w:tr w:rsidR="00A81986" w14:paraId="7623E706" w14:textId="77777777">
        <w:trPr>
          <w:jc w:val="center"/>
        </w:trPr>
        <w:tc>
          <w:tcPr>
            <w:tcW w:w="1505" w:type="dxa"/>
            <w:shd w:val="clear" w:color="auto" w:fill="F2F6FC"/>
          </w:tcPr>
          <w:p w14:paraId="7F73FE79" w14:textId="77777777" w:rsidR="00A81986" w:rsidRDefault="0067390B">
            <w:r>
              <w:rPr>
                <w:rFonts w:ascii="Arial" w:hAnsi="Arial"/>
                <w:sz w:val="18"/>
              </w:rPr>
              <w:t>Policy Framework</w:t>
            </w:r>
          </w:p>
        </w:tc>
        <w:tc>
          <w:tcPr>
            <w:tcW w:w="1505" w:type="dxa"/>
            <w:shd w:val="clear" w:color="auto" w:fill="F2F6FC"/>
          </w:tcPr>
          <w:p w14:paraId="1FF67739" w14:textId="77777777" w:rsidR="00A81986" w:rsidRDefault="0067390B">
            <w:r>
              <w:rPr>
                <w:rFonts w:ascii="Arial" w:hAnsi="Arial"/>
                <w:sz w:val="18"/>
              </w:rPr>
              <w:t>Circular of BoD (sustainability)</w:t>
            </w:r>
          </w:p>
        </w:tc>
        <w:tc>
          <w:tcPr>
            <w:tcW w:w="1505" w:type="dxa"/>
            <w:shd w:val="clear" w:color="auto" w:fill="F2F6FC"/>
          </w:tcPr>
          <w:p w14:paraId="4D488492" w14:textId="77777777" w:rsidR="00A81986" w:rsidRDefault="0067390B">
            <w:r>
              <w:rPr>
                <w:rFonts w:ascii="Arial" w:hAnsi="Arial"/>
                <w:sz w:val="18"/>
              </w:rPr>
              <w:t>Multiple BoD Decrees (SLL, Green Loan, Sectoral ESG)</w:t>
            </w:r>
          </w:p>
        </w:tc>
        <w:tc>
          <w:tcPr>
            <w:tcW w:w="1505" w:type="dxa"/>
            <w:shd w:val="clear" w:color="auto" w:fill="F2F6FC"/>
          </w:tcPr>
          <w:p w14:paraId="7212BE16" w14:textId="77777777" w:rsidR="00A81986" w:rsidRDefault="0067390B">
            <w:r>
              <w:rPr>
                <w:rFonts w:ascii="Arial" w:hAnsi="Arial"/>
                <w:sz w:val="18"/>
              </w:rPr>
              <w:t>Board-approved ESG Framework</w:t>
            </w:r>
          </w:p>
        </w:tc>
        <w:tc>
          <w:tcPr>
            <w:tcW w:w="1505" w:type="dxa"/>
            <w:shd w:val="clear" w:color="auto" w:fill="F2F6FC"/>
          </w:tcPr>
          <w:p w14:paraId="54134528" w14:textId="77777777" w:rsidR="00A81986" w:rsidRDefault="0067390B">
            <w:r>
              <w:rPr>
                <w:rFonts w:ascii="Arial" w:hAnsi="Arial"/>
                <w:sz w:val="18"/>
              </w:rPr>
              <w:t>Internal policy</w:t>
            </w:r>
          </w:p>
        </w:tc>
        <w:tc>
          <w:tcPr>
            <w:tcW w:w="1505" w:type="dxa"/>
            <w:shd w:val="clear" w:color="auto" w:fill="F2F6FC"/>
          </w:tcPr>
          <w:p w14:paraId="0250F06B" w14:textId="77777777" w:rsidR="00A81986" w:rsidRDefault="0067390B">
            <w:r>
              <w:rPr>
                <w:rFonts w:ascii="Arial" w:hAnsi="Arial"/>
                <w:sz w:val="18"/>
              </w:rPr>
              <w:t>BoD Decrees for SF Framework + Sectoral Policies</w:t>
            </w:r>
          </w:p>
        </w:tc>
      </w:tr>
      <w:tr w:rsidR="00A81986" w14:paraId="0FA10E30" w14:textId="77777777">
        <w:trPr>
          <w:jc w:val="center"/>
        </w:trPr>
        <w:tc>
          <w:tcPr>
            <w:tcW w:w="1505" w:type="dxa"/>
          </w:tcPr>
          <w:p w14:paraId="5A62CD30" w14:textId="77777777" w:rsidR="00A81986" w:rsidRDefault="0067390B">
            <w:r>
              <w:rPr>
                <w:rFonts w:ascii="Arial" w:hAnsi="Arial"/>
                <w:sz w:val="18"/>
              </w:rPr>
              <w:t>SBTi/NZBA Commitment</w:t>
            </w:r>
          </w:p>
        </w:tc>
        <w:tc>
          <w:tcPr>
            <w:tcW w:w="1505" w:type="dxa"/>
          </w:tcPr>
          <w:p w14:paraId="1B668C85" w14:textId="77777777" w:rsidR="00A81986" w:rsidRDefault="0067390B">
            <w:r>
              <w:rPr>
                <w:rFonts w:ascii="Arial" w:hAnsi="Arial"/>
                <w:sz w:val="18"/>
              </w:rPr>
              <w:t>✅</w:t>
            </w:r>
            <w:r>
              <w:rPr>
                <w:rFonts w:ascii="Arial" w:hAnsi="Arial"/>
                <w:sz w:val="18"/>
              </w:rPr>
              <w:t xml:space="preserve"> First ID FI (SBTi + NZBA)</w:t>
            </w:r>
          </w:p>
        </w:tc>
        <w:tc>
          <w:tcPr>
            <w:tcW w:w="1505" w:type="dxa"/>
          </w:tcPr>
          <w:p w14:paraId="48299B3D" w14:textId="77777777" w:rsidR="00A81986" w:rsidRDefault="0067390B">
            <w:r>
              <w:rPr>
                <w:rFonts w:ascii="Arial" w:hAnsi="Arial"/>
                <w:sz w:val="18"/>
              </w:rPr>
              <w:t>Evaluating</w:t>
            </w:r>
          </w:p>
        </w:tc>
        <w:tc>
          <w:tcPr>
            <w:tcW w:w="1505" w:type="dxa"/>
          </w:tcPr>
          <w:p w14:paraId="7F355397" w14:textId="77777777" w:rsidR="00A81986" w:rsidRDefault="0067390B">
            <w:r>
              <w:rPr>
                <w:rFonts w:ascii="Arial" w:hAnsi="Arial"/>
                <w:sz w:val="18"/>
              </w:rPr>
              <w:t>✅</w:t>
            </w:r>
            <w:r>
              <w:rPr>
                <w:rFonts w:ascii="Arial" w:hAnsi="Arial"/>
                <w:sz w:val="18"/>
              </w:rPr>
              <w:t xml:space="preserve"> SBTi + NZBA</w:t>
            </w:r>
          </w:p>
        </w:tc>
        <w:tc>
          <w:tcPr>
            <w:tcW w:w="1505" w:type="dxa"/>
          </w:tcPr>
          <w:p w14:paraId="3BD4BF4B" w14:textId="77777777" w:rsidR="00A81986" w:rsidRDefault="0067390B">
            <w:r>
              <w:rPr>
                <w:rFonts w:ascii="Arial" w:hAnsi="Arial"/>
                <w:sz w:val="18"/>
              </w:rPr>
              <w:t>Developing</w:t>
            </w:r>
          </w:p>
        </w:tc>
        <w:tc>
          <w:tcPr>
            <w:tcW w:w="1505" w:type="dxa"/>
          </w:tcPr>
          <w:p w14:paraId="6BBB6866" w14:textId="77777777" w:rsidR="00A81986" w:rsidRDefault="0067390B">
            <w:r>
              <w:rPr>
                <w:rFonts w:ascii="Arial" w:hAnsi="Arial"/>
                <w:sz w:val="18"/>
              </w:rPr>
              <w:t>Evaluate by Q2 2026</w:t>
            </w:r>
          </w:p>
        </w:tc>
      </w:tr>
    </w:tbl>
    <w:p w14:paraId="30AA081A" w14:textId="77777777" w:rsidR="00A81986" w:rsidRDefault="0067390B">
      <w:r>
        <w:rPr>
          <w:rFonts w:ascii="Arial" w:hAnsi="Arial"/>
          <w:i/>
          <w:sz w:val="16"/>
        </w:rPr>
        <w:t>Source: Source: BRI Sustainability Report 2023, BCA Sustainability Report 2025, DBS Sustainability Report 2023, Bank Mandiri Sustainability Report 2023. BRI established ESG Committee via NOKEP 872-DIR/PPM/06/2022.</w:t>
      </w:r>
    </w:p>
    <w:p w14:paraId="06059DEC" w14:textId="77777777" w:rsidR="00A81986" w:rsidRDefault="00A81986"/>
    <w:p w14:paraId="20881D5C" w14:textId="77777777" w:rsidR="00A81986" w:rsidRDefault="0067390B">
      <w:pPr>
        <w:spacing w:after="160"/>
        <w:jc w:val="both"/>
      </w:pPr>
      <w:r>
        <w:rPr>
          <w:rFonts w:ascii="Arial" w:hAnsi="Arial"/>
          <w:i/>
          <w:color w:val="646464"/>
          <w:sz w:val="18"/>
        </w:rPr>
        <w:t>[Chart: Governance Disclosure Gaps by Framework — matplotlib layer not installed]</w:t>
      </w:r>
    </w:p>
    <w:p w14:paraId="20DB15DC" w14:textId="77777777" w:rsidR="00A81986" w:rsidRDefault="0067390B">
      <w:pPr>
        <w:spacing w:after="160"/>
        <w:jc w:val="both"/>
      </w:pPr>
      <w:r>
        <w:rPr>
          <w:rFonts w:ascii="Arial" w:hAnsi="Arial"/>
          <w:i/>
          <w:color w:val="646464"/>
          <w:sz w:val="18"/>
        </w:rPr>
        <w:t>[Chart: Peer Bank Governance Maturity Comparison — matplotlib layer not installed]</w:t>
      </w:r>
    </w:p>
    <w:p w14:paraId="0FE25EAF" w14:textId="77777777" w:rsidR="00A81986" w:rsidRDefault="0067390B">
      <w:pPr>
        <w:spacing w:after="160"/>
        <w:jc w:val="both"/>
      </w:pPr>
      <w:r>
        <w:rPr>
          <w:rFonts w:ascii="Arial" w:hAnsi="Arial"/>
          <w:i/>
          <w:color w:val="646464"/>
          <w:sz w:val="18"/>
        </w:rPr>
        <w:t>[Chart: Recommended Governance Implementation Timeline — matplotlib layer not installed]</w:t>
      </w:r>
    </w:p>
    <w:p w14:paraId="7A57172B" w14:textId="77777777" w:rsidR="00A81986" w:rsidRDefault="00A81986"/>
    <w:p w14:paraId="7A20C447" w14:textId="77777777" w:rsidR="00A81986" w:rsidRDefault="0067390B">
      <w:r>
        <w:rPr>
          <w:b/>
          <w:color w:val="4A7AB5"/>
          <w:sz w:val="24"/>
        </w:rPr>
        <w:t>Diagnostic Analysis</w:t>
      </w:r>
    </w:p>
    <w:p w14:paraId="5616DB24" w14:textId="77777777" w:rsidR="00A81986" w:rsidRDefault="0067390B">
      <w:pPr>
        <w:spacing w:after="160"/>
        <w:jc w:val="both"/>
      </w:pPr>
      <w:r>
        <w:rPr>
          <w:rFonts w:ascii="Arial" w:hAnsi="Arial"/>
        </w:rPr>
        <w:t>The absence of formal climate governance infrastructure represents a critical gap across all major sustainability reporting frameworks. IFRS S2 Paragraphs 5-7 require disclosure of governance body oversight, management roles, and integration into strategy—none of which can currently be disclosed. GRI 2-12/2-13 mandate disclosure of board and management sustainability responsibilities, while ESRS 2 GOV-3 requires remuneration linkage disclosure. OJK POJK 51/2017 and SEOJK 16/2021 explicitly require Indonesia</w:t>
      </w:r>
      <w:r>
        <w:rPr>
          <w:rFonts w:ascii="Arial" w:hAnsi="Arial"/>
        </w:rPr>
        <w:t>n financial institutions to establish board-level sustainability governance. The institution's governance maturity lags peers by 3-4 years: BRI established its Risk Management &amp; ESG Committee in 2021, BCA conducts quarterly Board reviews, and DBS links 20% of executive pay to ESG metrics. Without governance infrastructure, the institution cannot effectively oversee its IDR 1,541 trillion loan portfolio's financed emissions (15.28 million tCO2e weighted) or set credible decarbonization targets.</w:t>
      </w:r>
    </w:p>
    <w:p w14:paraId="45E1DDF4" w14:textId="77777777" w:rsidR="00A81986" w:rsidRDefault="0067390B">
      <w:r>
        <w:rPr>
          <w:b/>
        </w:rPr>
        <w:t>Root Causes:</w:t>
      </w:r>
    </w:p>
    <w:p w14:paraId="050CA65F" w14:textId="77777777" w:rsidR="00A81986" w:rsidRDefault="0067390B">
      <w:pPr>
        <w:spacing w:after="160"/>
        <w:jc w:val="both"/>
      </w:pPr>
      <w:r>
        <w:rPr>
          <w:rFonts w:ascii="Arial" w:hAnsi="Arial"/>
        </w:rPr>
        <w:t>• No Board-level committee with climate/ESG oversight mandate established, unlike BRI (2021), BCA (quarterly reviews), and DBS (Board Sustainability Committee)</w:t>
      </w:r>
    </w:p>
    <w:p w14:paraId="51573DFD" w14:textId="77777777" w:rsidR="00A81986" w:rsidRDefault="0067390B">
      <w:pPr>
        <w:spacing w:after="160"/>
        <w:jc w:val="both"/>
      </w:pPr>
      <w:r>
        <w:rPr>
          <w:rFonts w:ascii="Arial" w:hAnsi="Arial"/>
        </w:rPr>
        <w:t>• No dedicated Chief Sustainability Officer or equivalent C-suite position with accountability for climate strategy and reporting</w:t>
      </w:r>
    </w:p>
    <w:p w14:paraId="1AF1E496" w14:textId="77777777" w:rsidR="00A81986" w:rsidRDefault="0067390B">
      <w:pPr>
        <w:spacing w:after="160"/>
        <w:jc w:val="both"/>
      </w:pPr>
      <w:r>
        <w:rPr>
          <w:rFonts w:ascii="Arial" w:hAnsi="Arial"/>
        </w:rPr>
        <w:t>• ESG metrics not integrated into Board of Directors or senior executive performance assessments and remuneration (DBS: 20% weight, BCA: integrated KPIs)</w:t>
      </w:r>
    </w:p>
    <w:p w14:paraId="4CDB0185" w14:textId="77777777" w:rsidR="00A81986" w:rsidRDefault="0067390B">
      <w:pPr>
        <w:spacing w:after="160"/>
        <w:jc w:val="both"/>
      </w:pPr>
      <w:r>
        <w:rPr>
          <w:rFonts w:ascii="Arial" w:hAnsi="Arial"/>
        </w:rPr>
        <w:t>• No Board of Directors Decrees establishing Sustainable Finance Framework or Sectoral Credit Policies for carbon-intensive sectors (BCA has multiple BoD Decrees for coal, palm oil, cement, steel, O&amp;G)</w:t>
      </w:r>
    </w:p>
    <w:p w14:paraId="08D6198C" w14:textId="77777777" w:rsidR="00A81986" w:rsidRDefault="0067390B">
      <w:pPr>
        <w:spacing w:after="160"/>
        <w:jc w:val="both"/>
      </w:pPr>
      <w:r>
        <w:rPr>
          <w:rFonts w:ascii="Arial" w:hAnsi="Arial"/>
        </w:rPr>
        <w:t>• Board climate competency not systematically developed through annual training programs (BCA conducts annual BoD/BoC ESG refreshers with GRI, CDP, OJK)</w:t>
      </w:r>
    </w:p>
    <w:p w14:paraId="189EB540" w14:textId="77777777" w:rsidR="00A81986" w:rsidRDefault="0067390B">
      <w:r>
        <w:rPr>
          <w:b/>
        </w:rPr>
        <w:t>Risk Implications:</w:t>
      </w:r>
    </w:p>
    <w:p w14:paraId="1B9C243B" w14:textId="77777777" w:rsidR="00A81986" w:rsidRDefault="0067390B">
      <w:pPr>
        <w:spacing w:after="160"/>
        <w:jc w:val="both"/>
      </w:pPr>
      <w:r>
        <w:rPr>
          <w:rFonts w:ascii="Arial" w:hAnsi="Arial"/>
        </w:rPr>
        <w:t>• Regulatory compliance risk: OJK POJK 51/2017 and SEOJK 16/2021 require board-level sustainability governance; non-compliance may result in supervisory action or reputational damage</w:t>
      </w:r>
    </w:p>
    <w:p w14:paraId="5026A5F4" w14:textId="77777777" w:rsidR="00A81986" w:rsidRDefault="0067390B">
      <w:pPr>
        <w:spacing w:after="160"/>
        <w:jc w:val="both"/>
      </w:pPr>
      <w:r>
        <w:rPr>
          <w:rFonts w:ascii="Arial" w:hAnsi="Arial"/>
        </w:rPr>
        <w:t>• Strategic risk: Without Board oversight, climate risks in IDR 1,541 trillion portfolio (43.56% financed emissions from oil &amp; gas sector alone) are not systematically identified, assessed, or mitigated</w:t>
      </w:r>
    </w:p>
    <w:p w14:paraId="75B95628" w14:textId="77777777" w:rsidR="00A81986" w:rsidRDefault="0067390B">
      <w:pPr>
        <w:spacing w:after="160"/>
        <w:jc w:val="both"/>
      </w:pPr>
      <w:r>
        <w:rPr>
          <w:rFonts w:ascii="Arial" w:hAnsi="Arial"/>
        </w:rPr>
        <w:lastRenderedPageBreak/>
        <w:t>• Disclosure risk: Cannot meet IFRS S2, GRI, or ESRS governance disclosure requirements, limiting access to ESG-focused investors and potentially affecting credit ratings</w:t>
      </w:r>
    </w:p>
    <w:p w14:paraId="622B3889" w14:textId="77777777" w:rsidR="00A81986" w:rsidRDefault="0067390B">
      <w:pPr>
        <w:spacing w:after="160"/>
        <w:jc w:val="both"/>
      </w:pPr>
      <w:r>
        <w:rPr>
          <w:rFonts w:ascii="Arial" w:hAnsi="Arial"/>
        </w:rPr>
        <w:t>• Competitive disadvantage: Governance maturity gap vs peers (BRI SBTi commitment, DBS 20% remuneration linkage) may impact sustainable finance market positioning and client perception</w:t>
      </w:r>
    </w:p>
    <w:p w14:paraId="2F24D14A" w14:textId="77777777" w:rsidR="00A81986" w:rsidRDefault="0067390B">
      <w:pPr>
        <w:spacing w:after="160"/>
        <w:jc w:val="both"/>
      </w:pPr>
      <w:r>
        <w:rPr>
          <w:rFonts w:ascii="Arial" w:hAnsi="Arial"/>
        </w:rPr>
        <w:t>• Transition risk: Without management accountability and Board oversight, institution cannot effectively support client decarbonization or manage portfolio transition risks as Indonesia implements carbon pricing and sectoral regulations</w:t>
      </w:r>
    </w:p>
    <w:p w14:paraId="327DBE7A" w14:textId="77777777" w:rsidR="00A81986" w:rsidRDefault="00A81986"/>
    <w:p w14:paraId="1D0129CF" w14:textId="77777777" w:rsidR="00A81986" w:rsidRDefault="0067390B">
      <w:r>
        <w:rPr>
          <w:b/>
          <w:color w:val="1B5E20"/>
          <w:sz w:val="24"/>
        </w:rPr>
        <w:t>⚡</w:t>
      </w:r>
      <w:r>
        <w:rPr>
          <w:b/>
          <w:color w:val="1B5E20"/>
          <w:sz w:val="24"/>
        </w:rPr>
        <w:t xml:space="preserve"> Priority Actions</w:t>
      </w:r>
    </w:p>
    <w:p w14:paraId="50ADBBB8" w14:textId="77777777" w:rsidR="00A81986" w:rsidRDefault="0067390B">
      <w:r>
        <w:rPr>
          <w:b/>
        </w:rPr>
        <w:t>🔴</w:t>
      </w:r>
      <w:r>
        <w:rPr>
          <w:b/>
        </w:rPr>
        <w:t xml:space="preserve"> 1. Establish Board Risk &amp; Sustainability Committee with approved terms of reference, quarterly meeting cadence, and at least one member with climate expertise; conduct inaugural Board climate risk training session with external expert covering IFRS S2, CSRD, OJK PSPK requirements</w:t>
      </w:r>
      <w:r>
        <w:t xml:space="preserve"> (Q3 2025)</w:t>
      </w:r>
    </w:p>
    <w:p w14:paraId="340773A9" w14:textId="77777777" w:rsidR="00A81986" w:rsidRDefault="0067390B">
      <w:pPr>
        <w:spacing w:after="160"/>
        <w:jc w:val="both"/>
      </w:pPr>
      <w:r>
        <w:rPr>
          <w:rFonts w:ascii="Arial" w:hAnsi="Arial"/>
        </w:rPr>
        <w:t xml:space="preserve">    → Expected: Enables compliance with OJK POJK 51/SEOJK 16 board governance requirements; establishes oversight mechanism for IDR 1,541 trillion portfolio financed emissions; creates foundation for IFRS S2 Para 5 disclosure</w:t>
      </w:r>
    </w:p>
    <w:p w14:paraId="1CECF0DD" w14:textId="77777777" w:rsidR="00A81986" w:rsidRDefault="0067390B">
      <w:pPr>
        <w:spacing w:after="160"/>
        <w:jc w:val="both"/>
      </w:pPr>
      <w:r>
        <w:rPr>
          <w:rFonts w:ascii="Arial" w:hAnsi="Arial"/>
          <w:i/>
          <w:color w:val="646464"/>
          <w:sz w:val="18"/>
        </w:rPr>
        <w:t xml:space="preserve">    → Ref: BRI established Risk Management &amp; ESG Committee in 2021 via NOKEP 872-DIR/PPM/06/2022 with quarterly review frequency; BCA conducts annual BoD/BoC ESG refresher with GRI, CDP, OJK collaboration</w:t>
      </w:r>
    </w:p>
    <w:p w14:paraId="48E1194A" w14:textId="77777777" w:rsidR="00A81986" w:rsidRDefault="0067390B">
      <w:r>
        <w:rPr>
          <w:b/>
        </w:rPr>
        <w:t>🔴</w:t>
      </w:r>
      <w:r>
        <w:rPr>
          <w:b/>
        </w:rPr>
        <w:t xml:space="preserve"> 2. Appoint Chief Sustainability Officer (CSO) reporting to President Director with mandate to establish ESG Working Group comprising Risk, Credit, Treasury, Planning, and Compliance functions; develop 2025-2027 ESG roadmap including financed emissions baseline, sectoral policies, and SBTi evaluation</w:t>
      </w:r>
      <w:r>
        <w:t xml:space="preserve"> (Q4 2025)</w:t>
      </w:r>
    </w:p>
    <w:p w14:paraId="7E93FEE6" w14:textId="77777777" w:rsidR="00A81986" w:rsidRDefault="0067390B">
      <w:pPr>
        <w:spacing w:after="160"/>
        <w:jc w:val="both"/>
      </w:pPr>
      <w:r>
        <w:rPr>
          <w:rFonts w:ascii="Arial" w:hAnsi="Arial"/>
        </w:rPr>
        <w:t xml:space="preserve">    → Expected: Creates management accountability required by IFRS S2 Para 6 and GRI 2-13; enables cross-functional climate risk integration; establishes capability to develop science-based targets for 15.28 million tCO2e financed emissions</w:t>
      </w:r>
    </w:p>
    <w:p w14:paraId="0EA6C7A7" w14:textId="77777777" w:rsidR="00A81986" w:rsidRDefault="0067390B">
      <w:pPr>
        <w:spacing w:after="160"/>
        <w:jc w:val="both"/>
      </w:pPr>
      <w:r>
        <w:rPr>
          <w:rFonts w:ascii="Arial" w:hAnsi="Arial"/>
          <w:i/>
          <w:color w:val="646464"/>
          <w:sz w:val="18"/>
        </w:rPr>
        <w:t xml:space="preserve">    → Ref: DBS has dedicated Chief Sustainability Officer reporting to Board Sustainability Committee, achieving 62% renewable energy and 12% YoY emissions reduction; BCA ESG Subdivision reports to Director Planning &amp; Finance → President Director</w:t>
      </w:r>
    </w:p>
    <w:p w14:paraId="2F45FC27" w14:textId="77777777" w:rsidR="00A81986" w:rsidRDefault="0067390B">
      <w:r>
        <w:rPr>
          <w:b/>
        </w:rPr>
        <w:t>🔴</w:t>
      </w:r>
      <w:r>
        <w:rPr>
          <w:b/>
        </w:rPr>
        <w:t xml:space="preserve"> 3. Integrate ESG KPIs into 2026 Board of Directors and senior executive performance contracts with 10% weight (increasing to 15-20% by 2027), including metrics: (1) financed emissions intensity reduction, (2) sustainable finance portfolio growth to 20% of total, (3) Scope 1+2 operational emissions reduction, (4) ESG due diligence completion rate for high-risk sectors</w:t>
      </w:r>
      <w:r>
        <w:t xml:space="preserve"> (Q1 2026)</w:t>
      </w:r>
    </w:p>
    <w:p w14:paraId="2AE73DA2" w14:textId="77777777" w:rsidR="00A81986" w:rsidRDefault="0067390B">
      <w:pPr>
        <w:spacing w:after="160"/>
        <w:jc w:val="both"/>
      </w:pPr>
      <w:r>
        <w:rPr>
          <w:rFonts w:ascii="Arial" w:hAnsi="Arial"/>
        </w:rPr>
        <w:t xml:space="preserve">    → Expected: Enables ESRS 2 GOV-3 disclosure; aligns executive incentives with climate strategy; drives accountability for reducing 239.4 tCO2e per IDR billion portfolio intensity and growing sustainable finance from current baseline</w:t>
      </w:r>
    </w:p>
    <w:p w14:paraId="0434450D" w14:textId="77777777" w:rsidR="00A81986" w:rsidRDefault="0067390B">
      <w:pPr>
        <w:spacing w:after="160"/>
        <w:jc w:val="both"/>
      </w:pPr>
      <w:r>
        <w:rPr>
          <w:rFonts w:ascii="Arial" w:hAnsi="Arial"/>
          <w:i/>
          <w:color w:val="646464"/>
          <w:sz w:val="18"/>
        </w:rPr>
        <w:t xml:space="preserve">    → Ref: DBS links 20% of executive remuneration to ESG KPIs including emissions reduction and sustainable finance growth; BCA integrates ESG metrics into Board of Directors and work unit KPIs</w:t>
      </w:r>
    </w:p>
    <w:p w14:paraId="6449A4FD" w14:textId="77777777" w:rsidR="00A81986" w:rsidRDefault="0067390B">
      <w:r>
        <w:rPr>
          <w:b/>
        </w:rPr>
        <w:lastRenderedPageBreak/>
        <w:t>🔴</w:t>
      </w:r>
      <w:r>
        <w:rPr>
          <w:b/>
        </w:rPr>
        <w:t xml:space="preserve"> 4. Issue Board of Directors Decrees establishing: (1) Sustainable Finance Framework aligned with OJK TKBI and Indonesian Green Taxonomy (THI), (2) Sectoral Credit Policies for oil &amp; gas (IDR 102.67 trillion, 43.56% of financed emissions), cement (IDR 107.68 trillion, 26.45%), steel (IDR 108.62 trillion, 15.92%), and transportation with coal phase-out timeline and transition support mechanisms</w:t>
      </w:r>
      <w:r>
        <w:t xml:space="preserve"> (Q1 2026)</w:t>
      </w:r>
    </w:p>
    <w:p w14:paraId="784B709F" w14:textId="77777777" w:rsidR="00A81986" w:rsidRDefault="0067390B">
      <w:pPr>
        <w:spacing w:after="160"/>
        <w:jc w:val="both"/>
      </w:pPr>
      <w:r>
        <w:rPr>
          <w:rFonts w:ascii="Arial" w:hAnsi="Arial"/>
        </w:rPr>
        <w:t xml:space="preserve">    → Expected: Enables proactive management of 85.93% of financed emissions concentrated in three sectors; demonstrates regulatory compliance with OJK TKBI; provides framework for client engagement on decarbonization; reduces transition risk exposure</w:t>
      </w:r>
    </w:p>
    <w:p w14:paraId="012C877D" w14:textId="77777777" w:rsidR="00A81986" w:rsidRDefault="0067390B">
      <w:pPr>
        <w:spacing w:after="160"/>
        <w:jc w:val="both"/>
      </w:pPr>
      <w:r>
        <w:rPr>
          <w:rFonts w:ascii="Arial" w:hAnsi="Arial"/>
          <w:i/>
          <w:color w:val="646464"/>
          <w:sz w:val="18"/>
        </w:rPr>
        <w:t xml:space="preserve">    → Ref: BCA has issued multiple Board of Directors Decrees for Sustainability-Linked Loans, Green Loans, and sectoral ESG policies covering coal, palm oil, timber, cement, iron-steel, and oil &amp; gas; BRI has comprehensive sectoral credit policies with coal phase-out commitments</w:t>
      </w:r>
    </w:p>
    <w:p w14:paraId="2456867A" w14:textId="77777777" w:rsidR="00A81986" w:rsidRDefault="00A81986"/>
    <w:p w14:paraId="2671B56A" w14:textId="77777777" w:rsidR="00A81986" w:rsidRDefault="0067390B">
      <w:r>
        <w:rPr>
          <w:i/>
          <w:color w:val="3D6094"/>
          <w:sz w:val="18"/>
        </w:rPr>
        <w:t>Framework references: IFRS S2 Paragraph 5 — Governance body oversight of climate-related risks; IFRS S2 Paragraph 6 — Management's role in climate governance; IFRS S2 Paragraph 7 — Integration into strategy and decision-making; GRI 2-12 — Role of highest governance body in sustainability oversight; GRI 2-13 — Delegation of responsibility for managing impacts; ESRS 2 GOV-3 — Integration of sustainability performance in incentive schemes; OJK POJK 51/2017 — Penerapan Keuangan Berkelanjutan bagi Lembaga Jasa K</w:t>
      </w:r>
      <w:r>
        <w:rPr>
          <w:i/>
          <w:color w:val="3D6094"/>
          <w:sz w:val="18"/>
        </w:rPr>
        <w:t>euangan; OJK SEOJK 16/2021 — Penerapan Tata Kelola dalam Rangka Keuangan Berkelanjutan</w:t>
      </w:r>
    </w:p>
    <w:p w14:paraId="7349603C" w14:textId="77777777" w:rsidR="00A81986" w:rsidRDefault="00A81986">
      <w:pPr>
        <w:pBdr>
          <w:bottom w:val="single" w:sz="6" w:space="1" w:color="999999"/>
        </w:pBdr>
        <w:spacing w:after="80"/>
      </w:pPr>
    </w:p>
    <w:p w14:paraId="60FDD33F" w14:textId="77777777" w:rsidR="00A81986" w:rsidRDefault="0067390B">
      <w:pPr>
        <w:spacing w:after="160"/>
        <w:jc w:val="both"/>
      </w:pPr>
      <w:r>
        <w:rPr>
          <w:rFonts w:ascii="Arial" w:hAnsi="Arial"/>
          <w:i/>
          <w:color w:val="646464"/>
          <w:sz w:val="18"/>
        </w:rPr>
        <w:t>This governance section represents a gap analysis as the institution has not yet established formal climate governance structures required by IFRS S2, GRI 2-12/2-13, ESRS 2 GOV-3, and OJK PSPK regulations.</w:t>
      </w:r>
    </w:p>
    <w:p w14:paraId="049DFA46" w14:textId="77777777" w:rsidR="00A81986" w:rsidRDefault="0067390B">
      <w:pPr>
        <w:spacing w:after="160"/>
        <w:jc w:val="both"/>
      </w:pPr>
      <w:r>
        <w:rPr>
          <w:rFonts w:ascii="Arial" w:hAnsi="Arial"/>
          <w:i/>
          <w:color w:val="646464"/>
          <w:sz w:val="18"/>
        </w:rPr>
        <w:t>Peer bank practices are sourced from publicly available sustainability reports: BRI Sustainability Report 2023, BCA Sustainability Report 2025, DBS Sustainability Report 2023, Bank Mandiri Sustainability Report 2023.</w:t>
      </w:r>
    </w:p>
    <w:p w14:paraId="3B96EF80" w14:textId="77777777" w:rsidR="00A81986" w:rsidRDefault="0067390B">
      <w:pPr>
        <w:spacing w:after="160"/>
        <w:jc w:val="both"/>
      </w:pPr>
      <w:r>
        <w:rPr>
          <w:rFonts w:ascii="Arial" w:hAnsi="Arial"/>
          <w:i/>
          <w:color w:val="646464"/>
          <w:sz w:val="18"/>
        </w:rPr>
        <w:t>OJK POJK 51/2017 and SEOJK 16/2021 require Indonesian financial institutions to establish board-level sustainability governance with clear accountability structures.</w:t>
      </w:r>
    </w:p>
    <w:p w14:paraId="286ED173" w14:textId="77777777" w:rsidR="00A81986" w:rsidRDefault="0067390B">
      <w:pPr>
        <w:spacing w:after="160"/>
        <w:jc w:val="both"/>
      </w:pPr>
      <w:r>
        <w:rPr>
          <w:rFonts w:ascii="Arial" w:hAnsi="Arial"/>
          <w:i/>
          <w:color w:val="646464"/>
          <w:sz w:val="18"/>
        </w:rPr>
        <w:t>The recommended implementation timeline is subject to Board approval and resource allocation decisions.</w:t>
      </w:r>
    </w:p>
    <w:p w14:paraId="3E65FB59" w14:textId="77777777" w:rsidR="00A81986" w:rsidRDefault="0067390B">
      <w:r>
        <w:br w:type="page"/>
      </w:r>
    </w:p>
    <w:p w14:paraId="6968659D" w14:textId="77777777" w:rsidR="00A81986" w:rsidRDefault="0067390B">
      <w:pPr>
        <w:pStyle w:val="Heading1"/>
        <w:spacing w:after="240"/>
      </w:pPr>
      <w:bookmarkStart w:id="25" w:name="_Toc232003746"/>
      <w:r>
        <w:rPr>
          <w:rFonts w:ascii="Arial" w:hAnsi="Arial"/>
          <w:color w:val="1B3A6B"/>
          <w:sz w:val="36"/>
        </w:rPr>
        <w:lastRenderedPageBreak/>
        <w:t>Appendix A: Methodology Notes</w:t>
      </w:r>
      <w:bookmarkEnd w:id="25"/>
    </w:p>
    <w:p w14:paraId="650F2188" w14:textId="77777777" w:rsidR="00A81986" w:rsidRDefault="0067390B">
      <w:pPr>
        <w:spacing w:after="160"/>
        <w:jc w:val="both"/>
      </w:pPr>
      <w:r>
        <w:rPr>
          <w:rFonts w:ascii="Arial" w:hAnsi="Arial"/>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14:paraId="10865505" w14:textId="77777777" w:rsidR="00A81986" w:rsidRDefault="0067390B">
      <w:pPr>
        <w:pStyle w:val="Heading1"/>
        <w:spacing w:after="240"/>
      </w:pPr>
      <w:bookmarkStart w:id="26" w:name="_Toc232003747"/>
      <w:r>
        <w:rPr>
          <w:rFonts w:ascii="Arial" w:hAnsi="Arial"/>
          <w:color w:val="1B3A6B"/>
          <w:sz w:val="36"/>
        </w:rPr>
        <w:t>Appendix B: Data Quality Summary</w:t>
      </w:r>
      <w:bookmarkEnd w:id="26"/>
    </w:p>
    <w:p w14:paraId="0C7868E7" w14:textId="77777777" w:rsidR="00A81986" w:rsidRDefault="0067390B">
      <w:pPr>
        <w:spacing w:after="160"/>
        <w:jc w:val="both"/>
      </w:pPr>
      <w:r>
        <w:rPr>
          <w:rFonts w:ascii="Arial" w:hAnsi="Arial"/>
        </w:rPr>
        <w:t>Data quality is assessed per the PCAF data quality scoring framework (1-5) and the GHG Protocol data quality indicators. Portfolio-weighted PCAF score and data completeness percentage are reported in the main body.</w:t>
      </w:r>
    </w:p>
    <w:p w14:paraId="025D0F5B" w14:textId="77777777" w:rsidR="00A81986" w:rsidRDefault="0067390B">
      <w:pPr>
        <w:pStyle w:val="Heading1"/>
        <w:spacing w:after="240"/>
      </w:pPr>
      <w:bookmarkStart w:id="27" w:name="_Toc232003748"/>
      <w:r>
        <w:rPr>
          <w:rFonts w:ascii="Arial" w:hAnsi="Arial"/>
          <w:color w:val="1B3A6B"/>
          <w:sz w:val="36"/>
        </w:rPr>
        <w:t>Appendix C: GRI Content Index</w:t>
      </w:r>
      <w:bookmarkEnd w:id="27"/>
    </w:p>
    <w:p w14:paraId="4722DAB1" w14:textId="77777777" w:rsidR="00A81986" w:rsidRDefault="0067390B">
      <w:r>
        <w:rPr>
          <w:rFonts w:ascii="Arial" w:hAnsi="Arial"/>
          <w:b/>
          <w:sz w:val="20"/>
        </w:rPr>
        <w:t>GRI Standards Content Index</w:t>
      </w:r>
    </w:p>
    <w:tbl>
      <w:tblPr>
        <w:tblW w:w="0" w:type="auto"/>
        <w:jc w:val="center"/>
        <w:tblLook w:val="04A0" w:firstRow="1" w:lastRow="0" w:firstColumn="1" w:lastColumn="0" w:noHBand="0" w:noVBand="1"/>
      </w:tblPr>
      <w:tblGrid>
        <w:gridCol w:w="2257"/>
        <w:gridCol w:w="2257"/>
        <w:gridCol w:w="2257"/>
        <w:gridCol w:w="2257"/>
      </w:tblGrid>
      <w:tr w:rsidR="00A81986" w14:paraId="40AD2CA9" w14:textId="77777777">
        <w:trPr>
          <w:jc w:val="center"/>
        </w:trPr>
        <w:tc>
          <w:tcPr>
            <w:tcW w:w="2257" w:type="dxa"/>
            <w:shd w:val="clear" w:color="auto" w:fill="1B3A6B"/>
          </w:tcPr>
          <w:p w14:paraId="1F2CA0D5" w14:textId="77777777" w:rsidR="00A81986" w:rsidRDefault="0067390B">
            <w:r>
              <w:rPr>
                <w:rFonts w:ascii="Arial" w:hAnsi="Arial"/>
                <w:b/>
                <w:color w:val="FFFFFF"/>
                <w:sz w:val="18"/>
              </w:rPr>
              <w:t>GRI Standard</w:t>
            </w:r>
          </w:p>
        </w:tc>
        <w:tc>
          <w:tcPr>
            <w:tcW w:w="2257" w:type="dxa"/>
            <w:shd w:val="clear" w:color="auto" w:fill="1B3A6B"/>
          </w:tcPr>
          <w:p w14:paraId="0E22BE69" w14:textId="77777777" w:rsidR="00A81986" w:rsidRDefault="0067390B">
            <w:r>
              <w:rPr>
                <w:rFonts w:ascii="Arial" w:hAnsi="Arial"/>
                <w:b/>
                <w:color w:val="FFFFFF"/>
                <w:sz w:val="18"/>
              </w:rPr>
              <w:t>Disclosure</w:t>
            </w:r>
          </w:p>
        </w:tc>
        <w:tc>
          <w:tcPr>
            <w:tcW w:w="2257" w:type="dxa"/>
            <w:shd w:val="clear" w:color="auto" w:fill="1B3A6B"/>
          </w:tcPr>
          <w:p w14:paraId="65EF6A01" w14:textId="77777777" w:rsidR="00A81986" w:rsidRDefault="0067390B">
            <w:r>
              <w:rPr>
                <w:rFonts w:ascii="Arial" w:hAnsi="Arial"/>
                <w:b/>
                <w:color w:val="FFFFFF"/>
                <w:sz w:val="18"/>
              </w:rPr>
              <w:t>Section Reference</w:t>
            </w:r>
          </w:p>
        </w:tc>
        <w:tc>
          <w:tcPr>
            <w:tcW w:w="2257" w:type="dxa"/>
            <w:shd w:val="clear" w:color="auto" w:fill="1B3A6B"/>
          </w:tcPr>
          <w:p w14:paraId="2CC29A7B" w14:textId="77777777" w:rsidR="00A81986" w:rsidRDefault="0067390B">
            <w:r>
              <w:rPr>
                <w:rFonts w:ascii="Arial" w:hAnsi="Arial"/>
                <w:b/>
                <w:color w:val="FFFFFF"/>
                <w:sz w:val="18"/>
              </w:rPr>
              <w:t>Omission</w:t>
            </w:r>
          </w:p>
        </w:tc>
      </w:tr>
      <w:tr w:rsidR="00A81986" w14:paraId="6FE3315D" w14:textId="77777777">
        <w:trPr>
          <w:jc w:val="center"/>
        </w:trPr>
        <w:tc>
          <w:tcPr>
            <w:tcW w:w="2257" w:type="dxa"/>
          </w:tcPr>
          <w:p w14:paraId="4E973047" w14:textId="77777777" w:rsidR="00A81986" w:rsidRDefault="0067390B">
            <w:r>
              <w:rPr>
                <w:rFonts w:ascii="Arial" w:hAnsi="Arial"/>
                <w:sz w:val="18"/>
              </w:rPr>
              <w:t>GRI 2-7</w:t>
            </w:r>
          </w:p>
        </w:tc>
        <w:tc>
          <w:tcPr>
            <w:tcW w:w="2257" w:type="dxa"/>
          </w:tcPr>
          <w:p w14:paraId="1923E851" w14:textId="77777777" w:rsidR="00A81986" w:rsidRDefault="0067390B">
            <w:r>
              <w:rPr>
                <w:rFonts w:ascii="Arial" w:hAnsi="Arial"/>
                <w:sz w:val="18"/>
              </w:rPr>
              <w:t>Employees</w:t>
            </w:r>
          </w:p>
        </w:tc>
        <w:tc>
          <w:tcPr>
            <w:tcW w:w="2257" w:type="dxa"/>
          </w:tcPr>
          <w:p w14:paraId="11941AB5" w14:textId="77777777" w:rsidR="00A81986" w:rsidRDefault="0067390B">
            <w:r>
              <w:rPr>
                <w:rFonts w:ascii="Arial" w:hAnsi="Arial"/>
                <w:sz w:val="18"/>
              </w:rPr>
              <w:t>Section: Social</w:t>
            </w:r>
          </w:p>
        </w:tc>
        <w:tc>
          <w:tcPr>
            <w:tcW w:w="2257" w:type="dxa"/>
          </w:tcPr>
          <w:p w14:paraId="79D15CD4" w14:textId="77777777" w:rsidR="00A81986" w:rsidRDefault="0067390B">
            <w:r>
              <w:rPr>
                <w:rFonts w:ascii="Arial" w:hAnsi="Arial"/>
                <w:sz w:val="18"/>
              </w:rPr>
              <w:t>None</w:t>
            </w:r>
          </w:p>
        </w:tc>
      </w:tr>
      <w:tr w:rsidR="00A81986" w14:paraId="7FE5BD1F" w14:textId="77777777">
        <w:trPr>
          <w:jc w:val="center"/>
        </w:trPr>
        <w:tc>
          <w:tcPr>
            <w:tcW w:w="2257" w:type="dxa"/>
            <w:shd w:val="clear" w:color="auto" w:fill="F2F6FC"/>
          </w:tcPr>
          <w:p w14:paraId="79E9C2D4" w14:textId="77777777" w:rsidR="00A81986" w:rsidRDefault="0067390B">
            <w:r>
              <w:rPr>
                <w:rFonts w:ascii="Arial" w:hAnsi="Arial"/>
                <w:sz w:val="18"/>
              </w:rPr>
              <w:t>GRI 305-1</w:t>
            </w:r>
          </w:p>
        </w:tc>
        <w:tc>
          <w:tcPr>
            <w:tcW w:w="2257" w:type="dxa"/>
            <w:shd w:val="clear" w:color="auto" w:fill="F2F6FC"/>
          </w:tcPr>
          <w:p w14:paraId="17E43D93" w14:textId="77777777" w:rsidR="00A81986" w:rsidRDefault="0067390B">
            <w:r>
              <w:rPr>
                <w:rFonts w:ascii="Arial" w:hAnsi="Arial"/>
                <w:sz w:val="18"/>
              </w:rPr>
              <w:t>Direct (Scope 1) GHG emissions</w:t>
            </w:r>
          </w:p>
        </w:tc>
        <w:tc>
          <w:tcPr>
            <w:tcW w:w="2257" w:type="dxa"/>
            <w:shd w:val="clear" w:color="auto" w:fill="F2F6FC"/>
          </w:tcPr>
          <w:p w14:paraId="2A1ADBF0" w14:textId="77777777" w:rsidR="00A81986" w:rsidRDefault="0067390B">
            <w:r>
              <w:rPr>
                <w:rFonts w:ascii="Arial" w:hAnsi="Arial"/>
                <w:sz w:val="18"/>
              </w:rPr>
              <w:t>Section: Scope 1</w:t>
            </w:r>
          </w:p>
        </w:tc>
        <w:tc>
          <w:tcPr>
            <w:tcW w:w="2257" w:type="dxa"/>
            <w:shd w:val="clear" w:color="auto" w:fill="F2F6FC"/>
          </w:tcPr>
          <w:p w14:paraId="63744E1E" w14:textId="77777777" w:rsidR="00A81986" w:rsidRDefault="0067390B">
            <w:r>
              <w:rPr>
                <w:rFonts w:ascii="Arial" w:hAnsi="Arial"/>
                <w:sz w:val="18"/>
              </w:rPr>
              <w:t>None</w:t>
            </w:r>
          </w:p>
        </w:tc>
      </w:tr>
      <w:tr w:rsidR="00A81986" w14:paraId="0612546C" w14:textId="77777777">
        <w:trPr>
          <w:jc w:val="center"/>
        </w:trPr>
        <w:tc>
          <w:tcPr>
            <w:tcW w:w="2257" w:type="dxa"/>
          </w:tcPr>
          <w:p w14:paraId="2B954181" w14:textId="77777777" w:rsidR="00A81986" w:rsidRDefault="0067390B">
            <w:r>
              <w:rPr>
                <w:rFonts w:ascii="Arial" w:hAnsi="Arial"/>
                <w:sz w:val="18"/>
              </w:rPr>
              <w:t>GRI 305-2</w:t>
            </w:r>
          </w:p>
        </w:tc>
        <w:tc>
          <w:tcPr>
            <w:tcW w:w="2257" w:type="dxa"/>
          </w:tcPr>
          <w:p w14:paraId="17FEB36E" w14:textId="77777777" w:rsidR="00A81986" w:rsidRDefault="0067390B">
            <w:r>
              <w:rPr>
                <w:rFonts w:ascii="Arial" w:hAnsi="Arial"/>
                <w:sz w:val="18"/>
              </w:rPr>
              <w:t>Energy indirect (Scope 2) GHG emissions</w:t>
            </w:r>
          </w:p>
        </w:tc>
        <w:tc>
          <w:tcPr>
            <w:tcW w:w="2257" w:type="dxa"/>
          </w:tcPr>
          <w:p w14:paraId="213633F7" w14:textId="77777777" w:rsidR="00A81986" w:rsidRDefault="0067390B">
            <w:r>
              <w:rPr>
                <w:rFonts w:ascii="Arial" w:hAnsi="Arial"/>
                <w:sz w:val="18"/>
              </w:rPr>
              <w:t>Section: Scope 2</w:t>
            </w:r>
          </w:p>
        </w:tc>
        <w:tc>
          <w:tcPr>
            <w:tcW w:w="2257" w:type="dxa"/>
          </w:tcPr>
          <w:p w14:paraId="37745CA1" w14:textId="77777777" w:rsidR="00A81986" w:rsidRDefault="0067390B">
            <w:r>
              <w:rPr>
                <w:rFonts w:ascii="Arial" w:hAnsi="Arial"/>
                <w:sz w:val="18"/>
              </w:rPr>
              <w:t>None</w:t>
            </w:r>
          </w:p>
        </w:tc>
      </w:tr>
      <w:tr w:rsidR="00A81986" w14:paraId="4929EA21" w14:textId="77777777">
        <w:trPr>
          <w:jc w:val="center"/>
        </w:trPr>
        <w:tc>
          <w:tcPr>
            <w:tcW w:w="2257" w:type="dxa"/>
            <w:shd w:val="clear" w:color="auto" w:fill="F2F6FC"/>
          </w:tcPr>
          <w:p w14:paraId="083D751A" w14:textId="77777777" w:rsidR="00A81986" w:rsidRDefault="0067390B">
            <w:r>
              <w:rPr>
                <w:rFonts w:ascii="Arial" w:hAnsi="Arial"/>
                <w:sz w:val="18"/>
              </w:rPr>
              <w:t>GRI 305-3</w:t>
            </w:r>
          </w:p>
        </w:tc>
        <w:tc>
          <w:tcPr>
            <w:tcW w:w="2257" w:type="dxa"/>
            <w:shd w:val="clear" w:color="auto" w:fill="F2F6FC"/>
          </w:tcPr>
          <w:p w14:paraId="38C20CF6" w14:textId="77777777" w:rsidR="00A81986" w:rsidRDefault="0067390B">
            <w:r>
              <w:rPr>
                <w:rFonts w:ascii="Arial" w:hAnsi="Arial"/>
                <w:sz w:val="18"/>
              </w:rPr>
              <w:t>Other indirect (Scope 3) GHG emissions</w:t>
            </w:r>
          </w:p>
        </w:tc>
        <w:tc>
          <w:tcPr>
            <w:tcW w:w="2257" w:type="dxa"/>
            <w:shd w:val="clear" w:color="auto" w:fill="F2F6FC"/>
          </w:tcPr>
          <w:p w14:paraId="0777FAC9" w14:textId="77777777" w:rsidR="00A81986" w:rsidRDefault="0067390B">
            <w:r>
              <w:rPr>
                <w:rFonts w:ascii="Arial" w:hAnsi="Arial"/>
                <w:sz w:val="18"/>
              </w:rPr>
              <w:t>Section: PCAF</w:t>
            </w:r>
          </w:p>
        </w:tc>
        <w:tc>
          <w:tcPr>
            <w:tcW w:w="2257" w:type="dxa"/>
            <w:shd w:val="clear" w:color="auto" w:fill="F2F6FC"/>
          </w:tcPr>
          <w:p w14:paraId="20DC9417" w14:textId="77777777" w:rsidR="00A81986" w:rsidRDefault="0067390B">
            <w:r>
              <w:rPr>
                <w:rFonts w:ascii="Arial" w:hAnsi="Arial"/>
                <w:sz w:val="18"/>
              </w:rPr>
              <w:t>None</w:t>
            </w:r>
          </w:p>
        </w:tc>
      </w:tr>
      <w:tr w:rsidR="00A81986" w14:paraId="0640E6D3" w14:textId="77777777">
        <w:trPr>
          <w:jc w:val="center"/>
        </w:trPr>
        <w:tc>
          <w:tcPr>
            <w:tcW w:w="2257" w:type="dxa"/>
          </w:tcPr>
          <w:p w14:paraId="6807E188" w14:textId="77777777" w:rsidR="00A81986" w:rsidRDefault="0067390B">
            <w:r>
              <w:rPr>
                <w:rFonts w:ascii="Arial" w:hAnsi="Arial"/>
                <w:sz w:val="18"/>
              </w:rPr>
              <w:t>GRI 305-4</w:t>
            </w:r>
          </w:p>
        </w:tc>
        <w:tc>
          <w:tcPr>
            <w:tcW w:w="2257" w:type="dxa"/>
          </w:tcPr>
          <w:p w14:paraId="11640DAE" w14:textId="77777777" w:rsidR="00A81986" w:rsidRDefault="0067390B">
            <w:r>
              <w:rPr>
                <w:rFonts w:ascii="Arial" w:hAnsi="Arial"/>
                <w:sz w:val="18"/>
              </w:rPr>
              <w:t>GHG emissions intensity</w:t>
            </w:r>
          </w:p>
        </w:tc>
        <w:tc>
          <w:tcPr>
            <w:tcW w:w="2257" w:type="dxa"/>
          </w:tcPr>
          <w:p w14:paraId="466D7592" w14:textId="77777777" w:rsidR="00A81986" w:rsidRDefault="0067390B">
            <w:r>
              <w:rPr>
                <w:rFonts w:ascii="Arial" w:hAnsi="Arial"/>
                <w:sz w:val="18"/>
              </w:rPr>
              <w:t>Section: Intensity</w:t>
            </w:r>
          </w:p>
        </w:tc>
        <w:tc>
          <w:tcPr>
            <w:tcW w:w="2257" w:type="dxa"/>
          </w:tcPr>
          <w:p w14:paraId="70444611" w14:textId="77777777" w:rsidR="00A81986" w:rsidRDefault="0067390B">
            <w:r>
              <w:rPr>
                <w:rFonts w:ascii="Arial" w:hAnsi="Arial"/>
                <w:sz w:val="18"/>
              </w:rPr>
              <w:t>None</w:t>
            </w:r>
          </w:p>
        </w:tc>
      </w:tr>
      <w:tr w:rsidR="00A81986" w14:paraId="6EC2ED42" w14:textId="77777777">
        <w:trPr>
          <w:jc w:val="center"/>
        </w:trPr>
        <w:tc>
          <w:tcPr>
            <w:tcW w:w="2257" w:type="dxa"/>
            <w:shd w:val="clear" w:color="auto" w:fill="F2F6FC"/>
          </w:tcPr>
          <w:p w14:paraId="02E3EED1" w14:textId="77777777" w:rsidR="00A81986" w:rsidRDefault="0067390B">
            <w:r>
              <w:rPr>
                <w:rFonts w:ascii="Arial" w:hAnsi="Arial"/>
                <w:sz w:val="18"/>
              </w:rPr>
              <w:t>GRI 305-5</w:t>
            </w:r>
          </w:p>
        </w:tc>
        <w:tc>
          <w:tcPr>
            <w:tcW w:w="2257" w:type="dxa"/>
            <w:shd w:val="clear" w:color="auto" w:fill="F2F6FC"/>
          </w:tcPr>
          <w:p w14:paraId="7D4D8A4F" w14:textId="77777777" w:rsidR="00A81986" w:rsidRDefault="0067390B">
            <w:r>
              <w:rPr>
                <w:rFonts w:ascii="Arial" w:hAnsi="Arial"/>
                <w:sz w:val="18"/>
              </w:rPr>
              <w:t>Reduction of GHG emissions</w:t>
            </w:r>
          </w:p>
        </w:tc>
        <w:tc>
          <w:tcPr>
            <w:tcW w:w="2257" w:type="dxa"/>
            <w:shd w:val="clear" w:color="auto" w:fill="F2F6FC"/>
          </w:tcPr>
          <w:p w14:paraId="22BFF65C" w14:textId="77777777" w:rsidR="00A81986" w:rsidRDefault="0067390B">
            <w:r>
              <w:rPr>
                <w:rFonts w:ascii="Arial" w:hAnsi="Arial"/>
                <w:sz w:val="18"/>
              </w:rPr>
              <w:t>Section: Reduction</w:t>
            </w:r>
          </w:p>
        </w:tc>
        <w:tc>
          <w:tcPr>
            <w:tcW w:w="2257" w:type="dxa"/>
            <w:shd w:val="clear" w:color="auto" w:fill="F2F6FC"/>
          </w:tcPr>
          <w:p w14:paraId="395AE2FE" w14:textId="77777777" w:rsidR="00A81986" w:rsidRDefault="0067390B">
            <w:r>
              <w:rPr>
                <w:rFonts w:ascii="Arial" w:hAnsi="Arial"/>
                <w:sz w:val="18"/>
              </w:rPr>
              <w:t>Partial — targets in development</w:t>
            </w:r>
          </w:p>
        </w:tc>
      </w:tr>
      <w:tr w:rsidR="00A81986" w14:paraId="0918A998" w14:textId="77777777">
        <w:trPr>
          <w:jc w:val="center"/>
        </w:trPr>
        <w:tc>
          <w:tcPr>
            <w:tcW w:w="2257" w:type="dxa"/>
          </w:tcPr>
          <w:p w14:paraId="4714E5A7" w14:textId="77777777" w:rsidR="00A81986" w:rsidRDefault="0067390B">
            <w:r>
              <w:rPr>
                <w:rFonts w:ascii="Arial" w:hAnsi="Arial"/>
                <w:sz w:val="18"/>
              </w:rPr>
              <w:t>GRI 401-1</w:t>
            </w:r>
          </w:p>
        </w:tc>
        <w:tc>
          <w:tcPr>
            <w:tcW w:w="2257" w:type="dxa"/>
          </w:tcPr>
          <w:p w14:paraId="07BB0812" w14:textId="77777777" w:rsidR="00A81986" w:rsidRDefault="0067390B">
            <w:r>
              <w:rPr>
                <w:rFonts w:ascii="Arial" w:hAnsi="Arial"/>
                <w:sz w:val="18"/>
              </w:rPr>
              <w:t>New employee hires and employee turnover</w:t>
            </w:r>
          </w:p>
        </w:tc>
        <w:tc>
          <w:tcPr>
            <w:tcW w:w="2257" w:type="dxa"/>
          </w:tcPr>
          <w:p w14:paraId="2D314A32" w14:textId="77777777" w:rsidR="00A81986" w:rsidRDefault="0067390B">
            <w:r>
              <w:rPr>
                <w:rFonts w:ascii="Arial" w:hAnsi="Arial"/>
                <w:sz w:val="18"/>
              </w:rPr>
              <w:t>Section: Social</w:t>
            </w:r>
          </w:p>
        </w:tc>
        <w:tc>
          <w:tcPr>
            <w:tcW w:w="2257" w:type="dxa"/>
          </w:tcPr>
          <w:p w14:paraId="56F827B8" w14:textId="77777777" w:rsidR="00A81986" w:rsidRDefault="0067390B">
            <w:r>
              <w:rPr>
                <w:rFonts w:ascii="Arial" w:hAnsi="Arial"/>
                <w:sz w:val="18"/>
              </w:rPr>
              <w:t>None</w:t>
            </w:r>
          </w:p>
        </w:tc>
      </w:tr>
      <w:tr w:rsidR="00A81986" w14:paraId="77EF5CA7" w14:textId="77777777">
        <w:trPr>
          <w:jc w:val="center"/>
        </w:trPr>
        <w:tc>
          <w:tcPr>
            <w:tcW w:w="2257" w:type="dxa"/>
            <w:shd w:val="clear" w:color="auto" w:fill="F2F6FC"/>
          </w:tcPr>
          <w:p w14:paraId="122EE757" w14:textId="77777777" w:rsidR="00A81986" w:rsidRDefault="0067390B">
            <w:r>
              <w:rPr>
                <w:rFonts w:ascii="Arial" w:hAnsi="Arial"/>
                <w:sz w:val="18"/>
              </w:rPr>
              <w:t>GRI 404-1</w:t>
            </w:r>
          </w:p>
        </w:tc>
        <w:tc>
          <w:tcPr>
            <w:tcW w:w="2257" w:type="dxa"/>
            <w:shd w:val="clear" w:color="auto" w:fill="F2F6FC"/>
          </w:tcPr>
          <w:p w14:paraId="2C6DB425" w14:textId="77777777" w:rsidR="00A81986" w:rsidRDefault="0067390B">
            <w:r>
              <w:rPr>
                <w:rFonts w:ascii="Arial" w:hAnsi="Arial"/>
                <w:sz w:val="18"/>
              </w:rPr>
              <w:t>Average hours of training per year per employee</w:t>
            </w:r>
          </w:p>
        </w:tc>
        <w:tc>
          <w:tcPr>
            <w:tcW w:w="2257" w:type="dxa"/>
            <w:shd w:val="clear" w:color="auto" w:fill="F2F6FC"/>
          </w:tcPr>
          <w:p w14:paraId="07A4CA7C" w14:textId="77777777" w:rsidR="00A81986" w:rsidRDefault="0067390B">
            <w:r>
              <w:rPr>
                <w:rFonts w:ascii="Arial" w:hAnsi="Arial"/>
                <w:sz w:val="18"/>
              </w:rPr>
              <w:t>Section: Social</w:t>
            </w:r>
          </w:p>
        </w:tc>
        <w:tc>
          <w:tcPr>
            <w:tcW w:w="2257" w:type="dxa"/>
            <w:shd w:val="clear" w:color="auto" w:fill="F2F6FC"/>
          </w:tcPr>
          <w:p w14:paraId="57F89EC2" w14:textId="77777777" w:rsidR="00A81986" w:rsidRDefault="0067390B">
            <w:r>
              <w:rPr>
                <w:rFonts w:ascii="Arial" w:hAnsi="Arial"/>
                <w:sz w:val="18"/>
              </w:rPr>
              <w:t>None</w:t>
            </w:r>
          </w:p>
        </w:tc>
      </w:tr>
      <w:tr w:rsidR="00A81986" w14:paraId="318CB715" w14:textId="77777777">
        <w:trPr>
          <w:jc w:val="center"/>
        </w:trPr>
        <w:tc>
          <w:tcPr>
            <w:tcW w:w="2257" w:type="dxa"/>
          </w:tcPr>
          <w:p w14:paraId="34C26D40" w14:textId="77777777" w:rsidR="00A81986" w:rsidRDefault="0067390B">
            <w:r>
              <w:rPr>
                <w:rFonts w:ascii="Arial" w:hAnsi="Arial"/>
                <w:sz w:val="18"/>
              </w:rPr>
              <w:t>GRI 405-1</w:t>
            </w:r>
          </w:p>
        </w:tc>
        <w:tc>
          <w:tcPr>
            <w:tcW w:w="2257" w:type="dxa"/>
          </w:tcPr>
          <w:p w14:paraId="21E61063" w14:textId="77777777" w:rsidR="00A81986" w:rsidRDefault="0067390B">
            <w:r>
              <w:rPr>
                <w:rFonts w:ascii="Arial" w:hAnsi="Arial"/>
                <w:sz w:val="18"/>
              </w:rPr>
              <w:t>Diversity of governance bodies and employees</w:t>
            </w:r>
          </w:p>
        </w:tc>
        <w:tc>
          <w:tcPr>
            <w:tcW w:w="2257" w:type="dxa"/>
          </w:tcPr>
          <w:p w14:paraId="120F5B2B" w14:textId="77777777" w:rsidR="00A81986" w:rsidRDefault="0067390B">
            <w:r>
              <w:rPr>
                <w:rFonts w:ascii="Arial" w:hAnsi="Arial"/>
                <w:sz w:val="18"/>
              </w:rPr>
              <w:t>Section: Social</w:t>
            </w:r>
          </w:p>
        </w:tc>
        <w:tc>
          <w:tcPr>
            <w:tcW w:w="2257" w:type="dxa"/>
          </w:tcPr>
          <w:p w14:paraId="722932BF" w14:textId="77777777" w:rsidR="00A81986" w:rsidRDefault="0067390B">
            <w:r>
              <w:rPr>
                <w:rFonts w:ascii="Arial" w:hAnsi="Arial"/>
                <w:sz w:val="18"/>
              </w:rPr>
              <w:t>None</w:t>
            </w:r>
          </w:p>
        </w:tc>
      </w:tr>
      <w:tr w:rsidR="00A81986" w14:paraId="7E41BFAF" w14:textId="77777777">
        <w:trPr>
          <w:jc w:val="center"/>
        </w:trPr>
        <w:tc>
          <w:tcPr>
            <w:tcW w:w="2257" w:type="dxa"/>
            <w:shd w:val="clear" w:color="auto" w:fill="F2F6FC"/>
          </w:tcPr>
          <w:p w14:paraId="7E587778" w14:textId="77777777" w:rsidR="00A81986" w:rsidRDefault="0067390B">
            <w:r>
              <w:rPr>
                <w:rFonts w:ascii="Arial" w:hAnsi="Arial"/>
                <w:sz w:val="18"/>
              </w:rPr>
              <w:t>GRI 406-1</w:t>
            </w:r>
          </w:p>
        </w:tc>
        <w:tc>
          <w:tcPr>
            <w:tcW w:w="2257" w:type="dxa"/>
            <w:shd w:val="clear" w:color="auto" w:fill="F2F6FC"/>
          </w:tcPr>
          <w:p w14:paraId="22EC2471" w14:textId="77777777" w:rsidR="00A81986" w:rsidRDefault="0067390B">
            <w:r>
              <w:rPr>
                <w:rFonts w:ascii="Arial" w:hAnsi="Arial"/>
                <w:sz w:val="18"/>
              </w:rPr>
              <w:t>Incidents of discrimination and corrective actions</w:t>
            </w:r>
          </w:p>
        </w:tc>
        <w:tc>
          <w:tcPr>
            <w:tcW w:w="2257" w:type="dxa"/>
            <w:shd w:val="clear" w:color="auto" w:fill="F2F6FC"/>
          </w:tcPr>
          <w:p w14:paraId="583EC19D" w14:textId="77777777" w:rsidR="00A81986" w:rsidRDefault="0067390B">
            <w:r>
              <w:rPr>
                <w:rFonts w:ascii="Arial" w:hAnsi="Arial"/>
                <w:sz w:val="18"/>
              </w:rPr>
              <w:t>Section: Social</w:t>
            </w:r>
          </w:p>
        </w:tc>
        <w:tc>
          <w:tcPr>
            <w:tcW w:w="2257" w:type="dxa"/>
            <w:shd w:val="clear" w:color="auto" w:fill="F2F6FC"/>
          </w:tcPr>
          <w:p w14:paraId="7A969792" w14:textId="77777777" w:rsidR="00A81986" w:rsidRDefault="0067390B">
            <w:r>
              <w:rPr>
                <w:rFonts w:ascii="Arial" w:hAnsi="Arial"/>
                <w:sz w:val="18"/>
              </w:rPr>
              <w:t>None</w:t>
            </w:r>
          </w:p>
        </w:tc>
      </w:tr>
    </w:tbl>
    <w:p w14:paraId="3B63A252" w14:textId="77777777" w:rsidR="00A81986" w:rsidRDefault="0067390B">
      <w:r>
        <w:rPr>
          <w:rFonts w:ascii="Arial" w:hAnsi="Arial"/>
          <w:i/>
          <w:sz w:val="16"/>
        </w:rPr>
        <w:t>Source: GRI Standards 2021</w:t>
      </w:r>
    </w:p>
    <w:p w14:paraId="78570677" w14:textId="77777777" w:rsidR="00A81986" w:rsidRDefault="00A81986"/>
    <w:sectPr w:rsidR="00A81986" w:rsidSect="00034616">
      <w:headerReference w:type="default" r:id="rId8"/>
      <w:footerReference w:type="default" r:id="rId9"/>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0F284" w14:textId="77777777" w:rsidR="0067390B" w:rsidRDefault="0067390B">
      <w:pPr>
        <w:spacing w:after="0" w:line="240" w:lineRule="auto"/>
      </w:pPr>
      <w:r>
        <w:separator/>
      </w:r>
    </w:p>
  </w:endnote>
  <w:endnote w:type="continuationSeparator" w:id="0">
    <w:p w14:paraId="34B15F14" w14:textId="77777777" w:rsidR="0067390B" w:rsidRDefault="00673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ACF7" w14:textId="5732B7BE" w:rsidR="00A81986" w:rsidRDefault="0067390B">
    <w:pPr>
      <w:pStyle w:val="Footer"/>
    </w:pPr>
    <w:r>
      <w:rPr>
        <w:rFonts w:ascii="Arial" w:hAnsi="Arial"/>
        <w:color w:val="808080"/>
        <w:sz w:val="18"/>
      </w:rPr>
      <w:t>ESG Report MULTI_FRAMEWORK 2024</w:t>
    </w:r>
    <w:r>
      <w:tab/>
    </w:r>
    <w:r>
      <w:tab/>
    </w:r>
    <w:r>
      <w:rPr>
        <w:color w:val="808080"/>
        <w:sz w:val="18"/>
      </w:rPr>
      <w:t xml:space="preserve">Page </w:t>
    </w:r>
    <w:r>
      <w:rPr>
        <w:color w:val="808080"/>
        <w:sz w:val="18"/>
      </w:rPr>
      <w:fldChar w:fldCharType="begin"/>
    </w:r>
    <w:r>
      <w:rPr>
        <w:color w:val="808080"/>
        <w:sz w:val="18"/>
      </w:rPr>
      <w:instrText xml:space="preserve"> PAGE </w:instrText>
    </w:r>
    <w:r w:rsidR="004D26A5">
      <w:rPr>
        <w:color w:val="808080"/>
        <w:sz w:val="18"/>
      </w:rPr>
      <w:fldChar w:fldCharType="separate"/>
    </w:r>
    <w:r w:rsidR="004D26A5">
      <w:rPr>
        <w:noProof/>
        <w:color w:val="808080"/>
        <w:sz w:val="18"/>
      </w:rPr>
      <w:t>2</w:t>
    </w:r>
    <w:r>
      <w:rPr>
        <w:color w:val="808080"/>
        <w:sz w:val="18"/>
      </w:rPr>
      <w:fldChar w:fldCharType="end"/>
    </w:r>
    <w:r>
      <w:rPr>
        <w:color w:val="808080"/>
        <w:sz w:val="18"/>
      </w:rPr>
      <w:t xml:space="preserve"> of </w:t>
    </w:r>
    <w:r>
      <w:rPr>
        <w:color w:val="808080"/>
        <w:sz w:val="18"/>
      </w:rPr>
      <w:fldChar w:fldCharType="begin"/>
    </w:r>
    <w:r>
      <w:rPr>
        <w:color w:val="808080"/>
        <w:sz w:val="18"/>
      </w:rPr>
      <w:instrText xml:space="preserve"> NUMPAGES </w:instrText>
    </w:r>
    <w:r w:rsidR="004D26A5">
      <w:rPr>
        <w:color w:val="808080"/>
        <w:sz w:val="18"/>
      </w:rPr>
      <w:fldChar w:fldCharType="separate"/>
    </w:r>
    <w:r w:rsidR="004D26A5">
      <w:rPr>
        <w:noProof/>
        <w:color w:val="808080"/>
        <w:sz w:val="18"/>
      </w:rPr>
      <w:t>3</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8F0B0" w14:textId="77777777" w:rsidR="0067390B" w:rsidRDefault="0067390B">
      <w:pPr>
        <w:spacing w:after="0" w:line="240" w:lineRule="auto"/>
      </w:pPr>
      <w:r>
        <w:separator/>
      </w:r>
    </w:p>
  </w:footnote>
  <w:footnote w:type="continuationSeparator" w:id="0">
    <w:p w14:paraId="69623BDC" w14:textId="77777777" w:rsidR="0067390B" w:rsidRDefault="006739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673F4" w14:textId="77777777" w:rsidR="00A81986" w:rsidRDefault="0067390B">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275643">
    <w:abstractNumId w:val="8"/>
  </w:num>
  <w:num w:numId="2" w16cid:durableId="1717392515">
    <w:abstractNumId w:val="6"/>
  </w:num>
  <w:num w:numId="3" w16cid:durableId="543249833">
    <w:abstractNumId w:val="5"/>
  </w:num>
  <w:num w:numId="4" w16cid:durableId="1558127778">
    <w:abstractNumId w:val="4"/>
  </w:num>
  <w:num w:numId="5" w16cid:durableId="401097197">
    <w:abstractNumId w:val="7"/>
  </w:num>
  <w:num w:numId="6" w16cid:durableId="439229339">
    <w:abstractNumId w:val="3"/>
  </w:num>
  <w:num w:numId="7" w16cid:durableId="847594946">
    <w:abstractNumId w:val="2"/>
  </w:num>
  <w:num w:numId="8" w16cid:durableId="2048136302">
    <w:abstractNumId w:val="1"/>
  </w:num>
  <w:num w:numId="9" w16cid:durableId="188999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6A5"/>
    <w:rsid w:val="0067390B"/>
    <w:rsid w:val="00A81986"/>
    <w:rsid w:val="00AA1D8D"/>
    <w:rsid w:val="00B47730"/>
    <w:rsid w:val="00CB0664"/>
    <w:rsid w:val="00CB2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F8EFCA1-ABE9-4FE0-BD41-81537A329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D26A5"/>
    <w:pPr>
      <w:spacing w:after="100"/>
    </w:pPr>
  </w:style>
  <w:style w:type="paragraph" w:styleId="TOC2">
    <w:name w:val="toc 2"/>
    <w:basedOn w:val="Normal"/>
    <w:next w:val="Normal"/>
    <w:autoRedefine/>
    <w:uiPriority w:val="39"/>
    <w:unhideWhenUsed/>
    <w:rsid w:val="004D26A5"/>
    <w:pPr>
      <w:spacing w:after="100"/>
      <w:ind w:left="220"/>
    </w:pPr>
  </w:style>
  <w:style w:type="paragraph" w:styleId="TOC3">
    <w:name w:val="toc 3"/>
    <w:basedOn w:val="Normal"/>
    <w:next w:val="Normal"/>
    <w:autoRedefine/>
    <w:uiPriority w:val="39"/>
    <w:unhideWhenUsed/>
    <w:rsid w:val="004D26A5"/>
    <w:pPr>
      <w:spacing w:after="100"/>
      <w:ind w:left="440"/>
    </w:pPr>
  </w:style>
  <w:style w:type="character" w:styleId="Hyperlink">
    <w:name w:val="Hyperlink"/>
    <w:basedOn w:val="DefaultParagraphFont"/>
    <w:uiPriority w:val="99"/>
    <w:unhideWhenUsed/>
    <w:rsid w:val="004D26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56</Pages>
  <Words>19283</Words>
  <Characters>109917</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arn:aws:states:us-east-1:061039769766:execution:ESGReportGenerationStateMachine:0f52b94f-4311-49e6-b8a0-5aef34d516ca</dc:description>
  <cp:lastModifiedBy>Raditya Rahardyansyah Rifat</cp:lastModifiedBy>
  <cp:revision>2</cp:revision>
  <dcterms:created xsi:type="dcterms:W3CDTF">2013-12-23T23:15:00Z</dcterms:created>
  <dcterms:modified xsi:type="dcterms:W3CDTF">2026-06-10T10:08:00Z</dcterms:modified>
  <cp:category>ESG Sustainability Report</cp:category>
</cp:coreProperties>
</file>