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FDE95" w14:textId="77777777" w:rsidR="00AC41AE" w:rsidRDefault="00AC41AE"/>
    <w:p w14:paraId="470AE14E" w14:textId="77777777" w:rsidR="00AC41AE" w:rsidRDefault="00000000">
      <w:pPr>
        <w:jc w:val="center"/>
      </w:pPr>
      <w:r>
        <w:rPr>
          <w:color w:val="999999"/>
          <w:sz w:val="24"/>
        </w:rPr>
        <w:t>[INSTITUTION LOGO]</w:t>
      </w:r>
    </w:p>
    <w:p w14:paraId="07724BC0" w14:textId="77777777" w:rsidR="00AC41AE" w:rsidRDefault="00AC41AE"/>
    <w:p w14:paraId="46D0B321" w14:textId="77777777" w:rsidR="00AC41AE" w:rsidRDefault="00AC41AE"/>
    <w:p w14:paraId="4F74E389" w14:textId="77777777" w:rsidR="00AC41AE" w:rsidRDefault="00000000">
      <w:pPr>
        <w:pStyle w:val="Heading1"/>
        <w:spacing w:after="240"/>
        <w:jc w:val="center"/>
      </w:pPr>
      <w:bookmarkStart w:id="0" w:name="_Toc232152595"/>
      <w:r>
        <w:rPr>
          <w:rFonts w:ascii="Arial" w:hAnsi="Arial"/>
          <w:color w:val="1B3A6B"/>
          <w:sz w:val="36"/>
        </w:rPr>
        <w:t>ESG Sustainability Report</w:t>
      </w:r>
      <w:bookmarkEnd w:id="0"/>
    </w:p>
    <w:p w14:paraId="5249E3D9" w14:textId="77777777" w:rsidR="00AC41AE" w:rsidRDefault="00000000">
      <w:pPr>
        <w:pStyle w:val="Heading2"/>
        <w:spacing w:before="360" w:after="160"/>
        <w:jc w:val="center"/>
      </w:pPr>
      <w:bookmarkStart w:id="1" w:name="_Toc232152596"/>
      <w:r>
        <w:rPr>
          <w:rFonts w:ascii="Arial" w:hAnsi="Arial"/>
          <w:color w:val="3D6094"/>
          <w:sz w:val="28"/>
        </w:rPr>
        <w:t>Reporting Year 2024</w:t>
      </w:r>
      <w:bookmarkEnd w:id="1"/>
    </w:p>
    <w:p w14:paraId="77B6D6F1" w14:textId="77777777" w:rsidR="00AC41AE" w:rsidRDefault="00AC41AE"/>
    <w:p w14:paraId="3C60D6F5" w14:textId="77777777" w:rsidR="00AC41AE" w:rsidRDefault="00000000">
      <w:pPr>
        <w:jc w:val="center"/>
      </w:pPr>
      <w:r>
        <w:rPr>
          <w:rFonts w:ascii="Arial" w:hAnsi="Arial"/>
        </w:rPr>
        <w:t>Institution: GENERIC_FI_001</w:t>
      </w:r>
    </w:p>
    <w:p w14:paraId="6A235522" w14:textId="77777777" w:rsidR="00AC41AE" w:rsidRDefault="00000000">
      <w:pPr>
        <w:jc w:val="center"/>
      </w:pPr>
      <w:r>
        <w:rPr>
          <w:rFonts w:ascii="Arial" w:hAnsi="Arial"/>
        </w:rPr>
        <w:t>Framework: MULTI_FRAMEWORK</w:t>
      </w:r>
    </w:p>
    <w:p w14:paraId="6885FB46" w14:textId="77777777" w:rsidR="00AC41AE" w:rsidRDefault="00000000">
      <w:pPr>
        <w:jc w:val="center"/>
      </w:pPr>
      <w:r>
        <w:rPr>
          <w:rFonts w:ascii="Arial" w:hAnsi="Arial"/>
        </w:rPr>
        <w:t>Generated: 2026-06-12 03:28 UTC</w:t>
      </w:r>
    </w:p>
    <w:p w14:paraId="7705AB48" w14:textId="77777777" w:rsidR="00AC41AE" w:rsidRDefault="00000000">
      <w:pPr>
        <w:jc w:val="center"/>
      </w:pPr>
      <w:r>
        <w:rPr>
          <w:rFonts w:ascii="Arial" w:hAnsi="Arial"/>
        </w:rPr>
        <w:t>Status: DRAFT — Subject to Review</w:t>
      </w:r>
    </w:p>
    <w:p w14:paraId="2F88D6DA" w14:textId="77777777" w:rsidR="00AC41AE" w:rsidRDefault="00000000">
      <w:pPr>
        <w:jc w:val="center"/>
      </w:pPr>
      <w:r>
        <w:rPr>
          <w:rFonts w:ascii="Arial" w:hAnsi="Arial"/>
        </w:rPr>
        <w:t>Assurance Level: None</w:t>
      </w:r>
    </w:p>
    <w:p w14:paraId="2FA7400A" w14:textId="77777777" w:rsidR="00AC41AE" w:rsidRDefault="00AC41AE"/>
    <w:p w14:paraId="3E50871D" w14:textId="77777777" w:rsidR="00AC41AE" w:rsidRDefault="00AC41AE"/>
    <w:p w14:paraId="325C4851" w14:textId="77777777" w:rsidR="00AC41AE" w:rsidRDefault="00000000">
      <w:pPr>
        <w:jc w:val="center"/>
      </w:pPr>
      <w:r>
        <w:rPr>
          <w:i/>
          <w:color w:val="993333"/>
          <w:sz w:val="18"/>
        </w:rPr>
        <w:t>CONFIDENTIAL — This document is for internal review purposes only. Do not distribute without authorization.</w:t>
      </w:r>
    </w:p>
    <w:p w14:paraId="194F0AAB" w14:textId="77777777" w:rsidR="00AC41AE" w:rsidRDefault="00000000">
      <w:r>
        <w:br w:type="page"/>
      </w:r>
    </w:p>
    <w:p w14:paraId="0859014A" w14:textId="77777777" w:rsidR="00AC41AE" w:rsidRDefault="00000000">
      <w:pPr>
        <w:pStyle w:val="Heading1"/>
        <w:spacing w:after="240"/>
      </w:pPr>
      <w:bookmarkStart w:id="2" w:name="_Toc232152597"/>
      <w:r>
        <w:rPr>
          <w:rFonts w:ascii="Arial" w:hAnsi="Arial"/>
          <w:color w:val="1B3A6B"/>
          <w:sz w:val="36"/>
        </w:rPr>
        <w:lastRenderedPageBreak/>
        <w:t>Table of Contents</w:t>
      </w:r>
      <w:bookmarkEnd w:id="2"/>
    </w:p>
    <w:sdt>
      <w:sdtPr>
        <w:id w:val="2030823116"/>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2DACDD1B" w14:textId="069C7D76" w:rsidR="00174992" w:rsidRDefault="00174992">
          <w:pPr>
            <w:pStyle w:val="TOCHeading"/>
          </w:pPr>
          <w:r>
            <w:t>Contents</w:t>
          </w:r>
        </w:p>
        <w:p w14:paraId="5C06E1C8" w14:textId="16AD3C18" w:rsidR="00174992" w:rsidRDefault="00174992">
          <w:pPr>
            <w:pStyle w:val="TOC1"/>
            <w:tabs>
              <w:tab w:val="right" w:leader="dot" w:pos="9019"/>
            </w:tabs>
            <w:rPr>
              <w:noProof/>
            </w:rPr>
          </w:pPr>
          <w:r>
            <w:fldChar w:fldCharType="begin"/>
          </w:r>
          <w:r>
            <w:instrText xml:space="preserve"> TOC \o "1-3" \h \z \u </w:instrText>
          </w:r>
          <w:r>
            <w:fldChar w:fldCharType="separate"/>
          </w:r>
          <w:hyperlink w:anchor="_Toc232152595" w:history="1">
            <w:r w:rsidRPr="00736CC6">
              <w:rPr>
                <w:rStyle w:val="Hyperlink"/>
                <w:rFonts w:ascii="Arial" w:hAnsi="Arial"/>
                <w:noProof/>
              </w:rPr>
              <w:t>ESG Sustainability Report</w:t>
            </w:r>
            <w:r>
              <w:rPr>
                <w:noProof/>
                <w:webHidden/>
              </w:rPr>
              <w:tab/>
            </w:r>
            <w:r>
              <w:rPr>
                <w:noProof/>
                <w:webHidden/>
              </w:rPr>
              <w:fldChar w:fldCharType="begin"/>
            </w:r>
            <w:r>
              <w:rPr>
                <w:noProof/>
                <w:webHidden/>
              </w:rPr>
              <w:instrText xml:space="preserve"> PAGEREF _Toc232152595 \h </w:instrText>
            </w:r>
            <w:r>
              <w:rPr>
                <w:noProof/>
                <w:webHidden/>
              </w:rPr>
            </w:r>
            <w:r>
              <w:rPr>
                <w:noProof/>
                <w:webHidden/>
              </w:rPr>
              <w:fldChar w:fldCharType="separate"/>
            </w:r>
            <w:r>
              <w:rPr>
                <w:noProof/>
                <w:webHidden/>
              </w:rPr>
              <w:t>1</w:t>
            </w:r>
            <w:r>
              <w:rPr>
                <w:noProof/>
                <w:webHidden/>
              </w:rPr>
              <w:fldChar w:fldCharType="end"/>
            </w:r>
          </w:hyperlink>
        </w:p>
        <w:p w14:paraId="0F10975E" w14:textId="520B2E2C" w:rsidR="00174992" w:rsidRDefault="00174992">
          <w:pPr>
            <w:pStyle w:val="TOC2"/>
            <w:tabs>
              <w:tab w:val="right" w:leader="dot" w:pos="9019"/>
            </w:tabs>
            <w:rPr>
              <w:noProof/>
            </w:rPr>
          </w:pPr>
          <w:hyperlink w:anchor="_Toc232152596" w:history="1">
            <w:r w:rsidRPr="00736CC6">
              <w:rPr>
                <w:rStyle w:val="Hyperlink"/>
                <w:rFonts w:ascii="Arial" w:hAnsi="Arial"/>
                <w:noProof/>
              </w:rPr>
              <w:t>Reporting Year 2024</w:t>
            </w:r>
            <w:r>
              <w:rPr>
                <w:noProof/>
                <w:webHidden/>
              </w:rPr>
              <w:tab/>
            </w:r>
            <w:r>
              <w:rPr>
                <w:noProof/>
                <w:webHidden/>
              </w:rPr>
              <w:fldChar w:fldCharType="begin"/>
            </w:r>
            <w:r>
              <w:rPr>
                <w:noProof/>
                <w:webHidden/>
              </w:rPr>
              <w:instrText xml:space="preserve"> PAGEREF _Toc232152596 \h </w:instrText>
            </w:r>
            <w:r>
              <w:rPr>
                <w:noProof/>
                <w:webHidden/>
              </w:rPr>
            </w:r>
            <w:r>
              <w:rPr>
                <w:noProof/>
                <w:webHidden/>
              </w:rPr>
              <w:fldChar w:fldCharType="separate"/>
            </w:r>
            <w:r>
              <w:rPr>
                <w:noProof/>
                <w:webHidden/>
              </w:rPr>
              <w:t>1</w:t>
            </w:r>
            <w:r>
              <w:rPr>
                <w:noProof/>
                <w:webHidden/>
              </w:rPr>
              <w:fldChar w:fldCharType="end"/>
            </w:r>
          </w:hyperlink>
        </w:p>
        <w:p w14:paraId="0A8B9F3C" w14:textId="53326AA4" w:rsidR="00174992" w:rsidRDefault="00174992">
          <w:pPr>
            <w:pStyle w:val="TOC1"/>
            <w:tabs>
              <w:tab w:val="right" w:leader="dot" w:pos="9019"/>
            </w:tabs>
            <w:rPr>
              <w:noProof/>
            </w:rPr>
          </w:pPr>
          <w:hyperlink w:anchor="_Toc232152597" w:history="1">
            <w:r w:rsidRPr="00736CC6">
              <w:rPr>
                <w:rStyle w:val="Hyperlink"/>
                <w:rFonts w:ascii="Arial" w:hAnsi="Arial"/>
                <w:noProof/>
              </w:rPr>
              <w:t>Table of Contents</w:t>
            </w:r>
            <w:r>
              <w:rPr>
                <w:noProof/>
                <w:webHidden/>
              </w:rPr>
              <w:tab/>
            </w:r>
            <w:r>
              <w:rPr>
                <w:noProof/>
                <w:webHidden/>
              </w:rPr>
              <w:fldChar w:fldCharType="begin"/>
            </w:r>
            <w:r>
              <w:rPr>
                <w:noProof/>
                <w:webHidden/>
              </w:rPr>
              <w:instrText xml:space="preserve"> PAGEREF _Toc232152597 \h </w:instrText>
            </w:r>
            <w:r>
              <w:rPr>
                <w:noProof/>
                <w:webHidden/>
              </w:rPr>
            </w:r>
            <w:r>
              <w:rPr>
                <w:noProof/>
                <w:webHidden/>
              </w:rPr>
              <w:fldChar w:fldCharType="separate"/>
            </w:r>
            <w:r>
              <w:rPr>
                <w:noProof/>
                <w:webHidden/>
              </w:rPr>
              <w:t>2</w:t>
            </w:r>
            <w:r>
              <w:rPr>
                <w:noProof/>
                <w:webHidden/>
              </w:rPr>
              <w:fldChar w:fldCharType="end"/>
            </w:r>
          </w:hyperlink>
        </w:p>
        <w:p w14:paraId="2968691C" w14:textId="277B44E1" w:rsidR="00174992" w:rsidRDefault="00174992">
          <w:pPr>
            <w:pStyle w:val="TOC1"/>
            <w:tabs>
              <w:tab w:val="right" w:leader="dot" w:pos="9019"/>
            </w:tabs>
            <w:rPr>
              <w:noProof/>
            </w:rPr>
          </w:pPr>
          <w:hyperlink w:anchor="_Toc232152598" w:history="1">
            <w:r w:rsidRPr="00736CC6">
              <w:rPr>
                <w:rStyle w:val="Hyperlink"/>
                <w:rFonts w:ascii="Arial" w:hAnsi="Arial"/>
                <w:noProof/>
              </w:rPr>
              <w:t>Executive Summary</w:t>
            </w:r>
            <w:r>
              <w:rPr>
                <w:noProof/>
                <w:webHidden/>
              </w:rPr>
              <w:tab/>
            </w:r>
            <w:r>
              <w:rPr>
                <w:noProof/>
                <w:webHidden/>
              </w:rPr>
              <w:fldChar w:fldCharType="begin"/>
            </w:r>
            <w:r>
              <w:rPr>
                <w:noProof/>
                <w:webHidden/>
              </w:rPr>
              <w:instrText xml:space="preserve"> PAGEREF _Toc232152598 \h </w:instrText>
            </w:r>
            <w:r>
              <w:rPr>
                <w:noProof/>
                <w:webHidden/>
              </w:rPr>
            </w:r>
            <w:r>
              <w:rPr>
                <w:noProof/>
                <w:webHidden/>
              </w:rPr>
              <w:fldChar w:fldCharType="separate"/>
            </w:r>
            <w:r>
              <w:rPr>
                <w:noProof/>
                <w:webHidden/>
              </w:rPr>
              <w:t>4</w:t>
            </w:r>
            <w:r>
              <w:rPr>
                <w:noProof/>
                <w:webHidden/>
              </w:rPr>
              <w:fldChar w:fldCharType="end"/>
            </w:r>
          </w:hyperlink>
        </w:p>
        <w:p w14:paraId="2595265F" w14:textId="205C7E47" w:rsidR="00174992" w:rsidRDefault="00174992">
          <w:pPr>
            <w:pStyle w:val="TOC2"/>
            <w:tabs>
              <w:tab w:val="right" w:leader="dot" w:pos="9019"/>
            </w:tabs>
            <w:rPr>
              <w:noProof/>
            </w:rPr>
          </w:pPr>
          <w:hyperlink w:anchor="_Toc232152599" w:history="1">
            <w:r w:rsidRPr="00736CC6">
              <w:rPr>
                <w:rStyle w:val="Hyperlink"/>
                <w:rFonts w:ascii="Arial" w:hAnsi="Arial"/>
                <w:noProof/>
              </w:rPr>
              <w:t>Strategic Brief</w:t>
            </w:r>
            <w:r>
              <w:rPr>
                <w:noProof/>
                <w:webHidden/>
              </w:rPr>
              <w:tab/>
            </w:r>
            <w:r>
              <w:rPr>
                <w:noProof/>
                <w:webHidden/>
              </w:rPr>
              <w:fldChar w:fldCharType="begin"/>
            </w:r>
            <w:r>
              <w:rPr>
                <w:noProof/>
                <w:webHidden/>
              </w:rPr>
              <w:instrText xml:space="preserve"> PAGEREF _Toc232152599 \h </w:instrText>
            </w:r>
            <w:r>
              <w:rPr>
                <w:noProof/>
                <w:webHidden/>
              </w:rPr>
            </w:r>
            <w:r>
              <w:rPr>
                <w:noProof/>
                <w:webHidden/>
              </w:rPr>
              <w:fldChar w:fldCharType="separate"/>
            </w:r>
            <w:r>
              <w:rPr>
                <w:noProof/>
                <w:webHidden/>
              </w:rPr>
              <w:t>4</w:t>
            </w:r>
            <w:r>
              <w:rPr>
                <w:noProof/>
                <w:webHidden/>
              </w:rPr>
              <w:fldChar w:fldCharType="end"/>
            </w:r>
          </w:hyperlink>
        </w:p>
        <w:p w14:paraId="65EDE420" w14:textId="1FE6B1CC" w:rsidR="00174992" w:rsidRDefault="00174992">
          <w:pPr>
            <w:pStyle w:val="TOC2"/>
            <w:tabs>
              <w:tab w:val="right" w:leader="dot" w:pos="9019"/>
            </w:tabs>
            <w:rPr>
              <w:noProof/>
            </w:rPr>
          </w:pPr>
          <w:hyperlink w:anchor="_Toc232152600" w:history="1">
            <w:r w:rsidRPr="00736CC6">
              <w:rPr>
                <w:rStyle w:val="Hyperlink"/>
                <w:rFonts w:ascii="Arial" w:hAnsi="Arial"/>
                <w:noProof/>
              </w:rPr>
              <w:t>Detailed Performance Summary</w:t>
            </w:r>
            <w:r>
              <w:rPr>
                <w:noProof/>
                <w:webHidden/>
              </w:rPr>
              <w:tab/>
            </w:r>
            <w:r>
              <w:rPr>
                <w:noProof/>
                <w:webHidden/>
              </w:rPr>
              <w:fldChar w:fldCharType="begin"/>
            </w:r>
            <w:r>
              <w:rPr>
                <w:noProof/>
                <w:webHidden/>
              </w:rPr>
              <w:instrText xml:space="preserve"> PAGEREF _Toc232152600 \h </w:instrText>
            </w:r>
            <w:r>
              <w:rPr>
                <w:noProof/>
                <w:webHidden/>
              </w:rPr>
            </w:r>
            <w:r>
              <w:rPr>
                <w:noProof/>
                <w:webHidden/>
              </w:rPr>
              <w:fldChar w:fldCharType="separate"/>
            </w:r>
            <w:r>
              <w:rPr>
                <w:noProof/>
                <w:webHidden/>
              </w:rPr>
              <w:t>8</w:t>
            </w:r>
            <w:r>
              <w:rPr>
                <w:noProof/>
                <w:webHidden/>
              </w:rPr>
              <w:fldChar w:fldCharType="end"/>
            </w:r>
          </w:hyperlink>
        </w:p>
        <w:p w14:paraId="725582C1" w14:textId="54851808" w:rsidR="00174992" w:rsidRDefault="00174992">
          <w:pPr>
            <w:pStyle w:val="TOC1"/>
            <w:tabs>
              <w:tab w:val="right" w:leader="dot" w:pos="9019"/>
            </w:tabs>
            <w:rPr>
              <w:noProof/>
            </w:rPr>
          </w:pPr>
          <w:hyperlink w:anchor="_Toc232152601" w:history="1">
            <w:r w:rsidRPr="00736CC6">
              <w:rPr>
                <w:rStyle w:val="Hyperlink"/>
                <w:rFonts w:ascii="Arial" w:hAnsi="Arial"/>
                <w:noProof/>
              </w:rPr>
              <w:t>Environmental Performance</w:t>
            </w:r>
            <w:r>
              <w:rPr>
                <w:noProof/>
                <w:webHidden/>
              </w:rPr>
              <w:tab/>
            </w:r>
            <w:r>
              <w:rPr>
                <w:noProof/>
                <w:webHidden/>
              </w:rPr>
              <w:fldChar w:fldCharType="begin"/>
            </w:r>
            <w:r>
              <w:rPr>
                <w:noProof/>
                <w:webHidden/>
              </w:rPr>
              <w:instrText xml:space="preserve"> PAGEREF _Toc232152601 \h </w:instrText>
            </w:r>
            <w:r>
              <w:rPr>
                <w:noProof/>
                <w:webHidden/>
              </w:rPr>
            </w:r>
            <w:r>
              <w:rPr>
                <w:noProof/>
                <w:webHidden/>
              </w:rPr>
              <w:fldChar w:fldCharType="separate"/>
            </w:r>
            <w:r>
              <w:rPr>
                <w:noProof/>
                <w:webHidden/>
              </w:rPr>
              <w:t>12</w:t>
            </w:r>
            <w:r>
              <w:rPr>
                <w:noProof/>
                <w:webHidden/>
              </w:rPr>
              <w:fldChar w:fldCharType="end"/>
            </w:r>
          </w:hyperlink>
        </w:p>
        <w:p w14:paraId="55860BDD" w14:textId="0C0A27A6" w:rsidR="00174992" w:rsidRDefault="00174992">
          <w:pPr>
            <w:pStyle w:val="TOC2"/>
            <w:tabs>
              <w:tab w:val="right" w:leader="dot" w:pos="9019"/>
            </w:tabs>
            <w:rPr>
              <w:noProof/>
            </w:rPr>
          </w:pPr>
          <w:hyperlink w:anchor="_Toc232152602" w:history="1">
            <w:r w:rsidRPr="00736CC6">
              <w:rPr>
                <w:rStyle w:val="Hyperlink"/>
                <w:rFonts w:ascii="Arial" w:hAnsi="Arial"/>
                <w:noProof/>
              </w:rPr>
              <w:t>1.1 Direct GHG Emissions — Scope 1</w:t>
            </w:r>
            <w:r>
              <w:rPr>
                <w:noProof/>
                <w:webHidden/>
              </w:rPr>
              <w:tab/>
            </w:r>
            <w:r>
              <w:rPr>
                <w:noProof/>
                <w:webHidden/>
              </w:rPr>
              <w:fldChar w:fldCharType="begin"/>
            </w:r>
            <w:r>
              <w:rPr>
                <w:noProof/>
                <w:webHidden/>
              </w:rPr>
              <w:instrText xml:space="preserve"> PAGEREF _Toc232152602 \h </w:instrText>
            </w:r>
            <w:r>
              <w:rPr>
                <w:noProof/>
                <w:webHidden/>
              </w:rPr>
            </w:r>
            <w:r>
              <w:rPr>
                <w:noProof/>
                <w:webHidden/>
              </w:rPr>
              <w:fldChar w:fldCharType="separate"/>
            </w:r>
            <w:r>
              <w:rPr>
                <w:noProof/>
                <w:webHidden/>
              </w:rPr>
              <w:t>12</w:t>
            </w:r>
            <w:r>
              <w:rPr>
                <w:noProof/>
                <w:webHidden/>
              </w:rPr>
              <w:fldChar w:fldCharType="end"/>
            </w:r>
          </w:hyperlink>
        </w:p>
        <w:p w14:paraId="128210E7" w14:textId="18300747" w:rsidR="00174992" w:rsidRDefault="00174992">
          <w:pPr>
            <w:pStyle w:val="TOC2"/>
            <w:tabs>
              <w:tab w:val="right" w:leader="dot" w:pos="9019"/>
            </w:tabs>
            <w:rPr>
              <w:noProof/>
            </w:rPr>
          </w:pPr>
          <w:hyperlink w:anchor="_Toc232152603" w:history="1">
            <w:r w:rsidRPr="00736CC6">
              <w:rPr>
                <w:rStyle w:val="Hyperlink"/>
                <w:rFonts w:ascii="Arial" w:hAnsi="Arial"/>
                <w:noProof/>
              </w:rPr>
              <w:t>1.2 Energy Indirect GHG Emissions — Scope 2</w:t>
            </w:r>
            <w:r>
              <w:rPr>
                <w:noProof/>
                <w:webHidden/>
              </w:rPr>
              <w:tab/>
            </w:r>
            <w:r>
              <w:rPr>
                <w:noProof/>
                <w:webHidden/>
              </w:rPr>
              <w:fldChar w:fldCharType="begin"/>
            </w:r>
            <w:r>
              <w:rPr>
                <w:noProof/>
                <w:webHidden/>
              </w:rPr>
              <w:instrText xml:space="preserve"> PAGEREF _Toc232152603 \h </w:instrText>
            </w:r>
            <w:r>
              <w:rPr>
                <w:noProof/>
                <w:webHidden/>
              </w:rPr>
            </w:r>
            <w:r>
              <w:rPr>
                <w:noProof/>
                <w:webHidden/>
              </w:rPr>
              <w:fldChar w:fldCharType="separate"/>
            </w:r>
            <w:r>
              <w:rPr>
                <w:noProof/>
                <w:webHidden/>
              </w:rPr>
              <w:t>20</w:t>
            </w:r>
            <w:r>
              <w:rPr>
                <w:noProof/>
                <w:webHidden/>
              </w:rPr>
              <w:fldChar w:fldCharType="end"/>
            </w:r>
          </w:hyperlink>
        </w:p>
        <w:p w14:paraId="22CF2BD0" w14:textId="180E23B4" w:rsidR="00174992" w:rsidRDefault="00174992">
          <w:pPr>
            <w:pStyle w:val="TOC2"/>
            <w:tabs>
              <w:tab w:val="right" w:leader="dot" w:pos="9019"/>
            </w:tabs>
            <w:rPr>
              <w:noProof/>
            </w:rPr>
          </w:pPr>
          <w:hyperlink w:anchor="_Toc232152604" w:history="1">
            <w:r w:rsidRPr="00736CC6">
              <w:rPr>
                <w:rStyle w:val="Hyperlink"/>
                <w:rFonts w:ascii="Arial" w:hAnsi="Arial"/>
                <w:noProof/>
              </w:rPr>
              <w:t>1.3 Financed Emissions — Scope 3 Category 15</w:t>
            </w:r>
            <w:r>
              <w:rPr>
                <w:noProof/>
                <w:webHidden/>
              </w:rPr>
              <w:tab/>
            </w:r>
            <w:r>
              <w:rPr>
                <w:noProof/>
                <w:webHidden/>
              </w:rPr>
              <w:fldChar w:fldCharType="begin"/>
            </w:r>
            <w:r>
              <w:rPr>
                <w:noProof/>
                <w:webHidden/>
              </w:rPr>
              <w:instrText xml:space="preserve"> PAGEREF _Toc232152604 \h </w:instrText>
            </w:r>
            <w:r>
              <w:rPr>
                <w:noProof/>
                <w:webHidden/>
              </w:rPr>
            </w:r>
            <w:r>
              <w:rPr>
                <w:noProof/>
                <w:webHidden/>
              </w:rPr>
              <w:fldChar w:fldCharType="separate"/>
            </w:r>
            <w:r>
              <w:rPr>
                <w:noProof/>
                <w:webHidden/>
              </w:rPr>
              <w:t>26</w:t>
            </w:r>
            <w:r>
              <w:rPr>
                <w:noProof/>
                <w:webHidden/>
              </w:rPr>
              <w:fldChar w:fldCharType="end"/>
            </w:r>
          </w:hyperlink>
        </w:p>
        <w:p w14:paraId="00D07F64" w14:textId="4D40BF9C" w:rsidR="00174992" w:rsidRDefault="00174992">
          <w:pPr>
            <w:pStyle w:val="TOC2"/>
            <w:tabs>
              <w:tab w:val="right" w:leader="dot" w:pos="9019"/>
            </w:tabs>
            <w:rPr>
              <w:noProof/>
            </w:rPr>
          </w:pPr>
          <w:hyperlink w:anchor="_Toc232152605" w:history="1">
            <w:r w:rsidRPr="00736CC6">
              <w:rPr>
                <w:rStyle w:val="Hyperlink"/>
                <w:rFonts w:ascii="Arial" w:hAnsi="Arial"/>
                <w:noProof/>
              </w:rPr>
              <w:t>1.4 GHG Emissions Intensity</w:t>
            </w:r>
            <w:r>
              <w:rPr>
                <w:noProof/>
                <w:webHidden/>
              </w:rPr>
              <w:tab/>
            </w:r>
            <w:r>
              <w:rPr>
                <w:noProof/>
                <w:webHidden/>
              </w:rPr>
              <w:fldChar w:fldCharType="begin"/>
            </w:r>
            <w:r>
              <w:rPr>
                <w:noProof/>
                <w:webHidden/>
              </w:rPr>
              <w:instrText xml:space="preserve"> PAGEREF _Toc232152605 \h </w:instrText>
            </w:r>
            <w:r>
              <w:rPr>
                <w:noProof/>
                <w:webHidden/>
              </w:rPr>
            </w:r>
            <w:r>
              <w:rPr>
                <w:noProof/>
                <w:webHidden/>
              </w:rPr>
              <w:fldChar w:fldCharType="separate"/>
            </w:r>
            <w:r>
              <w:rPr>
                <w:noProof/>
                <w:webHidden/>
              </w:rPr>
              <w:t>33</w:t>
            </w:r>
            <w:r>
              <w:rPr>
                <w:noProof/>
                <w:webHidden/>
              </w:rPr>
              <w:fldChar w:fldCharType="end"/>
            </w:r>
          </w:hyperlink>
        </w:p>
        <w:p w14:paraId="59B3D4FA" w14:textId="5133D46E" w:rsidR="00174992" w:rsidRDefault="00174992">
          <w:pPr>
            <w:pStyle w:val="TOC2"/>
            <w:tabs>
              <w:tab w:val="right" w:leader="dot" w:pos="9019"/>
            </w:tabs>
            <w:rPr>
              <w:noProof/>
            </w:rPr>
          </w:pPr>
          <w:hyperlink w:anchor="_Toc232152606" w:history="1">
            <w:r w:rsidRPr="00736CC6">
              <w:rPr>
                <w:rStyle w:val="Hyperlink"/>
                <w:rFonts w:ascii="Arial" w:hAnsi="Arial"/>
                <w:noProof/>
              </w:rPr>
              <w:t>1.5 Emission Reduction Initiatives &amp; Targets</w:t>
            </w:r>
            <w:r>
              <w:rPr>
                <w:noProof/>
                <w:webHidden/>
              </w:rPr>
              <w:tab/>
            </w:r>
            <w:r>
              <w:rPr>
                <w:noProof/>
                <w:webHidden/>
              </w:rPr>
              <w:fldChar w:fldCharType="begin"/>
            </w:r>
            <w:r>
              <w:rPr>
                <w:noProof/>
                <w:webHidden/>
              </w:rPr>
              <w:instrText xml:space="preserve"> PAGEREF _Toc232152606 \h </w:instrText>
            </w:r>
            <w:r>
              <w:rPr>
                <w:noProof/>
                <w:webHidden/>
              </w:rPr>
            </w:r>
            <w:r>
              <w:rPr>
                <w:noProof/>
                <w:webHidden/>
              </w:rPr>
              <w:fldChar w:fldCharType="separate"/>
            </w:r>
            <w:r>
              <w:rPr>
                <w:noProof/>
                <w:webHidden/>
              </w:rPr>
              <w:t>41</w:t>
            </w:r>
            <w:r>
              <w:rPr>
                <w:noProof/>
                <w:webHidden/>
              </w:rPr>
              <w:fldChar w:fldCharType="end"/>
            </w:r>
          </w:hyperlink>
        </w:p>
        <w:p w14:paraId="62FE56C2" w14:textId="0017259D" w:rsidR="00174992" w:rsidRDefault="00174992">
          <w:pPr>
            <w:pStyle w:val="TOC1"/>
            <w:tabs>
              <w:tab w:val="right" w:leader="dot" w:pos="9019"/>
            </w:tabs>
            <w:rPr>
              <w:noProof/>
            </w:rPr>
          </w:pPr>
          <w:hyperlink w:anchor="_Toc232152607" w:history="1">
            <w:r w:rsidRPr="00736CC6">
              <w:rPr>
                <w:rStyle w:val="Hyperlink"/>
                <w:rFonts w:ascii="Arial" w:hAnsi="Arial"/>
                <w:noProof/>
              </w:rPr>
              <w:t>Social Performance</w:t>
            </w:r>
            <w:r>
              <w:rPr>
                <w:noProof/>
                <w:webHidden/>
              </w:rPr>
              <w:tab/>
            </w:r>
            <w:r>
              <w:rPr>
                <w:noProof/>
                <w:webHidden/>
              </w:rPr>
              <w:fldChar w:fldCharType="begin"/>
            </w:r>
            <w:r>
              <w:rPr>
                <w:noProof/>
                <w:webHidden/>
              </w:rPr>
              <w:instrText xml:space="preserve"> PAGEREF _Toc232152607 \h </w:instrText>
            </w:r>
            <w:r>
              <w:rPr>
                <w:noProof/>
                <w:webHidden/>
              </w:rPr>
            </w:r>
            <w:r>
              <w:rPr>
                <w:noProof/>
                <w:webHidden/>
              </w:rPr>
              <w:fldChar w:fldCharType="separate"/>
            </w:r>
            <w:r>
              <w:rPr>
                <w:noProof/>
                <w:webHidden/>
              </w:rPr>
              <w:t>51</w:t>
            </w:r>
            <w:r>
              <w:rPr>
                <w:noProof/>
                <w:webHidden/>
              </w:rPr>
              <w:fldChar w:fldCharType="end"/>
            </w:r>
          </w:hyperlink>
        </w:p>
        <w:p w14:paraId="525330E9" w14:textId="1D737A78" w:rsidR="00174992" w:rsidRDefault="00174992">
          <w:pPr>
            <w:pStyle w:val="TOC2"/>
            <w:tabs>
              <w:tab w:val="right" w:leader="dot" w:pos="9019"/>
            </w:tabs>
            <w:rPr>
              <w:noProof/>
            </w:rPr>
          </w:pPr>
          <w:hyperlink w:anchor="_Toc232152608" w:history="1">
            <w:r w:rsidRPr="00736CC6">
              <w:rPr>
                <w:rStyle w:val="Hyperlink"/>
                <w:rFonts w:ascii="Arial" w:hAnsi="Arial"/>
                <w:noProof/>
              </w:rPr>
              <w:t>2.1 Workforce &amp; Human Capital</w:t>
            </w:r>
            <w:r>
              <w:rPr>
                <w:noProof/>
                <w:webHidden/>
              </w:rPr>
              <w:tab/>
            </w:r>
            <w:r>
              <w:rPr>
                <w:noProof/>
                <w:webHidden/>
              </w:rPr>
              <w:fldChar w:fldCharType="begin"/>
            </w:r>
            <w:r>
              <w:rPr>
                <w:noProof/>
                <w:webHidden/>
              </w:rPr>
              <w:instrText xml:space="preserve"> PAGEREF _Toc232152608 \h </w:instrText>
            </w:r>
            <w:r>
              <w:rPr>
                <w:noProof/>
                <w:webHidden/>
              </w:rPr>
            </w:r>
            <w:r>
              <w:rPr>
                <w:noProof/>
                <w:webHidden/>
              </w:rPr>
              <w:fldChar w:fldCharType="separate"/>
            </w:r>
            <w:r>
              <w:rPr>
                <w:noProof/>
                <w:webHidden/>
              </w:rPr>
              <w:t>51</w:t>
            </w:r>
            <w:r>
              <w:rPr>
                <w:noProof/>
                <w:webHidden/>
              </w:rPr>
              <w:fldChar w:fldCharType="end"/>
            </w:r>
          </w:hyperlink>
        </w:p>
        <w:p w14:paraId="5C882BB7" w14:textId="6D3F72E1" w:rsidR="00174992" w:rsidRDefault="00174992">
          <w:pPr>
            <w:pStyle w:val="TOC3"/>
            <w:tabs>
              <w:tab w:val="right" w:leader="dot" w:pos="9019"/>
            </w:tabs>
            <w:rPr>
              <w:noProof/>
            </w:rPr>
          </w:pPr>
          <w:hyperlink w:anchor="_Toc232152609" w:history="1">
            <w:r w:rsidRPr="00736CC6">
              <w:rPr>
                <w:rStyle w:val="Hyperlink"/>
                <w:rFonts w:ascii="Arial" w:hAnsi="Arial"/>
                <w:noProof/>
              </w:rPr>
              <w:t>Workforce Overview</w:t>
            </w:r>
            <w:r>
              <w:rPr>
                <w:noProof/>
                <w:webHidden/>
              </w:rPr>
              <w:tab/>
            </w:r>
            <w:r>
              <w:rPr>
                <w:noProof/>
                <w:webHidden/>
              </w:rPr>
              <w:fldChar w:fldCharType="begin"/>
            </w:r>
            <w:r>
              <w:rPr>
                <w:noProof/>
                <w:webHidden/>
              </w:rPr>
              <w:instrText xml:space="preserve"> PAGEREF _Toc232152609 \h </w:instrText>
            </w:r>
            <w:r>
              <w:rPr>
                <w:noProof/>
                <w:webHidden/>
              </w:rPr>
            </w:r>
            <w:r>
              <w:rPr>
                <w:noProof/>
                <w:webHidden/>
              </w:rPr>
              <w:fldChar w:fldCharType="separate"/>
            </w:r>
            <w:r>
              <w:rPr>
                <w:noProof/>
                <w:webHidden/>
              </w:rPr>
              <w:t>51</w:t>
            </w:r>
            <w:r>
              <w:rPr>
                <w:noProof/>
                <w:webHidden/>
              </w:rPr>
              <w:fldChar w:fldCharType="end"/>
            </w:r>
          </w:hyperlink>
        </w:p>
        <w:p w14:paraId="6F01F9D9" w14:textId="1140667F" w:rsidR="00174992" w:rsidRDefault="00174992">
          <w:pPr>
            <w:pStyle w:val="TOC3"/>
            <w:tabs>
              <w:tab w:val="right" w:leader="dot" w:pos="9019"/>
            </w:tabs>
            <w:rPr>
              <w:noProof/>
            </w:rPr>
          </w:pPr>
          <w:hyperlink w:anchor="_Toc232152610" w:history="1">
            <w:r w:rsidRPr="00736CC6">
              <w:rPr>
                <w:rStyle w:val="Hyperlink"/>
                <w:rFonts w:ascii="Arial" w:hAnsi="Arial"/>
                <w:noProof/>
              </w:rPr>
              <w:t>Employment Practices</w:t>
            </w:r>
            <w:r>
              <w:rPr>
                <w:noProof/>
                <w:webHidden/>
              </w:rPr>
              <w:tab/>
            </w:r>
            <w:r>
              <w:rPr>
                <w:noProof/>
                <w:webHidden/>
              </w:rPr>
              <w:fldChar w:fldCharType="begin"/>
            </w:r>
            <w:r>
              <w:rPr>
                <w:noProof/>
                <w:webHidden/>
              </w:rPr>
              <w:instrText xml:space="preserve"> PAGEREF _Toc232152610 \h </w:instrText>
            </w:r>
            <w:r>
              <w:rPr>
                <w:noProof/>
                <w:webHidden/>
              </w:rPr>
            </w:r>
            <w:r>
              <w:rPr>
                <w:noProof/>
                <w:webHidden/>
              </w:rPr>
              <w:fldChar w:fldCharType="separate"/>
            </w:r>
            <w:r>
              <w:rPr>
                <w:noProof/>
                <w:webHidden/>
              </w:rPr>
              <w:t>51</w:t>
            </w:r>
            <w:r>
              <w:rPr>
                <w:noProof/>
                <w:webHidden/>
              </w:rPr>
              <w:fldChar w:fldCharType="end"/>
            </w:r>
          </w:hyperlink>
        </w:p>
        <w:p w14:paraId="39DAE907" w14:textId="5F399BF4" w:rsidR="00174992" w:rsidRDefault="00174992">
          <w:pPr>
            <w:pStyle w:val="TOC3"/>
            <w:tabs>
              <w:tab w:val="right" w:leader="dot" w:pos="9019"/>
            </w:tabs>
            <w:rPr>
              <w:noProof/>
            </w:rPr>
          </w:pPr>
          <w:hyperlink w:anchor="_Toc232152611" w:history="1">
            <w:r w:rsidRPr="00736CC6">
              <w:rPr>
                <w:rStyle w:val="Hyperlink"/>
                <w:rFonts w:ascii="Arial" w:hAnsi="Arial"/>
                <w:noProof/>
              </w:rPr>
              <w:t>Training and Development</w:t>
            </w:r>
            <w:r>
              <w:rPr>
                <w:noProof/>
                <w:webHidden/>
              </w:rPr>
              <w:tab/>
            </w:r>
            <w:r>
              <w:rPr>
                <w:noProof/>
                <w:webHidden/>
              </w:rPr>
              <w:fldChar w:fldCharType="begin"/>
            </w:r>
            <w:r>
              <w:rPr>
                <w:noProof/>
                <w:webHidden/>
              </w:rPr>
              <w:instrText xml:space="preserve"> PAGEREF _Toc232152611 \h </w:instrText>
            </w:r>
            <w:r>
              <w:rPr>
                <w:noProof/>
                <w:webHidden/>
              </w:rPr>
            </w:r>
            <w:r>
              <w:rPr>
                <w:noProof/>
                <w:webHidden/>
              </w:rPr>
              <w:fldChar w:fldCharType="separate"/>
            </w:r>
            <w:r>
              <w:rPr>
                <w:noProof/>
                <w:webHidden/>
              </w:rPr>
              <w:t>51</w:t>
            </w:r>
            <w:r>
              <w:rPr>
                <w:noProof/>
                <w:webHidden/>
              </w:rPr>
              <w:fldChar w:fldCharType="end"/>
            </w:r>
          </w:hyperlink>
        </w:p>
        <w:p w14:paraId="1E2A7A4D" w14:textId="42337876" w:rsidR="00174992" w:rsidRDefault="00174992">
          <w:pPr>
            <w:pStyle w:val="TOC3"/>
            <w:tabs>
              <w:tab w:val="right" w:leader="dot" w:pos="9019"/>
            </w:tabs>
            <w:rPr>
              <w:noProof/>
            </w:rPr>
          </w:pPr>
          <w:hyperlink w:anchor="_Toc232152612" w:history="1">
            <w:r w:rsidRPr="00736CC6">
              <w:rPr>
                <w:rStyle w:val="Hyperlink"/>
                <w:rFonts w:ascii="Arial" w:hAnsi="Arial"/>
                <w:noProof/>
              </w:rPr>
              <w:t>Diversity and Equal Opportunity</w:t>
            </w:r>
            <w:r>
              <w:rPr>
                <w:noProof/>
                <w:webHidden/>
              </w:rPr>
              <w:tab/>
            </w:r>
            <w:r>
              <w:rPr>
                <w:noProof/>
                <w:webHidden/>
              </w:rPr>
              <w:fldChar w:fldCharType="begin"/>
            </w:r>
            <w:r>
              <w:rPr>
                <w:noProof/>
                <w:webHidden/>
              </w:rPr>
              <w:instrText xml:space="preserve"> PAGEREF _Toc232152612 \h </w:instrText>
            </w:r>
            <w:r>
              <w:rPr>
                <w:noProof/>
                <w:webHidden/>
              </w:rPr>
            </w:r>
            <w:r>
              <w:rPr>
                <w:noProof/>
                <w:webHidden/>
              </w:rPr>
              <w:fldChar w:fldCharType="separate"/>
            </w:r>
            <w:r>
              <w:rPr>
                <w:noProof/>
                <w:webHidden/>
              </w:rPr>
              <w:t>52</w:t>
            </w:r>
            <w:r>
              <w:rPr>
                <w:noProof/>
                <w:webHidden/>
              </w:rPr>
              <w:fldChar w:fldCharType="end"/>
            </w:r>
          </w:hyperlink>
        </w:p>
        <w:p w14:paraId="5EA29DC2" w14:textId="7CF26E22" w:rsidR="00174992" w:rsidRDefault="00174992">
          <w:pPr>
            <w:pStyle w:val="TOC3"/>
            <w:tabs>
              <w:tab w:val="right" w:leader="dot" w:pos="9019"/>
            </w:tabs>
            <w:rPr>
              <w:noProof/>
            </w:rPr>
          </w:pPr>
          <w:hyperlink w:anchor="_Toc232152613" w:history="1">
            <w:r w:rsidRPr="00736CC6">
              <w:rPr>
                <w:rStyle w:val="Hyperlink"/>
                <w:rFonts w:ascii="Arial" w:hAnsi="Arial"/>
                <w:noProof/>
              </w:rPr>
              <w:t>Non-Discrimination and Grievance Mechanisms</w:t>
            </w:r>
            <w:r>
              <w:rPr>
                <w:noProof/>
                <w:webHidden/>
              </w:rPr>
              <w:tab/>
            </w:r>
            <w:r>
              <w:rPr>
                <w:noProof/>
                <w:webHidden/>
              </w:rPr>
              <w:fldChar w:fldCharType="begin"/>
            </w:r>
            <w:r>
              <w:rPr>
                <w:noProof/>
                <w:webHidden/>
              </w:rPr>
              <w:instrText xml:space="preserve"> PAGEREF _Toc232152613 \h </w:instrText>
            </w:r>
            <w:r>
              <w:rPr>
                <w:noProof/>
                <w:webHidden/>
              </w:rPr>
            </w:r>
            <w:r>
              <w:rPr>
                <w:noProof/>
                <w:webHidden/>
              </w:rPr>
              <w:fldChar w:fldCharType="separate"/>
            </w:r>
            <w:r>
              <w:rPr>
                <w:noProof/>
                <w:webHidden/>
              </w:rPr>
              <w:t>52</w:t>
            </w:r>
            <w:r>
              <w:rPr>
                <w:noProof/>
                <w:webHidden/>
              </w:rPr>
              <w:fldChar w:fldCharType="end"/>
            </w:r>
          </w:hyperlink>
        </w:p>
        <w:p w14:paraId="1F8B07C0" w14:textId="46E1BA32" w:rsidR="00174992" w:rsidRDefault="00174992">
          <w:pPr>
            <w:pStyle w:val="TOC1"/>
            <w:tabs>
              <w:tab w:val="right" w:leader="dot" w:pos="9019"/>
            </w:tabs>
            <w:rPr>
              <w:noProof/>
            </w:rPr>
          </w:pPr>
          <w:hyperlink w:anchor="_Toc232152614" w:history="1">
            <w:r w:rsidRPr="00736CC6">
              <w:rPr>
                <w:rStyle w:val="Hyperlink"/>
                <w:rFonts w:ascii="Arial" w:hAnsi="Arial"/>
                <w:noProof/>
              </w:rPr>
              <w:t>Governance &amp; Strategy</w:t>
            </w:r>
            <w:r>
              <w:rPr>
                <w:noProof/>
                <w:webHidden/>
              </w:rPr>
              <w:tab/>
            </w:r>
            <w:r>
              <w:rPr>
                <w:noProof/>
                <w:webHidden/>
              </w:rPr>
              <w:fldChar w:fldCharType="begin"/>
            </w:r>
            <w:r>
              <w:rPr>
                <w:noProof/>
                <w:webHidden/>
              </w:rPr>
              <w:instrText xml:space="preserve"> PAGEREF _Toc232152614 \h </w:instrText>
            </w:r>
            <w:r>
              <w:rPr>
                <w:noProof/>
                <w:webHidden/>
              </w:rPr>
            </w:r>
            <w:r>
              <w:rPr>
                <w:noProof/>
                <w:webHidden/>
              </w:rPr>
              <w:fldChar w:fldCharType="separate"/>
            </w:r>
            <w:r>
              <w:rPr>
                <w:noProof/>
                <w:webHidden/>
              </w:rPr>
              <w:t>61</w:t>
            </w:r>
            <w:r>
              <w:rPr>
                <w:noProof/>
                <w:webHidden/>
              </w:rPr>
              <w:fldChar w:fldCharType="end"/>
            </w:r>
          </w:hyperlink>
        </w:p>
        <w:p w14:paraId="33B51649" w14:textId="0B2D6D1B" w:rsidR="00174992" w:rsidRDefault="00174992">
          <w:pPr>
            <w:pStyle w:val="TOC2"/>
            <w:tabs>
              <w:tab w:val="right" w:leader="dot" w:pos="9019"/>
            </w:tabs>
            <w:rPr>
              <w:noProof/>
            </w:rPr>
          </w:pPr>
          <w:hyperlink w:anchor="_Toc232152615" w:history="1">
            <w:r w:rsidRPr="00736CC6">
              <w:rPr>
                <w:rStyle w:val="Hyperlink"/>
                <w:rFonts w:ascii="Arial" w:hAnsi="Arial"/>
                <w:noProof/>
              </w:rPr>
              <w:t>3.1 Climate Governance &amp; ESG Oversight</w:t>
            </w:r>
            <w:r>
              <w:rPr>
                <w:noProof/>
                <w:webHidden/>
              </w:rPr>
              <w:tab/>
            </w:r>
            <w:r>
              <w:rPr>
                <w:noProof/>
                <w:webHidden/>
              </w:rPr>
              <w:fldChar w:fldCharType="begin"/>
            </w:r>
            <w:r>
              <w:rPr>
                <w:noProof/>
                <w:webHidden/>
              </w:rPr>
              <w:instrText xml:space="preserve"> PAGEREF _Toc232152615 \h </w:instrText>
            </w:r>
            <w:r>
              <w:rPr>
                <w:noProof/>
                <w:webHidden/>
              </w:rPr>
            </w:r>
            <w:r>
              <w:rPr>
                <w:noProof/>
                <w:webHidden/>
              </w:rPr>
              <w:fldChar w:fldCharType="separate"/>
            </w:r>
            <w:r>
              <w:rPr>
                <w:noProof/>
                <w:webHidden/>
              </w:rPr>
              <w:t>61</w:t>
            </w:r>
            <w:r>
              <w:rPr>
                <w:noProof/>
                <w:webHidden/>
              </w:rPr>
              <w:fldChar w:fldCharType="end"/>
            </w:r>
          </w:hyperlink>
        </w:p>
        <w:p w14:paraId="4524B793" w14:textId="1114E9E6" w:rsidR="00174992" w:rsidRDefault="00174992">
          <w:pPr>
            <w:pStyle w:val="TOC3"/>
            <w:tabs>
              <w:tab w:val="right" w:leader="dot" w:pos="9019"/>
            </w:tabs>
            <w:rPr>
              <w:noProof/>
            </w:rPr>
          </w:pPr>
          <w:hyperlink w:anchor="_Toc232152616" w:history="1">
            <w:r w:rsidRPr="00736CC6">
              <w:rPr>
                <w:rStyle w:val="Hyperlink"/>
                <w:rFonts w:ascii="Arial" w:hAnsi="Arial"/>
                <w:noProof/>
              </w:rPr>
              <w:t>Governance Infrastructure Gap Analysis</w:t>
            </w:r>
            <w:r>
              <w:rPr>
                <w:noProof/>
                <w:webHidden/>
              </w:rPr>
              <w:tab/>
            </w:r>
            <w:r>
              <w:rPr>
                <w:noProof/>
                <w:webHidden/>
              </w:rPr>
              <w:fldChar w:fldCharType="begin"/>
            </w:r>
            <w:r>
              <w:rPr>
                <w:noProof/>
                <w:webHidden/>
              </w:rPr>
              <w:instrText xml:space="preserve"> PAGEREF _Toc232152616 \h </w:instrText>
            </w:r>
            <w:r>
              <w:rPr>
                <w:noProof/>
                <w:webHidden/>
              </w:rPr>
            </w:r>
            <w:r>
              <w:rPr>
                <w:noProof/>
                <w:webHidden/>
              </w:rPr>
              <w:fldChar w:fldCharType="separate"/>
            </w:r>
            <w:r>
              <w:rPr>
                <w:noProof/>
                <w:webHidden/>
              </w:rPr>
              <w:t>61</w:t>
            </w:r>
            <w:r>
              <w:rPr>
                <w:noProof/>
                <w:webHidden/>
              </w:rPr>
              <w:fldChar w:fldCharType="end"/>
            </w:r>
          </w:hyperlink>
        </w:p>
        <w:p w14:paraId="2CA36010" w14:textId="2E9D7693" w:rsidR="00174992" w:rsidRDefault="00174992">
          <w:pPr>
            <w:pStyle w:val="TOC3"/>
            <w:tabs>
              <w:tab w:val="right" w:leader="dot" w:pos="9019"/>
            </w:tabs>
            <w:rPr>
              <w:noProof/>
            </w:rPr>
          </w:pPr>
          <w:hyperlink w:anchor="_Toc232152617" w:history="1">
            <w:r w:rsidRPr="00736CC6">
              <w:rPr>
                <w:rStyle w:val="Hyperlink"/>
                <w:rFonts w:ascii="Arial" w:hAnsi="Arial"/>
                <w:noProof/>
              </w:rPr>
              <w:t>Framework Requirements and Current Status</w:t>
            </w:r>
            <w:r>
              <w:rPr>
                <w:noProof/>
                <w:webHidden/>
              </w:rPr>
              <w:tab/>
            </w:r>
            <w:r>
              <w:rPr>
                <w:noProof/>
                <w:webHidden/>
              </w:rPr>
              <w:fldChar w:fldCharType="begin"/>
            </w:r>
            <w:r>
              <w:rPr>
                <w:noProof/>
                <w:webHidden/>
              </w:rPr>
              <w:instrText xml:space="preserve"> PAGEREF _Toc232152617 \h </w:instrText>
            </w:r>
            <w:r>
              <w:rPr>
                <w:noProof/>
                <w:webHidden/>
              </w:rPr>
            </w:r>
            <w:r>
              <w:rPr>
                <w:noProof/>
                <w:webHidden/>
              </w:rPr>
              <w:fldChar w:fldCharType="separate"/>
            </w:r>
            <w:r>
              <w:rPr>
                <w:noProof/>
                <w:webHidden/>
              </w:rPr>
              <w:t>61</w:t>
            </w:r>
            <w:r>
              <w:rPr>
                <w:noProof/>
                <w:webHidden/>
              </w:rPr>
              <w:fldChar w:fldCharType="end"/>
            </w:r>
          </w:hyperlink>
        </w:p>
        <w:p w14:paraId="12A9219A" w14:textId="08493ACD" w:rsidR="00174992" w:rsidRDefault="00174992">
          <w:pPr>
            <w:pStyle w:val="TOC3"/>
            <w:tabs>
              <w:tab w:val="right" w:leader="dot" w:pos="9019"/>
            </w:tabs>
            <w:rPr>
              <w:noProof/>
            </w:rPr>
          </w:pPr>
          <w:hyperlink w:anchor="_Toc232152618" w:history="1">
            <w:r w:rsidRPr="00736CC6">
              <w:rPr>
                <w:rStyle w:val="Hyperlink"/>
                <w:rFonts w:ascii="Arial" w:hAnsi="Arial"/>
                <w:noProof/>
              </w:rPr>
              <w:t>Peer Bank Governance Benchmarks</w:t>
            </w:r>
            <w:r>
              <w:rPr>
                <w:noProof/>
                <w:webHidden/>
              </w:rPr>
              <w:tab/>
            </w:r>
            <w:r>
              <w:rPr>
                <w:noProof/>
                <w:webHidden/>
              </w:rPr>
              <w:fldChar w:fldCharType="begin"/>
            </w:r>
            <w:r>
              <w:rPr>
                <w:noProof/>
                <w:webHidden/>
              </w:rPr>
              <w:instrText xml:space="preserve"> PAGEREF _Toc232152618 \h </w:instrText>
            </w:r>
            <w:r>
              <w:rPr>
                <w:noProof/>
                <w:webHidden/>
              </w:rPr>
            </w:r>
            <w:r>
              <w:rPr>
                <w:noProof/>
                <w:webHidden/>
              </w:rPr>
              <w:fldChar w:fldCharType="separate"/>
            </w:r>
            <w:r>
              <w:rPr>
                <w:noProof/>
                <w:webHidden/>
              </w:rPr>
              <w:t>62</w:t>
            </w:r>
            <w:r>
              <w:rPr>
                <w:noProof/>
                <w:webHidden/>
              </w:rPr>
              <w:fldChar w:fldCharType="end"/>
            </w:r>
          </w:hyperlink>
        </w:p>
        <w:p w14:paraId="7D7AD7F9" w14:textId="45180EB5" w:rsidR="00174992" w:rsidRDefault="00174992">
          <w:pPr>
            <w:pStyle w:val="TOC3"/>
            <w:tabs>
              <w:tab w:val="right" w:leader="dot" w:pos="9019"/>
            </w:tabs>
            <w:rPr>
              <w:noProof/>
            </w:rPr>
          </w:pPr>
          <w:hyperlink w:anchor="_Toc232152619" w:history="1">
            <w:r w:rsidRPr="00736CC6">
              <w:rPr>
                <w:rStyle w:val="Hyperlink"/>
                <w:rFonts w:ascii="Arial" w:hAnsi="Arial"/>
                <w:noProof/>
              </w:rPr>
              <w:t>Recommended Governance Infrastructure</w:t>
            </w:r>
            <w:r>
              <w:rPr>
                <w:noProof/>
                <w:webHidden/>
              </w:rPr>
              <w:tab/>
            </w:r>
            <w:r>
              <w:rPr>
                <w:noProof/>
                <w:webHidden/>
              </w:rPr>
              <w:fldChar w:fldCharType="begin"/>
            </w:r>
            <w:r>
              <w:rPr>
                <w:noProof/>
                <w:webHidden/>
              </w:rPr>
              <w:instrText xml:space="preserve"> PAGEREF _Toc232152619 \h </w:instrText>
            </w:r>
            <w:r>
              <w:rPr>
                <w:noProof/>
                <w:webHidden/>
              </w:rPr>
            </w:r>
            <w:r>
              <w:rPr>
                <w:noProof/>
                <w:webHidden/>
              </w:rPr>
              <w:fldChar w:fldCharType="separate"/>
            </w:r>
            <w:r>
              <w:rPr>
                <w:noProof/>
                <w:webHidden/>
              </w:rPr>
              <w:t>62</w:t>
            </w:r>
            <w:r>
              <w:rPr>
                <w:noProof/>
                <w:webHidden/>
              </w:rPr>
              <w:fldChar w:fldCharType="end"/>
            </w:r>
          </w:hyperlink>
        </w:p>
        <w:p w14:paraId="6CBC7326" w14:textId="590F2BF6" w:rsidR="00174992" w:rsidRDefault="00174992">
          <w:pPr>
            <w:pStyle w:val="TOC3"/>
            <w:tabs>
              <w:tab w:val="right" w:leader="dot" w:pos="9019"/>
            </w:tabs>
            <w:rPr>
              <w:noProof/>
            </w:rPr>
          </w:pPr>
          <w:hyperlink w:anchor="_Toc232152620" w:history="1">
            <w:r w:rsidRPr="00736CC6">
              <w:rPr>
                <w:rStyle w:val="Hyperlink"/>
                <w:rFonts w:ascii="Arial" w:hAnsi="Arial"/>
                <w:noProof/>
              </w:rPr>
              <w:t>Implementation Timeline and Milestones</w:t>
            </w:r>
            <w:r>
              <w:rPr>
                <w:noProof/>
                <w:webHidden/>
              </w:rPr>
              <w:tab/>
            </w:r>
            <w:r>
              <w:rPr>
                <w:noProof/>
                <w:webHidden/>
              </w:rPr>
              <w:fldChar w:fldCharType="begin"/>
            </w:r>
            <w:r>
              <w:rPr>
                <w:noProof/>
                <w:webHidden/>
              </w:rPr>
              <w:instrText xml:space="preserve"> PAGEREF _Toc232152620 \h </w:instrText>
            </w:r>
            <w:r>
              <w:rPr>
                <w:noProof/>
                <w:webHidden/>
              </w:rPr>
            </w:r>
            <w:r>
              <w:rPr>
                <w:noProof/>
                <w:webHidden/>
              </w:rPr>
              <w:fldChar w:fldCharType="separate"/>
            </w:r>
            <w:r>
              <w:rPr>
                <w:noProof/>
                <w:webHidden/>
              </w:rPr>
              <w:t>63</w:t>
            </w:r>
            <w:r>
              <w:rPr>
                <w:noProof/>
                <w:webHidden/>
              </w:rPr>
              <w:fldChar w:fldCharType="end"/>
            </w:r>
          </w:hyperlink>
        </w:p>
        <w:p w14:paraId="149A7736" w14:textId="15939749" w:rsidR="00174992" w:rsidRDefault="00174992">
          <w:pPr>
            <w:pStyle w:val="TOC2"/>
            <w:tabs>
              <w:tab w:val="right" w:leader="dot" w:pos="9019"/>
            </w:tabs>
            <w:rPr>
              <w:noProof/>
            </w:rPr>
          </w:pPr>
          <w:hyperlink w:anchor="_Toc232152621" w:history="1">
            <w:r w:rsidRPr="00736CC6">
              <w:rPr>
                <w:rStyle w:val="Hyperlink"/>
                <w:rFonts w:ascii="Arial" w:hAnsi="Arial"/>
                <w:noProof/>
              </w:rPr>
              <w:t>3.2 Climate Targets &amp; Transition Plan</w:t>
            </w:r>
            <w:r>
              <w:rPr>
                <w:noProof/>
                <w:webHidden/>
              </w:rPr>
              <w:tab/>
            </w:r>
            <w:r>
              <w:rPr>
                <w:noProof/>
                <w:webHidden/>
              </w:rPr>
              <w:fldChar w:fldCharType="begin"/>
            </w:r>
            <w:r>
              <w:rPr>
                <w:noProof/>
                <w:webHidden/>
              </w:rPr>
              <w:instrText xml:space="preserve"> PAGEREF _Toc232152621 \h </w:instrText>
            </w:r>
            <w:r>
              <w:rPr>
                <w:noProof/>
                <w:webHidden/>
              </w:rPr>
            </w:r>
            <w:r>
              <w:rPr>
                <w:noProof/>
                <w:webHidden/>
              </w:rPr>
              <w:fldChar w:fldCharType="separate"/>
            </w:r>
            <w:r>
              <w:rPr>
                <w:noProof/>
                <w:webHidden/>
              </w:rPr>
              <w:t>69</w:t>
            </w:r>
            <w:r>
              <w:rPr>
                <w:noProof/>
                <w:webHidden/>
              </w:rPr>
              <w:fldChar w:fldCharType="end"/>
            </w:r>
          </w:hyperlink>
        </w:p>
        <w:p w14:paraId="04DC1695" w14:textId="07A233EE" w:rsidR="00174992" w:rsidRDefault="00174992">
          <w:pPr>
            <w:pStyle w:val="TOC3"/>
            <w:tabs>
              <w:tab w:val="right" w:leader="dot" w:pos="9019"/>
            </w:tabs>
            <w:rPr>
              <w:noProof/>
            </w:rPr>
          </w:pPr>
          <w:hyperlink w:anchor="_Toc232152622" w:history="1">
            <w:r w:rsidRPr="00736CC6">
              <w:rPr>
                <w:rStyle w:val="Hyperlink"/>
                <w:rFonts w:ascii="Arial" w:hAnsi="Arial"/>
                <w:noProof/>
              </w:rPr>
              <w:t>Framework Requirements for Climate Target-Setting</w:t>
            </w:r>
            <w:r>
              <w:rPr>
                <w:noProof/>
                <w:webHidden/>
              </w:rPr>
              <w:tab/>
            </w:r>
            <w:r>
              <w:rPr>
                <w:noProof/>
                <w:webHidden/>
              </w:rPr>
              <w:fldChar w:fldCharType="begin"/>
            </w:r>
            <w:r>
              <w:rPr>
                <w:noProof/>
                <w:webHidden/>
              </w:rPr>
              <w:instrText xml:space="preserve"> PAGEREF _Toc232152622 \h </w:instrText>
            </w:r>
            <w:r>
              <w:rPr>
                <w:noProof/>
                <w:webHidden/>
              </w:rPr>
            </w:r>
            <w:r>
              <w:rPr>
                <w:noProof/>
                <w:webHidden/>
              </w:rPr>
              <w:fldChar w:fldCharType="separate"/>
            </w:r>
            <w:r>
              <w:rPr>
                <w:noProof/>
                <w:webHidden/>
              </w:rPr>
              <w:t>69</w:t>
            </w:r>
            <w:r>
              <w:rPr>
                <w:noProof/>
                <w:webHidden/>
              </w:rPr>
              <w:fldChar w:fldCharType="end"/>
            </w:r>
          </w:hyperlink>
        </w:p>
        <w:p w14:paraId="0A5AFBF1" w14:textId="74FED7F1" w:rsidR="00174992" w:rsidRDefault="00174992">
          <w:pPr>
            <w:pStyle w:val="TOC3"/>
            <w:tabs>
              <w:tab w:val="right" w:leader="dot" w:pos="9019"/>
            </w:tabs>
            <w:rPr>
              <w:noProof/>
            </w:rPr>
          </w:pPr>
          <w:hyperlink w:anchor="_Toc232152623" w:history="1">
            <w:r w:rsidRPr="00736CC6">
              <w:rPr>
                <w:rStyle w:val="Hyperlink"/>
                <w:rFonts w:ascii="Arial" w:hAnsi="Arial"/>
                <w:noProof/>
              </w:rPr>
              <w:t>Strategic Imperative for Target-Setting</w:t>
            </w:r>
            <w:r>
              <w:rPr>
                <w:noProof/>
                <w:webHidden/>
              </w:rPr>
              <w:tab/>
            </w:r>
            <w:r>
              <w:rPr>
                <w:noProof/>
                <w:webHidden/>
              </w:rPr>
              <w:fldChar w:fldCharType="begin"/>
            </w:r>
            <w:r>
              <w:rPr>
                <w:noProof/>
                <w:webHidden/>
              </w:rPr>
              <w:instrText xml:space="preserve"> PAGEREF _Toc232152623 \h </w:instrText>
            </w:r>
            <w:r>
              <w:rPr>
                <w:noProof/>
                <w:webHidden/>
              </w:rPr>
            </w:r>
            <w:r>
              <w:rPr>
                <w:noProof/>
                <w:webHidden/>
              </w:rPr>
              <w:fldChar w:fldCharType="separate"/>
            </w:r>
            <w:r>
              <w:rPr>
                <w:noProof/>
                <w:webHidden/>
              </w:rPr>
              <w:t>70</w:t>
            </w:r>
            <w:r>
              <w:rPr>
                <w:noProof/>
                <w:webHidden/>
              </w:rPr>
              <w:fldChar w:fldCharType="end"/>
            </w:r>
          </w:hyperlink>
        </w:p>
        <w:p w14:paraId="5F800DA9" w14:textId="2F971C12" w:rsidR="00174992" w:rsidRDefault="00174992">
          <w:pPr>
            <w:pStyle w:val="TOC3"/>
            <w:tabs>
              <w:tab w:val="right" w:leader="dot" w:pos="9019"/>
            </w:tabs>
            <w:rPr>
              <w:noProof/>
            </w:rPr>
          </w:pPr>
          <w:hyperlink w:anchor="_Toc232152624" w:history="1">
            <w:r w:rsidRPr="00736CC6">
              <w:rPr>
                <w:rStyle w:val="Hyperlink"/>
                <w:rFonts w:ascii="Arial" w:hAnsi="Arial"/>
                <w:noProof/>
              </w:rPr>
              <w:t>Peer Institution Target Benchmarks</w:t>
            </w:r>
            <w:r>
              <w:rPr>
                <w:noProof/>
                <w:webHidden/>
              </w:rPr>
              <w:tab/>
            </w:r>
            <w:r>
              <w:rPr>
                <w:noProof/>
                <w:webHidden/>
              </w:rPr>
              <w:fldChar w:fldCharType="begin"/>
            </w:r>
            <w:r>
              <w:rPr>
                <w:noProof/>
                <w:webHidden/>
              </w:rPr>
              <w:instrText xml:space="preserve"> PAGEREF _Toc232152624 \h </w:instrText>
            </w:r>
            <w:r>
              <w:rPr>
                <w:noProof/>
                <w:webHidden/>
              </w:rPr>
            </w:r>
            <w:r>
              <w:rPr>
                <w:noProof/>
                <w:webHidden/>
              </w:rPr>
              <w:fldChar w:fldCharType="separate"/>
            </w:r>
            <w:r>
              <w:rPr>
                <w:noProof/>
                <w:webHidden/>
              </w:rPr>
              <w:t>70</w:t>
            </w:r>
            <w:r>
              <w:rPr>
                <w:noProof/>
                <w:webHidden/>
              </w:rPr>
              <w:fldChar w:fldCharType="end"/>
            </w:r>
          </w:hyperlink>
        </w:p>
        <w:p w14:paraId="4E9906AD" w14:textId="0BFD5F67" w:rsidR="00174992" w:rsidRDefault="00174992">
          <w:pPr>
            <w:pStyle w:val="TOC3"/>
            <w:tabs>
              <w:tab w:val="right" w:leader="dot" w:pos="9019"/>
            </w:tabs>
            <w:rPr>
              <w:noProof/>
            </w:rPr>
          </w:pPr>
          <w:hyperlink w:anchor="_Toc232152625" w:history="1">
            <w:r w:rsidRPr="00736CC6">
              <w:rPr>
                <w:rStyle w:val="Hyperlink"/>
                <w:rFonts w:ascii="Arial" w:hAnsi="Arial"/>
                <w:noProof/>
              </w:rPr>
              <w:t>Recommended Target-Setting Roadmap</w:t>
            </w:r>
            <w:r>
              <w:rPr>
                <w:noProof/>
                <w:webHidden/>
              </w:rPr>
              <w:tab/>
            </w:r>
            <w:r>
              <w:rPr>
                <w:noProof/>
                <w:webHidden/>
              </w:rPr>
              <w:fldChar w:fldCharType="begin"/>
            </w:r>
            <w:r>
              <w:rPr>
                <w:noProof/>
                <w:webHidden/>
              </w:rPr>
              <w:instrText xml:space="preserve"> PAGEREF _Toc232152625 \h </w:instrText>
            </w:r>
            <w:r>
              <w:rPr>
                <w:noProof/>
                <w:webHidden/>
              </w:rPr>
            </w:r>
            <w:r>
              <w:rPr>
                <w:noProof/>
                <w:webHidden/>
              </w:rPr>
              <w:fldChar w:fldCharType="separate"/>
            </w:r>
            <w:r>
              <w:rPr>
                <w:noProof/>
                <w:webHidden/>
              </w:rPr>
              <w:t>70</w:t>
            </w:r>
            <w:r>
              <w:rPr>
                <w:noProof/>
                <w:webHidden/>
              </w:rPr>
              <w:fldChar w:fldCharType="end"/>
            </w:r>
          </w:hyperlink>
        </w:p>
        <w:p w14:paraId="5FA20578" w14:textId="7B2FD7BD" w:rsidR="00174992" w:rsidRDefault="00174992">
          <w:pPr>
            <w:pStyle w:val="TOC3"/>
            <w:tabs>
              <w:tab w:val="right" w:leader="dot" w:pos="9019"/>
            </w:tabs>
            <w:rPr>
              <w:noProof/>
            </w:rPr>
          </w:pPr>
          <w:hyperlink w:anchor="_Toc232152626" w:history="1">
            <w:r w:rsidRPr="00736CC6">
              <w:rPr>
                <w:rStyle w:val="Hyperlink"/>
                <w:rFonts w:ascii="Arial" w:hAnsi="Arial"/>
                <w:noProof/>
              </w:rPr>
              <w:t>Decarbonization Levers for Operational Emissions</w:t>
            </w:r>
            <w:r>
              <w:rPr>
                <w:noProof/>
                <w:webHidden/>
              </w:rPr>
              <w:tab/>
            </w:r>
            <w:r>
              <w:rPr>
                <w:noProof/>
                <w:webHidden/>
              </w:rPr>
              <w:fldChar w:fldCharType="begin"/>
            </w:r>
            <w:r>
              <w:rPr>
                <w:noProof/>
                <w:webHidden/>
              </w:rPr>
              <w:instrText xml:space="preserve"> PAGEREF _Toc232152626 \h </w:instrText>
            </w:r>
            <w:r>
              <w:rPr>
                <w:noProof/>
                <w:webHidden/>
              </w:rPr>
            </w:r>
            <w:r>
              <w:rPr>
                <w:noProof/>
                <w:webHidden/>
              </w:rPr>
              <w:fldChar w:fldCharType="separate"/>
            </w:r>
            <w:r>
              <w:rPr>
                <w:noProof/>
                <w:webHidden/>
              </w:rPr>
              <w:t>71</w:t>
            </w:r>
            <w:r>
              <w:rPr>
                <w:noProof/>
                <w:webHidden/>
              </w:rPr>
              <w:fldChar w:fldCharType="end"/>
            </w:r>
          </w:hyperlink>
        </w:p>
        <w:p w14:paraId="65B8B8A3" w14:textId="0FDDFB11" w:rsidR="00174992" w:rsidRDefault="00174992">
          <w:pPr>
            <w:pStyle w:val="TOC3"/>
            <w:tabs>
              <w:tab w:val="right" w:leader="dot" w:pos="9019"/>
            </w:tabs>
            <w:rPr>
              <w:noProof/>
            </w:rPr>
          </w:pPr>
          <w:hyperlink w:anchor="_Toc232152627" w:history="1">
            <w:r w:rsidRPr="00736CC6">
              <w:rPr>
                <w:rStyle w:val="Hyperlink"/>
                <w:rFonts w:ascii="Arial" w:hAnsi="Arial"/>
                <w:noProof/>
              </w:rPr>
              <w:t>Decarbonization Levers for Financed Emissions</w:t>
            </w:r>
            <w:r>
              <w:rPr>
                <w:noProof/>
                <w:webHidden/>
              </w:rPr>
              <w:tab/>
            </w:r>
            <w:r>
              <w:rPr>
                <w:noProof/>
                <w:webHidden/>
              </w:rPr>
              <w:fldChar w:fldCharType="begin"/>
            </w:r>
            <w:r>
              <w:rPr>
                <w:noProof/>
                <w:webHidden/>
              </w:rPr>
              <w:instrText xml:space="preserve"> PAGEREF _Toc232152627 \h </w:instrText>
            </w:r>
            <w:r>
              <w:rPr>
                <w:noProof/>
                <w:webHidden/>
              </w:rPr>
            </w:r>
            <w:r>
              <w:rPr>
                <w:noProof/>
                <w:webHidden/>
              </w:rPr>
              <w:fldChar w:fldCharType="separate"/>
            </w:r>
            <w:r>
              <w:rPr>
                <w:noProof/>
                <w:webHidden/>
              </w:rPr>
              <w:t>71</w:t>
            </w:r>
            <w:r>
              <w:rPr>
                <w:noProof/>
                <w:webHidden/>
              </w:rPr>
              <w:fldChar w:fldCharType="end"/>
            </w:r>
          </w:hyperlink>
        </w:p>
        <w:p w14:paraId="7A904291" w14:textId="52EA2893" w:rsidR="00174992" w:rsidRDefault="00174992">
          <w:pPr>
            <w:pStyle w:val="TOC3"/>
            <w:tabs>
              <w:tab w:val="right" w:leader="dot" w:pos="9019"/>
            </w:tabs>
            <w:rPr>
              <w:noProof/>
            </w:rPr>
          </w:pPr>
          <w:hyperlink w:anchor="_Toc232152628" w:history="1">
            <w:r w:rsidRPr="00736CC6">
              <w:rPr>
                <w:rStyle w:val="Hyperlink"/>
                <w:rFonts w:ascii="Arial" w:hAnsi="Arial"/>
                <w:noProof/>
              </w:rPr>
              <w:t>Data Quality Improvement Requirements</w:t>
            </w:r>
            <w:r>
              <w:rPr>
                <w:noProof/>
                <w:webHidden/>
              </w:rPr>
              <w:tab/>
            </w:r>
            <w:r>
              <w:rPr>
                <w:noProof/>
                <w:webHidden/>
              </w:rPr>
              <w:fldChar w:fldCharType="begin"/>
            </w:r>
            <w:r>
              <w:rPr>
                <w:noProof/>
                <w:webHidden/>
              </w:rPr>
              <w:instrText xml:space="preserve"> PAGEREF _Toc232152628 \h </w:instrText>
            </w:r>
            <w:r>
              <w:rPr>
                <w:noProof/>
                <w:webHidden/>
              </w:rPr>
            </w:r>
            <w:r>
              <w:rPr>
                <w:noProof/>
                <w:webHidden/>
              </w:rPr>
              <w:fldChar w:fldCharType="separate"/>
            </w:r>
            <w:r>
              <w:rPr>
                <w:noProof/>
                <w:webHidden/>
              </w:rPr>
              <w:t>71</w:t>
            </w:r>
            <w:r>
              <w:rPr>
                <w:noProof/>
                <w:webHidden/>
              </w:rPr>
              <w:fldChar w:fldCharType="end"/>
            </w:r>
          </w:hyperlink>
        </w:p>
        <w:p w14:paraId="0B56B076" w14:textId="791B5811" w:rsidR="00174992" w:rsidRDefault="00174992">
          <w:pPr>
            <w:pStyle w:val="TOC1"/>
            <w:tabs>
              <w:tab w:val="right" w:leader="dot" w:pos="9019"/>
            </w:tabs>
            <w:rPr>
              <w:noProof/>
            </w:rPr>
          </w:pPr>
          <w:hyperlink w:anchor="_Toc232152629" w:history="1">
            <w:r w:rsidRPr="00736CC6">
              <w:rPr>
                <w:rStyle w:val="Hyperlink"/>
                <w:rFonts w:ascii="Arial" w:hAnsi="Arial"/>
                <w:noProof/>
              </w:rPr>
              <w:t>Appendix A: Methodology &amp; Calculation Approach</w:t>
            </w:r>
            <w:r>
              <w:rPr>
                <w:noProof/>
                <w:webHidden/>
              </w:rPr>
              <w:tab/>
            </w:r>
            <w:r>
              <w:rPr>
                <w:noProof/>
                <w:webHidden/>
              </w:rPr>
              <w:fldChar w:fldCharType="begin"/>
            </w:r>
            <w:r>
              <w:rPr>
                <w:noProof/>
                <w:webHidden/>
              </w:rPr>
              <w:instrText xml:space="preserve"> PAGEREF _Toc232152629 \h </w:instrText>
            </w:r>
            <w:r>
              <w:rPr>
                <w:noProof/>
                <w:webHidden/>
              </w:rPr>
            </w:r>
            <w:r>
              <w:rPr>
                <w:noProof/>
                <w:webHidden/>
              </w:rPr>
              <w:fldChar w:fldCharType="separate"/>
            </w:r>
            <w:r>
              <w:rPr>
                <w:noProof/>
                <w:webHidden/>
              </w:rPr>
              <w:t>79</w:t>
            </w:r>
            <w:r>
              <w:rPr>
                <w:noProof/>
                <w:webHidden/>
              </w:rPr>
              <w:fldChar w:fldCharType="end"/>
            </w:r>
          </w:hyperlink>
        </w:p>
        <w:p w14:paraId="17BC550B" w14:textId="2BFC5A5E" w:rsidR="00174992" w:rsidRDefault="00174992">
          <w:pPr>
            <w:pStyle w:val="TOC1"/>
            <w:tabs>
              <w:tab w:val="right" w:leader="dot" w:pos="9019"/>
            </w:tabs>
            <w:rPr>
              <w:noProof/>
            </w:rPr>
          </w:pPr>
          <w:hyperlink w:anchor="_Toc232152630" w:history="1">
            <w:r w:rsidRPr="00736CC6">
              <w:rPr>
                <w:rStyle w:val="Hyperlink"/>
                <w:rFonts w:ascii="Arial" w:hAnsi="Arial"/>
                <w:noProof/>
              </w:rPr>
              <w:t>Appendix B: Data Quality &amp; Assurance Statement</w:t>
            </w:r>
            <w:r>
              <w:rPr>
                <w:noProof/>
                <w:webHidden/>
              </w:rPr>
              <w:tab/>
            </w:r>
            <w:r>
              <w:rPr>
                <w:noProof/>
                <w:webHidden/>
              </w:rPr>
              <w:fldChar w:fldCharType="begin"/>
            </w:r>
            <w:r>
              <w:rPr>
                <w:noProof/>
                <w:webHidden/>
              </w:rPr>
              <w:instrText xml:space="preserve"> PAGEREF _Toc232152630 \h </w:instrText>
            </w:r>
            <w:r>
              <w:rPr>
                <w:noProof/>
                <w:webHidden/>
              </w:rPr>
            </w:r>
            <w:r>
              <w:rPr>
                <w:noProof/>
                <w:webHidden/>
              </w:rPr>
              <w:fldChar w:fldCharType="separate"/>
            </w:r>
            <w:r>
              <w:rPr>
                <w:noProof/>
                <w:webHidden/>
              </w:rPr>
              <w:t>81</w:t>
            </w:r>
            <w:r>
              <w:rPr>
                <w:noProof/>
                <w:webHidden/>
              </w:rPr>
              <w:fldChar w:fldCharType="end"/>
            </w:r>
          </w:hyperlink>
        </w:p>
        <w:p w14:paraId="2F1746FC" w14:textId="6EDF718A" w:rsidR="00174992" w:rsidRDefault="00174992">
          <w:pPr>
            <w:pStyle w:val="TOC1"/>
            <w:tabs>
              <w:tab w:val="right" w:leader="dot" w:pos="9019"/>
            </w:tabs>
            <w:rPr>
              <w:noProof/>
            </w:rPr>
          </w:pPr>
          <w:hyperlink w:anchor="_Toc232152631" w:history="1">
            <w:r w:rsidRPr="00736CC6">
              <w:rPr>
                <w:rStyle w:val="Hyperlink"/>
                <w:rFonts w:ascii="Arial" w:hAnsi="Arial"/>
                <w:noProof/>
              </w:rPr>
              <w:t>Appendix C: Sector Classification &amp; PCAF Mapping</w:t>
            </w:r>
            <w:r>
              <w:rPr>
                <w:noProof/>
                <w:webHidden/>
              </w:rPr>
              <w:tab/>
            </w:r>
            <w:r>
              <w:rPr>
                <w:noProof/>
                <w:webHidden/>
              </w:rPr>
              <w:fldChar w:fldCharType="begin"/>
            </w:r>
            <w:r>
              <w:rPr>
                <w:noProof/>
                <w:webHidden/>
              </w:rPr>
              <w:instrText xml:space="preserve"> PAGEREF _Toc232152631 \h </w:instrText>
            </w:r>
            <w:r>
              <w:rPr>
                <w:noProof/>
                <w:webHidden/>
              </w:rPr>
            </w:r>
            <w:r>
              <w:rPr>
                <w:noProof/>
                <w:webHidden/>
              </w:rPr>
              <w:fldChar w:fldCharType="separate"/>
            </w:r>
            <w:r>
              <w:rPr>
                <w:noProof/>
                <w:webHidden/>
              </w:rPr>
              <w:t>82</w:t>
            </w:r>
            <w:r>
              <w:rPr>
                <w:noProof/>
                <w:webHidden/>
              </w:rPr>
              <w:fldChar w:fldCharType="end"/>
            </w:r>
          </w:hyperlink>
        </w:p>
        <w:p w14:paraId="2B0B1008" w14:textId="476B9668" w:rsidR="00174992" w:rsidRDefault="00174992">
          <w:pPr>
            <w:pStyle w:val="TOC1"/>
            <w:tabs>
              <w:tab w:val="right" w:leader="dot" w:pos="9019"/>
            </w:tabs>
            <w:rPr>
              <w:noProof/>
            </w:rPr>
          </w:pPr>
          <w:hyperlink w:anchor="_Toc232152632" w:history="1">
            <w:r w:rsidRPr="00736CC6">
              <w:rPr>
                <w:rStyle w:val="Hyperlink"/>
                <w:rFonts w:ascii="Arial" w:hAnsi="Arial"/>
                <w:noProof/>
              </w:rPr>
              <w:t>Appendix D: GRI Content Index</w:t>
            </w:r>
            <w:r>
              <w:rPr>
                <w:noProof/>
                <w:webHidden/>
              </w:rPr>
              <w:tab/>
            </w:r>
            <w:r>
              <w:rPr>
                <w:noProof/>
                <w:webHidden/>
              </w:rPr>
              <w:fldChar w:fldCharType="begin"/>
            </w:r>
            <w:r>
              <w:rPr>
                <w:noProof/>
                <w:webHidden/>
              </w:rPr>
              <w:instrText xml:space="preserve"> PAGEREF _Toc232152632 \h </w:instrText>
            </w:r>
            <w:r>
              <w:rPr>
                <w:noProof/>
                <w:webHidden/>
              </w:rPr>
            </w:r>
            <w:r>
              <w:rPr>
                <w:noProof/>
                <w:webHidden/>
              </w:rPr>
              <w:fldChar w:fldCharType="separate"/>
            </w:r>
            <w:r>
              <w:rPr>
                <w:noProof/>
                <w:webHidden/>
              </w:rPr>
              <w:t>83</w:t>
            </w:r>
            <w:r>
              <w:rPr>
                <w:noProof/>
                <w:webHidden/>
              </w:rPr>
              <w:fldChar w:fldCharType="end"/>
            </w:r>
          </w:hyperlink>
        </w:p>
        <w:p w14:paraId="6272DE9E" w14:textId="1A2C4749" w:rsidR="00174992" w:rsidRDefault="00174992">
          <w:pPr>
            <w:pStyle w:val="TOC1"/>
            <w:tabs>
              <w:tab w:val="right" w:leader="dot" w:pos="9019"/>
            </w:tabs>
            <w:rPr>
              <w:noProof/>
            </w:rPr>
          </w:pPr>
          <w:hyperlink w:anchor="_Toc232152633" w:history="1">
            <w:r w:rsidRPr="00736CC6">
              <w:rPr>
                <w:rStyle w:val="Hyperlink"/>
                <w:rFonts w:ascii="Arial" w:hAnsi="Arial"/>
                <w:noProof/>
              </w:rPr>
              <w:t>Appendix E: Framework Disclosure Cross-Reference</w:t>
            </w:r>
            <w:r>
              <w:rPr>
                <w:noProof/>
                <w:webHidden/>
              </w:rPr>
              <w:tab/>
            </w:r>
            <w:r>
              <w:rPr>
                <w:noProof/>
                <w:webHidden/>
              </w:rPr>
              <w:fldChar w:fldCharType="begin"/>
            </w:r>
            <w:r>
              <w:rPr>
                <w:noProof/>
                <w:webHidden/>
              </w:rPr>
              <w:instrText xml:space="preserve"> PAGEREF _Toc232152633 \h </w:instrText>
            </w:r>
            <w:r>
              <w:rPr>
                <w:noProof/>
                <w:webHidden/>
              </w:rPr>
            </w:r>
            <w:r>
              <w:rPr>
                <w:noProof/>
                <w:webHidden/>
              </w:rPr>
              <w:fldChar w:fldCharType="separate"/>
            </w:r>
            <w:r>
              <w:rPr>
                <w:noProof/>
                <w:webHidden/>
              </w:rPr>
              <w:t>84</w:t>
            </w:r>
            <w:r>
              <w:rPr>
                <w:noProof/>
                <w:webHidden/>
              </w:rPr>
              <w:fldChar w:fldCharType="end"/>
            </w:r>
          </w:hyperlink>
        </w:p>
        <w:p w14:paraId="6BD339D3" w14:textId="2F882C01" w:rsidR="00174992" w:rsidRDefault="00174992">
          <w:pPr>
            <w:pStyle w:val="TOC1"/>
            <w:tabs>
              <w:tab w:val="right" w:leader="dot" w:pos="9019"/>
            </w:tabs>
            <w:rPr>
              <w:noProof/>
            </w:rPr>
          </w:pPr>
          <w:hyperlink w:anchor="_Toc232152634" w:history="1">
            <w:r w:rsidRPr="00736CC6">
              <w:rPr>
                <w:rStyle w:val="Hyperlink"/>
                <w:rFonts w:ascii="Arial" w:hAnsi="Arial"/>
                <w:noProof/>
              </w:rPr>
              <w:t>Appendix F: Glossary of Terms &amp; Abbreviations</w:t>
            </w:r>
            <w:r>
              <w:rPr>
                <w:noProof/>
                <w:webHidden/>
              </w:rPr>
              <w:tab/>
            </w:r>
            <w:r>
              <w:rPr>
                <w:noProof/>
                <w:webHidden/>
              </w:rPr>
              <w:fldChar w:fldCharType="begin"/>
            </w:r>
            <w:r>
              <w:rPr>
                <w:noProof/>
                <w:webHidden/>
              </w:rPr>
              <w:instrText xml:space="preserve"> PAGEREF _Toc232152634 \h </w:instrText>
            </w:r>
            <w:r>
              <w:rPr>
                <w:noProof/>
                <w:webHidden/>
              </w:rPr>
            </w:r>
            <w:r>
              <w:rPr>
                <w:noProof/>
                <w:webHidden/>
              </w:rPr>
              <w:fldChar w:fldCharType="separate"/>
            </w:r>
            <w:r>
              <w:rPr>
                <w:noProof/>
                <w:webHidden/>
              </w:rPr>
              <w:t>85</w:t>
            </w:r>
            <w:r>
              <w:rPr>
                <w:noProof/>
                <w:webHidden/>
              </w:rPr>
              <w:fldChar w:fldCharType="end"/>
            </w:r>
          </w:hyperlink>
        </w:p>
        <w:p w14:paraId="5BAB22CF" w14:textId="160CDD8F" w:rsidR="00174992" w:rsidRDefault="00174992">
          <w:r>
            <w:rPr>
              <w:b/>
              <w:bCs/>
              <w:noProof/>
            </w:rPr>
            <w:fldChar w:fldCharType="end"/>
          </w:r>
        </w:p>
      </w:sdtContent>
    </w:sdt>
    <w:p w14:paraId="7E0EDDF1" w14:textId="77777777" w:rsidR="00AC41AE" w:rsidRDefault="00000000">
      <w:r>
        <w:br w:type="page"/>
      </w:r>
    </w:p>
    <w:p w14:paraId="1B656F39" w14:textId="77777777" w:rsidR="00AC41AE" w:rsidRDefault="00000000">
      <w:r>
        <w:lastRenderedPageBreak/>
        <w:br w:type="page"/>
      </w:r>
    </w:p>
    <w:p w14:paraId="1D689D2C" w14:textId="77777777" w:rsidR="00AC41AE" w:rsidRDefault="00000000">
      <w:pPr>
        <w:pStyle w:val="Heading1"/>
        <w:spacing w:after="240"/>
      </w:pPr>
      <w:bookmarkStart w:id="3" w:name="_Toc232152598"/>
      <w:r>
        <w:rPr>
          <w:rFonts w:ascii="Arial" w:hAnsi="Arial"/>
          <w:color w:val="1B3A6B"/>
          <w:sz w:val="36"/>
        </w:rPr>
        <w:lastRenderedPageBreak/>
        <w:t>Executive Summary</w:t>
      </w:r>
      <w:bookmarkEnd w:id="3"/>
    </w:p>
    <w:p w14:paraId="5162750E" w14:textId="77777777" w:rsidR="00AC41AE" w:rsidRDefault="00000000">
      <w:pPr>
        <w:pStyle w:val="Heading2"/>
        <w:spacing w:before="360" w:after="160"/>
      </w:pPr>
      <w:bookmarkStart w:id="4" w:name="_Toc232152599"/>
      <w:r>
        <w:rPr>
          <w:rFonts w:ascii="Arial" w:hAnsi="Arial"/>
          <w:color w:val="3D6094"/>
          <w:sz w:val="28"/>
        </w:rPr>
        <w:t>Strategic Brief</w:t>
      </w:r>
      <w:bookmarkEnd w:id="4"/>
    </w:p>
    <w:tbl>
      <w:tblPr>
        <w:tblW w:w="0" w:type="auto"/>
        <w:jc w:val="center"/>
        <w:tblLook w:val="04A0" w:firstRow="1" w:lastRow="0" w:firstColumn="1" w:lastColumn="0" w:noHBand="0" w:noVBand="1"/>
      </w:tblPr>
      <w:tblGrid>
        <w:gridCol w:w="2257"/>
        <w:gridCol w:w="2257"/>
        <w:gridCol w:w="2257"/>
        <w:gridCol w:w="2257"/>
      </w:tblGrid>
      <w:tr w:rsidR="00AC41AE" w14:paraId="4F627EB3" w14:textId="77777777">
        <w:trPr>
          <w:jc w:val="center"/>
        </w:trPr>
        <w:tc>
          <w:tcPr>
            <w:tcW w:w="2257" w:type="dxa"/>
            <w:shd w:val="clear" w:color="auto" w:fill="F2F6FA"/>
          </w:tcPr>
          <w:p w14:paraId="49316C48" w14:textId="77777777" w:rsidR="00AC41AE" w:rsidRDefault="00000000">
            <w:pPr>
              <w:jc w:val="center"/>
            </w:pPr>
            <w:r>
              <w:rPr>
                <w:b/>
                <w:color w:val="1B3A6B"/>
                <w:sz w:val="36"/>
              </w:rPr>
              <w:t>21976797.3</w:t>
            </w:r>
            <w:r>
              <w:rPr>
                <w:color w:val="757575"/>
                <w:sz w:val="18"/>
              </w:rPr>
              <w:t xml:space="preserve"> tCO₂e</w:t>
            </w:r>
          </w:p>
        </w:tc>
        <w:tc>
          <w:tcPr>
            <w:tcW w:w="2257" w:type="dxa"/>
            <w:shd w:val="clear" w:color="auto" w:fill="F2F6FA"/>
          </w:tcPr>
          <w:p w14:paraId="0813E9F7" w14:textId="77777777" w:rsidR="00AC41AE" w:rsidRDefault="00000000">
            <w:pPr>
              <w:jc w:val="center"/>
            </w:pPr>
            <w:r>
              <w:rPr>
                <w:b/>
                <w:color w:val="1B3A6B"/>
                <w:sz w:val="36"/>
              </w:rPr>
              <w:t>239.400139</w:t>
            </w:r>
            <w:r>
              <w:rPr>
                <w:color w:val="757575"/>
                <w:sz w:val="18"/>
              </w:rPr>
              <w:t xml:space="preserve"> tCO₂e/IDR Bn</w:t>
            </w:r>
          </w:p>
        </w:tc>
        <w:tc>
          <w:tcPr>
            <w:tcW w:w="2257" w:type="dxa"/>
            <w:shd w:val="clear" w:color="auto" w:fill="F2F6FA"/>
          </w:tcPr>
          <w:p w14:paraId="7F035A1B" w14:textId="77777777" w:rsidR="00AC41AE" w:rsidRDefault="00000000">
            <w:pPr>
              <w:jc w:val="center"/>
            </w:pPr>
            <w:r>
              <w:rPr>
                <w:b/>
                <w:color w:val="1B3A6B"/>
                <w:sz w:val="36"/>
              </w:rPr>
              <w:t>3.36</w:t>
            </w:r>
            <w:r>
              <w:rPr>
                <w:color w:val="757575"/>
                <w:sz w:val="18"/>
              </w:rPr>
              <w:t xml:space="preserve"> score (1-5)</w:t>
            </w:r>
          </w:p>
        </w:tc>
        <w:tc>
          <w:tcPr>
            <w:tcW w:w="2257" w:type="dxa"/>
            <w:shd w:val="clear" w:color="auto" w:fill="F2F6FA"/>
          </w:tcPr>
          <w:p w14:paraId="3EA4B28C" w14:textId="77777777" w:rsidR="00AC41AE" w:rsidRDefault="00000000">
            <w:pPr>
              <w:jc w:val="center"/>
            </w:pPr>
            <w:r>
              <w:rPr>
                <w:b/>
                <w:color w:val="1B3A6B"/>
                <w:sz w:val="36"/>
              </w:rPr>
              <w:t>69.52</w:t>
            </w:r>
            <w:r>
              <w:rPr>
                <w:color w:val="757575"/>
                <w:sz w:val="18"/>
              </w:rPr>
              <w:t xml:space="preserve"> %</w:t>
            </w:r>
          </w:p>
        </w:tc>
      </w:tr>
      <w:tr w:rsidR="00AC41AE" w14:paraId="4140B4B8" w14:textId="77777777">
        <w:trPr>
          <w:jc w:val="center"/>
        </w:trPr>
        <w:tc>
          <w:tcPr>
            <w:tcW w:w="2257" w:type="dxa"/>
            <w:shd w:val="clear" w:color="auto" w:fill="F2F6FA"/>
          </w:tcPr>
          <w:p w14:paraId="10A36AB4" w14:textId="77777777" w:rsidR="00AC41AE" w:rsidRDefault="00000000">
            <w:pPr>
              <w:jc w:val="center"/>
            </w:pPr>
            <w:r>
              <w:rPr>
                <w:color w:val="757575"/>
                <w:sz w:val="16"/>
              </w:rPr>
              <w:t>Total GHG Emissions (Scope 1+2+3)</w:t>
            </w:r>
          </w:p>
        </w:tc>
        <w:tc>
          <w:tcPr>
            <w:tcW w:w="2257" w:type="dxa"/>
            <w:shd w:val="clear" w:color="auto" w:fill="F2F6FA"/>
          </w:tcPr>
          <w:p w14:paraId="68412E6A" w14:textId="77777777" w:rsidR="00AC41AE" w:rsidRDefault="00000000">
            <w:pPr>
              <w:jc w:val="center"/>
            </w:pPr>
            <w:r>
              <w:rPr>
                <w:color w:val="757575"/>
                <w:sz w:val="16"/>
              </w:rPr>
              <w:t>Revenue Intensity</w:t>
            </w:r>
          </w:p>
        </w:tc>
        <w:tc>
          <w:tcPr>
            <w:tcW w:w="2257" w:type="dxa"/>
            <w:shd w:val="clear" w:color="auto" w:fill="F2F6FA"/>
          </w:tcPr>
          <w:p w14:paraId="279E8D19" w14:textId="77777777" w:rsidR="00AC41AE" w:rsidRDefault="00000000">
            <w:pPr>
              <w:jc w:val="center"/>
            </w:pPr>
            <w:r>
              <w:rPr>
                <w:color w:val="757575"/>
                <w:sz w:val="16"/>
              </w:rPr>
              <w:t>PCAF Data Quality Score</w:t>
            </w:r>
          </w:p>
        </w:tc>
        <w:tc>
          <w:tcPr>
            <w:tcW w:w="2257" w:type="dxa"/>
            <w:shd w:val="clear" w:color="auto" w:fill="F2F6FA"/>
          </w:tcPr>
          <w:p w14:paraId="0897C3D7" w14:textId="77777777" w:rsidR="00AC41AE" w:rsidRDefault="00000000">
            <w:pPr>
              <w:jc w:val="center"/>
            </w:pPr>
            <w:r>
              <w:rPr>
                <w:color w:val="757575"/>
                <w:sz w:val="16"/>
              </w:rPr>
              <w:t>Financed Emissions Coverage</w:t>
            </w:r>
          </w:p>
        </w:tc>
      </w:tr>
    </w:tbl>
    <w:p w14:paraId="6A61D7B9" w14:textId="77777777" w:rsidR="00AC41AE" w:rsidRDefault="00AC41AE"/>
    <w:p w14:paraId="469DCF17" w14:textId="77777777" w:rsidR="00AC41AE" w:rsidRDefault="00000000">
      <w:pPr>
        <w:spacing w:after="160"/>
      </w:pPr>
      <w:r>
        <w:rPr>
          <w:rFonts w:ascii="Arial" w:hAnsi="Arial"/>
        </w:rPr>
        <w:t>The institution's total greenhouse gas footprint for 2024 reached 22,024,814.27 tCO₂e across all operational and financed activities, representing a 4.07% reduction from the prior year baseline of 22,959,810.62 tCO₂e. This decline was primarily driven by improved portfolio composition in high-emission sectors, particularly a strategic shift away from carbon-intensive oil &amp; gas exposures which now represent 43.56% of financed emissions despite comprising only 6.66% of the loan portfolio. The institution's revenue intensity improved significantly to 239.40 tCO₂e per IDR billion, outpacing absolute emission reductions and signaling improved carbon efficiency. The Board must prioritize accelerating financed emission reductions in the Energy - Oil &amp; Gas and Manufacturing - Cement sectors, which collectively account for 70.01% of total financed emissions while representing only 13.65% of portfolio value.</w:t>
      </w:r>
    </w:p>
    <w:p w14:paraId="2F1E7B00" w14:textId="77777777" w:rsidR="00AC41AE" w:rsidRDefault="00AC41AE"/>
    <w:p w14:paraId="3F617A14" w14:textId="77777777" w:rsidR="00AC41AE" w:rsidRDefault="00000000">
      <w:r>
        <w:rPr>
          <w:b/>
          <w:color w:val="2E7D32"/>
          <w:sz w:val="24"/>
        </w:rPr>
        <w:t>⚡ Priority Actions</w:t>
      </w:r>
    </w:p>
    <w:p w14:paraId="19952B42" w14:textId="77777777" w:rsidR="00AC41AE" w:rsidRDefault="00000000">
      <w:r>
        <w:rPr>
          <w:b/>
        </w:rPr>
        <w:t>🔴 1. Establish sector-specific emission reduction targets for Oil &amp; Gas and Cement portfolios — these two sectors drive 70% of financed emissions but lack dedicated decarbonization roadmaps — implement by Q2 2025 to align with OJK SFAP Phase 2 requirements.</w:t>
      </w:r>
    </w:p>
    <w:p w14:paraId="0AA93C3A" w14:textId="77777777" w:rsidR="00AC41AE" w:rsidRDefault="00000000">
      <w:r>
        <w:rPr>
          <w:b/>
        </w:rPr>
        <w:t>🔴 2. Upgrade PCAF data quality from current 3.36 average to ≤3.0 by securing primary emissions data from top 50 borrowers — current confidence gap of 30.48% (6.7 million tCO₂e difference between gross and weighted) undermines credibility of financed emission disclosures — complete by Q4 2025.</w:t>
      </w:r>
    </w:p>
    <w:p w14:paraId="197827DB" w14:textId="77777777" w:rsidR="00AC41AE" w:rsidRDefault="00000000">
      <w:r>
        <w:rPr>
          <w:b/>
        </w:rPr>
        <w:t>🟡 3. Develop climate transition engagement framework for high-emission borrowers with science-based decarbonization pathways — prioritize 135 Oil &amp; Gas clients and 161 Cement clients representing IDR 210.35 trillion in outstanding loans — pilot program launch Q3 2025.</w:t>
      </w:r>
    </w:p>
    <w:p w14:paraId="319DCB89" w14:textId="77777777" w:rsidR="00AC41AE" w:rsidRDefault="00AC41AE"/>
    <w:p w14:paraId="0D960B7B" w14:textId="77777777" w:rsidR="00AC41AE" w:rsidRDefault="00000000">
      <w:pPr>
        <w:spacing w:after="160"/>
      </w:pPr>
      <w:r>
        <w:rPr>
          <w:rFonts w:ascii="Arial" w:hAnsi="Arial"/>
        </w:rPr>
        <w:t xml:space="preserve">Forward-looking statement: Subject to market conditions and regulatory developments, the institution anticipates continued gradual reduction in financed emissions intensity through 2026 as portfolio composition shifts toward lower-carbon sectors and existing high-emission clients implement transition plans. Achievement of medium-term targets depends on </w:t>
      </w:r>
      <w:r>
        <w:rPr>
          <w:rFonts w:ascii="Arial" w:hAnsi="Arial"/>
        </w:rPr>
        <w:lastRenderedPageBreak/>
        <w:t>securing primary emissions data from at least 60% of financed emission exposure by end-2025, successful engagement with top 50 carbon-intensive borrowers, and alignment of credit policies with Indonesia's Enhanced NDC pathway. Regulatory timelines under OJK PSPK 13/2023 and potential introduction of carbon pricing mechanisms may accelerate transition dynamics across key sectors.</w:t>
      </w:r>
    </w:p>
    <w:p w14:paraId="504336D0" w14:textId="77777777" w:rsidR="00AC41AE" w:rsidRDefault="00000000">
      <w:r>
        <w:rPr>
          <w:rFonts w:ascii="Arial" w:hAnsi="Arial"/>
          <w:b/>
          <w:sz w:val="20"/>
        </w:rPr>
        <w:t>Table 2: ESG Scorecard</w:t>
      </w:r>
    </w:p>
    <w:tbl>
      <w:tblPr>
        <w:tblW w:w="0" w:type="auto"/>
        <w:jc w:val="center"/>
        <w:tblLook w:val="04A0" w:firstRow="1" w:lastRow="0" w:firstColumn="1" w:lastColumn="0" w:noHBand="0" w:noVBand="1"/>
      </w:tblPr>
      <w:tblGrid>
        <w:gridCol w:w="3010"/>
        <w:gridCol w:w="3010"/>
        <w:gridCol w:w="3010"/>
      </w:tblGrid>
      <w:tr w:rsidR="00AC41AE" w14:paraId="36AD01E3" w14:textId="77777777">
        <w:trPr>
          <w:jc w:val="center"/>
        </w:trPr>
        <w:tc>
          <w:tcPr>
            <w:tcW w:w="3010" w:type="dxa"/>
            <w:shd w:val="clear" w:color="auto" w:fill="1B3A6B"/>
          </w:tcPr>
          <w:p w14:paraId="3D9AAE31" w14:textId="77777777" w:rsidR="00AC41AE" w:rsidRDefault="00000000">
            <w:r>
              <w:rPr>
                <w:rFonts w:ascii="Arial" w:hAnsi="Arial"/>
                <w:b/>
                <w:color w:val="FFFFFF"/>
                <w:sz w:val="18"/>
              </w:rPr>
              <w:t>Dimension</w:t>
            </w:r>
          </w:p>
        </w:tc>
        <w:tc>
          <w:tcPr>
            <w:tcW w:w="3010" w:type="dxa"/>
            <w:shd w:val="clear" w:color="auto" w:fill="1B3A6B"/>
          </w:tcPr>
          <w:p w14:paraId="72196577" w14:textId="77777777" w:rsidR="00AC41AE" w:rsidRDefault="00000000">
            <w:r>
              <w:rPr>
                <w:rFonts w:ascii="Arial" w:hAnsi="Arial"/>
                <w:b/>
                <w:color w:val="FFFFFF"/>
                <w:sz w:val="18"/>
              </w:rPr>
              <w:t>Rating</w:t>
            </w:r>
          </w:p>
        </w:tc>
        <w:tc>
          <w:tcPr>
            <w:tcW w:w="3010" w:type="dxa"/>
            <w:shd w:val="clear" w:color="auto" w:fill="1B3A6B"/>
          </w:tcPr>
          <w:p w14:paraId="53567400" w14:textId="77777777" w:rsidR="00AC41AE" w:rsidRDefault="00000000">
            <w:r>
              <w:rPr>
                <w:rFonts w:ascii="Arial" w:hAnsi="Arial"/>
                <w:b/>
                <w:color w:val="FFFFFF"/>
                <w:sz w:val="18"/>
              </w:rPr>
              <w:t>Key Driver</w:t>
            </w:r>
          </w:p>
        </w:tc>
      </w:tr>
      <w:tr w:rsidR="00AC41AE" w14:paraId="11FE7A27" w14:textId="77777777">
        <w:trPr>
          <w:jc w:val="center"/>
        </w:trPr>
        <w:tc>
          <w:tcPr>
            <w:tcW w:w="3010" w:type="dxa"/>
          </w:tcPr>
          <w:p w14:paraId="262E2BCC" w14:textId="77777777" w:rsidR="00AC41AE" w:rsidRDefault="00000000">
            <w:r>
              <w:rPr>
                <w:rFonts w:ascii="Arial" w:hAnsi="Arial"/>
                <w:sz w:val="18"/>
              </w:rPr>
              <w:t>Environmental</w:t>
            </w:r>
          </w:p>
        </w:tc>
        <w:tc>
          <w:tcPr>
            <w:tcW w:w="3010" w:type="dxa"/>
          </w:tcPr>
          <w:p w14:paraId="5452EBC7" w14:textId="77777777" w:rsidR="00AC41AE" w:rsidRDefault="00000000">
            <w:r>
              <w:rPr>
                <w:rFonts w:ascii="Arial" w:hAnsi="Arial"/>
                <w:sz w:val="18"/>
              </w:rPr>
              <w:t>🟢</w:t>
            </w:r>
          </w:p>
        </w:tc>
        <w:tc>
          <w:tcPr>
            <w:tcW w:w="3010" w:type="dxa"/>
          </w:tcPr>
          <w:p w14:paraId="0C2C13C1" w14:textId="77777777" w:rsidR="00AC41AE" w:rsidRDefault="00000000">
            <w:r>
              <w:rPr>
                <w:rFonts w:ascii="Arial" w:hAnsi="Arial"/>
                <w:sz w:val="18"/>
              </w:rPr>
              <w:t>Total emissions decreased 4.07% YoY; revenue intensity improved 11.37%</w:t>
            </w:r>
          </w:p>
        </w:tc>
      </w:tr>
      <w:tr w:rsidR="00AC41AE" w14:paraId="335B49B9" w14:textId="77777777">
        <w:trPr>
          <w:jc w:val="center"/>
        </w:trPr>
        <w:tc>
          <w:tcPr>
            <w:tcW w:w="3010" w:type="dxa"/>
            <w:shd w:val="clear" w:color="auto" w:fill="F2F6FC"/>
          </w:tcPr>
          <w:p w14:paraId="6AA0F5FE" w14:textId="77777777" w:rsidR="00AC41AE" w:rsidRDefault="00000000">
            <w:r>
              <w:rPr>
                <w:rFonts w:ascii="Arial" w:hAnsi="Arial"/>
                <w:sz w:val="18"/>
              </w:rPr>
              <w:t>Social</w:t>
            </w:r>
          </w:p>
        </w:tc>
        <w:tc>
          <w:tcPr>
            <w:tcW w:w="3010" w:type="dxa"/>
            <w:shd w:val="clear" w:color="auto" w:fill="F2F6FC"/>
          </w:tcPr>
          <w:p w14:paraId="3C0A0A95" w14:textId="77777777" w:rsidR="00AC41AE" w:rsidRDefault="00000000">
            <w:r>
              <w:rPr>
                <w:rFonts w:ascii="Arial" w:hAnsi="Arial"/>
                <w:sz w:val="18"/>
              </w:rPr>
              <w:t>🟡</w:t>
            </w:r>
          </w:p>
        </w:tc>
        <w:tc>
          <w:tcPr>
            <w:tcW w:w="3010" w:type="dxa"/>
            <w:shd w:val="clear" w:color="auto" w:fill="F2F6FC"/>
          </w:tcPr>
          <w:p w14:paraId="6844D2E3" w14:textId="77777777" w:rsidR="00AC41AE" w:rsidRDefault="00000000">
            <w:r>
              <w:rPr>
                <w:rFonts w:ascii="Arial" w:hAnsi="Arial"/>
                <w:sz w:val="18"/>
              </w:rPr>
              <w:t>Female representation 42.32% (above 40% threshold) but training hours 49.3 (below 30hr minimum not met due to decline)</w:t>
            </w:r>
          </w:p>
        </w:tc>
      </w:tr>
      <w:tr w:rsidR="00AC41AE" w14:paraId="47EECEF3" w14:textId="77777777">
        <w:trPr>
          <w:jc w:val="center"/>
        </w:trPr>
        <w:tc>
          <w:tcPr>
            <w:tcW w:w="3010" w:type="dxa"/>
          </w:tcPr>
          <w:p w14:paraId="50281054" w14:textId="77777777" w:rsidR="00AC41AE" w:rsidRDefault="00000000">
            <w:r>
              <w:rPr>
                <w:rFonts w:ascii="Arial" w:hAnsi="Arial"/>
                <w:sz w:val="18"/>
              </w:rPr>
              <w:t>Governance</w:t>
            </w:r>
          </w:p>
        </w:tc>
        <w:tc>
          <w:tcPr>
            <w:tcW w:w="3010" w:type="dxa"/>
          </w:tcPr>
          <w:p w14:paraId="2C07435A" w14:textId="77777777" w:rsidR="00AC41AE" w:rsidRDefault="00000000">
            <w:r>
              <w:rPr>
                <w:rFonts w:ascii="Arial" w:hAnsi="Arial"/>
                <w:sz w:val="18"/>
              </w:rPr>
              <w:t>🟡</w:t>
            </w:r>
          </w:p>
        </w:tc>
        <w:tc>
          <w:tcPr>
            <w:tcW w:w="3010" w:type="dxa"/>
          </w:tcPr>
          <w:p w14:paraId="2DAFAF8F" w14:textId="77777777" w:rsidR="00AC41AE" w:rsidRDefault="00000000">
            <w:r>
              <w:rPr>
                <w:rFonts w:ascii="Arial" w:hAnsi="Arial"/>
                <w:sz w:val="18"/>
              </w:rPr>
              <w:t>PCAF methodology adopted and climate risk committee established, but no science-based targets set and transition plan incomplete</w:t>
            </w:r>
          </w:p>
        </w:tc>
      </w:tr>
    </w:tbl>
    <w:p w14:paraId="2F861D7D" w14:textId="77777777" w:rsidR="00AC41AE" w:rsidRDefault="00000000">
      <w:r>
        <w:rPr>
          <w:rFonts w:ascii="Arial" w:hAnsi="Arial"/>
          <w:i/>
          <w:sz w:val="16"/>
        </w:rPr>
        <w:t>Source: Ratings derived from quantitative thresholds applied to reported metrics.</w:t>
      </w:r>
    </w:p>
    <w:p w14:paraId="47261CC0" w14:textId="77777777" w:rsidR="00AC41AE" w:rsidRDefault="00AC41AE"/>
    <w:p w14:paraId="1C29D183" w14:textId="77777777" w:rsidR="00AC41AE" w:rsidRDefault="00000000">
      <w:r>
        <w:rPr>
          <w:rFonts w:ascii="Arial" w:hAnsi="Arial"/>
          <w:b/>
          <w:sz w:val="20"/>
        </w:rPr>
        <w:t>Table 4: Risk &amp; Opportunity Matrix</w:t>
      </w:r>
    </w:p>
    <w:tbl>
      <w:tblPr>
        <w:tblW w:w="0" w:type="auto"/>
        <w:jc w:val="center"/>
        <w:tblLook w:val="04A0" w:firstRow="1" w:lastRow="0" w:firstColumn="1" w:lastColumn="0" w:noHBand="0" w:noVBand="1"/>
      </w:tblPr>
      <w:tblGrid>
        <w:gridCol w:w="3010"/>
        <w:gridCol w:w="3010"/>
        <w:gridCol w:w="3010"/>
      </w:tblGrid>
      <w:tr w:rsidR="00AC41AE" w14:paraId="615FBC20" w14:textId="77777777">
        <w:trPr>
          <w:jc w:val="center"/>
        </w:trPr>
        <w:tc>
          <w:tcPr>
            <w:tcW w:w="3010" w:type="dxa"/>
            <w:shd w:val="clear" w:color="auto" w:fill="1B3A6B"/>
          </w:tcPr>
          <w:p w14:paraId="0B574750" w14:textId="77777777" w:rsidR="00AC41AE" w:rsidRDefault="00AC41AE"/>
        </w:tc>
        <w:tc>
          <w:tcPr>
            <w:tcW w:w="3010" w:type="dxa"/>
            <w:shd w:val="clear" w:color="auto" w:fill="1B3A6B"/>
          </w:tcPr>
          <w:p w14:paraId="2E578ECC" w14:textId="77777777" w:rsidR="00AC41AE" w:rsidRDefault="00000000">
            <w:r>
              <w:rPr>
                <w:rFonts w:ascii="Arial" w:hAnsi="Arial"/>
                <w:b/>
                <w:color w:val="FFFFFF"/>
                <w:sz w:val="18"/>
              </w:rPr>
              <w:t>Short-term (1-2 years)</w:t>
            </w:r>
          </w:p>
        </w:tc>
        <w:tc>
          <w:tcPr>
            <w:tcW w:w="3010" w:type="dxa"/>
            <w:shd w:val="clear" w:color="auto" w:fill="1B3A6B"/>
          </w:tcPr>
          <w:p w14:paraId="700DED91" w14:textId="77777777" w:rsidR="00AC41AE" w:rsidRDefault="00000000">
            <w:r>
              <w:rPr>
                <w:rFonts w:ascii="Arial" w:hAnsi="Arial"/>
                <w:b/>
                <w:color w:val="FFFFFF"/>
                <w:sz w:val="18"/>
              </w:rPr>
              <w:t>Medium-term (3-5 years)</w:t>
            </w:r>
          </w:p>
        </w:tc>
      </w:tr>
      <w:tr w:rsidR="00AC41AE" w14:paraId="03DDC0E7" w14:textId="77777777">
        <w:trPr>
          <w:jc w:val="center"/>
        </w:trPr>
        <w:tc>
          <w:tcPr>
            <w:tcW w:w="3010" w:type="dxa"/>
          </w:tcPr>
          <w:p w14:paraId="30C0F98F" w14:textId="77777777" w:rsidR="00AC41AE" w:rsidRDefault="00000000">
            <w:r>
              <w:rPr>
                <w:rFonts w:ascii="Arial" w:hAnsi="Arial"/>
                <w:sz w:val="18"/>
              </w:rPr>
              <w:t>Risks</w:t>
            </w:r>
          </w:p>
        </w:tc>
        <w:tc>
          <w:tcPr>
            <w:tcW w:w="3010" w:type="dxa"/>
          </w:tcPr>
          <w:p w14:paraId="7632A5EF" w14:textId="77777777" w:rsidR="00AC41AE" w:rsidRDefault="00000000">
            <w:r>
              <w:rPr>
                <w:rFonts w:ascii="Arial" w:hAnsi="Arial"/>
                <w:sz w:val="18"/>
              </w:rPr>
              <w:t>• Regulatory compliance gaps under OJK PSPK 13/2023 Phase 2 requirements</w:t>
            </w:r>
            <w:r>
              <w:rPr>
                <w:rFonts w:ascii="Arial" w:hAnsi="Arial"/>
                <w:sz w:val="18"/>
              </w:rPr>
              <w:br/>
              <w:t>• Reputational exposure from 70% financed emission concentration in two sectors</w:t>
            </w:r>
          </w:p>
        </w:tc>
        <w:tc>
          <w:tcPr>
            <w:tcW w:w="3010" w:type="dxa"/>
          </w:tcPr>
          <w:p w14:paraId="1014AA81" w14:textId="77777777" w:rsidR="00AC41AE" w:rsidRDefault="00000000">
            <w:r>
              <w:rPr>
                <w:rFonts w:ascii="Arial" w:hAnsi="Arial"/>
                <w:sz w:val="18"/>
              </w:rPr>
              <w:t>• Stranded asset risk in Oil &amp; Gas portfolio (IDR 102.67 trillion exposure)</w:t>
            </w:r>
            <w:r>
              <w:rPr>
                <w:rFonts w:ascii="Arial" w:hAnsi="Arial"/>
                <w:sz w:val="18"/>
              </w:rPr>
              <w:br/>
              <w:t>• Carbon pricing introduction may impact borrower creditworthiness in cement sector</w:t>
            </w:r>
          </w:p>
        </w:tc>
      </w:tr>
      <w:tr w:rsidR="00AC41AE" w14:paraId="6008601A" w14:textId="77777777">
        <w:trPr>
          <w:jc w:val="center"/>
        </w:trPr>
        <w:tc>
          <w:tcPr>
            <w:tcW w:w="3010" w:type="dxa"/>
            <w:shd w:val="clear" w:color="auto" w:fill="F2F6FC"/>
          </w:tcPr>
          <w:p w14:paraId="6D3E0D92" w14:textId="77777777" w:rsidR="00AC41AE" w:rsidRDefault="00000000">
            <w:r>
              <w:rPr>
                <w:rFonts w:ascii="Arial" w:hAnsi="Arial"/>
                <w:sz w:val="18"/>
              </w:rPr>
              <w:t>Opportunities</w:t>
            </w:r>
          </w:p>
        </w:tc>
        <w:tc>
          <w:tcPr>
            <w:tcW w:w="3010" w:type="dxa"/>
            <w:shd w:val="clear" w:color="auto" w:fill="F2F6FC"/>
          </w:tcPr>
          <w:p w14:paraId="009B87F7" w14:textId="77777777" w:rsidR="00AC41AE" w:rsidRDefault="00000000">
            <w:r>
              <w:rPr>
                <w:rFonts w:ascii="Arial" w:hAnsi="Arial"/>
                <w:sz w:val="18"/>
              </w:rPr>
              <w:t>• Green financing product development for renewable energy and energy efficiency</w:t>
            </w:r>
            <w:r>
              <w:rPr>
                <w:rFonts w:ascii="Arial" w:hAnsi="Arial"/>
                <w:sz w:val="18"/>
              </w:rPr>
              <w:br/>
              <w:t>• Competitive advantage through early PCAF data quality leadership</w:t>
            </w:r>
          </w:p>
        </w:tc>
        <w:tc>
          <w:tcPr>
            <w:tcW w:w="3010" w:type="dxa"/>
            <w:shd w:val="clear" w:color="auto" w:fill="F2F6FC"/>
          </w:tcPr>
          <w:p w14:paraId="69BBADD3" w14:textId="77777777" w:rsidR="00AC41AE" w:rsidRDefault="00000000">
            <w:r>
              <w:rPr>
                <w:rFonts w:ascii="Arial" w:hAnsi="Arial"/>
                <w:sz w:val="18"/>
              </w:rPr>
              <w:t>• Portfolio repositioning toward low-carbon sectors (current 10.93% in Residential Real Estate)</w:t>
            </w:r>
            <w:r>
              <w:rPr>
                <w:rFonts w:ascii="Arial" w:hAnsi="Arial"/>
                <w:sz w:val="18"/>
              </w:rPr>
              <w:br/>
              <w:t>• Climate advisory services for corporate clients navigating energy transition</w:t>
            </w:r>
          </w:p>
        </w:tc>
      </w:tr>
    </w:tbl>
    <w:p w14:paraId="3C5BB2B1" w14:textId="77777777" w:rsidR="00AC41AE" w:rsidRDefault="00000000">
      <w:r>
        <w:rPr>
          <w:rFonts w:ascii="Arial" w:hAnsi="Arial"/>
          <w:i/>
          <w:sz w:val="16"/>
        </w:rPr>
        <w:t>Source: Risk and opportunity assessment based on portfolio composition and regulatory trajectory.</w:t>
      </w:r>
    </w:p>
    <w:p w14:paraId="24E303B3" w14:textId="77777777" w:rsidR="00AC41AE" w:rsidRDefault="00AC41AE"/>
    <w:p w14:paraId="3411A3DF" w14:textId="77777777" w:rsidR="00AC41AE" w:rsidRDefault="00AC41AE"/>
    <w:p w14:paraId="23C8848B" w14:textId="77777777" w:rsidR="00AC41AE" w:rsidRDefault="00000000">
      <w:r>
        <w:rPr>
          <w:noProof/>
        </w:rPr>
        <w:lastRenderedPageBreak/>
        <w:drawing>
          <wp:inline distT="0" distB="0" distL="0" distR="0" wp14:anchorId="43EF0B3B" wp14:editId="448EBC90">
            <wp:extent cx="5029200" cy="33320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029200" cy="3332057"/>
                    </a:xfrm>
                    <a:prstGeom prst="rect">
                      <a:avLst/>
                    </a:prstGeom>
                  </pic:spPr>
                </pic:pic>
              </a:graphicData>
            </a:graphic>
          </wp:inline>
        </w:drawing>
      </w:r>
    </w:p>
    <w:p w14:paraId="5E919CDD" w14:textId="77777777" w:rsidR="00AC41AE" w:rsidRDefault="00000000">
      <w:pPr>
        <w:jc w:val="center"/>
      </w:pPr>
      <w:r>
        <w:rPr>
          <w:i/>
          <w:color w:val="666666"/>
          <w:sz w:val="18"/>
        </w:rPr>
        <w:t>Figure 1: Total GHG Emissions by Scope (YoY)</w:t>
      </w:r>
    </w:p>
    <w:p w14:paraId="133BB85C" w14:textId="77777777" w:rsidR="00AC41AE" w:rsidRDefault="00AC41AE"/>
    <w:p w14:paraId="751C4E60" w14:textId="77777777" w:rsidR="00AC41AE" w:rsidRDefault="00000000">
      <w:r>
        <w:rPr>
          <w:noProof/>
        </w:rPr>
        <w:drawing>
          <wp:inline distT="0" distB="0" distL="0" distR="0" wp14:anchorId="32E4A9E5" wp14:editId="095677E8">
            <wp:extent cx="5029200" cy="33320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029200" cy="3332057"/>
                    </a:xfrm>
                    <a:prstGeom prst="rect">
                      <a:avLst/>
                    </a:prstGeom>
                  </pic:spPr>
                </pic:pic>
              </a:graphicData>
            </a:graphic>
          </wp:inline>
        </w:drawing>
      </w:r>
    </w:p>
    <w:p w14:paraId="59F7B87A" w14:textId="77777777" w:rsidR="00AC41AE" w:rsidRDefault="00000000">
      <w:pPr>
        <w:jc w:val="center"/>
      </w:pPr>
      <w:r>
        <w:rPr>
          <w:i/>
          <w:color w:val="666666"/>
          <w:sz w:val="18"/>
        </w:rPr>
        <w:t>Figure 2: Emission Source Distribution (FY2024)</w:t>
      </w:r>
    </w:p>
    <w:p w14:paraId="0F6D070D" w14:textId="77777777" w:rsidR="00AC41AE" w:rsidRDefault="00AC41AE"/>
    <w:p w14:paraId="64B43252" w14:textId="77777777" w:rsidR="00AC41AE" w:rsidRDefault="00000000">
      <w:r>
        <w:rPr>
          <w:noProof/>
        </w:rPr>
        <w:lastRenderedPageBreak/>
        <w:drawing>
          <wp:inline distT="0" distB="0" distL="0" distR="0" wp14:anchorId="5542BE38" wp14:editId="7C885A5C">
            <wp:extent cx="5029200" cy="33320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029200" cy="3332057"/>
                    </a:xfrm>
                    <a:prstGeom prst="rect">
                      <a:avLst/>
                    </a:prstGeom>
                  </pic:spPr>
                </pic:pic>
              </a:graphicData>
            </a:graphic>
          </wp:inline>
        </w:drawing>
      </w:r>
    </w:p>
    <w:p w14:paraId="6FFB6142" w14:textId="77777777" w:rsidR="00AC41AE" w:rsidRDefault="00000000">
      <w:pPr>
        <w:jc w:val="center"/>
      </w:pPr>
      <w:r>
        <w:rPr>
          <w:i/>
          <w:color w:val="666666"/>
          <w:sz w:val="18"/>
        </w:rPr>
        <w:t>Figure 3: Emission Intensity Trend</w:t>
      </w:r>
    </w:p>
    <w:p w14:paraId="19CF0948" w14:textId="77777777" w:rsidR="00AC41AE" w:rsidRDefault="00000000">
      <w:r>
        <w:br w:type="page"/>
      </w:r>
    </w:p>
    <w:p w14:paraId="36A3BCA3" w14:textId="77777777" w:rsidR="00AC41AE" w:rsidRDefault="00000000">
      <w:pPr>
        <w:pStyle w:val="Heading2"/>
        <w:spacing w:before="360" w:after="160"/>
      </w:pPr>
      <w:bookmarkStart w:id="5" w:name="_Toc232152600"/>
      <w:r>
        <w:rPr>
          <w:rFonts w:ascii="Arial" w:hAnsi="Arial"/>
          <w:color w:val="3D6094"/>
          <w:sz w:val="28"/>
        </w:rPr>
        <w:lastRenderedPageBreak/>
        <w:t>Detailed Performance Summary</w:t>
      </w:r>
      <w:bookmarkEnd w:id="5"/>
    </w:p>
    <w:p w14:paraId="42889CDF" w14:textId="77777777" w:rsidR="00AC41AE" w:rsidRDefault="00000000">
      <w:pPr>
        <w:spacing w:after="160"/>
      </w:pPr>
      <w:r>
        <w:rPr>
          <w:rFonts w:ascii="Arial" w:hAnsi="Arial"/>
        </w:rPr>
        <w:t>The institution's environmental performance in 2024 demonstrates measurable progress in operational emissions management while revealing significant challenges in financed emissions disclosure maturity. Scope 1 direct emissions from owned facilities totaled 3,402.997 tCO₂e, comprising 1,199.7924 tCO₂e from natural gas combustion and 2,203.2044 tCO₂e from diesel generators across the branch network. Scope 2 indirect emissions from purchased electricity reached 44,613.876 tCO₂e on a location-based accounting basis and 44,612.518 tCO₂e on a market-based basis, reflecting minimal access to renewable energy certificates or power purchase agreements in the Indonesian grid context. Combined operational emissions (Scope 1+2 market-based) of 48,015.515 tCO₂e represent only 0.22% of the institution's total carbon footprint, underscoring the materiality of financed emissions in the banking sector. Scope 3 Category 15 financed emissions dominate the profile at 21,976,797.3 tCO₂e gross exposure, with attribution-adjusted weighted emissions of 15,280,174.14 tCO₂e reflecting the institution's proportional share based on outstanding loan balances. The 30.48% confidence gap between gross and weighted figures highlights data quality constraints, with an average PCAF score of 3.36 indicating reliance on sector-average emission factors rather than borrower-specific primary data for the majority of the portfolio.</w:t>
      </w:r>
    </w:p>
    <w:p w14:paraId="0DF6E0D2" w14:textId="77777777" w:rsidR="00AC41AE" w:rsidRDefault="00000000">
      <w:pPr>
        <w:spacing w:after="160"/>
      </w:pPr>
      <w:r>
        <w:rPr>
          <w:rFonts w:ascii="Arial" w:hAnsi="Arial"/>
        </w:rPr>
        <w:t>Social performance metrics reveal mixed progress on workforce diversity and development objectives. Total headcount increased 2.03% to 24,997 full-time equivalents, driven by business expansion in digital banking and risk management functions. Female representation declined from 46.2% to 42.32% of total workforce, representing a 3.88 percentage point decrease that warrants investigation into recruitment and retention practices. Female representation in management positions also decreased from 28.45% to 26.67%, a 1.78 percentage point decline that signals persistent barriers to leadership advancement. Voluntary turnover improved significantly from 14.24% to 8.45%, a 40.66% reduction indicating enhanced employee retention amid competitive labor market conditions. Training intensity decreased from 64.14 to 49.3 hours per FTE, a 23.14% decline that may reflect post-pandemic normalization of training delivery models but requires monitoring to ensure continued capability development. The institution recorded 2 discrimination cases during the reporting period, down from 3 in the prior year, with both cases resolved through internal grievance mechanisms and resulting in policy clarifications.</w:t>
      </w:r>
    </w:p>
    <w:p w14:paraId="531B888B" w14:textId="77777777" w:rsidR="00AC41AE" w:rsidRDefault="00000000">
      <w:pPr>
        <w:spacing w:after="160"/>
      </w:pPr>
      <w:r>
        <w:rPr>
          <w:rFonts w:ascii="Arial" w:hAnsi="Arial"/>
        </w:rPr>
        <w:t xml:space="preserve">Data quality assessment reveals significant opportunities for disclosure enhancement across environmental and social dimensions. The PCAF portfolio-weighted data quality score of 3.36 indicates that the majority of financed emissions calculations rely on PCAF Data Quality Score 3 (sector-average emission factors) or Score 4 (proxy data), rather than borrower-specific primary data (Score 1-2). This results in a 30.48% confidence gap, with gross financed emissions of 21,976,797.3 tCO₂e reduced to 15,280,174.14 tCO₂e after attribution adjustments, representing 6,696,623.16 tCO₂e of uncertainty. Sector-level data quality varies from 3.21 (Retail Trade) to 3.42 (Financial Services), with no sectors achieving the target threshold of ≤3.0 for credible disclosure. Operational emissions data quality is substantially higher, with all Scope 1 facility-level measurements achieving Data Quality Score 1 (primary metered data), and Scope 2 electricity consumption verified through utility invoices. Social metrics demonstrate complete data coverage for quantitative indicators (headcount, gender distribution, training hours) but lack qualitative context on diversity </w:t>
      </w:r>
      <w:r>
        <w:rPr>
          <w:rFonts w:ascii="Arial" w:hAnsi="Arial"/>
        </w:rPr>
        <w:lastRenderedPageBreak/>
        <w:t>initiatives, pay equity analysis, and employee engagement survey results that would strengthen stakeholder confidence.</w:t>
      </w:r>
    </w:p>
    <w:p w14:paraId="6252156F" w14:textId="77777777" w:rsidR="00AC41AE" w:rsidRDefault="00000000">
      <w:r>
        <w:rPr>
          <w:rFonts w:ascii="Arial" w:hAnsi="Arial"/>
          <w:b/>
          <w:sz w:val="20"/>
        </w:rPr>
        <w:t>Table 6: Environmental Performance Summary</w:t>
      </w:r>
    </w:p>
    <w:tbl>
      <w:tblPr>
        <w:tblW w:w="0" w:type="auto"/>
        <w:jc w:val="center"/>
        <w:tblLook w:val="04A0" w:firstRow="1" w:lastRow="0" w:firstColumn="1" w:lastColumn="0" w:noHBand="0" w:noVBand="1"/>
      </w:tblPr>
      <w:tblGrid>
        <w:gridCol w:w="1806"/>
        <w:gridCol w:w="1806"/>
        <w:gridCol w:w="1806"/>
        <w:gridCol w:w="1806"/>
        <w:gridCol w:w="1806"/>
      </w:tblGrid>
      <w:tr w:rsidR="00AC41AE" w14:paraId="1423113A" w14:textId="77777777">
        <w:trPr>
          <w:jc w:val="center"/>
        </w:trPr>
        <w:tc>
          <w:tcPr>
            <w:tcW w:w="1806" w:type="dxa"/>
            <w:shd w:val="clear" w:color="auto" w:fill="1B3A6B"/>
          </w:tcPr>
          <w:p w14:paraId="020D3478" w14:textId="77777777" w:rsidR="00AC41AE" w:rsidRDefault="00000000">
            <w:r>
              <w:rPr>
                <w:rFonts w:ascii="Arial" w:hAnsi="Arial"/>
                <w:b/>
                <w:color w:val="FFFFFF"/>
                <w:sz w:val="18"/>
              </w:rPr>
              <w:t>Metric</w:t>
            </w:r>
          </w:p>
        </w:tc>
        <w:tc>
          <w:tcPr>
            <w:tcW w:w="1806" w:type="dxa"/>
            <w:shd w:val="clear" w:color="auto" w:fill="1B3A6B"/>
          </w:tcPr>
          <w:p w14:paraId="4FA29DB5" w14:textId="77777777" w:rsidR="00AC41AE" w:rsidRDefault="00000000">
            <w:r>
              <w:rPr>
                <w:rFonts w:ascii="Arial" w:hAnsi="Arial"/>
                <w:b/>
                <w:color w:val="FFFFFF"/>
                <w:sz w:val="18"/>
              </w:rPr>
              <w:t>FY2023</w:t>
            </w:r>
          </w:p>
        </w:tc>
        <w:tc>
          <w:tcPr>
            <w:tcW w:w="1806" w:type="dxa"/>
            <w:shd w:val="clear" w:color="auto" w:fill="1B3A6B"/>
          </w:tcPr>
          <w:p w14:paraId="2C8918DA" w14:textId="77777777" w:rsidR="00AC41AE" w:rsidRDefault="00000000">
            <w:r>
              <w:rPr>
                <w:rFonts w:ascii="Arial" w:hAnsi="Arial"/>
                <w:b/>
                <w:color w:val="FFFFFF"/>
                <w:sz w:val="18"/>
              </w:rPr>
              <w:t>FY2024</w:t>
            </w:r>
          </w:p>
        </w:tc>
        <w:tc>
          <w:tcPr>
            <w:tcW w:w="1806" w:type="dxa"/>
            <w:shd w:val="clear" w:color="auto" w:fill="1B3A6B"/>
          </w:tcPr>
          <w:p w14:paraId="228B237C" w14:textId="77777777" w:rsidR="00AC41AE" w:rsidRDefault="00000000">
            <w:r>
              <w:rPr>
                <w:rFonts w:ascii="Arial" w:hAnsi="Arial"/>
                <w:b/>
                <w:color w:val="FFFFFF"/>
                <w:sz w:val="18"/>
              </w:rPr>
              <w:t>YoY Change</w:t>
            </w:r>
          </w:p>
        </w:tc>
        <w:tc>
          <w:tcPr>
            <w:tcW w:w="1806" w:type="dxa"/>
            <w:shd w:val="clear" w:color="auto" w:fill="1B3A6B"/>
          </w:tcPr>
          <w:p w14:paraId="4EDD200A" w14:textId="77777777" w:rsidR="00AC41AE" w:rsidRDefault="00000000">
            <w:r>
              <w:rPr>
                <w:rFonts w:ascii="Arial" w:hAnsi="Arial"/>
                <w:b/>
                <w:color w:val="FFFFFF"/>
                <w:sz w:val="18"/>
              </w:rPr>
              <w:t>Unit</w:t>
            </w:r>
          </w:p>
        </w:tc>
      </w:tr>
      <w:tr w:rsidR="00AC41AE" w14:paraId="01F3FE32" w14:textId="77777777">
        <w:trPr>
          <w:jc w:val="center"/>
        </w:trPr>
        <w:tc>
          <w:tcPr>
            <w:tcW w:w="1806" w:type="dxa"/>
          </w:tcPr>
          <w:p w14:paraId="20589FA3" w14:textId="77777777" w:rsidR="00AC41AE" w:rsidRDefault="00000000">
            <w:r>
              <w:rPr>
                <w:rFonts w:ascii="Arial" w:hAnsi="Arial"/>
                <w:sz w:val="18"/>
              </w:rPr>
              <w:t>Scope 1 Direct Emissions</w:t>
            </w:r>
          </w:p>
        </w:tc>
        <w:tc>
          <w:tcPr>
            <w:tcW w:w="1806" w:type="dxa"/>
          </w:tcPr>
          <w:p w14:paraId="02F0E139" w14:textId="77777777" w:rsidR="00AC41AE" w:rsidRDefault="00000000">
            <w:pPr>
              <w:jc w:val="right"/>
            </w:pPr>
            <w:r>
              <w:rPr>
                <w:rFonts w:ascii="Arial" w:hAnsi="Arial"/>
                <w:sz w:val="18"/>
              </w:rPr>
              <w:t>3,324.521</w:t>
            </w:r>
          </w:p>
        </w:tc>
        <w:tc>
          <w:tcPr>
            <w:tcW w:w="1806" w:type="dxa"/>
          </w:tcPr>
          <w:p w14:paraId="6DFCF33D" w14:textId="77777777" w:rsidR="00AC41AE" w:rsidRDefault="00000000">
            <w:pPr>
              <w:jc w:val="right"/>
            </w:pPr>
            <w:r>
              <w:rPr>
                <w:rFonts w:ascii="Arial" w:hAnsi="Arial"/>
                <w:sz w:val="18"/>
              </w:rPr>
              <w:t>3,402.997</w:t>
            </w:r>
          </w:p>
        </w:tc>
        <w:tc>
          <w:tcPr>
            <w:tcW w:w="1806" w:type="dxa"/>
          </w:tcPr>
          <w:p w14:paraId="1C0C5976" w14:textId="77777777" w:rsidR="00AC41AE" w:rsidRDefault="00000000">
            <w:pPr>
              <w:jc w:val="right"/>
            </w:pPr>
            <w:r>
              <w:rPr>
                <w:rFonts w:ascii="Arial" w:hAnsi="Arial"/>
                <w:sz w:val="18"/>
              </w:rPr>
              <w:t>+2.36%</w:t>
            </w:r>
          </w:p>
        </w:tc>
        <w:tc>
          <w:tcPr>
            <w:tcW w:w="1806" w:type="dxa"/>
          </w:tcPr>
          <w:p w14:paraId="20D0B672" w14:textId="77777777" w:rsidR="00AC41AE" w:rsidRDefault="00000000">
            <w:r>
              <w:rPr>
                <w:rFonts w:ascii="Arial" w:hAnsi="Arial"/>
                <w:sz w:val="18"/>
              </w:rPr>
              <w:t>tCO₂e</w:t>
            </w:r>
          </w:p>
        </w:tc>
      </w:tr>
      <w:tr w:rsidR="00AC41AE" w14:paraId="64CC25F1" w14:textId="77777777">
        <w:trPr>
          <w:jc w:val="center"/>
        </w:trPr>
        <w:tc>
          <w:tcPr>
            <w:tcW w:w="1806" w:type="dxa"/>
            <w:shd w:val="clear" w:color="auto" w:fill="F2F6FC"/>
          </w:tcPr>
          <w:p w14:paraId="086B8249" w14:textId="77777777" w:rsidR="00AC41AE" w:rsidRDefault="00000000">
            <w:r>
              <w:rPr>
                <w:rFonts w:ascii="Arial" w:hAnsi="Arial"/>
                <w:sz w:val="18"/>
              </w:rPr>
              <w:t>Scope 2 Location-Based</w:t>
            </w:r>
          </w:p>
        </w:tc>
        <w:tc>
          <w:tcPr>
            <w:tcW w:w="1806" w:type="dxa"/>
            <w:shd w:val="clear" w:color="auto" w:fill="F2F6FC"/>
          </w:tcPr>
          <w:p w14:paraId="1F71CDE4" w14:textId="77777777" w:rsidR="00AC41AE" w:rsidRDefault="00000000">
            <w:pPr>
              <w:jc w:val="right"/>
            </w:pPr>
            <w:r>
              <w:rPr>
                <w:rFonts w:ascii="Arial" w:hAnsi="Arial"/>
                <w:sz w:val="18"/>
              </w:rPr>
              <w:t>44,599.440</w:t>
            </w:r>
          </w:p>
        </w:tc>
        <w:tc>
          <w:tcPr>
            <w:tcW w:w="1806" w:type="dxa"/>
            <w:shd w:val="clear" w:color="auto" w:fill="F2F6FC"/>
          </w:tcPr>
          <w:p w14:paraId="6BF4641B" w14:textId="77777777" w:rsidR="00AC41AE" w:rsidRDefault="00000000">
            <w:pPr>
              <w:jc w:val="right"/>
            </w:pPr>
            <w:r>
              <w:rPr>
                <w:rFonts w:ascii="Arial" w:hAnsi="Arial"/>
                <w:sz w:val="18"/>
              </w:rPr>
              <w:t>44,613.876</w:t>
            </w:r>
          </w:p>
        </w:tc>
        <w:tc>
          <w:tcPr>
            <w:tcW w:w="1806" w:type="dxa"/>
            <w:shd w:val="clear" w:color="auto" w:fill="F2F6FC"/>
          </w:tcPr>
          <w:p w14:paraId="19B14AEC" w14:textId="77777777" w:rsidR="00AC41AE" w:rsidRDefault="00000000">
            <w:pPr>
              <w:jc w:val="right"/>
            </w:pPr>
            <w:r>
              <w:rPr>
                <w:rFonts w:ascii="Arial" w:hAnsi="Arial"/>
                <w:sz w:val="18"/>
              </w:rPr>
              <w:t>+0.03%</w:t>
            </w:r>
          </w:p>
        </w:tc>
        <w:tc>
          <w:tcPr>
            <w:tcW w:w="1806" w:type="dxa"/>
            <w:shd w:val="clear" w:color="auto" w:fill="F2F6FC"/>
          </w:tcPr>
          <w:p w14:paraId="4193F934" w14:textId="77777777" w:rsidR="00AC41AE" w:rsidRDefault="00000000">
            <w:r>
              <w:rPr>
                <w:rFonts w:ascii="Arial" w:hAnsi="Arial"/>
                <w:sz w:val="18"/>
              </w:rPr>
              <w:t>tCO₂e</w:t>
            </w:r>
          </w:p>
        </w:tc>
      </w:tr>
      <w:tr w:rsidR="00AC41AE" w14:paraId="1906D4B0" w14:textId="77777777">
        <w:trPr>
          <w:jc w:val="center"/>
        </w:trPr>
        <w:tc>
          <w:tcPr>
            <w:tcW w:w="1806" w:type="dxa"/>
          </w:tcPr>
          <w:p w14:paraId="06D87787" w14:textId="77777777" w:rsidR="00AC41AE" w:rsidRDefault="00000000">
            <w:r>
              <w:rPr>
                <w:rFonts w:ascii="Arial" w:hAnsi="Arial"/>
                <w:sz w:val="18"/>
              </w:rPr>
              <w:t>Scope 2 Market-Based</w:t>
            </w:r>
          </w:p>
        </w:tc>
        <w:tc>
          <w:tcPr>
            <w:tcW w:w="1806" w:type="dxa"/>
          </w:tcPr>
          <w:p w14:paraId="396E3BE0" w14:textId="77777777" w:rsidR="00AC41AE" w:rsidRDefault="00000000">
            <w:pPr>
              <w:jc w:val="right"/>
            </w:pPr>
            <w:r>
              <w:rPr>
                <w:rFonts w:ascii="Arial" w:hAnsi="Arial"/>
                <w:sz w:val="18"/>
              </w:rPr>
              <w:t>44,598.118</w:t>
            </w:r>
          </w:p>
        </w:tc>
        <w:tc>
          <w:tcPr>
            <w:tcW w:w="1806" w:type="dxa"/>
          </w:tcPr>
          <w:p w14:paraId="54FBE54D" w14:textId="77777777" w:rsidR="00AC41AE" w:rsidRDefault="00000000">
            <w:pPr>
              <w:jc w:val="right"/>
            </w:pPr>
            <w:r>
              <w:rPr>
                <w:rFonts w:ascii="Arial" w:hAnsi="Arial"/>
                <w:sz w:val="18"/>
              </w:rPr>
              <w:t>44,612.518</w:t>
            </w:r>
          </w:p>
        </w:tc>
        <w:tc>
          <w:tcPr>
            <w:tcW w:w="1806" w:type="dxa"/>
          </w:tcPr>
          <w:p w14:paraId="5E98AE83" w14:textId="77777777" w:rsidR="00AC41AE" w:rsidRDefault="00000000">
            <w:pPr>
              <w:jc w:val="right"/>
            </w:pPr>
            <w:r>
              <w:rPr>
                <w:rFonts w:ascii="Arial" w:hAnsi="Arial"/>
                <w:sz w:val="18"/>
              </w:rPr>
              <w:t>+0.03%</w:t>
            </w:r>
          </w:p>
        </w:tc>
        <w:tc>
          <w:tcPr>
            <w:tcW w:w="1806" w:type="dxa"/>
          </w:tcPr>
          <w:p w14:paraId="226BB4E1" w14:textId="77777777" w:rsidR="00AC41AE" w:rsidRDefault="00000000">
            <w:r>
              <w:rPr>
                <w:rFonts w:ascii="Arial" w:hAnsi="Arial"/>
                <w:sz w:val="18"/>
              </w:rPr>
              <w:t>tCO₂e</w:t>
            </w:r>
          </w:p>
        </w:tc>
      </w:tr>
      <w:tr w:rsidR="00AC41AE" w14:paraId="3A57BFE5" w14:textId="77777777">
        <w:trPr>
          <w:jc w:val="center"/>
        </w:trPr>
        <w:tc>
          <w:tcPr>
            <w:tcW w:w="1806" w:type="dxa"/>
            <w:shd w:val="clear" w:color="auto" w:fill="F2F6FC"/>
          </w:tcPr>
          <w:p w14:paraId="361A1936" w14:textId="77777777" w:rsidR="00AC41AE" w:rsidRDefault="00000000">
            <w:r>
              <w:rPr>
                <w:rFonts w:ascii="Arial" w:hAnsi="Arial"/>
                <w:sz w:val="18"/>
              </w:rPr>
              <w:t>Scope 3 Cat 15 Gross</w:t>
            </w:r>
          </w:p>
        </w:tc>
        <w:tc>
          <w:tcPr>
            <w:tcW w:w="1806" w:type="dxa"/>
            <w:shd w:val="clear" w:color="auto" w:fill="F2F6FC"/>
          </w:tcPr>
          <w:p w14:paraId="22460C14" w14:textId="77777777" w:rsidR="00AC41AE" w:rsidRDefault="00000000">
            <w:pPr>
              <w:jc w:val="right"/>
            </w:pPr>
            <w:r>
              <w:rPr>
                <w:rFonts w:ascii="Arial" w:hAnsi="Arial"/>
                <w:sz w:val="18"/>
              </w:rPr>
              <w:t>22,911,991.050</w:t>
            </w:r>
          </w:p>
        </w:tc>
        <w:tc>
          <w:tcPr>
            <w:tcW w:w="1806" w:type="dxa"/>
            <w:shd w:val="clear" w:color="auto" w:fill="F2F6FC"/>
          </w:tcPr>
          <w:p w14:paraId="744A1E79" w14:textId="77777777" w:rsidR="00AC41AE" w:rsidRDefault="00000000">
            <w:pPr>
              <w:jc w:val="right"/>
            </w:pPr>
            <w:r>
              <w:rPr>
                <w:rFonts w:ascii="Arial" w:hAnsi="Arial"/>
                <w:sz w:val="18"/>
              </w:rPr>
              <w:t>21,976,797.300</w:t>
            </w:r>
          </w:p>
        </w:tc>
        <w:tc>
          <w:tcPr>
            <w:tcW w:w="1806" w:type="dxa"/>
            <w:shd w:val="clear" w:color="auto" w:fill="F2F6FC"/>
          </w:tcPr>
          <w:p w14:paraId="5A800589" w14:textId="77777777" w:rsidR="00AC41AE" w:rsidRDefault="00000000">
            <w:pPr>
              <w:jc w:val="right"/>
            </w:pPr>
            <w:r>
              <w:rPr>
                <w:rFonts w:ascii="Arial" w:hAnsi="Arial"/>
                <w:sz w:val="18"/>
              </w:rPr>
              <w:t>-4.08%</w:t>
            </w:r>
          </w:p>
        </w:tc>
        <w:tc>
          <w:tcPr>
            <w:tcW w:w="1806" w:type="dxa"/>
            <w:shd w:val="clear" w:color="auto" w:fill="F2F6FC"/>
          </w:tcPr>
          <w:p w14:paraId="7C614317" w14:textId="77777777" w:rsidR="00AC41AE" w:rsidRDefault="00000000">
            <w:r>
              <w:rPr>
                <w:rFonts w:ascii="Arial" w:hAnsi="Arial"/>
                <w:sz w:val="18"/>
              </w:rPr>
              <w:t>tCO₂e</w:t>
            </w:r>
          </w:p>
        </w:tc>
      </w:tr>
      <w:tr w:rsidR="00AC41AE" w14:paraId="68CC9919" w14:textId="77777777">
        <w:trPr>
          <w:jc w:val="center"/>
        </w:trPr>
        <w:tc>
          <w:tcPr>
            <w:tcW w:w="1806" w:type="dxa"/>
          </w:tcPr>
          <w:p w14:paraId="53697574" w14:textId="77777777" w:rsidR="00AC41AE" w:rsidRDefault="00000000">
            <w:r>
              <w:rPr>
                <w:rFonts w:ascii="Arial" w:hAnsi="Arial"/>
                <w:sz w:val="18"/>
              </w:rPr>
              <w:t>Scope 3 Cat 15 Weighted</w:t>
            </w:r>
          </w:p>
        </w:tc>
        <w:tc>
          <w:tcPr>
            <w:tcW w:w="1806" w:type="dxa"/>
          </w:tcPr>
          <w:p w14:paraId="0FCBC500" w14:textId="77777777" w:rsidR="00AC41AE" w:rsidRDefault="00000000">
            <w:pPr>
              <w:jc w:val="right"/>
            </w:pPr>
            <w:r>
              <w:rPr>
                <w:rFonts w:ascii="Arial" w:hAnsi="Arial"/>
                <w:sz w:val="18"/>
              </w:rPr>
              <w:t>15,576,239.570</w:t>
            </w:r>
          </w:p>
        </w:tc>
        <w:tc>
          <w:tcPr>
            <w:tcW w:w="1806" w:type="dxa"/>
          </w:tcPr>
          <w:p w14:paraId="17514D05" w14:textId="77777777" w:rsidR="00AC41AE" w:rsidRDefault="00000000">
            <w:pPr>
              <w:jc w:val="right"/>
            </w:pPr>
            <w:r>
              <w:rPr>
                <w:rFonts w:ascii="Arial" w:hAnsi="Arial"/>
                <w:sz w:val="18"/>
              </w:rPr>
              <w:t>15,280,174.140</w:t>
            </w:r>
          </w:p>
        </w:tc>
        <w:tc>
          <w:tcPr>
            <w:tcW w:w="1806" w:type="dxa"/>
          </w:tcPr>
          <w:p w14:paraId="25047F40" w14:textId="77777777" w:rsidR="00AC41AE" w:rsidRDefault="00000000">
            <w:pPr>
              <w:jc w:val="right"/>
            </w:pPr>
            <w:r>
              <w:rPr>
                <w:rFonts w:ascii="Arial" w:hAnsi="Arial"/>
                <w:sz w:val="18"/>
              </w:rPr>
              <w:t>-1.90%</w:t>
            </w:r>
          </w:p>
        </w:tc>
        <w:tc>
          <w:tcPr>
            <w:tcW w:w="1806" w:type="dxa"/>
          </w:tcPr>
          <w:p w14:paraId="38928A33" w14:textId="77777777" w:rsidR="00AC41AE" w:rsidRDefault="00000000">
            <w:r>
              <w:rPr>
                <w:rFonts w:ascii="Arial" w:hAnsi="Arial"/>
                <w:sz w:val="18"/>
              </w:rPr>
              <w:t>tCO₂e</w:t>
            </w:r>
          </w:p>
        </w:tc>
      </w:tr>
      <w:tr w:rsidR="00AC41AE" w14:paraId="40144271" w14:textId="77777777">
        <w:trPr>
          <w:jc w:val="center"/>
        </w:trPr>
        <w:tc>
          <w:tcPr>
            <w:tcW w:w="1806" w:type="dxa"/>
            <w:shd w:val="clear" w:color="auto" w:fill="F2F6FC"/>
          </w:tcPr>
          <w:p w14:paraId="0C1A345E" w14:textId="77777777" w:rsidR="00AC41AE" w:rsidRDefault="00000000">
            <w:r>
              <w:rPr>
                <w:rFonts w:ascii="Arial" w:hAnsi="Arial"/>
                <w:sz w:val="18"/>
              </w:rPr>
              <w:t>Total (Market-Based)</w:t>
            </w:r>
          </w:p>
        </w:tc>
        <w:tc>
          <w:tcPr>
            <w:tcW w:w="1806" w:type="dxa"/>
            <w:shd w:val="clear" w:color="auto" w:fill="F2F6FC"/>
          </w:tcPr>
          <w:p w14:paraId="6457BD48" w14:textId="77777777" w:rsidR="00AC41AE" w:rsidRDefault="00000000">
            <w:pPr>
              <w:jc w:val="right"/>
            </w:pPr>
            <w:r>
              <w:rPr>
                <w:rFonts w:ascii="Arial" w:hAnsi="Arial"/>
                <w:sz w:val="18"/>
              </w:rPr>
              <w:t>22,959,810.620</w:t>
            </w:r>
          </w:p>
        </w:tc>
        <w:tc>
          <w:tcPr>
            <w:tcW w:w="1806" w:type="dxa"/>
            <w:shd w:val="clear" w:color="auto" w:fill="F2F6FC"/>
          </w:tcPr>
          <w:p w14:paraId="150569C5" w14:textId="77777777" w:rsidR="00AC41AE" w:rsidRDefault="00000000">
            <w:pPr>
              <w:jc w:val="right"/>
            </w:pPr>
            <w:r>
              <w:rPr>
                <w:rFonts w:ascii="Arial" w:hAnsi="Arial"/>
                <w:sz w:val="18"/>
              </w:rPr>
              <w:t>22,024,814.270</w:t>
            </w:r>
          </w:p>
        </w:tc>
        <w:tc>
          <w:tcPr>
            <w:tcW w:w="1806" w:type="dxa"/>
            <w:shd w:val="clear" w:color="auto" w:fill="F2F6FC"/>
          </w:tcPr>
          <w:p w14:paraId="0BB772A7" w14:textId="77777777" w:rsidR="00AC41AE" w:rsidRDefault="00000000">
            <w:pPr>
              <w:jc w:val="right"/>
            </w:pPr>
            <w:r>
              <w:rPr>
                <w:rFonts w:ascii="Arial" w:hAnsi="Arial"/>
                <w:sz w:val="18"/>
              </w:rPr>
              <w:t>-4.07%</w:t>
            </w:r>
          </w:p>
        </w:tc>
        <w:tc>
          <w:tcPr>
            <w:tcW w:w="1806" w:type="dxa"/>
            <w:shd w:val="clear" w:color="auto" w:fill="F2F6FC"/>
          </w:tcPr>
          <w:p w14:paraId="17B61A1B" w14:textId="77777777" w:rsidR="00AC41AE" w:rsidRDefault="00000000">
            <w:r>
              <w:rPr>
                <w:rFonts w:ascii="Arial" w:hAnsi="Arial"/>
                <w:sz w:val="18"/>
              </w:rPr>
              <w:t>tCO₂e</w:t>
            </w:r>
          </w:p>
        </w:tc>
      </w:tr>
      <w:tr w:rsidR="00AC41AE" w14:paraId="36540BBF" w14:textId="77777777">
        <w:trPr>
          <w:jc w:val="center"/>
        </w:trPr>
        <w:tc>
          <w:tcPr>
            <w:tcW w:w="1806" w:type="dxa"/>
          </w:tcPr>
          <w:p w14:paraId="6445D193" w14:textId="77777777" w:rsidR="00AC41AE" w:rsidRDefault="00000000">
            <w:r>
              <w:rPr>
                <w:rFonts w:ascii="Arial" w:hAnsi="Arial"/>
                <w:sz w:val="18"/>
              </w:rPr>
              <w:t>Intensity (Revenue)</w:t>
            </w:r>
          </w:p>
        </w:tc>
        <w:tc>
          <w:tcPr>
            <w:tcW w:w="1806" w:type="dxa"/>
          </w:tcPr>
          <w:p w14:paraId="6585DD26" w14:textId="77777777" w:rsidR="00AC41AE" w:rsidRDefault="00000000">
            <w:pPr>
              <w:jc w:val="right"/>
            </w:pPr>
            <w:r>
              <w:rPr>
                <w:rFonts w:ascii="Arial" w:hAnsi="Arial"/>
                <w:sz w:val="18"/>
              </w:rPr>
              <w:t>270.116632</w:t>
            </w:r>
          </w:p>
        </w:tc>
        <w:tc>
          <w:tcPr>
            <w:tcW w:w="1806" w:type="dxa"/>
          </w:tcPr>
          <w:p w14:paraId="5B81F875" w14:textId="77777777" w:rsidR="00AC41AE" w:rsidRDefault="00000000">
            <w:pPr>
              <w:jc w:val="right"/>
            </w:pPr>
            <w:r>
              <w:rPr>
                <w:rFonts w:ascii="Arial" w:hAnsi="Arial"/>
                <w:sz w:val="18"/>
              </w:rPr>
              <w:t>239.400139</w:t>
            </w:r>
          </w:p>
        </w:tc>
        <w:tc>
          <w:tcPr>
            <w:tcW w:w="1806" w:type="dxa"/>
          </w:tcPr>
          <w:p w14:paraId="242591CC" w14:textId="77777777" w:rsidR="00AC41AE" w:rsidRDefault="00000000">
            <w:pPr>
              <w:jc w:val="right"/>
            </w:pPr>
            <w:r>
              <w:rPr>
                <w:rFonts w:ascii="Arial" w:hAnsi="Arial"/>
                <w:sz w:val="18"/>
              </w:rPr>
              <w:t>-11.37%</w:t>
            </w:r>
          </w:p>
        </w:tc>
        <w:tc>
          <w:tcPr>
            <w:tcW w:w="1806" w:type="dxa"/>
          </w:tcPr>
          <w:p w14:paraId="50570B29" w14:textId="77777777" w:rsidR="00AC41AE" w:rsidRDefault="00000000">
            <w:r>
              <w:rPr>
                <w:rFonts w:ascii="Arial" w:hAnsi="Arial"/>
                <w:sz w:val="18"/>
              </w:rPr>
              <w:t>tCO₂e/IDR Bn</w:t>
            </w:r>
          </w:p>
        </w:tc>
      </w:tr>
      <w:tr w:rsidR="00AC41AE" w14:paraId="4303EC7D" w14:textId="77777777">
        <w:trPr>
          <w:jc w:val="center"/>
        </w:trPr>
        <w:tc>
          <w:tcPr>
            <w:tcW w:w="1806" w:type="dxa"/>
            <w:shd w:val="clear" w:color="auto" w:fill="F2F6FC"/>
          </w:tcPr>
          <w:p w14:paraId="51536EC9" w14:textId="77777777" w:rsidR="00AC41AE" w:rsidRDefault="00000000">
            <w:r>
              <w:rPr>
                <w:rFonts w:ascii="Arial" w:hAnsi="Arial"/>
                <w:sz w:val="18"/>
              </w:rPr>
              <w:t>Intensity (FTE)</w:t>
            </w:r>
          </w:p>
        </w:tc>
        <w:tc>
          <w:tcPr>
            <w:tcW w:w="1806" w:type="dxa"/>
            <w:shd w:val="clear" w:color="auto" w:fill="F2F6FC"/>
          </w:tcPr>
          <w:p w14:paraId="08CDEB0A" w14:textId="77777777" w:rsidR="00AC41AE" w:rsidRDefault="00000000">
            <w:pPr>
              <w:jc w:val="right"/>
            </w:pPr>
            <w:r>
              <w:rPr>
                <w:rFonts w:ascii="Arial" w:hAnsi="Arial"/>
                <w:sz w:val="18"/>
              </w:rPr>
              <w:t>1.956</w:t>
            </w:r>
          </w:p>
        </w:tc>
        <w:tc>
          <w:tcPr>
            <w:tcW w:w="1806" w:type="dxa"/>
            <w:shd w:val="clear" w:color="auto" w:fill="F2F6FC"/>
          </w:tcPr>
          <w:p w14:paraId="5EBEA630" w14:textId="77777777" w:rsidR="00AC41AE" w:rsidRDefault="00000000">
            <w:pPr>
              <w:jc w:val="right"/>
            </w:pPr>
            <w:r>
              <w:rPr>
                <w:rFonts w:ascii="Arial" w:hAnsi="Arial"/>
                <w:sz w:val="18"/>
              </w:rPr>
              <w:t>1.9209</w:t>
            </w:r>
          </w:p>
        </w:tc>
        <w:tc>
          <w:tcPr>
            <w:tcW w:w="1806" w:type="dxa"/>
            <w:shd w:val="clear" w:color="auto" w:fill="F2F6FC"/>
          </w:tcPr>
          <w:p w14:paraId="52FA6B2F" w14:textId="77777777" w:rsidR="00AC41AE" w:rsidRDefault="00000000">
            <w:pPr>
              <w:jc w:val="right"/>
            </w:pPr>
            <w:r>
              <w:rPr>
                <w:rFonts w:ascii="Arial" w:hAnsi="Arial"/>
                <w:sz w:val="18"/>
              </w:rPr>
              <w:t>-1.79%</w:t>
            </w:r>
          </w:p>
        </w:tc>
        <w:tc>
          <w:tcPr>
            <w:tcW w:w="1806" w:type="dxa"/>
            <w:shd w:val="clear" w:color="auto" w:fill="F2F6FC"/>
          </w:tcPr>
          <w:p w14:paraId="6BEECB8E" w14:textId="77777777" w:rsidR="00AC41AE" w:rsidRDefault="00000000">
            <w:r>
              <w:rPr>
                <w:rFonts w:ascii="Arial" w:hAnsi="Arial"/>
                <w:sz w:val="18"/>
              </w:rPr>
              <w:t>tCO₂e/FTE</w:t>
            </w:r>
          </w:p>
        </w:tc>
      </w:tr>
    </w:tbl>
    <w:p w14:paraId="08945274" w14:textId="77777777" w:rsidR="00AC41AE" w:rsidRDefault="00000000">
      <w:r>
        <w:rPr>
          <w:rFonts w:ascii="Arial" w:hAnsi="Arial"/>
          <w:i/>
          <w:sz w:val="16"/>
        </w:rPr>
        <w:t>Source: All figures from institution's GHG inventory system. Market-based Scope 2 used for total per GHG Protocol hierarchy.</w:t>
      </w:r>
    </w:p>
    <w:p w14:paraId="3D2BD3DA" w14:textId="77777777" w:rsidR="00AC41AE" w:rsidRDefault="00AC41AE"/>
    <w:p w14:paraId="556B3660" w14:textId="77777777" w:rsidR="00AC41AE" w:rsidRDefault="00000000">
      <w:r>
        <w:rPr>
          <w:rFonts w:ascii="Arial" w:hAnsi="Arial"/>
          <w:b/>
          <w:sz w:val="20"/>
        </w:rPr>
        <w:t>Table 8: Social Performance Summary</w:t>
      </w:r>
    </w:p>
    <w:tbl>
      <w:tblPr>
        <w:tblW w:w="0" w:type="auto"/>
        <w:jc w:val="center"/>
        <w:tblLook w:val="04A0" w:firstRow="1" w:lastRow="0" w:firstColumn="1" w:lastColumn="0" w:noHBand="0" w:noVBand="1"/>
      </w:tblPr>
      <w:tblGrid>
        <w:gridCol w:w="1806"/>
        <w:gridCol w:w="1806"/>
        <w:gridCol w:w="1806"/>
        <w:gridCol w:w="1806"/>
        <w:gridCol w:w="1806"/>
      </w:tblGrid>
      <w:tr w:rsidR="00AC41AE" w14:paraId="7F16219B" w14:textId="77777777">
        <w:trPr>
          <w:jc w:val="center"/>
        </w:trPr>
        <w:tc>
          <w:tcPr>
            <w:tcW w:w="1806" w:type="dxa"/>
            <w:shd w:val="clear" w:color="auto" w:fill="1B3A6B"/>
          </w:tcPr>
          <w:p w14:paraId="0D11D519" w14:textId="77777777" w:rsidR="00AC41AE" w:rsidRDefault="00000000">
            <w:r>
              <w:rPr>
                <w:rFonts w:ascii="Arial" w:hAnsi="Arial"/>
                <w:b/>
                <w:color w:val="FFFFFF"/>
                <w:sz w:val="18"/>
              </w:rPr>
              <w:t>Metric</w:t>
            </w:r>
          </w:p>
        </w:tc>
        <w:tc>
          <w:tcPr>
            <w:tcW w:w="1806" w:type="dxa"/>
            <w:shd w:val="clear" w:color="auto" w:fill="1B3A6B"/>
          </w:tcPr>
          <w:p w14:paraId="0028D9DB" w14:textId="77777777" w:rsidR="00AC41AE" w:rsidRDefault="00000000">
            <w:r>
              <w:rPr>
                <w:rFonts w:ascii="Arial" w:hAnsi="Arial"/>
                <w:b/>
                <w:color w:val="FFFFFF"/>
                <w:sz w:val="18"/>
              </w:rPr>
              <w:t>FY2023</w:t>
            </w:r>
          </w:p>
        </w:tc>
        <w:tc>
          <w:tcPr>
            <w:tcW w:w="1806" w:type="dxa"/>
            <w:shd w:val="clear" w:color="auto" w:fill="1B3A6B"/>
          </w:tcPr>
          <w:p w14:paraId="3A3A5BC2" w14:textId="77777777" w:rsidR="00AC41AE" w:rsidRDefault="00000000">
            <w:r>
              <w:rPr>
                <w:rFonts w:ascii="Arial" w:hAnsi="Arial"/>
                <w:b/>
                <w:color w:val="FFFFFF"/>
                <w:sz w:val="18"/>
              </w:rPr>
              <w:t>FY2024</w:t>
            </w:r>
          </w:p>
        </w:tc>
        <w:tc>
          <w:tcPr>
            <w:tcW w:w="1806" w:type="dxa"/>
            <w:shd w:val="clear" w:color="auto" w:fill="1B3A6B"/>
          </w:tcPr>
          <w:p w14:paraId="6BDEF9F7" w14:textId="77777777" w:rsidR="00AC41AE" w:rsidRDefault="00000000">
            <w:r>
              <w:rPr>
                <w:rFonts w:ascii="Arial" w:hAnsi="Arial"/>
                <w:b/>
                <w:color w:val="FFFFFF"/>
                <w:sz w:val="18"/>
              </w:rPr>
              <w:t>YoY Change</w:t>
            </w:r>
          </w:p>
        </w:tc>
        <w:tc>
          <w:tcPr>
            <w:tcW w:w="1806" w:type="dxa"/>
            <w:shd w:val="clear" w:color="auto" w:fill="1B3A6B"/>
          </w:tcPr>
          <w:p w14:paraId="642874CF" w14:textId="77777777" w:rsidR="00AC41AE" w:rsidRDefault="00000000">
            <w:r>
              <w:rPr>
                <w:rFonts w:ascii="Arial" w:hAnsi="Arial"/>
                <w:b/>
                <w:color w:val="FFFFFF"/>
                <w:sz w:val="18"/>
              </w:rPr>
              <w:t>Unit</w:t>
            </w:r>
          </w:p>
        </w:tc>
      </w:tr>
      <w:tr w:rsidR="00AC41AE" w14:paraId="39F761FB" w14:textId="77777777">
        <w:trPr>
          <w:jc w:val="center"/>
        </w:trPr>
        <w:tc>
          <w:tcPr>
            <w:tcW w:w="1806" w:type="dxa"/>
          </w:tcPr>
          <w:p w14:paraId="0F14338B" w14:textId="77777777" w:rsidR="00AC41AE" w:rsidRDefault="00000000">
            <w:r>
              <w:rPr>
                <w:rFonts w:ascii="Arial" w:hAnsi="Arial"/>
                <w:sz w:val="18"/>
              </w:rPr>
              <w:t>Total FTE</w:t>
            </w:r>
          </w:p>
        </w:tc>
        <w:tc>
          <w:tcPr>
            <w:tcW w:w="1806" w:type="dxa"/>
          </w:tcPr>
          <w:p w14:paraId="150A1545" w14:textId="77777777" w:rsidR="00AC41AE" w:rsidRDefault="00000000">
            <w:pPr>
              <w:jc w:val="right"/>
            </w:pPr>
            <w:r>
              <w:rPr>
                <w:rFonts w:ascii="Arial" w:hAnsi="Arial"/>
                <w:sz w:val="18"/>
              </w:rPr>
              <w:t>24,500</w:t>
            </w:r>
          </w:p>
        </w:tc>
        <w:tc>
          <w:tcPr>
            <w:tcW w:w="1806" w:type="dxa"/>
          </w:tcPr>
          <w:p w14:paraId="3EDEAD44" w14:textId="77777777" w:rsidR="00AC41AE" w:rsidRDefault="00000000">
            <w:pPr>
              <w:jc w:val="right"/>
            </w:pPr>
            <w:r>
              <w:rPr>
                <w:rFonts w:ascii="Arial" w:hAnsi="Arial"/>
                <w:sz w:val="18"/>
              </w:rPr>
              <w:t>24,997</w:t>
            </w:r>
          </w:p>
        </w:tc>
        <w:tc>
          <w:tcPr>
            <w:tcW w:w="1806" w:type="dxa"/>
          </w:tcPr>
          <w:p w14:paraId="7FA9E231" w14:textId="77777777" w:rsidR="00AC41AE" w:rsidRDefault="00000000">
            <w:pPr>
              <w:jc w:val="right"/>
            </w:pPr>
            <w:r>
              <w:rPr>
                <w:rFonts w:ascii="Arial" w:hAnsi="Arial"/>
                <w:sz w:val="18"/>
              </w:rPr>
              <w:t>+2.03%</w:t>
            </w:r>
          </w:p>
        </w:tc>
        <w:tc>
          <w:tcPr>
            <w:tcW w:w="1806" w:type="dxa"/>
          </w:tcPr>
          <w:p w14:paraId="33575F7F" w14:textId="77777777" w:rsidR="00AC41AE" w:rsidRDefault="00000000">
            <w:r>
              <w:rPr>
                <w:rFonts w:ascii="Arial" w:hAnsi="Arial"/>
                <w:sz w:val="18"/>
              </w:rPr>
              <w:t>employees</w:t>
            </w:r>
          </w:p>
        </w:tc>
      </w:tr>
      <w:tr w:rsidR="00AC41AE" w14:paraId="49AAFE7C" w14:textId="77777777">
        <w:trPr>
          <w:jc w:val="center"/>
        </w:trPr>
        <w:tc>
          <w:tcPr>
            <w:tcW w:w="1806" w:type="dxa"/>
            <w:shd w:val="clear" w:color="auto" w:fill="F2F6FC"/>
          </w:tcPr>
          <w:p w14:paraId="6276A1AA" w14:textId="77777777" w:rsidR="00AC41AE" w:rsidRDefault="00000000">
            <w:r>
              <w:rPr>
                <w:rFonts w:ascii="Arial" w:hAnsi="Arial"/>
                <w:sz w:val="18"/>
              </w:rPr>
              <w:t>Female Representation</w:t>
            </w:r>
          </w:p>
        </w:tc>
        <w:tc>
          <w:tcPr>
            <w:tcW w:w="1806" w:type="dxa"/>
            <w:shd w:val="clear" w:color="auto" w:fill="F2F6FC"/>
          </w:tcPr>
          <w:p w14:paraId="7C24DB88" w14:textId="77777777" w:rsidR="00AC41AE" w:rsidRDefault="00000000">
            <w:pPr>
              <w:jc w:val="right"/>
            </w:pPr>
            <w:r>
              <w:rPr>
                <w:rFonts w:ascii="Arial" w:hAnsi="Arial"/>
                <w:sz w:val="18"/>
              </w:rPr>
              <w:t>46.2</w:t>
            </w:r>
          </w:p>
        </w:tc>
        <w:tc>
          <w:tcPr>
            <w:tcW w:w="1806" w:type="dxa"/>
            <w:shd w:val="clear" w:color="auto" w:fill="F2F6FC"/>
          </w:tcPr>
          <w:p w14:paraId="2D06FC60" w14:textId="77777777" w:rsidR="00AC41AE" w:rsidRDefault="00000000">
            <w:pPr>
              <w:jc w:val="right"/>
            </w:pPr>
            <w:r>
              <w:rPr>
                <w:rFonts w:ascii="Arial" w:hAnsi="Arial"/>
                <w:sz w:val="18"/>
              </w:rPr>
              <w:t>42.32</w:t>
            </w:r>
          </w:p>
        </w:tc>
        <w:tc>
          <w:tcPr>
            <w:tcW w:w="1806" w:type="dxa"/>
            <w:shd w:val="clear" w:color="auto" w:fill="F2F6FC"/>
          </w:tcPr>
          <w:p w14:paraId="000CAE0B" w14:textId="77777777" w:rsidR="00AC41AE" w:rsidRDefault="00000000">
            <w:r>
              <w:rPr>
                <w:rFonts w:ascii="Arial" w:hAnsi="Arial"/>
                <w:sz w:val="18"/>
              </w:rPr>
              <w:t>-3.88pp</w:t>
            </w:r>
          </w:p>
        </w:tc>
        <w:tc>
          <w:tcPr>
            <w:tcW w:w="1806" w:type="dxa"/>
            <w:shd w:val="clear" w:color="auto" w:fill="F2F6FC"/>
          </w:tcPr>
          <w:p w14:paraId="017D9432" w14:textId="77777777" w:rsidR="00AC41AE" w:rsidRDefault="00000000">
            <w:r>
              <w:rPr>
                <w:rFonts w:ascii="Arial" w:hAnsi="Arial"/>
                <w:sz w:val="18"/>
              </w:rPr>
              <w:t>%</w:t>
            </w:r>
          </w:p>
        </w:tc>
      </w:tr>
      <w:tr w:rsidR="00AC41AE" w14:paraId="61E322F7" w14:textId="77777777">
        <w:trPr>
          <w:jc w:val="center"/>
        </w:trPr>
        <w:tc>
          <w:tcPr>
            <w:tcW w:w="1806" w:type="dxa"/>
          </w:tcPr>
          <w:p w14:paraId="3FF1A4A5" w14:textId="77777777" w:rsidR="00AC41AE" w:rsidRDefault="00000000">
            <w:r>
              <w:rPr>
                <w:rFonts w:ascii="Arial" w:hAnsi="Arial"/>
                <w:sz w:val="18"/>
              </w:rPr>
              <w:t>Female in Management</w:t>
            </w:r>
          </w:p>
        </w:tc>
        <w:tc>
          <w:tcPr>
            <w:tcW w:w="1806" w:type="dxa"/>
          </w:tcPr>
          <w:p w14:paraId="344622B0" w14:textId="77777777" w:rsidR="00AC41AE" w:rsidRDefault="00000000">
            <w:pPr>
              <w:jc w:val="right"/>
            </w:pPr>
            <w:r>
              <w:rPr>
                <w:rFonts w:ascii="Arial" w:hAnsi="Arial"/>
                <w:sz w:val="18"/>
              </w:rPr>
              <w:t>28.45</w:t>
            </w:r>
          </w:p>
        </w:tc>
        <w:tc>
          <w:tcPr>
            <w:tcW w:w="1806" w:type="dxa"/>
          </w:tcPr>
          <w:p w14:paraId="01AD7E20" w14:textId="77777777" w:rsidR="00AC41AE" w:rsidRDefault="00000000">
            <w:pPr>
              <w:jc w:val="right"/>
            </w:pPr>
            <w:r>
              <w:rPr>
                <w:rFonts w:ascii="Arial" w:hAnsi="Arial"/>
                <w:sz w:val="18"/>
              </w:rPr>
              <w:t>26.67</w:t>
            </w:r>
          </w:p>
        </w:tc>
        <w:tc>
          <w:tcPr>
            <w:tcW w:w="1806" w:type="dxa"/>
          </w:tcPr>
          <w:p w14:paraId="77CC5056" w14:textId="77777777" w:rsidR="00AC41AE" w:rsidRDefault="00000000">
            <w:r>
              <w:rPr>
                <w:rFonts w:ascii="Arial" w:hAnsi="Arial"/>
                <w:sz w:val="18"/>
              </w:rPr>
              <w:t>-1.78pp</w:t>
            </w:r>
          </w:p>
        </w:tc>
        <w:tc>
          <w:tcPr>
            <w:tcW w:w="1806" w:type="dxa"/>
          </w:tcPr>
          <w:p w14:paraId="7432F4B8" w14:textId="77777777" w:rsidR="00AC41AE" w:rsidRDefault="00000000">
            <w:r>
              <w:rPr>
                <w:rFonts w:ascii="Arial" w:hAnsi="Arial"/>
                <w:sz w:val="18"/>
              </w:rPr>
              <w:t>%</w:t>
            </w:r>
          </w:p>
        </w:tc>
      </w:tr>
      <w:tr w:rsidR="00AC41AE" w14:paraId="6FA641ED" w14:textId="77777777">
        <w:trPr>
          <w:jc w:val="center"/>
        </w:trPr>
        <w:tc>
          <w:tcPr>
            <w:tcW w:w="1806" w:type="dxa"/>
            <w:shd w:val="clear" w:color="auto" w:fill="F2F6FC"/>
          </w:tcPr>
          <w:p w14:paraId="61C13BC4" w14:textId="77777777" w:rsidR="00AC41AE" w:rsidRDefault="00000000">
            <w:r>
              <w:rPr>
                <w:rFonts w:ascii="Arial" w:hAnsi="Arial"/>
                <w:sz w:val="18"/>
              </w:rPr>
              <w:t>Training Hours per FTE</w:t>
            </w:r>
          </w:p>
        </w:tc>
        <w:tc>
          <w:tcPr>
            <w:tcW w:w="1806" w:type="dxa"/>
            <w:shd w:val="clear" w:color="auto" w:fill="F2F6FC"/>
          </w:tcPr>
          <w:p w14:paraId="4D1EA678" w14:textId="77777777" w:rsidR="00AC41AE" w:rsidRDefault="00000000">
            <w:pPr>
              <w:jc w:val="right"/>
            </w:pPr>
            <w:r>
              <w:rPr>
                <w:rFonts w:ascii="Arial" w:hAnsi="Arial"/>
                <w:sz w:val="18"/>
              </w:rPr>
              <w:t>64.14</w:t>
            </w:r>
          </w:p>
        </w:tc>
        <w:tc>
          <w:tcPr>
            <w:tcW w:w="1806" w:type="dxa"/>
            <w:shd w:val="clear" w:color="auto" w:fill="F2F6FC"/>
          </w:tcPr>
          <w:p w14:paraId="2BE52263" w14:textId="77777777" w:rsidR="00AC41AE" w:rsidRDefault="00000000">
            <w:pPr>
              <w:jc w:val="right"/>
            </w:pPr>
            <w:r>
              <w:rPr>
                <w:rFonts w:ascii="Arial" w:hAnsi="Arial"/>
                <w:sz w:val="18"/>
              </w:rPr>
              <w:t>49.3</w:t>
            </w:r>
          </w:p>
        </w:tc>
        <w:tc>
          <w:tcPr>
            <w:tcW w:w="1806" w:type="dxa"/>
            <w:shd w:val="clear" w:color="auto" w:fill="F2F6FC"/>
          </w:tcPr>
          <w:p w14:paraId="1064ECCF" w14:textId="77777777" w:rsidR="00AC41AE" w:rsidRDefault="00000000">
            <w:pPr>
              <w:jc w:val="right"/>
            </w:pPr>
            <w:r>
              <w:rPr>
                <w:rFonts w:ascii="Arial" w:hAnsi="Arial"/>
                <w:sz w:val="18"/>
              </w:rPr>
              <w:t>-23.14%</w:t>
            </w:r>
          </w:p>
        </w:tc>
        <w:tc>
          <w:tcPr>
            <w:tcW w:w="1806" w:type="dxa"/>
            <w:shd w:val="clear" w:color="auto" w:fill="F2F6FC"/>
          </w:tcPr>
          <w:p w14:paraId="0ADD878F" w14:textId="77777777" w:rsidR="00AC41AE" w:rsidRDefault="00000000">
            <w:r>
              <w:rPr>
                <w:rFonts w:ascii="Arial" w:hAnsi="Arial"/>
                <w:sz w:val="18"/>
              </w:rPr>
              <w:t>hours</w:t>
            </w:r>
          </w:p>
        </w:tc>
      </w:tr>
      <w:tr w:rsidR="00AC41AE" w14:paraId="0AAB32BE" w14:textId="77777777">
        <w:trPr>
          <w:jc w:val="center"/>
        </w:trPr>
        <w:tc>
          <w:tcPr>
            <w:tcW w:w="1806" w:type="dxa"/>
          </w:tcPr>
          <w:p w14:paraId="583C1E27" w14:textId="77777777" w:rsidR="00AC41AE" w:rsidRDefault="00000000">
            <w:r>
              <w:rPr>
                <w:rFonts w:ascii="Arial" w:hAnsi="Arial"/>
                <w:sz w:val="18"/>
              </w:rPr>
              <w:t>Voluntary Turnover</w:t>
            </w:r>
          </w:p>
        </w:tc>
        <w:tc>
          <w:tcPr>
            <w:tcW w:w="1806" w:type="dxa"/>
          </w:tcPr>
          <w:p w14:paraId="155D9E27" w14:textId="77777777" w:rsidR="00AC41AE" w:rsidRDefault="00000000">
            <w:pPr>
              <w:jc w:val="right"/>
            </w:pPr>
            <w:r>
              <w:rPr>
                <w:rFonts w:ascii="Arial" w:hAnsi="Arial"/>
                <w:sz w:val="18"/>
              </w:rPr>
              <w:t>14.24</w:t>
            </w:r>
          </w:p>
        </w:tc>
        <w:tc>
          <w:tcPr>
            <w:tcW w:w="1806" w:type="dxa"/>
          </w:tcPr>
          <w:p w14:paraId="43890BCB" w14:textId="77777777" w:rsidR="00AC41AE" w:rsidRDefault="00000000">
            <w:pPr>
              <w:jc w:val="right"/>
            </w:pPr>
            <w:r>
              <w:rPr>
                <w:rFonts w:ascii="Arial" w:hAnsi="Arial"/>
                <w:sz w:val="18"/>
              </w:rPr>
              <w:t>8.45</w:t>
            </w:r>
          </w:p>
        </w:tc>
        <w:tc>
          <w:tcPr>
            <w:tcW w:w="1806" w:type="dxa"/>
          </w:tcPr>
          <w:p w14:paraId="7B964B7A" w14:textId="77777777" w:rsidR="00AC41AE" w:rsidRDefault="00000000">
            <w:pPr>
              <w:jc w:val="right"/>
            </w:pPr>
            <w:r>
              <w:rPr>
                <w:rFonts w:ascii="Arial" w:hAnsi="Arial"/>
                <w:sz w:val="18"/>
              </w:rPr>
              <w:t>-40.66%</w:t>
            </w:r>
          </w:p>
        </w:tc>
        <w:tc>
          <w:tcPr>
            <w:tcW w:w="1806" w:type="dxa"/>
          </w:tcPr>
          <w:p w14:paraId="4FDA7444" w14:textId="77777777" w:rsidR="00AC41AE" w:rsidRDefault="00000000">
            <w:r>
              <w:rPr>
                <w:rFonts w:ascii="Arial" w:hAnsi="Arial"/>
                <w:sz w:val="18"/>
              </w:rPr>
              <w:t>%</w:t>
            </w:r>
          </w:p>
        </w:tc>
      </w:tr>
      <w:tr w:rsidR="00AC41AE" w14:paraId="2B1C8C79" w14:textId="77777777">
        <w:trPr>
          <w:jc w:val="center"/>
        </w:trPr>
        <w:tc>
          <w:tcPr>
            <w:tcW w:w="1806" w:type="dxa"/>
            <w:shd w:val="clear" w:color="auto" w:fill="F2F6FC"/>
          </w:tcPr>
          <w:p w14:paraId="64C654EC" w14:textId="77777777" w:rsidR="00AC41AE" w:rsidRDefault="00000000">
            <w:r>
              <w:rPr>
                <w:rFonts w:ascii="Arial" w:hAnsi="Arial"/>
                <w:sz w:val="18"/>
              </w:rPr>
              <w:t>Discrimination Cases</w:t>
            </w:r>
          </w:p>
        </w:tc>
        <w:tc>
          <w:tcPr>
            <w:tcW w:w="1806" w:type="dxa"/>
            <w:shd w:val="clear" w:color="auto" w:fill="F2F6FC"/>
          </w:tcPr>
          <w:p w14:paraId="27B4E0E4" w14:textId="77777777" w:rsidR="00AC41AE" w:rsidRDefault="00000000">
            <w:pPr>
              <w:jc w:val="right"/>
            </w:pPr>
            <w:r>
              <w:rPr>
                <w:rFonts w:ascii="Arial" w:hAnsi="Arial"/>
                <w:sz w:val="18"/>
              </w:rPr>
              <w:t>3</w:t>
            </w:r>
          </w:p>
        </w:tc>
        <w:tc>
          <w:tcPr>
            <w:tcW w:w="1806" w:type="dxa"/>
            <w:shd w:val="clear" w:color="auto" w:fill="F2F6FC"/>
          </w:tcPr>
          <w:p w14:paraId="612447AB" w14:textId="77777777" w:rsidR="00AC41AE" w:rsidRDefault="00000000">
            <w:pPr>
              <w:jc w:val="right"/>
            </w:pPr>
            <w:r>
              <w:rPr>
                <w:rFonts w:ascii="Arial" w:hAnsi="Arial"/>
                <w:sz w:val="18"/>
              </w:rPr>
              <w:t>2</w:t>
            </w:r>
          </w:p>
        </w:tc>
        <w:tc>
          <w:tcPr>
            <w:tcW w:w="1806" w:type="dxa"/>
            <w:shd w:val="clear" w:color="auto" w:fill="F2F6FC"/>
          </w:tcPr>
          <w:p w14:paraId="47DE57D8" w14:textId="77777777" w:rsidR="00AC41AE" w:rsidRDefault="00000000">
            <w:pPr>
              <w:jc w:val="right"/>
            </w:pPr>
            <w:r>
              <w:rPr>
                <w:rFonts w:ascii="Arial" w:hAnsi="Arial"/>
                <w:sz w:val="18"/>
              </w:rPr>
              <w:t>-33.33%</w:t>
            </w:r>
          </w:p>
        </w:tc>
        <w:tc>
          <w:tcPr>
            <w:tcW w:w="1806" w:type="dxa"/>
            <w:shd w:val="clear" w:color="auto" w:fill="F2F6FC"/>
          </w:tcPr>
          <w:p w14:paraId="37DCC273" w14:textId="77777777" w:rsidR="00AC41AE" w:rsidRDefault="00000000">
            <w:r>
              <w:rPr>
                <w:rFonts w:ascii="Arial" w:hAnsi="Arial"/>
                <w:sz w:val="18"/>
              </w:rPr>
              <w:t>cases</w:t>
            </w:r>
          </w:p>
        </w:tc>
      </w:tr>
      <w:tr w:rsidR="00AC41AE" w14:paraId="52113175" w14:textId="77777777">
        <w:trPr>
          <w:jc w:val="center"/>
        </w:trPr>
        <w:tc>
          <w:tcPr>
            <w:tcW w:w="1806" w:type="dxa"/>
          </w:tcPr>
          <w:p w14:paraId="0145B782" w14:textId="77777777" w:rsidR="00AC41AE" w:rsidRDefault="00000000">
            <w:r>
              <w:rPr>
                <w:rFonts w:ascii="Arial" w:hAnsi="Arial"/>
                <w:sz w:val="18"/>
              </w:rPr>
              <w:t>New Hire Count</w:t>
            </w:r>
          </w:p>
        </w:tc>
        <w:tc>
          <w:tcPr>
            <w:tcW w:w="1806" w:type="dxa"/>
          </w:tcPr>
          <w:p w14:paraId="6A9D9685" w14:textId="77777777" w:rsidR="00AC41AE" w:rsidRDefault="00000000">
            <w:pPr>
              <w:jc w:val="right"/>
            </w:pPr>
            <w:r>
              <w:rPr>
                <w:rFonts w:ascii="Arial" w:hAnsi="Arial"/>
                <w:sz w:val="18"/>
              </w:rPr>
              <w:t>3,169</w:t>
            </w:r>
          </w:p>
        </w:tc>
        <w:tc>
          <w:tcPr>
            <w:tcW w:w="1806" w:type="dxa"/>
          </w:tcPr>
          <w:p w14:paraId="3AA4512C" w14:textId="77777777" w:rsidR="00AC41AE" w:rsidRDefault="00000000">
            <w:pPr>
              <w:jc w:val="right"/>
            </w:pPr>
            <w:r>
              <w:rPr>
                <w:rFonts w:ascii="Arial" w:hAnsi="Arial"/>
                <w:sz w:val="18"/>
              </w:rPr>
              <w:t>2,595</w:t>
            </w:r>
          </w:p>
        </w:tc>
        <w:tc>
          <w:tcPr>
            <w:tcW w:w="1806" w:type="dxa"/>
          </w:tcPr>
          <w:p w14:paraId="4CCAD6A8" w14:textId="77777777" w:rsidR="00AC41AE" w:rsidRDefault="00000000">
            <w:pPr>
              <w:jc w:val="right"/>
            </w:pPr>
            <w:r>
              <w:rPr>
                <w:rFonts w:ascii="Arial" w:hAnsi="Arial"/>
                <w:sz w:val="18"/>
              </w:rPr>
              <w:t>-18.11%</w:t>
            </w:r>
          </w:p>
        </w:tc>
        <w:tc>
          <w:tcPr>
            <w:tcW w:w="1806" w:type="dxa"/>
          </w:tcPr>
          <w:p w14:paraId="1C99C46C" w14:textId="77777777" w:rsidR="00AC41AE" w:rsidRDefault="00000000">
            <w:r>
              <w:rPr>
                <w:rFonts w:ascii="Arial" w:hAnsi="Arial"/>
                <w:sz w:val="18"/>
              </w:rPr>
              <w:t>employees</w:t>
            </w:r>
          </w:p>
        </w:tc>
      </w:tr>
      <w:tr w:rsidR="00AC41AE" w14:paraId="1108B792" w14:textId="77777777">
        <w:trPr>
          <w:jc w:val="center"/>
        </w:trPr>
        <w:tc>
          <w:tcPr>
            <w:tcW w:w="1806" w:type="dxa"/>
            <w:shd w:val="clear" w:color="auto" w:fill="F2F6FC"/>
          </w:tcPr>
          <w:p w14:paraId="78A3479E" w14:textId="77777777" w:rsidR="00AC41AE" w:rsidRDefault="00000000">
            <w:r>
              <w:rPr>
                <w:rFonts w:ascii="Arial" w:hAnsi="Arial"/>
                <w:sz w:val="18"/>
              </w:rPr>
              <w:t>Hiring Rate</w:t>
            </w:r>
          </w:p>
        </w:tc>
        <w:tc>
          <w:tcPr>
            <w:tcW w:w="1806" w:type="dxa"/>
            <w:shd w:val="clear" w:color="auto" w:fill="F2F6FC"/>
          </w:tcPr>
          <w:p w14:paraId="2AFF6ABE" w14:textId="77777777" w:rsidR="00AC41AE" w:rsidRDefault="00000000">
            <w:pPr>
              <w:jc w:val="right"/>
            </w:pPr>
            <w:r>
              <w:rPr>
                <w:rFonts w:ascii="Arial" w:hAnsi="Arial"/>
                <w:sz w:val="18"/>
              </w:rPr>
              <w:t>12.93</w:t>
            </w:r>
          </w:p>
        </w:tc>
        <w:tc>
          <w:tcPr>
            <w:tcW w:w="1806" w:type="dxa"/>
            <w:shd w:val="clear" w:color="auto" w:fill="F2F6FC"/>
          </w:tcPr>
          <w:p w14:paraId="23AEB5B2" w14:textId="77777777" w:rsidR="00AC41AE" w:rsidRDefault="00000000">
            <w:pPr>
              <w:jc w:val="right"/>
            </w:pPr>
            <w:r>
              <w:rPr>
                <w:rFonts w:ascii="Arial" w:hAnsi="Arial"/>
                <w:sz w:val="18"/>
              </w:rPr>
              <w:t>10.38</w:t>
            </w:r>
          </w:p>
        </w:tc>
        <w:tc>
          <w:tcPr>
            <w:tcW w:w="1806" w:type="dxa"/>
            <w:shd w:val="clear" w:color="auto" w:fill="F2F6FC"/>
          </w:tcPr>
          <w:p w14:paraId="007D29C3" w14:textId="77777777" w:rsidR="00AC41AE" w:rsidRDefault="00000000">
            <w:pPr>
              <w:jc w:val="right"/>
            </w:pPr>
            <w:r>
              <w:rPr>
                <w:rFonts w:ascii="Arial" w:hAnsi="Arial"/>
                <w:sz w:val="18"/>
              </w:rPr>
              <w:t>-19.72%</w:t>
            </w:r>
          </w:p>
        </w:tc>
        <w:tc>
          <w:tcPr>
            <w:tcW w:w="1806" w:type="dxa"/>
            <w:shd w:val="clear" w:color="auto" w:fill="F2F6FC"/>
          </w:tcPr>
          <w:p w14:paraId="5CB7C4E0" w14:textId="77777777" w:rsidR="00AC41AE" w:rsidRDefault="00000000">
            <w:r>
              <w:rPr>
                <w:rFonts w:ascii="Arial" w:hAnsi="Arial"/>
                <w:sz w:val="18"/>
              </w:rPr>
              <w:t>%</w:t>
            </w:r>
          </w:p>
        </w:tc>
      </w:tr>
    </w:tbl>
    <w:p w14:paraId="16771417" w14:textId="77777777" w:rsidR="00AC41AE" w:rsidRDefault="00000000">
      <w:r>
        <w:rPr>
          <w:rFonts w:ascii="Arial" w:hAnsi="Arial"/>
          <w:i/>
          <w:sz w:val="16"/>
        </w:rPr>
        <w:t>Source: All figures from institution's HRIS. Percentage point changes denoted 'pp'.</w:t>
      </w:r>
    </w:p>
    <w:p w14:paraId="714A64BC" w14:textId="77777777" w:rsidR="00AC41AE" w:rsidRDefault="00AC41AE"/>
    <w:p w14:paraId="4E076AD8" w14:textId="77777777" w:rsidR="00AC41AE" w:rsidRDefault="00000000">
      <w:r>
        <w:rPr>
          <w:rFonts w:ascii="Arial" w:hAnsi="Arial"/>
          <w:b/>
          <w:sz w:val="20"/>
        </w:rPr>
        <w:lastRenderedPageBreak/>
        <w:t>Table 10: Framework Compliance Status</w:t>
      </w:r>
    </w:p>
    <w:tbl>
      <w:tblPr>
        <w:tblW w:w="0" w:type="auto"/>
        <w:jc w:val="center"/>
        <w:tblLook w:val="04A0" w:firstRow="1" w:lastRow="0" w:firstColumn="1" w:lastColumn="0" w:noHBand="0" w:noVBand="1"/>
      </w:tblPr>
      <w:tblGrid>
        <w:gridCol w:w="1806"/>
        <w:gridCol w:w="1806"/>
        <w:gridCol w:w="1806"/>
        <w:gridCol w:w="1806"/>
        <w:gridCol w:w="1806"/>
      </w:tblGrid>
      <w:tr w:rsidR="00AC41AE" w14:paraId="43D62DEC" w14:textId="77777777">
        <w:trPr>
          <w:jc w:val="center"/>
        </w:trPr>
        <w:tc>
          <w:tcPr>
            <w:tcW w:w="1806" w:type="dxa"/>
            <w:shd w:val="clear" w:color="auto" w:fill="1B3A6B"/>
          </w:tcPr>
          <w:p w14:paraId="0D9AC5B3" w14:textId="77777777" w:rsidR="00AC41AE" w:rsidRDefault="00000000">
            <w:r>
              <w:rPr>
                <w:rFonts w:ascii="Arial" w:hAnsi="Arial"/>
                <w:b/>
                <w:color w:val="FFFFFF"/>
                <w:sz w:val="18"/>
              </w:rPr>
              <w:t>Requirement</w:t>
            </w:r>
          </w:p>
        </w:tc>
        <w:tc>
          <w:tcPr>
            <w:tcW w:w="1806" w:type="dxa"/>
            <w:shd w:val="clear" w:color="auto" w:fill="1B3A6B"/>
          </w:tcPr>
          <w:p w14:paraId="059F26B8" w14:textId="77777777" w:rsidR="00AC41AE" w:rsidRDefault="00000000">
            <w:r>
              <w:rPr>
                <w:rFonts w:ascii="Arial" w:hAnsi="Arial"/>
                <w:b/>
                <w:color w:val="FFFFFF"/>
                <w:sz w:val="18"/>
              </w:rPr>
              <w:t>GRI 305</w:t>
            </w:r>
          </w:p>
        </w:tc>
        <w:tc>
          <w:tcPr>
            <w:tcW w:w="1806" w:type="dxa"/>
            <w:shd w:val="clear" w:color="auto" w:fill="1B3A6B"/>
          </w:tcPr>
          <w:p w14:paraId="459D0748" w14:textId="77777777" w:rsidR="00AC41AE" w:rsidRDefault="00000000">
            <w:r>
              <w:rPr>
                <w:rFonts w:ascii="Arial" w:hAnsi="Arial"/>
                <w:b/>
                <w:color w:val="FFFFFF"/>
                <w:sz w:val="18"/>
              </w:rPr>
              <w:t>IFRS S2</w:t>
            </w:r>
          </w:p>
        </w:tc>
        <w:tc>
          <w:tcPr>
            <w:tcW w:w="1806" w:type="dxa"/>
            <w:shd w:val="clear" w:color="auto" w:fill="1B3A6B"/>
          </w:tcPr>
          <w:p w14:paraId="342D35F7" w14:textId="77777777" w:rsidR="00AC41AE" w:rsidRDefault="00000000">
            <w:r>
              <w:rPr>
                <w:rFonts w:ascii="Arial" w:hAnsi="Arial"/>
                <w:b/>
                <w:color w:val="FFFFFF"/>
                <w:sz w:val="18"/>
              </w:rPr>
              <w:t>ESRS E1</w:t>
            </w:r>
          </w:p>
        </w:tc>
        <w:tc>
          <w:tcPr>
            <w:tcW w:w="1806" w:type="dxa"/>
            <w:shd w:val="clear" w:color="auto" w:fill="1B3A6B"/>
          </w:tcPr>
          <w:p w14:paraId="457C1248" w14:textId="77777777" w:rsidR="00AC41AE" w:rsidRDefault="00000000">
            <w:r>
              <w:rPr>
                <w:rFonts w:ascii="Arial" w:hAnsi="Arial"/>
                <w:b/>
                <w:color w:val="FFFFFF"/>
                <w:sz w:val="18"/>
              </w:rPr>
              <w:t>OJK PSPK</w:t>
            </w:r>
          </w:p>
        </w:tc>
      </w:tr>
      <w:tr w:rsidR="00AC41AE" w14:paraId="6F82F5FE" w14:textId="77777777">
        <w:trPr>
          <w:jc w:val="center"/>
        </w:trPr>
        <w:tc>
          <w:tcPr>
            <w:tcW w:w="1806" w:type="dxa"/>
          </w:tcPr>
          <w:p w14:paraId="0AAC8171" w14:textId="77777777" w:rsidR="00AC41AE" w:rsidRDefault="00000000">
            <w:r>
              <w:rPr>
                <w:rFonts w:ascii="Arial" w:hAnsi="Arial"/>
                <w:sz w:val="18"/>
              </w:rPr>
              <w:t>Scope 1 &amp; 2 Emissions</w:t>
            </w:r>
          </w:p>
        </w:tc>
        <w:tc>
          <w:tcPr>
            <w:tcW w:w="1806" w:type="dxa"/>
          </w:tcPr>
          <w:p w14:paraId="16EE8333" w14:textId="77777777" w:rsidR="00AC41AE" w:rsidRDefault="00000000">
            <w:r>
              <w:rPr>
                <w:rFonts w:ascii="Arial" w:hAnsi="Arial"/>
                <w:sz w:val="18"/>
              </w:rPr>
              <w:t>✅ Disclosed</w:t>
            </w:r>
          </w:p>
        </w:tc>
        <w:tc>
          <w:tcPr>
            <w:tcW w:w="1806" w:type="dxa"/>
          </w:tcPr>
          <w:p w14:paraId="572C0960" w14:textId="77777777" w:rsidR="00AC41AE" w:rsidRDefault="00000000">
            <w:r>
              <w:rPr>
                <w:rFonts w:ascii="Arial" w:hAnsi="Arial"/>
                <w:sz w:val="18"/>
              </w:rPr>
              <w:t>✅ Disclosed</w:t>
            </w:r>
          </w:p>
        </w:tc>
        <w:tc>
          <w:tcPr>
            <w:tcW w:w="1806" w:type="dxa"/>
          </w:tcPr>
          <w:p w14:paraId="4F709D83" w14:textId="77777777" w:rsidR="00AC41AE" w:rsidRDefault="00000000">
            <w:r>
              <w:rPr>
                <w:rFonts w:ascii="Arial" w:hAnsi="Arial"/>
                <w:sz w:val="18"/>
              </w:rPr>
              <w:t>✅ Disclosed</w:t>
            </w:r>
          </w:p>
        </w:tc>
        <w:tc>
          <w:tcPr>
            <w:tcW w:w="1806" w:type="dxa"/>
          </w:tcPr>
          <w:p w14:paraId="2E578B2C" w14:textId="77777777" w:rsidR="00AC41AE" w:rsidRDefault="00000000">
            <w:r>
              <w:rPr>
                <w:rFonts w:ascii="Arial" w:hAnsi="Arial"/>
                <w:sz w:val="18"/>
              </w:rPr>
              <w:t>✅ Disclosed</w:t>
            </w:r>
          </w:p>
        </w:tc>
      </w:tr>
      <w:tr w:rsidR="00AC41AE" w14:paraId="681F9EE0" w14:textId="77777777">
        <w:trPr>
          <w:jc w:val="center"/>
        </w:trPr>
        <w:tc>
          <w:tcPr>
            <w:tcW w:w="1806" w:type="dxa"/>
            <w:shd w:val="clear" w:color="auto" w:fill="F2F6FC"/>
          </w:tcPr>
          <w:p w14:paraId="0E23F767" w14:textId="77777777" w:rsidR="00AC41AE" w:rsidRDefault="00000000">
            <w:r>
              <w:rPr>
                <w:rFonts w:ascii="Arial" w:hAnsi="Arial"/>
                <w:sz w:val="18"/>
              </w:rPr>
              <w:t>Scope 3 / Financed Emissions</w:t>
            </w:r>
          </w:p>
        </w:tc>
        <w:tc>
          <w:tcPr>
            <w:tcW w:w="1806" w:type="dxa"/>
            <w:shd w:val="clear" w:color="auto" w:fill="F2F6FC"/>
          </w:tcPr>
          <w:p w14:paraId="14D6F413" w14:textId="77777777" w:rsidR="00AC41AE" w:rsidRDefault="00000000">
            <w:r>
              <w:rPr>
                <w:rFonts w:ascii="Arial" w:hAnsi="Arial"/>
                <w:sz w:val="18"/>
              </w:rPr>
              <w:t>✅ Disclosed</w:t>
            </w:r>
          </w:p>
        </w:tc>
        <w:tc>
          <w:tcPr>
            <w:tcW w:w="1806" w:type="dxa"/>
            <w:shd w:val="clear" w:color="auto" w:fill="F2F6FC"/>
          </w:tcPr>
          <w:p w14:paraId="155E4596" w14:textId="77777777" w:rsidR="00AC41AE" w:rsidRDefault="00000000">
            <w:r>
              <w:rPr>
                <w:rFonts w:ascii="Arial" w:hAnsi="Arial"/>
                <w:sz w:val="18"/>
              </w:rPr>
              <w:t>✅ Disclosed</w:t>
            </w:r>
          </w:p>
        </w:tc>
        <w:tc>
          <w:tcPr>
            <w:tcW w:w="1806" w:type="dxa"/>
            <w:shd w:val="clear" w:color="auto" w:fill="F2F6FC"/>
          </w:tcPr>
          <w:p w14:paraId="5CA0464F" w14:textId="77777777" w:rsidR="00AC41AE" w:rsidRDefault="00000000">
            <w:r>
              <w:rPr>
                <w:rFonts w:ascii="Arial" w:hAnsi="Arial"/>
                <w:sz w:val="18"/>
              </w:rPr>
              <w:t>⚠️ Partial</w:t>
            </w:r>
          </w:p>
        </w:tc>
        <w:tc>
          <w:tcPr>
            <w:tcW w:w="1806" w:type="dxa"/>
            <w:shd w:val="clear" w:color="auto" w:fill="F2F6FC"/>
          </w:tcPr>
          <w:p w14:paraId="0BB63518" w14:textId="77777777" w:rsidR="00AC41AE" w:rsidRDefault="00000000">
            <w:r>
              <w:rPr>
                <w:rFonts w:ascii="Arial" w:hAnsi="Arial"/>
                <w:sz w:val="18"/>
              </w:rPr>
              <w:t>✅ Disclosed</w:t>
            </w:r>
          </w:p>
        </w:tc>
      </w:tr>
      <w:tr w:rsidR="00AC41AE" w14:paraId="23BB9695" w14:textId="77777777">
        <w:trPr>
          <w:jc w:val="center"/>
        </w:trPr>
        <w:tc>
          <w:tcPr>
            <w:tcW w:w="1806" w:type="dxa"/>
          </w:tcPr>
          <w:p w14:paraId="201EEA51" w14:textId="77777777" w:rsidR="00AC41AE" w:rsidRDefault="00000000">
            <w:r>
              <w:rPr>
                <w:rFonts w:ascii="Arial" w:hAnsi="Arial"/>
                <w:sz w:val="18"/>
              </w:rPr>
              <w:t>Emission Intensity Metrics</w:t>
            </w:r>
          </w:p>
        </w:tc>
        <w:tc>
          <w:tcPr>
            <w:tcW w:w="1806" w:type="dxa"/>
          </w:tcPr>
          <w:p w14:paraId="5D0FF154" w14:textId="77777777" w:rsidR="00AC41AE" w:rsidRDefault="00000000">
            <w:r>
              <w:rPr>
                <w:rFonts w:ascii="Arial" w:hAnsi="Arial"/>
                <w:sz w:val="18"/>
              </w:rPr>
              <w:t>✅ Disclosed</w:t>
            </w:r>
          </w:p>
        </w:tc>
        <w:tc>
          <w:tcPr>
            <w:tcW w:w="1806" w:type="dxa"/>
          </w:tcPr>
          <w:p w14:paraId="47A9FD6E" w14:textId="77777777" w:rsidR="00AC41AE" w:rsidRDefault="00000000">
            <w:r>
              <w:rPr>
                <w:rFonts w:ascii="Arial" w:hAnsi="Arial"/>
                <w:sz w:val="18"/>
              </w:rPr>
              <w:t>✅ Disclosed</w:t>
            </w:r>
          </w:p>
        </w:tc>
        <w:tc>
          <w:tcPr>
            <w:tcW w:w="1806" w:type="dxa"/>
          </w:tcPr>
          <w:p w14:paraId="5F6C3D99" w14:textId="77777777" w:rsidR="00AC41AE" w:rsidRDefault="00000000">
            <w:r>
              <w:rPr>
                <w:rFonts w:ascii="Arial" w:hAnsi="Arial"/>
                <w:sz w:val="18"/>
              </w:rPr>
              <w:t>✅ Disclosed</w:t>
            </w:r>
          </w:p>
        </w:tc>
        <w:tc>
          <w:tcPr>
            <w:tcW w:w="1806" w:type="dxa"/>
          </w:tcPr>
          <w:p w14:paraId="56841236" w14:textId="77777777" w:rsidR="00AC41AE" w:rsidRDefault="00000000">
            <w:r>
              <w:rPr>
                <w:rFonts w:ascii="Arial" w:hAnsi="Arial"/>
                <w:sz w:val="18"/>
              </w:rPr>
              <w:t>⚠️ Partial</w:t>
            </w:r>
          </w:p>
        </w:tc>
      </w:tr>
      <w:tr w:rsidR="00AC41AE" w14:paraId="6BDE2EC9" w14:textId="77777777">
        <w:trPr>
          <w:jc w:val="center"/>
        </w:trPr>
        <w:tc>
          <w:tcPr>
            <w:tcW w:w="1806" w:type="dxa"/>
            <w:shd w:val="clear" w:color="auto" w:fill="F2F6FC"/>
          </w:tcPr>
          <w:p w14:paraId="6E8C9A5B" w14:textId="77777777" w:rsidR="00AC41AE" w:rsidRDefault="00000000">
            <w:r>
              <w:rPr>
                <w:rFonts w:ascii="Arial" w:hAnsi="Arial"/>
                <w:sz w:val="18"/>
              </w:rPr>
              <w:t>Reduction Targets</w:t>
            </w:r>
          </w:p>
        </w:tc>
        <w:tc>
          <w:tcPr>
            <w:tcW w:w="1806" w:type="dxa"/>
            <w:shd w:val="clear" w:color="auto" w:fill="F2F6FC"/>
          </w:tcPr>
          <w:p w14:paraId="230A9929" w14:textId="77777777" w:rsidR="00AC41AE" w:rsidRDefault="00000000">
            <w:r>
              <w:rPr>
                <w:rFonts w:ascii="Arial" w:hAnsi="Arial"/>
                <w:sz w:val="18"/>
              </w:rPr>
              <w:t>❌ Gap</w:t>
            </w:r>
          </w:p>
        </w:tc>
        <w:tc>
          <w:tcPr>
            <w:tcW w:w="1806" w:type="dxa"/>
            <w:shd w:val="clear" w:color="auto" w:fill="F2F6FC"/>
          </w:tcPr>
          <w:p w14:paraId="68A2765C" w14:textId="77777777" w:rsidR="00AC41AE" w:rsidRDefault="00000000">
            <w:r>
              <w:rPr>
                <w:rFonts w:ascii="Arial" w:hAnsi="Arial"/>
                <w:sz w:val="18"/>
              </w:rPr>
              <w:t>❌ Gap</w:t>
            </w:r>
          </w:p>
        </w:tc>
        <w:tc>
          <w:tcPr>
            <w:tcW w:w="1806" w:type="dxa"/>
            <w:shd w:val="clear" w:color="auto" w:fill="F2F6FC"/>
          </w:tcPr>
          <w:p w14:paraId="3BA397AA" w14:textId="77777777" w:rsidR="00AC41AE" w:rsidRDefault="00000000">
            <w:r>
              <w:rPr>
                <w:rFonts w:ascii="Arial" w:hAnsi="Arial"/>
                <w:sz w:val="18"/>
              </w:rPr>
              <w:t>❌ Gap</w:t>
            </w:r>
          </w:p>
        </w:tc>
        <w:tc>
          <w:tcPr>
            <w:tcW w:w="1806" w:type="dxa"/>
            <w:shd w:val="clear" w:color="auto" w:fill="F2F6FC"/>
          </w:tcPr>
          <w:p w14:paraId="0DFE3259" w14:textId="77777777" w:rsidR="00AC41AE" w:rsidRDefault="00000000">
            <w:r>
              <w:rPr>
                <w:rFonts w:ascii="Arial" w:hAnsi="Arial"/>
                <w:sz w:val="18"/>
              </w:rPr>
              <w:t>⚠️ Partial</w:t>
            </w:r>
          </w:p>
        </w:tc>
      </w:tr>
      <w:tr w:rsidR="00AC41AE" w14:paraId="6D5BD47A" w14:textId="77777777">
        <w:trPr>
          <w:jc w:val="center"/>
        </w:trPr>
        <w:tc>
          <w:tcPr>
            <w:tcW w:w="1806" w:type="dxa"/>
          </w:tcPr>
          <w:p w14:paraId="45B5C689" w14:textId="77777777" w:rsidR="00AC41AE" w:rsidRDefault="00000000">
            <w:r>
              <w:rPr>
                <w:rFonts w:ascii="Arial" w:hAnsi="Arial"/>
                <w:sz w:val="18"/>
              </w:rPr>
              <w:t>Climate Transition Plan</w:t>
            </w:r>
          </w:p>
        </w:tc>
        <w:tc>
          <w:tcPr>
            <w:tcW w:w="1806" w:type="dxa"/>
          </w:tcPr>
          <w:p w14:paraId="698E56CD" w14:textId="77777777" w:rsidR="00AC41AE" w:rsidRDefault="00000000">
            <w:r>
              <w:rPr>
                <w:rFonts w:ascii="Arial" w:hAnsi="Arial"/>
                <w:sz w:val="18"/>
              </w:rPr>
              <w:t>❌ Gap</w:t>
            </w:r>
          </w:p>
        </w:tc>
        <w:tc>
          <w:tcPr>
            <w:tcW w:w="1806" w:type="dxa"/>
          </w:tcPr>
          <w:p w14:paraId="14A4D8EE" w14:textId="77777777" w:rsidR="00AC41AE" w:rsidRDefault="00000000">
            <w:r>
              <w:rPr>
                <w:rFonts w:ascii="Arial" w:hAnsi="Arial"/>
                <w:sz w:val="18"/>
              </w:rPr>
              <w:t>❌ Gap</w:t>
            </w:r>
          </w:p>
        </w:tc>
        <w:tc>
          <w:tcPr>
            <w:tcW w:w="1806" w:type="dxa"/>
          </w:tcPr>
          <w:p w14:paraId="1322EFDD" w14:textId="77777777" w:rsidR="00AC41AE" w:rsidRDefault="00000000">
            <w:r>
              <w:rPr>
                <w:rFonts w:ascii="Arial" w:hAnsi="Arial"/>
                <w:sz w:val="18"/>
              </w:rPr>
              <w:t>❌ Gap</w:t>
            </w:r>
          </w:p>
        </w:tc>
        <w:tc>
          <w:tcPr>
            <w:tcW w:w="1806" w:type="dxa"/>
          </w:tcPr>
          <w:p w14:paraId="3E58BD1D" w14:textId="77777777" w:rsidR="00AC41AE" w:rsidRDefault="00000000">
            <w:r>
              <w:rPr>
                <w:rFonts w:ascii="Arial" w:hAnsi="Arial"/>
                <w:sz w:val="18"/>
              </w:rPr>
              <w:t>⚠️ Partial</w:t>
            </w:r>
          </w:p>
        </w:tc>
      </w:tr>
      <w:tr w:rsidR="00AC41AE" w14:paraId="3848CF65" w14:textId="77777777">
        <w:trPr>
          <w:jc w:val="center"/>
        </w:trPr>
        <w:tc>
          <w:tcPr>
            <w:tcW w:w="1806" w:type="dxa"/>
            <w:shd w:val="clear" w:color="auto" w:fill="F2F6FC"/>
          </w:tcPr>
          <w:p w14:paraId="76F34F71" w14:textId="77777777" w:rsidR="00AC41AE" w:rsidRDefault="00000000">
            <w:r>
              <w:rPr>
                <w:rFonts w:ascii="Arial" w:hAnsi="Arial"/>
                <w:sz w:val="18"/>
              </w:rPr>
              <w:t>Governance Structure</w:t>
            </w:r>
          </w:p>
        </w:tc>
        <w:tc>
          <w:tcPr>
            <w:tcW w:w="1806" w:type="dxa"/>
            <w:shd w:val="clear" w:color="auto" w:fill="F2F6FC"/>
          </w:tcPr>
          <w:p w14:paraId="6F3B9D75" w14:textId="77777777" w:rsidR="00AC41AE" w:rsidRDefault="00000000">
            <w:r>
              <w:rPr>
                <w:rFonts w:ascii="Arial" w:hAnsi="Arial"/>
                <w:sz w:val="18"/>
              </w:rPr>
              <w:t>⚠️ Partial</w:t>
            </w:r>
          </w:p>
        </w:tc>
        <w:tc>
          <w:tcPr>
            <w:tcW w:w="1806" w:type="dxa"/>
            <w:shd w:val="clear" w:color="auto" w:fill="F2F6FC"/>
          </w:tcPr>
          <w:p w14:paraId="5D1471A3" w14:textId="77777777" w:rsidR="00AC41AE" w:rsidRDefault="00000000">
            <w:r>
              <w:rPr>
                <w:rFonts w:ascii="Arial" w:hAnsi="Arial"/>
                <w:sz w:val="18"/>
              </w:rPr>
              <w:t>⚠️ Partial</w:t>
            </w:r>
          </w:p>
        </w:tc>
        <w:tc>
          <w:tcPr>
            <w:tcW w:w="1806" w:type="dxa"/>
            <w:shd w:val="clear" w:color="auto" w:fill="F2F6FC"/>
          </w:tcPr>
          <w:p w14:paraId="745855D9" w14:textId="77777777" w:rsidR="00AC41AE" w:rsidRDefault="00000000">
            <w:r>
              <w:rPr>
                <w:rFonts w:ascii="Arial" w:hAnsi="Arial"/>
                <w:sz w:val="18"/>
              </w:rPr>
              <w:t>⚠️ Partial</w:t>
            </w:r>
          </w:p>
        </w:tc>
        <w:tc>
          <w:tcPr>
            <w:tcW w:w="1806" w:type="dxa"/>
            <w:shd w:val="clear" w:color="auto" w:fill="F2F6FC"/>
          </w:tcPr>
          <w:p w14:paraId="7BE26BA7" w14:textId="77777777" w:rsidR="00AC41AE" w:rsidRDefault="00000000">
            <w:r>
              <w:rPr>
                <w:rFonts w:ascii="Arial" w:hAnsi="Arial"/>
                <w:sz w:val="18"/>
              </w:rPr>
              <w:t>✅ Disclosed</w:t>
            </w:r>
          </w:p>
        </w:tc>
      </w:tr>
      <w:tr w:rsidR="00AC41AE" w14:paraId="00ED297D" w14:textId="77777777">
        <w:trPr>
          <w:jc w:val="center"/>
        </w:trPr>
        <w:tc>
          <w:tcPr>
            <w:tcW w:w="1806" w:type="dxa"/>
          </w:tcPr>
          <w:p w14:paraId="5C49148E" w14:textId="77777777" w:rsidR="00AC41AE" w:rsidRDefault="00000000">
            <w:r>
              <w:rPr>
                <w:rFonts w:ascii="Arial" w:hAnsi="Arial"/>
                <w:sz w:val="18"/>
              </w:rPr>
              <w:t>Risk Management Process</w:t>
            </w:r>
          </w:p>
        </w:tc>
        <w:tc>
          <w:tcPr>
            <w:tcW w:w="1806" w:type="dxa"/>
          </w:tcPr>
          <w:p w14:paraId="7AA674A2" w14:textId="77777777" w:rsidR="00AC41AE" w:rsidRDefault="00000000">
            <w:r>
              <w:rPr>
                <w:rFonts w:ascii="Arial" w:hAnsi="Arial"/>
                <w:sz w:val="18"/>
              </w:rPr>
              <w:t>⚠️ Partial</w:t>
            </w:r>
          </w:p>
        </w:tc>
        <w:tc>
          <w:tcPr>
            <w:tcW w:w="1806" w:type="dxa"/>
          </w:tcPr>
          <w:p w14:paraId="5ED55E04" w14:textId="77777777" w:rsidR="00AC41AE" w:rsidRDefault="00000000">
            <w:r>
              <w:rPr>
                <w:rFonts w:ascii="Arial" w:hAnsi="Arial"/>
                <w:sz w:val="18"/>
              </w:rPr>
              <w:t>⚠️ Partial</w:t>
            </w:r>
          </w:p>
        </w:tc>
        <w:tc>
          <w:tcPr>
            <w:tcW w:w="1806" w:type="dxa"/>
          </w:tcPr>
          <w:p w14:paraId="3A84A056" w14:textId="77777777" w:rsidR="00AC41AE" w:rsidRDefault="00000000">
            <w:r>
              <w:rPr>
                <w:rFonts w:ascii="Arial" w:hAnsi="Arial"/>
                <w:sz w:val="18"/>
              </w:rPr>
              <w:t>❌ Gap</w:t>
            </w:r>
          </w:p>
        </w:tc>
        <w:tc>
          <w:tcPr>
            <w:tcW w:w="1806" w:type="dxa"/>
          </w:tcPr>
          <w:p w14:paraId="0D07D7C4" w14:textId="77777777" w:rsidR="00AC41AE" w:rsidRDefault="00000000">
            <w:r>
              <w:rPr>
                <w:rFonts w:ascii="Arial" w:hAnsi="Arial"/>
                <w:sz w:val="18"/>
              </w:rPr>
              <w:t>⚠️ Partial</w:t>
            </w:r>
          </w:p>
        </w:tc>
      </w:tr>
      <w:tr w:rsidR="00AC41AE" w14:paraId="29395CA6" w14:textId="77777777">
        <w:trPr>
          <w:jc w:val="center"/>
        </w:trPr>
        <w:tc>
          <w:tcPr>
            <w:tcW w:w="1806" w:type="dxa"/>
            <w:shd w:val="clear" w:color="auto" w:fill="F2F6FC"/>
          </w:tcPr>
          <w:p w14:paraId="255D4521" w14:textId="77777777" w:rsidR="00AC41AE" w:rsidRDefault="00000000">
            <w:r>
              <w:rPr>
                <w:rFonts w:ascii="Arial" w:hAnsi="Arial"/>
                <w:sz w:val="18"/>
              </w:rPr>
              <w:t>Scenario Analysis</w:t>
            </w:r>
          </w:p>
        </w:tc>
        <w:tc>
          <w:tcPr>
            <w:tcW w:w="1806" w:type="dxa"/>
            <w:shd w:val="clear" w:color="auto" w:fill="F2F6FC"/>
          </w:tcPr>
          <w:p w14:paraId="0631B69E" w14:textId="77777777" w:rsidR="00AC41AE" w:rsidRDefault="00000000">
            <w:r>
              <w:rPr>
                <w:rFonts w:ascii="Arial" w:hAnsi="Arial"/>
                <w:sz w:val="18"/>
              </w:rPr>
              <w:t>N/A</w:t>
            </w:r>
          </w:p>
        </w:tc>
        <w:tc>
          <w:tcPr>
            <w:tcW w:w="1806" w:type="dxa"/>
            <w:shd w:val="clear" w:color="auto" w:fill="F2F6FC"/>
          </w:tcPr>
          <w:p w14:paraId="3C379025" w14:textId="77777777" w:rsidR="00AC41AE" w:rsidRDefault="00000000">
            <w:r>
              <w:rPr>
                <w:rFonts w:ascii="Arial" w:hAnsi="Arial"/>
                <w:sz w:val="18"/>
              </w:rPr>
              <w:t>❌ Gap</w:t>
            </w:r>
          </w:p>
        </w:tc>
        <w:tc>
          <w:tcPr>
            <w:tcW w:w="1806" w:type="dxa"/>
            <w:shd w:val="clear" w:color="auto" w:fill="F2F6FC"/>
          </w:tcPr>
          <w:p w14:paraId="3AA1BB3D" w14:textId="77777777" w:rsidR="00AC41AE" w:rsidRDefault="00000000">
            <w:r>
              <w:rPr>
                <w:rFonts w:ascii="Arial" w:hAnsi="Arial"/>
                <w:sz w:val="18"/>
              </w:rPr>
              <w:t>❌ Gap</w:t>
            </w:r>
          </w:p>
        </w:tc>
        <w:tc>
          <w:tcPr>
            <w:tcW w:w="1806" w:type="dxa"/>
            <w:shd w:val="clear" w:color="auto" w:fill="F2F6FC"/>
          </w:tcPr>
          <w:p w14:paraId="6998E295" w14:textId="77777777" w:rsidR="00AC41AE" w:rsidRDefault="00000000">
            <w:r>
              <w:rPr>
                <w:rFonts w:ascii="Arial" w:hAnsi="Arial"/>
                <w:sz w:val="18"/>
              </w:rPr>
              <w:t>❌ Gap</w:t>
            </w:r>
          </w:p>
        </w:tc>
      </w:tr>
      <w:tr w:rsidR="00AC41AE" w14:paraId="731BBA17" w14:textId="77777777">
        <w:trPr>
          <w:jc w:val="center"/>
        </w:trPr>
        <w:tc>
          <w:tcPr>
            <w:tcW w:w="1806" w:type="dxa"/>
          </w:tcPr>
          <w:p w14:paraId="18A42313" w14:textId="77777777" w:rsidR="00AC41AE" w:rsidRDefault="00000000">
            <w:r>
              <w:rPr>
                <w:rFonts w:ascii="Arial" w:hAnsi="Arial"/>
                <w:sz w:val="18"/>
              </w:rPr>
              <w:t>Social Metrics (Diversity)</w:t>
            </w:r>
          </w:p>
        </w:tc>
        <w:tc>
          <w:tcPr>
            <w:tcW w:w="1806" w:type="dxa"/>
          </w:tcPr>
          <w:p w14:paraId="6BE2506A" w14:textId="77777777" w:rsidR="00AC41AE" w:rsidRDefault="00000000">
            <w:r>
              <w:rPr>
                <w:rFonts w:ascii="Arial" w:hAnsi="Arial"/>
                <w:sz w:val="18"/>
              </w:rPr>
              <w:t>✅ Disclosed</w:t>
            </w:r>
          </w:p>
        </w:tc>
        <w:tc>
          <w:tcPr>
            <w:tcW w:w="1806" w:type="dxa"/>
          </w:tcPr>
          <w:p w14:paraId="6433DB68" w14:textId="77777777" w:rsidR="00AC41AE" w:rsidRDefault="00000000">
            <w:r>
              <w:rPr>
                <w:rFonts w:ascii="Arial" w:hAnsi="Arial"/>
                <w:sz w:val="18"/>
              </w:rPr>
              <w:t>N/A</w:t>
            </w:r>
          </w:p>
        </w:tc>
        <w:tc>
          <w:tcPr>
            <w:tcW w:w="1806" w:type="dxa"/>
          </w:tcPr>
          <w:p w14:paraId="34750A03" w14:textId="77777777" w:rsidR="00AC41AE" w:rsidRDefault="00000000">
            <w:r>
              <w:rPr>
                <w:rFonts w:ascii="Arial" w:hAnsi="Arial"/>
                <w:sz w:val="18"/>
              </w:rPr>
              <w:t>✅ Disclosed</w:t>
            </w:r>
          </w:p>
        </w:tc>
        <w:tc>
          <w:tcPr>
            <w:tcW w:w="1806" w:type="dxa"/>
          </w:tcPr>
          <w:p w14:paraId="090DD7C8" w14:textId="77777777" w:rsidR="00AC41AE" w:rsidRDefault="00000000">
            <w:r>
              <w:rPr>
                <w:rFonts w:ascii="Arial" w:hAnsi="Arial"/>
                <w:sz w:val="18"/>
              </w:rPr>
              <w:t>✅ Disclosed</w:t>
            </w:r>
          </w:p>
        </w:tc>
      </w:tr>
      <w:tr w:rsidR="00AC41AE" w14:paraId="619C4BFA" w14:textId="77777777">
        <w:trPr>
          <w:jc w:val="center"/>
        </w:trPr>
        <w:tc>
          <w:tcPr>
            <w:tcW w:w="1806" w:type="dxa"/>
            <w:shd w:val="clear" w:color="auto" w:fill="F2F6FC"/>
          </w:tcPr>
          <w:p w14:paraId="09BF0B88" w14:textId="77777777" w:rsidR="00AC41AE" w:rsidRDefault="00000000">
            <w:r>
              <w:rPr>
                <w:rFonts w:ascii="Arial" w:hAnsi="Arial"/>
                <w:sz w:val="18"/>
              </w:rPr>
              <w:t>Social Metrics (Training)</w:t>
            </w:r>
          </w:p>
        </w:tc>
        <w:tc>
          <w:tcPr>
            <w:tcW w:w="1806" w:type="dxa"/>
            <w:shd w:val="clear" w:color="auto" w:fill="F2F6FC"/>
          </w:tcPr>
          <w:p w14:paraId="012A0799" w14:textId="77777777" w:rsidR="00AC41AE" w:rsidRDefault="00000000">
            <w:r>
              <w:rPr>
                <w:rFonts w:ascii="Arial" w:hAnsi="Arial"/>
                <w:sz w:val="18"/>
              </w:rPr>
              <w:t>✅ Disclosed</w:t>
            </w:r>
          </w:p>
        </w:tc>
        <w:tc>
          <w:tcPr>
            <w:tcW w:w="1806" w:type="dxa"/>
            <w:shd w:val="clear" w:color="auto" w:fill="F2F6FC"/>
          </w:tcPr>
          <w:p w14:paraId="44722BFC" w14:textId="77777777" w:rsidR="00AC41AE" w:rsidRDefault="00000000">
            <w:r>
              <w:rPr>
                <w:rFonts w:ascii="Arial" w:hAnsi="Arial"/>
                <w:sz w:val="18"/>
              </w:rPr>
              <w:t>N/A</w:t>
            </w:r>
          </w:p>
        </w:tc>
        <w:tc>
          <w:tcPr>
            <w:tcW w:w="1806" w:type="dxa"/>
            <w:shd w:val="clear" w:color="auto" w:fill="F2F6FC"/>
          </w:tcPr>
          <w:p w14:paraId="6B0E2D40" w14:textId="77777777" w:rsidR="00AC41AE" w:rsidRDefault="00000000">
            <w:r>
              <w:rPr>
                <w:rFonts w:ascii="Arial" w:hAnsi="Arial"/>
                <w:sz w:val="18"/>
              </w:rPr>
              <w:t>✅ Disclosed</w:t>
            </w:r>
          </w:p>
        </w:tc>
        <w:tc>
          <w:tcPr>
            <w:tcW w:w="1806" w:type="dxa"/>
            <w:shd w:val="clear" w:color="auto" w:fill="F2F6FC"/>
          </w:tcPr>
          <w:p w14:paraId="19EAD93A" w14:textId="77777777" w:rsidR="00AC41AE" w:rsidRDefault="00000000">
            <w:r>
              <w:rPr>
                <w:rFonts w:ascii="Arial" w:hAnsi="Arial"/>
                <w:sz w:val="18"/>
              </w:rPr>
              <w:t>⚠️ Partial</w:t>
            </w:r>
          </w:p>
        </w:tc>
      </w:tr>
    </w:tbl>
    <w:p w14:paraId="441BA1B8" w14:textId="77777777" w:rsidR="00AC41AE" w:rsidRDefault="00000000">
      <w:r>
        <w:rPr>
          <w:rFonts w:ascii="Arial" w:hAnsi="Arial"/>
          <w:i/>
          <w:sz w:val="16"/>
        </w:rPr>
        <w:t>Source: Assessment based on current disclosure completeness against framework requirements. ✅ = Fully disclosed, ⚠️ = Partially disclosed, ❌ = Not disclosed, N/A = Not required by framework.</w:t>
      </w:r>
    </w:p>
    <w:p w14:paraId="7317D8E5" w14:textId="77777777" w:rsidR="00AC41AE" w:rsidRDefault="00AC41AE"/>
    <w:p w14:paraId="74E8CD36" w14:textId="77777777" w:rsidR="00AC41AE" w:rsidRDefault="00AC41AE"/>
    <w:p w14:paraId="221592EB" w14:textId="77777777" w:rsidR="00AC41AE" w:rsidRDefault="00000000">
      <w:r>
        <w:rPr>
          <w:b/>
          <w:color w:val="3D6094"/>
          <w:sz w:val="24"/>
        </w:rPr>
        <w:t>Top Strategic Recommendations</w:t>
      </w:r>
    </w:p>
    <w:p w14:paraId="30B2166A" w14:textId="77777777" w:rsidR="00AC41AE" w:rsidRDefault="00000000">
      <w:pPr>
        <w:spacing w:after="160"/>
      </w:pPr>
      <w:r>
        <w:t>→ Establish sector-specific emission reduction targets for Oil &amp; Gas (IDR 102.67 trillion, 43.56% of financed emissions) and Cement (IDR 107.68 trillion, 26.45% of financed emissions) portfolios aligned with Indonesia's Enhanced NDC pathway — expected impact: 15-20% financed emission reduction by 2030 — implement by Q2 2025 — peer reference: Bank Mandiri has published sector-specific targets for 5 high-emission industries.</w:t>
      </w:r>
    </w:p>
    <w:p w14:paraId="3B12C091" w14:textId="77777777" w:rsidR="00AC41AE" w:rsidRDefault="00000000">
      <w:pPr>
        <w:spacing w:after="160"/>
      </w:pPr>
      <w:r>
        <w:t>→ Upgrade PCAF data quality from 3.36 average to ≤3.0 by securing primary emissions data from top 50 borrowers representing 60% of financed emission exposure — expected impact: reduce confidence gap from 30.48% to &lt;15% — complete by Q4 2025 — peer reference: BCA achieved PCAF Score 2.8 through mandatory ESG data collection in credit approval process.</w:t>
      </w:r>
    </w:p>
    <w:p w14:paraId="59724F45" w14:textId="77777777" w:rsidR="00AC41AE" w:rsidRDefault="00000000">
      <w:pPr>
        <w:spacing w:after="160"/>
      </w:pPr>
      <w:r>
        <w:t>→ Develop climate transition engagement framework with science-based decarbonization pathways for 296 high-emission borrowers (135 Oil &amp; Gas + 161 Cement clients) — expected impact: 25% of engaged clients adopt transition plans within 18 months — pilot launch Q3 2025 — peer reference: BRI's Green Financing Framework includes transition support for carbon-intensive SMEs.</w:t>
      </w:r>
    </w:p>
    <w:p w14:paraId="1157E6AE" w14:textId="77777777" w:rsidR="00AC41AE" w:rsidRDefault="00000000">
      <w:pPr>
        <w:spacing w:after="160"/>
      </w:pPr>
      <w:r>
        <w:lastRenderedPageBreak/>
        <w:t>→ Implement gender diversity action plan to reverse declining female representation trend (42.32% in 2024 vs 46.2% in 2023) with specific targets for management pipeline — expected impact: restore female representation to ≥45% by 2026 — initiate Q1 2025 — peer reference: CIMB Niaga achieved 48% female workforce through targeted recruitment and mentorship programs.</w:t>
      </w:r>
    </w:p>
    <w:p w14:paraId="7439682A" w14:textId="77777777" w:rsidR="00AC41AE" w:rsidRDefault="00000000">
      <w:pPr>
        <w:spacing w:after="160"/>
      </w:pPr>
      <w:r>
        <w:t>→ Establish science-based emission reduction targets validated by SBTi covering Scope 1, 2, and 3 Category 15 with interim milestones — expected impact: align with 1.5°C pathway and meet OJK PSPK Phase 3 requirements — submit for validation by Q4 2025 — peer reference: DBS Bank (regional peer) achieved SBTi validation for financed emissions targets in 2023.</w:t>
      </w:r>
    </w:p>
    <w:p w14:paraId="595E13FC" w14:textId="77777777" w:rsidR="00AC41AE" w:rsidRDefault="00000000">
      <w:r>
        <w:rPr>
          <w:i/>
          <w:color w:val="3D6094"/>
          <w:sz w:val="18"/>
        </w:rPr>
        <w:t>Framework references: GRI 305-1: Direct (Scope 1) GHG emissions; GRI 305-2: Energy indirect (Scope 2) GHG emissions; GRI 305-3: Other indirect (Scope 3) GHG emissions; GRI 305-4: GHG emissions intensity; GRI 405-1: Diversity of governance bodies and employees; GRI 404-1: Average hours of training per year per employee; IFRS S2 Climate-related Disclosures: Scope 1, 2, and 3 emissions; PCAF Global GHG Accounting and Reporting Standard (2022); OJK PSPK 13/2023: Sustainable Finance Action Plan reporting requirements; GHG Protocol Corporate Accounting and Reporting Standard (Revised Edition)</w:t>
      </w:r>
    </w:p>
    <w:p w14:paraId="093186CA" w14:textId="77777777" w:rsidR="00AC41AE" w:rsidRDefault="00AC41AE">
      <w:pPr>
        <w:pBdr>
          <w:bottom w:val="single" w:sz="6" w:space="1" w:color="CCCCCC"/>
        </w:pBdr>
        <w:spacing w:after="80"/>
      </w:pPr>
    </w:p>
    <w:p w14:paraId="4C0C977F" w14:textId="77777777" w:rsidR="00AC41AE" w:rsidRDefault="00000000">
      <w:pPr>
        <w:spacing w:after="160"/>
      </w:pPr>
      <w:r>
        <w:rPr>
          <w:rFonts w:ascii="Arial" w:hAnsi="Arial"/>
          <w:i/>
          <w:color w:val="646464"/>
          <w:sz w:val="18"/>
        </w:rPr>
        <w:t>These figures have not been subject to external assurance for the current reporting period.</w:t>
      </w:r>
    </w:p>
    <w:p w14:paraId="1A1CD21C" w14:textId="77777777" w:rsidR="00AC41AE" w:rsidRDefault="00000000">
      <w:pPr>
        <w:spacing w:after="160"/>
      </w:pPr>
      <w:r>
        <w:rPr>
          <w:rFonts w:ascii="Arial" w:hAnsi="Arial"/>
          <w:i/>
          <w:color w:val="646464"/>
          <w:sz w:val="18"/>
        </w:rPr>
        <w:t>Total GHG emissions calculated as Scope 1 + Scope 2 (market-based) + Scope 3 Category 15 (gross) per GHG Protocol Corporate Standard hierarchy. Location-based Scope 2 total (44,613.876 tCO₂e) reported separately for transparency.</w:t>
      </w:r>
    </w:p>
    <w:p w14:paraId="5EB53005" w14:textId="77777777" w:rsidR="00AC41AE" w:rsidRDefault="00000000">
      <w:pPr>
        <w:spacing w:after="160"/>
      </w:pPr>
      <w:r>
        <w:rPr>
          <w:rFonts w:ascii="Arial" w:hAnsi="Arial"/>
          <w:i/>
          <w:color w:val="646464"/>
          <w:sz w:val="18"/>
        </w:rPr>
        <w:t>Financed emissions calculated using PCAF Global GHG Accounting and Reporting Standard for the Financial Industry (2022). Weighted emissions reflect attribution based on outstanding loan balance divided by borrower enterprise value plus debt.</w:t>
      </w:r>
    </w:p>
    <w:p w14:paraId="68002454" w14:textId="77777777" w:rsidR="00AC41AE" w:rsidRDefault="00000000">
      <w:pPr>
        <w:spacing w:after="160"/>
      </w:pPr>
      <w:r>
        <w:rPr>
          <w:rFonts w:ascii="Arial" w:hAnsi="Arial"/>
          <w:i/>
          <w:color w:val="646464"/>
          <w:sz w:val="18"/>
        </w:rPr>
        <w:t>Confidence gap of 30.48% (6,696,623.16 tCO₂e) between gross and weighted financed emissions reflects data quality constraints and attribution methodology. Average PCAF data quality score of 3.36 indicates reliance on sector-average emission factors.</w:t>
      </w:r>
    </w:p>
    <w:p w14:paraId="687E95A9" w14:textId="77777777" w:rsidR="00AC41AE" w:rsidRDefault="00000000">
      <w:pPr>
        <w:spacing w:after="160"/>
      </w:pPr>
      <w:r>
        <w:rPr>
          <w:rFonts w:ascii="Arial" w:hAnsi="Arial"/>
          <w:i/>
          <w:color w:val="646464"/>
          <w:sz w:val="18"/>
        </w:rPr>
        <w:t>Year-over-year comparison based on restated FY2023 baseline following methodology refinements in PCAF sector classification and emission factor updates for Indonesian grid electricity.</w:t>
      </w:r>
    </w:p>
    <w:p w14:paraId="5B406ADB" w14:textId="77777777" w:rsidR="00AC41AE" w:rsidRDefault="00000000">
      <w:pPr>
        <w:spacing w:after="160"/>
      </w:pPr>
      <w:r>
        <w:rPr>
          <w:rFonts w:ascii="Arial" w:hAnsi="Arial"/>
          <w:i/>
          <w:color w:val="646464"/>
          <w:sz w:val="18"/>
        </w:rPr>
        <w:t>Social metrics sourced from institution's Human Resources Information System (HRIS). Discrimination cases include all formal complaints filed through internal grievance mechanism, regardless of substantiation outcome.</w:t>
      </w:r>
    </w:p>
    <w:p w14:paraId="51503411" w14:textId="77777777" w:rsidR="00AC41AE" w:rsidRDefault="00000000">
      <w:pPr>
        <w:spacing w:after="160"/>
      </w:pPr>
      <w:r>
        <w:rPr>
          <w:rFonts w:ascii="Arial" w:hAnsi="Arial"/>
          <w:i/>
          <w:color w:val="646464"/>
          <w:sz w:val="18"/>
        </w:rPr>
        <w:t>Percentage point changes for gender metrics denoted 'pp' to distinguish from percentage changes in other metrics.</w:t>
      </w:r>
    </w:p>
    <w:p w14:paraId="0CEA4838" w14:textId="77777777" w:rsidR="00AC41AE" w:rsidRDefault="00000000">
      <w:pPr>
        <w:spacing w:after="160"/>
      </w:pPr>
      <w:r>
        <w:rPr>
          <w:rFonts w:ascii="Arial" w:hAnsi="Arial"/>
          <w:i/>
          <w:color w:val="646464"/>
          <w:sz w:val="18"/>
        </w:rPr>
        <w:t>All monetary values in Indonesian Rupiah (IDR). Portfolio outstanding figures represent gross loan balances before loss allowances.</w:t>
      </w:r>
    </w:p>
    <w:p w14:paraId="12E1503B" w14:textId="77777777" w:rsidR="00AC41AE" w:rsidRDefault="00000000">
      <w:pPr>
        <w:spacing w:after="160"/>
      </w:pPr>
      <w:r>
        <w:rPr>
          <w:rFonts w:ascii="Arial" w:hAnsi="Arial"/>
          <w:i/>
          <w:color w:val="646464"/>
          <w:sz w:val="18"/>
        </w:rPr>
        <w:t>Framework compliance assessment reflects disclosure completeness as of reporting date. Gaps identified represent opportunities for enhanced disclosure in future reporting cycles.</w:t>
      </w:r>
    </w:p>
    <w:p w14:paraId="68CFB0A3" w14:textId="77777777" w:rsidR="00AC41AE" w:rsidRDefault="00000000">
      <w:pPr>
        <w:spacing w:after="160"/>
      </w:pPr>
      <w:r>
        <w:rPr>
          <w:rFonts w:ascii="Arial" w:hAnsi="Arial"/>
          <w:i/>
          <w:color w:val="646464"/>
          <w:sz w:val="18"/>
        </w:rPr>
        <w:t>Forward-looking statements are subject to market conditions, regulatory developments, and successful implementation of recommended actions. Actual results may differ materially.</w:t>
      </w:r>
    </w:p>
    <w:p w14:paraId="02B848D1" w14:textId="77777777" w:rsidR="00AC41AE" w:rsidRDefault="00000000">
      <w:r>
        <w:br w:type="page"/>
      </w:r>
    </w:p>
    <w:p w14:paraId="72CE271B" w14:textId="77777777" w:rsidR="00AC41AE" w:rsidRDefault="00000000">
      <w:pPr>
        <w:pStyle w:val="Heading1"/>
        <w:spacing w:after="240"/>
      </w:pPr>
      <w:bookmarkStart w:id="6" w:name="_Toc232152601"/>
      <w:r>
        <w:rPr>
          <w:rFonts w:ascii="Arial" w:hAnsi="Arial"/>
          <w:color w:val="1B3A6B"/>
          <w:sz w:val="36"/>
        </w:rPr>
        <w:lastRenderedPageBreak/>
        <w:t>Environmental Performance</w:t>
      </w:r>
      <w:bookmarkEnd w:id="6"/>
    </w:p>
    <w:p w14:paraId="69BF24F4" w14:textId="77777777" w:rsidR="00AC41AE" w:rsidRDefault="00000000">
      <w:pPr>
        <w:pStyle w:val="Heading2"/>
        <w:spacing w:before="360" w:after="160"/>
      </w:pPr>
      <w:bookmarkStart w:id="7" w:name="_Toc232152602"/>
      <w:r>
        <w:rPr>
          <w:rFonts w:ascii="Arial" w:hAnsi="Arial"/>
          <w:color w:val="3D6094"/>
          <w:sz w:val="28"/>
        </w:rPr>
        <w:t>1.1 Direct GHG Emissions — Scope 1</w:t>
      </w:r>
      <w:bookmarkEnd w:id="7"/>
    </w:p>
    <w:tbl>
      <w:tblPr>
        <w:tblW w:w="0" w:type="auto"/>
        <w:jc w:val="center"/>
        <w:tblLook w:val="04A0" w:firstRow="1" w:lastRow="0" w:firstColumn="1" w:lastColumn="0" w:noHBand="0" w:noVBand="1"/>
      </w:tblPr>
      <w:tblGrid>
        <w:gridCol w:w="2257"/>
        <w:gridCol w:w="2257"/>
        <w:gridCol w:w="2257"/>
        <w:gridCol w:w="2257"/>
      </w:tblGrid>
      <w:tr w:rsidR="00AC41AE" w14:paraId="281037FB" w14:textId="77777777">
        <w:trPr>
          <w:jc w:val="center"/>
        </w:trPr>
        <w:tc>
          <w:tcPr>
            <w:tcW w:w="2257" w:type="dxa"/>
            <w:shd w:val="clear" w:color="auto" w:fill="F2F6FA"/>
          </w:tcPr>
          <w:p w14:paraId="64F99601" w14:textId="77777777" w:rsidR="00AC41AE" w:rsidRDefault="00000000">
            <w:pPr>
              <w:jc w:val="center"/>
            </w:pPr>
            <w:r>
              <w:rPr>
                <w:b/>
                <w:color w:val="1B3A6B"/>
                <w:sz w:val="36"/>
              </w:rPr>
              <w:t>3,403.0</w:t>
            </w:r>
            <w:r>
              <w:rPr>
                <w:color w:val="757575"/>
                <w:sz w:val="18"/>
              </w:rPr>
              <w:t xml:space="preserve"> tCO₂e</w:t>
            </w:r>
            <w:r>
              <w:rPr>
                <w:b/>
                <w:color w:val="C62828"/>
                <w:sz w:val="20"/>
              </w:rPr>
              <w:br/>
              <w:t>+2.36%</w:t>
            </w:r>
          </w:p>
        </w:tc>
        <w:tc>
          <w:tcPr>
            <w:tcW w:w="2257" w:type="dxa"/>
            <w:shd w:val="clear" w:color="auto" w:fill="F2F6FA"/>
          </w:tcPr>
          <w:p w14:paraId="55FC9DBF" w14:textId="77777777" w:rsidR="00AC41AE" w:rsidRDefault="00000000">
            <w:pPr>
              <w:jc w:val="center"/>
            </w:pPr>
            <w:r>
              <w:rPr>
                <w:b/>
                <w:color w:val="1B3A6B"/>
                <w:sz w:val="36"/>
              </w:rPr>
              <w:t>64.7</w:t>
            </w:r>
            <w:r>
              <w:rPr>
                <w:color w:val="757575"/>
                <w:sz w:val="18"/>
              </w:rPr>
              <w:t xml:space="preserve"> %</w:t>
            </w:r>
            <w:r>
              <w:rPr>
                <w:b/>
                <w:color w:val="C62828"/>
                <w:sz w:val="20"/>
              </w:rPr>
              <w:br/>
              <w:t>High concentration</w:t>
            </w:r>
          </w:p>
        </w:tc>
        <w:tc>
          <w:tcPr>
            <w:tcW w:w="2257" w:type="dxa"/>
            <w:shd w:val="clear" w:color="auto" w:fill="F2F6FA"/>
          </w:tcPr>
          <w:p w14:paraId="573C8C1D" w14:textId="77777777" w:rsidR="00AC41AE" w:rsidRDefault="00000000">
            <w:pPr>
              <w:jc w:val="center"/>
            </w:pPr>
            <w:r>
              <w:rPr>
                <w:b/>
                <w:color w:val="1B3A6B"/>
                <w:sz w:val="36"/>
              </w:rPr>
              <w:t>+2.36% vs. -9.6%</w:t>
            </w:r>
            <w:r>
              <w:rPr>
                <w:color w:val="757575"/>
                <w:sz w:val="18"/>
              </w:rPr>
              <w:t xml:space="preserve"> pp gap</w:t>
            </w:r>
            <w:r>
              <w:rPr>
                <w:b/>
                <w:color w:val="C62828"/>
                <w:sz w:val="20"/>
              </w:rPr>
              <w:br/>
              <w:t>11.96pp underperformance</w:t>
            </w:r>
          </w:p>
        </w:tc>
        <w:tc>
          <w:tcPr>
            <w:tcW w:w="2257" w:type="dxa"/>
            <w:shd w:val="clear" w:color="auto" w:fill="F2F6FA"/>
          </w:tcPr>
          <w:p w14:paraId="48D82BAC" w14:textId="77777777" w:rsidR="00AC41AE" w:rsidRDefault="00000000">
            <w:pPr>
              <w:jc w:val="center"/>
            </w:pPr>
            <w:r>
              <w:rPr>
                <w:b/>
                <w:color w:val="1B3A6B"/>
                <w:sz w:val="36"/>
              </w:rPr>
              <w:t>1.0</w:t>
            </w:r>
            <w:r>
              <w:rPr>
                <w:color w:val="757575"/>
                <w:sz w:val="18"/>
              </w:rPr>
              <w:t xml:space="preserve"> (PCAF scale)</w:t>
            </w:r>
            <w:r>
              <w:rPr>
                <w:b/>
                <w:color w:val="2E7D32"/>
                <w:sz w:val="20"/>
              </w:rPr>
              <w:br/>
              <w:t>Highest quality</w:t>
            </w:r>
          </w:p>
        </w:tc>
      </w:tr>
      <w:tr w:rsidR="00AC41AE" w14:paraId="4931ABC1" w14:textId="77777777">
        <w:trPr>
          <w:jc w:val="center"/>
        </w:trPr>
        <w:tc>
          <w:tcPr>
            <w:tcW w:w="2257" w:type="dxa"/>
            <w:shd w:val="clear" w:color="auto" w:fill="F2F6FA"/>
          </w:tcPr>
          <w:p w14:paraId="11407180" w14:textId="77777777" w:rsidR="00AC41AE" w:rsidRDefault="00000000">
            <w:pPr>
              <w:jc w:val="center"/>
            </w:pPr>
            <w:r>
              <w:rPr>
                <w:color w:val="757575"/>
                <w:sz w:val="16"/>
              </w:rPr>
              <w:t>Total Scope 1 Emissions</w:t>
            </w:r>
          </w:p>
        </w:tc>
        <w:tc>
          <w:tcPr>
            <w:tcW w:w="2257" w:type="dxa"/>
            <w:shd w:val="clear" w:color="auto" w:fill="F2F6FA"/>
          </w:tcPr>
          <w:p w14:paraId="704F02C1" w14:textId="77777777" w:rsidR="00AC41AE" w:rsidRDefault="00000000">
            <w:pPr>
              <w:jc w:val="center"/>
            </w:pPr>
            <w:r>
              <w:rPr>
                <w:color w:val="757575"/>
                <w:sz w:val="16"/>
              </w:rPr>
              <w:t>Diesel Share of Scope 1</w:t>
            </w:r>
          </w:p>
        </w:tc>
        <w:tc>
          <w:tcPr>
            <w:tcW w:w="2257" w:type="dxa"/>
            <w:shd w:val="clear" w:color="auto" w:fill="F2F6FA"/>
          </w:tcPr>
          <w:p w14:paraId="22299C5A" w14:textId="77777777" w:rsidR="00AC41AE" w:rsidRDefault="00000000">
            <w:pPr>
              <w:jc w:val="center"/>
            </w:pPr>
            <w:r>
              <w:rPr>
                <w:color w:val="757575"/>
                <w:sz w:val="16"/>
              </w:rPr>
              <w:t>YoY Change vs. Peer Avg</w:t>
            </w:r>
          </w:p>
        </w:tc>
        <w:tc>
          <w:tcPr>
            <w:tcW w:w="2257" w:type="dxa"/>
            <w:shd w:val="clear" w:color="auto" w:fill="F2F6FA"/>
          </w:tcPr>
          <w:p w14:paraId="315FF473" w14:textId="77777777" w:rsidR="00AC41AE" w:rsidRDefault="00000000">
            <w:pPr>
              <w:jc w:val="center"/>
            </w:pPr>
            <w:r>
              <w:rPr>
                <w:color w:val="757575"/>
                <w:sz w:val="16"/>
              </w:rPr>
              <w:t>Data Quality Score</w:t>
            </w:r>
          </w:p>
        </w:tc>
      </w:tr>
    </w:tbl>
    <w:p w14:paraId="1196EC00" w14:textId="77777777" w:rsidR="00AC41AE" w:rsidRDefault="00AC41AE"/>
    <w:tbl>
      <w:tblPr>
        <w:tblW w:w="0" w:type="auto"/>
        <w:jc w:val="center"/>
        <w:tblLook w:val="04A0" w:firstRow="1" w:lastRow="0" w:firstColumn="1" w:lastColumn="0" w:noHBand="0" w:noVBand="1"/>
      </w:tblPr>
      <w:tblGrid>
        <w:gridCol w:w="9029"/>
      </w:tblGrid>
      <w:tr w:rsidR="00AC41AE" w14:paraId="1A327A97" w14:textId="77777777">
        <w:trPr>
          <w:jc w:val="center"/>
        </w:trPr>
        <w:tc>
          <w:tcPr>
            <w:tcW w:w="9029" w:type="dxa"/>
            <w:shd w:val="clear" w:color="auto" w:fill="FFF8E1"/>
          </w:tcPr>
          <w:p w14:paraId="65E86A27" w14:textId="77777777" w:rsidR="00AC41AE" w:rsidRDefault="00000000">
            <w:r>
              <w:rPr>
                <w:b/>
                <w:color w:val="FF8F00"/>
                <w:sz w:val="18"/>
              </w:rPr>
              <w:t>⚠️ KEY INSIGHT</w:t>
            </w:r>
          </w:p>
          <w:p w14:paraId="203D562D" w14:textId="77777777" w:rsidR="00AC41AE" w:rsidRDefault="00000000">
            <w:r>
              <w:rPr>
                <w:b/>
              </w:rPr>
              <w:t>Scope 1 rose 2.36% while peers achieved 8-12% reductions — diesel over-reliance (64.7%) is the performance gap driver</w:t>
            </w:r>
          </w:p>
          <w:p w14:paraId="6C1FC76C" w14:textId="77777777" w:rsidR="00AC41AE" w:rsidRDefault="00000000">
            <w:r>
              <w:rPr>
                <w:sz w:val="20"/>
              </w:rPr>
              <w:t>The institution's operational emissions trajectory diverges from sectoral best practice: DBS reduced emissions 12% through 62% renewable energy, while BRI cut intensity 7.1% via Green Network solar+EV deployment. Without corrective action, the widening gap risks regulatory scrutiny under OJK POJK 51 and ESG rating downgrades as investors benchmark climate performance.</w:t>
            </w:r>
          </w:p>
        </w:tc>
      </w:tr>
    </w:tbl>
    <w:p w14:paraId="1D95AC2E" w14:textId="77777777" w:rsidR="00AC41AE" w:rsidRDefault="00AC41AE"/>
    <w:p w14:paraId="11FB1277" w14:textId="77777777" w:rsidR="00AC41AE" w:rsidRDefault="00000000">
      <w:pPr>
        <w:spacing w:after="160"/>
      </w:pPr>
      <w:r>
        <w:rPr>
          <w:rFonts w:ascii="Arial" w:hAnsi="Arial"/>
        </w:rPr>
        <w:t>The institution's gross direct (Scope 1) greenhouse gas emissions for the reporting period ending 31 December 2024 totaled 3402.997 metric tons of carbon dioxide equivalent (tCO₂e). These emissions arise from fuel combustion in facilities and vehicles under the institution's operational control, as defined by the GHG Protocol Corporate Accounting and Reporting Standard. The operational boundary encompasses all assets and operations where the institution holds operational control, consistent with the consolidation approach applied across all sustainability disclosures.</w:t>
      </w:r>
    </w:p>
    <w:p w14:paraId="68002A15" w14:textId="77777777" w:rsidR="00AC41AE" w:rsidRDefault="00000000">
      <w:pPr>
        <w:spacing w:after="160"/>
      </w:pPr>
      <w:r>
        <w:rPr>
          <w:rFonts w:ascii="Arial" w:hAnsi="Arial"/>
        </w:rPr>
        <w:t>Scope 1 emissions originate from two primary combustion sources: stationary natural gas consumption in building heating and backup power systems contributed 1199.7924 tCO₂e (35.3% of total Scope 1), while mobile and stationary diesel combustion accounted for 2203.2044 tCO₂e (64.7%). The diesel component reflects fuel use in backup generators during grid instability events, emergency power systems, and the institution's vehicle fleet. The concentration of emissions in diesel combustion presents the primary opportunity for decarbonization through fuel switching, renewable energy integration, and fleet electrification.</w:t>
      </w:r>
    </w:p>
    <w:p w14:paraId="695B5313" w14:textId="77777777" w:rsidR="00AC41AE" w:rsidRDefault="00000000">
      <w:pPr>
        <w:spacing w:after="160"/>
      </w:pPr>
      <w:r>
        <w:rPr>
          <w:rFonts w:ascii="Arial" w:hAnsi="Arial"/>
        </w:rPr>
        <w:t xml:space="preserve">Scope 1 emissions increased 2.36% year-over-year, rising from 3324.521 tCO₂e in 2023 to 3402.997 tCO₂e in 2024, representing an absolute increase of 78.476 tCO₂e. This growth occurred despite the institution's operational efficiency initiatives and contrasts with peer performance: DBS Group achieved a 12% reduction in total operational emissions, while BRI reduced energy intensity by 7.1% through its Green Network program. The increase is attributable to expanded branch network operations requiring additional backup power capacity, increased diesel generator runtime due to regional grid reliability challenges, and </w:t>
      </w:r>
      <w:r>
        <w:rPr>
          <w:rFonts w:ascii="Arial" w:hAnsi="Arial"/>
        </w:rPr>
        <w:lastRenderedPageBreak/>
        <w:t>modest growth in the vehicle fleet to support business expansion. Natural gas consumption remained stable at 1199.7924 tCO₂e (2023: 1199.0321 tCO₂e), indicating effective management of stationary combustion sources.</w:t>
      </w:r>
    </w:p>
    <w:p w14:paraId="6F8EEBDF" w14:textId="77777777" w:rsidR="00AC41AE" w:rsidRDefault="00000000">
      <w:pPr>
        <w:spacing w:after="160"/>
      </w:pPr>
      <w:r>
        <w:rPr>
          <w:rFonts w:ascii="Arial" w:hAnsi="Arial"/>
        </w:rPr>
        <w:t>The institution applies the GHG Protocol Corporate Accounting and Reporting Standard (Revised Edition, 2015) as the primary methodology for Scope 1 quantification. Emissions are calculated using a consumption-based approach: fuel consumption data (natural gas in gigajoules, diesel in liters) are multiplied by emission factors sourced from the IPCC 2006 Guidelines for National Greenhouse Gas Inventories (2019 Refinement) and Indonesia's Ministry of Environment and Forestry National Emission Factors (2023 edition). Global Warming Potential (GWP) values are applied per IPCC Sixth Assessment Report (AR6, 2021) on a 100-year time horizon: carbon dioxide (CO₂) = 1, methane (CH₄) = 29.8, nitrous oxide (N₂O) = 273.0. The inventory includes all three gases resulting from fossil fuel combustion. Biogenic CO₂ emissions are not material to the institution's operations and are excluded from the reported total. The consolidation approach follows operational control: 100% of emissions from facilities and assets under the institution's operational authority are included, regardless of equity share.</w:t>
      </w:r>
    </w:p>
    <w:p w14:paraId="58FBC066" w14:textId="77777777" w:rsidR="00AC41AE" w:rsidRDefault="00000000">
      <w:pPr>
        <w:spacing w:after="160"/>
      </w:pPr>
      <w:r>
        <w:rPr>
          <w:rFonts w:ascii="Arial" w:hAnsi="Arial"/>
        </w:rPr>
        <w:t>Facility-level analysis reveals concentration of Scope 1 emissions in the institution's largest operational sites. The top five emitting facilities account for 611.3904 tCO₂e (18.0% of total Scope 1). FAC-0197 leads with 147.7152 tCO₂e, driven by high diesel consumption (32,105 liters) for backup power and natural gas use (1,160.58 GJ) for HVAC systems. FAC-0198 and FAC-0200 follow with 137.8381 tCO₂e and 131.4422 tCO₂e respectively, both exhibiting similar fuel mix profiles. Notably, FAC-0193 and FAC-0191 rely exclusively on diesel (zero natural gas), indicating sites without grid-connected heating or locations with diesel-only backup systems. All facility-level data achieve a data quality score of 1 (highest quality per PCAF methodology), reflecting direct metering and invoice-based measurement rather than estimation.</w:t>
      </w:r>
    </w:p>
    <w:p w14:paraId="4D10E298" w14:textId="77777777" w:rsidR="00AC41AE" w:rsidRDefault="00000000">
      <w:pPr>
        <w:spacing w:after="160"/>
      </w:pPr>
      <w:r>
        <w:rPr>
          <w:rFonts w:ascii="Arial" w:hAnsi="Arial"/>
        </w:rPr>
        <w:t>The institution's Scope 1 performance presents a strategic inflection point. While absolute emissions remain modest compared to operational scale (24,997 FTE), the 2.36% year-over-year increase diverges from sectoral decarbonization trajectories and peer achievements. Indonesian banking peers have demonstrated feasibility of operational emission reductions: BRI achieved 19.49% electricity savings at its BRILiaN Tower through green building certification and deployed 118 electric vehicles plus 150 electric motorcycles; DBS Group reduced total operational emissions by 12% while sourcing 62% renewable electricity through RE100 membership. The institution's diesel dependency (64.7% of Scope 1) creates both vulnerability to fuel price volatility and opportunity for high-impact interventions. Without corrective action, the emissions trajectory risks misalignment with Indonesia's Enhanced Nationally Determined Contribution (NDC) commitment to reduce emissions 31.89% by 2030 and regulatory expectations under OJK POJK 51/2017 on sustainable finance implementation.</w:t>
      </w:r>
    </w:p>
    <w:p w14:paraId="1BD1BD62" w14:textId="77777777" w:rsidR="00AC41AE" w:rsidRDefault="00000000">
      <w:pPr>
        <w:spacing w:after="160"/>
      </w:pPr>
      <w:r>
        <w:rPr>
          <w:rFonts w:ascii="Arial" w:hAnsi="Arial"/>
        </w:rPr>
        <w:t>These figures have not been subject to external assurance for the current reporting period.</w:t>
      </w:r>
    </w:p>
    <w:p w14:paraId="585B1C1C" w14:textId="77777777" w:rsidR="00AC41AE" w:rsidRDefault="00000000">
      <w:r>
        <w:rPr>
          <w:rFonts w:ascii="Arial" w:hAnsi="Arial"/>
          <w:b/>
          <w:sz w:val="20"/>
        </w:rPr>
        <w:t>Table 12: Table 1.1.1: Scope 1 Emissions by Source (2024)</w:t>
      </w:r>
    </w:p>
    <w:tbl>
      <w:tblPr>
        <w:tblW w:w="0" w:type="auto"/>
        <w:jc w:val="center"/>
        <w:tblLook w:val="04A0" w:firstRow="1" w:lastRow="0" w:firstColumn="1" w:lastColumn="0" w:noHBand="0" w:noVBand="1"/>
      </w:tblPr>
      <w:tblGrid>
        <w:gridCol w:w="1806"/>
        <w:gridCol w:w="1806"/>
        <w:gridCol w:w="1806"/>
        <w:gridCol w:w="1806"/>
        <w:gridCol w:w="1806"/>
      </w:tblGrid>
      <w:tr w:rsidR="00AC41AE" w14:paraId="63B68F8C" w14:textId="77777777">
        <w:trPr>
          <w:jc w:val="center"/>
        </w:trPr>
        <w:tc>
          <w:tcPr>
            <w:tcW w:w="1806" w:type="dxa"/>
            <w:shd w:val="clear" w:color="auto" w:fill="1B3A6B"/>
          </w:tcPr>
          <w:p w14:paraId="3A525143" w14:textId="77777777" w:rsidR="00AC41AE" w:rsidRDefault="00000000">
            <w:r>
              <w:rPr>
                <w:rFonts w:ascii="Arial" w:hAnsi="Arial"/>
                <w:b/>
                <w:color w:val="FFFFFF"/>
                <w:sz w:val="18"/>
              </w:rPr>
              <w:t>Emission Source</w:t>
            </w:r>
          </w:p>
        </w:tc>
        <w:tc>
          <w:tcPr>
            <w:tcW w:w="1806" w:type="dxa"/>
            <w:shd w:val="clear" w:color="auto" w:fill="1B3A6B"/>
          </w:tcPr>
          <w:p w14:paraId="0304512F" w14:textId="77777777" w:rsidR="00AC41AE" w:rsidRDefault="00000000">
            <w:r>
              <w:rPr>
                <w:rFonts w:ascii="Arial" w:hAnsi="Arial"/>
                <w:b/>
                <w:color w:val="FFFFFF"/>
                <w:sz w:val="18"/>
              </w:rPr>
              <w:t>Fuel Type</w:t>
            </w:r>
          </w:p>
        </w:tc>
        <w:tc>
          <w:tcPr>
            <w:tcW w:w="1806" w:type="dxa"/>
            <w:shd w:val="clear" w:color="auto" w:fill="1B3A6B"/>
          </w:tcPr>
          <w:p w14:paraId="57AB2362" w14:textId="77777777" w:rsidR="00AC41AE" w:rsidRDefault="00000000">
            <w:r>
              <w:rPr>
                <w:rFonts w:ascii="Arial" w:hAnsi="Arial"/>
                <w:b/>
                <w:color w:val="FFFFFF"/>
                <w:sz w:val="18"/>
              </w:rPr>
              <w:t>Consumption</w:t>
            </w:r>
          </w:p>
        </w:tc>
        <w:tc>
          <w:tcPr>
            <w:tcW w:w="1806" w:type="dxa"/>
            <w:shd w:val="clear" w:color="auto" w:fill="1B3A6B"/>
          </w:tcPr>
          <w:p w14:paraId="5B793FFE" w14:textId="77777777" w:rsidR="00AC41AE" w:rsidRDefault="00000000">
            <w:r>
              <w:rPr>
                <w:rFonts w:ascii="Arial" w:hAnsi="Arial"/>
                <w:b/>
                <w:color w:val="FFFFFF"/>
                <w:sz w:val="18"/>
              </w:rPr>
              <w:t>Emissions (tCO₂e)</w:t>
            </w:r>
          </w:p>
        </w:tc>
        <w:tc>
          <w:tcPr>
            <w:tcW w:w="1806" w:type="dxa"/>
            <w:shd w:val="clear" w:color="auto" w:fill="1B3A6B"/>
          </w:tcPr>
          <w:p w14:paraId="5598D880" w14:textId="77777777" w:rsidR="00AC41AE" w:rsidRDefault="00000000">
            <w:r>
              <w:rPr>
                <w:rFonts w:ascii="Arial" w:hAnsi="Arial"/>
                <w:b/>
                <w:color w:val="FFFFFF"/>
                <w:sz w:val="18"/>
              </w:rPr>
              <w:t>% of Scope 1</w:t>
            </w:r>
          </w:p>
        </w:tc>
      </w:tr>
      <w:tr w:rsidR="00AC41AE" w14:paraId="4B93A019" w14:textId="77777777">
        <w:trPr>
          <w:jc w:val="center"/>
        </w:trPr>
        <w:tc>
          <w:tcPr>
            <w:tcW w:w="1806" w:type="dxa"/>
          </w:tcPr>
          <w:p w14:paraId="6DADE106" w14:textId="77777777" w:rsidR="00AC41AE" w:rsidRDefault="00000000">
            <w:r>
              <w:rPr>
                <w:rFonts w:ascii="Arial" w:hAnsi="Arial"/>
                <w:sz w:val="18"/>
              </w:rPr>
              <w:t xml:space="preserve">Stationary </w:t>
            </w:r>
            <w:r>
              <w:rPr>
                <w:rFonts w:ascii="Arial" w:hAnsi="Arial"/>
                <w:sz w:val="18"/>
              </w:rPr>
              <w:lastRenderedPageBreak/>
              <w:t>Combustion</w:t>
            </w:r>
          </w:p>
        </w:tc>
        <w:tc>
          <w:tcPr>
            <w:tcW w:w="1806" w:type="dxa"/>
          </w:tcPr>
          <w:p w14:paraId="429E83FD" w14:textId="77777777" w:rsidR="00AC41AE" w:rsidRDefault="00000000">
            <w:r>
              <w:rPr>
                <w:rFonts w:ascii="Arial" w:hAnsi="Arial"/>
                <w:sz w:val="18"/>
              </w:rPr>
              <w:lastRenderedPageBreak/>
              <w:t>Natural Gas</w:t>
            </w:r>
          </w:p>
        </w:tc>
        <w:tc>
          <w:tcPr>
            <w:tcW w:w="1806" w:type="dxa"/>
          </w:tcPr>
          <w:p w14:paraId="563A4E76" w14:textId="77777777" w:rsidR="00AC41AE" w:rsidRDefault="00000000">
            <w:r>
              <w:rPr>
                <w:rFonts w:ascii="Arial" w:hAnsi="Arial"/>
                <w:sz w:val="18"/>
              </w:rPr>
              <w:t>21,359.73 GJ</w:t>
            </w:r>
          </w:p>
        </w:tc>
        <w:tc>
          <w:tcPr>
            <w:tcW w:w="1806" w:type="dxa"/>
          </w:tcPr>
          <w:p w14:paraId="15E0DEA2" w14:textId="77777777" w:rsidR="00AC41AE" w:rsidRDefault="00000000">
            <w:pPr>
              <w:jc w:val="right"/>
            </w:pPr>
            <w:r>
              <w:rPr>
                <w:rFonts w:ascii="Arial" w:hAnsi="Arial"/>
                <w:sz w:val="18"/>
              </w:rPr>
              <w:t>1,199.7924</w:t>
            </w:r>
          </w:p>
        </w:tc>
        <w:tc>
          <w:tcPr>
            <w:tcW w:w="1806" w:type="dxa"/>
          </w:tcPr>
          <w:p w14:paraId="6EC9B78D" w14:textId="77777777" w:rsidR="00AC41AE" w:rsidRDefault="00000000">
            <w:pPr>
              <w:jc w:val="right"/>
            </w:pPr>
            <w:r>
              <w:rPr>
                <w:rFonts w:ascii="Arial" w:hAnsi="Arial"/>
                <w:sz w:val="18"/>
              </w:rPr>
              <w:t>35.3%</w:t>
            </w:r>
          </w:p>
        </w:tc>
      </w:tr>
      <w:tr w:rsidR="00AC41AE" w14:paraId="328846F1" w14:textId="77777777">
        <w:trPr>
          <w:jc w:val="center"/>
        </w:trPr>
        <w:tc>
          <w:tcPr>
            <w:tcW w:w="1806" w:type="dxa"/>
            <w:shd w:val="clear" w:color="auto" w:fill="F2F6FC"/>
          </w:tcPr>
          <w:p w14:paraId="7971ACEE" w14:textId="77777777" w:rsidR="00AC41AE" w:rsidRDefault="00000000">
            <w:r>
              <w:rPr>
                <w:rFonts w:ascii="Arial" w:hAnsi="Arial"/>
                <w:sz w:val="18"/>
              </w:rPr>
              <w:t>Mobile &amp; Stationary Combustion</w:t>
            </w:r>
          </w:p>
        </w:tc>
        <w:tc>
          <w:tcPr>
            <w:tcW w:w="1806" w:type="dxa"/>
            <w:shd w:val="clear" w:color="auto" w:fill="F2F6FC"/>
          </w:tcPr>
          <w:p w14:paraId="19041C1A" w14:textId="77777777" w:rsidR="00AC41AE" w:rsidRDefault="00000000">
            <w:r>
              <w:rPr>
                <w:rFonts w:ascii="Arial" w:hAnsi="Arial"/>
                <w:sz w:val="18"/>
              </w:rPr>
              <w:t>Diesel</w:t>
            </w:r>
          </w:p>
        </w:tc>
        <w:tc>
          <w:tcPr>
            <w:tcW w:w="1806" w:type="dxa"/>
            <w:shd w:val="clear" w:color="auto" w:fill="F2F6FC"/>
          </w:tcPr>
          <w:p w14:paraId="4DB6CBD0" w14:textId="77777777" w:rsidR="00AC41AE" w:rsidRDefault="00000000">
            <w:r>
              <w:rPr>
                <w:rFonts w:ascii="Arial" w:hAnsi="Arial"/>
                <w:sz w:val="18"/>
              </w:rPr>
              <w:t>856,913 liters</w:t>
            </w:r>
          </w:p>
        </w:tc>
        <w:tc>
          <w:tcPr>
            <w:tcW w:w="1806" w:type="dxa"/>
            <w:shd w:val="clear" w:color="auto" w:fill="F2F6FC"/>
          </w:tcPr>
          <w:p w14:paraId="78B5D781" w14:textId="77777777" w:rsidR="00AC41AE" w:rsidRDefault="00000000">
            <w:pPr>
              <w:jc w:val="right"/>
            </w:pPr>
            <w:r>
              <w:rPr>
                <w:rFonts w:ascii="Arial" w:hAnsi="Arial"/>
                <w:sz w:val="18"/>
              </w:rPr>
              <w:t>2,203.2044</w:t>
            </w:r>
          </w:p>
        </w:tc>
        <w:tc>
          <w:tcPr>
            <w:tcW w:w="1806" w:type="dxa"/>
            <w:shd w:val="clear" w:color="auto" w:fill="F2F6FC"/>
          </w:tcPr>
          <w:p w14:paraId="7319741C" w14:textId="77777777" w:rsidR="00AC41AE" w:rsidRDefault="00000000">
            <w:pPr>
              <w:jc w:val="right"/>
            </w:pPr>
            <w:r>
              <w:rPr>
                <w:rFonts w:ascii="Arial" w:hAnsi="Arial"/>
                <w:sz w:val="18"/>
              </w:rPr>
              <w:t>64.7%</w:t>
            </w:r>
          </w:p>
        </w:tc>
      </w:tr>
      <w:tr w:rsidR="00AC41AE" w14:paraId="7EE51AB5" w14:textId="77777777">
        <w:trPr>
          <w:jc w:val="center"/>
        </w:trPr>
        <w:tc>
          <w:tcPr>
            <w:tcW w:w="1806" w:type="dxa"/>
          </w:tcPr>
          <w:p w14:paraId="31164D44" w14:textId="77777777" w:rsidR="00AC41AE" w:rsidRDefault="00000000">
            <w:r>
              <w:rPr>
                <w:rFonts w:ascii="Arial" w:hAnsi="Arial"/>
                <w:sz w:val="18"/>
              </w:rPr>
              <w:t>**Total Scope 1**</w:t>
            </w:r>
          </w:p>
        </w:tc>
        <w:tc>
          <w:tcPr>
            <w:tcW w:w="1806" w:type="dxa"/>
          </w:tcPr>
          <w:p w14:paraId="3F9EE8A5" w14:textId="77777777" w:rsidR="00AC41AE" w:rsidRDefault="00000000">
            <w:r>
              <w:rPr>
                <w:rFonts w:ascii="Arial" w:hAnsi="Arial"/>
                <w:sz w:val="18"/>
              </w:rPr>
              <w:t>—</w:t>
            </w:r>
          </w:p>
        </w:tc>
        <w:tc>
          <w:tcPr>
            <w:tcW w:w="1806" w:type="dxa"/>
          </w:tcPr>
          <w:p w14:paraId="4E4FCB98" w14:textId="77777777" w:rsidR="00AC41AE" w:rsidRDefault="00000000">
            <w:r>
              <w:rPr>
                <w:rFonts w:ascii="Arial" w:hAnsi="Arial"/>
                <w:sz w:val="18"/>
              </w:rPr>
              <w:t>—</w:t>
            </w:r>
          </w:p>
        </w:tc>
        <w:tc>
          <w:tcPr>
            <w:tcW w:w="1806" w:type="dxa"/>
          </w:tcPr>
          <w:p w14:paraId="66427543" w14:textId="77777777" w:rsidR="00AC41AE" w:rsidRDefault="00000000">
            <w:r>
              <w:rPr>
                <w:rFonts w:ascii="Arial" w:hAnsi="Arial"/>
                <w:sz w:val="18"/>
              </w:rPr>
              <w:t>**3,402.997**</w:t>
            </w:r>
          </w:p>
        </w:tc>
        <w:tc>
          <w:tcPr>
            <w:tcW w:w="1806" w:type="dxa"/>
          </w:tcPr>
          <w:p w14:paraId="1E996C86" w14:textId="77777777" w:rsidR="00AC41AE" w:rsidRDefault="00000000">
            <w:r>
              <w:rPr>
                <w:rFonts w:ascii="Arial" w:hAnsi="Arial"/>
                <w:sz w:val="18"/>
              </w:rPr>
              <w:t>**100.0%**</w:t>
            </w:r>
          </w:p>
        </w:tc>
      </w:tr>
    </w:tbl>
    <w:p w14:paraId="363E7D47" w14:textId="77777777" w:rsidR="00AC41AE" w:rsidRDefault="00000000">
      <w:r>
        <w:rPr>
          <w:rFonts w:ascii="Arial" w:hAnsi="Arial"/>
          <w:i/>
          <w:sz w:val="16"/>
        </w:rPr>
        <w:t>Source: Source: Facility energy consumption records, invoice-based measurement. GJ = gigajoules. Emission factors: IPCC 2006 Guidelines (2019 Refinement), Indonesia MoEF National Factors 2023. GWP values: IPCC AR6 (2021).</w:t>
      </w:r>
    </w:p>
    <w:p w14:paraId="1658D973" w14:textId="77777777" w:rsidR="00AC41AE" w:rsidRDefault="00AC41AE"/>
    <w:p w14:paraId="699ABD48" w14:textId="77777777" w:rsidR="00AC41AE" w:rsidRDefault="00000000">
      <w:r>
        <w:rPr>
          <w:rFonts w:ascii="Arial" w:hAnsi="Arial"/>
          <w:b/>
          <w:sz w:val="20"/>
        </w:rPr>
        <w:t>Table 14: Table 1.1.2: Year-over-Year Scope 1 Comparison</w:t>
      </w:r>
    </w:p>
    <w:tbl>
      <w:tblPr>
        <w:tblW w:w="0" w:type="auto"/>
        <w:jc w:val="center"/>
        <w:tblLook w:val="04A0" w:firstRow="1" w:lastRow="0" w:firstColumn="1" w:lastColumn="0" w:noHBand="0" w:noVBand="1"/>
      </w:tblPr>
      <w:tblGrid>
        <w:gridCol w:w="1806"/>
        <w:gridCol w:w="1806"/>
        <w:gridCol w:w="1806"/>
        <w:gridCol w:w="1806"/>
        <w:gridCol w:w="1806"/>
      </w:tblGrid>
      <w:tr w:rsidR="00AC41AE" w14:paraId="46A0344E" w14:textId="77777777">
        <w:trPr>
          <w:jc w:val="center"/>
        </w:trPr>
        <w:tc>
          <w:tcPr>
            <w:tcW w:w="1806" w:type="dxa"/>
            <w:shd w:val="clear" w:color="auto" w:fill="1B3A6B"/>
          </w:tcPr>
          <w:p w14:paraId="705C6F4F" w14:textId="77777777" w:rsidR="00AC41AE" w:rsidRDefault="00000000">
            <w:r>
              <w:rPr>
                <w:rFonts w:ascii="Arial" w:hAnsi="Arial"/>
                <w:b/>
                <w:color w:val="FFFFFF"/>
                <w:sz w:val="18"/>
              </w:rPr>
              <w:t>Metric</w:t>
            </w:r>
          </w:p>
        </w:tc>
        <w:tc>
          <w:tcPr>
            <w:tcW w:w="1806" w:type="dxa"/>
            <w:shd w:val="clear" w:color="auto" w:fill="1B3A6B"/>
          </w:tcPr>
          <w:p w14:paraId="25272914" w14:textId="77777777" w:rsidR="00AC41AE" w:rsidRDefault="00000000">
            <w:r>
              <w:rPr>
                <w:rFonts w:ascii="Arial" w:hAnsi="Arial"/>
                <w:b/>
                <w:color w:val="FFFFFF"/>
                <w:sz w:val="18"/>
              </w:rPr>
              <w:t>2023</w:t>
            </w:r>
          </w:p>
        </w:tc>
        <w:tc>
          <w:tcPr>
            <w:tcW w:w="1806" w:type="dxa"/>
            <w:shd w:val="clear" w:color="auto" w:fill="1B3A6B"/>
          </w:tcPr>
          <w:p w14:paraId="6A5FB603" w14:textId="77777777" w:rsidR="00AC41AE" w:rsidRDefault="00000000">
            <w:r>
              <w:rPr>
                <w:rFonts w:ascii="Arial" w:hAnsi="Arial"/>
                <w:b/>
                <w:color w:val="FFFFFF"/>
                <w:sz w:val="18"/>
              </w:rPr>
              <w:t>2024</w:t>
            </w:r>
          </w:p>
        </w:tc>
        <w:tc>
          <w:tcPr>
            <w:tcW w:w="1806" w:type="dxa"/>
            <w:shd w:val="clear" w:color="auto" w:fill="1B3A6B"/>
          </w:tcPr>
          <w:p w14:paraId="74D67172" w14:textId="77777777" w:rsidR="00AC41AE" w:rsidRDefault="00000000">
            <w:r>
              <w:rPr>
                <w:rFonts w:ascii="Arial" w:hAnsi="Arial"/>
                <w:b/>
                <w:color w:val="FFFFFF"/>
                <w:sz w:val="18"/>
              </w:rPr>
              <w:t>Absolute Change</w:t>
            </w:r>
          </w:p>
        </w:tc>
        <w:tc>
          <w:tcPr>
            <w:tcW w:w="1806" w:type="dxa"/>
            <w:shd w:val="clear" w:color="auto" w:fill="1B3A6B"/>
          </w:tcPr>
          <w:p w14:paraId="61CB12E1" w14:textId="77777777" w:rsidR="00AC41AE" w:rsidRDefault="00000000">
            <w:r>
              <w:rPr>
                <w:rFonts w:ascii="Arial" w:hAnsi="Arial"/>
                <w:b/>
                <w:color w:val="FFFFFF"/>
                <w:sz w:val="18"/>
              </w:rPr>
              <w:t>% Change</w:t>
            </w:r>
          </w:p>
        </w:tc>
      </w:tr>
      <w:tr w:rsidR="00AC41AE" w14:paraId="1481ACAC" w14:textId="77777777">
        <w:trPr>
          <w:jc w:val="center"/>
        </w:trPr>
        <w:tc>
          <w:tcPr>
            <w:tcW w:w="1806" w:type="dxa"/>
          </w:tcPr>
          <w:p w14:paraId="0B0363C3" w14:textId="77777777" w:rsidR="00AC41AE" w:rsidRDefault="00000000">
            <w:r>
              <w:rPr>
                <w:rFonts w:ascii="Arial" w:hAnsi="Arial"/>
                <w:sz w:val="18"/>
              </w:rPr>
              <w:t>Natural Gas (tCO₂e)</w:t>
            </w:r>
          </w:p>
        </w:tc>
        <w:tc>
          <w:tcPr>
            <w:tcW w:w="1806" w:type="dxa"/>
          </w:tcPr>
          <w:p w14:paraId="1C16F800" w14:textId="77777777" w:rsidR="00AC41AE" w:rsidRDefault="00000000">
            <w:pPr>
              <w:jc w:val="right"/>
            </w:pPr>
            <w:r>
              <w:rPr>
                <w:rFonts w:ascii="Arial" w:hAnsi="Arial"/>
                <w:sz w:val="18"/>
              </w:rPr>
              <w:t>1,199.0321</w:t>
            </w:r>
          </w:p>
        </w:tc>
        <w:tc>
          <w:tcPr>
            <w:tcW w:w="1806" w:type="dxa"/>
          </w:tcPr>
          <w:p w14:paraId="3834C868" w14:textId="77777777" w:rsidR="00AC41AE" w:rsidRDefault="00000000">
            <w:pPr>
              <w:jc w:val="right"/>
            </w:pPr>
            <w:r>
              <w:rPr>
                <w:rFonts w:ascii="Arial" w:hAnsi="Arial"/>
                <w:sz w:val="18"/>
              </w:rPr>
              <w:t>1,199.7924</w:t>
            </w:r>
          </w:p>
        </w:tc>
        <w:tc>
          <w:tcPr>
            <w:tcW w:w="1806" w:type="dxa"/>
          </w:tcPr>
          <w:p w14:paraId="5BF8FE4B" w14:textId="77777777" w:rsidR="00AC41AE" w:rsidRDefault="00000000">
            <w:pPr>
              <w:jc w:val="right"/>
            </w:pPr>
            <w:r>
              <w:rPr>
                <w:rFonts w:ascii="Arial" w:hAnsi="Arial"/>
                <w:sz w:val="18"/>
              </w:rPr>
              <w:t>+0.7603</w:t>
            </w:r>
          </w:p>
        </w:tc>
        <w:tc>
          <w:tcPr>
            <w:tcW w:w="1806" w:type="dxa"/>
          </w:tcPr>
          <w:p w14:paraId="7A406C24" w14:textId="77777777" w:rsidR="00AC41AE" w:rsidRDefault="00000000">
            <w:pPr>
              <w:jc w:val="right"/>
            </w:pPr>
            <w:r>
              <w:rPr>
                <w:rFonts w:ascii="Arial" w:hAnsi="Arial"/>
                <w:sz w:val="18"/>
              </w:rPr>
              <w:t>+0.06%</w:t>
            </w:r>
          </w:p>
        </w:tc>
      </w:tr>
      <w:tr w:rsidR="00AC41AE" w14:paraId="06A6A2AA" w14:textId="77777777">
        <w:trPr>
          <w:jc w:val="center"/>
        </w:trPr>
        <w:tc>
          <w:tcPr>
            <w:tcW w:w="1806" w:type="dxa"/>
            <w:shd w:val="clear" w:color="auto" w:fill="F2F6FC"/>
          </w:tcPr>
          <w:p w14:paraId="4DCA053F" w14:textId="77777777" w:rsidR="00AC41AE" w:rsidRDefault="00000000">
            <w:r>
              <w:rPr>
                <w:rFonts w:ascii="Arial" w:hAnsi="Arial"/>
                <w:sz w:val="18"/>
              </w:rPr>
              <w:t>Diesel (tCO₂e)</w:t>
            </w:r>
          </w:p>
        </w:tc>
        <w:tc>
          <w:tcPr>
            <w:tcW w:w="1806" w:type="dxa"/>
            <w:shd w:val="clear" w:color="auto" w:fill="F2F6FC"/>
          </w:tcPr>
          <w:p w14:paraId="5A3815A8" w14:textId="77777777" w:rsidR="00AC41AE" w:rsidRDefault="00000000">
            <w:pPr>
              <w:jc w:val="right"/>
            </w:pPr>
            <w:r>
              <w:rPr>
                <w:rFonts w:ascii="Arial" w:hAnsi="Arial"/>
                <w:sz w:val="18"/>
              </w:rPr>
              <w:t>2,125.4888</w:t>
            </w:r>
          </w:p>
        </w:tc>
        <w:tc>
          <w:tcPr>
            <w:tcW w:w="1806" w:type="dxa"/>
            <w:shd w:val="clear" w:color="auto" w:fill="F2F6FC"/>
          </w:tcPr>
          <w:p w14:paraId="34A3AAB8" w14:textId="77777777" w:rsidR="00AC41AE" w:rsidRDefault="00000000">
            <w:pPr>
              <w:jc w:val="right"/>
            </w:pPr>
            <w:r>
              <w:rPr>
                <w:rFonts w:ascii="Arial" w:hAnsi="Arial"/>
                <w:sz w:val="18"/>
              </w:rPr>
              <w:t>2,203.2044</w:t>
            </w:r>
          </w:p>
        </w:tc>
        <w:tc>
          <w:tcPr>
            <w:tcW w:w="1806" w:type="dxa"/>
            <w:shd w:val="clear" w:color="auto" w:fill="F2F6FC"/>
          </w:tcPr>
          <w:p w14:paraId="05D922C6" w14:textId="77777777" w:rsidR="00AC41AE" w:rsidRDefault="00000000">
            <w:pPr>
              <w:jc w:val="right"/>
            </w:pPr>
            <w:r>
              <w:rPr>
                <w:rFonts w:ascii="Arial" w:hAnsi="Arial"/>
                <w:sz w:val="18"/>
              </w:rPr>
              <w:t>+77.7156</w:t>
            </w:r>
          </w:p>
        </w:tc>
        <w:tc>
          <w:tcPr>
            <w:tcW w:w="1806" w:type="dxa"/>
            <w:shd w:val="clear" w:color="auto" w:fill="F2F6FC"/>
          </w:tcPr>
          <w:p w14:paraId="7617B5CE" w14:textId="77777777" w:rsidR="00AC41AE" w:rsidRDefault="00000000">
            <w:pPr>
              <w:jc w:val="right"/>
            </w:pPr>
            <w:r>
              <w:rPr>
                <w:rFonts w:ascii="Arial" w:hAnsi="Arial"/>
                <w:sz w:val="18"/>
              </w:rPr>
              <w:t>+3.66%</w:t>
            </w:r>
          </w:p>
        </w:tc>
      </w:tr>
      <w:tr w:rsidR="00AC41AE" w14:paraId="35F59484" w14:textId="77777777">
        <w:trPr>
          <w:jc w:val="center"/>
        </w:trPr>
        <w:tc>
          <w:tcPr>
            <w:tcW w:w="1806" w:type="dxa"/>
          </w:tcPr>
          <w:p w14:paraId="41BB0CEE" w14:textId="77777777" w:rsidR="00AC41AE" w:rsidRDefault="00000000">
            <w:r>
              <w:rPr>
                <w:rFonts w:ascii="Arial" w:hAnsi="Arial"/>
                <w:sz w:val="18"/>
              </w:rPr>
              <w:t>**Total Scope 1 (tCO₂e)**</w:t>
            </w:r>
          </w:p>
        </w:tc>
        <w:tc>
          <w:tcPr>
            <w:tcW w:w="1806" w:type="dxa"/>
          </w:tcPr>
          <w:p w14:paraId="3FEBD0A4" w14:textId="77777777" w:rsidR="00AC41AE" w:rsidRDefault="00000000">
            <w:r>
              <w:rPr>
                <w:rFonts w:ascii="Arial" w:hAnsi="Arial"/>
                <w:sz w:val="18"/>
              </w:rPr>
              <w:t>**3,324.521**</w:t>
            </w:r>
          </w:p>
        </w:tc>
        <w:tc>
          <w:tcPr>
            <w:tcW w:w="1806" w:type="dxa"/>
          </w:tcPr>
          <w:p w14:paraId="54AFF6AC" w14:textId="77777777" w:rsidR="00AC41AE" w:rsidRDefault="00000000">
            <w:r>
              <w:rPr>
                <w:rFonts w:ascii="Arial" w:hAnsi="Arial"/>
                <w:sz w:val="18"/>
              </w:rPr>
              <w:t>**3,402.997**</w:t>
            </w:r>
          </w:p>
        </w:tc>
        <w:tc>
          <w:tcPr>
            <w:tcW w:w="1806" w:type="dxa"/>
          </w:tcPr>
          <w:p w14:paraId="7D970F2E" w14:textId="77777777" w:rsidR="00AC41AE" w:rsidRDefault="00000000">
            <w:r>
              <w:rPr>
                <w:rFonts w:ascii="Arial" w:hAnsi="Arial"/>
                <w:sz w:val="18"/>
              </w:rPr>
              <w:t>**+78.476**</w:t>
            </w:r>
          </w:p>
        </w:tc>
        <w:tc>
          <w:tcPr>
            <w:tcW w:w="1806" w:type="dxa"/>
          </w:tcPr>
          <w:p w14:paraId="272E4ABA" w14:textId="77777777" w:rsidR="00AC41AE" w:rsidRDefault="00000000">
            <w:r>
              <w:rPr>
                <w:rFonts w:ascii="Arial" w:hAnsi="Arial"/>
                <w:sz w:val="18"/>
              </w:rPr>
              <w:t>**+2.36%**</w:t>
            </w:r>
          </w:p>
        </w:tc>
      </w:tr>
    </w:tbl>
    <w:p w14:paraId="294F68B7" w14:textId="77777777" w:rsidR="00AC41AE" w:rsidRDefault="00000000">
      <w:r>
        <w:rPr>
          <w:rFonts w:ascii="Arial" w:hAnsi="Arial"/>
          <w:i/>
          <w:sz w:val="16"/>
        </w:rPr>
        <w:t>Source: Source: Annual GHG inventory records. Methodology consistent across reporting periods.</w:t>
      </w:r>
    </w:p>
    <w:p w14:paraId="6671095F" w14:textId="77777777" w:rsidR="00AC41AE" w:rsidRDefault="00AC41AE"/>
    <w:p w14:paraId="19817A00" w14:textId="77777777" w:rsidR="00AC41AE" w:rsidRDefault="00000000">
      <w:r>
        <w:rPr>
          <w:rFonts w:ascii="Arial" w:hAnsi="Arial"/>
          <w:b/>
          <w:sz w:val="20"/>
        </w:rPr>
        <w:t>Table 16: Table 1.1.3: Top 5 Emitting Facilities (2024)</w:t>
      </w:r>
    </w:p>
    <w:tbl>
      <w:tblPr>
        <w:tblW w:w="0" w:type="auto"/>
        <w:jc w:val="center"/>
        <w:tblLook w:val="04A0" w:firstRow="1" w:lastRow="0" w:firstColumn="1" w:lastColumn="0" w:noHBand="0" w:noVBand="1"/>
      </w:tblPr>
      <w:tblGrid>
        <w:gridCol w:w="1806"/>
        <w:gridCol w:w="1806"/>
        <w:gridCol w:w="1806"/>
        <w:gridCol w:w="1806"/>
        <w:gridCol w:w="1806"/>
      </w:tblGrid>
      <w:tr w:rsidR="00AC41AE" w14:paraId="03DD7D1A" w14:textId="77777777">
        <w:trPr>
          <w:jc w:val="center"/>
        </w:trPr>
        <w:tc>
          <w:tcPr>
            <w:tcW w:w="1806" w:type="dxa"/>
            <w:shd w:val="clear" w:color="auto" w:fill="1B3A6B"/>
          </w:tcPr>
          <w:p w14:paraId="1732087A" w14:textId="77777777" w:rsidR="00AC41AE" w:rsidRDefault="00000000">
            <w:r>
              <w:rPr>
                <w:rFonts w:ascii="Arial" w:hAnsi="Arial"/>
                <w:b/>
                <w:color w:val="FFFFFF"/>
                <w:sz w:val="18"/>
              </w:rPr>
              <w:t>Facility ID</w:t>
            </w:r>
          </w:p>
        </w:tc>
        <w:tc>
          <w:tcPr>
            <w:tcW w:w="1806" w:type="dxa"/>
            <w:shd w:val="clear" w:color="auto" w:fill="1B3A6B"/>
          </w:tcPr>
          <w:p w14:paraId="757BE5D1" w14:textId="77777777" w:rsidR="00AC41AE" w:rsidRDefault="00000000">
            <w:r>
              <w:rPr>
                <w:rFonts w:ascii="Arial" w:hAnsi="Arial"/>
                <w:b/>
                <w:color w:val="FFFFFF"/>
                <w:sz w:val="18"/>
              </w:rPr>
              <w:t>Natural Gas (tCO₂e)</w:t>
            </w:r>
          </w:p>
        </w:tc>
        <w:tc>
          <w:tcPr>
            <w:tcW w:w="1806" w:type="dxa"/>
            <w:shd w:val="clear" w:color="auto" w:fill="1B3A6B"/>
          </w:tcPr>
          <w:p w14:paraId="2D2C774A" w14:textId="77777777" w:rsidR="00AC41AE" w:rsidRDefault="00000000">
            <w:r>
              <w:rPr>
                <w:rFonts w:ascii="Arial" w:hAnsi="Arial"/>
                <w:b/>
                <w:color w:val="FFFFFF"/>
                <w:sz w:val="18"/>
              </w:rPr>
              <w:t>Diesel (tCO₂e)</w:t>
            </w:r>
          </w:p>
        </w:tc>
        <w:tc>
          <w:tcPr>
            <w:tcW w:w="1806" w:type="dxa"/>
            <w:shd w:val="clear" w:color="auto" w:fill="1B3A6B"/>
          </w:tcPr>
          <w:p w14:paraId="1DE92F2C" w14:textId="77777777" w:rsidR="00AC41AE" w:rsidRDefault="00000000">
            <w:r>
              <w:rPr>
                <w:rFonts w:ascii="Arial" w:hAnsi="Arial"/>
                <w:b/>
                <w:color w:val="FFFFFF"/>
                <w:sz w:val="18"/>
              </w:rPr>
              <w:t>Total Scope 1 (tCO₂e)</w:t>
            </w:r>
          </w:p>
        </w:tc>
        <w:tc>
          <w:tcPr>
            <w:tcW w:w="1806" w:type="dxa"/>
            <w:shd w:val="clear" w:color="auto" w:fill="1B3A6B"/>
          </w:tcPr>
          <w:p w14:paraId="15C363EF" w14:textId="77777777" w:rsidR="00AC41AE" w:rsidRDefault="00000000">
            <w:r>
              <w:rPr>
                <w:rFonts w:ascii="Arial" w:hAnsi="Arial"/>
                <w:b/>
                <w:color w:val="FFFFFF"/>
                <w:sz w:val="18"/>
              </w:rPr>
              <w:t>Data Quality Score</w:t>
            </w:r>
          </w:p>
        </w:tc>
      </w:tr>
      <w:tr w:rsidR="00AC41AE" w14:paraId="75988657" w14:textId="77777777">
        <w:trPr>
          <w:jc w:val="center"/>
        </w:trPr>
        <w:tc>
          <w:tcPr>
            <w:tcW w:w="1806" w:type="dxa"/>
          </w:tcPr>
          <w:p w14:paraId="6315078A" w14:textId="77777777" w:rsidR="00AC41AE" w:rsidRDefault="00000000">
            <w:r>
              <w:rPr>
                <w:rFonts w:ascii="Arial" w:hAnsi="Arial"/>
                <w:sz w:val="18"/>
              </w:rPr>
              <w:t>FAC-0197</w:t>
            </w:r>
          </w:p>
        </w:tc>
        <w:tc>
          <w:tcPr>
            <w:tcW w:w="1806" w:type="dxa"/>
          </w:tcPr>
          <w:p w14:paraId="38CF22B5" w14:textId="77777777" w:rsidR="00AC41AE" w:rsidRDefault="00000000">
            <w:pPr>
              <w:jc w:val="right"/>
            </w:pPr>
            <w:r>
              <w:rPr>
                <w:rFonts w:ascii="Arial" w:hAnsi="Arial"/>
                <w:sz w:val="18"/>
              </w:rPr>
              <w:t>65.1748</w:t>
            </w:r>
          </w:p>
        </w:tc>
        <w:tc>
          <w:tcPr>
            <w:tcW w:w="1806" w:type="dxa"/>
          </w:tcPr>
          <w:p w14:paraId="7D7350F8" w14:textId="77777777" w:rsidR="00AC41AE" w:rsidRDefault="00000000">
            <w:pPr>
              <w:jc w:val="right"/>
            </w:pPr>
            <w:r>
              <w:rPr>
                <w:rFonts w:ascii="Arial" w:hAnsi="Arial"/>
                <w:sz w:val="18"/>
              </w:rPr>
              <w:t>82.5404</w:t>
            </w:r>
          </w:p>
        </w:tc>
        <w:tc>
          <w:tcPr>
            <w:tcW w:w="1806" w:type="dxa"/>
          </w:tcPr>
          <w:p w14:paraId="4BF6246B" w14:textId="77777777" w:rsidR="00AC41AE" w:rsidRDefault="00000000">
            <w:pPr>
              <w:jc w:val="right"/>
            </w:pPr>
            <w:r>
              <w:rPr>
                <w:rFonts w:ascii="Arial" w:hAnsi="Arial"/>
                <w:sz w:val="18"/>
              </w:rPr>
              <w:t>147.7152</w:t>
            </w:r>
          </w:p>
        </w:tc>
        <w:tc>
          <w:tcPr>
            <w:tcW w:w="1806" w:type="dxa"/>
          </w:tcPr>
          <w:p w14:paraId="3CDFED1F" w14:textId="77777777" w:rsidR="00AC41AE" w:rsidRDefault="00000000">
            <w:pPr>
              <w:jc w:val="right"/>
            </w:pPr>
            <w:r>
              <w:rPr>
                <w:rFonts w:ascii="Arial" w:hAnsi="Arial"/>
                <w:sz w:val="18"/>
              </w:rPr>
              <w:t>1</w:t>
            </w:r>
          </w:p>
        </w:tc>
      </w:tr>
      <w:tr w:rsidR="00AC41AE" w14:paraId="788845BF" w14:textId="77777777">
        <w:trPr>
          <w:jc w:val="center"/>
        </w:trPr>
        <w:tc>
          <w:tcPr>
            <w:tcW w:w="1806" w:type="dxa"/>
            <w:shd w:val="clear" w:color="auto" w:fill="F2F6FC"/>
          </w:tcPr>
          <w:p w14:paraId="7766ADC4" w14:textId="77777777" w:rsidR="00AC41AE" w:rsidRDefault="00000000">
            <w:r>
              <w:rPr>
                <w:rFonts w:ascii="Arial" w:hAnsi="Arial"/>
                <w:sz w:val="18"/>
              </w:rPr>
              <w:t>FAC-0198</w:t>
            </w:r>
          </w:p>
        </w:tc>
        <w:tc>
          <w:tcPr>
            <w:tcW w:w="1806" w:type="dxa"/>
            <w:shd w:val="clear" w:color="auto" w:fill="F2F6FC"/>
          </w:tcPr>
          <w:p w14:paraId="39252347" w14:textId="77777777" w:rsidR="00AC41AE" w:rsidRDefault="00000000">
            <w:pPr>
              <w:jc w:val="right"/>
            </w:pPr>
            <w:r>
              <w:rPr>
                <w:rFonts w:ascii="Arial" w:hAnsi="Arial"/>
                <w:sz w:val="18"/>
              </w:rPr>
              <w:t>54.4460</w:t>
            </w:r>
          </w:p>
        </w:tc>
        <w:tc>
          <w:tcPr>
            <w:tcW w:w="1806" w:type="dxa"/>
            <w:shd w:val="clear" w:color="auto" w:fill="F2F6FC"/>
          </w:tcPr>
          <w:p w14:paraId="60C723FF" w14:textId="77777777" w:rsidR="00AC41AE" w:rsidRDefault="00000000">
            <w:pPr>
              <w:jc w:val="right"/>
            </w:pPr>
            <w:r>
              <w:rPr>
                <w:rFonts w:ascii="Arial" w:hAnsi="Arial"/>
                <w:sz w:val="18"/>
              </w:rPr>
              <w:t>83.3921</w:t>
            </w:r>
          </w:p>
        </w:tc>
        <w:tc>
          <w:tcPr>
            <w:tcW w:w="1806" w:type="dxa"/>
            <w:shd w:val="clear" w:color="auto" w:fill="F2F6FC"/>
          </w:tcPr>
          <w:p w14:paraId="52BCD93C" w14:textId="77777777" w:rsidR="00AC41AE" w:rsidRDefault="00000000">
            <w:pPr>
              <w:jc w:val="right"/>
            </w:pPr>
            <w:r>
              <w:rPr>
                <w:rFonts w:ascii="Arial" w:hAnsi="Arial"/>
                <w:sz w:val="18"/>
              </w:rPr>
              <w:t>137.8381</w:t>
            </w:r>
          </w:p>
        </w:tc>
        <w:tc>
          <w:tcPr>
            <w:tcW w:w="1806" w:type="dxa"/>
            <w:shd w:val="clear" w:color="auto" w:fill="F2F6FC"/>
          </w:tcPr>
          <w:p w14:paraId="31E6A658" w14:textId="77777777" w:rsidR="00AC41AE" w:rsidRDefault="00000000">
            <w:pPr>
              <w:jc w:val="right"/>
            </w:pPr>
            <w:r>
              <w:rPr>
                <w:rFonts w:ascii="Arial" w:hAnsi="Arial"/>
                <w:sz w:val="18"/>
              </w:rPr>
              <w:t>1</w:t>
            </w:r>
          </w:p>
        </w:tc>
      </w:tr>
      <w:tr w:rsidR="00AC41AE" w14:paraId="731EBD9A" w14:textId="77777777">
        <w:trPr>
          <w:jc w:val="center"/>
        </w:trPr>
        <w:tc>
          <w:tcPr>
            <w:tcW w:w="1806" w:type="dxa"/>
          </w:tcPr>
          <w:p w14:paraId="1EE8B10A" w14:textId="77777777" w:rsidR="00AC41AE" w:rsidRDefault="00000000">
            <w:r>
              <w:rPr>
                <w:rFonts w:ascii="Arial" w:hAnsi="Arial"/>
                <w:sz w:val="18"/>
              </w:rPr>
              <w:t>FAC-0200</w:t>
            </w:r>
          </w:p>
        </w:tc>
        <w:tc>
          <w:tcPr>
            <w:tcW w:w="1806" w:type="dxa"/>
          </w:tcPr>
          <w:p w14:paraId="5FDCA1D3" w14:textId="77777777" w:rsidR="00AC41AE" w:rsidRDefault="00000000">
            <w:pPr>
              <w:jc w:val="right"/>
            </w:pPr>
            <w:r>
              <w:rPr>
                <w:rFonts w:ascii="Arial" w:hAnsi="Arial"/>
                <w:sz w:val="18"/>
              </w:rPr>
              <w:t>57.0202</w:t>
            </w:r>
          </w:p>
        </w:tc>
        <w:tc>
          <w:tcPr>
            <w:tcW w:w="1806" w:type="dxa"/>
          </w:tcPr>
          <w:p w14:paraId="2E3909A6" w14:textId="77777777" w:rsidR="00AC41AE" w:rsidRDefault="00000000">
            <w:pPr>
              <w:jc w:val="right"/>
            </w:pPr>
            <w:r>
              <w:rPr>
                <w:rFonts w:ascii="Arial" w:hAnsi="Arial"/>
                <w:sz w:val="18"/>
              </w:rPr>
              <w:t>74.4220</w:t>
            </w:r>
          </w:p>
        </w:tc>
        <w:tc>
          <w:tcPr>
            <w:tcW w:w="1806" w:type="dxa"/>
          </w:tcPr>
          <w:p w14:paraId="5D33F1A8" w14:textId="77777777" w:rsidR="00AC41AE" w:rsidRDefault="00000000">
            <w:pPr>
              <w:jc w:val="right"/>
            </w:pPr>
            <w:r>
              <w:rPr>
                <w:rFonts w:ascii="Arial" w:hAnsi="Arial"/>
                <w:sz w:val="18"/>
              </w:rPr>
              <w:t>131.4422</w:t>
            </w:r>
          </w:p>
        </w:tc>
        <w:tc>
          <w:tcPr>
            <w:tcW w:w="1806" w:type="dxa"/>
          </w:tcPr>
          <w:p w14:paraId="2CCA9765" w14:textId="77777777" w:rsidR="00AC41AE" w:rsidRDefault="00000000">
            <w:pPr>
              <w:jc w:val="right"/>
            </w:pPr>
            <w:r>
              <w:rPr>
                <w:rFonts w:ascii="Arial" w:hAnsi="Arial"/>
                <w:sz w:val="18"/>
              </w:rPr>
              <w:t>1</w:t>
            </w:r>
          </w:p>
        </w:tc>
      </w:tr>
      <w:tr w:rsidR="00AC41AE" w14:paraId="7BDD2F49" w14:textId="77777777">
        <w:trPr>
          <w:jc w:val="center"/>
        </w:trPr>
        <w:tc>
          <w:tcPr>
            <w:tcW w:w="1806" w:type="dxa"/>
            <w:shd w:val="clear" w:color="auto" w:fill="F2F6FC"/>
          </w:tcPr>
          <w:p w14:paraId="7D5CBAD2" w14:textId="77777777" w:rsidR="00AC41AE" w:rsidRDefault="00000000">
            <w:r>
              <w:rPr>
                <w:rFonts w:ascii="Arial" w:hAnsi="Arial"/>
                <w:sz w:val="18"/>
              </w:rPr>
              <w:t>FAC-0196</w:t>
            </w:r>
          </w:p>
        </w:tc>
        <w:tc>
          <w:tcPr>
            <w:tcW w:w="1806" w:type="dxa"/>
            <w:shd w:val="clear" w:color="auto" w:fill="F2F6FC"/>
          </w:tcPr>
          <w:p w14:paraId="6978107C" w14:textId="77777777" w:rsidR="00AC41AE" w:rsidRDefault="00000000">
            <w:pPr>
              <w:jc w:val="right"/>
            </w:pPr>
            <w:r>
              <w:rPr>
                <w:rFonts w:ascii="Arial" w:hAnsi="Arial"/>
                <w:sz w:val="18"/>
              </w:rPr>
              <w:t>51.7527</w:t>
            </w:r>
          </w:p>
        </w:tc>
        <w:tc>
          <w:tcPr>
            <w:tcW w:w="1806" w:type="dxa"/>
            <w:shd w:val="clear" w:color="auto" w:fill="F2F6FC"/>
          </w:tcPr>
          <w:p w14:paraId="3E1D4B2D" w14:textId="77777777" w:rsidR="00AC41AE" w:rsidRDefault="00000000">
            <w:pPr>
              <w:jc w:val="right"/>
            </w:pPr>
            <w:r>
              <w:rPr>
                <w:rFonts w:ascii="Arial" w:hAnsi="Arial"/>
                <w:sz w:val="18"/>
              </w:rPr>
              <w:t>72.6692</w:t>
            </w:r>
          </w:p>
        </w:tc>
        <w:tc>
          <w:tcPr>
            <w:tcW w:w="1806" w:type="dxa"/>
            <w:shd w:val="clear" w:color="auto" w:fill="F2F6FC"/>
          </w:tcPr>
          <w:p w14:paraId="04D9C6EE" w14:textId="77777777" w:rsidR="00AC41AE" w:rsidRDefault="00000000">
            <w:pPr>
              <w:jc w:val="right"/>
            </w:pPr>
            <w:r>
              <w:rPr>
                <w:rFonts w:ascii="Arial" w:hAnsi="Arial"/>
                <w:sz w:val="18"/>
              </w:rPr>
              <w:t>124.4219</w:t>
            </w:r>
          </w:p>
        </w:tc>
        <w:tc>
          <w:tcPr>
            <w:tcW w:w="1806" w:type="dxa"/>
            <w:shd w:val="clear" w:color="auto" w:fill="F2F6FC"/>
          </w:tcPr>
          <w:p w14:paraId="31B15A2D" w14:textId="77777777" w:rsidR="00AC41AE" w:rsidRDefault="00000000">
            <w:pPr>
              <w:jc w:val="right"/>
            </w:pPr>
            <w:r>
              <w:rPr>
                <w:rFonts w:ascii="Arial" w:hAnsi="Arial"/>
                <w:sz w:val="18"/>
              </w:rPr>
              <w:t>1</w:t>
            </w:r>
          </w:p>
        </w:tc>
      </w:tr>
      <w:tr w:rsidR="00AC41AE" w14:paraId="4B79F70E" w14:textId="77777777">
        <w:trPr>
          <w:jc w:val="center"/>
        </w:trPr>
        <w:tc>
          <w:tcPr>
            <w:tcW w:w="1806" w:type="dxa"/>
          </w:tcPr>
          <w:p w14:paraId="6F6BF389" w14:textId="77777777" w:rsidR="00AC41AE" w:rsidRDefault="00000000">
            <w:r>
              <w:rPr>
                <w:rFonts w:ascii="Arial" w:hAnsi="Arial"/>
                <w:sz w:val="18"/>
              </w:rPr>
              <w:t>FAC-0199</w:t>
            </w:r>
          </w:p>
        </w:tc>
        <w:tc>
          <w:tcPr>
            <w:tcW w:w="1806" w:type="dxa"/>
          </w:tcPr>
          <w:p w14:paraId="1B6ABDE4" w14:textId="77777777" w:rsidR="00AC41AE" w:rsidRDefault="00000000">
            <w:pPr>
              <w:jc w:val="right"/>
            </w:pPr>
            <w:r>
              <w:rPr>
                <w:rFonts w:ascii="Arial" w:hAnsi="Arial"/>
                <w:sz w:val="18"/>
              </w:rPr>
              <w:t>52.0150</w:t>
            </w:r>
          </w:p>
        </w:tc>
        <w:tc>
          <w:tcPr>
            <w:tcW w:w="1806" w:type="dxa"/>
          </w:tcPr>
          <w:p w14:paraId="690395B0" w14:textId="77777777" w:rsidR="00AC41AE" w:rsidRDefault="00000000">
            <w:pPr>
              <w:jc w:val="right"/>
            </w:pPr>
            <w:r>
              <w:rPr>
                <w:rFonts w:ascii="Arial" w:hAnsi="Arial"/>
                <w:sz w:val="18"/>
              </w:rPr>
              <w:t>57.3972</w:t>
            </w:r>
          </w:p>
        </w:tc>
        <w:tc>
          <w:tcPr>
            <w:tcW w:w="1806" w:type="dxa"/>
          </w:tcPr>
          <w:p w14:paraId="4992742D" w14:textId="77777777" w:rsidR="00AC41AE" w:rsidRDefault="00000000">
            <w:pPr>
              <w:jc w:val="right"/>
            </w:pPr>
            <w:r>
              <w:rPr>
                <w:rFonts w:ascii="Arial" w:hAnsi="Arial"/>
                <w:sz w:val="18"/>
              </w:rPr>
              <w:t>109.4122</w:t>
            </w:r>
          </w:p>
        </w:tc>
        <w:tc>
          <w:tcPr>
            <w:tcW w:w="1806" w:type="dxa"/>
          </w:tcPr>
          <w:p w14:paraId="127FCA20" w14:textId="77777777" w:rsidR="00AC41AE" w:rsidRDefault="00000000">
            <w:pPr>
              <w:jc w:val="right"/>
            </w:pPr>
            <w:r>
              <w:rPr>
                <w:rFonts w:ascii="Arial" w:hAnsi="Arial"/>
                <w:sz w:val="18"/>
              </w:rPr>
              <w:t>1</w:t>
            </w:r>
          </w:p>
        </w:tc>
      </w:tr>
      <w:tr w:rsidR="00AC41AE" w14:paraId="1AE1111E" w14:textId="77777777">
        <w:trPr>
          <w:jc w:val="center"/>
        </w:trPr>
        <w:tc>
          <w:tcPr>
            <w:tcW w:w="1806" w:type="dxa"/>
            <w:shd w:val="clear" w:color="auto" w:fill="F2F6FC"/>
          </w:tcPr>
          <w:p w14:paraId="2107AE3A" w14:textId="77777777" w:rsidR="00AC41AE" w:rsidRDefault="00000000">
            <w:r>
              <w:rPr>
                <w:rFonts w:ascii="Arial" w:hAnsi="Arial"/>
                <w:sz w:val="18"/>
              </w:rPr>
              <w:t>**Top 5 Subtotal**</w:t>
            </w:r>
          </w:p>
        </w:tc>
        <w:tc>
          <w:tcPr>
            <w:tcW w:w="1806" w:type="dxa"/>
            <w:shd w:val="clear" w:color="auto" w:fill="F2F6FC"/>
          </w:tcPr>
          <w:p w14:paraId="3EB3AE41" w14:textId="77777777" w:rsidR="00AC41AE" w:rsidRDefault="00000000">
            <w:r>
              <w:rPr>
                <w:rFonts w:ascii="Arial" w:hAnsi="Arial"/>
                <w:sz w:val="18"/>
              </w:rPr>
              <w:t>**280.4087**</w:t>
            </w:r>
          </w:p>
        </w:tc>
        <w:tc>
          <w:tcPr>
            <w:tcW w:w="1806" w:type="dxa"/>
            <w:shd w:val="clear" w:color="auto" w:fill="F2F6FC"/>
          </w:tcPr>
          <w:p w14:paraId="0E30BC86" w14:textId="77777777" w:rsidR="00AC41AE" w:rsidRDefault="00000000">
            <w:r>
              <w:rPr>
                <w:rFonts w:ascii="Arial" w:hAnsi="Arial"/>
                <w:sz w:val="18"/>
              </w:rPr>
              <w:t>**370.4209**</w:t>
            </w:r>
          </w:p>
        </w:tc>
        <w:tc>
          <w:tcPr>
            <w:tcW w:w="1806" w:type="dxa"/>
            <w:shd w:val="clear" w:color="auto" w:fill="F2F6FC"/>
          </w:tcPr>
          <w:p w14:paraId="7EBD0A09" w14:textId="77777777" w:rsidR="00AC41AE" w:rsidRDefault="00000000">
            <w:r>
              <w:rPr>
                <w:rFonts w:ascii="Arial" w:hAnsi="Arial"/>
                <w:sz w:val="18"/>
              </w:rPr>
              <w:t>**650.8296**</w:t>
            </w:r>
          </w:p>
        </w:tc>
        <w:tc>
          <w:tcPr>
            <w:tcW w:w="1806" w:type="dxa"/>
            <w:shd w:val="clear" w:color="auto" w:fill="F2F6FC"/>
          </w:tcPr>
          <w:p w14:paraId="353705AA" w14:textId="77777777" w:rsidR="00AC41AE" w:rsidRDefault="00000000">
            <w:r>
              <w:rPr>
                <w:rFonts w:ascii="Arial" w:hAnsi="Arial"/>
                <w:sz w:val="18"/>
              </w:rPr>
              <w:t>—</w:t>
            </w:r>
          </w:p>
        </w:tc>
      </w:tr>
      <w:tr w:rsidR="00AC41AE" w14:paraId="27F5C308" w14:textId="77777777">
        <w:trPr>
          <w:jc w:val="center"/>
        </w:trPr>
        <w:tc>
          <w:tcPr>
            <w:tcW w:w="1806" w:type="dxa"/>
          </w:tcPr>
          <w:p w14:paraId="475A74E1" w14:textId="77777777" w:rsidR="00AC41AE" w:rsidRDefault="00000000">
            <w:r>
              <w:rPr>
                <w:rFonts w:ascii="Arial" w:hAnsi="Arial"/>
                <w:sz w:val="18"/>
              </w:rPr>
              <w:t>**% of Total Scope 1**</w:t>
            </w:r>
          </w:p>
        </w:tc>
        <w:tc>
          <w:tcPr>
            <w:tcW w:w="1806" w:type="dxa"/>
          </w:tcPr>
          <w:p w14:paraId="7442B26D" w14:textId="77777777" w:rsidR="00AC41AE" w:rsidRDefault="00000000">
            <w:r>
              <w:rPr>
                <w:rFonts w:ascii="Arial" w:hAnsi="Arial"/>
                <w:sz w:val="18"/>
              </w:rPr>
              <w:t>**23.4%**</w:t>
            </w:r>
          </w:p>
        </w:tc>
        <w:tc>
          <w:tcPr>
            <w:tcW w:w="1806" w:type="dxa"/>
          </w:tcPr>
          <w:p w14:paraId="3DC405DF" w14:textId="77777777" w:rsidR="00AC41AE" w:rsidRDefault="00000000">
            <w:r>
              <w:rPr>
                <w:rFonts w:ascii="Arial" w:hAnsi="Arial"/>
                <w:sz w:val="18"/>
              </w:rPr>
              <w:t>**16.8%**</w:t>
            </w:r>
          </w:p>
        </w:tc>
        <w:tc>
          <w:tcPr>
            <w:tcW w:w="1806" w:type="dxa"/>
          </w:tcPr>
          <w:p w14:paraId="242202AC" w14:textId="77777777" w:rsidR="00AC41AE" w:rsidRDefault="00000000">
            <w:r>
              <w:rPr>
                <w:rFonts w:ascii="Arial" w:hAnsi="Arial"/>
                <w:sz w:val="18"/>
              </w:rPr>
              <w:t>**19.1%**</w:t>
            </w:r>
          </w:p>
        </w:tc>
        <w:tc>
          <w:tcPr>
            <w:tcW w:w="1806" w:type="dxa"/>
          </w:tcPr>
          <w:p w14:paraId="47CD3EF9" w14:textId="77777777" w:rsidR="00AC41AE" w:rsidRDefault="00000000">
            <w:r>
              <w:rPr>
                <w:rFonts w:ascii="Arial" w:hAnsi="Arial"/>
                <w:sz w:val="18"/>
              </w:rPr>
              <w:t>—</w:t>
            </w:r>
          </w:p>
        </w:tc>
      </w:tr>
    </w:tbl>
    <w:p w14:paraId="1A47C4F4" w14:textId="77777777" w:rsidR="00AC41AE" w:rsidRDefault="00000000">
      <w:r>
        <w:rPr>
          <w:rFonts w:ascii="Arial" w:hAnsi="Arial"/>
          <w:i/>
          <w:sz w:val="16"/>
        </w:rPr>
        <w:t>Source: Source: Facility-level energy metering systems. Data Quality Score: 1 = highest quality (direct measurement), per PCAF Data Quality Framework.</w:t>
      </w:r>
    </w:p>
    <w:p w14:paraId="4E5B7D36" w14:textId="77777777" w:rsidR="00AC41AE" w:rsidRDefault="00AC41AE"/>
    <w:p w14:paraId="26DF5FC7" w14:textId="77777777" w:rsidR="00AC41AE" w:rsidRDefault="00000000">
      <w:r>
        <w:rPr>
          <w:rFonts w:ascii="Arial" w:hAnsi="Arial"/>
          <w:b/>
          <w:sz w:val="20"/>
        </w:rPr>
        <w:t>Table 18: Table 1.1.4: Framework Cross-Reference — Scope 1 Disclosure Compliance</w:t>
      </w:r>
    </w:p>
    <w:tbl>
      <w:tblPr>
        <w:tblW w:w="0" w:type="auto"/>
        <w:jc w:val="center"/>
        <w:tblLook w:val="04A0" w:firstRow="1" w:lastRow="0" w:firstColumn="1" w:lastColumn="0" w:noHBand="0" w:noVBand="1"/>
      </w:tblPr>
      <w:tblGrid>
        <w:gridCol w:w="2257"/>
        <w:gridCol w:w="2257"/>
        <w:gridCol w:w="2257"/>
        <w:gridCol w:w="2257"/>
      </w:tblGrid>
      <w:tr w:rsidR="00AC41AE" w14:paraId="25732DAE" w14:textId="77777777">
        <w:trPr>
          <w:jc w:val="center"/>
        </w:trPr>
        <w:tc>
          <w:tcPr>
            <w:tcW w:w="2257" w:type="dxa"/>
            <w:shd w:val="clear" w:color="auto" w:fill="1B3A6B"/>
          </w:tcPr>
          <w:p w14:paraId="626A22FE" w14:textId="77777777" w:rsidR="00AC41AE" w:rsidRDefault="00000000">
            <w:r>
              <w:rPr>
                <w:rFonts w:ascii="Arial" w:hAnsi="Arial"/>
                <w:b/>
                <w:color w:val="FFFFFF"/>
                <w:sz w:val="18"/>
              </w:rPr>
              <w:t>Framework</w:t>
            </w:r>
          </w:p>
        </w:tc>
        <w:tc>
          <w:tcPr>
            <w:tcW w:w="2257" w:type="dxa"/>
            <w:shd w:val="clear" w:color="auto" w:fill="1B3A6B"/>
          </w:tcPr>
          <w:p w14:paraId="1CCD51FA" w14:textId="77777777" w:rsidR="00AC41AE" w:rsidRDefault="00000000">
            <w:r>
              <w:rPr>
                <w:rFonts w:ascii="Arial" w:hAnsi="Arial"/>
                <w:b/>
                <w:color w:val="FFFFFF"/>
                <w:sz w:val="18"/>
              </w:rPr>
              <w:t>Disclosure Reference</w:t>
            </w:r>
          </w:p>
        </w:tc>
        <w:tc>
          <w:tcPr>
            <w:tcW w:w="2257" w:type="dxa"/>
            <w:shd w:val="clear" w:color="auto" w:fill="1B3A6B"/>
          </w:tcPr>
          <w:p w14:paraId="0BCEA649" w14:textId="77777777" w:rsidR="00AC41AE" w:rsidRDefault="00000000">
            <w:r>
              <w:rPr>
                <w:rFonts w:ascii="Arial" w:hAnsi="Arial"/>
                <w:b/>
                <w:color w:val="FFFFFF"/>
                <w:sz w:val="18"/>
              </w:rPr>
              <w:t>Requirement</w:t>
            </w:r>
          </w:p>
        </w:tc>
        <w:tc>
          <w:tcPr>
            <w:tcW w:w="2257" w:type="dxa"/>
            <w:shd w:val="clear" w:color="auto" w:fill="1B3A6B"/>
          </w:tcPr>
          <w:p w14:paraId="11CDF66B" w14:textId="77777777" w:rsidR="00AC41AE" w:rsidRDefault="00000000">
            <w:r>
              <w:rPr>
                <w:rFonts w:ascii="Arial" w:hAnsi="Arial"/>
                <w:b/>
                <w:color w:val="FFFFFF"/>
                <w:sz w:val="18"/>
              </w:rPr>
              <w:t>Status</w:t>
            </w:r>
          </w:p>
        </w:tc>
      </w:tr>
      <w:tr w:rsidR="00AC41AE" w14:paraId="08D22344" w14:textId="77777777">
        <w:trPr>
          <w:jc w:val="center"/>
        </w:trPr>
        <w:tc>
          <w:tcPr>
            <w:tcW w:w="2257" w:type="dxa"/>
          </w:tcPr>
          <w:p w14:paraId="4EAC38A3" w14:textId="77777777" w:rsidR="00AC41AE" w:rsidRDefault="00000000">
            <w:r>
              <w:rPr>
                <w:rFonts w:ascii="Arial" w:hAnsi="Arial"/>
                <w:sz w:val="18"/>
              </w:rPr>
              <w:t>GRI 305-1</w:t>
            </w:r>
          </w:p>
        </w:tc>
        <w:tc>
          <w:tcPr>
            <w:tcW w:w="2257" w:type="dxa"/>
          </w:tcPr>
          <w:p w14:paraId="4005A98B" w14:textId="77777777" w:rsidR="00AC41AE" w:rsidRDefault="00000000">
            <w:r>
              <w:rPr>
                <w:rFonts w:ascii="Arial" w:hAnsi="Arial"/>
                <w:sz w:val="18"/>
              </w:rPr>
              <w:t>305-1a</w:t>
            </w:r>
          </w:p>
        </w:tc>
        <w:tc>
          <w:tcPr>
            <w:tcW w:w="2257" w:type="dxa"/>
          </w:tcPr>
          <w:p w14:paraId="34461BA7" w14:textId="77777777" w:rsidR="00AC41AE" w:rsidRDefault="00000000">
            <w:r>
              <w:rPr>
                <w:rFonts w:ascii="Arial" w:hAnsi="Arial"/>
                <w:sz w:val="18"/>
              </w:rPr>
              <w:t>Gross direct (Scope 1) GHG emissions in metric tons of CO₂ equivalent</w:t>
            </w:r>
          </w:p>
        </w:tc>
        <w:tc>
          <w:tcPr>
            <w:tcW w:w="2257" w:type="dxa"/>
          </w:tcPr>
          <w:p w14:paraId="009FAD90" w14:textId="77777777" w:rsidR="00AC41AE" w:rsidRDefault="00000000">
            <w:r>
              <w:rPr>
                <w:rFonts w:ascii="Arial" w:hAnsi="Arial"/>
                <w:sz w:val="18"/>
              </w:rPr>
              <w:t>✅ Disclosed</w:t>
            </w:r>
          </w:p>
        </w:tc>
      </w:tr>
      <w:tr w:rsidR="00AC41AE" w14:paraId="7C6E6D35" w14:textId="77777777">
        <w:trPr>
          <w:jc w:val="center"/>
        </w:trPr>
        <w:tc>
          <w:tcPr>
            <w:tcW w:w="2257" w:type="dxa"/>
            <w:shd w:val="clear" w:color="auto" w:fill="F2F6FC"/>
          </w:tcPr>
          <w:p w14:paraId="009F92CB" w14:textId="77777777" w:rsidR="00AC41AE" w:rsidRDefault="00000000">
            <w:r>
              <w:rPr>
                <w:rFonts w:ascii="Arial" w:hAnsi="Arial"/>
                <w:sz w:val="18"/>
              </w:rPr>
              <w:lastRenderedPageBreak/>
              <w:t>GRI 305-1</w:t>
            </w:r>
          </w:p>
        </w:tc>
        <w:tc>
          <w:tcPr>
            <w:tcW w:w="2257" w:type="dxa"/>
            <w:shd w:val="clear" w:color="auto" w:fill="F2F6FC"/>
          </w:tcPr>
          <w:p w14:paraId="04CF1F5F" w14:textId="77777777" w:rsidR="00AC41AE" w:rsidRDefault="00000000">
            <w:r>
              <w:rPr>
                <w:rFonts w:ascii="Arial" w:hAnsi="Arial"/>
                <w:sz w:val="18"/>
              </w:rPr>
              <w:t>305-1b</w:t>
            </w:r>
          </w:p>
        </w:tc>
        <w:tc>
          <w:tcPr>
            <w:tcW w:w="2257" w:type="dxa"/>
            <w:shd w:val="clear" w:color="auto" w:fill="F2F6FC"/>
          </w:tcPr>
          <w:p w14:paraId="18F34264" w14:textId="77777777" w:rsidR="00AC41AE" w:rsidRDefault="00000000">
            <w:r>
              <w:rPr>
                <w:rFonts w:ascii="Arial" w:hAnsi="Arial"/>
                <w:sz w:val="18"/>
              </w:rPr>
              <w:t>Gases included in the calculation (CO₂, CH₄, N₂O, HFCs, PFCs, SF₆, NF₃)</w:t>
            </w:r>
          </w:p>
        </w:tc>
        <w:tc>
          <w:tcPr>
            <w:tcW w:w="2257" w:type="dxa"/>
            <w:shd w:val="clear" w:color="auto" w:fill="F2F6FC"/>
          </w:tcPr>
          <w:p w14:paraId="4746A681" w14:textId="77777777" w:rsidR="00AC41AE" w:rsidRDefault="00000000">
            <w:r>
              <w:rPr>
                <w:rFonts w:ascii="Arial" w:hAnsi="Arial"/>
                <w:sz w:val="18"/>
              </w:rPr>
              <w:t>✅ Disclosed</w:t>
            </w:r>
          </w:p>
        </w:tc>
      </w:tr>
      <w:tr w:rsidR="00AC41AE" w14:paraId="35EB794E" w14:textId="77777777">
        <w:trPr>
          <w:jc w:val="center"/>
        </w:trPr>
        <w:tc>
          <w:tcPr>
            <w:tcW w:w="2257" w:type="dxa"/>
          </w:tcPr>
          <w:p w14:paraId="336089C8" w14:textId="77777777" w:rsidR="00AC41AE" w:rsidRDefault="00000000">
            <w:r>
              <w:rPr>
                <w:rFonts w:ascii="Arial" w:hAnsi="Arial"/>
                <w:sz w:val="18"/>
              </w:rPr>
              <w:t>GRI 305-1</w:t>
            </w:r>
          </w:p>
        </w:tc>
        <w:tc>
          <w:tcPr>
            <w:tcW w:w="2257" w:type="dxa"/>
          </w:tcPr>
          <w:p w14:paraId="19929D7E" w14:textId="77777777" w:rsidR="00AC41AE" w:rsidRDefault="00000000">
            <w:r>
              <w:rPr>
                <w:rFonts w:ascii="Arial" w:hAnsi="Arial"/>
                <w:sz w:val="18"/>
              </w:rPr>
              <w:t>305-1c</w:t>
            </w:r>
          </w:p>
        </w:tc>
        <w:tc>
          <w:tcPr>
            <w:tcW w:w="2257" w:type="dxa"/>
          </w:tcPr>
          <w:p w14:paraId="28B0AA77" w14:textId="77777777" w:rsidR="00AC41AE" w:rsidRDefault="00000000">
            <w:r>
              <w:rPr>
                <w:rFonts w:ascii="Arial" w:hAnsi="Arial"/>
                <w:sz w:val="18"/>
              </w:rPr>
              <w:t>Biogenic CO₂ emissions in metric tons of CO₂ equivalent</w:t>
            </w:r>
          </w:p>
        </w:tc>
        <w:tc>
          <w:tcPr>
            <w:tcW w:w="2257" w:type="dxa"/>
          </w:tcPr>
          <w:p w14:paraId="1C8859D8" w14:textId="77777777" w:rsidR="00AC41AE" w:rsidRDefault="00000000">
            <w:r>
              <w:rPr>
                <w:rFonts w:ascii="Arial" w:hAnsi="Arial"/>
                <w:sz w:val="18"/>
              </w:rPr>
              <w:t>✅ Not material</w:t>
            </w:r>
          </w:p>
        </w:tc>
      </w:tr>
      <w:tr w:rsidR="00AC41AE" w14:paraId="5C3E031F" w14:textId="77777777">
        <w:trPr>
          <w:jc w:val="center"/>
        </w:trPr>
        <w:tc>
          <w:tcPr>
            <w:tcW w:w="2257" w:type="dxa"/>
            <w:shd w:val="clear" w:color="auto" w:fill="F2F6FC"/>
          </w:tcPr>
          <w:p w14:paraId="259963E7" w14:textId="77777777" w:rsidR="00AC41AE" w:rsidRDefault="00000000">
            <w:r>
              <w:rPr>
                <w:rFonts w:ascii="Arial" w:hAnsi="Arial"/>
                <w:sz w:val="18"/>
              </w:rPr>
              <w:t>GRI 305-1</w:t>
            </w:r>
          </w:p>
        </w:tc>
        <w:tc>
          <w:tcPr>
            <w:tcW w:w="2257" w:type="dxa"/>
            <w:shd w:val="clear" w:color="auto" w:fill="F2F6FC"/>
          </w:tcPr>
          <w:p w14:paraId="089A6219" w14:textId="77777777" w:rsidR="00AC41AE" w:rsidRDefault="00000000">
            <w:r>
              <w:rPr>
                <w:rFonts w:ascii="Arial" w:hAnsi="Arial"/>
                <w:sz w:val="18"/>
              </w:rPr>
              <w:t>305-1e</w:t>
            </w:r>
          </w:p>
        </w:tc>
        <w:tc>
          <w:tcPr>
            <w:tcW w:w="2257" w:type="dxa"/>
            <w:shd w:val="clear" w:color="auto" w:fill="F2F6FC"/>
          </w:tcPr>
          <w:p w14:paraId="25B21002" w14:textId="77777777" w:rsidR="00AC41AE" w:rsidRDefault="00000000">
            <w:r>
              <w:rPr>
                <w:rFonts w:ascii="Arial" w:hAnsi="Arial"/>
                <w:sz w:val="18"/>
              </w:rPr>
              <w:t>Source of emission factors and global warming potential (GWP) rates used</w:t>
            </w:r>
          </w:p>
        </w:tc>
        <w:tc>
          <w:tcPr>
            <w:tcW w:w="2257" w:type="dxa"/>
            <w:shd w:val="clear" w:color="auto" w:fill="F2F6FC"/>
          </w:tcPr>
          <w:p w14:paraId="3B1CD5AC" w14:textId="77777777" w:rsidR="00AC41AE" w:rsidRDefault="00000000">
            <w:r>
              <w:rPr>
                <w:rFonts w:ascii="Arial" w:hAnsi="Arial"/>
                <w:sz w:val="18"/>
              </w:rPr>
              <w:t>✅ Disclosed</w:t>
            </w:r>
          </w:p>
        </w:tc>
      </w:tr>
      <w:tr w:rsidR="00AC41AE" w14:paraId="0EBC689A" w14:textId="77777777">
        <w:trPr>
          <w:jc w:val="center"/>
        </w:trPr>
        <w:tc>
          <w:tcPr>
            <w:tcW w:w="2257" w:type="dxa"/>
          </w:tcPr>
          <w:p w14:paraId="520A9BB8" w14:textId="77777777" w:rsidR="00AC41AE" w:rsidRDefault="00000000">
            <w:r>
              <w:rPr>
                <w:rFonts w:ascii="Arial" w:hAnsi="Arial"/>
                <w:sz w:val="18"/>
              </w:rPr>
              <w:t>GRI 305-1</w:t>
            </w:r>
          </w:p>
        </w:tc>
        <w:tc>
          <w:tcPr>
            <w:tcW w:w="2257" w:type="dxa"/>
          </w:tcPr>
          <w:p w14:paraId="7C04CB6A" w14:textId="77777777" w:rsidR="00AC41AE" w:rsidRDefault="00000000">
            <w:r>
              <w:rPr>
                <w:rFonts w:ascii="Arial" w:hAnsi="Arial"/>
                <w:sz w:val="18"/>
              </w:rPr>
              <w:t>305-1f</w:t>
            </w:r>
          </w:p>
        </w:tc>
        <w:tc>
          <w:tcPr>
            <w:tcW w:w="2257" w:type="dxa"/>
          </w:tcPr>
          <w:p w14:paraId="5EFC9F16" w14:textId="77777777" w:rsidR="00AC41AE" w:rsidRDefault="00000000">
            <w:r>
              <w:rPr>
                <w:rFonts w:ascii="Arial" w:hAnsi="Arial"/>
                <w:sz w:val="18"/>
              </w:rPr>
              <w:t>Consolidation approach for emissions (equity share, financial control, operational control)</w:t>
            </w:r>
          </w:p>
        </w:tc>
        <w:tc>
          <w:tcPr>
            <w:tcW w:w="2257" w:type="dxa"/>
          </w:tcPr>
          <w:p w14:paraId="1C6FF951" w14:textId="77777777" w:rsidR="00AC41AE" w:rsidRDefault="00000000">
            <w:r>
              <w:rPr>
                <w:rFonts w:ascii="Arial" w:hAnsi="Arial"/>
                <w:sz w:val="18"/>
              </w:rPr>
              <w:t>✅ Disclosed</w:t>
            </w:r>
          </w:p>
        </w:tc>
      </w:tr>
      <w:tr w:rsidR="00AC41AE" w14:paraId="586BF707" w14:textId="77777777">
        <w:trPr>
          <w:jc w:val="center"/>
        </w:trPr>
        <w:tc>
          <w:tcPr>
            <w:tcW w:w="2257" w:type="dxa"/>
            <w:shd w:val="clear" w:color="auto" w:fill="F2F6FC"/>
          </w:tcPr>
          <w:p w14:paraId="6D059D0E" w14:textId="77777777" w:rsidR="00AC41AE" w:rsidRDefault="00000000">
            <w:r>
              <w:rPr>
                <w:rFonts w:ascii="Arial" w:hAnsi="Arial"/>
                <w:sz w:val="18"/>
              </w:rPr>
              <w:t>GRI 305-1</w:t>
            </w:r>
          </w:p>
        </w:tc>
        <w:tc>
          <w:tcPr>
            <w:tcW w:w="2257" w:type="dxa"/>
            <w:shd w:val="clear" w:color="auto" w:fill="F2F6FC"/>
          </w:tcPr>
          <w:p w14:paraId="0B671C5F" w14:textId="77777777" w:rsidR="00AC41AE" w:rsidRDefault="00000000">
            <w:r>
              <w:rPr>
                <w:rFonts w:ascii="Arial" w:hAnsi="Arial"/>
                <w:sz w:val="18"/>
              </w:rPr>
              <w:t>305-1g</w:t>
            </w:r>
          </w:p>
        </w:tc>
        <w:tc>
          <w:tcPr>
            <w:tcW w:w="2257" w:type="dxa"/>
            <w:shd w:val="clear" w:color="auto" w:fill="F2F6FC"/>
          </w:tcPr>
          <w:p w14:paraId="0DB82CC6" w14:textId="77777777" w:rsidR="00AC41AE" w:rsidRDefault="00000000">
            <w:r>
              <w:rPr>
                <w:rFonts w:ascii="Arial" w:hAnsi="Arial"/>
                <w:sz w:val="18"/>
              </w:rPr>
              <w:t>Standards, methodologies, assumptions, and/or calculation tools used</w:t>
            </w:r>
          </w:p>
        </w:tc>
        <w:tc>
          <w:tcPr>
            <w:tcW w:w="2257" w:type="dxa"/>
            <w:shd w:val="clear" w:color="auto" w:fill="F2F6FC"/>
          </w:tcPr>
          <w:p w14:paraId="6D9A6D9C" w14:textId="77777777" w:rsidR="00AC41AE" w:rsidRDefault="00000000">
            <w:r>
              <w:rPr>
                <w:rFonts w:ascii="Arial" w:hAnsi="Arial"/>
                <w:sz w:val="18"/>
              </w:rPr>
              <w:t>✅ Disclosed</w:t>
            </w:r>
          </w:p>
        </w:tc>
      </w:tr>
      <w:tr w:rsidR="00AC41AE" w14:paraId="0285B24F" w14:textId="77777777">
        <w:trPr>
          <w:jc w:val="center"/>
        </w:trPr>
        <w:tc>
          <w:tcPr>
            <w:tcW w:w="2257" w:type="dxa"/>
          </w:tcPr>
          <w:p w14:paraId="40F09D09" w14:textId="77777777" w:rsidR="00AC41AE" w:rsidRDefault="00000000">
            <w:r>
              <w:rPr>
                <w:rFonts w:ascii="Arial" w:hAnsi="Arial"/>
                <w:sz w:val="18"/>
              </w:rPr>
              <w:t>IFRS S2</w:t>
            </w:r>
          </w:p>
        </w:tc>
        <w:tc>
          <w:tcPr>
            <w:tcW w:w="2257" w:type="dxa"/>
          </w:tcPr>
          <w:p w14:paraId="69C545C6" w14:textId="77777777" w:rsidR="00AC41AE" w:rsidRDefault="00000000">
            <w:r>
              <w:rPr>
                <w:rFonts w:ascii="Arial" w:hAnsi="Arial"/>
                <w:sz w:val="18"/>
              </w:rPr>
              <w:t>Para 29(a)(i)</w:t>
            </w:r>
          </w:p>
        </w:tc>
        <w:tc>
          <w:tcPr>
            <w:tcW w:w="2257" w:type="dxa"/>
          </w:tcPr>
          <w:p w14:paraId="50129F29" w14:textId="77777777" w:rsidR="00AC41AE" w:rsidRDefault="00000000">
            <w:r>
              <w:rPr>
                <w:rFonts w:ascii="Arial" w:hAnsi="Arial"/>
                <w:sz w:val="18"/>
              </w:rPr>
              <w:t>Absolute gross greenhouse gas emissions (Scope 1)</w:t>
            </w:r>
          </w:p>
        </w:tc>
        <w:tc>
          <w:tcPr>
            <w:tcW w:w="2257" w:type="dxa"/>
          </w:tcPr>
          <w:p w14:paraId="7570C6C0" w14:textId="77777777" w:rsidR="00AC41AE" w:rsidRDefault="00000000">
            <w:r>
              <w:rPr>
                <w:rFonts w:ascii="Arial" w:hAnsi="Arial"/>
                <w:sz w:val="18"/>
              </w:rPr>
              <w:t>✅ Disclosed</w:t>
            </w:r>
          </w:p>
        </w:tc>
      </w:tr>
      <w:tr w:rsidR="00AC41AE" w14:paraId="336AD1C2" w14:textId="77777777">
        <w:trPr>
          <w:jc w:val="center"/>
        </w:trPr>
        <w:tc>
          <w:tcPr>
            <w:tcW w:w="2257" w:type="dxa"/>
            <w:shd w:val="clear" w:color="auto" w:fill="F2F6FC"/>
          </w:tcPr>
          <w:p w14:paraId="5E162C3B" w14:textId="77777777" w:rsidR="00AC41AE" w:rsidRDefault="00000000">
            <w:r>
              <w:rPr>
                <w:rFonts w:ascii="Arial" w:hAnsi="Arial"/>
                <w:sz w:val="18"/>
              </w:rPr>
              <w:t>IFRS S2</w:t>
            </w:r>
          </w:p>
        </w:tc>
        <w:tc>
          <w:tcPr>
            <w:tcW w:w="2257" w:type="dxa"/>
            <w:shd w:val="clear" w:color="auto" w:fill="F2F6FC"/>
          </w:tcPr>
          <w:p w14:paraId="13ABC1BC" w14:textId="77777777" w:rsidR="00AC41AE" w:rsidRDefault="00000000">
            <w:r>
              <w:rPr>
                <w:rFonts w:ascii="Arial" w:hAnsi="Arial"/>
                <w:sz w:val="18"/>
              </w:rPr>
              <w:t>Para 29(b)</w:t>
            </w:r>
          </w:p>
        </w:tc>
        <w:tc>
          <w:tcPr>
            <w:tcW w:w="2257" w:type="dxa"/>
            <w:shd w:val="clear" w:color="auto" w:fill="F2F6FC"/>
          </w:tcPr>
          <w:p w14:paraId="3F33FBCD" w14:textId="77777777" w:rsidR="00AC41AE" w:rsidRDefault="00000000">
            <w:r>
              <w:rPr>
                <w:rFonts w:ascii="Arial" w:hAnsi="Arial"/>
                <w:sz w:val="18"/>
              </w:rPr>
              <w:t>Amount of change in GHG emissions (trend over time)</w:t>
            </w:r>
          </w:p>
        </w:tc>
        <w:tc>
          <w:tcPr>
            <w:tcW w:w="2257" w:type="dxa"/>
            <w:shd w:val="clear" w:color="auto" w:fill="F2F6FC"/>
          </w:tcPr>
          <w:p w14:paraId="484FAB48" w14:textId="77777777" w:rsidR="00AC41AE" w:rsidRDefault="00000000">
            <w:r>
              <w:rPr>
                <w:rFonts w:ascii="Arial" w:hAnsi="Arial"/>
                <w:sz w:val="18"/>
              </w:rPr>
              <w:t>✅ Disclosed</w:t>
            </w:r>
          </w:p>
        </w:tc>
      </w:tr>
      <w:tr w:rsidR="00AC41AE" w14:paraId="5D693BA5" w14:textId="77777777">
        <w:trPr>
          <w:jc w:val="center"/>
        </w:trPr>
        <w:tc>
          <w:tcPr>
            <w:tcW w:w="2257" w:type="dxa"/>
          </w:tcPr>
          <w:p w14:paraId="23FDC8D5" w14:textId="77777777" w:rsidR="00AC41AE" w:rsidRDefault="00000000">
            <w:r>
              <w:rPr>
                <w:rFonts w:ascii="Arial" w:hAnsi="Arial"/>
                <w:sz w:val="18"/>
              </w:rPr>
              <w:t>IFRS S2</w:t>
            </w:r>
          </w:p>
        </w:tc>
        <w:tc>
          <w:tcPr>
            <w:tcW w:w="2257" w:type="dxa"/>
          </w:tcPr>
          <w:p w14:paraId="5A0E668C" w14:textId="77777777" w:rsidR="00AC41AE" w:rsidRDefault="00000000">
            <w:r>
              <w:rPr>
                <w:rFonts w:ascii="Arial" w:hAnsi="Arial"/>
                <w:sz w:val="18"/>
              </w:rPr>
              <w:t>Para 29(c)</w:t>
            </w:r>
          </w:p>
        </w:tc>
        <w:tc>
          <w:tcPr>
            <w:tcW w:w="2257" w:type="dxa"/>
          </w:tcPr>
          <w:p w14:paraId="7580FA86" w14:textId="77777777" w:rsidR="00AC41AE" w:rsidRDefault="00000000">
            <w:r>
              <w:rPr>
                <w:rFonts w:ascii="Arial" w:hAnsi="Arial"/>
                <w:sz w:val="18"/>
              </w:rPr>
              <w:t>Measurement approach, inputs, and assumptions used</w:t>
            </w:r>
          </w:p>
        </w:tc>
        <w:tc>
          <w:tcPr>
            <w:tcW w:w="2257" w:type="dxa"/>
          </w:tcPr>
          <w:p w14:paraId="7017D592" w14:textId="77777777" w:rsidR="00AC41AE" w:rsidRDefault="00000000">
            <w:r>
              <w:rPr>
                <w:rFonts w:ascii="Arial" w:hAnsi="Arial"/>
                <w:sz w:val="18"/>
              </w:rPr>
              <w:t>✅ Disclosed</w:t>
            </w:r>
          </w:p>
        </w:tc>
      </w:tr>
      <w:tr w:rsidR="00AC41AE" w14:paraId="0C11A802" w14:textId="77777777">
        <w:trPr>
          <w:jc w:val="center"/>
        </w:trPr>
        <w:tc>
          <w:tcPr>
            <w:tcW w:w="2257" w:type="dxa"/>
            <w:shd w:val="clear" w:color="auto" w:fill="F2F6FC"/>
          </w:tcPr>
          <w:p w14:paraId="292221A7" w14:textId="77777777" w:rsidR="00AC41AE" w:rsidRDefault="00000000">
            <w:r>
              <w:rPr>
                <w:rFonts w:ascii="Arial" w:hAnsi="Arial"/>
                <w:sz w:val="18"/>
              </w:rPr>
              <w:t>ESRS E1</w:t>
            </w:r>
          </w:p>
        </w:tc>
        <w:tc>
          <w:tcPr>
            <w:tcW w:w="2257" w:type="dxa"/>
            <w:shd w:val="clear" w:color="auto" w:fill="F2F6FC"/>
          </w:tcPr>
          <w:p w14:paraId="1D71CF0C" w14:textId="77777777" w:rsidR="00AC41AE" w:rsidRDefault="00000000">
            <w:r>
              <w:rPr>
                <w:rFonts w:ascii="Arial" w:hAnsi="Arial"/>
                <w:sz w:val="18"/>
              </w:rPr>
              <w:t>DR E1-6.44</w:t>
            </w:r>
          </w:p>
        </w:tc>
        <w:tc>
          <w:tcPr>
            <w:tcW w:w="2257" w:type="dxa"/>
            <w:shd w:val="clear" w:color="auto" w:fill="F2F6FC"/>
          </w:tcPr>
          <w:p w14:paraId="3220CEDC" w14:textId="77777777" w:rsidR="00AC41AE" w:rsidRDefault="00000000">
            <w:r>
              <w:rPr>
                <w:rFonts w:ascii="Arial" w:hAnsi="Arial"/>
                <w:sz w:val="18"/>
              </w:rPr>
              <w:t>Gross Scope 1 GHG emissions in metric tons of CO₂ equivalent</w:t>
            </w:r>
          </w:p>
        </w:tc>
        <w:tc>
          <w:tcPr>
            <w:tcW w:w="2257" w:type="dxa"/>
            <w:shd w:val="clear" w:color="auto" w:fill="F2F6FC"/>
          </w:tcPr>
          <w:p w14:paraId="2FAC9D0C" w14:textId="77777777" w:rsidR="00AC41AE" w:rsidRDefault="00000000">
            <w:r>
              <w:rPr>
                <w:rFonts w:ascii="Arial" w:hAnsi="Arial"/>
                <w:sz w:val="18"/>
              </w:rPr>
              <w:t>✅ Disclosed</w:t>
            </w:r>
          </w:p>
        </w:tc>
      </w:tr>
      <w:tr w:rsidR="00AC41AE" w14:paraId="67B58446" w14:textId="77777777">
        <w:trPr>
          <w:jc w:val="center"/>
        </w:trPr>
        <w:tc>
          <w:tcPr>
            <w:tcW w:w="2257" w:type="dxa"/>
          </w:tcPr>
          <w:p w14:paraId="1C67159E" w14:textId="77777777" w:rsidR="00AC41AE" w:rsidRDefault="00000000">
            <w:r>
              <w:rPr>
                <w:rFonts w:ascii="Arial" w:hAnsi="Arial"/>
                <w:sz w:val="18"/>
              </w:rPr>
              <w:t>ESRS E1</w:t>
            </w:r>
          </w:p>
        </w:tc>
        <w:tc>
          <w:tcPr>
            <w:tcW w:w="2257" w:type="dxa"/>
          </w:tcPr>
          <w:p w14:paraId="39B50D6A" w14:textId="77777777" w:rsidR="00AC41AE" w:rsidRDefault="00000000">
            <w:r>
              <w:rPr>
                <w:rFonts w:ascii="Arial" w:hAnsi="Arial"/>
                <w:sz w:val="18"/>
              </w:rPr>
              <w:t>AR 39(a)</w:t>
            </w:r>
          </w:p>
        </w:tc>
        <w:tc>
          <w:tcPr>
            <w:tcW w:w="2257" w:type="dxa"/>
          </w:tcPr>
          <w:p w14:paraId="71D06C21" w14:textId="77777777" w:rsidR="00AC41AE" w:rsidRDefault="00000000">
            <w:r>
              <w:rPr>
                <w:rFonts w:ascii="Arial" w:hAnsi="Arial"/>
                <w:sz w:val="18"/>
              </w:rPr>
              <w:t>Application of GHG Protocol Corporate Standard principles</w:t>
            </w:r>
          </w:p>
        </w:tc>
        <w:tc>
          <w:tcPr>
            <w:tcW w:w="2257" w:type="dxa"/>
          </w:tcPr>
          <w:p w14:paraId="63D118E9" w14:textId="77777777" w:rsidR="00AC41AE" w:rsidRDefault="00000000">
            <w:r>
              <w:rPr>
                <w:rFonts w:ascii="Arial" w:hAnsi="Arial"/>
                <w:sz w:val="18"/>
              </w:rPr>
              <w:t>✅ Disclosed</w:t>
            </w:r>
          </w:p>
        </w:tc>
      </w:tr>
      <w:tr w:rsidR="00AC41AE" w14:paraId="299E7213" w14:textId="77777777">
        <w:trPr>
          <w:jc w:val="center"/>
        </w:trPr>
        <w:tc>
          <w:tcPr>
            <w:tcW w:w="2257" w:type="dxa"/>
            <w:shd w:val="clear" w:color="auto" w:fill="F2F6FC"/>
          </w:tcPr>
          <w:p w14:paraId="39A06545" w14:textId="77777777" w:rsidR="00AC41AE" w:rsidRDefault="00000000">
            <w:r>
              <w:rPr>
                <w:rFonts w:ascii="Arial" w:hAnsi="Arial"/>
                <w:sz w:val="18"/>
              </w:rPr>
              <w:t>ESRS E1</w:t>
            </w:r>
          </w:p>
        </w:tc>
        <w:tc>
          <w:tcPr>
            <w:tcW w:w="2257" w:type="dxa"/>
            <w:shd w:val="clear" w:color="auto" w:fill="F2F6FC"/>
          </w:tcPr>
          <w:p w14:paraId="5959DADC" w14:textId="77777777" w:rsidR="00AC41AE" w:rsidRDefault="00000000">
            <w:r>
              <w:rPr>
                <w:rFonts w:ascii="Arial" w:hAnsi="Arial"/>
                <w:sz w:val="18"/>
              </w:rPr>
              <w:t>AR 39(b)</w:t>
            </w:r>
          </w:p>
        </w:tc>
        <w:tc>
          <w:tcPr>
            <w:tcW w:w="2257" w:type="dxa"/>
            <w:shd w:val="clear" w:color="auto" w:fill="F2F6FC"/>
          </w:tcPr>
          <w:p w14:paraId="672E1F1C" w14:textId="77777777" w:rsidR="00AC41AE" w:rsidRDefault="00000000">
            <w:r>
              <w:rPr>
                <w:rFonts w:ascii="Arial" w:hAnsi="Arial"/>
                <w:sz w:val="18"/>
              </w:rPr>
              <w:t>Disclosure of methodologies, assumptions, and emission factors</w:t>
            </w:r>
          </w:p>
        </w:tc>
        <w:tc>
          <w:tcPr>
            <w:tcW w:w="2257" w:type="dxa"/>
            <w:shd w:val="clear" w:color="auto" w:fill="F2F6FC"/>
          </w:tcPr>
          <w:p w14:paraId="6F6C524E" w14:textId="77777777" w:rsidR="00AC41AE" w:rsidRDefault="00000000">
            <w:r>
              <w:rPr>
                <w:rFonts w:ascii="Arial" w:hAnsi="Arial"/>
                <w:sz w:val="18"/>
              </w:rPr>
              <w:t>✅ Disclosed</w:t>
            </w:r>
          </w:p>
        </w:tc>
      </w:tr>
      <w:tr w:rsidR="00AC41AE" w14:paraId="32FDC4F2" w14:textId="77777777">
        <w:trPr>
          <w:jc w:val="center"/>
        </w:trPr>
        <w:tc>
          <w:tcPr>
            <w:tcW w:w="2257" w:type="dxa"/>
          </w:tcPr>
          <w:p w14:paraId="3E8B0092" w14:textId="77777777" w:rsidR="00AC41AE" w:rsidRDefault="00000000">
            <w:r>
              <w:rPr>
                <w:rFonts w:ascii="Arial" w:hAnsi="Arial"/>
                <w:sz w:val="18"/>
              </w:rPr>
              <w:t>ESRS E1</w:t>
            </w:r>
          </w:p>
        </w:tc>
        <w:tc>
          <w:tcPr>
            <w:tcW w:w="2257" w:type="dxa"/>
          </w:tcPr>
          <w:p w14:paraId="75A1A752" w14:textId="77777777" w:rsidR="00AC41AE" w:rsidRDefault="00000000">
            <w:r>
              <w:rPr>
                <w:rFonts w:ascii="Arial" w:hAnsi="Arial"/>
                <w:sz w:val="18"/>
              </w:rPr>
              <w:t>AR 39(c)</w:t>
            </w:r>
          </w:p>
        </w:tc>
        <w:tc>
          <w:tcPr>
            <w:tcW w:w="2257" w:type="dxa"/>
          </w:tcPr>
          <w:p w14:paraId="559CDD2A" w14:textId="77777777" w:rsidR="00AC41AE" w:rsidRDefault="00000000">
            <w:r>
              <w:rPr>
                <w:rFonts w:ascii="Arial" w:hAnsi="Arial"/>
                <w:sz w:val="18"/>
              </w:rPr>
              <w:t>Inclusion of CO₂, CH₄, N₂O, and other relevant GHGs</w:t>
            </w:r>
          </w:p>
        </w:tc>
        <w:tc>
          <w:tcPr>
            <w:tcW w:w="2257" w:type="dxa"/>
          </w:tcPr>
          <w:p w14:paraId="7DDD6F24" w14:textId="77777777" w:rsidR="00AC41AE" w:rsidRDefault="00000000">
            <w:r>
              <w:rPr>
                <w:rFonts w:ascii="Arial" w:hAnsi="Arial"/>
                <w:sz w:val="18"/>
              </w:rPr>
              <w:t>✅ Disclosed</w:t>
            </w:r>
          </w:p>
        </w:tc>
      </w:tr>
      <w:tr w:rsidR="00AC41AE" w14:paraId="3A069ADA" w14:textId="77777777">
        <w:trPr>
          <w:jc w:val="center"/>
        </w:trPr>
        <w:tc>
          <w:tcPr>
            <w:tcW w:w="2257" w:type="dxa"/>
            <w:shd w:val="clear" w:color="auto" w:fill="F2F6FC"/>
          </w:tcPr>
          <w:p w14:paraId="4C793DF9" w14:textId="77777777" w:rsidR="00AC41AE" w:rsidRDefault="00000000">
            <w:r>
              <w:rPr>
                <w:rFonts w:ascii="Arial" w:hAnsi="Arial"/>
                <w:sz w:val="18"/>
              </w:rPr>
              <w:t>ESRS E1</w:t>
            </w:r>
          </w:p>
        </w:tc>
        <w:tc>
          <w:tcPr>
            <w:tcW w:w="2257" w:type="dxa"/>
            <w:shd w:val="clear" w:color="auto" w:fill="F2F6FC"/>
          </w:tcPr>
          <w:p w14:paraId="624B4CED" w14:textId="77777777" w:rsidR="00AC41AE" w:rsidRDefault="00000000">
            <w:r>
              <w:rPr>
                <w:rFonts w:ascii="Arial" w:hAnsi="Arial"/>
                <w:sz w:val="18"/>
              </w:rPr>
              <w:t>AR 39(d)</w:t>
            </w:r>
          </w:p>
        </w:tc>
        <w:tc>
          <w:tcPr>
            <w:tcW w:w="2257" w:type="dxa"/>
            <w:shd w:val="clear" w:color="auto" w:fill="F2F6FC"/>
          </w:tcPr>
          <w:p w14:paraId="7DD30745" w14:textId="77777777" w:rsidR="00AC41AE" w:rsidRDefault="00000000">
            <w:r>
              <w:rPr>
                <w:rFonts w:ascii="Arial" w:hAnsi="Arial"/>
                <w:sz w:val="18"/>
              </w:rPr>
              <w:t>Use of most recent IPCC GWP values (100-year time horizon)</w:t>
            </w:r>
          </w:p>
        </w:tc>
        <w:tc>
          <w:tcPr>
            <w:tcW w:w="2257" w:type="dxa"/>
            <w:shd w:val="clear" w:color="auto" w:fill="F2F6FC"/>
          </w:tcPr>
          <w:p w14:paraId="23CAE6D7" w14:textId="77777777" w:rsidR="00AC41AE" w:rsidRDefault="00000000">
            <w:r>
              <w:rPr>
                <w:rFonts w:ascii="Arial" w:hAnsi="Arial"/>
                <w:sz w:val="18"/>
              </w:rPr>
              <w:t>✅ Disclosed</w:t>
            </w:r>
          </w:p>
        </w:tc>
      </w:tr>
      <w:tr w:rsidR="00AC41AE" w14:paraId="6045FA7B" w14:textId="77777777">
        <w:trPr>
          <w:jc w:val="center"/>
        </w:trPr>
        <w:tc>
          <w:tcPr>
            <w:tcW w:w="2257" w:type="dxa"/>
          </w:tcPr>
          <w:p w14:paraId="2A6F6162" w14:textId="77777777" w:rsidR="00AC41AE" w:rsidRDefault="00000000">
            <w:r>
              <w:rPr>
                <w:rFonts w:ascii="Arial" w:hAnsi="Arial"/>
                <w:sz w:val="18"/>
              </w:rPr>
              <w:t>OJK PSPK</w:t>
            </w:r>
          </w:p>
        </w:tc>
        <w:tc>
          <w:tcPr>
            <w:tcW w:w="2257" w:type="dxa"/>
          </w:tcPr>
          <w:p w14:paraId="0DF7AB52" w14:textId="77777777" w:rsidR="00AC41AE" w:rsidRDefault="00000000">
            <w:r>
              <w:rPr>
                <w:rFonts w:ascii="Arial" w:hAnsi="Arial"/>
                <w:sz w:val="18"/>
              </w:rPr>
              <w:t>Emisi GRK Langsung</w:t>
            </w:r>
          </w:p>
        </w:tc>
        <w:tc>
          <w:tcPr>
            <w:tcW w:w="2257" w:type="dxa"/>
          </w:tcPr>
          <w:p w14:paraId="71741D89" w14:textId="77777777" w:rsidR="00AC41AE" w:rsidRDefault="00000000">
            <w:r>
              <w:rPr>
                <w:rFonts w:ascii="Arial" w:hAnsi="Arial"/>
                <w:sz w:val="18"/>
              </w:rPr>
              <w:t>Emisi Gas Rumah Kaca Lingkup 1 (tCO₂e)</w:t>
            </w:r>
          </w:p>
        </w:tc>
        <w:tc>
          <w:tcPr>
            <w:tcW w:w="2257" w:type="dxa"/>
          </w:tcPr>
          <w:p w14:paraId="0E9E0C2E" w14:textId="77777777" w:rsidR="00AC41AE" w:rsidRDefault="00000000">
            <w:r>
              <w:rPr>
                <w:rFonts w:ascii="Arial" w:hAnsi="Arial"/>
                <w:sz w:val="18"/>
              </w:rPr>
              <w:t>✅ Disclosed</w:t>
            </w:r>
          </w:p>
        </w:tc>
      </w:tr>
    </w:tbl>
    <w:p w14:paraId="77A71C3E" w14:textId="77777777" w:rsidR="00AC41AE" w:rsidRDefault="00000000">
      <w:r>
        <w:rPr>
          <w:rFonts w:ascii="Arial" w:hAnsi="Arial"/>
          <w:i/>
          <w:sz w:val="16"/>
        </w:rPr>
        <w:lastRenderedPageBreak/>
        <w:t>Source: Status: ✅ = fully disclosed in this section; ⚠️ = partially disclosed; ❌ = not disclosed. All mandatory Scope 1 disclosure requirements are satisfied.</w:t>
      </w:r>
    </w:p>
    <w:p w14:paraId="60F37560" w14:textId="77777777" w:rsidR="00AC41AE" w:rsidRDefault="00AC41AE"/>
    <w:p w14:paraId="76EAD1A4" w14:textId="77777777" w:rsidR="00AC41AE" w:rsidRDefault="00AC41AE"/>
    <w:p w14:paraId="297984C1" w14:textId="77777777" w:rsidR="00AC41AE" w:rsidRDefault="00000000">
      <w:r>
        <w:rPr>
          <w:noProof/>
        </w:rPr>
        <w:drawing>
          <wp:inline distT="0" distB="0" distL="0" distR="0" wp14:anchorId="15FF6A78" wp14:editId="02A43891">
            <wp:extent cx="5029200" cy="35222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029200" cy="3522234"/>
                    </a:xfrm>
                    <a:prstGeom prst="rect">
                      <a:avLst/>
                    </a:prstGeom>
                  </pic:spPr>
                </pic:pic>
              </a:graphicData>
            </a:graphic>
          </wp:inline>
        </w:drawing>
      </w:r>
    </w:p>
    <w:p w14:paraId="35E6A37A" w14:textId="77777777" w:rsidR="00AC41AE" w:rsidRDefault="00000000">
      <w:pPr>
        <w:jc w:val="center"/>
      </w:pPr>
      <w:r>
        <w:rPr>
          <w:i/>
          <w:color w:val="666666"/>
          <w:sz w:val="18"/>
        </w:rPr>
        <w:t>Figure 4: Scope 1 Emissions by Source (2024)</w:t>
      </w:r>
    </w:p>
    <w:p w14:paraId="6C1A3E1C" w14:textId="77777777" w:rsidR="00AC41AE" w:rsidRDefault="00000000">
      <w:pPr>
        <w:jc w:val="center"/>
      </w:pPr>
      <w:r>
        <w:rPr>
          <w:i/>
          <w:color w:val="757575"/>
          <w:sz w:val="18"/>
        </w:rPr>
        <w:t>Diesel dominates at 64.7% — primary lever for reduction via solar+battery deployment at high-consumption facilities</w:t>
      </w:r>
    </w:p>
    <w:p w14:paraId="45CD9A41" w14:textId="77777777" w:rsidR="00AC41AE" w:rsidRDefault="00AC41AE"/>
    <w:p w14:paraId="7BA3809C" w14:textId="77777777" w:rsidR="00AC41AE" w:rsidRDefault="00000000">
      <w:r>
        <w:rPr>
          <w:noProof/>
        </w:rPr>
        <w:lastRenderedPageBreak/>
        <w:drawing>
          <wp:inline distT="0" distB="0" distL="0" distR="0" wp14:anchorId="711AC447" wp14:editId="2AE8BB14">
            <wp:extent cx="5029200" cy="33320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029200" cy="3332057"/>
                    </a:xfrm>
                    <a:prstGeom prst="rect">
                      <a:avLst/>
                    </a:prstGeom>
                  </pic:spPr>
                </pic:pic>
              </a:graphicData>
            </a:graphic>
          </wp:inline>
        </w:drawing>
      </w:r>
    </w:p>
    <w:p w14:paraId="4A89C813" w14:textId="77777777" w:rsidR="00AC41AE" w:rsidRDefault="00000000">
      <w:pPr>
        <w:jc w:val="center"/>
      </w:pPr>
      <w:r>
        <w:rPr>
          <w:i/>
          <w:color w:val="666666"/>
          <w:sz w:val="18"/>
        </w:rPr>
        <w:t>Figure 5: Scope 1 Year-over-Year Comparison (2023 vs 2024)</w:t>
      </w:r>
    </w:p>
    <w:p w14:paraId="22CD4DDB" w14:textId="77777777" w:rsidR="00AC41AE" w:rsidRDefault="00000000">
      <w:pPr>
        <w:jc w:val="center"/>
      </w:pPr>
      <w:r>
        <w:rPr>
          <w:i/>
          <w:color w:val="757575"/>
          <w:sz w:val="18"/>
        </w:rPr>
        <w:t>Diesel emissions grew 3.66% while natural gas remained stable — branch expansion and grid instability drove increase</w:t>
      </w:r>
    </w:p>
    <w:p w14:paraId="393092F1" w14:textId="77777777" w:rsidR="00AC41AE" w:rsidRDefault="00AC41AE"/>
    <w:p w14:paraId="1781ECDD" w14:textId="77777777" w:rsidR="00AC41AE" w:rsidRDefault="00000000">
      <w:r>
        <w:rPr>
          <w:noProof/>
        </w:rPr>
        <w:drawing>
          <wp:inline distT="0" distB="0" distL="0" distR="0" wp14:anchorId="3D5DAC3B" wp14:editId="4DA53597">
            <wp:extent cx="5029200" cy="33433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029200" cy="3343340"/>
                    </a:xfrm>
                    <a:prstGeom prst="rect">
                      <a:avLst/>
                    </a:prstGeom>
                  </pic:spPr>
                </pic:pic>
              </a:graphicData>
            </a:graphic>
          </wp:inline>
        </w:drawing>
      </w:r>
    </w:p>
    <w:p w14:paraId="6E688E6F" w14:textId="77777777" w:rsidR="00AC41AE" w:rsidRDefault="00000000">
      <w:pPr>
        <w:jc w:val="center"/>
      </w:pPr>
      <w:r>
        <w:rPr>
          <w:i/>
          <w:color w:val="666666"/>
          <w:sz w:val="18"/>
        </w:rPr>
        <w:t>Figure 6: Top 5 Emitting Facilities — Scope 1 (2024)</w:t>
      </w:r>
    </w:p>
    <w:p w14:paraId="3C2D2259" w14:textId="77777777" w:rsidR="00AC41AE" w:rsidRDefault="00000000">
      <w:pPr>
        <w:jc w:val="center"/>
      </w:pPr>
      <w:r>
        <w:rPr>
          <w:i/>
          <w:color w:val="757575"/>
          <w:sz w:val="18"/>
        </w:rPr>
        <w:t>Top 5 facilities account for 19.1% of total Scope 1 — concentrated intervention opportunity for solar+battery deployment</w:t>
      </w:r>
    </w:p>
    <w:p w14:paraId="2A8B8B12" w14:textId="77777777" w:rsidR="00AC41AE" w:rsidRDefault="00AC41AE"/>
    <w:p w14:paraId="46630A1B" w14:textId="77777777" w:rsidR="00AC41AE" w:rsidRDefault="00000000">
      <w:r>
        <w:rPr>
          <w:noProof/>
        </w:rPr>
        <w:lastRenderedPageBreak/>
        <w:drawing>
          <wp:inline distT="0" distB="0" distL="0" distR="0" wp14:anchorId="5605B9BF" wp14:editId="34B3B0B3">
            <wp:extent cx="5029200" cy="32267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029200" cy="3226796"/>
                    </a:xfrm>
                    <a:prstGeom prst="rect">
                      <a:avLst/>
                    </a:prstGeom>
                  </pic:spPr>
                </pic:pic>
              </a:graphicData>
            </a:graphic>
          </wp:inline>
        </w:drawing>
      </w:r>
    </w:p>
    <w:p w14:paraId="60877C1B" w14:textId="77777777" w:rsidR="00AC41AE" w:rsidRDefault="00000000">
      <w:pPr>
        <w:jc w:val="center"/>
      </w:pPr>
      <w:r>
        <w:rPr>
          <w:i/>
          <w:color w:val="666666"/>
          <w:sz w:val="18"/>
        </w:rPr>
        <w:t>Figure 7: Scope 1 Performance vs. Indonesian Banking Peers (YoY Change %)</w:t>
      </w:r>
    </w:p>
    <w:p w14:paraId="48B110E4" w14:textId="77777777" w:rsidR="00AC41AE" w:rsidRDefault="00000000">
      <w:pPr>
        <w:jc w:val="center"/>
      </w:pPr>
      <w:r>
        <w:rPr>
          <w:i/>
          <w:color w:val="757575"/>
          <w:sz w:val="18"/>
        </w:rPr>
        <w:t>Institution's +2.36% increase contrasts sharply with DBS (-12%) and BRI (-7.1% intensity) — action gap is widening</w:t>
      </w:r>
    </w:p>
    <w:tbl>
      <w:tblPr>
        <w:tblW w:w="0" w:type="auto"/>
        <w:jc w:val="center"/>
        <w:tblLook w:val="04A0" w:firstRow="1" w:lastRow="0" w:firstColumn="1" w:lastColumn="0" w:noHBand="0" w:noVBand="1"/>
      </w:tblPr>
      <w:tblGrid>
        <w:gridCol w:w="9029"/>
      </w:tblGrid>
      <w:tr w:rsidR="00AC41AE" w14:paraId="3C03FD71" w14:textId="77777777">
        <w:trPr>
          <w:jc w:val="center"/>
        </w:trPr>
        <w:tc>
          <w:tcPr>
            <w:tcW w:w="9029" w:type="dxa"/>
            <w:shd w:val="clear" w:color="auto" w:fill="F2F6FA"/>
          </w:tcPr>
          <w:p w14:paraId="4BE1E90C" w14:textId="77777777" w:rsidR="00AC41AE" w:rsidRDefault="00000000">
            <w:r>
              <w:rPr>
                <w:b/>
                <w:color w:val="1B3A6B"/>
                <w:sz w:val="18"/>
              </w:rPr>
              <w:t>📊 DIAGNOSTIC ANALYSIS</w:t>
            </w:r>
          </w:p>
          <w:p w14:paraId="34B6529E" w14:textId="77777777" w:rsidR="00AC41AE" w:rsidRDefault="00000000">
            <w:r>
              <w:rPr>
                <w:sz w:val="20"/>
              </w:rPr>
              <w:t>The 2.36% year-over-year increase in Scope 1 emissions reflects structural dependency on diesel combustion (64.7% of total) for backup power and fleet operations, compounded by branch network expansion requiring additional generator capacity. While natural gas consumption remained stable (+0.06%), diesel emissions grew 3.66% due to grid reliability challenges in regional markets and modest fleet growth. The institution's emission intensity per employee (1.9209 tCO₂e/FTE) remains modest in absolute terms but the upward trajectory contrasts sharply with peer achievements: BRI reduced energy intensity 7.1% through systematic renewable integration, while DBS achieved 12% total emission reduction through RE100 membership and green building standards. The diesel concentration creates dual exposure: operational cost volatility (diesel prices increased 18% in 2024) and emission reduction complexity, as backup power systems require capital-intensive solar+battery solutions rather than simple fuel switching.</w:t>
            </w:r>
          </w:p>
          <w:p w14:paraId="518C4865" w14:textId="77777777" w:rsidR="00AC41AE" w:rsidRDefault="00000000">
            <w:r>
              <w:rPr>
                <w:b/>
                <w:sz w:val="20"/>
              </w:rPr>
              <w:t>Root Causes:</w:t>
            </w:r>
          </w:p>
          <w:p w14:paraId="0DC23219" w14:textId="77777777" w:rsidR="00AC41AE" w:rsidRDefault="00000000">
            <w:r>
              <w:rPr>
                <w:sz w:val="18"/>
              </w:rPr>
              <w:t>• Diesel dependency (64.7% of Scope 1): Backup generators account for majority of diesel consumption, driven by grid instability in regional branch locations and lack of renewable backup power alternatives.</w:t>
            </w:r>
          </w:p>
          <w:p w14:paraId="6E088FAB" w14:textId="77777777" w:rsidR="00AC41AE" w:rsidRDefault="00000000">
            <w:r>
              <w:rPr>
                <w:sz w:val="18"/>
              </w:rPr>
              <w:t>• Branch network expansion: New branch openings in 2024 added diesel generator capacity without corresponding renewable energy integration, increasing absolute emissions despite per-facility efficiency gains.</w:t>
            </w:r>
          </w:p>
          <w:p w14:paraId="597C81DD" w14:textId="77777777" w:rsidR="00AC41AE" w:rsidRDefault="00000000">
            <w:r>
              <w:rPr>
                <w:sz w:val="18"/>
              </w:rPr>
              <w:t>• Delayed renewable energy investment: No solar photovoltaic installations completed in 2024, missing opportunity to offset diesel consumption growth with zero-emission generation.</w:t>
            </w:r>
          </w:p>
          <w:p w14:paraId="188EE71C" w14:textId="77777777" w:rsidR="00AC41AE" w:rsidRDefault="00000000">
            <w:r>
              <w:rPr>
                <w:sz w:val="18"/>
              </w:rPr>
              <w:t>• Fleet electrification lag: Vehicle fleet remains 100% internal combustion engine (ICE), while peers (BRI: 118 EVs + 150 e-motorcycles) demonstrate feasibility of electric mobility in Indonesian urban markets.</w:t>
            </w:r>
          </w:p>
          <w:p w14:paraId="3D44DF42" w14:textId="77777777" w:rsidR="00AC41AE" w:rsidRDefault="00000000">
            <w:r>
              <w:rPr>
                <w:b/>
                <w:sz w:val="20"/>
              </w:rPr>
              <w:t>Risk Implications:</w:t>
            </w:r>
          </w:p>
          <w:p w14:paraId="1635C8C3" w14:textId="77777777" w:rsidR="00AC41AE" w:rsidRDefault="00000000">
            <w:r>
              <w:rPr>
                <w:sz w:val="18"/>
              </w:rPr>
              <w:t xml:space="preserve">• Regulatory compliance risk: OJK POJK 51/2017 and SEOJK 16/2021 require financial institutions to demonstrate </w:t>
            </w:r>
            <w:r>
              <w:rPr>
                <w:sz w:val="18"/>
              </w:rPr>
              <w:lastRenderedPageBreak/>
              <w:t>emission reduction progress. Upward trajectory may trigger enhanced supervisory scrutiny or mandatory corrective action plans.</w:t>
            </w:r>
          </w:p>
          <w:p w14:paraId="286395E4" w14:textId="77777777" w:rsidR="00AC41AE" w:rsidRDefault="00000000">
            <w:r>
              <w:rPr>
                <w:sz w:val="18"/>
              </w:rPr>
              <w:t>• ESG rating downgrade risk: MSCI, Sustainalytics, and CDP assessments increasingly penalize operational emission increases. Peer comparison shows DBS (MSCI AA, CDP A-) and BRI (SBTi committed) outperforming on climate metrics, creating relative rating pressure.</w:t>
            </w:r>
          </w:p>
          <w:p w14:paraId="0F7A1663" w14:textId="77777777" w:rsidR="00AC41AE" w:rsidRDefault="00000000">
            <w:r>
              <w:rPr>
                <w:sz w:val="18"/>
              </w:rPr>
              <w:t>• Investor due diligence gap: Institutional investors conducting climate risk assessments benchmark operational emissions against sectoral trajectories. The 2.36% increase vs. peer reductions of 8-12% creates negative signal for green bond issuance eligibility and ESG-linked financing terms.</w:t>
            </w:r>
          </w:p>
          <w:p w14:paraId="59B97D2D" w14:textId="77777777" w:rsidR="00AC41AE" w:rsidRDefault="00000000">
            <w:r>
              <w:rPr>
                <w:sz w:val="18"/>
              </w:rPr>
              <w:t>• Stranded asset risk: Continued diesel generator investment without renewable integration creates medium-term stranded asset exposure as Indonesia's carbon pricing mechanism (Presidential Regulation 98/2021) expands to broader sectors, potentially including financial institution operations by 2027-2028.</w:t>
            </w:r>
          </w:p>
        </w:tc>
      </w:tr>
    </w:tbl>
    <w:p w14:paraId="001EA694" w14:textId="77777777" w:rsidR="00AC41AE" w:rsidRDefault="00AC41AE"/>
    <w:p w14:paraId="32E93D07" w14:textId="77777777" w:rsidR="00AC41AE" w:rsidRDefault="00AC41AE"/>
    <w:p w14:paraId="38D71767" w14:textId="77777777" w:rsidR="00AC41AE" w:rsidRDefault="00000000">
      <w:r>
        <w:rPr>
          <w:b/>
          <w:color w:val="2E7D32"/>
          <w:sz w:val="24"/>
        </w:rPr>
        <w:t>⚡ Priority Actions</w:t>
      </w:r>
    </w:p>
    <w:p w14:paraId="2EA994D3" w14:textId="77777777" w:rsidR="00AC41AE" w:rsidRDefault="00000000">
      <w:r>
        <w:rPr>
          <w:b/>
        </w:rPr>
        <w:t>🔴 1. Deploy solar photovoltaic systems (150-200 kWp per site) with lithium-ion battery storage (4-6 hour capacity) at top 5 diesel-intensive facilities (FAC-0197, FAC-0198, FAC-0200, FAC-0196, FAC-0199) to reduce backup generator runtime by 60% and eliminate daytime diesel consumption.</w:t>
      </w:r>
      <w:r>
        <w:t xml:space="preserve"> (Q3 2025)</w:t>
      </w:r>
    </w:p>
    <w:p w14:paraId="3ABF244A" w14:textId="77777777" w:rsidR="00AC41AE" w:rsidRDefault="00000000">
      <w:pPr>
        <w:spacing w:after="160"/>
      </w:pPr>
      <w:r>
        <w:t xml:space="preserve">    → Expected: 390.8 tCO₂e annual reduction (17.7% of diesel emissions); IDR 2.1-2.8 billion annual fuel cost savings at current diesel prices; 8-9 year payback period including battery replacement.</w:t>
      </w:r>
    </w:p>
    <w:p w14:paraId="51E00937" w14:textId="77777777" w:rsidR="00AC41AE" w:rsidRDefault="00000000">
      <w:pPr>
        <w:spacing w:after="160"/>
      </w:pPr>
      <w:r>
        <w:rPr>
          <w:rFonts w:ascii="Arial" w:hAnsi="Arial"/>
          <w:i/>
          <w:color w:val="646464"/>
          <w:sz w:val="18"/>
        </w:rPr>
        <w:t xml:space="preserve">    → Ref: BRI — achieved 19.49% electricity savings at BRILiaN Tower through solar integration and green building certification (GBCI Gold), demonstrating technical and financial feasibility in Indonesian climate conditions.</w:t>
      </w:r>
    </w:p>
    <w:p w14:paraId="1ACE771F" w14:textId="77777777" w:rsidR="00AC41AE" w:rsidRDefault="00000000">
      <w:r>
        <w:rPr>
          <w:b/>
        </w:rPr>
        <w:t>🔴 2. Submit Science Based Targets initiative (SBTi) commitment letter and develop 1.5°C-aligned operational emission reduction targets: 42% reduction below 2024 baseline by 2030 (Scope 1+2), with interim milestones at 2027 (20% reduction) and 2029 (35% reduction). Integrate climate KPIs into executive remuneration with 15-20% weighting.</w:t>
      </w:r>
      <w:r>
        <w:t xml:space="preserve"> (Q2 2025 (commitment letter); Q4 2025 (target validation))</w:t>
      </w:r>
    </w:p>
    <w:p w14:paraId="7DBCA890" w14:textId="77777777" w:rsidR="00AC41AE" w:rsidRDefault="00000000">
      <w:pPr>
        <w:spacing w:after="160"/>
      </w:pPr>
      <w:r>
        <w:t xml:space="preserve">    → Expected: Establishes accountability framework for 1,429 tCO₂e Scope 1 reduction by 2030; enhances ESG ratings (MSCI, Sustainalytics) through credible climate target disclosure; positions institution for green bond issuance and ESG-linked financing.</w:t>
      </w:r>
    </w:p>
    <w:p w14:paraId="499BA761" w14:textId="77777777" w:rsidR="00AC41AE" w:rsidRDefault="00000000">
      <w:pPr>
        <w:spacing w:after="160"/>
      </w:pPr>
      <w:r>
        <w:rPr>
          <w:rFonts w:ascii="Arial" w:hAnsi="Arial"/>
          <w:i/>
          <w:color w:val="646464"/>
          <w:sz w:val="18"/>
        </w:rPr>
        <w:t xml:space="preserve">    → Ref: BRI — first Indonesian financial institution to submit SBTi commitment letter, establishing portfolio temperature alignment target of 1.75°C by 2040 (from 3.14°C baseline). Demonstrates domestic market feasibility and reputational benefit.</w:t>
      </w:r>
    </w:p>
    <w:p w14:paraId="737112DF" w14:textId="77777777" w:rsidR="00AC41AE" w:rsidRDefault="00000000">
      <w:r>
        <w:rPr>
          <w:b/>
        </w:rPr>
        <w:t>🔴 3. Initiate fleet electrification pilot program: procure 25 electric vehicles (EVs) for urban branch operations in Jakarta, Surabaya, and Bandung where charging infrastructure is established. Target 100% EV replacement for urban pool vehicles by 2028 (estimated 180-200 vehicles).</w:t>
      </w:r>
      <w:r>
        <w:t xml:space="preserve"> (Q4 2025 (pilot); Q2 2026 (scale-up decision))</w:t>
      </w:r>
    </w:p>
    <w:p w14:paraId="53EDDEA9" w14:textId="77777777" w:rsidR="00AC41AE" w:rsidRDefault="00000000">
      <w:pPr>
        <w:spacing w:after="160"/>
      </w:pPr>
      <w:r>
        <w:lastRenderedPageBreak/>
        <w:t xml:space="preserve">    → Expected: 45-60 tCO₂e annual reduction from 25-vehicle pilot; 270-360 tCO₂e reduction at full urban fleet conversion by 2028; IDR 1.8-2.4 billion fuel cost savings over 5-year vehicle lifecycle.</w:t>
      </w:r>
    </w:p>
    <w:p w14:paraId="6783D7BA" w14:textId="77777777" w:rsidR="00AC41AE" w:rsidRDefault="00000000">
      <w:pPr>
        <w:spacing w:after="160"/>
      </w:pPr>
      <w:r>
        <w:rPr>
          <w:rFonts w:ascii="Arial" w:hAnsi="Arial"/>
          <w:i/>
          <w:color w:val="646464"/>
          <w:sz w:val="18"/>
        </w:rPr>
        <w:t xml:space="preserve">    → Ref: BRI — deployed 118 electric vehicles and 150 electric motorcycles under Green Network program, demonstrating operational viability and employee acceptance in Indonesian market conditions.</w:t>
      </w:r>
    </w:p>
    <w:p w14:paraId="47F7EEB6" w14:textId="77777777" w:rsidR="00AC41AE" w:rsidRDefault="00000000">
      <w:r>
        <w:rPr>
          <w:b/>
        </w:rPr>
        <w:t>🟡 4. Conduct comprehensive energy audit of diesel-only facilities (FAC-0193, FAC-0191, and 8-10 similar sites) to assess grid connection upgrade feasibility, natural gas pipeline access, or standalone hybrid solar-diesel system deployment. Prioritize 2 facilities for Phase 1 renewable integration by Q4 2025.</w:t>
      </w:r>
      <w:r>
        <w:t xml:space="preserve"> (Q4 2025 (audit + Phase 1 implementation))</w:t>
      </w:r>
    </w:p>
    <w:p w14:paraId="0D8D846D" w14:textId="77777777" w:rsidR="00AC41AE" w:rsidRDefault="00000000">
      <w:pPr>
        <w:spacing w:after="160"/>
      </w:pPr>
      <w:r>
        <w:t xml:space="preserve">    → Expected: 55-70 tCO₂e annual reduction per facility (110-140 tCO₂e for 2-facility Phase 1); 40-50% diesel consumption reduction per site; improved operational resilience through dual-source power configuration.</w:t>
      </w:r>
    </w:p>
    <w:p w14:paraId="091E07F1" w14:textId="77777777" w:rsidR="00AC41AE" w:rsidRDefault="00000000">
      <w:pPr>
        <w:spacing w:after="160"/>
      </w:pPr>
      <w:r>
        <w:rPr>
          <w:rFonts w:ascii="Arial" w:hAnsi="Arial"/>
          <w:i/>
          <w:color w:val="646464"/>
          <w:sz w:val="18"/>
        </w:rPr>
        <w:t xml:space="preserve">    → Ref: BRI — systematically eliminated diesel dependency through grid connection prioritization and renewable integration, reducing fuel cost volatility and environmental impact across branch network.</w:t>
      </w:r>
    </w:p>
    <w:p w14:paraId="602360D2" w14:textId="77777777" w:rsidR="00AC41AE" w:rsidRDefault="00AC41AE"/>
    <w:p w14:paraId="484641F0" w14:textId="77777777" w:rsidR="00AC41AE" w:rsidRDefault="00000000">
      <w:r>
        <w:rPr>
          <w:i/>
          <w:color w:val="3D6094"/>
          <w:sz w:val="18"/>
        </w:rPr>
        <w:t>Framework references: GRI 305-1a; GRI 305-1b; GRI 305-1c; GRI 305-1e; GRI 305-1f; GRI 305-1g; IFRS S2 Para 29(a)(i); IFRS S2 Para 29(b); IFRS S2 Para 29(c); ESRS E1 DR E1-6.44; ESRS E1 AR 39(a); ESRS E1 AR 39(b); ESRS E1 AR 39(c); ESRS E1 AR 39(d); OJK PSPK Emisi GRK Langsung</w:t>
      </w:r>
    </w:p>
    <w:p w14:paraId="4A5C725F" w14:textId="77777777" w:rsidR="00AC41AE" w:rsidRDefault="00AC41AE">
      <w:pPr>
        <w:pBdr>
          <w:bottom w:val="single" w:sz="6" w:space="1" w:color="CCCCCC"/>
        </w:pBdr>
        <w:spacing w:after="80"/>
      </w:pPr>
    </w:p>
    <w:p w14:paraId="579C8CB6" w14:textId="77777777" w:rsidR="00AC41AE" w:rsidRDefault="00000000">
      <w:pPr>
        <w:spacing w:after="160"/>
      </w:pPr>
      <w:r>
        <w:rPr>
          <w:rFonts w:ascii="Arial" w:hAnsi="Arial"/>
          <w:i/>
          <w:color w:val="646464"/>
          <w:sz w:val="18"/>
        </w:rPr>
        <w:t>These figures have not been subject to external assurance for the current reporting period.</w:t>
      </w:r>
    </w:p>
    <w:p w14:paraId="2BCF1908" w14:textId="77777777" w:rsidR="00AC41AE" w:rsidRDefault="00000000">
      <w:pPr>
        <w:spacing w:after="160"/>
      </w:pPr>
      <w:r>
        <w:rPr>
          <w:rFonts w:ascii="Arial" w:hAnsi="Arial"/>
          <w:i/>
          <w:color w:val="646464"/>
          <w:sz w:val="18"/>
        </w:rPr>
        <w:t>Data Quality Score: All facility-level data achieve Score 1 (highest quality) per PCAF methodology, reflecting direct metering rather than estimation.</w:t>
      </w:r>
    </w:p>
    <w:p w14:paraId="4300057F" w14:textId="77777777" w:rsidR="00AC41AE" w:rsidRDefault="00000000">
      <w:pPr>
        <w:spacing w:after="160"/>
      </w:pPr>
      <w:r>
        <w:rPr>
          <w:rFonts w:ascii="Arial" w:hAnsi="Arial"/>
          <w:i/>
          <w:color w:val="646464"/>
          <w:sz w:val="18"/>
        </w:rPr>
        <w:t>Biogenic CO₂ emissions are not material to the institution's operations and are excluded from the reported Scope 1 total.</w:t>
      </w:r>
    </w:p>
    <w:p w14:paraId="72DFBED0" w14:textId="77777777" w:rsidR="00AC41AE" w:rsidRDefault="00000000">
      <w:pPr>
        <w:spacing w:after="160"/>
      </w:pPr>
      <w:r>
        <w:rPr>
          <w:rFonts w:ascii="Arial" w:hAnsi="Arial"/>
          <w:i/>
          <w:color w:val="646464"/>
          <w:sz w:val="18"/>
        </w:rPr>
        <w:t>Emission factors sourced from IPCC 2006 Guidelines for National Greenhouse Gas Inventories (2019 Refinement) and Indonesia Ministry of Environment and Forestry National Emission Factors (2023 edition).</w:t>
      </w:r>
    </w:p>
    <w:p w14:paraId="0CA81E10" w14:textId="77777777" w:rsidR="00AC41AE" w:rsidRDefault="00000000">
      <w:pPr>
        <w:spacing w:after="160"/>
      </w:pPr>
      <w:r>
        <w:rPr>
          <w:rFonts w:ascii="Arial" w:hAnsi="Arial"/>
          <w:i/>
          <w:color w:val="646464"/>
          <w:sz w:val="18"/>
        </w:rPr>
        <w:t>Global Warming Potential (GWP) values applied per IPCC Sixth Assessment Report (AR6, 2021) on 100-year time horizon: CO₂ = 1, CH₄ = 29.8, N₂O = 273.0.</w:t>
      </w:r>
    </w:p>
    <w:p w14:paraId="2895FFE4" w14:textId="77777777" w:rsidR="00AC41AE" w:rsidRDefault="00000000">
      <w:pPr>
        <w:pStyle w:val="Heading2"/>
        <w:spacing w:before="360" w:after="160"/>
      </w:pPr>
      <w:bookmarkStart w:id="8" w:name="_Toc232152603"/>
      <w:r>
        <w:rPr>
          <w:rFonts w:ascii="Arial" w:hAnsi="Arial"/>
          <w:color w:val="3D6094"/>
          <w:sz w:val="28"/>
        </w:rPr>
        <w:t>1.2 Energy Indirect GHG Emissions — Scope 2</w:t>
      </w:r>
      <w:bookmarkEnd w:id="8"/>
    </w:p>
    <w:tbl>
      <w:tblPr>
        <w:tblW w:w="0" w:type="auto"/>
        <w:jc w:val="center"/>
        <w:tblLook w:val="04A0" w:firstRow="1" w:lastRow="0" w:firstColumn="1" w:lastColumn="0" w:noHBand="0" w:noVBand="1"/>
      </w:tblPr>
      <w:tblGrid>
        <w:gridCol w:w="2257"/>
        <w:gridCol w:w="2257"/>
        <w:gridCol w:w="2257"/>
        <w:gridCol w:w="2257"/>
      </w:tblGrid>
      <w:tr w:rsidR="00AC41AE" w14:paraId="2931BBC4" w14:textId="77777777">
        <w:trPr>
          <w:jc w:val="center"/>
        </w:trPr>
        <w:tc>
          <w:tcPr>
            <w:tcW w:w="2257" w:type="dxa"/>
            <w:shd w:val="clear" w:color="auto" w:fill="F2F6FA"/>
          </w:tcPr>
          <w:p w14:paraId="1D868A86" w14:textId="77777777" w:rsidR="00AC41AE" w:rsidRDefault="00000000">
            <w:pPr>
              <w:jc w:val="center"/>
            </w:pPr>
            <w:r>
              <w:rPr>
                <w:b/>
                <w:color w:val="1B3A6B"/>
                <w:sz w:val="36"/>
              </w:rPr>
              <w:t>44,613.876</w:t>
            </w:r>
            <w:r>
              <w:rPr>
                <w:color w:val="757575"/>
                <w:sz w:val="18"/>
              </w:rPr>
              <w:t xml:space="preserve"> tCO₂e</w:t>
            </w:r>
            <w:r>
              <w:rPr>
                <w:b/>
                <w:color w:val="2E7D32"/>
                <w:sz w:val="20"/>
              </w:rPr>
              <w:br/>
              <w:t>+0.03%</w:t>
            </w:r>
          </w:p>
        </w:tc>
        <w:tc>
          <w:tcPr>
            <w:tcW w:w="2257" w:type="dxa"/>
            <w:shd w:val="clear" w:color="auto" w:fill="F2F6FA"/>
          </w:tcPr>
          <w:p w14:paraId="4D7CEF1A" w14:textId="77777777" w:rsidR="00AC41AE" w:rsidRDefault="00000000">
            <w:pPr>
              <w:jc w:val="center"/>
            </w:pPr>
            <w:r>
              <w:rPr>
                <w:b/>
                <w:color w:val="1B3A6B"/>
                <w:sz w:val="36"/>
              </w:rPr>
              <w:t>44,612.518</w:t>
            </w:r>
            <w:r>
              <w:rPr>
                <w:color w:val="757575"/>
                <w:sz w:val="18"/>
              </w:rPr>
              <w:t xml:space="preserve"> tCO₂e</w:t>
            </w:r>
            <w:r>
              <w:rPr>
                <w:b/>
                <w:color w:val="2E7D32"/>
                <w:sz w:val="20"/>
              </w:rPr>
              <w:br/>
              <w:t>+0.03%</w:t>
            </w:r>
          </w:p>
        </w:tc>
        <w:tc>
          <w:tcPr>
            <w:tcW w:w="2257" w:type="dxa"/>
            <w:shd w:val="clear" w:color="auto" w:fill="F2F6FA"/>
          </w:tcPr>
          <w:p w14:paraId="4CED89AB" w14:textId="77777777" w:rsidR="00AC41AE" w:rsidRDefault="00000000">
            <w:pPr>
              <w:jc w:val="center"/>
            </w:pPr>
            <w:r>
              <w:rPr>
                <w:b/>
                <w:color w:val="1B3A6B"/>
                <w:sz w:val="36"/>
              </w:rPr>
              <w:t>0.0</w:t>
            </w:r>
            <w:r>
              <w:rPr>
                <w:color w:val="757575"/>
                <w:sz w:val="18"/>
              </w:rPr>
              <w:t xml:space="preserve"> %</w:t>
            </w:r>
            <w:r>
              <w:rPr>
                <w:b/>
                <w:color w:val="C62828"/>
                <w:sz w:val="20"/>
              </w:rPr>
              <w:br/>
              <w:t>vs DBS 62%</w:t>
            </w:r>
          </w:p>
        </w:tc>
        <w:tc>
          <w:tcPr>
            <w:tcW w:w="2257" w:type="dxa"/>
            <w:shd w:val="clear" w:color="auto" w:fill="F2F6FA"/>
          </w:tcPr>
          <w:p w14:paraId="4FC73B10" w14:textId="77777777" w:rsidR="00AC41AE" w:rsidRDefault="00000000">
            <w:pPr>
              <w:jc w:val="center"/>
            </w:pPr>
            <w:r>
              <w:rPr>
                <w:b/>
                <w:color w:val="1B3A6B"/>
                <w:sz w:val="36"/>
              </w:rPr>
              <w:t>1.785</w:t>
            </w:r>
            <w:r>
              <w:rPr>
                <w:color w:val="757575"/>
                <w:sz w:val="18"/>
              </w:rPr>
              <w:t xml:space="preserve"> tCO₂e/FTE</w:t>
            </w:r>
            <w:r>
              <w:rPr>
                <w:b/>
                <w:color w:val="C62828"/>
                <w:sz w:val="20"/>
              </w:rPr>
              <w:br/>
              <w:t>vs DBS &lt;1.0</w:t>
            </w:r>
          </w:p>
        </w:tc>
      </w:tr>
      <w:tr w:rsidR="00AC41AE" w14:paraId="17070664" w14:textId="77777777">
        <w:trPr>
          <w:jc w:val="center"/>
        </w:trPr>
        <w:tc>
          <w:tcPr>
            <w:tcW w:w="2257" w:type="dxa"/>
            <w:shd w:val="clear" w:color="auto" w:fill="F2F6FA"/>
          </w:tcPr>
          <w:p w14:paraId="73FD17B4" w14:textId="77777777" w:rsidR="00AC41AE" w:rsidRDefault="00000000">
            <w:pPr>
              <w:jc w:val="center"/>
            </w:pPr>
            <w:r>
              <w:rPr>
                <w:color w:val="757575"/>
                <w:sz w:val="16"/>
              </w:rPr>
              <w:t>Scope 2 Location-Based</w:t>
            </w:r>
          </w:p>
        </w:tc>
        <w:tc>
          <w:tcPr>
            <w:tcW w:w="2257" w:type="dxa"/>
            <w:shd w:val="clear" w:color="auto" w:fill="F2F6FA"/>
          </w:tcPr>
          <w:p w14:paraId="4F835BDC" w14:textId="77777777" w:rsidR="00AC41AE" w:rsidRDefault="00000000">
            <w:pPr>
              <w:jc w:val="center"/>
            </w:pPr>
            <w:r>
              <w:rPr>
                <w:color w:val="757575"/>
                <w:sz w:val="16"/>
              </w:rPr>
              <w:t>Scope 2 Market-Based</w:t>
            </w:r>
          </w:p>
        </w:tc>
        <w:tc>
          <w:tcPr>
            <w:tcW w:w="2257" w:type="dxa"/>
            <w:shd w:val="clear" w:color="auto" w:fill="F2F6FA"/>
          </w:tcPr>
          <w:p w14:paraId="7D67F058" w14:textId="77777777" w:rsidR="00AC41AE" w:rsidRDefault="00000000">
            <w:pPr>
              <w:jc w:val="center"/>
            </w:pPr>
            <w:r>
              <w:rPr>
                <w:color w:val="757575"/>
                <w:sz w:val="16"/>
              </w:rPr>
              <w:t>Renewable Energy Coverage</w:t>
            </w:r>
          </w:p>
        </w:tc>
        <w:tc>
          <w:tcPr>
            <w:tcW w:w="2257" w:type="dxa"/>
            <w:shd w:val="clear" w:color="auto" w:fill="F2F6FA"/>
          </w:tcPr>
          <w:p w14:paraId="177C4F9D" w14:textId="77777777" w:rsidR="00AC41AE" w:rsidRDefault="00000000">
            <w:pPr>
              <w:jc w:val="center"/>
            </w:pPr>
            <w:r>
              <w:rPr>
                <w:color w:val="757575"/>
                <w:sz w:val="16"/>
              </w:rPr>
              <w:t>Scope 2 Intensity per FTE</w:t>
            </w:r>
          </w:p>
        </w:tc>
      </w:tr>
    </w:tbl>
    <w:p w14:paraId="038CE154" w14:textId="77777777" w:rsidR="00AC41AE" w:rsidRDefault="00AC41AE"/>
    <w:tbl>
      <w:tblPr>
        <w:tblW w:w="0" w:type="auto"/>
        <w:jc w:val="center"/>
        <w:tblLook w:val="04A0" w:firstRow="1" w:lastRow="0" w:firstColumn="1" w:lastColumn="0" w:noHBand="0" w:noVBand="1"/>
      </w:tblPr>
      <w:tblGrid>
        <w:gridCol w:w="9029"/>
      </w:tblGrid>
      <w:tr w:rsidR="00AC41AE" w14:paraId="5BDAD038" w14:textId="77777777">
        <w:trPr>
          <w:jc w:val="center"/>
        </w:trPr>
        <w:tc>
          <w:tcPr>
            <w:tcW w:w="9029" w:type="dxa"/>
            <w:shd w:val="clear" w:color="auto" w:fill="FFF8E1"/>
          </w:tcPr>
          <w:p w14:paraId="4EAD136E" w14:textId="77777777" w:rsidR="00AC41AE" w:rsidRDefault="00000000">
            <w:r>
              <w:rPr>
                <w:b/>
                <w:color w:val="FF8F00"/>
                <w:sz w:val="18"/>
              </w:rPr>
              <w:t>⚠️ KEY INSIGHT</w:t>
            </w:r>
          </w:p>
          <w:p w14:paraId="60CF3A7A" w14:textId="77777777" w:rsidR="00AC41AE" w:rsidRDefault="00000000">
            <w:r>
              <w:rPr>
                <w:b/>
              </w:rPr>
              <w:t>Scope 2 flat at +0.03% while DBS cut 12% YoY — zero renewable procurement is competitive gap</w:t>
            </w:r>
          </w:p>
          <w:p w14:paraId="09033A28" w14:textId="77777777" w:rsidR="00AC41AE" w:rsidRDefault="00000000">
            <w:r>
              <w:rPr>
                <w:sz w:val="20"/>
              </w:rPr>
              <w:lastRenderedPageBreak/>
              <w:t>The institution's Scope 2 emissions remained essentially unchanged in 2024, reflecting stable operations but no proactive decarbonization. DBS Bank achieved 62% renewable electricity coverage and 12% emissions reduction through PPAs and on-site solar. Without renewable procurement, the institution lags peers and faces reputational risk as investors increasingly benchmark climate action.</w:t>
            </w:r>
          </w:p>
        </w:tc>
      </w:tr>
    </w:tbl>
    <w:p w14:paraId="7472DD51" w14:textId="77777777" w:rsidR="00AC41AE" w:rsidRDefault="00AC41AE"/>
    <w:p w14:paraId="75A1589F" w14:textId="77777777" w:rsidR="00AC41AE" w:rsidRDefault="00000000">
      <w:pPr>
        <w:spacing w:after="160"/>
      </w:pPr>
      <w:r>
        <w:rPr>
          <w:rFonts w:ascii="Arial" w:hAnsi="Arial"/>
        </w:rPr>
        <w:t>For the reporting year 2024, the institution's Scope 2 energy indirect greenhouse gas emissions totaled 44,613.876 tCO₂e under the location-based method and 44,612.518 tCO₂e under the market-based method. This dual reporting approach is mandated by the GHG Protocol Scope 2 Guidance (2015) and aligns with requirements under GRI 305-2, IFRS S2 Paragraph 29(a)(ii), ESRS E1-6 DR E1-6.46, and OJK PSPK disclosure standards. The minimal difference of 1.358 tCO₂e between the two methods reflects the institution's limited procurement of contractual instruments for renewable electricity during the reporting period.</w:t>
      </w:r>
    </w:p>
    <w:p w14:paraId="49D1B0B1" w14:textId="77777777" w:rsidR="00AC41AE" w:rsidRDefault="00000000">
      <w:pPr>
        <w:spacing w:after="160"/>
      </w:pPr>
      <w:r>
        <w:rPr>
          <w:rFonts w:ascii="Arial" w:hAnsi="Arial"/>
        </w:rPr>
        <w:t>The location-based method calculates emissions using the average emission intensity of the Indonesian electricity grid, applying the PLN 2023 grid emission factor of 0.7886 kgCO₂/kWh. This method reflects the emissions profile of the regional grid from which the institution draws electricity across its operational facilities. The market-based method, by contrast, accounts for emissions based on contractual instruments such as Renewable Energy Certificates (RECs), Power Purchase Agreements (PPAs), or supplier-specific emission factors. Where no contractual instruments exist, the residual mix emission factor is applied. For 2024, the institution applied minimal renewable energy procurement, resulting in market-based emissions nearly equivalent to location-based figures.</w:t>
      </w:r>
    </w:p>
    <w:p w14:paraId="0C74438E" w14:textId="77777777" w:rsidR="00AC41AE" w:rsidRDefault="00000000">
      <w:pPr>
        <w:spacing w:after="160"/>
      </w:pPr>
      <w:r>
        <w:rPr>
          <w:rFonts w:ascii="Arial" w:hAnsi="Arial"/>
        </w:rPr>
        <w:t>Year-over-year analysis shows Scope 2 location-based emissions increased marginally by 0.03% from 44,599.440 tCO₂e in 2023 to 44,613.876 tCO₂e in 2024, representing an absolute increase of 14.436 tCO₂e. Market-based emissions similarly increased by 0.03% from 44,598.118 tCO₂e to 44,612.518 tCO₂e. This stability reflects consistent electricity consumption patterns across the institution's branch network and data center operations, with no significant expansion or contraction of physical infrastructure during the reporting period. The minimal change contrasts with peer institutions such as DBS Bank, which achieved a 12% year-over-year reduction in Scope 2 emissions through aggressive renewable energy procurement and energy efficiency programs.</w:t>
      </w:r>
    </w:p>
    <w:p w14:paraId="63505C7A" w14:textId="77777777" w:rsidR="00AC41AE" w:rsidRDefault="00000000">
      <w:pPr>
        <w:spacing w:after="160"/>
      </w:pPr>
      <w:r>
        <w:rPr>
          <w:rFonts w:ascii="Arial" w:hAnsi="Arial"/>
        </w:rPr>
        <w:t>The institution's Scope 2 emissions intensity per full-time equivalent employee stands at 1.785 tCO₂e/FTE (calculated as 44,613.876 tCO₂e ÷ 24,997 FTE), which is within the typical range for Indonesian financial institutions but above leading regional peers. DBS Bank, for example, has achieved 62% renewable electricity coverage and reduced its Scope 2 intensity significantly below 1.0 tCO₂e/FTE through a combination of on-site solar installations, green building certifications, and long-term renewable PPAs. Bank Rakyat Indonesia (BRI) has similarly demonstrated a 19.49% reduction in electricity consumption through its Green Network initiative, which includes LED retrofits, automated shutdown systems via Kaseya software, and Gold-level Green Building Council Indonesia (GBCI) certifications for key facilities.</w:t>
      </w:r>
    </w:p>
    <w:p w14:paraId="1CF88F83" w14:textId="77777777" w:rsidR="00AC41AE" w:rsidRDefault="00000000">
      <w:pPr>
        <w:spacing w:after="160"/>
      </w:pPr>
      <w:r>
        <w:rPr>
          <w:rFonts w:ascii="Arial" w:hAnsi="Arial"/>
        </w:rPr>
        <w:t xml:space="preserve">The institution currently does not procure renewable energy through contractual instruments such as RECs or PPAs, resulting in market-based emissions that mirror location-based figures. This represents a strategic gap relative to peer institutions and international best </w:t>
      </w:r>
      <w:r>
        <w:rPr>
          <w:rFonts w:ascii="Arial" w:hAnsi="Arial"/>
        </w:rPr>
        <w:lastRenderedPageBreak/>
        <w:t>practices. The absence of renewable energy procurement limits the institution's ability to demonstrate climate leadership and exposes it to transition risks as Indonesia's grid decarbonization accelerates. The PLN 2023 grid emission factor of 0.7886 kgCO₂/kWh is expected to decline as Indonesia increases its renewable energy capacity under the National Energy Policy (KEN) target of 23% renewable energy by 2025, but reliance on grid improvements alone will not position the institution competitively against peers actively procuring renewable electricity.</w:t>
      </w:r>
    </w:p>
    <w:p w14:paraId="06A64A3E" w14:textId="77777777" w:rsidR="00AC41AE" w:rsidRDefault="00000000">
      <w:pPr>
        <w:spacing w:after="160"/>
      </w:pPr>
      <w:r>
        <w:rPr>
          <w:rFonts w:ascii="Arial" w:hAnsi="Arial"/>
        </w:rPr>
        <w:t>These figures have not been subject to external assurance for the current reporting period.</w:t>
      </w:r>
    </w:p>
    <w:p w14:paraId="347AE219" w14:textId="77777777" w:rsidR="00AC41AE" w:rsidRDefault="00000000">
      <w:r>
        <w:rPr>
          <w:rFonts w:ascii="Arial" w:hAnsi="Arial"/>
          <w:b/>
          <w:sz w:val="20"/>
        </w:rPr>
        <w:t>Table 20: Table 1.2.1: Scope 2 Energy Indirect GHG Emissions — Dual Reporting (2023-2024)</w:t>
      </w:r>
    </w:p>
    <w:tbl>
      <w:tblPr>
        <w:tblW w:w="0" w:type="auto"/>
        <w:jc w:val="center"/>
        <w:tblLook w:val="04A0" w:firstRow="1" w:lastRow="0" w:firstColumn="1" w:lastColumn="0" w:noHBand="0" w:noVBand="1"/>
      </w:tblPr>
      <w:tblGrid>
        <w:gridCol w:w="1806"/>
        <w:gridCol w:w="1806"/>
        <w:gridCol w:w="1806"/>
        <w:gridCol w:w="1806"/>
        <w:gridCol w:w="1806"/>
      </w:tblGrid>
      <w:tr w:rsidR="00AC41AE" w14:paraId="7817EC91" w14:textId="77777777">
        <w:trPr>
          <w:jc w:val="center"/>
        </w:trPr>
        <w:tc>
          <w:tcPr>
            <w:tcW w:w="1806" w:type="dxa"/>
            <w:shd w:val="clear" w:color="auto" w:fill="1B3A6B"/>
          </w:tcPr>
          <w:p w14:paraId="6940AE0C" w14:textId="77777777" w:rsidR="00AC41AE" w:rsidRDefault="00000000">
            <w:r>
              <w:rPr>
                <w:rFonts w:ascii="Arial" w:hAnsi="Arial"/>
                <w:b/>
                <w:color w:val="FFFFFF"/>
                <w:sz w:val="18"/>
              </w:rPr>
              <w:t>Method</w:t>
            </w:r>
          </w:p>
        </w:tc>
        <w:tc>
          <w:tcPr>
            <w:tcW w:w="1806" w:type="dxa"/>
            <w:shd w:val="clear" w:color="auto" w:fill="1B3A6B"/>
          </w:tcPr>
          <w:p w14:paraId="716201CF" w14:textId="77777777" w:rsidR="00AC41AE" w:rsidRDefault="00000000">
            <w:r>
              <w:rPr>
                <w:rFonts w:ascii="Arial" w:hAnsi="Arial"/>
                <w:b/>
                <w:color w:val="FFFFFF"/>
                <w:sz w:val="18"/>
              </w:rPr>
              <w:t>2024 (tCO₂e)</w:t>
            </w:r>
          </w:p>
        </w:tc>
        <w:tc>
          <w:tcPr>
            <w:tcW w:w="1806" w:type="dxa"/>
            <w:shd w:val="clear" w:color="auto" w:fill="1B3A6B"/>
          </w:tcPr>
          <w:p w14:paraId="57EC6147" w14:textId="77777777" w:rsidR="00AC41AE" w:rsidRDefault="00000000">
            <w:r>
              <w:rPr>
                <w:rFonts w:ascii="Arial" w:hAnsi="Arial"/>
                <w:b/>
                <w:color w:val="FFFFFF"/>
                <w:sz w:val="18"/>
              </w:rPr>
              <w:t>2023 (tCO₂e)</w:t>
            </w:r>
          </w:p>
        </w:tc>
        <w:tc>
          <w:tcPr>
            <w:tcW w:w="1806" w:type="dxa"/>
            <w:shd w:val="clear" w:color="auto" w:fill="1B3A6B"/>
          </w:tcPr>
          <w:p w14:paraId="225CBD08" w14:textId="77777777" w:rsidR="00AC41AE" w:rsidRDefault="00000000">
            <w:r>
              <w:rPr>
                <w:rFonts w:ascii="Arial" w:hAnsi="Arial"/>
                <w:b/>
                <w:color w:val="FFFFFF"/>
                <w:sz w:val="18"/>
              </w:rPr>
              <w:t>Change (tCO₂e)</w:t>
            </w:r>
          </w:p>
        </w:tc>
        <w:tc>
          <w:tcPr>
            <w:tcW w:w="1806" w:type="dxa"/>
            <w:shd w:val="clear" w:color="auto" w:fill="1B3A6B"/>
          </w:tcPr>
          <w:p w14:paraId="5ACCA662" w14:textId="77777777" w:rsidR="00AC41AE" w:rsidRDefault="00000000">
            <w:r>
              <w:rPr>
                <w:rFonts w:ascii="Arial" w:hAnsi="Arial"/>
                <w:b/>
                <w:color w:val="FFFFFF"/>
                <w:sz w:val="18"/>
              </w:rPr>
              <w:t>Change (%)</w:t>
            </w:r>
          </w:p>
        </w:tc>
      </w:tr>
      <w:tr w:rsidR="00AC41AE" w14:paraId="53C38DD6" w14:textId="77777777">
        <w:trPr>
          <w:jc w:val="center"/>
        </w:trPr>
        <w:tc>
          <w:tcPr>
            <w:tcW w:w="1806" w:type="dxa"/>
          </w:tcPr>
          <w:p w14:paraId="48DB7741" w14:textId="77777777" w:rsidR="00AC41AE" w:rsidRDefault="00000000">
            <w:r>
              <w:rPr>
                <w:rFonts w:ascii="Arial" w:hAnsi="Arial"/>
                <w:sz w:val="18"/>
              </w:rPr>
              <w:t>Location-based</w:t>
            </w:r>
          </w:p>
        </w:tc>
        <w:tc>
          <w:tcPr>
            <w:tcW w:w="1806" w:type="dxa"/>
          </w:tcPr>
          <w:p w14:paraId="267AC6C4" w14:textId="77777777" w:rsidR="00AC41AE" w:rsidRDefault="00000000">
            <w:pPr>
              <w:jc w:val="right"/>
            </w:pPr>
            <w:r>
              <w:rPr>
                <w:rFonts w:ascii="Arial" w:hAnsi="Arial"/>
                <w:sz w:val="18"/>
              </w:rPr>
              <w:t>44,613.876</w:t>
            </w:r>
          </w:p>
        </w:tc>
        <w:tc>
          <w:tcPr>
            <w:tcW w:w="1806" w:type="dxa"/>
          </w:tcPr>
          <w:p w14:paraId="4F2811FD" w14:textId="77777777" w:rsidR="00AC41AE" w:rsidRDefault="00000000">
            <w:pPr>
              <w:jc w:val="right"/>
            </w:pPr>
            <w:r>
              <w:rPr>
                <w:rFonts w:ascii="Arial" w:hAnsi="Arial"/>
                <w:sz w:val="18"/>
              </w:rPr>
              <w:t>44,599.440</w:t>
            </w:r>
          </w:p>
        </w:tc>
        <w:tc>
          <w:tcPr>
            <w:tcW w:w="1806" w:type="dxa"/>
          </w:tcPr>
          <w:p w14:paraId="4F46E702" w14:textId="77777777" w:rsidR="00AC41AE" w:rsidRDefault="00000000">
            <w:pPr>
              <w:jc w:val="right"/>
            </w:pPr>
            <w:r>
              <w:rPr>
                <w:rFonts w:ascii="Arial" w:hAnsi="Arial"/>
                <w:sz w:val="18"/>
              </w:rPr>
              <w:t>+14.436</w:t>
            </w:r>
          </w:p>
        </w:tc>
        <w:tc>
          <w:tcPr>
            <w:tcW w:w="1806" w:type="dxa"/>
          </w:tcPr>
          <w:p w14:paraId="6E19183B" w14:textId="77777777" w:rsidR="00AC41AE" w:rsidRDefault="00000000">
            <w:pPr>
              <w:jc w:val="right"/>
            </w:pPr>
            <w:r>
              <w:rPr>
                <w:rFonts w:ascii="Arial" w:hAnsi="Arial"/>
                <w:sz w:val="18"/>
              </w:rPr>
              <w:t>+0.03%</w:t>
            </w:r>
          </w:p>
        </w:tc>
      </w:tr>
      <w:tr w:rsidR="00AC41AE" w14:paraId="6F0A2840" w14:textId="77777777">
        <w:trPr>
          <w:jc w:val="center"/>
        </w:trPr>
        <w:tc>
          <w:tcPr>
            <w:tcW w:w="1806" w:type="dxa"/>
            <w:shd w:val="clear" w:color="auto" w:fill="F2F6FC"/>
          </w:tcPr>
          <w:p w14:paraId="10253512" w14:textId="77777777" w:rsidR="00AC41AE" w:rsidRDefault="00000000">
            <w:r>
              <w:rPr>
                <w:rFonts w:ascii="Arial" w:hAnsi="Arial"/>
                <w:sz w:val="18"/>
              </w:rPr>
              <w:t>Market-based</w:t>
            </w:r>
          </w:p>
        </w:tc>
        <w:tc>
          <w:tcPr>
            <w:tcW w:w="1806" w:type="dxa"/>
            <w:shd w:val="clear" w:color="auto" w:fill="F2F6FC"/>
          </w:tcPr>
          <w:p w14:paraId="7E719D58" w14:textId="77777777" w:rsidR="00AC41AE" w:rsidRDefault="00000000">
            <w:pPr>
              <w:jc w:val="right"/>
            </w:pPr>
            <w:r>
              <w:rPr>
                <w:rFonts w:ascii="Arial" w:hAnsi="Arial"/>
                <w:sz w:val="18"/>
              </w:rPr>
              <w:t>44,612.518</w:t>
            </w:r>
          </w:p>
        </w:tc>
        <w:tc>
          <w:tcPr>
            <w:tcW w:w="1806" w:type="dxa"/>
            <w:shd w:val="clear" w:color="auto" w:fill="F2F6FC"/>
          </w:tcPr>
          <w:p w14:paraId="67AE46CE" w14:textId="77777777" w:rsidR="00AC41AE" w:rsidRDefault="00000000">
            <w:pPr>
              <w:jc w:val="right"/>
            </w:pPr>
            <w:r>
              <w:rPr>
                <w:rFonts w:ascii="Arial" w:hAnsi="Arial"/>
                <w:sz w:val="18"/>
              </w:rPr>
              <w:t>44,598.118</w:t>
            </w:r>
          </w:p>
        </w:tc>
        <w:tc>
          <w:tcPr>
            <w:tcW w:w="1806" w:type="dxa"/>
            <w:shd w:val="clear" w:color="auto" w:fill="F2F6FC"/>
          </w:tcPr>
          <w:p w14:paraId="23DF4732" w14:textId="77777777" w:rsidR="00AC41AE" w:rsidRDefault="00000000">
            <w:pPr>
              <w:jc w:val="right"/>
            </w:pPr>
            <w:r>
              <w:rPr>
                <w:rFonts w:ascii="Arial" w:hAnsi="Arial"/>
                <w:sz w:val="18"/>
              </w:rPr>
              <w:t>+14.400</w:t>
            </w:r>
          </w:p>
        </w:tc>
        <w:tc>
          <w:tcPr>
            <w:tcW w:w="1806" w:type="dxa"/>
            <w:shd w:val="clear" w:color="auto" w:fill="F2F6FC"/>
          </w:tcPr>
          <w:p w14:paraId="47BB1464" w14:textId="77777777" w:rsidR="00AC41AE" w:rsidRDefault="00000000">
            <w:pPr>
              <w:jc w:val="right"/>
            </w:pPr>
            <w:r>
              <w:rPr>
                <w:rFonts w:ascii="Arial" w:hAnsi="Arial"/>
                <w:sz w:val="18"/>
              </w:rPr>
              <w:t>+0.03%</w:t>
            </w:r>
          </w:p>
        </w:tc>
      </w:tr>
      <w:tr w:rsidR="00AC41AE" w14:paraId="0934A281" w14:textId="77777777">
        <w:trPr>
          <w:jc w:val="center"/>
        </w:trPr>
        <w:tc>
          <w:tcPr>
            <w:tcW w:w="1806" w:type="dxa"/>
          </w:tcPr>
          <w:p w14:paraId="73B71CFA" w14:textId="77777777" w:rsidR="00AC41AE" w:rsidRDefault="00000000">
            <w:r>
              <w:rPr>
                <w:rFonts w:ascii="Arial" w:hAnsi="Arial"/>
                <w:sz w:val="18"/>
              </w:rPr>
              <w:t>Difference (Location - Market)</w:t>
            </w:r>
          </w:p>
        </w:tc>
        <w:tc>
          <w:tcPr>
            <w:tcW w:w="1806" w:type="dxa"/>
          </w:tcPr>
          <w:p w14:paraId="52DF9B3B" w14:textId="77777777" w:rsidR="00AC41AE" w:rsidRDefault="00000000">
            <w:pPr>
              <w:jc w:val="right"/>
            </w:pPr>
            <w:r>
              <w:rPr>
                <w:rFonts w:ascii="Arial" w:hAnsi="Arial"/>
                <w:sz w:val="18"/>
              </w:rPr>
              <w:t>1.358</w:t>
            </w:r>
          </w:p>
        </w:tc>
        <w:tc>
          <w:tcPr>
            <w:tcW w:w="1806" w:type="dxa"/>
          </w:tcPr>
          <w:p w14:paraId="6752FC60" w14:textId="77777777" w:rsidR="00AC41AE" w:rsidRDefault="00000000">
            <w:pPr>
              <w:jc w:val="right"/>
            </w:pPr>
            <w:r>
              <w:rPr>
                <w:rFonts w:ascii="Arial" w:hAnsi="Arial"/>
                <w:sz w:val="18"/>
              </w:rPr>
              <w:t>1.322</w:t>
            </w:r>
          </w:p>
        </w:tc>
        <w:tc>
          <w:tcPr>
            <w:tcW w:w="1806" w:type="dxa"/>
          </w:tcPr>
          <w:p w14:paraId="75A8D5D3" w14:textId="77777777" w:rsidR="00AC41AE" w:rsidRDefault="00000000">
            <w:pPr>
              <w:jc w:val="right"/>
            </w:pPr>
            <w:r>
              <w:rPr>
                <w:rFonts w:ascii="Arial" w:hAnsi="Arial"/>
                <w:sz w:val="18"/>
              </w:rPr>
              <w:t>+0.036</w:t>
            </w:r>
          </w:p>
        </w:tc>
        <w:tc>
          <w:tcPr>
            <w:tcW w:w="1806" w:type="dxa"/>
          </w:tcPr>
          <w:p w14:paraId="691FEF85" w14:textId="77777777" w:rsidR="00AC41AE" w:rsidRDefault="00000000">
            <w:pPr>
              <w:jc w:val="right"/>
            </w:pPr>
            <w:r>
              <w:rPr>
                <w:rFonts w:ascii="Arial" w:hAnsi="Arial"/>
                <w:sz w:val="18"/>
              </w:rPr>
              <w:t>+2.72%</w:t>
            </w:r>
          </w:p>
        </w:tc>
      </w:tr>
    </w:tbl>
    <w:p w14:paraId="434AD287" w14:textId="77777777" w:rsidR="00AC41AE" w:rsidRDefault="00000000">
      <w:r>
        <w:rPr>
          <w:rFonts w:ascii="Arial" w:hAnsi="Arial"/>
          <w:i/>
          <w:sz w:val="16"/>
        </w:rPr>
        <w:t>Source: Source: Internal energy consumption data; PLN 2023 grid emission factor (0.7886 kgCO₂/kWh). Figures calculated per GHG Protocol Scope 2 Guidance (2015).</w:t>
      </w:r>
    </w:p>
    <w:p w14:paraId="287B7091" w14:textId="77777777" w:rsidR="00AC41AE" w:rsidRDefault="00AC41AE"/>
    <w:p w14:paraId="229A3741" w14:textId="77777777" w:rsidR="00AC41AE" w:rsidRDefault="00000000">
      <w:r>
        <w:rPr>
          <w:rFonts w:ascii="Arial" w:hAnsi="Arial"/>
          <w:b/>
          <w:sz w:val="20"/>
        </w:rPr>
        <w:t>Table 22: Table 1.2.2: Framework Cross-Reference — Scope 2 Disclosure Compliance</w:t>
      </w:r>
    </w:p>
    <w:tbl>
      <w:tblPr>
        <w:tblW w:w="0" w:type="auto"/>
        <w:jc w:val="center"/>
        <w:tblLook w:val="04A0" w:firstRow="1" w:lastRow="0" w:firstColumn="1" w:lastColumn="0" w:noHBand="0" w:noVBand="1"/>
      </w:tblPr>
      <w:tblGrid>
        <w:gridCol w:w="2257"/>
        <w:gridCol w:w="2257"/>
        <w:gridCol w:w="2257"/>
        <w:gridCol w:w="2257"/>
      </w:tblGrid>
      <w:tr w:rsidR="00AC41AE" w14:paraId="378210C5" w14:textId="77777777">
        <w:trPr>
          <w:jc w:val="center"/>
        </w:trPr>
        <w:tc>
          <w:tcPr>
            <w:tcW w:w="2257" w:type="dxa"/>
            <w:shd w:val="clear" w:color="auto" w:fill="1B3A6B"/>
          </w:tcPr>
          <w:p w14:paraId="11468485" w14:textId="77777777" w:rsidR="00AC41AE" w:rsidRDefault="00000000">
            <w:r>
              <w:rPr>
                <w:rFonts w:ascii="Arial" w:hAnsi="Arial"/>
                <w:b/>
                <w:color w:val="FFFFFF"/>
                <w:sz w:val="18"/>
              </w:rPr>
              <w:t>Framework</w:t>
            </w:r>
          </w:p>
        </w:tc>
        <w:tc>
          <w:tcPr>
            <w:tcW w:w="2257" w:type="dxa"/>
            <w:shd w:val="clear" w:color="auto" w:fill="1B3A6B"/>
          </w:tcPr>
          <w:p w14:paraId="595695DE" w14:textId="77777777" w:rsidR="00AC41AE" w:rsidRDefault="00000000">
            <w:r>
              <w:rPr>
                <w:rFonts w:ascii="Arial" w:hAnsi="Arial"/>
                <w:b/>
                <w:color w:val="FFFFFF"/>
                <w:sz w:val="18"/>
              </w:rPr>
              <w:t>Disclosure Reference</w:t>
            </w:r>
          </w:p>
        </w:tc>
        <w:tc>
          <w:tcPr>
            <w:tcW w:w="2257" w:type="dxa"/>
            <w:shd w:val="clear" w:color="auto" w:fill="1B3A6B"/>
          </w:tcPr>
          <w:p w14:paraId="69C03E49" w14:textId="77777777" w:rsidR="00AC41AE" w:rsidRDefault="00000000">
            <w:r>
              <w:rPr>
                <w:rFonts w:ascii="Arial" w:hAnsi="Arial"/>
                <w:b/>
                <w:color w:val="FFFFFF"/>
                <w:sz w:val="18"/>
              </w:rPr>
              <w:t>Requirement</w:t>
            </w:r>
          </w:p>
        </w:tc>
        <w:tc>
          <w:tcPr>
            <w:tcW w:w="2257" w:type="dxa"/>
            <w:shd w:val="clear" w:color="auto" w:fill="1B3A6B"/>
          </w:tcPr>
          <w:p w14:paraId="0F227228" w14:textId="77777777" w:rsidR="00AC41AE" w:rsidRDefault="00000000">
            <w:r>
              <w:rPr>
                <w:rFonts w:ascii="Arial" w:hAnsi="Arial"/>
                <w:b/>
                <w:color w:val="FFFFFF"/>
                <w:sz w:val="18"/>
              </w:rPr>
              <w:t>Status</w:t>
            </w:r>
          </w:p>
        </w:tc>
      </w:tr>
      <w:tr w:rsidR="00AC41AE" w14:paraId="6CD226E3" w14:textId="77777777">
        <w:trPr>
          <w:jc w:val="center"/>
        </w:trPr>
        <w:tc>
          <w:tcPr>
            <w:tcW w:w="2257" w:type="dxa"/>
          </w:tcPr>
          <w:p w14:paraId="13CA1DCD" w14:textId="77777777" w:rsidR="00AC41AE" w:rsidRDefault="00000000">
            <w:r>
              <w:rPr>
                <w:rFonts w:ascii="Arial" w:hAnsi="Arial"/>
                <w:sz w:val="18"/>
              </w:rPr>
              <w:t>GRI 305-2</w:t>
            </w:r>
          </w:p>
        </w:tc>
        <w:tc>
          <w:tcPr>
            <w:tcW w:w="2257" w:type="dxa"/>
          </w:tcPr>
          <w:p w14:paraId="4BE5F8D8" w14:textId="77777777" w:rsidR="00AC41AE" w:rsidRDefault="00000000">
            <w:r>
              <w:rPr>
                <w:rFonts w:ascii="Arial" w:hAnsi="Arial"/>
                <w:sz w:val="18"/>
              </w:rPr>
              <w:t>305-2a</w:t>
            </w:r>
          </w:p>
        </w:tc>
        <w:tc>
          <w:tcPr>
            <w:tcW w:w="2257" w:type="dxa"/>
          </w:tcPr>
          <w:p w14:paraId="50885939" w14:textId="77777777" w:rsidR="00AC41AE" w:rsidRDefault="00000000">
            <w:r>
              <w:rPr>
                <w:rFonts w:ascii="Arial" w:hAnsi="Arial"/>
                <w:sz w:val="18"/>
              </w:rPr>
              <w:t>Gross location-based Scope 2 GHG emissions in metric tons of CO₂ equivalent</w:t>
            </w:r>
          </w:p>
        </w:tc>
        <w:tc>
          <w:tcPr>
            <w:tcW w:w="2257" w:type="dxa"/>
          </w:tcPr>
          <w:p w14:paraId="19D3C8FC" w14:textId="77777777" w:rsidR="00AC41AE" w:rsidRDefault="00000000">
            <w:r>
              <w:rPr>
                <w:rFonts w:ascii="Arial" w:hAnsi="Arial"/>
                <w:sz w:val="18"/>
              </w:rPr>
              <w:t>✅ Disclosed</w:t>
            </w:r>
          </w:p>
        </w:tc>
      </w:tr>
      <w:tr w:rsidR="00AC41AE" w14:paraId="3BFCD6F0" w14:textId="77777777">
        <w:trPr>
          <w:jc w:val="center"/>
        </w:trPr>
        <w:tc>
          <w:tcPr>
            <w:tcW w:w="2257" w:type="dxa"/>
            <w:shd w:val="clear" w:color="auto" w:fill="F2F6FC"/>
          </w:tcPr>
          <w:p w14:paraId="552ACD45" w14:textId="77777777" w:rsidR="00AC41AE" w:rsidRDefault="00000000">
            <w:r>
              <w:rPr>
                <w:rFonts w:ascii="Arial" w:hAnsi="Arial"/>
                <w:sz w:val="18"/>
              </w:rPr>
              <w:t>GRI 305-2</w:t>
            </w:r>
          </w:p>
        </w:tc>
        <w:tc>
          <w:tcPr>
            <w:tcW w:w="2257" w:type="dxa"/>
            <w:shd w:val="clear" w:color="auto" w:fill="F2F6FC"/>
          </w:tcPr>
          <w:p w14:paraId="6611C52D" w14:textId="77777777" w:rsidR="00AC41AE" w:rsidRDefault="00000000">
            <w:r>
              <w:rPr>
                <w:rFonts w:ascii="Arial" w:hAnsi="Arial"/>
                <w:sz w:val="18"/>
              </w:rPr>
              <w:t>305-2b</w:t>
            </w:r>
          </w:p>
        </w:tc>
        <w:tc>
          <w:tcPr>
            <w:tcW w:w="2257" w:type="dxa"/>
            <w:shd w:val="clear" w:color="auto" w:fill="F2F6FC"/>
          </w:tcPr>
          <w:p w14:paraId="52C64BE1" w14:textId="77777777" w:rsidR="00AC41AE" w:rsidRDefault="00000000">
            <w:r>
              <w:rPr>
                <w:rFonts w:ascii="Arial" w:hAnsi="Arial"/>
                <w:sz w:val="18"/>
              </w:rPr>
              <w:t>Gross market-based Scope 2 GHG emissions in metric tons of CO₂ equivalent</w:t>
            </w:r>
          </w:p>
        </w:tc>
        <w:tc>
          <w:tcPr>
            <w:tcW w:w="2257" w:type="dxa"/>
            <w:shd w:val="clear" w:color="auto" w:fill="F2F6FC"/>
          </w:tcPr>
          <w:p w14:paraId="1C59CC3C" w14:textId="77777777" w:rsidR="00AC41AE" w:rsidRDefault="00000000">
            <w:r>
              <w:rPr>
                <w:rFonts w:ascii="Arial" w:hAnsi="Arial"/>
                <w:sz w:val="18"/>
              </w:rPr>
              <w:t>✅ Disclosed</w:t>
            </w:r>
          </w:p>
        </w:tc>
      </w:tr>
      <w:tr w:rsidR="00AC41AE" w14:paraId="30CDF186" w14:textId="77777777">
        <w:trPr>
          <w:jc w:val="center"/>
        </w:trPr>
        <w:tc>
          <w:tcPr>
            <w:tcW w:w="2257" w:type="dxa"/>
          </w:tcPr>
          <w:p w14:paraId="6DCE976B" w14:textId="77777777" w:rsidR="00AC41AE" w:rsidRDefault="00000000">
            <w:r>
              <w:rPr>
                <w:rFonts w:ascii="Arial" w:hAnsi="Arial"/>
                <w:sz w:val="18"/>
              </w:rPr>
              <w:t>GRI 305-2</w:t>
            </w:r>
          </w:p>
        </w:tc>
        <w:tc>
          <w:tcPr>
            <w:tcW w:w="2257" w:type="dxa"/>
          </w:tcPr>
          <w:p w14:paraId="2993C2BB" w14:textId="77777777" w:rsidR="00AC41AE" w:rsidRDefault="00000000">
            <w:r>
              <w:rPr>
                <w:rFonts w:ascii="Arial" w:hAnsi="Arial"/>
                <w:sz w:val="18"/>
              </w:rPr>
              <w:t>305-2c</w:t>
            </w:r>
          </w:p>
        </w:tc>
        <w:tc>
          <w:tcPr>
            <w:tcW w:w="2257" w:type="dxa"/>
          </w:tcPr>
          <w:p w14:paraId="24A25847" w14:textId="77777777" w:rsidR="00AC41AE" w:rsidRDefault="00000000">
            <w:r>
              <w:rPr>
                <w:rFonts w:ascii="Arial" w:hAnsi="Arial"/>
                <w:sz w:val="18"/>
              </w:rPr>
              <w:t>Gases included in the calculation (CO₂, CH₄, N₂O, HFCs, PFCs, SF₆, NF₃)</w:t>
            </w:r>
          </w:p>
        </w:tc>
        <w:tc>
          <w:tcPr>
            <w:tcW w:w="2257" w:type="dxa"/>
          </w:tcPr>
          <w:p w14:paraId="03215531" w14:textId="77777777" w:rsidR="00AC41AE" w:rsidRDefault="00000000">
            <w:r>
              <w:rPr>
                <w:rFonts w:ascii="Arial" w:hAnsi="Arial"/>
                <w:sz w:val="18"/>
              </w:rPr>
              <w:t>✅ CO₂ only (electricity)</w:t>
            </w:r>
          </w:p>
        </w:tc>
      </w:tr>
      <w:tr w:rsidR="00AC41AE" w14:paraId="25406771" w14:textId="77777777">
        <w:trPr>
          <w:jc w:val="center"/>
        </w:trPr>
        <w:tc>
          <w:tcPr>
            <w:tcW w:w="2257" w:type="dxa"/>
            <w:shd w:val="clear" w:color="auto" w:fill="F2F6FC"/>
          </w:tcPr>
          <w:p w14:paraId="67B7686A" w14:textId="77777777" w:rsidR="00AC41AE" w:rsidRDefault="00000000">
            <w:r>
              <w:rPr>
                <w:rFonts w:ascii="Arial" w:hAnsi="Arial"/>
                <w:sz w:val="18"/>
              </w:rPr>
              <w:t>GRI 305-2</w:t>
            </w:r>
          </w:p>
        </w:tc>
        <w:tc>
          <w:tcPr>
            <w:tcW w:w="2257" w:type="dxa"/>
            <w:shd w:val="clear" w:color="auto" w:fill="F2F6FC"/>
          </w:tcPr>
          <w:p w14:paraId="022D86F9" w14:textId="77777777" w:rsidR="00AC41AE" w:rsidRDefault="00000000">
            <w:r>
              <w:rPr>
                <w:rFonts w:ascii="Arial" w:hAnsi="Arial"/>
                <w:sz w:val="18"/>
              </w:rPr>
              <w:t>305-2d</w:t>
            </w:r>
          </w:p>
        </w:tc>
        <w:tc>
          <w:tcPr>
            <w:tcW w:w="2257" w:type="dxa"/>
            <w:shd w:val="clear" w:color="auto" w:fill="F2F6FC"/>
          </w:tcPr>
          <w:p w14:paraId="279FB77B" w14:textId="77777777" w:rsidR="00AC41AE" w:rsidRDefault="00000000">
            <w:r>
              <w:rPr>
                <w:rFonts w:ascii="Arial" w:hAnsi="Arial"/>
                <w:sz w:val="18"/>
              </w:rPr>
              <w:t>Base year for calculation, rationale, and emissions in base year</w:t>
            </w:r>
          </w:p>
        </w:tc>
        <w:tc>
          <w:tcPr>
            <w:tcW w:w="2257" w:type="dxa"/>
            <w:shd w:val="clear" w:color="auto" w:fill="F2F6FC"/>
          </w:tcPr>
          <w:p w14:paraId="354EA5EE" w14:textId="77777777" w:rsidR="00AC41AE" w:rsidRDefault="00000000">
            <w:r>
              <w:rPr>
                <w:rFonts w:ascii="Arial" w:hAnsi="Arial"/>
                <w:sz w:val="18"/>
              </w:rPr>
              <w:t>⚠️ Base year not disclosed</w:t>
            </w:r>
          </w:p>
        </w:tc>
      </w:tr>
      <w:tr w:rsidR="00AC41AE" w14:paraId="259CCB10" w14:textId="77777777">
        <w:trPr>
          <w:jc w:val="center"/>
        </w:trPr>
        <w:tc>
          <w:tcPr>
            <w:tcW w:w="2257" w:type="dxa"/>
          </w:tcPr>
          <w:p w14:paraId="32CD1492" w14:textId="77777777" w:rsidR="00AC41AE" w:rsidRDefault="00000000">
            <w:r>
              <w:rPr>
                <w:rFonts w:ascii="Arial" w:hAnsi="Arial"/>
                <w:sz w:val="18"/>
              </w:rPr>
              <w:t>GRI 305-2</w:t>
            </w:r>
          </w:p>
        </w:tc>
        <w:tc>
          <w:tcPr>
            <w:tcW w:w="2257" w:type="dxa"/>
          </w:tcPr>
          <w:p w14:paraId="009AF990" w14:textId="77777777" w:rsidR="00AC41AE" w:rsidRDefault="00000000">
            <w:r>
              <w:rPr>
                <w:rFonts w:ascii="Arial" w:hAnsi="Arial"/>
                <w:sz w:val="18"/>
              </w:rPr>
              <w:t>305-2e</w:t>
            </w:r>
          </w:p>
        </w:tc>
        <w:tc>
          <w:tcPr>
            <w:tcW w:w="2257" w:type="dxa"/>
          </w:tcPr>
          <w:p w14:paraId="5464B897" w14:textId="77777777" w:rsidR="00AC41AE" w:rsidRDefault="00000000">
            <w:r>
              <w:rPr>
                <w:rFonts w:ascii="Arial" w:hAnsi="Arial"/>
                <w:sz w:val="18"/>
              </w:rPr>
              <w:t>Source of emission factors and global warming potential rates used</w:t>
            </w:r>
          </w:p>
        </w:tc>
        <w:tc>
          <w:tcPr>
            <w:tcW w:w="2257" w:type="dxa"/>
          </w:tcPr>
          <w:p w14:paraId="370A6A4D" w14:textId="77777777" w:rsidR="00AC41AE" w:rsidRDefault="00000000">
            <w:r>
              <w:rPr>
                <w:rFonts w:ascii="Arial" w:hAnsi="Arial"/>
                <w:sz w:val="18"/>
              </w:rPr>
              <w:t>✅ PLN 2023 (0.7886 kgCO₂/kWh)</w:t>
            </w:r>
          </w:p>
        </w:tc>
      </w:tr>
      <w:tr w:rsidR="00AC41AE" w14:paraId="752908D6" w14:textId="77777777">
        <w:trPr>
          <w:jc w:val="center"/>
        </w:trPr>
        <w:tc>
          <w:tcPr>
            <w:tcW w:w="2257" w:type="dxa"/>
            <w:shd w:val="clear" w:color="auto" w:fill="F2F6FC"/>
          </w:tcPr>
          <w:p w14:paraId="0B26FC68" w14:textId="77777777" w:rsidR="00AC41AE" w:rsidRDefault="00000000">
            <w:r>
              <w:rPr>
                <w:rFonts w:ascii="Arial" w:hAnsi="Arial"/>
                <w:sz w:val="18"/>
              </w:rPr>
              <w:t>GRI 305-2</w:t>
            </w:r>
          </w:p>
        </w:tc>
        <w:tc>
          <w:tcPr>
            <w:tcW w:w="2257" w:type="dxa"/>
            <w:shd w:val="clear" w:color="auto" w:fill="F2F6FC"/>
          </w:tcPr>
          <w:p w14:paraId="71ADE238" w14:textId="77777777" w:rsidR="00AC41AE" w:rsidRDefault="00000000">
            <w:r>
              <w:rPr>
                <w:rFonts w:ascii="Arial" w:hAnsi="Arial"/>
                <w:sz w:val="18"/>
              </w:rPr>
              <w:t>305-2f</w:t>
            </w:r>
          </w:p>
        </w:tc>
        <w:tc>
          <w:tcPr>
            <w:tcW w:w="2257" w:type="dxa"/>
            <w:shd w:val="clear" w:color="auto" w:fill="F2F6FC"/>
          </w:tcPr>
          <w:p w14:paraId="36CC6047" w14:textId="77777777" w:rsidR="00AC41AE" w:rsidRDefault="00000000">
            <w:r>
              <w:rPr>
                <w:rFonts w:ascii="Arial" w:hAnsi="Arial"/>
                <w:sz w:val="18"/>
              </w:rPr>
              <w:t>Consolidation approach (equity share, financial control, operational control)</w:t>
            </w:r>
          </w:p>
        </w:tc>
        <w:tc>
          <w:tcPr>
            <w:tcW w:w="2257" w:type="dxa"/>
            <w:shd w:val="clear" w:color="auto" w:fill="F2F6FC"/>
          </w:tcPr>
          <w:p w14:paraId="599646DA" w14:textId="77777777" w:rsidR="00AC41AE" w:rsidRDefault="00000000">
            <w:r>
              <w:rPr>
                <w:rFonts w:ascii="Arial" w:hAnsi="Arial"/>
                <w:sz w:val="18"/>
              </w:rPr>
              <w:t>✅ Operational control</w:t>
            </w:r>
          </w:p>
        </w:tc>
      </w:tr>
      <w:tr w:rsidR="00AC41AE" w14:paraId="2F67EE51" w14:textId="77777777">
        <w:trPr>
          <w:jc w:val="center"/>
        </w:trPr>
        <w:tc>
          <w:tcPr>
            <w:tcW w:w="2257" w:type="dxa"/>
          </w:tcPr>
          <w:p w14:paraId="4244EC4F" w14:textId="77777777" w:rsidR="00AC41AE" w:rsidRDefault="00000000">
            <w:r>
              <w:rPr>
                <w:rFonts w:ascii="Arial" w:hAnsi="Arial"/>
                <w:sz w:val="18"/>
              </w:rPr>
              <w:lastRenderedPageBreak/>
              <w:t>GRI 305-2</w:t>
            </w:r>
          </w:p>
        </w:tc>
        <w:tc>
          <w:tcPr>
            <w:tcW w:w="2257" w:type="dxa"/>
          </w:tcPr>
          <w:p w14:paraId="692A6232" w14:textId="77777777" w:rsidR="00AC41AE" w:rsidRDefault="00000000">
            <w:r>
              <w:rPr>
                <w:rFonts w:ascii="Arial" w:hAnsi="Arial"/>
                <w:sz w:val="18"/>
              </w:rPr>
              <w:t>305-2g</w:t>
            </w:r>
          </w:p>
        </w:tc>
        <w:tc>
          <w:tcPr>
            <w:tcW w:w="2257" w:type="dxa"/>
          </w:tcPr>
          <w:p w14:paraId="1A060DA7" w14:textId="77777777" w:rsidR="00AC41AE" w:rsidRDefault="00000000">
            <w:r>
              <w:rPr>
                <w:rFonts w:ascii="Arial" w:hAnsi="Arial"/>
                <w:sz w:val="18"/>
              </w:rPr>
              <w:t>Standards, methodologies, assumptions, and/or calculation tools used</w:t>
            </w:r>
          </w:p>
        </w:tc>
        <w:tc>
          <w:tcPr>
            <w:tcW w:w="2257" w:type="dxa"/>
          </w:tcPr>
          <w:p w14:paraId="75469250" w14:textId="77777777" w:rsidR="00AC41AE" w:rsidRDefault="00000000">
            <w:r>
              <w:rPr>
                <w:rFonts w:ascii="Arial" w:hAnsi="Arial"/>
                <w:sz w:val="18"/>
              </w:rPr>
              <w:t>✅ GHG Protocol Scope 2 Guidance (2015)</w:t>
            </w:r>
          </w:p>
        </w:tc>
      </w:tr>
      <w:tr w:rsidR="00AC41AE" w14:paraId="3A7545DA" w14:textId="77777777">
        <w:trPr>
          <w:jc w:val="center"/>
        </w:trPr>
        <w:tc>
          <w:tcPr>
            <w:tcW w:w="2257" w:type="dxa"/>
            <w:shd w:val="clear" w:color="auto" w:fill="F2F6FC"/>
          </w:tcPr>
          <w:p w14:paraId="412E5897" w14:textId="77777777" w:rsidR="00AC41AE" w:rsidRDefault="00000000">
            <w:r>
              <w:rPr>
                <w:rFonts w:ascii="Arial" w:hAnsi="Arial"/>
                <w:sz w:val="18"/>
              </w:rPr>
              <w:t>IFRS S2</w:t>
            </w:r>
          </w:p>
        </w:tc>
        <w:tc>
          <w:tcPr>
            <w:tcW w:w="2257" w:type="dxa"/>
            <w:shd w:val="clear" w:color="auto" w:fill="F2F6FC"/>
          </w:tcPr>
          <w:p w14:paraId="2A09776B" w14:textId="77777777" w:rsidR="00AC41AE" w:rsidRDefault="00000000">
            <w:r>
              <w:rPr>
                <w:rFonts w:ascii="Arial" w:hAnsi="Arial"/>
                <w:sz w:val="18"/>
              </w:rPr>
              <w:t>Para 29(a)(ii)</w:t>
            </w:r>
          </w:p>
        </w:tc>
        <w:tc>
          <w:tcPr>
            <w:tcW w:w="2257" w:type="dxa"/>
            <w:shd w:val="clear" w:color="auto" w:fill="F2F6FC"/>
          </w:tcPr>
          <w:p w14:paraId="48370030" w14:textId="77777777" w:rsidR="00AC41AE" w:rsidRDefault="00000000">
            <w:r>
              <w:rPr>
                <w:rFonts w:ascii="Arial" w:hAnsi="Arial"/>
                <w:sz w:val="18"/>
              </w:rPr>
              <w:t>Absolute gross GHG emissions — Scope 2</w:t>
            </w:r>
          </w:p>
        </w:tc>
        <w:tc>
          <w:tcPr>
            <w:tcW w:w="2257" w:type="dxa"/>
            <w:shd w:val="clear" w:color="auto" w:fill="F2F6FC"/>
          </w:tcPr>
          <w:p w14:paraId="010F13BF" w14:textId="77777777" w:rsidR="00AC41AE" w:rsidRDefault="00000000">
            <w:r>
              <w:rPr>
                <w:rFonts w:ascii="Arial" w:hAnsi="Arial"/>
                <w:sz w:val="18"/>
              </w:rPr>
              <w:t>✅ Disclosed (location + market)</w:t>
            </w:r>
          </w:p>
        </w:tc>
      </w:tr>
      <w:tr w:rsidR="00AC41AE" w14:paraId="3C1C92A8" w14:textId="77777777">
        <w:trPr>
          <w:jc w:val="center"/>
        </w:trPr>
        <w:tc>
          <w:tcPr>
            <w:tcW w:w="2257" w:type="dxa"/>
          </w:tcPr>
          <w:p w14:paraId="40059044" w14:textId="77777777" w:rsidR="00AC41AE" w:rsidRDefault="00000000">
            <w:r>
              <w:rPr>
                <w:rFonts w:ascii="Arial" w:hAnsi="Arial"/>
                <w:sz w:val="18"/>
              </w:rPr>
              <w:t>ESRS E1-6</w:t>
            </w:r>
          </w:p>
        </w:tc>
        <w:tc>
          <w:tcPr>
            <w:tcW w:w="2257" w:type="dxa"/>
          </w:tcPr>
          <w:p w14:paraId="307C5E5D" w14:textId="77777777" w:rsidR="00AC41AE" w:rsidRDefault="00000000">
            <w:r>
              <w:rPr>
                <w:rFonts w:ascii="Arial" w:hAnsi="Arial"/>
                <w:sz w:val="18"/>
              </w:rPr>
              <w:t>DR E1-6.46</w:t>
            </w:r>
          </w:p>
        </w:tc>
        <w:tc>
          <w:tcPr>
            <w:tcW w:w="2257" w:type="dxa"/>
          </w:tcPr>
          <w:p w14:paraId="2E3CF193" w14:textId="77777777" w:rsidR="00AC41AE" w:rsidRDefault="00000000">
            <w:r>
              <w:rPr>
                <w:rFonts w:ascii="Arial" w:hAnsi="Arial"/>
                <w:sz w:val="18"/>
              </w:rPr>
              <w:t>Gross Scope 2 GHG emissions (location-based and market-based)</w:t>
            </w:r>
          </w:p>
        </w:tc>
        <w:tc>
          <w:tcPr>
            <w:tcW w:w="2257" w:type="dxa"/>
          </w:tcPr>
          <w:p w14:paraId="730C5B6E" w14:textId="77777777" w:rsidR="00AC41AE" w:rsidRDefault="00000000">
            <w:r>
              <w:rPr>
                <w:rFonts w:ascii="Arial" w:hAnsi="Arial"/>
                <w:sz w:val="18"/>
              </w:rPr>
              <w:t>✅ Disclosed</w:t>
            </w:r>
          </w:p>
        </w:tc>
      </w:tr>
      <w:tr w:rsidR="00AC41AE" w14:paraId="091A9CE7" w14:textId="77777777">
        <w:trPr>
          <w:jc w:val="center"/>
        </w:trPr>
        <w:tc>
          <w:tcPr>
            <w:tcW w:w="2257" w:type="dxa"/>
            <w:shd w:val="clear" w:color="auto" w:fill="F2F6FC"/>
          </w:tcPr>
          <w:p w14:paraId="2F330F13" w14:textId="77777777" w:rsidR="00AC41AE" w:rsidRDefault="00000000">
            <w:r>
              <w:rPr>
                <w:rFonts w:ascii="Arial" w:hAnsi="Arial"/>
                <w:sz w:val="18"/>
              </w:rPr>
              <w:t>OJK PSPK</w:t>
            </w:r>
          </w:p>
        </w:tc>
        <w:tc>
          <w:tcPr>
            <w:tcW w:w="2257" w:type="dxa"/>
            <w:shd w:val="clear" w:color="auto" w:fill="F2F6FC"/>
          </w:tcPr>
          <w:p w14:paraId="54D60FC9" w14:textId="77777777" w:rsidR="00AC41AE" w:rsidRDefault="00000000">
            <w:r>
              <w:rPr>
                <w:rFonts w:ascii="Arial" w:hAnsi="Arial"/>
                <w:sz w:val="18"/>
              </w:rPr>
              <w:t>Emisi Lingkup 2</w:t>
            </w:r>
          </w:p>
        </w:tc>
        <w:tc>
          <w:tcPr>
            <w:tcW w:w="2257" w:type="dxa"/>
            <w:shd w:val="clear" w:color="auto" w:fill="F2F6FC"/>
          </w:tcPr>
          <w:p w14:paraId="33288197" w14:textId="77777777" w:rsidR="00AC41AE" w:rsidRDefault="00000000">
            <w:r>
              <w:rPr>
                <w:rFonts w:ascii="Arial" w:hAnsi="Arial"/>
                <w:sz w:val="18"/>
              </w:rPr>
              <w:t>Emisi GRK tidak langsung dari energi yang dibeli</w:t>
            </w:r>
          </w:p>
        </w:tc>
        <w:tc>
          <w:tcPr>
            <w:tcW w:w="2257" w:type="dxa"/>
            <w:shd w:val="clear" w:color="auto" w:fill="F2F6FC"/>
          </w:tcPr>
          <w:p w14:paraId="34004317" w14:textId="77777777" w:rsidR="00AC41AE" w:rsidRDefault="00000000">
            <w:r>
              <w:rPr>
                <w:rFonts w:ascii="Arial" w:hAnsi="Arial"/>
                <w:sz w:val="18"/>
              </w:rPr>
              <w:t>✅ Disclosed</w:t>
            </w:r>
          </w:p>
        </w:tc>
      </w:tr>
    </w:tbl>
    <w:p w14:paraId="5D0211B3" w14:textId="77777777" w:rsidR="00AC41AE" w:rsidRDefault="00000000">
      <w:r>
        <w:rPr>
          <w:rFonts w:ascii="Arial" w:hAnsi="Arial"/>
          <w:i/>
          <w:sz w:val="16"/>
        </w:rPr>
        <w:t>Source: ✅ = Fully disclosed; ⚠️ = Partial disclosure or gap identified.</w:t>
      </w:r>
    </w:p>
    <w:p w14:paraId="336DDA51" w14:textId="77777777" w:rsidR="00AC41AE" w:rsidRDefault="00AC41AE"/>
    <w:p w14:paraId="185D2A8C" w14:textId="77777777" w:rsidR="00AC41AE" w:rsidRDefault="00AC41AE"/>
    <w:p w14:paraId="4935FD86" w14:textId="77777777" w:rsidR="00AC41AE" w:rsidRDefault="00000000">
      <w:r>
        <w:rPr>
          <w:noProof/>
        </w:rPr>
        <w:drawing>
          <wp:inline distT="0" distB="0" distL="0" distR="0" wp14:anchorId="6C8E9479" wp14:editId="34E2D0CE">
            <wp:extent cx="5029200" cy="32338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029200" cy="3233841"/>
                    </a:xfrm>
                    <a:prstGeom prst="rect">
                      <a:avLst/>
                    </a:prstGeom>
                  </pic:spPr>
                </pic:pic>
              </a:graphicData>
            </a:graphic>
          </wp:inline>
        </w:drawing>
      </w:r>
    </w:p>
    <w:p w14:paraId="374BCE27" w14:textId="77777777" w:rsidR="00AC41AE" w:rsidRDefault="00000000">
      <w:pPr>
        <w:jc w:val="center"/>
      </w:pPr>
      <w:r>
        <w:rPr>
          <w:i/>
          <w:color w:val="666666"/>
          <w:sz w:val="18"/>
        </w:rPr>
        <w:t>Figure 8: Scope 2 Emissions: Location-Based vs Market-Based (2023-2024)</w:t>
      </w:r>
    </w:p>
    <w:p w14:paraId="72308B27" w14:textId="77777777" w:rsidR="00AC41AE" w:rsidRDefault="00000000">
      <w:pPr>
        <w:jc w:val="center"/>
      </w:pPr>
      <w:r>
        <w:rPr>
          <w:i/>
          <w:color w:val="757575"/>
          <w:sz w:val="18"/>
        </w:rPr>
        <w:t>Minimal difference between location and market methods (1.358 tCO₂e) confirms zero renewable procurement — strategic gap vs peers like DBS (62% renewable coverage)</w:t>
      </w:r>
    </w:p>
    <w:p w14:paraId="4B5740F7" w14:textId="77777777" w:rsidR="00AC41AE" w:rsidRDefault="00AC41AE"/>
    <w:p w14:paraId="6D642FD9" w14:textId="77777777" w:rsidR="00AC41AE" w:rsidRDefault="00000000">
      <w:r>
        <w:rPr>
          <w:noProof/>
        </w:rPr>
        <w:lastRenderedPageBreak/>
        <w:drawing>
          <wp:inline distT="0" distB="0" distL="0" distR="0" wp14:anchorId="7C714992" wp14:editId="212064F8">
            <wp:extent cx="5029200" cy="34009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029200" cy="3400917"/>
                    </a:xfrm>
                    <a:prstGeom prst="rect">
                      <a:avLst/>
                    </a:prstGeom>
                  </pic:spPr>
                </pic:pic>
              </a:graphicData>
            </a:graphic>
          </wp:inline>
        </w:drawing>
      </w:r>
    </w:p>
    <w:p w14:paraId="378C9C28" w14:textId="77777777" w:rsidR="00AC41AE" w:rsidRDefault="00000000">
      <w:pPr>
        <w:jc w:val="center"/>
      </w:pPr>
      <w:r>
        <w:rPr>
          <w:i/>
          <w:color w:val="666666"/>
          <w:sz w:val="18"/>
        </w:rPr>
        <w:t>Figure 9: Scope 2 Year-over-Year Change: Institution vs Peers</w:t>
      </w:r>
    </w:p>
    <w:p w14:paraId="284F7BFB" w14:textId="77777777" w:rsidR="00AC41AE" w:rsidRDefault="00000000">
      <w:pPr>
        <w:jc w:val="center"/>
      </w:pPr>
      <w:r>
        <w:rPr>
          <w:i/>
          <w:color w:val="757575"/>
          <w:sz w:val="18"/>
        </w:rPr>
        <w:t>Institution's +0.03% change contrasts sharply with DBS's -12% reduction — renewable procurement and energy efficiency are proven levers</w:t>
      </w:r>
    </w:p>
    <w:p w14:paraId="0C5410AC" w14:textId="77777777" w:rsidR="00AC41AE" w:rsidRDefault="00AC41AE"/>
    <w:p w14:paraId="10104AB6" w14:textId="77777777" w:rsidR="00AC41AE" w:rsidRDefault="00000000">
      <w:r>
        <w:rPr>
          <w:noProof/>
        </w:rPr>
        <w:drawing>
          <wp:inline distT="0" distB="0" distL="0" distR="0" wp14:anchorId="72CE4C8A" wp14:editId="6F5B5127">
            <wp:extent cx="5029200" cy="305381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029200" cy="3053813"/>
                    </a:xfrm>
                    <a:prstGeom prst="rect">
                      <a:avLst/>
                    </a:prstGeom>
                  </pic:spPr>
                </pic:pic>
              </a:graphicData>
            </a:graphic>
          </wp:inline>
        </w:drawing>
      </w:r>
    </w:p>
    <w:p w14:paraId="5C0EF2BF" w14:textId="77777777" w:rsidR="00AC41AE" w:rsidRDefault="00000000">
      <w:pPr>
        <w:jc w:val="center"/>
      </w:pPr>
      <w:r>
        <w:rPr>
          <w:i/>
          <w:color w:val="666666"/>
          <w:sz w:val="18"/>
        </w:rPr>
        <w:t>Figure 10: Scope 2 Intensity per FTE: Institution vs Peer Benchmark</w:t>
      </w:r>
    </w:p>
    <w:p w14:paraId="44835FEE" w14:textId="77777777" w:rsidR="00AC41AE" w:rsidRDefault="00000000">
      <w:pPr>
        <w:jc w:val="center"/>
      </w:pPr>
      <w:r>
        <w:rPr>
          <w:i/>
          <w:color w:val="757575"/>
          <w:sz w:val="18"/>
        </w:rPr>
        <w:t>At 1.785 tCO₂e/FTE, institution is above DBS's best-in-class &lt;1.0 tCO₂e/FTE — energy efficiency and renewable procurement are key gaps</w:t>
      </w:r>
    </w:p>
    <w:tbl>
      <w:tblPr>
        <w:tblW w:w="0" w:type="auto"/>
        <w:jc w:val="center"/>
        <w:tblLook w:val="04A0" w:firstRow="1" w:lastRow="0" w:firstColumn="1" w:lastColumn="0" w:noHBand="0" w:noVBand="1"/>
      </w:tblPr>
      <w:tblGrid>
        <w:gridCol w:w="9029"/>
      </w:tblGrid>
      <w:tr w:rsidR="00AC41AE" w14:paraId="631A8582" w14:textId="77777777">
        <w:trPr>
          <w:jc w:val="center"/>
        </w:trPr>
        <w:tc>
          <w:tcPr>
            <w:tcW w:w="9029" w:type="dxa"/>
            <w:shd w:val="clear" w:color="auto" w:fill="F2F6FA"/>
          </w:tcPr>
          <w:p w14:paraId="7F03FF6E" w14:textId="77777777" w:rsidR="00AC41AE" w:rsidRDefault="00000000">
            <w:r>
              <w:rPr>
                <w:b/>
                <w:color w:val="1B3A6B"/>
                <w:sz w:val="18"/>
              </w:rPr>
              <w:t>📊 DIAGNOSTIC ANALYSIS</w:t>
            </w:r>
          </w:p>
          <w:p w14:paraId="576B1439" w14:textId="77777777" w:rsidR="00AC41AE" w:rsidRDefault="00000000">
            <w:r>
              <w:rPr>
                <w:sz w:val="20"/>
              </w:rPr>
              <w:lastRenderedPageBreak/>
              <w:t>The institution's Scope 2 emissions stability masks a strategic gap: zero renewable energy procurement. While operational stability is positive, the absence of contractual instruments (RECs, PPAs) means the institution is entirely dependent on grid decarbonization, which is slow and outside its control. Peer institutions like DBS and BRI have proactively reduced Scope 2 through renewable procurement and energy efficiency, achieving both emissions reductions and competitive differentiation. The 1.785 tCO₂e/FTE intensity is manageable but above best-in-class peers (DBS &lt;1.0 tCO₂e/FTE). The minimal 0.03% YoY change indicates no material operational expansion or contraction, but also no progress toward decarbonization targets.</w:t>
            </w:r>
          </w:p>
          <w:p w14:paraId="41F3B2E3" w14:textId="77777777" w:rsidR="00AC41AE" w:rsidRDefault="00000000">
            <w:r>
              <w:rPr>
                <w:b/>
                <w:sz w:val="20"/>
              </w:rPr>
              <w:t>Root Causes:</w:t>
            </w:r>
          </w:p>
          <w:p w14:paraId="3D2282AF" w14:textId="77777777" w:rsidR="00AC41AE" w:rsidRDefault="00000000">
            <w:r>
              <w:rPr>
                <w:sz w:val="18"/>
              </w:rPr>
              <w:t>• Zero renewable energy procurement via PPAs or RECs — market-based emissions mirror location-based</w:t>
            </w:r>
          </w:p>
          <w:p w14:paraId="6FFC53B4" w14:textId="77777777" w:rsidR="00AC41AE" w:rsidRDefault="00000000">
            <w:r>
              <w:rPr>
                <w:sz w:val="18"/>
              </w:rPr>
              <w:t>• No energy efficiency program deployment comparable to BRI's Green Network (19.49% savings)</w:t>
            </w:r>
          </w:p>
          <w:p w14:paraId="3E242251" w14:textId="77777777" w:rsidR="00AC41AE" w:rsidRDefault="00000000">
            <w:r>
              <w:rPr>
                <w:sz w:val="18"/>
              </w:rPr>
              <w:t>• Reliance on PLN grid emission factor (0.7886 kgCO₂/kWh) with no active strategy to reduce grid dependency</w:t>
            </w:r>
          </w:p>
          <w:p w14:paraId="0B455612" w14:textId="77777777" w:rsidR="00AC41AE" w:rsidRDefault="00000000">
            <w:r>
              <w:rPr>
                <w:sz w:val="18"/>
              </w:rPr>
              <w:t>• Absence of green building certifications (GBCI) that systematically drive energy performance improvements</w:t>
            </w:r>
          </w:p>
          <w:p w14:paraId="7E039F71" w14:textId="77777777" w:rsidR="00AC41AE" w:rsidRDefault="00000000">
            <w:r>
              <w:rPr>
                <w:b/>
                <w:sz w:val="20"/>
              </w:rPr>
              <w:t>Risk Implications:</w:t>
            </w:r>
          </w:p>
          <w:p w14:paraId="6C08A703" w14:textId="77777777" w:rsidR="00AC41AE" w:rsidRDefault="00000000">
            <w:r>
              <w:rPr>
                <w:sz w:val="18"/>
              </w:rPr>
              <w:t>• Reputational risk: Investors and rating agencies (MSCI, Sustainalytics, CDP) increasingly penalize institutions without renewable energy strategies. DBS's MSCI AA rating is partly attributable to 62% renewable coverage.</w:t>
            </w:r>
          </w:p>
          <w:p w14:paraId="22FC0CC3" w14:textId="77777777" w:rsidR="00AC41AE" w:rsidRDefault="00000000">
            <w:r>
              <w:rPr>
                <w:sz w:val="18"/>
              </w:rPr>
              <w:t>• Regulatory risk: OJK POJK 51/2017 and SEOJK 16/2021 require climate risk management and emissions reduction. Flat Scope 2 trajectory may trigger regulatory scrutiny in future reporting cycles.</w:t>
            </w:r>
          </w:p>
          <w:p w14:paraId="3A825341" w14:textId="77777777" w:rsidR="00AC41AE" w:rsidRDefault="00000000">
            <w:r>
              <w:rPr>
                <w:sz w:val="18"/>
              </w:rPr>
              <w:t>• Competitive disadvantage: Peers are securing long-term renewable PPAs at favorable rates. Delayed entry into renewable markets may result in higher procurement costs and limited supplier availability.</w:t>
            </w:r>
          </w:p>
          <w:p w14:paraId="34C0CA38" w14:textId="77777777" w:rsidR="00AC41AE" w:rsidRDefault="00000000">
            <w:r>
              <w:rPr>
                <w:sz w:val="18"/>
              </w:rPr>
              <w:t>• Transition risk: As Indonesia's grid decarbonizes under the 23% renewable target by 2025, early movers gain cost advantages and operational resilience. Passive reliance on grid improvements cedes strategic control.</w:t>
            </w:r>
          </w:p>
        </w:tc>
      </w:tr>
    </w:tbl>
    <w:p w14:paraId="0B80AACA" w14:textId="77777777" w:rsidR="00AC41AE" w:rsidRDefault="00AC41AE"/>
    <w:p w14:paraId="6224C3B3" w14:textId="77777777" w:rsidR="00AC41AE" w:rsidRDefault="00AC41AE"/>
    <w:p w14:paraId="37748C56" w14:textId="77777777" w:rsidR="00AC41AE" w:rsidRDefault="00000000">
      <w:r>
        <w:rPr>
          <w:b/>
          <w:color w:val="2E7D32"/>
          <w:sz w:val="24"/>
        </w:rPr>
        <w:t>⚡ Priority Actions</w:t>
      </w:r>
    </w:p>
    <w:p w14:paraId="0D387EB6" w14:textId="77777777" w:rsidR="00AC41AE" w:rsidRDefault="00000000">
      <w:r>
        <w:rPr>
          <w:b/>
        </w:rPr>
        <w:t>🔴 1. Execute long-term Power Purchase Agreement (PPA) with renewable energy provider to cover 20% of electricity consumption (target: 8,923 tCO₂e reduction). Prioritize solar or wind projects with 10-15 year contract terms to lock in favorable pricing and ensure additionality.</w:t>
      </w:r>
      <w:r>
        <w:t xml:space="preserve"> (Q4 2025)</w:t>
      </w:r>
    </w:p>
    <w:p w14:paraId="4B61B9D3" w14:textId="77777777" w:rsidR="00AC41AE" w:rsidRDefault="00000000">
      <w:pPr>
        <w:spacing w:after="160"/>
      </w:pPr>
      <w:r>
        <w:t xml:space="preserve">    → Expected: 8,923 tCO₂e reduction (20% of Scope 2 market-based emissions)</w:t>
      </w:r>
    </w:p>
    <w:p w14:paraId="7F22A5D8" w14:textId="77777777" w:rsidR="00AC41AE" w:rsidRDefault="00000000">
      <w:pPr>
        <w:spacing w:after="160"/>
      </w:pPr>
      <w:r>
        <w:rPr>
          <w:rFonts w:ascii="Arial" w:hAnsi="Arial"/>
          <w:i/>
          <w:color w:val="646464"/>
          <w:sz w:val="18"/>
        </w:rPr>
        <w:t xml:space="preserve">    → Ref: DBS Bank — 62% renewable electricity via PPAs, 12% YoY Scope 2 reduction, MSCI AA rating</w:t>
      </w:r>
    </w:p>
    <w:p w14:paraId="6F4159A2" w14:textId="77777777" w:rsidR="00AC41AE" w:rsidRDefault="00000000">
      <w:r>
        <w:rPr>
          <w:b/>
        </w:rPr>
        <w:t>🔴 2. Deploy automated energy management system (Kaseya or equivalent) across all branches and offices to enable auto-shutdown of HVAC, lighting, and non-critical equipment outside business hours. Pilot at 10 high-consumption facilities in Q3 2025, then scale to full network by Q1 2026.</w:t>
      </w:r>
      <w:r>
        <w:t xml:space="preserve"> (Q3 2025 (pilot); Q1 2026 (full rollout))</w:t>
      </w:r>
    </w:p>
    <w:p w14:paraId="391899F5" w14:textId="77777777" w:rsidR="00AC41AE" w:rsidRDefault="00000000">
      <w:pPr>
        <w:spacing w:after="160"/>
      </w:pPr>
      <w:r>
        <w:t xml:space="preserve">    → Expected: 4,461 tCO₂e reduction (10% of Scope 2 via energy efficiency)</w:t>
      </w:r>
    </w:p>
    <w:p w14:paraId="7FD71A73" w14:textId="77777777" w:rsidR="00AC41AE" w:rsidRDefault="00000000">
      <w:pPr>
        <w:spacing w:after="160"/>
      </w:pPr>
      <w:r>
        <w:rPr>
          <w:rFonts w:ascii="Arial" w:hAnsi="Arial"/>
          <w:i/>
          <w:color w:val="646464"/>
          <w:sz w:val="18"/>
        </w:rPr>
        <w:t xml:space="preserve">    → Ref: Bank Rakyat Indonesia — 19.49% electricity savings via Kaseya automated shutdown system</w:t>
      </w:r>
    </w:p>
    <w:p w14:paraId="7A1EB4CB" w14:textId="77777777" w:rsidR="00AC41AE" w:rsidRDefault="00000000">
      <w:r>
        <w:rPr>
          <w:b/>
        </w:rPr>
        <w:lastRenderedPageBreak/>
        <w:t>🟡 3. Pursue Gold-level Green Building Council Indonesia (GBCI) certification for headquarters and top 3 regional offices. Integrate energy-efficient design, on-site solar, and operational best practices. Certification provides third-party validation and enhances investor confidence.</w:t>
      </w:r>
      <w:r>
        <w:t xml:space="preserve"> (Q1 2026 (application); Q4 2026 (certification completion))</w:t>
      </w:r>
    </w:p>
    <w:p w14:paraId="070ADC3E" w14:textId="77777777" w:rsidR="00AC41AE" w:rsidRDefault="00000000">
      <w:pPr>
        <w:spacing w:after="160"/>
      </w:pPr>
      <w:r>
        <w:t xml:space="preserve">    → Expected: 15-20% energy reduction per certified facility (estimated 1,500-2,000 tCO₂e total)</w:t>
      </w:r>
    </w:p>
    <w:p w14:paraId="46AFD9D1" w14:textId="77777777" w:rsidR="00AC41AE" w:rsidRDefault="00000000">
      <w:pPr>
        <w:spacing w:after="160"/>
      </w:pPr>
      <w:r>
        <w:rPr>
          <w:rFonts w:ascii="Arial" w:hAnsi="Arial"/>
          <w:i/>
          <w:color w:val="646464"/>
          <w:sz w:val="18"/>
        </w:rPr>
        <w:t xml:space="preserve">    → Ref: Bank Rakyat Indonesia — Gold GBCI certification for key facilities, integrated into Green Network strategy</w:t>
      </w:r>
    </w:p>
    <w:p w14:paraId="6343EF9B" w14:textId="77777777" w:rsidR="00AC41AE" w:rsidRDefault="00000000">
      <w:r>
        <w:rPr>
          <w:b/>
        </w:rPr>
        <w:t>🟡 4. Install on-site solar photovoltaic (PV) systems at top 5 electricity-consuming facilities (data centers, headquarters, major branches). Target 5-10% of total electricity consumption from on-site generation by 2027. Combine with battery storage to maximize self-consumption and grid independence.</w:t>
      </w:r>
      <w:r>
        <w:t xml:space="preserve"> (Q2 2026 (design); Q4 2026 (installation))</w:t>
      </w:r>
    </w:p>
    <w:p w14:paraId="404BEE7E" w14:textId="77777777" w:rsidR="00AC41AE" w:rsidRDefault="00000000">
      <w:pPr>
        <w:spacing w:after="160"/>
      </w:pPr>
      <w:r>
        <w:t xml:space="preserve">    → Expected: 2,231-4,461 tCO₂e reduction (5-10% of Scope 2)</w:t>
      </w:r>
    </w:p>
    <w:p w14:paraId="3C0921CE" w14:textId="77777777" w:rsidR="00AC41AE" w:rsidRDefault="00000000">
      <w:pPr>
        <w:spacing w:after="160"/>
      </w:pPr>
      <w:r>
        <w:rPr>
          <w:rFonts w:ascii="Arial" w:hAnsi="Arial"/>
          <w:i/>
          <w:color w:val="646464"/>
          <w:sz w:val="18"/>
        </w:rPr>
        <w:t xml:space="preserve">    → Ref: Bank Rakyat Indonesia — on-site solar installations as part of Green Network initiative</w:t>
      </w:r>
    </w:p>
    <w:p w14:paraId="4562A0FF" w14:textId="77777777" w:rsidR="00AC41AE" w:rsidRDefault="00AC41AE"/>
    <w:p w14:paraId="73C72336" w14:textId="77777777" w:rsidR="00AC41AE" w:rsidRDefault="00000000">
      <w:r>
        <w:rPr>
          <w:i/>
          <w:color w:val="3D6094"/>
          <w:sz w:val="18"/>
        </w:rPr>
        <w:t>Framework references: GRI 305-2a: Gross location-based Scope 2 GHG emissions; GRI 305-2b: Gross market-based Scope 2 GHG emissions; GRI 305-2e: Source of emission factors; GRI 305-2f: Consolidation approach; GRI 305-2g: Standards and methodologies; IFRS S2 Para 29(a)(ii): Absolute gross Scope 2 emissions; ESRS E1-6 DR E1-6.46: Location-based and market-based Scope 2; OJK PSPK: Emisi GRK Tidak Langsung dari Energi (Lingkup 2); GHG Protocol Scope 2 Guidance (2015)</w:t>
      </w:r>
    </w:p>
    <w:p w14:paraId="399EC0E2" w14:textId="77777777" w:rsidR="00AC41AE" w:rsidRDefault="00AC41AE">
      <w:pPr>
        <w:pBdr>
          <w:bottom w:val="single" w:sz="6" w:space="1" w:color="CCCCCC"/>
        </w:pBdr>
        <w:spacing w:after="80"/>
      </w:pPr>
    </w:p>
    <w:p w14:paraId="1A5A7818" w14:textId="77777777" w:rsidR="00AC41AE" w:rsidRDefault="00000000">
      <w:pPr>
        <w:spacing w:after="160"/>
      </w:pPr>
      <w:r>
        <w:rPr>
          <w:rFonts w:ascii="Arial" w:hAnsi="Arial"/>
          <w:i/>
          <w:color w:val="646464"/>
          <w:sz w:val="18"/>
        </w:rPr>
        <w:t>These figures have not been subject to external assurance for the current reporting period.</w:t>
      </w:r>
    </w:p>
    <w:p w14:paraId="1BBDE9F7" w14:textId="77777777" w:rsidR="00AC41AE" w:rsidRDefault="00000000">
      <w:pPr>
        <w:spacing w:after="160"/>
      </w:pPr>
      <w:r>
        <w:rPr>
          <w:rFonts w:ascii="Arial" w:hAnsi="Arial"/>
          <w:i/>
          <w:color w:val="646464"/>
          <w:sz w:val="18"/>
        </w:rPr>
        <w:t>Grid emission factor source: PLN 2023 (0.7886 kgCO₂/kWh), applied consistently across all facilities connected to the Indonesian national grid.</w:t>
      </w:r>
    </w:p>
    <w:p w14:paraId="5FC579E0" w14:textId="77777777" w:rsidR="00AC41AE" w:rsidRDefault="00000000">
      <w:pPr>
        <w:spacing w:after="160"/>
      </w:pPr>
      <w:r>
        <w:rPr>
          <w:rFonts w:ascii="Arial" w:hAnsi="Arial"/>
          <w:i/>
          <w:color w:val="646464"/>
          <w:sz w:val="18"/>
        </w:rPr>
        <w:t>Market-based emissions are nearly equivalent to location-based emissions due to minimal renewable energy procurement via contractual instruments during 2024.</w:t>
      </w:r>
    </w:p>
    <w:p w14:paraId="35E17BB7" w14:textId="77777777" w:rsidR="00AC41AE" w:rsidRDefault="00000000">
      <w:pPr>
        <w:spacing w:after="160"/>
      </w:pPr>
      <w:r>
        <w:rPr>
          <w:rFonts w:ascii="Arial" w:hAnsi="Arial"/>
          <w:i/>
          <w:color w:val="646464"/>
          <w:sz w:val="18"/>
        </w:rPr>
        <w:t>Scope 2 intensity per FTE calculated as: 44,613.876 tCO₂e ÷ 24,997 FTE = 1.785 tCO₂e/FTE.</w:t>
      </w:r>
    </w:p>
    <w:p w14:paraId="2653E031" w14:textId="77777777" w:rsidR="00AC41AE" w:rsidRDefault="00000000">
      <w:pPr>
        <w:pStyle w:val="Heading2"/>
        <w:spacing w:before="360" w:after="160"/>
      </w:pPr>
      <w:bookmarkStart w:id="9" w:name="_Toc232152604"/>
      <w:r>
        <w:rPr>
          <w:rFonts w:ascii="Arial" w:hAnsi="Arial"/>
          <w:color w:val="3D6094"/>
          <w:sz w:val="28"/>
        </w:rPr>
        <w:t>1.3 Financed Emissions — Scope 3 Category 15</w:t>
      </w:r>
      <w:bookmarkEnd w:id="9"/>
    </w:p>
    <w:tbl>
      <w:tblPr>
        <w:tblW w:w="0" w:type="auto"/>
        <w:jc w:val="center"/>
        <w:tblLook w:val="04A0" w:firstRow="1" w:lastRow="0" w:firstColumn="1" w:lastColumn="0" w:noHBand="0" w:noVBand="1"/>
      </w:tblPr>
      <w:tblGrid>
        <w:gridCol w:w="2257"/>
        <w:gridCol w:w="2257"/>
        <w:gridCol w:w="2257"/>
        <w:gridCol w:w="2257"/>
      </w:tblGrid>
      <w:tr w:rsidR="00AC41AE" w14:paraId="3E9B0032" w14:textId="77777777">
        <w:trPr>
          <w:jc w:val="center"/>
        </w:trPr>
        <w:tc>
          <w:tcPr>
            <w:tcW w:w="2257" w:type="dxa"/>
            <w:shd w:val="clear" w:color="auto" w:fill="F2F6FA"/>
          </w:tcPr>
          <w:p w14:paraId="7ACC80ED" w14:textId="77777777" w:rsidR="00AC41AE" w:rsidRDefault="00000000">
            <w:pPr>
              <w:jc w:val="center"/>
            </w:pPr>
            <w:r>
              <w:rPr>
                <w:b/>
                <w:color w:val="1B3A6B"/>
                <w:sz w:val="36"/>
              </w:rPr>
              <w:t>15.28</w:t>
            </w:r>
            <w:r>
              <w:rPr>
                <w:color w:val="757575"/>
                <w:sz w:val="18"/>
              </w:rPr>
              <w:t xml:space="preserve"> million tCO₂e</w:t>
            </w:r>
            <w:r>
              <w:rPr>
                <w:b/>
                <w:color w:val="2E7D32"/>
                <w:sz w:val="20"/>
              </w:rPr>
              <w:br/>
              <w:t>Baseline year (no YoY comparison)</w:t>
            </w:r>
          </w:p>
        </w:tc>
        <w:tc>
          <w:tcPr>
            <w:tcW w:w="2257" w:type="dxa"/>
            <w:shd w:val="clear" w:color="auto" w:fill="F2F6FA"/>
          </w:tcPr>
          <w:p w14:paraId="127B0F18" w14:textId="77777777" w:rsidR="00AC41AE" w:rsidRDefault="00000000">
            <w:pPr>
              <w:jc w:val="center"/>
            </w:pPr>
            <w:r>
              <w:rPr>
                <w:b/>
                <w:color w:val="1B3A6B"/>
                <w:sz w:val="36"/>
              </w:rPr>
              <w:t>3.36</w:t>
            </w:r>
            <w:r>
              <w:rPr>
                <w:color w:val="757575"/>
                <w:sz w:val="18"/>
              </w:rPr>
              <w:t xml:space="preserve"> score (1-5)</w:t>
            </w:r>
            <w:r>
              <w:rPr>
                <w:b/>
                <w:color w:val="C62828"/>
                <w:sz w:val="20"/>
              </w:rPr>
              <w:br/>
              <w:t>Below peer target of 2.5-3.0</w:t>
            </w:r>
          </w:p>
        </w:tc>
        <w:tc>
          <w:tcPr>
            <w:tcW w:w="2257" w:type="dxa"/>
            <w:shd w:val="clear" w:color="auto" w:fill="F2F6FA"/>
          </w:tcPr>
          <w:p w14:paraId="15FEBD19" w14:textId="77777777" w:rsidR="00AC41AE" w:rsidRDefault="00000000">
            <w:pPr>
              <w:jc w:val="center"/>
            </w:pPr>
            <w:r>
              <w:rPr>
                <w:b/>
                <w:color w:val="1B3A6B"/>
                <w:sz w:val="36"/>
              </w:rPr>
              <w:t>85.93</w:t>
            </w:r>
            <w:r>
              <w:rPr>
                <w:color w:val="757575"/>
                <w:sz w:val="18"/>
              </w:rPr>
              <w:t xml:space="preserve"> %</w:t>
            </w:r>
            <w:r>
              <w:rPr>
                <w:b/>
                <w:color w:val="C62828"/>
                <w:sz w:val="20"/>
              </w:rPr>
              <w:br/>
              <w:t>High concentration risk vs peers (60-70%)</w:t>
            </w:r>
          </w:p>
        </w:tc>
        <w:tc>
          <w:tcPr>
            <w:tcW w:w="2257" w:type="dxa"/>
            <w:shd w:val="clear" w:color="auto" w:fill="F2F6FA"/>
          </w:tcPr>
          <w:p w14:paraId="68A93674" w14:textId="77777777" w:rsidR="00AC41AE" w:rsidRDefault="00000000">
            <w:pPr>
              <w:jc w:val="center"/>
            </w:pPr>
            <w:r>
              <w:rPr>
                <w:b/>
                <w:color w:val="1B3A6B"/>
                <w:sz w:val="36"/>
              </w:rPr>
              <w:t>44.2</w:t>
            </w:r>
            <w:r>
              <w:rPr>
                <w:color w:val="757575"/>
                <w:sz w:val="18"/>
              </w:rPr>
              <w:t xml:space="preserve"> %</w:t>
            </w:r>
            <w:r>
              <w:rPr>
                <w:b/>
                <w:color w:val="C62828"/>
                <w:sz w:val="20"/>
              </w:rPr>
              <w:br/>
              <w:t>2x peer average (BRI 22%, BCA 18%)</w:t>
            </w:r>
          </w:p>
        </w:tc>
      </w:tr>
      <w:tr w:rsidR="00AC41AE" w14:paraId="2A1F60AA" w14:textId="77777777">
        <w:trPr>
          <w:jc w:val="center"/>
        </w:trPr>
        <w:tc>
          <w:tcPr>
            <w:tcW w:w="2257" w:type="dxa"/>
            <w:shd w:val="clear" w:color="auto" w:fill="F2F6FA"/>
          </w:tcPr>
          <w:p w14:paraId="5B6341E6" w14:textId="77777777" w:rsidR="00AC41AE" w:rsidRDefault="00000000">
            <w:pPr>
              <w:jc w:val="center"/>
            </w:pPr>
            <w:r>
              <w:rPr>
                <w:color w:val="757575"/>
                <w:sz w:val="16"/>
              </w:rPr>
              <w:t>Financed Emissions (Confidence-Weighted)</w:t>
            </w:r>
          </w:p>
        </w:tc>
        <w:tc>
          <w:tcPr>
            <w:tcW w:w="2257" w:type="dxa"/>
            <w:shd w:val="clear" w:color="auto" w:fill="F2F6FA"/>
          </w:tcPr>
          <w:p w14:paraId="09E3F631" w14:textId="77777777" w:rsidR="00AC41AE" w:rsidRDefault="00000000">
            <w:pPr>
              <w:jc w:val="center"/>
            </w:pPr>
            <w:r>
              <w:rPr>
                <w:color w:val="757575"/>
                <w:sz w:val="16"/>
              </w:rPr>
              <w:t>PCAF Data Quality Score</w:t>
            </w:r>
          </w:p>
        </w:tc>
        <w:tc>
          <w:tcPr>
            <w:tcW w:w="2257" w:type="dxa"/>
            <w:shd w:val="clear" w:color="auto" w:fill="F2F6FA"/>
          </w:tcPr>
          <w:p w14:paraId="09685CEB" w14:textId="77777777" w:rsidR="00AC41AE" w:rsidRDefault="00000000">
            <w:pPr>
              <w:jc w:val="center"/>
            </w:pPr>
            <w:r>
              <w:rPr>
                <w:color w:val="757575"/>
                <w:sz w:val="16"/>
              </w:rPr>
              <w:t>Top 3 Sectors Emission Concentration</w:t>
            </w:r>
          </w:p>
        </w:tc>
        <w:tc>
          <w:tcPr>
            <w:tcW w:w="2257" w:type="dxa"/>
            <w:shd w:val="clear" w:color="auto" w:fill="F2F6FA"/>
          </w:tcPr>
          <w:p w14:paraId="03C14FCF" w14:textId="77777777" w:rsidR="00AC41AE" w:rsidRDefault="00000000">
            <w:pPr>
              <w:jc w:val="center"/>
            </w:pPr>
            <w:r>
              <w:rPr>
                <w:color w:val="757575"/>
                <w:sz w:val="16"/>
              </w:rPr>
              <w:t>Oil &amp; Gas Financed Emissions Share</w:t>
            </w:r>
          </w:p>
        </w:tc>
      </w:tr>
    </w:tbl>
    <w:p w14:paraId="10CC1089" w14:textId="77777777" w:rsidR="00AC41AE" w:rsidRDefault="00AC41AE"/>
    <w:tbl>
      <w:tblPr>
        <w:tblW w:w="0" w:type="auto"/>
        <w:jc w:val="center"/>
        <w:tblLook w:val="04A0" w:firstRow="1" w:lastRow="0" w:firstColumn="1" w:lastColumn="0" w:noHBand="0" w:noVBand="1"/>
      </w:tblPr>
      <w:tblGrid>
        <w:gridCol w:w="9029"/>
      </w:tblGrid>
      <w:tr w:rsidR="00AC41AE" w14:paraId="796624C9" w14:textId="77777777">
        <w:trPr>
          <w:jc w:val="center"/>
        </w:trPr>
        <w:tc>
          <w:tcPr>
            <w:tcW w:w="9029" w:type="dxa"/>
            <w:shd w:val="clear" w:color="auto" w:fill="FFF8E1"/>
          </w:tcPr>
          <w:p w14:paraId="7FA302C6" w14:textId="77777777" w:rsidR="00AC41AE" w:rsidRDefault="00000000">
            <w:r>
              <w:rPr>
                <w:b/>
                <w:color w:val="FF8F00"/>
                <w:sz w:val="18"/>
              </w:rPr>
              <w:t>⚠️ KEY INSIGHT</w:t>
            </w:r>
          </w:p>
          <w:p w14:paraId="2BAE702D" w14:textId="77777777" w:rsidR="00AC41AE" w:rsidRDefault="00000000">
            <w:r>
              <w:rPr>
                <w:b/>
              </w:rPr>
              <w:t xml:space="preserve">Financed emissions 44% concentrated in Oil &amp; Gas despite 6.7% portfolio share — </w:t>
            </w:r>
            <w:r>
              <w:rPr>
                <w:b/>
              </w:rPr>
              <w:lastRenderedPageBreak/>
              <w:t>decarbonization requires sectoral rebalancing strategy</w:t>
            </w:r>
          </w:p>
          <w:p w14:paraId="5E1226C4" w14:textId="77777777" w:rsidR="00AC41AE" w:rsidRDefault="00000000">
            <w:r>
              <w:rPr>
                <w:sz w:val="20"/>
              </w:rPr>
              <w:t>The institution's financed emissions profile shows extreme concentration risk, with three sectors (Oil &amp; Gas, Cement, Steel) generating 86% of climate impact from 21% of exposure. Peer BRI has committed to SBTi with 1.75°C portfolio alignment by 2040, while this institution lacks science-based targets. Without strategic intervention, regulatory pressure (OJK SEOJK 16) and investor scrutiny will intensify as Indonesia advances toward 2060 net-zero commitment.</w:t>
            </w:r>
          </w:p>
        </w:tc>
      </w:tr>
    </w:tbl>
    <w:p w14:paraId="5E9E2F53" w14:textId="77777777" w:rsidR="00AC41AE" w:rsidRDefault="00AC41AE"/>
    <w:p w14:paraId="758A6A2D" w14:textId="77777777" w:rsidR="00AC41AE" w:rsidRDefault="00000000">
      <w:pPr>
        <w:spacing w:after="160"/>
      </w:pPr>
      <w:r>
        <w:rPr>
          <w:rFonts w:ascii="Arial" w:hAnsi="Arial"/>
        </w:rPr>
        <w:t>The institution's financed emissions for the 2024 reporting period totaled 21,976,797.3 tCO₂e on a gross basis and 15,280,174.14 tCO₂e on a confidence-weighted basis. These figures represent the greenhouse gas emissions attributable to the institution's lending and investment portfolio, calculated in accordance with the Partnership for Carbon Accounting Financials (PCAF) Global GHG Accounting and Reporting Standard Part A (2022). The gross figure reflects the total emissions of financed entities proportional to the institution's outstanding exposure, while the confidence-weighted figure adjusts for data quality uncertainty using PCAF's data quality scoring methodology. The confidence-weighted emissions are 30.5% lower than gross emissions, reflecting the application of confidence factors that account for estimation uncertainty in borrower-level emissions data.</w:t>
      </w:r>
    </w:p>
    <w:p w14:paraId="5A18372F" w14:textId="77777777" w:rsidR="00AC41AE" w:rsidRDefault="00000000">
      <w:pPr>
        <w:spacing w:after="160"/>
      </w:pPr>
      <w:r>
        <w:rPr>
          <w:rFonts w:ascii="Arial" w:hAnsi="Arial"/>
        </w:rPr>
        <w:t>Financed emissions are calculated using the attribution factor methodology prescribed by PCAF. For corporate lending, the attribution factor is determined as the ratio of the institution's outstanding amount to the borrower's total enterprise value including cash (EVIC). The formula applied is: Financed Emissions = Outstanding Amount ÷ EVIC × Borrower's Total Emissions. This approach ensures that the institution accounts only for its proportional share of a borrower's emissions based on its financial exposure. The methodology covers corporate loans across all sectors in the institution's portfolio, with emissions data sourced from borrower disclosures, third-party databases, and sector-specific estimation models where primary data is unavailable.</w:t>
      </w:r>
    </w:p>
    <w:p w14:paraId="6E09E335" w14:textId="77777777" w:rsidR="00AC41AE" w:rsidRDefault="00000000">
      <w:pPr>
        <w:spacing w:after="160"/>
      </w:pPr>
      <w:r>
        <w:rPr>
          <w:rFonts w:ascii="Arial" w:hAnsi="Arial"/>
        </w:rPr>
        <w:t>The distinction between gross and confidence-weighted emissions is critical for understanding data quality and reporting reliability. Gross financed emissions represent the institution's full proportional share of borrower emissions without adjustment for data uncertainty. Confidence-weighted emissions apply a confidence factor derived from the PCAF data quality score (ranging from 1 to 5, where 1 represents verified reported emissions and 5 represents sector-average estimates). For the 2024 portfolio, the weighted average PCAF data quality score was 3.36, indicating that most emissions estimates rely on physical activity-based calculations or economic activity proxies rather than verified borrower disclosures. The confidence weighting reduces reported emissions by 6,696,623.16 tCO₂e (30.5%), reflecting the inherent uncertainty in estimation methodologies for borrowers that do not publicly report emissions. This adjustment provides a more conservative and transparent representation of the institution's financed emissions footprint.</w:t>
      </w:r>
    </w:p>
    <w:p w14:paraId="0C5E5FFE" w14:textId="77777777" w:rsidR="00AC41AE" w:rsidRDefault="00000000">
      <w:pPr>
        <w:spacing w:after="160"/>
      </w:pPr>
      <w:r>
        <w:rPr>
          <w:rFonts w:ascii="Arial" w:hAnsi="Arial"/>
        </w:rPr>
        <w:t xml:space="preserve">The financed emissions portfolio is concentrated in carbon-intensive sectors, with the top three sectors—Energy (Oil &amp; Gas), Manufacturing (Cement), and Manufacturing (Steel)—accounting for 85.93% of total confidence-weighted financed emissions despite representing only 20.7% of total portfolio exposure. The Energy (Oil &amp; Gas) sector alone contributes 6,753,948.71 tCO₂e (44.2% of total financed emissions) from 135 borrowers with IDR 102.67 trillion in outstanding exposure. This concentration reflects the institution's historical lending </w:t>
      </w:r>
      <w:r>
        <w:rPr>
          <w:rFonts w:ascii="Arial" w:hAnsi="Arial"/>
        </w:rPr>
        <w:lastRenderedPageBreak/>
        <w:t>focus on infrastructure and industrial development sectors. The emission intensity varies significantly across sectors, ranging from 93.242 tCO₂e per IDR billion in Oil &amp; Gas to 0.3567 tCO₂e per IDR billion in Financial Services, highlighting the disproportionate climate impact of fossil fuel and heavy industry exposures relative to their economic contribution.</w:t>
      </w:r>
    </w:p>
    <w:p w14:paraId="1B9550F1" w14:textId="77777777" w:rsidR="00AC41AE" w:rsidRDefault="00000000">
      <w:pPr>
        <w:spacing w:after="160"/>
      </w:pPr>
      <w:r>
        <w:rPr>
          <w:rFonts w:ascii="Arial" w:hAnsi="Arial"/>
        </w:rPr>
        <w:t>Year-over-year comparison of financed emissions is not available for the 2024 reporting period, as this represents the institution's first comprehensive PCAF-aligned disclosure. Prior year data (2023) reported gross financed emissions of 22,911,991.05 tCO₂e and confidence-weighted emissions of 15,576,239.57 tCO₂e, but these figures were calculated using a different sectoral coverage and attribution methodology that is not directly comparable to the 2024 PCAF-compliant approach. The institution has established 2024 as the baseline year for future year-over-year tracking and target-setting purposes. Future reports will include trend analysis once comparable multi-year data becomes available.</w:t>
      </w:r>
    </w:p>
    <w:p w14:paraId="4A4EF3D5" w14:textId="77777777" w:rsidR="00AC41AE" w:rsidRDefault="00000000">
      <w:pPr>
        <w:spacing w:after="160"/>
      </w:pPr>
      <w:r>
        <w:rPr>
          <w:rFonts w:ascii="Arial" w:hAnsi="Arial"/>
        </w:rPr>
        <w:t>Data quality remains a significant challenge in financed emissions measurement. The portfolio-weighted PCAF data quality score of 3.36 indicates that the majority of emissions estimates are derived from physical activity data (production volumes, energy consumption) or economic activity proxies (revenue-based emission factors) rather than verified borrower disclosures. Only an estimated 12-15% of the portfolio borrowers provide verified Scope 1 and Scope 2 emissions data in their sustainability reports or CDP disclosures. The remaining estimates rely on sector-specific emission factors, facility-level production data obtained through loan monitoring processes, or regional economic activity averages. The institution has initiated a borrower engagement program targeting the top 50 emitters (representing 68% of financed emissions) to improve primary data collection and encourage borrower-level climate disclosure adoption.</w:t>
      </w:r>
    </w:p>
    <w:p w14:paraId="51ED1AC1" w14:textId="77777777" w:rsidR="00AC41AE" w:rsidRDefault="00000000">
      <w:pPr>
        <w:spacing w:after="160"/>
      </w:pPr>
      <w:r>
        <w:rPr>
          <w:rFonts w:ascii="Arial" w:hAnsi="Arial"/>
        </w:rPr>
        <w:t>The PCAF methodology requires financial institutions to report Scope 3 emissions of borrowers for specific sectors based on a phased implementation timeline. For reports published in 2021 onwards, Scope 3 inclusion is mandatory for energy (oil &amp; gas) and mining sectors (NACE codes 05-09, 19, 20). For reports published in 2023 onwards, coverage expands to transportation, construction, buildings, materials, and industrial activities (NACE codes 10-18, 21-33, 41-43, 49-53, 81). The institution's 2024 disclosure includes borrower Scope 3 emissions for the Energy (Oil &amp; Gas) sector, where downstream combustion of extracted fossil fuels represents the majority of value chain emissions. For other sectors, only borrower Scope 1 and Scope 2 emissions are included in the financed emissions calculation, consistent with PCAF's phased requirements. Full Scope 3 inclusion across all sectors is targeted for the 2025 reporting cycle, pending improvements in borrower data availability and third-party estimation tools.</w:t>
      </w:r>
    </w:p>
    <w:p w14:paraId="102838EE" w14:textId="77777777" w:rsidR="00AC41AE" w:rsidRDefault="00000000">
      <w:pPr>
        <w:spacing w:after="160"/>
      </w:pPr>
      <w:r>
        <w:rPr>
          <w:rFonts w:ascii="Arial" w:hAnsi="Arial"/>
        </w:rPr>
        <w:t xml:space="preserve">The institution has not yet committed to a science-based decarbonization target for its financed emissions portfolio. Peer institutions in the Indonesian banking sector have begun adopting Science Based Targets initiative (SBTi) commitments, with BRI becoming the first Indonesian financial institution to submit an SBTi commitment letter in 2023, targeting a portfolio temperature alignment of 1.75°C by 2040. International peers such as DBS have achieved more advanced decarbonization trajectories, with 12% year-over-year reductions in operational emissions and sectoral lending policies that restrict financing for coal-fired power generation and thermal coal mining. The institution's current sectoral exposure profile, particularly the 44.2% concentration of financed emissions in Oil &amp; Gas, presents a significant decarbonization challenge that will require strategic portfolio rebalancing, client </w:t>
      </w:r>
      <w:r>
        <w:rPr>
          <w:rFonts w:ascii="Arial" w:hAnsi="Arial"/>
        </w:rPr>
        <w:lastRenderedPageBreak/>
        <w:t>engagement on transition planning, and development of transition finance products to support borrower decarbonization pathways.</w:t>
      </w:r>
    </w:p>
    <w:p w14:paraId="721CBBA1" w14:textId="77777777" w:rsidR="00AC41AE" w:rsidRDefault="00000000">
      <w:r>
        <w:rPr>
          <w:rFonts w:ascii="Arial" w:hAnsi="Arial"/>
          <w:b/>
          <w:sz w:val="20"/>
        </w:rPr>
        <w:t>Table 24: Table 1.3.1: Financed Emissions by Sector — Top 10 Contributors (2024)</w:t>
      </w:r>
    </w:p>
    <w:tbl>
      <w:tblPr>
        <w:tblW w:w="0" w:type="auto"/>
        <w:jc w:val="center"/>
        <w:tblLook w:val="04A0" w:firstRow="1" w:lastRow="0" w:firstColumn="1" w:lastColumn="0" w:noHBand="0" w:noVBand="1"/>
      </w:tblPr>
      <w:tblGrid>
        <w:gridCol w:w="1505"/>
        <w:gridCol w:w="1505"/>
        <w:gridCol w:w="1505"/>
        <w:gridCol w:w="1505"/>
        <w:gridCol w:w="1505"/>
        <w:gridCol w:w="1505"/>
      </w:tblGrid>
      <w:tr w:rsidR="00AC41AE" w14:paraId="53E40610" w14:textId="77777777">
        <w:trPr>
          <w:jc w:val="center"/>
        </w:trPr>
        <w:tc>
          <w:tcPr>
            <w:tcW w:w="1505" w:type="dxa"/>
            <w:shd w:val="clear" w:color="auto" w:fill="1B3A6B"/>
          </w:tcPr>
          <w:p w14:paraId="53570008" w14:textId="77777777" w:rsidR="00AC41AE" w:rsidRDefault="00000000">
            <w:r>
              <w:rPr>
                <w:rFonts w:ascii="Arial" w:hAnsi="Arial"/>
                <w:b/>
                <w:color w:val="FFFFFF"/>
                <w:sz w:val="18"/>
              </w:rPr>
              <w:t>Sector</w:t>
            </w:r>
          </w:p>
        </w:tc>
        <w:tc>
          <w:tcPr>
            <w:tcW w:w="1505" w:type="dxa"/>
            <w:shd w:val="clear" w:color="auto" w:fill="1B3A6B"/>
          </w:tcPr>
          <w:p w14:paraId="4BA90627" w14:textId="77777777" w:rsidR="00AC41AE" w:rsidRDefault="00000000">
            <w:r>
              <w:rPr>
                <w:rFonts w:ascii="Arial" w:hAnsi="Arial"/>
                <w:b/>
                <w:color w:val="FFFFFF"/>
                <w:sz w:val="18"/>
              </w:rPr>
              <w:t>Gross Emissions (tCO₂e)</w:t>
            </w:r>
          </w:p>
        </w:tc>
        <w:tc>
          <w:tcPr>
            <w:tcW w:w="1505" w:type="dxa"/>
            <w:shd w:val="clear" w:color="auto" w:fill="1B3A6B"/>
          </w:tcPr>
          <w:p w14:paraId="2E5DD871" w14:textId="77777777" w:rsidR="00AC41AE" w:rsidRDefault="00000000">
            <w:r>
              <w:rPr>
                <w:rFonts w:ascii="Arial" w:hAnsi="Arial"/>
                <w:b/>
                <w:color w:val="FFFFFF"/>
                <w:sz w:val="18"/>
              </w:rPr>
              <w:t>Confidence-Weighted Emissions (tCO₂e)</w:t>
            </w:r>
          </w:p>
        </w:tc>
        <w:tc>
          <w:tcPr>
            <w:tcW w:w="1505" w:type="dxa"/>
            <w:shd w:val="clear" w:color="auto" w:fill="1B3A6B"/>
          </w:tcPr>
          <w:p w14:paraId="61452B75" w14:textId="77777777" w:rsidR="00AC41AE" w:rsidRDefault="00000000">
            <w:r>
              <w:rPr>
                <w:rFonts w:ascii="Arial" w:hAnsi="Arial"/>
                <w:b/>
                <w:color w:val="FFFFFF"/>
                <w:sz w:val="18"/>
              </w:rPr>
              <w:t>Portfolio Exposure (%)</w:t>
            </w:r>
          </w:p>
        </w:tc>
        <w:tc>
          <w:tcPr>
            <w:tcW w:w="1505" w:type="dxa"/>
            <w:shd w:val="clear" w:color="auto" w:fill="1B3A6B"/>
          </w:tcPr>
          <w:p w14:paraId="35A1217D" w14:textId="77777777" w:rsidR="00AC41AE" w:rsidRDefault="00000000">
            <w:r>
              <w:rPr>
                <w:rFonts w:ascii="Arial" w:hAnsi="Arial"/>
                <w:b/>
                <w:color w:val="FFFFFF"/>
                <w:sz w:val="18"/>
              </w:rPr>
              <w:t>Financed Emissions Share (%)</w:t>
            </w:r>
          </w:p>
        </w:tc>
        <w:tc>
          <w:tcPr>
            <w:tcW w:w="1505" w:type="dxa"/>
            <w:shd w:val="clear" w:color="auto" w:fill="1B3A6B"/>
          </w:tcPr>
          <w:p w14:paraId="018E872A" w14:textId="77777777" w:rsidR="00AC41AE" w:rsidRDefault="00000000">
            <w:r>
              <w:rPr>
                <w:rFonts w:ascii="Arial" w:hAnsi="Arial"/>
                <w:b/>
                <w:color w:val="FFFFFF"/>
                <w:sz w:val="18"/>
              </w:rPr>
              <w:t>Avg PCAF Score</w:t>
            </w:r>
          </w:p>
        </w:tc>
      </w:tr>
      <w:tr w:rsidR="00AC41AE" w14:paraId="0264B8A7" w14:textId="77777777">
        <w:trPr>
          <w:jc w:val="center"/>
        </w:trPr>
        <w:tc>
          <w:tcPr>
            <w:tcW w:w="1505" w:type="dxa"/>
          </w:tcPr>
          <w:p w14:paraId="6DC9694E" w14:textId="77777777" w:rsidR="00AC41AE" w:rsidRDefault="00000000">
            <w:r>
              <w:rPr>
                <w:rFonts w:ascii="Arial" w:hAnsi="Arial"/>
                <w:sz w:val="18"/>
              </w:rPr>
              <w:t>Energy - Oil &amp; Gas</w:t>
            </w:r>
          </w:p>
        </w:tc>
        <w:tc>
          <w:tcPr>
            <w:tcW w:w="1505" w:type="dxa"/>
          </w:tcPr>
          <w:p w14:paraId="62D9C44E" w14:textId="77777777" w:rsidR="00AC41AE" w:rsidRDefault="00000000">
            <w:pPr>
              <w:jc w:val="right"/>
            </w:pPr>
            <w:r>
              <w:rPr>
                <w:rFonts w:ascii="Arial" w:hAnsi="Arial"/>
                <w:sz w:val="18"/>
              </w:rPr>
              <w:t>9,573,144</w:t>
            </w:r>
          </w:p>
        </w:tc>
        <w:tc>
          <w:tcPr>
            <w:tcW w:w="1505" w:type="dxa"/>
          </w:tcPr>
          <w:p w14:paraId="574CBEA0" w14:textId="77777777" w:rsidR="00AC41AE" w:rsidRDefault="00000000">
            <w:pPr>
              <w:jc w:val="right"/>
            </w:pPr>
            <w:r>
              <w:rPr>
                <w:rFonts w:ascii="Arial" w:hAnsi="Arial"/>
                <w:sz w:val="18"/>
              </w:rPr>
              <w:t>6,753,949</w:t>
            </w:r>
          </w:p>
        </w:tc>
        <w:tc>
          <w:tcPr>
            <w:tcW w:w="1505" w:type="dxa"/>
          </w:tcPr>
          <w:p w14:paraId="3639D53F" w14:textId="77777777" w:rsidR="00AC41AE" w:rsidRDefault="00000000">
            <w:pPr>
              <w:jc w:val="right"/>
            </w:pPr>
            <w:r>
              <w:rPr>
                <w:rFonts w:ascii="Arial" w:hAnsi="Arial"/>
                <w:sz w:val="18"/>
              </w:rPr>
              <w:t>6.66</w:t>
            </w:r>
          </w:p>
        </w:tc>
        <w:tc>
          <w:tcPr>
            <w:tcW w:w="1505" w:type="dxa"/>
          </w:tcPr>
          <w:p w14:paraId="63B6928C" w14:textId="77777777" w:rsidR="00AC41AE" w:rsidRDefault="00000000">
            <w:pPr>
              <w:jc w:val="right"/>
            </w:pPr>
            <w:r>
              <w:rPr>
                <w:rFonts w:ascii="Arial" w:hAnsi="Arial"/>
                <w:sz w:val="18"/>
              </w:rPr>
              <w:t>44.2</w:t>
            </w:r>
          </w:p>
        </w:tc>
        <w:tc>
          <w:tcPr>
            <w:tcW w:w="1505" w:type="dxa"/>
          </w:tcPr>
          <w:p w14:paraId="6E20FBB1" w14:textId="77777777" w:rsidR="00AC41AE" w:rsidRDefault="00000000">
            <w:pPr>
              <w:jc w:val="right"/>
            </w:pPr>
            <w:r>
              <w:rPr>
                <w:rFonts w:ascii="Arial" w:hAnsi="Arial"/>
                <w:sz w:val="18"/>
              </w:rPr>
              <w:t>3.32</w:t>
            </w:r>
          </w:p>
        </w:tc>
      </w:tr>
      <w:tr w:rsidR="00AC41AE" w14:paraId="4EE01C90" w14:textId="77777777">
        <w:trPr>
          <w:jc w:val="center"/>
        </w:trPr>
        <w:tc>
          <w:tcPr>
            <w:tcW w:w="1505" w:type="dxa"/>
            <w:shd w:val="clear" w:color="auto" w:fill="F2F6FC"/>
          </w:tcPr>
          <w:p w14:paraId="6D0CA22D" w14:textId="77777777" w:rsidR="00AC41AE" w:rsidRDefault="00000000">
            <w:r>
              <w:rPr>
                <w:rFonts w:ascii="Arial" w:hAnsi="Arial"/>
                <w:sz w:val="18"/>
              </w:rPr>
              <w:t>Manufacturing - Cement</w:t>
            </w:r>
          </w:p>
        </w:tc>
        <w:tc>
          <w:tcPr>
            <w:tcW w:w="1505" w:type="dxa"/>
            <w:shd w:val="clear" w:color="auto" w:fill="F2F6FC"/>
          </w:tcPr>
          <w:p w14:paraId="18B68B71" w14:textId="77777777" w:rsidR="00AC41AE" w:rsidRDefault="00000000">
            <w:pPr>
              <w:jc w:val="right"/>
            </w:pPr>
            <w:r>
              <w:rPr>
                <w:rFonts w:ascii="Arial" w:hAnsi="Arial"/>
                <w:sz w:val="18"/>
              </w:rPr>
              <w:t>5,813,831</w:t>
            </w:r>
          </w:p>
        </w:tc>
        <w:tc>
          <w:tcPr>
            <w:tcW w:w="1505" w:type="dxa"/>
            <w:shd w:val="clear" w:color="auto" w:fill="F2F6FC"/>
          </w:tcPr>
          <w:p w14:paraId="2E10389B" w14:textId="77777777" w:rsidR="00AC41AE" w:rsidRDefault="00000000">
            <w:pPr>
              <w:jc w:val="right"/>
            </w:pPr>
            <w:r>
              <w:rPr>
                <w:rFonts w:ascii="Arial" w:hAnsi="Arial"/>
                <w:sz w:val="18"/>
              </w:rPr>
              <w:t>4,168,058</w:t>
            </w:r>
          </w:p>
        </w:tc>
        <w:tc>
          <w:tcPr>
            <w:tcW w:w="1505" w:type="dxa"/>
            <w:shd w:val="clear" w:color="auto" w:fill="F2F6FC"/>
          </w:tcPr>
          <w:p w14:paraId="3F5861E2" w14:textId="77777777" w:rsidR="00AC41AE" w:rsidRDefault="00000000">
            <w:pPr>
              <w:jc w:val="right"/>
            </w:pPr>
            <w:r>
              <w:rPr>
                <w:rFonts w:ascii="Arial" w:hAnsi="Arial"/>
                <w:sz w:val="18"/>
              </w:rPr>
              <w:t>6.99</w:t>
            </w:r>
          </w:p>
        </w:tc>
        <w:tc>
          <w:tcPr>
            <w:tcW w:w="1505" w:type="dxa"/>
            <w:shd w:val="clear" w:color="auto" w:fill="F2F6FC"/>
          </w:tcPr>
          <w:p w14:paraId="3CAFF132" w14:textId="77777777" w:rsidR="00AC41AE" w:rsidRDefault="00000000">
            <w:pPr>
              <w:jc w:val="right"/>
            </w:pPr>
            <w:r>
              <w:rPr>
                <w:rFonts w:ascii="Arial" w:hAnsi="Arial"/>
                <w:sz w:val="18"/>
              </w:rPr>
              <w:t>27.3</w:t>
            </w:r>
          </w:p>
        </w:tc>
        <w:tc>
          <w:tcPr>
            <w:tcW w:w="1505" w:type="dxa"/>
            <w:shd w:val="clear" w:color="auto" w:fill="F2F6FC"/>
          </w:tcPr>
          <w:p w14:paraId="44C4D9B0" w14:textId="77777777" w:rsidR="00AC41AE" w:rsidRDefault="00000000">
            <w:pPr>
              <w:jc w:val="right"/>
            </w:pPr>
            <w:r>
              <w:rPr>
                <w:rFonts w:ascii="Arial" w:hAnsi="Arial"/>
                <w:sz w:val="18"/>
              </w:rPr>
              <w:t>3.40</w:t>
            </w:r>
          </w:p>
        </w:tc>
      </w:tr>
      <w:tr w:rsidR="00AC41AE" w14:paraId="2CA51695" w14:textId="77777777">
        <w:trPr>
          <w:jc w:val="center"/>
        </w:trPr>
        <w:tc>
          <w:tcPr>
            <w:tcW w:w="1505" w:type="dxa"/>
          </w:tcPr>
          <w:p w14:paraId="06B4A22C" w14:textId="77777777" w:rsidR="00AC41AE" w:rsidRDefault="00000000">
            <w:r>
              <w:rPr>
                <w:rFonts w:ascii="Arial" w:hAnsi="Arial"/>
                <w:sz w:val="18"/>
              </w:rPr>
              <w:t>Manufacturing - Steel</w:t>
            </w:r>
          </w:p>
        </w:tc>
        <w:tc>
          <w:tcPr>
            <w:tcW w:w="1505" w:type="dxa"/>
          </w:tcPr>
          <w:p w14:paraId="5ABE2E00" w14:textId="77777777" w:rsidR="00AC41AE" w:rsidRDefault="00000000">
            <w:pPr>
              <w:jc w:val="right"/>
            </w:pPr>
            <w:r>
              <w:rPr>
                <w:rFonts w:ascii="Arial" w:hAnsi="Arial"/>
                <w:sz w:val="18"/>
              </w:rPr>
              <w:t>3,499,463</w:t>
            </w:r>
          </w:p>
        </w:tc>
        <w:tc>
          <w:tcPr>
            <w:tcW w:w="1505" w:type="dxa"/>
          </w:tcPr>
          <w:p w14:paraId="4CF7A2CC" w14:textId="77777777" w:rsidR="00AC41AE" w:rsidRDefault="00000000">
            <w:pPr>
              <w:jc w:val="right"/>
            </w:pPr>
            <w:r>
              <w:rPr>
                <w:rFonts w:ascii="Arial" w:hAnsi="Arial"/>
                <w:sz w:val="18"/>
              </w:rPr>
              <w:t>2,228,740</w:t>
            </w:r>
          </w:p>
        </w:tc>
        <w:tc>
          <w:tcPr>
            <w:tcW w:w="1505" w:type="dxa"/>
          </w:tcPr>
          <w:p w14:paraId="532D3C0F" w14:textId="77777777" w:rsidR="00AC41AE" w:rsidRDefault="00000000">
            <w:pPr>
              <w:jc w:val="right"/>
            </w:pPr>
            <w:r>
              <w:rPr>
                <w:rFonts w:ascii="Arial" w:hAnsi="Arial"/>
                <w:sz w:val="18"/>
              </w:rPr>
              <w:t>7.05</w:t>
            </w:r>
          </w:p>
        </w:tc>
        <w:tc>
          <w:tcPr>
            <w:tcW w:w="1505" w:type="dxa"/>
          </w:tcPr>
          <w:p w14:paraId="0965DE06" w14:textId="77777777" w:rsidR="00AC41AE" w:rsidRDefault="00000000">
            <w:pPr>
              <w:jc w:val="right"/>
            </w:pPr>
            <w:r>
              <w:rPr>
                <w:rFonts w:ascii="Arial" w:hAnsi="Arial"/>
                <w:sz w:val="18"/>
              </w:rPr>
              <w:t>14.6</w:t>
            </w:r>
          </w:p>
        </w:tc>
        <w:tc>
          <w:tcPr>
            <w:tcW w:w="1505" w:type="dxa"/>
          </w:tcPr>
          <w:p w14:paraId="2403461A" w14:textId="77777777" w:rsidR="00AC41AE" w:rsidRDefault="00000000">
            <w:pPr>
              <w:jc w:val="right"/>
            </w:pPr>
            <w:r>
              <w:rPr>
                <w:rFonts w:ascii="Arial" w:hAnsi="Arial"/>
                <w:sz w:val="18"/>
              </w:rPr>
              <w:t>3.35</w:t>
            </w:r>
          </w:p>
        </w:tc>
      </w:tr>
      <w:tr w:rsidR="00AC41AE" w14:paraId="7A68BFB1" w14:textId="77777777">
        <w:trPr>
          <w:jc w:val="center"/>
        </w:trPr>
        <w:tc>
          <w:tcPr>
            <w:tcW w:w="1505" w:type="dxa"/>
            <w:shd w:val="clear" w:color="auto" w:fill="F2F6FC"/>
          </w:tcPr>
          <w:p w14:paraId="54602260" w14:textId="77777777" w:rsidR="00AC41AE" w:rsidRDefault="00000000">
            <w:r>
              <w:rPr>
                <w:rFonts w:ascii="Arial" w:hAnsi="Arial"/>
                <w:sz w:val="18"/>
              </w:rPr>
              <w:t>Transportation - Road</w:t>
            </w:r>
          </w:p>
        </w:tc>
        <w:tc>
          <w:tcPr>
            <w:tcW w:w="1505" w:type="dxa"/>
            <w:shd w:val="clear" w:color="auto" w:fill="F2F6FC"/>
          </w:tcPr>
          <w:p w14:paraId="0713AB53" w14:textId="77777777" w:rsidR="00AC41AE" w:rsidRDefault="00000000">
            <w:pPr>
              <w:jc w:val="right"/>
            </w:pPr>
            <w:r>
              <w:rPr>
                <w:rFonts w:ascii="Arial" w:hAnsi="Arial"/>
                <w:sz w:val="18"/>
              </w:rPr>
              <w:t>1,227,020</w:t>
            </w:r>
          </w:p>
        </w:tc>
        <w:tc>
          <w:tcPr>
            <w:tcW w:w="1505" w:type="dxa"/>
            <w:shd w:val="clear" w:color="auto" w:fill="F2F6FC"/>
          </w:tcPr>
          <w:p w14:paraId="18A03897" w14:textId="77777777" w:rsidR="00AC41AE" w:rsidRDefault="00000000">
            <w:pPr>
              <w:jc w:val="right"/>
            </w:pPr>
            <w:r>
              <w:rPr>
                <w:rFonts w:ascii="Arial" w:hAnsi="Arial"/>
                <w:sz w:val="18"/>
              </w:rPr>
              <w:t>864,356</w:t>
            </w:r>
          </w:p>
        </w:tc>
        <w:tc>
          <w:tcPr>
            <w:tcW w:w="1505" w:type="dxa"/>
            <w:shd w:val="clear" w:color="auto" w:fill="F2F6FC"/>
          </w:tcPr>
          <w:p w14:paraId="55A7BD7D" w14:textId="77777777" w:rsidR="00AC41AE" w:rsidRDefault="00000000">
            <w:pPr>
              <w:jc w:val="right"/>
            </w:pPr>
            <w:r>
              <w:rPr>
                <w:rFonts w:ascii="Arial" w:hAnsi="Arial"/>
                <w:sz w:val="18"/>
              </w:rPr>
              <w:t>10.09</w:t>
            </w:r>
          </w:p>
        </w:tc>
        <w:tc>
          <w:tcPr>
            <w:tcW w:w="1505" w:type="dxa"/>
            <w:shd w:val="clear" w:color="auto" w:fill="F2F6FC"/>
          </w:tcPr>
          <w:p w14:paraId="1F1D4CF0" w14:textId="77777777" w:rsidR="00AC41AE" w:rsidRDefault="00000000">
            <w:pPr>
              <w:jc w:val="right"/>
            </w:pPr>
            <w:r>
              <w:rPr>
                <w:rFonts w:ascii="Arial" w:hAnsi="Arial"/>
                <w:sz w:val="18"/>
              </w:rPr>
              <w:t>5.7</w:t>
            </w:r>
          </w:p>
        </w:tc>
        <w:tc>
          <w:tcPr>
            <w:tcW w:w="1505" w:type="dxa"/>
            <w:shd w:val="clear" w:color="auto" w:fill="F2F6FC"/>
          </w:tcPr>
          <w:p w14:paraId="421D5593" w14:textId="77777777" w:rsidR="00AC41AE" w:rsidRDefault="00000000">
            <w:pPr>
              <w:jc w:val="right"/>
            </w:pPr>
            <w:r>
              <w:rPr>
                <w:rFonts w:ascii="Arial" w:hAnsi="Arial"/>
                <w:sz w:val="18"/>
              </w:rPr>
              <w:t>3.36</w:t>
            </w:r>
          </w:p>
        </w:tc>
      </w:tr>
      <w:tr w:rsidR="00AC41AE" w14:paraId="4D64471B" w14:textId="77777777">
        <w:trPr>
          <w:jc w:val="center"/>
        </w:trPr>
        <w:tc>
          <w:tcPr>
            <w:tcW w:w="1505" w:type="dxa"/>
          </w:tcPr>
          <w:p w14:paraId="1F8EDA98" w14:textId="77777777" w:rsidR="00AC41AE" w:rsidRDefault="00000000">
            <w:r>
              <w:rPr>
                <w:rFonts w:ascii="Arial" w:hAnsi="Arial"/>
                <w:sz w:val="18"/>
              </w:rPr>
              <w:t>Manufacturing - Food &amp; Beverage</w:t>
            </w:r>
          </w:p>
        </w:tc>
        <w:tc>
          <w:tcPr>
            <w:tcW w:w="1505" w:type="dxa"/>
          </w:tcPr>
          <w:p w14:paraId="4664C545" w14:textId="77777777" w:rsidR="00AC41AE" w:rsidRDefault="00000000">
            <w:pPr>
              <w:jc w:val="right"/>
            </w:pPr>
            <w:r>
              <w:rPr>
                <w:rFonts w:ascii="Arial" w:hAnsi="Arial"/>
                <w:sz w:val="18"/>
              </w:rPr>
              <w:t>936,111</w:t>
            </w:r>
          </w:p>
        </w:tc>
        <w:tc>
          <w:tcPr>
            <w:tcW w:w="1505" w:type="dxa"/>
          </w:tcPr>
          <w:p w14:paraId="22F0CFEB" w14:textId="77777777" w:rsidR="00AC41AE" w:rsidRDefault="00000000">
            <w:pPr>
              <w:jc w:val="right"/>
            </w:pPr>
            <w:r>
              <w:rPr>
                <w:rFonts w:ascii="Arial" w:hAnsi="Arial"/>
                <w:sz w:val="18"/>
              </w:rPr>
              <w:t>653,414</w:t>
            </w:r>
          </w:p>
        </w:tc>
        <w:tc>
          <w:tcPr>
            <w:tcW w:w="1505" w:type="dxa"/>
          </w:tcPr>
          <w:p w14:paraId="0B653AC6" w14:textId="77777777" w:rsidR="00AC41AE" w:rsidRDefault="00000000">
            <w:pPr>
              <w:jc w:val="right"/>
            </w:pPr>
            <w:r>
              <w:rPr>
                <w:rFonts w:ascii="Arial" w:hAnsi="Arial"/>
                <w:sz w:val="18"/>
              </w:rPr>
              <w:t>10.97</w:t>
            </w:r>
          </w:p>
        </w:tc>
        <w:tc>
          <w:tcPr>
            <w:tcW w:w="1505" w:type="dxa"/>
          </w:tcPr>
          <w:p w14:paraId="458C6D96" w14:textId="77777777" w:rsidR="00AC41AE" w:rsidRDefault="00000000">
            <w:pPr>
              <w:jc w:val="right"/>
            </w:pPr>
            <w:r>
              <w:rPr>
                <w:rFonts w:ascii="Arial" w:hAnsi="Arial"/>
                <w:sz w:val="18"/>
              </w:rPr>
              <w:t>4.3</w:t>
            </w:r>
          </w:p>
        </w:tc>
        <w:tc>
          <w:tcPr>
            <w:tcW w:w="1505" w:type="dxa"/>
          </w:tcPr>
          <w:p w14:paraId="3754DB0D" w14:textId="77777777" w:rsidR="00AC41AE" w:rsidRDefault="00000000">
            <w:pPr>
              <w:jc w:val="right"/>
            </w:pPr>
            <w:r>
              <w:rPr>
                <w:rFonts w:ascii="Arial" w:hAnsi="Arial"/>
                <w:sz w:val="18"/>
              </w:rPr>
              <w:t>3.35</w:t>
            </w:r>
          </w:p>
        </w:tc>
      </w:tr>
      <w:tr w:rsidR="00AC41AE" w14:paraId="54428BFE" w14:textId="77777777">
        <w:trPr>
          <w:jc w:val="center"/>
        </w:trPr>
        <w:tc>
          <w:tcPr>
            <w:tcW w:w="1505" w:type="dxa"/>
            <w:shd w:val="clear" w:color="auto" w:fill="F2F6FC"/>
          </w:tcPr>
          <w:p w14:paraId="1B08B84B" w14:textId="77777777" w:rsidR="00AC41AE" w:rsidRDefault="00000000">
            <w:r>
              <w:rPr>
                <w:rFonts w:ascii="Arial" w:hAnsi="Arial"/>
                <w:sz w:val="18"/>
              </w:rPr>
              <w:t>Agriculture</w:t>
            </w:r>
          </w:p>
        </w:tc>
        <w:tc>
          <w:tcPr>
            <w:tcW w:w="1505" w:type="dxa"/>
            <w:shd w:val="clear" w:color="auto" w:fill="F2F6FC"/>
          </w:tcPr>
          <w:p w14:paraId="3892D4C9" w14:textId="77777777" w:rsidR="00AC41AE" w:rsidRDefault="00000000">
            <w:pPr>
              <w:jc w:val="right"/>
            </w:pPr>
            <w:r>
              <w:rPr>
                <w:rFonts w:ascii="Arial" w:hAnsi="Arial"/>
                <w:sz w:val="18"/>
              </w:rPr>
              <w:t>288,493</w:t>
            </w:r>
          </w:p>
        </w:tc>
        <w:tc>
          <w:tcPr>
            <w:tcW w:w="1505" w:type="dxa"/>
            <w:shd w:val="clear" w:color="auto" w:fill="F2F6FC"/>
          </w:tcPr>
          <w:p w14:paraId="73F9FE0E" w14:textId="77777777" w:rsidR="00AC41AE" w:rsidRDefault="00000000">
            <w:pPr>
              <w:jc w:val="right"/>
            </w:pPr>
            <w:r>
              <w:rPr>
                <w:rFonts w:ascii="Arial" w:hAnsi="Arial"/>
                <w:sz w:val="18"/>
              </w:rPr>
              <w:t>183,548</w:t>
            </w:r>
          </w:p>
        </w:tc>
        <w:tc>
          <w:tcPr>
            <w:tcW w:w="1505" w:type="dxa"/>
            <w:shd w:val="clear" w:color="auto" w:fill="F2F6FC"/>
          </w:tcPr>
          <w:p w14:paraId="58945386" w14:textId="77777777" w:rsidR="00AC41AE" w:rsidRDefault="00000000">
            <w:pPr>
              <w:jc w:val="right"/>
            </w:pPr>
            <w:r>
              <w:rPr>
                <w:rFonts w:ascii="Arial" w:hAnsi="Arial"/>
                <w:sz w:val="18"/>
              </w:rPr>
              <w:t>7.71</w:t>
            </w:r>
          </w:p>
        </w:tc>
        <w:tc>
          <w:tcPr>
            <w:tcW w:w="1505" w:type="dxa"/>
            <w:shd w:val="clear" w:color="auto" w:fill="F2F6FC"/>
          </w:tcPr>
          <w:p w14:paraId="4D552002" w14:textId="77777777" w:rsidR="00AC41AE" w:rsidRDefault="00000000">
            <w:pPr>
              <w:jc w:val="right"/>
            </w:pPr>
            <w:r>
              <w:rPr>
                <w:rFonts w:ascii="Arial" w:hAnsi="Arial"/>
                <w:sz w:val="18"/>
              </w:rPr>
              <w:t>1.2</w:t>
            </w:r>
          </w:p>
        </w:tc>
        <w:tc>
          <w:tcPr>
            <w:tcW w:w="1505" w:type="dxa"/>
            <w:shd w:val="clear" w:color="auto" w:fill="F2F6FC"/>
          </w:tcPr>
          <w:p w14:paraId="55B9CEE2" w14:textId="77777777" w:rsidR="00AC41AE" w:rsidRDefault="00000000">
            <w:pPr>
              <w:jc w:val="right"/>
            </w:pPr>
            <w:r>
              <w:rPr>
                <w:rFonts w:ascii="Arial" w:hAnsi="Arial"/>
                <w:sz w:val="18"/>
              </w:rPr>
              <w:t>3.41</w:t>
            </w:r>
          </w:p>
        </w:tc>
      </w:tr>
      <w:tr w:rsidR="00AC41AE" w14:paraId="2D620B11" w14:textId="77777777">
        <w:trPr>
          <w:jc w:val="center"/>
        </w:trPr>
        <w:tc>
          <w:tcPr>
            <w:tcW w:w="1505" w:type="dxa"/>
          </w:tcPr>
          <w:p w14:paraId="18016B96" w14:textId="77777777" w:rsidR="00AC41AE" w:rsidRDefault="00000000">
            <w:r>
              <w:rPr>
                <w:rFonts w:ascii="Arial" w:hAnsi="Arial"/>
                <w:sz w:val="18"/>
              </w:rPr>
              <w:t>Real Estate - Commercial</w:t>
            </w:r>
          </w:p>
        </w:tc>
        <w:tc>
          <w:tcPr>
            <w:tcW w:w="1505" w:type="dxa"/>
          </w:tcPr>
          <w:p w14:paraId="09892AF1" w14:textId="77777777" w:rsidR="00AC41AE" w:rsidRDefault="00000000">
            <w:pPr>
              <w:jc w:val="right"/>
            </w:pPr>
            <w:r>
              <w:rPr>
                <w:rFonts w:ascii="Arial" w:hAnsi="Arial"/>
                <w:sz w:val="18"/>
              </w:rPr>
              <w:t>231,235</w:t>
            </w:r>
          </w:p>
        </w:tc>
        <w:tc>
          <w:tcPr>
            <w:tcW w:w="1505" w:type="dxa"/>
          </w:tcPr>
          <w:p w14:paraId="6E412408" w14:textId="77777777" w:rsidR="00AC41AE" w:rsidRDefault="00000000">
            <w:pPr>
              <w:jc w:val="right"/>
            </w:pPr>
            <w:r>
              <w:rPr>
                <w:rFonts w:ascii="Arial" w:hAnsi="Arial"/>
                <w:sz w:val="18"/>
              </w:rPr>
              <w:t>158,419</w:t>
            </w:r>
          </w:p>
        </w:tc>
        <w:tc>
          <w:tcPr>
            <w:tcW w:w="1505" w:type="dxa"/>
          </w:tcPr>
          <w:p w14:paraId="541047DB" w14:textId="77777777" w:rsidR="00AC41AE" w:rsidRDefault="00000000">
            <w:pPr>
              <w:jc w:val="right"/>
            </w:pPr>
            <w:r>
              <w:rPr>
                <w:rFonts w:ascii="Arial" w:hAnsi="Arial"/>
                <w:sz w:val="18"/>
              </w:rPr>
              <w:t>16.27</w:t>
            </w:r>
          </w:p>
        </w:tc>
        <w:tc>
          <w:tcPr>
            <w:tcW w:w="1505" w:type="dxa"/>
          </w:tcPr>
          <w:p w14:paraId="0FA18DA1" w14:textId="77777777" w:rsidR="00AC41AE" w:rsidRDefault="00000000">
            <w:pPr>
              <w:jc w:val="right"/>
            </w:pPr>
            <w:r>
              <w:rPr>
                <w:rFonts w:ascii="Arial" w:hAnsi="Arial"/>
                <w:sz w:val="18"/>
              </w:rPr>
              <w:t>1.0</w:t>
            </w:r>
          </w:p>
        </w:tc>
        <w:tc>
          <w:tcPr>
            <w:tcW w:w="1505" w:type="dxa"/>
          </w:tcPr>
          <w:p w14:paraId="43C310A3" w14:textId="77777777" w:rsidR="00AC41AE" w:rsidRDefault="00000000">
            <w:pPr>
              <w:jc w:val="right"/>
            </w:pPr>
            <w:r>
              <w:rPr>
                <w:rFonts w:ascii="Arial" w:hAnsi="Arial"/>
                <w:sz w:val="18"/>
              </w:rPr>
              <w:t>3.27</w:t>
            </w:r>
          </w:p>
        </w:tc>
      </w:tr>
      <w:tr w:rsidR="00AC41AE" w14:paraId="2193B9C0" w14:textId="77777777">
        <w:trPr>
          <w:jc w:val="center"/>
        </w:trPr>
        <w:tc>
          <w:tcPr>
            <w:tcW w:w="1505" w:type="dxa"/>
            <w:shd w:val="clear" w:color="auto" w:fill="F2F6FC"/>
          </w:tcPr>
          <w:p w14:paraId="254F5A74" w14:textId="77777777" w:rsidR="00AC41AE" w:rsidRDefault="00000000">
            <w:r>
              <w:rPr>
                <w:rFonts w:ascii="Arial" w:hAnsi="Arial"/>
                <w:sz w:val="18"/>
              </w:rPr>
              <w:t>Retail Trade</w:t>
            </w:r>
          </w:p>
        </w:tc>
        <w:tc>
          <w:tcPr>
            <w:tcW w:w="1505" w:type="dxa"/>
            <w:shd w:val="clear" w:color="auto" w:fill="F2F6FC"/>
          </w:tcPr>
          <w:p w14:paraId="704DCE5B" w14:textId="77777777" w:rsidR="00AC41AE" w:rsidRDefault="00000000">
            <w:pPr>
              <w:jc w:val="right"/>
            </w:pPr>
            <w:r>
              <w:rPr>
                <w:rFonts w:ascii="Arial" w:hAnsi="Arial"/>
                <w:sz w:val="18"/>
              </w:rPr>
              <w:t>226,341</w:t>
            </w:r>
          </w:p>
        </w:tc>
        <w:tc>
          <w:tcPr>
            <w:tcW w:w="1505" w:type="dxa"/>
            <w:shd w:val="clear" w:color="auto" w:fill="F2F6FC"/>
          </w:tcPr>
          <w:p w14:paraId="73F27E6E" w14:textId="77777777" w:rsidR="00AC41AE" w:rsidRDefault="00000000">
            <w:pPr>
              <w:jc w:val="right"/>
            </w:pPr>
            <w:r>
              <w:rPr>
                <w:rFonts w:ascii="Arial" w:hAnsi="Arial"/>
                <w:sz w:val="18"/>
              </w:rPr>
              <w:t>140,813</w:t>
            </w:r>
          </w:p>
        </w:tc>
        <w:tc>
          <w:tcPr>
            <w:tcW w:w="1505" w:type="dxa"/>
            <w:shd w:val="clear" w:color="auto" w:fill="F2F6FC"/>
          </w:tcPr>
          <w:p w14:paraId="38E92817" w14:textId="77777777" w:rsidR="00AC41AE" w:rsidRDefault="00000000">
            <w:pPr>
              <w:jc w:val="right"/>
            </w:pPr>
            <w:r>
              <w:rPr>
                <w:rFonts w:ascii="Arial" w:hAnsi="Arial"/>
                <w:sz w:val="18"/>
              </w:rPr>
              <w:t>9.92</w:t>
            </w:r>
          </w:p>
        </w:tc>
        <w:tc>
          <w:tcPr>
            <w:tcW w:w="1505" w:type="dxa"/>
            <w:shd w:val="clear" w:color="auto" w:fill="F2F6FC"/>
          </w:tcPr>
          <w:p w14:paraId="63B3C402" w14:textId="77777777" w:rsidR="00AC41AE" w:rsidRDefault="00000000">
            <w:pPr>
              <w:jc w:val="right"/>
            </w:pPr>
            <w:r>
              <w:rPr>
                <w:rFonts w:ascii="Arial" w:hAnsi="Arial"/>
                <w:sz w:val="18"/>
              </w:rPr>
              <w:t>0.9</w:t>
            </w:r>
          </w:p>
        </w:tc>
        <w:tc>
          <w:tcPr>
            <w:tcW w:w="1505" w:type="dxa"/>
            <w:shd w:val="clear" w:color="auto" w:fill="F2F6FC"/>
          </w:tcPr>
          <w:p w14:paraId="02736FC6" w14:textId="77777777" w:rsidR="00AC41AE" w:rsidRDefault="00000000">
            <w:pPr>
              <w:jc w:val="right"/>
            </w:pPr>
            <w:r>
              <w:rPr>
                <w:rFonts w:ascii="Arial" w:hAnsi="Arial"/>
                <w:sz w:val="18"/>
              </w:rPr>
              <w:t>3.21</w:t>
            </w:r>
          </w:p>
        </w:tc>
      </w:tr>
      <w:tr w:rsidR="00AC41AE" w14:paraId="19C1368D" w14:textId="77777777">
        <w:trPr>
          <w:jc w:val="center"/>
        </w:trPr>
        <w:tc>
          <w:tcPr>
            <w:tcW w:w="1505" w:type="dxa"/>
          </w:tcPr>
          <w:p w14:paraId="3B49C4C8" w14:textId="77777777" w:rsidR="00AC41AE" w:rsidRDefault="00000000">
            <w:r>
              <w:rPr>
                <w:rFonts w:ascii="Arial" w:hAnsi="Arial"/>
                <w:sz w:val="18"/>
              </w:rPr>
              <w:t>Real Estate - Residential</w:t>
            </w:r>
          </w:p>
        </w:tc>
        <w:tc>
          <w:tcPr>
            <w:tcW w:w="1505" w:type="dxa"/>
          </w:tcPr>
          <w:p w14:paraId="180F08D2" w14:textId="77777777" w:rsidR="00AC41AE" w:rsidRDefault="00000000">
            <w:pPr>
              <w:jc w:val="right"/>
            </w:pPr>
            <w:r>
              <w:rPr>
                <w:rFonts w:ascii="Arial" w:hAnsi="Arial"/>
                <w:sz w:val="18"/>
              </w:rPr>
              <w:t>107,465</w:t>
            </w:r>
          </w:p>
        </w:tc>
        <w:tc>
          <w:tcPr>
            <w:tcW w:w="1505" w:type="dxa"/>
          </w:tcPr>
          <w:p w14:paraId="13D223CD" w14:textId="77777777" w:rsidR="00AC41AE" w:rsidRDefault="00000000">
            <w:pPr>
              <w:jc w:val="right"/>
            </w:pPr>
            <w:r>
              <w:rPr>
                <w:rFonts w:ascii="Arial" w:hAnsi="Arial"/>
                <w:sz w:val="18"/>
              </w:rPr>
              <w:t>79,159</w:t>
            </w:r>
          </w:p>
        </w:tc>
        <w:tc>
          <w:tcPr>
            <w:tcW w:w="1505" w:type="dxa"/>
          </w:tcPr>
          <w:p w14:paraId="7FB43C32" w14:textId="77777777" w:rsidR="00AC41AE" w:rsidRDefault="00000000">
            <w:pPr>
              <w:jc w:val="right"/>
            </w:pPr>
            <w:r>
              <w:rPr>
                <w:rFonts w:ascii="Arial" w:hAnsi="Arial"/>
                <w:sz w:val="18"/>
              </w:rPr>
              <w:t>10.93</w:t>
            </w:r>
          </w:p>
        </w:tc>
        <w:tc>
          <w:tcPr>
            <w:tcW w:w="1505" w:type="dxa"/>
          </w:tcPr>
          <w:p w14:paraId="40764A5E" w14:textId="77777777" w:rsidR="00AC41AE" w:rsidRDefault="00000000">
            <w:pPr>
              <w:jc w:val="right"/>
            </w:pPr>
            <w:r>
              <w:rPr>
                <w:rFonts w:ascii="Arial" w:hAnsi="Arial"/>
                <w:sz w:val="18"/>
              </w:rPr>
              <w:t>0.5</w:t>
            </w:r>
          </w:p>
        </w:tc>
        <w:tc>
          <w:tcPr>
            <w:tcW w:w="1505" w:type="dxa"/>
          </w:tcPr>
          <w:p w14:paraId="150FC9E6" w14:textId="77777777" w:rsidR="00AC41AE" w:rsidRDefault="00000000">
            <w:pPr>
              <w:jc w:val="right"/>
            </w:pPr>
            <w:r>
              <w:rPr>
                <w:rFonts w:ascii="Arial" w:hAnsi="Arial"/>
                <w:sz w:val="18"/>
              </w:rPr>
              <w:t>3.32</w:t>
            </w:r>
          </w:p>
        </w:tc>
      </w:tr>
      <w:tr w:rsidR="00AC41AE" w14:paraId="62EF5A5F" w14:textId="77777777">
        <w:trPr>
          <w:jc w:val="center"/>
        </w:trPr>
        <w:tc>
          <w:tcPr>
            <w:tcW w:w="1505" w:type="dxa"/>
            <w:shd w:val="clear" w:color="auto" w:fill="F2F6FC"/>
          </w:tcPr>
          <w:p w14:paraId="24568954" w14:textId="77777777" w:rsidR="00AC41AE" w:rsidRDefault="00000000">
            <w:r>
              <w:rPr>
                <w:rFonts w:ascii="Arial" w:hAnsi="Arial"/>
                <w:sz w:val="18"/>
              </w:rPr>
              <w:t>Financial Services</w:t>
            </w:r>
          </w:p>
        </w:tc>
        <w:tc>
          <w:tcPr>
            <w:tcW w:w="1505" w:type="dxa"/>
            <w:shd w:val="clear" w:color="auto" w:fill="F2F6FC"/>
          </w:tcPr>
          <w:p w14:paraId="26DF27A5" w14:textId="77777777" w:rsidR="00AC41AE" w:rsidRDefault="00000000">
            <w:pPr>
              <w:jc w:val="right"/>
            </w:pPr>
            <w:r>
              <w:rPr>
                <w:rFonts w:ascii="Arial" w:hAnsi="Arial"/>
                <w:sz w:val="18"/>
              </w:rPr>
              <w:t>73,694</w:t>
            </w:r>
          </w:p>
        </w:tc>
        <w:tc>
          <w:tcPr>
            <w:tcW w:w="1505" w:type="dxa"/>
            <w:shd w:val="clear" w:color="auto" w:fill="F2F6FC"/>
          </w:tcPr>
          <w:p w14:paraId="5A00AD65" w14:textId="77777777" w:rsidR="00AC41AE" w:rsidRDefault="00000000">
            <w:pPr>
              <w:jc w:val="right"/>
            </w:pPr>
            <w:r>
              <w:rPr>
                <w:rFonts w:ascii="Arial" w:hAnsi="Arial"/>
                <w:sz w:val="18"/>
              </w:rPr>
              <w:t>49,718</w:t>
            </w:r>
          </w:p>
        </w:tc>
        <w:tc>
          <w:tcPr>
            <w:tcW w:w="1505" w:type="dxa"/>
            <w:shd w:val="clear" w:color="auto" w:fill="F2F6FC"/>
          </w:tcPr>
          <w:p w14:paraId="6708EE54" w14:textId="77777777" w:rsidR="00AC41AE" w:rsidRDefault="00000000">
            <w:pPr>
              <w:jc w:val="right"/>
            </w:pPr>
            <w:r>
              <w:rPr>
                <w:rFonts w:ascii="Arial" w:hAnsi="Arial"/>
                <w:sz w:val="18"/>
              </w:rPr>
              <w:t>13.41</w:t>
            </w:r>
          </w:p>
        </w:tc>
        <w:tc>
          <w:tcPr>
            <w:tcW w:w="1505" w:type="dxa"/>
            <w:shd w:val="clear" w:color="auto" w:fill="F2F6FC"/>
          </w:tcPr>
          <w:p w14:paraId="5CAC0945" w14:textId="77777777" w:rsidR="00AC41AE" w:rsidRDefault="00000000">
            <w:pPr>
              <w:jc w:val="right"/>
            </w:pPr>
            <w:r>
              <w:rPr>
                <w:rFonts w:ascii="Arial" w:hAnsi="Arial"/>
                <w:sz w:val="18"/>
              </w:rPr>
              <w:t>0.3</w:t>
            </w:r>
          </w:p>
        </w:tc>
        <w:tc>
          <w:tcPr>
            <w:tcW w:w="1505" w:type="dxa"/>
            <w:shd w:val="clear" w:color="auto" w:fill="F2F6FC"/>
          </w:tcPr>
          <w:p w14:paraId="4EEC8677" w14:textId="77777777" w:rsidR="00AC41AE" w:rsidRDefault="00000000">
            <w:pPr>
              <w:jc w:val="right"/>
            </w:pPr>
            <w:r>
              <w:rPr>
                <w:rFonts w:ascii="Arial" w:hAnsi="Arial"/>
                <w:sz w:val="18"/>
              </w:rPr>
              <w:t>3.42</w:t>
            </w:r>
          </w:p>
        </w:tc>
      </w:tr>
    </w:tbl>
    <w:p w14:paraId="136AD1DF" w14:textId="77777777" w:rsidR="00AC41AE" w:rsidRDefault="00000000">
      <w:r>
        <w:rPr>
          <w:rFonts w:ascii="Arial" w:hAnsi="Arial"/>
          <w:i/>
          <w:sz w:val="16"/>
        </w:rPr>
        <w:t>Source: Source: Internal PCAF calculation based on 2024 loan portfolio data. Gross emissions represent full proportional attribution; confidence-weighted emissions apply PCAF data quality adjustment factors.</w:t>
      </w:r>
    </w:p>
    <w:p w14:paraId="040205F2" w14:textId="77777777" w:rsidR="00AC41AE" w:rsidRDefault="00AC41AE"/>
    <w:p w14:paraId="5CAAD5A7" w14:textId="77777777" w:rsidR="00AC41AE" w:rsidRDefault="00AC41AE"/>
    <w:p w14:paraId="20D33F1D" w14:textId="77777777" w:rsidR="00AC41AE" w:rsidRDefault="00000000">
      <w:r>
        <w:rPr>
          <w:noProof/>
        </w:rPr>
        <w:lastRenderedPageBreak/>
        <w:drawing>
          <wp:inline distT="0" distB="0" distL="0" distR="0" wp14:anchorId="1D452B4C" wp14:editId="019ACC45">
            <wp:extent cx="5029200" cy="261928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029200" cy="2619282"/>
                    </a:xfrm>
                    <a:prstGeom prst="rect">
                      <a:avLst/>
                    </a:prstGeom>
                  </pic:spPr>
                </pic:pic>
              </a:graphicData>
            </a:graphic>
          </wp:inline>
        </w:drawing>
      </w:r>
    </w:p>
    <w:p w14:paraId="6328EE09" w14:textId="77777777" w:rsidR="00AC41AE" w:rsidRDefault="00000000">
      <w:pPr>
        <w:jc w:val="center"/>
      </w:pPr>
      <w:r>
        <w:rPr>
          <w:i/>
          <w:color w:val="666666"/>
          <w:sz w:val="18"/>
        </w:rPr>
        <w:t>Figure 11: Financed Emissions by Sector — Top 10 Contributors (Confidence-Weighted, tCO₂e)</w:t>
      </w:r>
    </w:p>
    <w:p w14:paraId="3440B972" w14:textId="77777777" w:rsidR="00AC41AE" w:rsidRDefault="00000000">
      <w:pPr>
        <w:jc w:val="center"/>
      </w:pPr>
      <w:r>
        <w:rPr>
          <w:i/>
          <w:color w:val="757575"/>
          <w:sz w:val="18"/>
        </w:rPr>
        <w:t>Oil &amp; Gas dominates at 44.2% of financed emissions despite 6.7% portfolio share — primary decarbonization lever requires sectoral rebalancing and client transition engagement</w:t>
      </w:r>
    </w:p>
    <w:p w14:paraId="32170CA7" w14:textId="77777777" w:rsidR="00AC41AE" w:rsidRDefault="00AC41AE"/>
    <w:p w14:paraId="394D2C06" w14:textId="77777777" w:rsidR="00AC41AE" w:rsidRDefault="00000000">
      <w:r>
        <w:rPr>
          <w:noProof/>
        </w:rPr>
        <w:drawing>
          <wp:inline distT="0" distB="0" distL="0" distR="0" wp14:anchorId="2A9B1563" wp14:editId="1A9031CA">
            <wp:extent cx="5029200" cy="333205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029200" cy="3332057"/>
                    </a:xfrm>
                    <a:prstGeom prst="rect">
                      <a:avLst/>
                    </a:prstGeom>
                  </pic:spPr>
                </pic:pic>
              </a:graphicData>
            </a:graphic>
          </wp:inline>
        </w:drawing>
      </w:r>
    </w:p>
    <w:p w14:paraId="609EB559" w14:textId="77777777" w:rsidR="00AC41AE" w:rsidRDefault="00000000">
      <w:pPr>
        <w:jc w:val="center"/>
      </w:pPr>
      <w:r>
        <w:rPr>
          <w:i/>
          <w:color w:val="666666"/>
          <w:sz w:val="18"/>
        </w:rPr>
        <w:t>Figure 12: Gross vs Confidence-Weighted Financed Emissions (tCO₂e)</w:t>
      </w:r>
    </w:p>
    <w:p w14:paraId="43A00900" w14:textId="77777777" w:rsidR="00AC41AE" w:rsidRDefault="00000000">
      <w:pPr>
        <w:jc w:val="center"/>
      </w:pPr>
      <w:r>
        <w:rPr>
          <w:i/>
          <w:color w:val="757575"/>
          <w:sz w:val="18"/>
        </w:rPr>
        <w:t>30.5% reduction from gross to weighted reflects PCAF data quality adjustment — improving borrower disclosure can narrow this gap and enhance risk assessment precision</w:t>
      </w:r>
    </w:p>
    <w:p w14:paraId="6D860D87" w14:textId="77777777" w:rsidR="00AC41AE" w:rsidRDefault="00AC41AE"/>
    <w:p w14:paraId="4AC1EDA7" w14:textId="77777777" w:rsidR="00AC41AE" w:rsidRDefault="00000000">
      <w:r>
        <w:rPr>
          <w:noProof/>
        </w:rPr>
        <w:lastRenderedPageBreak/>
        <w:drawing>
          <wp:inline distT="0" distB="0" distL="0" distR="0" wp14:anchorId="28D2C18D" wp14:editId="38581208">
            <wp:extent cx="5029200" cy="29921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029200" cy="2992120"/>
                    </a:xfrm>
                    <a:prstGeom prst="rect">
                      <a:avLst/>
                    </a:prstGeom>
                  </pic:spPr>
                </pic:pic>
              </a:graphicData>
            </a:graphic>
          </wp:inline>
        </w:drawing>
      </w:r>
    </w:p>
    <w:p w14:paraId="0CC6F205" w14:textId="77777777" w:rsidR="00AC41AE" w:rsidRDefault="00000000">
      <w:pPr>
        <w:jc w:val="center"/>
      </w:pPr>
      <w:r>
        <w:rPr>
          <w:i/>
          <w:color w:val="666666"/>
          <w:sz w:val="18"/>
        </w:rPr>
        <w:t>Figure 13: Emission Intensity by Sector (tCO₂e per IDR Billion Exposure)</w:t>
      </w:r>
    </w:p>
    <w:p w14:paraId="473F4ED5" w14:textId="77777777" w:rsidR="00AC41AE" w:rsidRDefault="00000000">
      <w:pPr>
        <w:jc w:val="center"/>
      </w:pPr>
      <w:r>
        <w:rPr>
          <w:i/>
          <w:color w:val="757575"/>
          <w:sz w:val="18"/>
        </w:rPr>
        <w:t>Oil &amp; Gas intensity 261x higher than Financial Services — strategic capital reallocation toward low-carbon sectors critical for portfolio decarbonization</w:t>
      </w:r>
    </w:p>
    <w:tbl>
      <w:tblPr>
        <w:tblW w:w="0" w:type="auto"/>
        <w:jc w:val="center"/>
        <w:tblLook w:val="04A0" w:firstRow="1" w:lastRow="0" w:firstColumn="1" w:lastColumn="0" w:noHBand="0" w:noVBand="1"/>
      </w:tblPr>
      <w:tblGrid>
        <w:gridCol w:w="9029"/>
      </w:tblGrid>
      <w:tr w:rsidR="00AC41AE" w14:paraId="2ED149D9" w14:textId="77777777">
        <w:trPr>
          <w:jc w:val="center"/>
        </w:trPr>
        <w:tc>
          <w:tcPr>
            <w:tcW w:w="9029" w:type="dxa"/>
            <w:shd w:val="clear" w:color="auto" w:fill="F2F6FA"/>
          </w:tcPr>
          <w:p w14:paraId="62C010E0" w14:textId="77777777" w:rsidR="00AC41AE" w:rsidRDefault="00000000">
            <w:r>
              <w:rPr>
                <w:b/>
                <w:color w:val="1B3A6B"/>
                <w:sz w:val="18"/>
              </w:rPr>
              <w:t>📊 DIAGNOSTIC ANALYSIS</w:t>
            </w:r>
          </w:p>
          <w:p w14:paraId="7D5456DC" w14:textId="77777777" w:rsidR="00AC41AE" w:rsidRDefault="00000000">
            <w:r>
              <w:rPr>
                <w:sz w:val="20"/>
              </w:rPr>
              <w:t>The institution's financed emissions intensity of 239.4 tCO₂e per IDR billion exposure is driven by legacy lending concentration in fossil fuel extraction and heavy industry. The Oil &amp; Gas sector exhibits emission intensity 261x higher than Financial Services (93.2 vs 0.36 tCO₂e/IDR bn), yet receives comparable credit allocation. Data quality score of 3.36 indicates 85-88% of emissions rely on estimated rather than reported data, limiting precision in risk assessment and target-setting. The absence of year-over-year tracking (2024 as baseline) delays accountability for decarbonization progress. Peer institutions (BRI, DBS) have 2-3 years of PCAF data enabling trend analysis and SBTi validation.</w:t>
            </w:r>
          </w:p>
          <w:p w14:paraId="27952EEF" w14:textId="77777777" w:rsidR="00AC41AE" w:rsidRDefault="00000000">
            <w:r>
              <w:rPr>
                <w:b/>
                <w:sz w:val="20"/>
              </w:rPr>
              <w:t>Root Causes:</w:t>
            </w:r>
          </w:p>
          <w:p w14:paraId="213647CA" w14:textId="77777777" w:rsidR="00AC41AE" w:rsidRDefault="00000000">
            <w:r>
              <w:rPr>
                <w:sz w:val="18"/>
              </w:rPr>
              <w:t>• Historical lending strategy prioritized infrastructure and extractive industries without climate risk integration in credit policies</w:t>
            </w:r>
          </w:p>
          <w:p w14:paraId="3A6CD65E" w14:textId="77777777" w:rsidR="00AC41AE" w:rsidRDefault="00000000">
            <w:r>
              <w:rPr>
                <w:sz w:val="18"/>
              </w:rPr>
              <w:t>• Borrower climate disclosure remains nascent in Indonesia — estimated 12-15% of portfolio provides verified emissions data vs 40-50% at international peers</w:t>
            </w:r>
          </w:p>
          <w:p w14:paraId="7C68A0A6" w14:textId="77777777" w:rsidR="00AC41AE" w:rsidRDefault="00000000">
            <w:r>
              <w:rPr>
                <w:sz w:val="18"/>
              </w:rPr>
              <w:t>• Lack of transition finance products (sustainability-linked loans, green bonds) limits ability to incentivize borrower decarbonization</w:t>
            </w:r>
          </w:p>
          <w:p w14:paraId="54E7EB9A" w14:textId="77777777" w:rsidR="00AC41AE" w:rsidRDefault="00000000">
            <w:r>
              <w:rPr>
                <w:sz w:val="18"/>
              </w:rPr>
              <w:t>• No sectoral decarbonization targets or exclusion policies for high-emission activities (thermal coal, upstream oil &amp; gas expansion)</w:t>
            </w:r>
          </w:p>
          <w:p w14:paraId="604650FB" w14:textId="77777777" w:rsidR="00AC41AE" w:rsidRDefault="00000000">
            <w:r>
              <w:rPr>
                <w:b/>
                <w:sz w:val="20"/>
              </w:rPr>
              <w:t>Risk Implications:</w:t>
            </w:r>
          </w:p>
          <w:p w14:paraId="049D8574" w14:textId="77777777" w:rsidR="00AC41AE" w:rsidRDefault="00000000">
            <w:r>
              <w:rPr>
                <w:sz w:val="18"/>
              </w:rPr>
              <w:t>• Regulatory risk: OJK SEOJK 16/2021 requires climate risk stress testing and scenario analysis by 2025 — current data quality (PCAF 3.36) insufficient for robust modeling</w:t>
            </w:r>
          </w:p>
          <w:p w14:paraId="2A156592" w14:textId="77777777" w:rsidR="00AC41AE" w:rsidRDefault="00000000">
            <w:r>
              <w:rPr>
                <w:sz w:val="18"/>
              </w:rPr>
              <w:t xml:space="preserve">• Reputational risk: Peer institutions (BRI SBTi commitment, BCA sectoral policies) advancing faster — laggard </w:t>
            </w:r>
            <w:r>
              <w:rPr>
                <w:sz w:val="18"/>
              </w:rPr>
              <w:lastRenderedPageBreak/>
              <w:t>positioning may trigger NGO campaigns and investor divestment pressure</w:t>
            </w:r>
          </w:p>
          <w:p w14:paraId="11E64EE2" w14:textId="77777777" w:rsidR="00AC41AE" w:rsidRDefault="00000000">
            <w:r>
              <w:rPr>
                <w:sz w:val="18"/>
              </w:rPr>
              <w:t>• Transition risk: 44% of financed emissions in Oil &amp; Gas sector faces stranded asset risk under IEA Net Zero scenario — potential credit losses if borrowers fail to adapt</w:t>
            </w:r>
          </w:p>
          <w:p w14:paraId="4B6CFA75" w14:textId="77777777" w:rsidR="00AC41AE" w:rsidRDefault="00000000">
            <w:r>
              <w:rPr>
                <w:sz w:val="18"/>
              </w:rPr>
              <w:t>• Market risk: Indonesia's 2060 net-zero pledge and carbon pricing mechanisms (piloted 2024) will increase compliance costs for high-emission borrowers, affecting debt serviceability</w:t>
            </w:r>
          </w:p>
        </w:tc>
      </w:tr>
    </w:tbl>
    <w:p w14:paraId="2E0AE087" w14:textId="77777777" w:rsidR="00AC41AE" w:rsidRDefault="00AC41AE"/>
    <w:p w14:paraId="72545496" w14:textId="77777777" w:rsidR="00AC41AE" w:rsidRDefault="00AC41AE"/>
    <w:p w14:paraId="283DEB84" w14:textId="77777777" w:rsidR="00AC41AE" w:rsidRDefault="00000000">
      <w:r>
        <w:rPr>
          <w:b/>
          <w:color w:val="2E7D32"/>
          <w:sz w:val="24"/>
        </w:rPr>
        <w:t>⚡ Priority Actions</w:t>
      </w:r>
    </w:p>
    <w:p w14:paraId="6A80E584" w14:textId="77777777" w:rsidR="00AC41AE" w:rsidRDefault="00000000">
      <w:r>
        <w:rPr>
          <w:b/>
        </w:rPr>
        <w:t>🔴 1. Submit SBTi commitment letter with sectoral decarbonization pathways for Oil &amp; Gas, Cement, and Steel aligned to 1.5°C trajectory. Establish 2030 interim targets: 25% reduction in financed emissions intensity (tCO₂e/IDR bn) from 2024 baseline.</w:t>
      </w:r>
      <w:r>
        <w:t xml:space="preserve"> (Q2 2025)</w:t>
      </w:r>
    </w:p>
    <w:p w14:paraId="6DF1EC7D" w14:textId="77777777" w:rsidR="00AC41AE" w:rsidRDefault="00000000">
      <w:pPr>
        <w:spacing w:after="160"/>
      </w:pPr>
      <w:r>
        <w:t xml:space="preserve">    → Expected: Establishes science-based accountability framework; improves MSCI ESG rating (currently peer BRI and DBS have SBTi commitments); aligns with OJK expectations</w:t>
      </w:r>
    </w:p>
    <w:p w14:paraId="750A7B0E" w14:textId="77777777" w:rsidR="00AC41AE" w:rsidRDefault="00000000">
      <w:pPr>
        <w:spacing w:after="160"/>
      </w:pPr>
      <w:r>
        <w:rPr>
          <w:rFonts w:ascii="Arial" w:hAnsi="Arial"/>
          <w:i/>
          <w:color w:val="646464"/>
          <w:sz w:val="18"/>
        </w:rPr>
        <w:t xml:space="preserve">    → Ref: BRI — First Indonesian FI with SBTi commitment (2023), targeting 1.75°C portfolio alignment by 2040. DBS — SBTi validated targets with 29% financed emissions reduction by 2030.</w:t>
      </w:r>
    </w:p>
    <w:p w14:paraId="2E1FCDD6" w14:textId="77777777" w:rsidR="00AC41AE" w:rsidRDefault="00000000">
      <w:r>
        <w:rPr>
          <w:b/>
        </w:rPr>
        <w:t>🔴 2. Implement mandatory climate disclosure requirement for all borrowers &gt;IDR 500 billion exposure in PCAF-priority sectors (energy, cement, steel, transportation). Require annual Scope 1+2 reporting as loan covenant, with 12-month grace period for existing clients.</w:t>
      </w:r>
      <w:r>
        <w:t xml:space="preserve"> (Q3 2025)</w:t>
      </w:r>
    </w:p>
    <w:p w14:paraId="15284710" w14:textId="77777777" w:rsidR="00AC41AE" w:rsidRDefault="00000000">
      <w:pPr>
        <w:spacing w:after="160"/>
      </w:pPr>
      <w:r>
        <w:t xml:space="preserve">    → Expected: Improves PCAF data quality score from 3.36 to 2.8 by 2027 (shift from economic estimates to physical activity data); enables accurate risk pricing</w:t>
      </w:r>
    </w:p>
    <w:p w14:paraId="453AECC1" w14:textId="77777777" w:rsidR="00AC41AE" w:rsidRDefault="00000000">
      <w:pPr>
        <w:spacing w:after="160"/>
      </w:pPr>
      <w:r>
        <w:rPr>
          <w:rFonts w:ascii="Arial" w:hAnsi="Arial"/>
          <w:i/>
          <w:color w:val="646464"/>
          <w:sz w:val="18"/>
        </w:rPr>
        <w:t xml:space="preserve">    → Ref: BCA — Enhanced ESRM screening with sectoral exclusion lists for coal, palm oil, cement, O&amp;G. Requires sustainability performance disclosure for high-risk exposures.</w:t>
      </w:r>
    </w:p>
    <w:p w14:paraId="00998DF2" w14:textId="77777777" w:rsidR="00AC41AE" w:rsidRDefault="00000000">
      <w:r>
        <w:rPr>
          <w:b/>
        </w:rPr>
        <w:t>🔴 3. Launch IDR 50 trillion Transition Finance Facility (2025-2027) with sustainability-linked loan (SLL) structure. Offer 25-50 bps pricing discount for borrowers achieving verified emission reduction targets (10% reduction over 3 years).</w:t>
      </w:r>
      <w:r>
        <w:t xml:space="preserve"> (Q4 2025)</w:t>
      </w:r>
    </w:p>
    <w:p w14:paraId="1DE72A9F" w14:textId="77777777" w:rsidR="00AC41AE" w:rsidRDefault="00000000">
      <w:pPr>
        <w:spacing w:after="160"/>
      </w:pPr>
      <w:r>
        <w:t xml:space="preserve">    → Expected: Accelerates portfolio decarbonization by 8-12% by 2027; generates IDR 150-200 billion in structuring fees; demonstrates proactive climate risk management</w:t>
      </w:r>
    </w:p>
    <w:p w14:paraId="485AE7F6" w14:textId="77777777" w:rsidR="00AC41AE" w:rsidRDefault="00000000">
      <w:pPr>
        <w:spacing w:after="160"/>
      </w:pPr>
      <w:r>
        <w:rPr>
          <w:rFonts w:ascii="Arial" w:hAnsi="Arial"/>
          <w:i/>
          <w:color w:val="646464"/>
          <w:sz w:val="18"/>
        </w:rPr>
        <w:t xml:space="preserve">    → Ref: BCA — Exceeded SFAP target via SLL schemes. DBS — $50 billion sustainable financing target with transition finance for hard-to-abate sectors.</w:t>
      </w:r>
    </w:p>
    <w:p w14:paraId="6281914F" w14:textId="77777777" w:rsidR="00AC41AE" w:rsidRDefault="00000000">
      <w:r>
        <w:rPr>
          <w:b/>
        </w:rPr>
        <w:t>🟡 4. Develop sectoral credit policies with phase-out timelines for thermal coal (2035) and restrictions on upstream oil &amp; gas expansion projects. Redirect capital allocation toward renewable energy (target 15% of energy sector exposure by 2030).</w:t>
      </w:r>
      <w:r>
        <w:t xml:space="preserve"> (Q1 2026)</w:t>
      </w:r>
    </w:p>
    <w:p w14:paraId="1FB06A0E" w14:textId="77777777" w:rsidR="00AC41AE" w:rsidRDefault="00000000">
      <w:pPr>
        <w:spacing w:after="160"/>
      </w:pPr>
      <w:r>
        <w:t xml:space="preserve">    → Expected: Reduces Oil &amp; Gas financed emissions share from 44% to 30% by 2030; aligns with Indonesia's 2060 net-zero pathway; mitigates stranded asset risk</w:t>
      </w:r>
    </w:p>
    <w:p w14:paraId="4DE15335" w14:textId="77777777" w:rsidR="00AC41AE" w:rsidRDefault="00000000">
      <w:pPr>
        <w:spacing w:after="160"/>
      </w:pPr>
      <w:r>
        <w:rPr>
          <w:rFonts w:ascii="Arial" w:hAnsi="Arial"/>
          <w:i/>
          <w:color w:val="646464"/>
          <w:sz w:val="18"/>
        </w:rPr>
        <w:t xml:space="preserve">    → Ref: BCA — Sectoral exclusion list includes coal-fired power, coal mining expansion, and palm oil without RSPO certification. BRI — Renewable energy financing grew 35% YoY.</w:t>
      </w:r>
    </w:p>
    <w:p w14:paraId="5841F3F7" w14:textId="77777777" w:rsidR="00AC41AE" w:rsidRDefault="00AC41AE"/>
    <w:p w14:paraId="75393128" w14:textId="77777777" w:rsidR="00AC41AE" w:rsidRDefault="00000000">
      <w:r>
        <w:rPr>
          <w:i/>
          <w:color w:val="3D6094"/>
          <w:sz w:val="18"/>
        </w:rPr>
        <w:t>Framework references: GRI 305-3a — Gross other indirect (Scope 3) GHG emissions; GRI 305-3d — Gases included in the calculation and categories of Scope 3 emissions (Category 15: Investments); IFRS S2 Para 29(a)(iv) — Absolute gross Scope 3 GHG emissions with industry-based metrics; ESRS E1-6 DR E1-6.51 — Total indirect GHG emissions (Scope 3); OJK PSPK — Emisi GRK Tidak Langsung Lainnya (Lingkup 3) — Emisi Pembiayaan; PCAF Global GHG Accounting and Reporting Standard Part A (2022) — Attribution methodology and data quality scoring</w:t>
      </w:r>
    </w:p>
    <w:p w14:paraId="2E1FB0FC" w14:textId="77777777" w:rsidR="00AC41AE" w:rsidRDefault="00AC41AE">
      <w:pPr>
        <w:pBdr>
          <w:bottom w:val="single" w:sz="6" w:space="1" w:color="CCCCCC"/>
        </w:pBdr>
        <w:spacing w:after="80"/>
      </w:pPr>
    </w:p>
    <w:p w14:paraId="10D58B4B" w14:textId="77777777" w:rsidR="00AC41AE" w:rsidRDefault="00000000">
      <w:pPr>
        <w:spacing w:after="160"/>
      </w:pPr>
      <w:r>
        <w:rPr>
          <w:rFonts w:ascii="Arial" w:hAnsi="Arial"/>
          <w:i/>
          <w:color w:val="646464"/>
          <w:sz w:val="18"/>
        </w:rPr>
        <w:t>These figures have not been subject to external assurance for the current reporting period.</w:t>
      </w:r>
    </w:p>
    <w:p w14:paraId="6B4D6441" w14:textId="77777777" w:rsidR="00AC41AE" w:rsidRDefault="00000000">
      <w:pPr>
        <w:spacing w:after="160"/>
      </w:pPr>
      <w:r>
        <w:rPr>
          <w:rFonts w:ascii="Arial" w:hAnsi="Arial"/>
          <w:i/>
          <w:color w:val="646464"/>
          <w:sz w:val="18"/>
        </w:rPr>
        <w:t>Confidence-weighted emissions are 30.5% lower than gross emissions due to application of PCAF data quality confidence factors.</w:t>
      </w:r>
    </w:p>
    <w:p w14:paraId="130C11AB" w14:textId="77777777" w:rsidR="00AC41AE" w:rsidRDefault="00000000">
      <w:pPr>
        <w:spacing w:after="160"/>
      </w:pPr>
      <w:r>
        <w:rPr>
          <w:rFonts w:ascii="Arial" w:hAnsi="Arial"/>
          <w:i/>
          <w:color w:val="646464"/>
          <w:sz w:val="18"/>
        </w:rPr>
        <w:t>Year-over-year comparison is not provided as 2024 represents the baseline year for PCAF-compliant methodology. Prior year figures used different sectoral coverage and are not directly comparable.</w:t>
      </w:r>
    </w:p>
    <w:p w14:paraId="510E90EE" w14:textId="77777777" w:rsidR="00AC41AE" w:rsidRDefault="00000000">
      <w:pPr>
        <w:spacing w:after="160"/>
      </w:pPr>
      <w:r>
        <w:rPr>
          <w:rFonts w:ascii="Arial" w:hAnsi="Arial"/>
          <w:i/>
          <w:color w:val="646464"/>
          <w:sz w:val="18"/>
        </w:rPr>
        <w:t>Borrower Scope 3 emissions are included only for Energy (Oil &amp; Gas) sector per PCAF phased implementation requirements. Full Scope 3 coverage across all sectors is targeted for 2025 reporting.</w:t>
      </w:r>
    </w:p>
    <w:p w14:paraId="36DAE310" w14:textId="77777777" w:rsidR="00AC41AE" w:rsidRDefault="00000000">
      <w:pPr>
        <w:pStyle w:val="Heading2"/>
        <w:spacing w:before="360" w:after="160"/>
      </w:pPr>
      <w:bookmarkStart w:id="10" w:name="_Toc232152605"/>
      <w:r>
        <w:rPr>
          <w:rFonts w:ascii="Arial" w:hAnsi="Arial"/>
          <w:color w:val="3D6094"/>
          <w:sz w:val="28"/>
        </w:rPr>
        <w:t>1.4 GHG Emissions Intensity</w:t>
      </w:r>
      <w:bookmarkEnd w:id="10"/>
    </w:p>
    <w:tbl>
      <w:tblPr>
        <w:tblW w:w="0" w:type="auto"/>
        <w:jc w:val="center"/>
        <w:tblLook w:val="04A0" w:firstRow="1" w:lastRow="0" w:firstColumn="1" w:lastColumn="0" w:noHBand="0" w:noVBand="1"/>
      </w:tblPr>
      <w:tblGrid>
        <w:gridCol w:w="2257"/>
        <w:gridCol w:w="2257"/>
        <w:gridCol w:w="2257"/>
        <w:gridCol w:w="2257"/>
      </w:tblGrid>
      <w:tr w:rsidR="00AC41AE" w14:paraId="69E288DB" w14:textId="77777777">
        <w:trPr>
          <w:jc w:val="center"/>
        </w:trPr>
        <w:tc>
          <w:tcPr>
            <w:tcW w:w="2257" w:type="dxa"/>
            <w:shd w:val="clear" w:color="auto" w:fill="F2F6FA"/>
          </w:tcPr>
          <w:p w14:paraId="0645A62C" w14:textId="77777777" w:rsidR="00AC41AE" w:rsidRDefault="00000000">
            <w:pPr>
              <w:jc w:val="center"/>
            </w:pPr>
            <w:r>
              <w:rPr>
                <w:b/>
                <w:color w:val="1B3A6B"/>
                <w:sz w:val="36"/>
              </w:rPr>
              <w:t>239.40</w:t>
            </w:r>
            <w:r>
              <w:rPr>
                <w:color w:val="757575"/>
                <w:sz w:val="18"/>
              </w:rPr>
              <w:t xml:space="preserve"> tCO₂e/IDR Bn</w:t>
            </w:r>
            <w:r>
              <w:rPr>
                <w:b/>
                <w:color w:val="2E7D32"/>
                <w:sz w:val="20"/>
              </w:rPr>
              <w:br/>
              <w:t>-11.37%</w:t>
            </w:r>
          </w:p>
        </w:tc>
        <w:tc>
          <w:tcPr>
            <w:tcW w:w="2257" w:type="dxa"/>
            <w:shd w:val="clear" w:color="auto" w:fill="F2F6FA"/>
          </w:tcPr>
          <w:p w14:paraId="390492CB" w14:textId="77777777" w:rsidR="00AC41AE" w:rsidRDefault="00000000">
            <w:pPr>
              <w:jc w:val="center"/>
            </w:pPr>
            <w:r>
              <w:rPr>
                <w:b/>
                <w:color w:val="1B3A6B"/>
                <w:sz w:val="36"/>
              </w:rPr>
              <w:t>1.9209</w:t>
            </w:r>
            <w:r>
              <w:rPr>
                <w:color w:val="757575"/>
                <w:sz w:val="18"/>
              </w:rPr>
              <w:t xml:space="preserve"> tCO₂e/FTE</w:t>
            </w:r>
            <w:r>
              <w:rPr>
                <w:b/>
                <w:color w:val="2E7D32"/>
                <w:sz w:val="20"/>
              </w:rPr>
              <w:br/>
              <w:t>-1.79%</w:t>
            </w:r>
          </w:p>
        </w:tc>
        <w:tc>
          <w:tcPr>
            <w:tcW w:w="2257" w:type="dxa"/>
            <w:shd w:val="clear" w:color="auto" w:fill="F2F6FA"/>
          </w:tcPr>
          <w:p w14:paraId="7F80410C" w14:textId="77777777" w:rsidR="00AC41AE" w:rsidRDefault="00000000">
            <w:pPr>
              <w:jc w:val="center"/>
            </w:pPr>
            <w:r>
              <w:rPr>
                <w:b/>
                <w:color w:val="1B3A6B"/>
                <w:sz w:val="36"/>
              </w:rPr>
              <w:t>9.4×</w:t>
            </w:r>
            <w:r>
              <w:rPr>
                <w:color w:val="757575"/>
                <w:sz w:val="18"/>
              </w:rPr>
              <w:t xml:space="preserve"> higher</w:t>
            </w:r>
            <w:r>
              <w:rPr>
                <w:b/>
                <w:color w:val="C62828"/>
                <w:sz w:val="20"/>
              </w:rPr>
              <w:br/>
              <w:t>841% gap</w:t>
            </w:r>
          </w:p>
        </w:tc>
        <w:tc>
          <w:tcPr>
            <w:tcW w:w="2257" w:type="dxa"/>
            <w:shd w:val="clear" w:color="auto" w:fill="F2F6FA"/>
          </w:tcPr>
          <w:p w14:paraId="764C5840" w14:textId="77777777" w:rsidR="00AC41AE" w:rsidRDefault="00000000">
            <w:pPr>
              <w:jc w:val="center"/>
            </w:pPr>
            <w:r>
              <w:rPr>
                <w:b/>
                <w:color w:val="1B3A6B"/>
                <w:sz w:val="36"/>
              </w:rPr>
              <w:t>64.7</w:t>
            </w:r>
            <w:r>
              <w:rPr>
                <w:color w:val="757575"/>
                <w:sz w:val="18"/>
              </w:rPr>
              <w:t xml:space="preserve"> % of Scope 1</w:t>
            </w:r>
            <w:r>
              <w:rPr>
                <w:b/>
                <w:color w:val="C62828"/>
                <w:sz w:val="20"/>
              </w:rPr>
              <w:br/>
              <w:t>2,203 tCO₂e</w:t>
            </w:r>
          </w:p>
        </w:tc>
      </w:tr>
      <w:tr w:rsidR="00AC41AE" w14:paraId="5DC5CAFF" w14:textId="77777777">
        <w:trPr>
          <w:jc w:val="center"/>
        </w:trPr>
        <w:tc>
          <w:tcPr>
            <w:tcW w:w="2257" w:type="dxa"/>
            <w:shd w:val="clear" w:color="auto" w:fill="F2F6FA"/>
          </w:tcPr>
          <w:p w14:paraId="32A93245" w14:textId="77777777" w:rsidR="00AC41AE" w:rsidRDefault="00000000">
            <w:pPr>
              <w:jc w:val="center"/>
            </w:pPr>
            <w:r>
              <w:rPr>
                <w:color w:val="757575"/>
                <w:sz w:val="16"/>
              </w:rPr>
              <w:t>Revenue Intensity</w:t>
            </w:r>
          </w:p>
        </w:tc>
        <w:tc>
          <w:tcPr>
            <w:tcW w:w="2257" w:type="dxa"/>
            <w:shd w:val="clear" w:color="auto" w:fill="F2F6FA"/>
          </w:tcPr>
          <w:p w14:paraId="1FFA4C72" w14:textId="77777777" w:rsidR="00AC41AE" w:rsidRDefault="00000000">
            <w:pPr>
              <w:jc w:val="center"/>
            </w:pPr>
            <w:r>
              <w:rPr>
                <w:color w:val="757575"/>
                <w:sz w:val="16"/>
              </w:rPr>
              <w:t>Operational Intensity</w:t>
            </w:r>
          </w:p>
        </w:tc>
        <w:tc>
          <w:tcPr>
            <w:tcW w:w="2257" w:type="dxa"/>
            <w:shd w:val="clear" w:color="auto" w:fill="F2F6FA"/>
          </w:tcPr>
          <w:p w14:paraId="605380E9" w14:textId="77777777" w:rsidR="00AC41AE" w:rsidRDefault="00000000">
            <w:pPr>
              <w:jc w:val="center"/>
            </w:pPr>
            <w:r>
              <w:rPr>
                <w:color w:val="757575"/>
                <w:sz w:val="16"/>
              </w:rPr>
              <w:t>Gap vs DBS Best Practice</w:t>
            </w:r>
          </w:p>
        </w:tc>
        <w:tc>
          <w:tcPr>
            <w:tcW w:w="2257" w:type="dxa"/>
            <w:shd w:val="clear" w:color="auto" w:fill="F2F6FA"/>
          </w:tcPr>
          <w:p w14:paraId="7E856021" w14:textId="77777777" w:rsidR="00AC41AE" w:rsidRDefault="00000000">
            <w:pPr>
              <w:jc w:val="center"/>
            </w:pPr>
            <w:r>
              <w:rPr>
                <w:color w:val="757575"/>
                <w:sz w:val="16"/>
              </w:rPr>
              <w:t>Diesel Dependency</w:t>
            </w:r>
          </w:p>
        </w:tc>
      </w:tr>
    </w:tbl>
    <w:p w14:paraId="08097FF7" w14:textId="77777777" w:rsidR="00AC41AE" w:rsidRDefault="00AC41AE"/>
    <w:tbl>
      <w:tblPr>
        <w:tblW w:w="0" w:type="auto"/>
        <w:jc w:val="center"/>
        <w:tblLook w:val="04A0" w:firstRow="1" w:lastRow="0" w:firstColumn="1" w:lastColumn="0" w:noHBand="0" w:noVBand="1"/>
      </w:tblPr>
      <w:tblGrid>
        <w:gridCol w:w="9029"/>
      </w:tblGrid>
      <w:tr w:rsidR="00AC41AE" w14:paraId="227428AB" w14:textId="77777777">
        <w:trPr>
          <w:jc w:val="center"/>
        </w:trPr>
        <w:tc>
          <w:tcPr>
            <w:tcW w:w="9029" w:type="dxa"/>
            <w:shd w:val="clear" w:color="auto" w:fill="FFF8E1"/>
          </w:tcPr>
          <w:p w14:paraId="6F7EECB6" w14:textId="77777777" w:rsidR="00AC41AE" w:rsidRDefault="00000000">
            <w:r>
              <w:rPr>
                <w:b/>
                <w:color w:val="FF8F00"/>
                <w:sz w:val="18"/>
              </w:rPr>
              <w:t>⚠️ KEY INSIGHT</w:t>
            </w:r>
          </w:p>
          <w:p w14:paraId="734BF4FB" w14:textId="77777777" w:rsidR="00AC41AE" w:rsidRDefault="00000000">
            <w:r>
              <w:rPr>
                <w:b/>
              </w:rPr>
              <w:t>Operational intensity 9.4× higher than DBS — renewable energy gap and diesel dependency are primary drivers</w:t>
            </w:r>
          </w:p>
          <w:p w14:paraId="44022C8E" w14:textId="77777777" w:rsidR="00AC41AE" w:rsidRDefault="00000000">
            <w:r>
              <w:rPr>
                <w:sz w:val="20"/>
              </w:rPr>
              <w:t>The institution's 1.9209 tCO₂e/FTE operational intensity significantly exceeds peer benchmarks (DBS: 0.2040, BCA: 0.2393, Mandiri: 0.2867). Root causes: &lt;1% renewable energy versus DBS's 62% RE100 achievement, 64.7% diesel dependency in Scope 1, and absence of green building certifications at scale. Without intervention, this gap will widen as peers accelerate decarbonization under CSRD and investor pressure.</w:t>
            </w:r>
          </w:p>
        </w:tc>
      </w:tr>
    </w:tbl>
    <w:p w14:paraId="5D48DCDF" w14:textId="77777777" w:rsidR="00AC41AE" w:rsidRDefault="00AC41AE"/>
    <w:p w14:paraId="4F4E2C0E" w14:textId="77777777" w:rsidR="00AC41AE" w:rsidRDefault="00000000">
      <w:pPr>
        <w:spacing w:after="160"/>
      </w:pPr>
      <w:r>
        <w:rPr>
          <w:rFonts w:ascii="Arial" w:hAnsi="Arial"/>
        </w:rPr>
        <w:t>The institution reports two GHG emissions intensity metrics for the 2024 reporting period in accordance with GRI 305-4, IFRS S2 Paragraph 29(b), ESRS E1-6 DR E1-6.53, and OJK PSPK requirements. Revenue-based intensity for 2024 was 239.400139 tCO₂e per IDR billion, representing a 11.37% improvement from the prior year baseline of 270.116632 tCO₂e per IDR billion. Employee-based intensity was 1.9209 tCO₂e per full-time equivalent (FTE), compared to 1.956 tCO₂e per FTE in 2023, reflecting a 1.79% improvement. These metrics enable cross-period comparison of emissions performance normalized against key business drivers and facilitate benchmarking against peer financial institutions.</w:t>
      </w:r>
    </w:p>
    <w:p w14:paraId="04FCF526" w14:textId="77777777" w:rsidR="00AC41AE" w:rsidRDefault="00000000">
      <w:pPr>
        <w:spacing w:after="160"/>
      </w:pPr>
      <w:r>
        <w:rPr>
          <w:rFonts w:ascii="Arial" w:hAnsi="Arial"/>
        </w:rPr>
        <w:t xml:space="preserve">The revenue-based intensity metric uses total Scope 1, Scope 2 (location-based), and Scope 3 Category 15 (financed emissions, gross) as the numerator, divided by total revenue </w:t>
      </w:r>
      <w:r>
        <w:rPr>
          <w:rFonts w:ascii="Arial" w:hAnsi="Arial"/>
        </w:rPr>
        <w:lastRenderedPageBreak/>
        <w:t>expressed in IDR billion. This approach aligns with ESRS E1-6.53 requirements for GHG intensity per net revenue and captures the institution's full value chain carbon footprint relative to economic output. The employee-based intensity metric uses only operational emissions (Scope 1 + Scope 2 location-based) as the numerator, divided by total FTE count of 24,997 employees. This operational intensity metric reflects direct control over emissions sources and is appropriate for assessing workplace environmental efficiency per GRI 305-4 guidance. The selection of revenue as the primary economic denominator is justified by its relevance to financial services sector performance measurement and comparability across institutions with varying asset compositions.</w:t>
      </w:r>
    </w:p>
    <w:p w14:paraId="77556108" w14:textId="77777777" w:rsidR="00AC41AE" w:rsidRDefault="00000000">
      <w:pPr>
        <w:spacing w:after="160"/>
      </w:pPr>
      <w:r>
        <w:rPr>
          <w:rFonts w:ascii="Arial" w:hAnsi="Arial"/>
        </w:rPr>
        <w:t>The 11.37% improvement in revenue-based intensity indicates that emissions growth was substantially slower than revenue growth during the reporting period, demonstrating relative decoupling of carbon impact from economic expansion. The institution's total emissions decreased by 4.07% year-over-year while maintaining business operations, driving the intensity improvement. The more modest 1.79% improvement in employee-based operational intensity reflects the challenge of reducing direct emissions from facilities and fleet operations, where the institution achieved a 2.36% increase in Scope 1 emissions (from 3,324.521 tCO₂e to 3,402.997 tCO₂e) despite a 0.03% reduction in Scope 2 emissions. The divergence between revenue intensity (strong improvement) and operational intensity (marginal improvement) highlights that financed emissions reductions were the primary driver of overall performance, while direct operational emissions management requires enhanced focus.</w:t>
      </w:r>
    </w:p>
    <w:p w14:paraId="217872E2" w14:textId="77777777" w:rsidR="00AC41AE" w:rsidRDefault="00000000">
      <w:pPr>
        <w:spacing w:after="160"/>
      </w:pPr>
      <w:r>
        <w:rPr>
          <w:rFonts w:ascii="Arial" w:hAnsi="Arial"/>
        </w:rPr>
        <w:t>Peer comparison reveals significant performance gaps in operational intensity. The institution's employee-based intensity of 1.9209 tCO₂e per FTE substantially exceeds best-in-class performance: DBS Group achieved 0.2040 tCO₂e per FTE in 2023 (90% lower), BCA reported approximately 0.2393 tCO₂e per FTE in 2024 (87% lower), and Bank Mandiri achieved approximately 0.2867 tCO₂e per FTE in 2023 (85% lower). This gap is primarily attributable to three factors: (1) lower renewable energy adoption (the institution has &lt;1% renewable energy versus DBS's 62% RE100 achievement), (2) higher diesel dependency in Scope 1 emissions (64.7% of Scope 1 from diesel versus peers' electrified fleet strategies), and (3) absence of green building certifications at scale (peers report multiple LEED/GBCI Gold certifications driving 15-20% energy savings). The institution's revenue-based intensity of 239.400139 tCO₂e per IDR billion cannot be directly compared to peers due to differences in financed emissions disclosure scope and PCAF methodology application maturity.</w:t>
      </w:r>
    </w:p>
    <w:p w14:paraId="24DC0F10" w14:textId="77777777" w:rsidR="00AC41AE" w:rsidRDefault="00000000">
      <w:r>
        <w:rPr>
          <w:rFonts w:ascii="Arial" w:hAnsi="Arial"/>
          <w:b/>
          <w:sz w:val="20"/>
        </w:rPr>
        <w:t>Table 26: Table 1.4.1: GHG Emissions Intensity Metrics — 2024</w:t>
      </w:r>
    </w:p>
    <w:tbl>
      <w:tblPr>
        <w:tblW w:w="0" w:type="auto"/>
        <w:jc w:val="center"/>
        <w:tblLook w:val="04A0" w:firstRow="1" w:lastRow="0" w:firstColumn="1" w:lastColumn="0" w:noHBand="0" w:noVBand="1"/>
      </w:tblPr>
      <w:tblGrid>
        <w:gridCol w:w="1806"/>
        <w:gridCol w:w="1806"/>
        <w:gridCol w:w="1806"/>
        <w:gridCol w:w="1806"/>
        <w:gridCol w:w="1806"/>
      </w:tblGrid>
      <w:tr w:rsidR="00AC41AE" w14:paraId="26AE01DC" w14:textId="77777777">
        <w:trPr>
          <w:jc w:val="center"/>
        </w:trPr>
        <w:tc>
          <w:tcPr>
            <w:tcW w:w="1806" w:type="dxa"/>
            <w:shd w:val="clear" w:color="auto" w:fill="1B3A6B"/>
          </w:tcPr>
          <w:p w14:paraId="293A8CD1" w14:textId="77777777" w:rsidR="00AC41AE" w:rsidRDefault="00000000">
            <w:r>
              <w:rPr>
                <w:rFonts w:ascii="Arial" w:hAnsi="Arial"/>
                <w:b/>
                <w:color w:val="FFFFFF"/>
                <w:sz w:val="18"/>
              </w:rPr>
              <w:t>Intensity Metric</w:t>
            </w:r>
          </w:p>
        </w:tc>
        <w:tc>
          <w:tcPr>
            <w:tcW w:w="1806" w:type="dxa"/>
            <w:shd w:val="clear" w:color="auto" w:fill="1B3A6B"/>
          </w:tcPr>
          <w:p w14:paraId="4638E3A6" w14:textId="77777777" w:rsidR="00AC41AE" w:rsidRDefault="00000000">
            <w:r>
              <w:rPr>
                <w:rFonts w:ascii="Arial" w:hAnsi="Arial"/>
                <w:b/>
                <w:color w:val="FFFFFF"/>
                <w:sz w:val="18"/>
              </w:rPr>
              <w:t>Numerator (tCO₂e)</w:t>
            </w:r>
          </w:p>
        </w:tc>
        <w:tc>
          <w:tcPr>
            <w:tcW w:w="1806" w:type="dxa"/>
            <w:shd w:val="clear" w:color="auto" w:fill="1B3A6B"/>
          </w:tcPr>
          <w:p w14:paraId="0F823A37" w14:textId="77777777" w:rsidR="00AC41AE" w:rsidRDefault="00000000">
            <w:r>
              <w:rPr>
                <w:rFonts w:ascii="Arial" w:hAnsi="Arial"/>
                <w:b/>
                <w:color w:val="FFFFFF"/>
                <w:sz w:val="18"/>
              </w:rPr>
              <w:t>Denominator</w:t>
            </w:r>
          </w:p>
        </w:tc>
        <w:tc>
          <w:tcPr>
            <w:tcW w:w="1806" w:type="dxa"/>
            <w:shd w:val="clear" w:color="auto" w:fill="1B3A6B"/>
          </w:tcPr>
          <w:p w14:paraId="11FFFA78" w14:textId="77777777" w:rsidR="00AC41AE" w:rsidRDefault="00000000">
            <w:r>
              <w:rPr>
                <w:rFonts w:ascii="Arial" w:hAnsi="Arial"/>
                <w:b/>
                <w:color w:val="FFFFFF"/>
                <w:sz w:val="18"/>
              </w:rPr>
              <w:t>Ratio</w:t>
            </w:r>
          </w:p>
        </w:tc>
        <w:tc>
          <w:tcPr>
            <w:tcW w:w="1806" w:type="dxa"/>
            <w:shd w:val="clear" w:color="auto" w:fill="1B3A6B"/>
          </w:tcPr>
          <w:p w14:paraId="243880B2" w14:textId="77777777" w:rsidR="00AC41AE" w:rsidRDefault="00000000">
            <w:r>
              <w:rPr>
                <w:rFonts w:ascii="Arial" w:hAnsi="Arial"/>
                <w:b/>
                <w:color w:val="FFFFFF"/>
                <w:sz w:val="18"/>
              </w:rPr>
              <w:t>Unit</w:t>
            </w:r>
          </w:p>
        </w:tc>
      </w:tr>
      <w:tr w:rsidR="00AC41AE" w14:paraId="39654178" w14:textId="77777777">
        <w:trPr>
          <w:jc w:val="center"/>
        </w:trPr>
        <w:tc>
          <w:tcPr>
            <w:tcW w:w="1806" w:type="dxa"/>
          </w:tcPr>
          <w:p w14:paraId="7C8A1C8D" w14:textId="77777777" w:rsidR="00AC41AE" w:rsidRDefault="00000000">
            <w:r>
              <w:rPr>
                <w:rFonts w:ascii="Arial" w:hAnsi="Arial"/>
                <w:sz w:val="18"/>
              </w:rPr>
              <w:t>Revenue-Based Intensity</w:t>
            </w:r>
          </w:p>
        </w:tc>
        <w:tc>
          <w:tcPr>
            <w:tcW w:w="1806" w:type="dxa"/>
          </w:tcPr>
          <w:p w14:paraId="59763FF0" w14:textId="77777777" w:rsidR="00AC41AE" w:rsidRDefault="00000000">
            <w:pPr>
              <w:jc w:val="right"/>
            </w:pPr>
            <w:r>
              <w:rPr>
                <w:rFonts w:ascii="Arial" w:hAnsi="Arial"/>
                <w:sz w:val="18"/>
              </w:rPr>
              <w:t>22,024,814.173</w:t>
            </w:r>
          </w:p>
        </w:tc>
        <w:tc>
          <w:tcPr>
            <w:tcW w:w="1806" w:type="dxa"/>
          </w:tcPr>
          <w:p w14:paraId="287FB7A0" w14:textId="77777777" w:rsidR="00AC41AE" w:rsidRDefault="00000000">
            <w:r>
              <w:rPr>
                <w:rFonts w:ascii="Arial" w:hAnsi="Arial"/>
                <w:sz w:val="18"/>
              </w:rPr>
              <w:t>92,000 (IDR Bn)</w:t>
            </w:r>
          </w:p>
        </w:tc>
        <w:tc>
          <w:tcPr>
            <w:tcW w:w="1806" w:type="dxa"/>
          </w:tcPr>
          <w:p w14:paraId="46B43C02" w14:textId="77777777" w:rsidR="00AC41AE" w:rsidRDefault="00000000">
            <w:pPr>
              <w:jc w:val="right"/>
            </w:pPr>
            <w:r>
              <w:rPr>
                <w:rFonts w:ascii="Arial" w:hAnsi="Arial"/>
                <w:sz w:val="18"/>
              </w:rPr>
              <w:t>239.400139</w:t>
            </w:r>
          </w:p>
        </w:tc>
        <w:tc>
          <w:tcPr>
            <w:tcW w:w="1806" w:type="dxa"/>
          </w:tcPr>
          <w:p w14:paraId="0B6EEC20" w14:textId="77777777" w:rsidR="00AC41AE" w:rsidRDefault="00000000">
            <w:r>
              <w:rPr>
                <w:rFonts w:ascii="Arial" w:hAnsi="Arial"/>
                <w:sz w:val="18"/>
              </w:rPr>
              <w:t>tCO₂e/IDR Bn</w:t>
            </w:r>
          </w:p>
        </w:tc>
      </w:tr>
      <w:tr w:rsidR="00AC41AE" w14:paraId="57B95B51" w14:textId="77777777">
        <w:trPr>
          <w:jc w:val="center"/>
        </w:trPr>
        <w:tc>
          <w:tcPr>
            <w:tcW w:w="1806" w:type="dxa"/>
            <w:shd w:val="clear" w:color="auto" w:fill="F2F6FC"/>
          </w:tcPr>
          <w:p w14:paraId="7C8D7B1F" w14:textId="77777777" w:rsidR="00AC41AE" w:rsidRDefault="00000000">
            <w:r>
              <w:rPr>
                <w:rFonts w:ascii="Arial" w:hAnsi="Arial"/>
                <w:sz w:val="18"/>
              </w:rPr>
              <w:t>Employee-Based Intensity (Operational)</w:t>
            </w:r>
          </w:p>
        </w:tc>
        <w:tc>
          <w:tcPr>
            <w:tcW w:w="1806" w:type="dxa"/>
            <w:shd w:val="clear" w:color="auto" w:fill="F2F6FC"/>
          </w:tcPr>
          <w:p w14:paraId="5AB94EFE" w14:textId="77777777" w:rsidR="00AC41AE" w:rsidRDefault="00000000">
            <w:pPr>
              <w:jc w:val="right"/>
            </w:pPr>
            <w:r>
              <w:rPr>
                <w:rFonts w:ascii="Arial" w:hAnsi="Arial"/>
                <w:sz w:val="18"/>
              </w:rPr>
              <w:t>48,016.873</w:t>
            </w:r>
          </w:p>
        </w:tc>
        <w:tc>
          <w:tcPr>
            <w:tcW w:w="1806" w:type="dxa"/>
            <w:shd w:val="clear" w:color="auto" w:fill="F2F6FC"/>
          </w:tcPr>
          <w:p w14:paraId="1218547F" w14:textId="77777777" w:rsidR="00AC41AE" w:rsidRDefault="00000000">
            <w:r>
              <w:rPr>
                <w:rFonts w:ascii="Arial" w:hAnsi="Arial"/>
                <w:sz w:val="18"/>
              </w:rPr>
              <w:t>24,997 (FTE)</w:t>
            </w:r>
          </w:p>
        </w:tc>
        <w:tc>
          <w:tcPr>
            <w:tcW w:w="1806" w:type="dxa"/>
            <w:shd w:val="clear" w:color="auto" w:fill="F2F6FC"/>
          </w:tcPr>
          <w:p w14:paraId="4A6E4708" w14:textId="77777777" w:rsidR="00AC41AE" w:rsidRDefault="00000000">
            <w:pPr>
              <w:jc w:val="right"/>
            </w:pPr>
            <w:r>
              <w:rPr>
                <w:rFonts w:ascii="Arial" w:hAnsi="Arial"/>
                <w:sz w:val="18"/>
              </w:rPr>
              <w:t>1.9209</w:t>
            </w:r>
          </w:p>
        </w:tc>
        <w:tc>
          <w:tcPr>
            <w:tcW w:w="1806" w:type="dxa"/>
            <w:shd w:val="clear" w:color="auto" w:fill="F2F6FC"/>
          </w:tcPr>
          <w:p w14:paraId="03A7CEE8" w14:textId="77777777" w:rsidR="00AC41AE" w:rsidRDefault="00000000">
            <w:r>
              <w:rPr>
                <w:rFonts w:ascii="Arial" w:hAnsi="Arial"/>
                <w:sz w:val="18"/>
              </w:rPr>
              <w:t>tCO₂e/FTE</w:t>
            </w:r>
          </w:p>
        </w:tc>
      </w:tr>
    </w:tbl>
    <w:p w14:paraId="7CF125BD" w14:textId="77777777" w:rsidR="00AC41AE" w:rsidRDefault="00000000">
      <w:r>
        <w:rPr>
          <w:rFonts w:ascii="Arial" w:hAnsi="Arial"/>
          <w:i/>
          <w:sz w:val="16"/>
        </w:rPr>
        <w:t>Source: Numerator for revenue intensity: Scope 1 (3,402.997) + Scope 2 location-based (44,613.876) + Scope 3 Cat 15 gross (21,976,797.3). Numerator for employee intensity: Scope 1 (3,402.997) + Scope 2 location-based (44,613.876). Revenue denominator derived from financed emissions data; FTE count from hr_metrics.</w:t>
      </w:r>
    </w:p>
    <w:p w14:paraId="4A41B267" w14:textId="77777777" w:rsidR="00AC41AE" w:rsidRDefault="00AC41AE"/>
    <w:p w14:paraId="5566053D" w14:textId="77777777" w:rsidR="00AC41AE" w:rsidRDefault="00000000">
      <w:r>
        <w:rPr>
          <w:rFonts w:ascii="Arial" w:hAnsi="Arial"/>
          <w:b/>
          <w:sz w:val="20"/>
        </w:rPr>
        <w:lastRenderedPageBreak/>
        <w:t>Table 28: Table 1.4.2: Year-over-Year Intensity Comparison</w:t>
      </w:r>
    </w:p>
    <w:tbl>
      <w:tblPr>
        <w:tblW w:w="0" w:type="auto"/>
        <w:jc w:val="center"/>
        <w:tblLook w:val="04A0" w:firstRow="1" w:lastRow="0" w:firstColumn="1" w:lastColumn="0" w:noHBand="0" w:noVBand="1"/>
      </w:tblPr>
      <w:tblGrid>
        <w:gridCol w:w="1806"/>
        <w:gridCol w:w="1806"/>
        <w:gridCol w:w="1806"/>
        <w:gridCol w:w="1806"/>
        <w:gridCol w:w="1806"/>
      </w:tblGrid>
      <w:tr w:rsidR="00AC41AE" w14:paraId="352B8EC3" w14:textId="77777777">
        <w:trPr>
          <w:jc w:val="center"/>
        </w:trPr>
        <w:tc>
          <w:tcPr>
            <w:tcW w:w="1806" w:type="dxa"/>
            <w:shd w:val="clear" w:color="auto" w:fill="1B3A6B"/>
          </w:tcPr>
          <w:p w14:paraId="45E3DD9C" w14:textId="77777777" w:rsidR="00AC41AE" w:rsidRDefault="00000000">
            <w:r>
              <w:rPr>
                <w:rFonts w:ascii="Arial" w:hAnsi="Arial"/>
                <w:b/>
                <w:color w:val="FFFFFF"/>
                <w:sz w:val="18"/>
              </w:rPr>
              <w:t>Metric</w:t>
            </w:r>
          </w:p>
        </w:tc>
        <w:tc>
          <w:tcPr>
            <w:tcW w:w="1806" w:type="dxa"/>
            <w:shd w:val="clear" w:color="auto" w:fill="1B3A6B"/>
          </w:tcPr>
          <w:p w14:paraId="51B98B74" w14:textId="77777777" w:rsidR="00AC41AE" w:rsidRDefault="00000000">
            <w:r>
              <w:rPr>
                <w:rFonts w:ascii="Arial" w:hAnsi="Arial"/>
                <w:b/>
                <w:color w:val="FFFFFF"/>
                <w:sz w:val="18"/>
              </w:rPr>
              <w:t>2024</w:t>
            </w:r>
          </w:p>
        </w:tc>
        <w:tc>
          <w:tcPr>
            <w:tcW w:w="1806" w:type="dxa"/>
            <w:shd w:val="clear" w:color="auto" w:fill="1B3A6B"/>
          </w:tcPr>
          <w:p w14:paraId="5627BC8D" w14:textId="77777777" w:rsidR="00AC41AE" w:rsidRDefault="00000000">
            <w:r>
              <w:rPr>
                <w:rFonts w:ascii="Arial" w:hAnsi="Arial"/>
                <w:b/>
                <w:color w:val="FFFFFF"/>
                <w:sz w:val="18"/>
              </w:rPr>
              <w:t>2023</w:t>
            </w:r>
          </w:p>
        </w:tc>
        <w:tc>
          <w:tcPr>
            <w:tcW w:w="1806" w:type="dxa"/>
            <w:shd w:val="clear" w:color="auto" w:fill="1B3A6B"/>
          </w:tcPr>
          <w:p w14:paraId="4D795E24" w14:textId="77777777" w:rsidR="00AC41AE" w:rsidRDefault="00000000">
            <w:r>
              <w:rPr>
                <w:rFonts w:ascii="Arial" w:hAnsi="Arial"/>
                <w:b/>
                <w:color w:val="FFFFFF"/>
                <w:sz w:val="18"/>
              </w:rPr>
              <w:t>Change (%)</w:t>
            </w:r>
          </w:p>
        </w:tc>
        <w:tc>
          <w:tcPr>
            <w:tcW w:w="1806" w:type="dxa"/>
            <w:shd w:val="clear" w:color="auto" w:fill="1B3A6B"/>
          </w:tcPr>
          <w:p w14:paraId="441D5AA7" w14:textId="77777777" w:rsidR="00AC41AE" w:rsidRDefault="00000000">
            <w:r>
              <w:rPr>
                <w:rFonts w:ascii="Arial" w:hAnsi="Arial"/>
                <w:b/>
                <w:color w:val="FFFFFF"/>
                <w:sz w:val="18"/>
              </w:rPr>
              <w:t>Direction</w:t>
            </w:r>
          </w:p>
        </w:tc>
      </w:tr>
      <w:tr w:rsidR="00AC41AE" w14:paraId="6F9A6F37" w14:textId="77777777">
        <w:trPr>
          <w:jc w:val="center"/>
        </w:trPr>
        <w:tc>
          <w:tcPr>
            <w:tcW w:w="1806" w:type="dxa"/>
          </w:tcPr>
          <w:p w14:paraId="63109D5D" w14:textId="77777777" w:rsidR="00AC41AE" w:rsidRDefault="00000000">
            <w:r>
              <w:rPr>
                <w:rFonts w:ascii="Arial" w:hAnsi="Arial"/>
                <w:sz w:val="18"/>
              </w:rPr>
              <w:t>Revenue Intensity (tCO₂e/IDR Bn)</w:t>
            </w:r>
          </w:p>
        </w:tc>
        <w:tc>
          <w:tcPr>
            <w:tcW w:w="1806" w:type="dxa"/>
          </w:tcPr>
          <w:p w14:paraId="0F71E06A" w14:textId="77777777" w:rsidR="00AC41AE" w:rsidRDefault="00000000">
            <w:pPr>
              <w:jc w:val="right"/>
            </w:pPr>
            <w:r>
              <w:rPr>
                <w:rFonts w:ascii="Arial" w:hAnsi="Arial"/>
                <w:sz w:val="18"/>
              </w:rPr>
              <w:t>239.400139</w:t>
            </w:r>
          </w:p>
        </w:tc>
        <w:tc>
          <w:tcPr>
            <w:tcW w:w="1806" w:type="dxa"/>
          </w:tcPr>
          <w:p w14:paraId="1EBAFE01" w14:textId="77777777" w:rsidR="00AC41AE" w:rsidRDefault="00000000">
            <w:pPr>
              <w:jc w:val="right"/>
            </w:pPr>
            <w:r>
              <w:rPr>
                <w:rFonts w:ascii="Arial" w:hAnsi="Arial"/>
                <w:sz w:val="18"/>
              </w:rPr>
              <w:t>270.116632</w:t>
            </w:r>
          </w:p>
        </w:tc>
        <w:tc>
          <w:tcPr>
            <w:tcW w:w="1806" w:type="dxa"/>
          </w:tcPr>
          <w:p w14:paraId="06AF2862" w14:textId="77777777" w:rsidR="00AC41AE" w:rsidRDefault="00000000">
            <w:pPr>
              <w:jc w:val="right"/>
            </w:pPr>
            <w:r>
              <w:rPr>
                <w:rFonts w:ascii="Arial" w:hAnsi="Arial"/>
                <w:sz w:val="18"/>
              </w:rPr>
              <w:t>-11.37%</w:t>
            </w:r>
          </w:p>
        </w:tc>
        <w:tc>
          <w:tcPr>
            <w:tcW w:w="1806" w:type="dxa"/>
          </w:tcPr>
          <w:p w14:paraId="08ACFE0A" w14:textId="77777777" w:rsidR="00AC41AE" w:rsidRDefault="00000000">
            <w:r>
              <w:rPr>
                <w:rFonts w:ascii="Arial" w:hAnsi="Arial"/>
                <w:sz w:val="18"/>
              </w:rPr>
              <w:t>Improvement</w:t>
            </w:r>
          </w:p>
        </w:tc>
      </w:tr>
      <w:tr w:rsidR="00AC41AE" w14:paraId="666A3654" w14:textId="77777777">
        <w:trPr>
          <w:jc w:val="center"/>
        </w:trPr>
        <w:tc>
          <w:tcPr>
            <w:tcW w:w="1806" w:type="dxa"/>
            <w:shd w:val="clear" w:color="auto" w:fill="F2F6FC"/>
          </w:tcPr>
          <w:p w14:paraId="12A989EB" w14:textId="77777777" w:rsidR="00AC41AE" w:rsidRDefault="00000000">
            <w:r>
              <w:rPr>
                <w:rFonts w:ascii="Arial" w:hAnsi="Arial"/>
                <w:sz w:val="18"/>
              </w:rPr>
              <w:t>Employee Intensity (tCO₂e/FTE)</w:t>
            </w:r>
          </w:p>
        </w:tc>
        <w:tc>
          <w:tcPr>
            <w:tcW w:w="1806" w:type="dxa"/>
            <w:shd w:val="clear" w:color="auto" w:fill="F2F6FC"/>
          </w:tcPr>
          <w:p w14:paraId="0D1CB672" w14:textId="77777777" w:rsidR="00AC41AE" w:rsidRDefault="00000000">
            <w:pPr>
              <w:jc w:val="right"/>
            </w:pPr>
            <w:r>
              <w:rPr>
                <w:rFonts w:ascii="Arial" w:hAnsi="Arial"/>
                <w:sz w:val="18"/>
              </w:rPr>
              <w:t>1.9209</w:t>
            </w:r>
          </w:p>
        </w:tc>
        <w:tc>
          <w:tcPr>
            <w:tcW w:w="1806" w:type="dxa"/>
            <w:shd w:val="clear" w:color="auto" w:fill="F2F6FC"/>
          </w:tcPr>
          <w:p w14:paraId="218FDE20" w14:textId="77777777" w:rsidR="00AC41AE" w:rsidRDefault="00000000">
            <w:pPr>
              <w:jc w:val="right"/>
            </w:pPr>
            <w:r>
              <w:rPr>
                <w:rFonts w:ascii="Arial" w:hAnsi="Arial"/>
                <w:sz w:val="18"/>
              </w:rPr>
              <w:t>1.956</w:t>
            </w:r>
          </w:p>
        </w:tc>
        <w:tc>
          <w:tcPr>
            <w:tcW w:w="1806" w:type="dxa"/>
            <w:shd w:val="clear" w:color="auto" w:fill="F2F6FC"/>
          </w:tcPr>
          <w:p w14:paraId="274939A2" w14:textId="77777777" w:rsidR="00AC41AE" w:rsidRDefault="00000000">
            <w:pPr>
              <w:jc w:val="right"/>
            </w:pPr>
            <w:r>
              <w:rPr>
                <w:rFonts w:ascii="Arial" w:hAnsi="Arial"/>
                <w:sz w:val="18"/>
              </w:rPr>
              <w:t>-1.79%</w:t>
            </w:r>
          </w:p>
        </w:tc>
        <w:tc>
          <w:tcPr>
            <w:tcW w:w="1806" w:type="dxa"/>
            <w:shd w:val="clear" w:color="auto" w:fill="F2F6FC"/>
          </w:tcPr>
          <w:p w14:paraId="3F34C4AF" w14:textId="77777777" w:rsidR="00AC41AE" w:rsidRDefault="00000000">
            <w:r>
              <w:rPr>
                <w:rFonts w:ascii="Arial" w:hAnsi="Arial"/>
                <w:sz w:val="18"/>
              </w:rPr>
              <w:t>Improvement</w:t>
            </w:r>
          </w:p>
        </w:tc>
      </w:tr>
    </w:tbl>
    <w:p w14:paraId="13B31CAB" w14:textId="77777777" w:rsidR="00AC41AE" w:rsidRDefault="00000000">
      <w:r>
        <w:rPr>
          <w:rFonts w:ascii="Arial" w:hAnsi="Arial"/>
          <w:i/>
          <w:sz w:val="16"/>
        </w:rPr>
        <w:t>Source: Prior year data from prior_year_summary. Percentage changes calculated as ((2024 - 2023) / 2023) × 100. Negative values indicate intensity reduction (improvement).</w:t>
      </w:r>
    </w:p>
    <w:p w14:paraId="595F9207" w14:textId="77777777" w:rsidR="00AC41AE" w:rsidRDefault="00AC41AE"/>
    <w:p w14:paraId="42720271" w14:textId="77777777" w:rsidR="00AC41AE" w:rsidRDefault="00000000">
      <w:r>
        <w:rPr>
          <w:rFonts w:ascii="Arial" w:hAnsi="Arial"/>
          <w:b/>
          <w:sz w:val="20"/>
        </w:rPr>
        <w:t>Table 30: Table 1.4.3: Peer Benchmark — Operational Intensity (tCO₂e per FTE)</w:t>
      </w:r>
    </w:p>
    <w:tbl>
      <w:tblPr>
        <w:tblW w:w="0" w:type="auto"/>
        <w:jc w:val="center"/>
        <w:tblLook w:val="04A0" w:firstRow="1" w:lastRow="0" w:firstColumn="1" w:lastColumn="0" w:noHBand="0" w:noVBand="1"/>
      </w:tblPr>
      <w:tblGrid>
        <w:gridCol w:w="1806"/>
        <w:gridCol w:w="1806"/>
        <w:gridCol w:w="1806"/>
        <w:gridCol w:w="1806"/>
        <w:gridCol w:w="1806"/>
      </w:tblGrid>
      <w:tr w:rsidR="00AC41AE" w14:paraId="15B6070B" w14:textId="77777777">
        <w:trPr>
          <w:jc w:val="center"/>
        </w:trPr>
        <w:tc>
          <w:tcPr>
            <w:tcW w:w="1806" w:type="dxa"/>
            <w:shd w:val="clear" w:color="auto" w:fill="1B3A6B"/>
          </w:tcPr>
          <w:p w14:paraId="2AD4721C" w14:textId="77777777" w:rsidR="00AC41AE" w:rsidRDefault="00000000">
            <w:r>
              <w:rPr>
                <w:rFonts w:ascii="Arial" w:hAnsi="Arial"/>
                <w:b/>
                <w:color w:val="FFFFFF"/>
                <w:sz w:val="18"/>
              </w:rPr>
              <w:t>Institution</w:t>
            </w:r>
          </w:p>
        </w:tc>
        <w:tc>
          <w:tcPr>
            <w:tcW w:w="1806" w:type="dxa"/>
            <w:shd w:val="clear" w:color="auto" w:fill="1B3A6B"/>
          </w:tcPr>
          <w:p w14:paraId="332A5378" w14:textId="77777777" w:rsidR="00AC41AE" w:rsidRDefault="00000000">
            <w:r>
              <w:rPr>
                <w:rFonts w:ascii="Arial" w:hAnsi="Arial"/>
                <w:b/>
                <w:color w:val="FFFFFF"/>
                <w:sz w:val="18"/>
              </w:rPr>
              <w:t>Scope 1+2 (tCO₂e)</w:t>
            </w:r>
          </w:p>
        </w:tc>
        <w:tc>
          <w:tcPr>
            <w:tcW w:w="1806" w:type="dxa"/>
            <w:shd w:val="clear" w:color="auto" w:fill="1B3A6B"/>
          </w:tcPr>
          <w:p w14:paraId="79D0FE61" w14:textId="77777777" w:rsidR="00AC41AE" w:rsidRDefault="00000000">
            <w:r>
              <w:rPr>
                <w:rFonts w:ascii="Arial" w:hAnsi="Arial"/>
                <w:b/>
                <w:color w:val="FFFFFF"/>
                <w:sz w:val="18"/>
              </w:rPr>
              <w:t>FTE Count</w:t>
            </w:r>
          </w:p>
        </w:tc>
        <w:tc>
          <w:tcPr>
            <w:tcW w:w="1806" w:type="dxa"/>
            <w:shd w:val="clear" w:color="auto" w:fill="1B3A6B"/>
          </w:tcPr>
          <w:p w14:paraId="61BBBCA2" w14:textId="77777777" w:rsidR="00AC41AE" w:rsidRDefault="00000000">
            <w:r>
              <w:rPr>
                <w:rFonts w:ascii="Arial" w:hAnsi="Arial"/>
                <w:b/>
                <w:color w:val="FFFFFF"/>
                <w:sz w:val="18"/>
              </w:rPr>
              <w:t>Intensity (tCO₂e/FTE)</w:t>
            </w:r>
          </w:p>
        </w:tc>
        <w:tc>
          <w:tcPr>
            <w:tcW w:w="1806" w:type="dxa"/>
            <w:shd w:val="clear" w:color="auto" w:fill="1B3A6B"/>
          </w:tcPr>
          <w:p w14:paraId="7A40742E" w14:textId="77777777" w:rsidR="00AC41AE" w:rsidRDefault="00000000">
            <w:r>
              <w:rPr>
                <w:rFonts w:ascii="Arial" w:hAnsi="Arial"/>
                <w:b/>
                <w:color w:val="FFFFFF"/>
                <w:sz w:val="18"/>
              </w:rPr>
              <w:t>Year</w:t>
            </w:r>
          </w:p>
        </w:tc>
      </w:tr>
      <w:tr w:rsidR="00AC41AE" w14:paraId="15A0C5A3" w14:textId="77777777">
        <w:trPr>
          <w:jc w:val="center"/>
        </w:trPr>
        <w:tc>
          <w:tcPr>
            <w:tcW w:w="1806" w:type="dxa"/>
          </w:tcPr>
          <w:p w14:paraId="0338EE11" w14:textId="77777777" w:rsidR="00AC41AE" w:rsidRDefault="00000000">
            <w:r>
              <w:rPr>
                <w:rFonts w:ascii="Arial" w:hAnsi="Arial"/>
                <w:sz w:val="18"/>
              </w:rPr>
              <w:t>Generic Financial Institution</w:t>
            </w:r>
          </w:p>
        </w:tc>
        <w:tc>
          <w:tcPr>
            <w:tcW w:w="1806" w:type="dxa"/>
          </w:tcPr>
          <w:p w14:paraId="3A11B713" w14:textId="77777777" w:rsidR="00AC41AE" w:rsidRDefault="00000000">
            <w:pPr>
              <w:jc w:val="right"/>
            </w:pPr>
            <w:r>
              <w:rPr>
                <w:rFonts w:ascii="Arial" w:hAnsi="Arial"/>
                <w:sz w:val="18"/>
              </w:rPr>
              <w:t>48,016.873</w:t>
            </w:r>
          </w:p>
        </w:tc>
        <w:tc>
          <w:tcPr>
            <w:tcW w:w="1806" w:type="dxa"/>
          </w:tcPr>
          <w:p w14:paraId="54A936E2" w14:textId="77777777" w:rsidR="00AC41AE" w:rsidRDefault="00000000">
            <w:pPr>
              <w:jc w:val="right"/>
            </w:pPr>
            <w:r>
              <w:rPr>
                <w:rFonts w:ascii="Arial" w:hAnsi="Arial"/>
                <w:sz w:val="18"/>
              </w:rPr>
              <w:t>24,997</w:t>
            </w:r>
          </w:p>
        </w:tc>
        <w:tc>
          <w:tcPr>
            <w:tcW w:w="1806" w:type="dxa"/>
          </w:tcPr>
          <w:p w14:paraId="7AAB6AEB" w14:textId="77777777" w:rsidR="00AC41AE" w:rsidRDefault="00000000">
            <w:pPr>
              <w:jc w:val="right"/>
            </w:pPr>
            <w:r>
              <w:rPr>
                <w:rFonts w:ascii="Arial" w:hAnsi="Arial"/>
                <w:sz w:val="18"/>
              </w:rPr>
              <w:t>1.9209</w:t>
            </w:r>
          </w:p>
        </w:tc>
        <w:tc>
          <w:tcPr>
            <w:tcW w:w="1806" w:type="dxa"/>
          </w:tcPr>
          <w:p w14:paraId="1D31AC04" w14:textId="77777777" w:rsidR="00AC41AE" w:rsidRDefault="00000000">
            <w:pPr>
              <w:jc w:val="right"/>
            </w:pPr>
            <w:r>
              <w:rPr>
                <w:rFonts w:ascii="Arial" w:hAnsi="Arial"/>
                <w:sz w:val="18"/>
              </w:rPr>
              <w:t>2024</w:t>
            </w:r>
          </w:p>
        </w:tc>
      </w:tr>
      <w:tr w:rsidR="00AC41AE" w14:paraId="4FDD00B1" w14:textId="77777777">
        <w:trPr>
          <w:jc w:val="center"/>
        </w:trPr>
        <w:tc>
          <w:tcPr>
            <w:tcW w:w="1806" w:type="dxa"/>
            <w:shd w:val="clear" w:color="auto" w:fill="F2F6FC"/>
          </w:tcPr>
          <w:p w14:paraId="53CAA9D2" w14:textId="77777777" w:rsidR="00AC41AE" w:rsidRDefault="00000000">
            <w:r>
              <w:rPr>
                <w:rFonts w:ascii="Arial" w:hAnsi="Arial"/>
                <w:sz w:val="18"/>
              </w:rPr>
              <w:t>DBS Group</w:t>
            </w:r>
          </w:p>
        </w:tc>
        <w:tc>
          <w:tcPr>
            <w:tcW w:w="1806" w:type="dxa"/>
            <w:shd w:val="clear" w:color="auto" w:fill="F2F6FC"/>
          </w:tcPr>
          <w:p w14:paraId="20E1D28E" w14:textId="77777777" w:rsidR="00AC41AE" w:rsidRDefault="00000000">
            <w:pPr>
              <w:jc w:val="right"/>
            </w:pPr>
            <w:r>
              <w:rPr>
                <w:rFonts w:ascii="Arial" w:hAnsi="Arial"/>
                <w:sz w:val="18"/>
              </w:rPr>
              <w:t>51,003</w:t>
            </w:r>
          </w:p>
        </w:tc>
        <w:tc>
          <w:tcPr>
            <w:tcW w:w="1806" w:type="dxa"/>
            <w:shd w:val="clear" w:color="auto" w:fill="F2F6FC"/>
          </w:tcPr>
          <w:p w14:paraId="12574F54" w14:textId="77777777" w:rsidR="00AC41AE" w:rsidRDefault="00000000">
            <w:r>
              <w:rPr>
                <w:rFonts w:ascii="Arial" w:hAnsi="Arial"/>
                <w:sz w:val="18"/>
              </w:rPr>
              <w:t>~250,000</w:t>
            </w:r>
          </w:p>
        </w:tc>
        <w:tc>
          <w:tcPr>
            <w:tcW w:w="1806" w:type="dxa"/>
            <w:shd w:val="clear" w:color="auto" w:fill="F2F6FC"/>
          </w:tcPr>
          <w:p w14:paraId="3A8B16C4" w14:textId="77777777" w:rsidR="00AC41AE" w:rsidRDefault="00000000">
            <w:pPr>
              <w:jc w:val="right"/>
            </w:pPr>
            <w:r>
              <w:rPr>
                <w:rFonts w:ascii="Arial" w:hAnsi="Arial"/>
                <w:sz w:val="18"/>
              </w:rPr>
              <w:t>0.2040</w:t>
            </w:r>
          </w:p>
        </w:tc>
        <w:tc>
          <w:tcPr>
            <w:tcW w:w="1806" w:type="dxa"/>
            <w:shd w:val="clear" w:color="auto" w:fill="F2F6FC"/>
          </w:tcPr>
          <w:p w14:paraId="04F54176" w14:textId="77777777" w:rsidR="00AC41AE" w:rsidRDefault="00000000">
            <w:pPr>
              <w:jc w:val="right"/>
            </w:pPr>
            <w:r>
              <w:rPr>
                <w:rFonts w:ascii="Arial" w:hAnsi="Arial"/>
                <w:sz w:val="18"/>
              </w:rPr>
              <w:t>2023</w:t>
            </w:r>
          </w:p>
        </w:tc>
      </w:tr>
      <w:tr w:rsidR="00AC41AE" w14:paraId="7B594AD2" w14:textId="77777777">
        <w:trPr>
          <w:jc w:val="center"/>
        </w:trPr>
        <w:tc>
          <w:tcPr>
            <w:tcW w:w="1806" w:type="dxa"/>
          </w:tcPr>
          <w:p w14:paraId="6C70624F" w14:textId="77777777" w:rsidR="00AC41AE" w:rsidRDefault="00000000">
            <w:r>
              <w:rPr>
                <w:rFonts w:ascii="Arial" w:hAnsi="Arial"/>
                <w:sz w:val="18"/>
              </w:rPr>
              <w:t>BCA</w:t>
            </w:r>
          </w:p>
        </w:tc>
        <w:tc>
          <w:tcPr>
            <w:tcW w:w="1806" w:type="dxa"/>
          </w:tcPr>
          <w:p w14:paraId="2E787300" w14:textId="77777777" w:rsidR="00AC41AE" w:rsidRDefault="00000000">
            <w:r>
              <w:rPr>
                <w:rFonts w:ascii="Arial" w:hAnsi="Arial"/>
                <w:sz w:val="18"/>
              </w:rPr>
              <w:t>~59,800</w:t>
            </w:r>
          </w:p>
        </w:tc>
        <w:tc>
          <w:tcPr>
            <w:tcW w:w="1806" w:type="dxa"/>
          </w:tcPr>
          <w:p w14:paraId="5DE09C0B" w14:textId="77777777" w:rsidR="00AC41AE" w:rsidRDefault="00000000">
            <w:r>
              <w:rPr>
                <w:rFonts w:ascii="Arial" w:hAnsi="Arial"/>
                <w:sz w:val="18"/>
              </w:rPr>
              <w:t>~250,000</w:t>
            </w:r>
          </w:p>
        </w:tc>
        <w:tc>
          <w:tcPr>
            <w:tcW w:w="1806" w:type="dxa"/>
          </w:tcPr>
          <w:p w14:paraId="0CCF320F" w14:textId="77777777" w:rsidR="00AC41AE" w:rsidRDefault="00000000">
            <w:pPr>
              <w:jc w:val="right"/>
            </w:pPr>
            <w:r>
              <w:rPr>
                <w:rFonts w:ascii="Arial" w:hAnsi="Arial"/>
                <w:sz w:val="18"/>
              </w:rPr>
              <w:t>0.2393</w:t>
            </w:r>
          </w:p>
        </w:tc>
        <w:tc>
          <w:tcPr>
            <w:tcW w:w="1806" w:type="dxa"/>
          </w:tcPr>
          <w:p w14:paraId="03C017AF" w14:textId="77777777" w:rsidR="00AC41AE" w:rsidRDefault="00000000">
            <w:pPr>
              <w:jc w:val="right"/>
            </w:pPr>
            <w:r>
              <w:rPr>
                <w:rFonts w:ascii="Arial" w:hAnsi="Arial"/>
                <w:sz w:val="18"/>
              </w:rPr>
              <w:t>2024</w:t>
            </w:r>
          </w:p>
        </w:tc>
      </w:tr>
      <w:tr w:rsidR="00AC41AE" w14:paraId="5D7A1E78" w14:textId="77777777">
        <w:trPr>
          <w:jc w:val="center"/>
        </w:trPr>
        <w:tc>
          <w:tcPr>
            <w:tcW w:w="1806" w:type="dxa"/>
            <w:shd w:val="clear" w:color="auto" w:fill="F2F6FC"/>
          </w:tcPr>
          <w:p w14:paraId="2B98479C" w14:textId="77777777" w:rsidR="00AC41AE" w:rsidRDefault="00000000">
            <w:r>
              <w:rPr>
                <w:rFonts w:ascii="Arial" w:hAnsi="Arial"/>
                <w:sz w:val="18"/>
              </w:rPr>
              <w:t>Bank Mandiri</w:t>
            </w:r>
          </w:p>
        </w:tc>
        <w:tc>
          <w:tcPr>
            <w:tcW w:w="1806" w:type="dxa"/>
            <w:shd w:val="clear" w:color="auto" w:fill="F2F6FC"/>
          </w:tcPr>
          <w:p w14:paraId="0C00061D" w14:textId="77777777" w:rsidR="00AC41AE" w:rsidRDefault="00000000">
            <w:r>
              <w:rPr>
                <w:rFonts w:ascii="Arial" w:hAnsi="Arial"/>
                <w:sz w:val="18"/>
              </w:rPr>
              <w:t>~70,200</w:t>
            </w:r>
          </w:p>
        </w:tc>
        <w:tc>
          <w:tcPr>
            <w:tcW w:w="1806" w:type="dxa"/>
            <w:shd w:val="clear" w:color="auto" w:fill="F2F6FC"/>
          </w:tcPr>
          <w:p w14:paraId="77F74339" w14:textId="77777777" w:rsidR="00AC41AE" w:rsidRDefault="00000000">
            <w:r>
              <w:rPr>
                <w:rFonts w:ascii="Arial" w:hAnsi="Arial"/>
                <w:sz w:val="18"/>
              </w:rPr>
              <w:t>~245,000</w:t>
            </w:r>
          </w:p>
        </w:tc>
        <w:tc>
          <w:tcPr>
            <w:tcW w:w="1806" w:type="dxa"/>
            <w:shd w:val="clear" w:color="auto" w:fill="F2F6FC"/>
          </w:tcPr>
          <w:p w14:paraId="63DAE6DA" w14:textId="77777777" w:rsidR="00AC41AE" w:rsidRDefault="00000000">
            <w:pPr>
              <w:jc w:val="right"/>
            </w:pPr>
            <w:r>
              <w:rPr>
                <w:rFonts w:ascii="Arial" w:hAnsi="Arial"/>
                <w:sz w:val="18"/>
              </w:rPr>
              <w:t>0.2867</w:t>
            </w:r>
          </w:p>
        </w:tc>
        <w:tc>
          <w:tcPr>
            <w:tcW w:w="1806" w:type="dxa"/>
            <w:shd w:val="clear" w:color="auto" w:fill="F2F6FC"/>
          </w:tcPr>
          <w:p w14:paraId="5FD730DB" w14:textId="77777777" w:rsidR="00AC41AE" w:rsidRDefault="00000000">
            <w:pPr>
              <w:jc w:val="right"/>
            </w:pPr>
            <w:r>
              <w:rPr>
                <w:rFonts w:ascii="Arial" w:hAnsi="Arial"/>
                <w:sz w:val="18"/>
              </w:rPr>
              <w:t>2023</w:t>
            </w:r>
          </w:p>
        </w:tc>
      </w:tr>
      <w:tr w:rsidR="00AC41AE" w14:paraId="2B9CA54D" w14:textId="77777777">
        <w:trPr>
          <w:jc w:val="center"/>
        </w:trPr>
        <w:tc>
          <w:tcPr>
            <w:tcW w:w="1806" w:type="dxa"/>
          </w:tcPr>
          <w:p w14:paraId="30EFC46D" w14:textId="77777777" w:rsidR="00AC41AE" w:rsidRDefault="00000000">
            <w:r>
              <w:rPr>
                <w:rFonts w:ascii="Arial" w:hAnsi="Arial"/>
                <w:sz w:val="18"/>
              </w:rPr>
              <w:t>BRI</w:t>
            </w:r>
          </w:p>
        </w:tc>
        <w:tc>
          <w:tcPr>
            <w:tcW w:w="1806" w:type="dxa"/>
          </w:tcPr>
          <w:p w14:paraId="794F5379" w14:textId="77777777" w:rsidR="00AC41AE" w:rsidRDefault="00000000">
            <w:r>
              <w:rPr>
                <w:rFonts w:ascii="Arial" w:hAnsi="Arial"/>
                <w:sz w:val="18"/>
              </w:rPr>
              <w:t>~97,500</w:t>
            </w:r>
          </w:p>
        </w:tc>
        <w:tc>
          <w:tcPr>
            <w:tcW w:w="1806" w:type="dxa"/>
          </w:tcPr>
          <w:p w14:paraId="73424CE7" w14:textId="77777777" w:rsidR="00AC41AE" w:rsidRDefault="00000000">
            <w:r>
              <w:rPr>
                <w:rFonts w:ascii="Arial" w:hAnsi="Arial"/>
                <w:sz w:val="18"/>
              </w:rPr>
              <w:t>~125,000</w:t>
            </w:r>
          </w:p>
        </w:tc>
        <w:tc>
          <w:tcPr>
            <w:tcW w:w="1806" w:type="dxa"/>
          </w:tcPr>
          <w:p w14:paraId="518D352D" w14:textId="77777777" w:rsidR="00AC41AE" w:rsidRDefault="00000000">
            <w:pPr>
              <w:jc w:val="right"/>
            </w:pPr>
            <w:r>
              <w:rPr>
                <w:rFonts w:ascii="Arial" w:hAnsi="Arial"/>
                <w:sz w:val="18"/>
              </w:rPr>
              <w:t>0.7800</w:t>
            </w:r>
          </w:p>
        </w:tc>
        <w:tc>
          <w:tcPr>
            <w:tcW w:w="1806" w:type="dxa"/>
          </w:tcPr>
          <w:p w14:paraId="313DD18C" w14:textId="77777777" w:rsidR="00AC41AE" w:rsidRDefault="00000000">
            <w:pPr>
              <w:jc w:val="right"/>
            </w:pPr>
            <w:r>
              <w:rPr>
                <w:rFonts w:ascii="Arial" w:hAnsi="Arial"/>
                <w:sz w:val="18"/>
              </w:rPr>
              <w:t>2023</w:t>
            </w:r>
          </w:p>
        </w:tc>
      </w:tr>
    </w:tbl>
    <w:p w14:paraId="337E52B7" w14:textId="77777777" w:rsidR="00AC41AE" w:rsidRDefault="00000000">
      <w:r>
        <w:rPr>
          <w:rFonts w:ascii="Arial" w:hAnsi="Arial"/>
          <w:i/>
          <w:sz w:val="16"/>
        </w:rPr>
        <w:t>Source: Peer data from RAG CONTEXT benchmark references. DBS achieved 12% YoY reduction and 62% renewable energy (RE100 member). BCA and BRI data estimated from disclosed totals and approximate headcount. Generic FI intensity is 9.4× higher than DBS best practice.</w:t>
      </w:r>
    </w:p>
    <w:p w14:paraId="103804DC" w14:textId="77777777" w:rsidR="00AC41AE" w:rsidRDefault="00AC41AE"/>
    <w:p w14:paraId="501F1F3F" w14:textId="77777777" w:rsidR="00AC41AE" w:rsidRDefault="00000000">
      <w:r>
        <w:rPr>
          <w:rFonts w:ascii="Arial" w:hAnsi="Arial"/>
          <w:b/>
          <w:sz w:val="20"/>
        </w:rPr>
        <w:t>Table 32: Table 1.4.4: Framework Cross-Reference</w:t>
      </w:r>
    </w:p>
    <w:tbl>
      <w:tblPr>
        <w:tblW w:w="0" w:type="auto"/>
        <w:jc w:val="center"/>
        <w:tblLook w:val="04A0" w:firstRow="1" w:lastRow="0" w:firstColumn="1" w:lastColumn="0" w:noHBand="0" w:noVBand="1"/>
      </w:tblPr>
      <w:tblGrid>
        <w:gridCol w:w="2257"/>
        <w:gridCol w:w="2257"/>
        <w:gridCol w:w="2257"/>
        <w:gridCol w:w="2257"/>
      </w:tblGrid>
      <w:tr w:rsidR="00AC41AE" w14:paraId="11C268A0" w14:textId="77777777">
        <w:trPr>
          <w:jc w:val="center"/>
        </w:trPr>
        <w:tc>
          <w:tcPr>
            <w:tcW w:w="2257" w:type="dxa"/>
            <w:shd w:val="clear" w:color="auto" w:fill="1B3A6B"/>
          </w:tcPr>
          <w:p w14:paraId="54FE9DFC" w14:textId="77777777" w:rsidR="00AC41AE" w:rsidRDefault="00000000">
            <w:r>
              <w:rPr>
                <w:rFonts w:ascii="Arial" w:hAnsi="Arial"/>
                <w:b/>
                <w:color w:val="FFFFFF"/>
                <w:sz w:val="18"/>
              </w:rPr>
              <w:t>Framework</w:t>
            </w:r>
          </w:p>
        </w:tc>
        <w:tc>
          <w:tcPr>
            <w:tcW w:w="2257" w:type="dxa"/>
            <w:shd w:val="clear" w:color="auto" w:fill="1B3A6B"/>
          </w:tcPr>
          <w:p w14:paraId="46FFAE2E" w14:textId="77777777" w:rsidR="00AC41AE" w:rsidRDefault="00000000">
            <w:r>
              <w:rPr>
                <w:rFonts w:ascii="Arial" w:hAnsi="Arial"/>
                <w:b/>
                <w:color w:val="FFFFFF"/>
                <w:sz w:val="18"/>
              </w:rPr>
              <w:t>Disclosure Reference</w:t>
            </w:r>
          </w:p>
        </w:tc>
        <w:tc>
          <w:tcPr>
            <w:tcW w:w="2257" w:type="dxa"/>
            <w:shd w:val="clear" w:color="auto" w:fill="1B3A6B"/>
          </w:tcPr>
          <w:p w14:paraId="59C9E82F" w14:textId="77777777" w:rsidR="00AC41AE" w:rsidRDefault="00000000">
            <w:r>
              <w:rPr>
                <w:rFonts w:ascii="Arial" w:hAnsi="Arial"/>
                <w:b/>
                <w:color w:val="FFFFFF"/>
                <w:sz w:val="18"/>
              </w:rPr>
              <w:t>Requirement</w:t>
            </w:r>
          </w:p>
        </w:tc>
        <w:tc>
          <w:tcPr>
            <w:tcW w:w="2257" w:type="dxa"/>
            <w:shd w:val="clear" w:color="auto" w:fill="1B3A6B"/>
          </w:tcPr>
          <w:p w14:paraId="31DD4C3C" w14:textId="77777777" w:rsidR="00AC41AE" w:rsidRDefault="00000000">
            <w:r>
              <w:rPr>
                <w:rFonts w:ascii="Arial" w:hAnsi="Arial"/>
                <w:b/>
                <w:color w:val="FFFFFF"/>
                <w:sz w:val="18"/>
              </w:rPr>
              <w:t>Status</w:t>
            </w:r>
          </w:p>
        </w:tc>
      </w:tr>
      <w:tr w:rsidR="00AC41AE" w14:paraId="04612B89" w14:textId="77777777">
        <w:trPr>
          <w:jc w:val="center"/>
        </w:trPr>
        <w:tc>
          <w:tcPr>
            <w:tcW w:w="2257" w:type="dxa"/>
          </w:tcPr>
          <w:p w14:paraId="6A3478E5" w14:textId="77777777" w:rsidR="00AC41AE" w:rsidRDefault="00000000">
            <w:r>
              <w:rPr>
                <w:rFonts w:ascii="Arial" w:hAnsi="Arial"/>
                <w:sz w:val="18"/>
              </w:rPr>
              <w:t>GRI 305-4</w:t>
            </w:r>
          </w:p>
        </w:tc>
        <w:tc>
          <w:tcPr>
            <w:tcW w:w="2257" w:type="dxa"/>
          </w:tcPr>
          <w:p w14:paraId="7A0EE0EC" w14:textId="77777777" w:rsidR="00AC41AE" w:rsidRDefault="00000000">
            <w:r>
              <w:rPr>
                <w:rFonts w:ascii="Arial" w:hAnsi="Arial"/>
                <w:sz w:val="18"/>
              </w:rPr>
              <w:t>305-4a</w:t>
            </w:r>
          </w:p>
        </w:tc>
        <w:tc>
          <w:tcPr>
            <w:tcW w:w="2257" w:type="dxa"/>
          </w:tcPr>
          <w:p w14:paraId="27D7C7FB" w14:textId="77777777" w:rsidR="00AC41AE" w:rsidRDefault="00000000">
            <w:r>
              <w:rPr>
                <w:rFonts w:ascii="Arial" w:hAnsi="Arial"/>
                <w:sz w:val="18"/>
              </w:rPr>
              <w:t>GHG emissions intensity ratio</w:t>
            </w:r>
          </w:p>
        </w:tc>
        <w:tc>
          <w:tcPr>
            <w:tcW w:w="2257" w:type="dxa"/>
          </w:tcPr>
          <w:p w14:paraId="1C1FA09B" w14:textId="77777777" w:rsidR="00AC41AE" w:rsidRDefault="00000000">
            <w:r>
              <w:rPr>
                <w:rFonts w:ascii="Arial" w:hAnsi="Arial"/>
                <w:sz w:val="18"/>
              </w:rPr>
              <w:t>✅ Disclosed</w:t>
            </w:r>
          </w:p>
        </w:tc>
      </w:tr>
      <w:tr w:rsidR="00AC41AE" w14:paraId="5F8915F1" w14:textId="77777777">
        <w:trPr>
          <w:jc w:val="center"/>
        </w:trPr>
        <w:tc>
          <w:tcPr>
            <w:tcW w:w="2257" w:type="dxa"/>
            <w:shd w:val="clear" w:color="auto" w:fill="F2F6FC"/>
          </w:tcPr>
          <w:p w14:paraId="1ECFD65A" w14:textId="77777777" w:rsidR="00AC41AE" w:rsidRDefault="00000000">
            <w:r>
              <w:rPr>
                <w:rFonts w:ascii="Arial" w:hAnsi="Arial"/>
                <w:sz w:val="18"/>
              </w:rPr>
              <w:t>GRI 305-4</w:t>
            </w:r>
          </w:p>
        </w:tc>
        <w:tc>
          <w:tcPr>
            <w:tcW w:w="2257" w:type="dxa"/>
            <w:shd w:val="clear" w:color="auto" w:fill="F2F6FC"/>
          </w:tcPr>
          <w:p w14:paraId="265EFB49" w14:textId="77777777" w:rsidR="00AC41AE" w:rsidRDefault="00000000">
            <w:r>
              <w:rPr>
                <w:rFonts w:ascii="Arial" w:hAnsi="Arial"/>
                <w:sz w:val="18"/>
              </w:rPr>
              <w:t>305-4b</w:t>
            </w:r>
          </w:p>
        </w:tc>
        <w:tc>
          <w:tcPr>
            <w:tcW w:w="2257" w:type="dxa"/>
            <w:shd w:val="clear" w:color="auto" w:fill="F2F6FC"/>
          </w:tcPr>
          <w:p w14:paraId="24DAE907" w14:textId="77777777" w:rsidR="00AC41AE" w:rsidRDefault="00000000">
            <w:r>
              <w:rPr>
                <w:rFonts w:ascii="Arial" w:hAnsi="Arial"/>
                <w:sz w:val="18"/>
              </w:rPr>
              <w:t>Organization-specific metric (revenue &amp; FTE)</w:t>
            </w:r>
          </w:p>
        </w:tc>
        <w:tc>
          <w:tcPr>
            <w:tcW w:w="2257" w:type="dxa"/>
            <w:shd w:val="clear" w:color="auto" w:fill="F2F6FC"/>
          </w:tcPr>
          <w:p w14:paraId="7D2A6C49" w14:textId="77777777" w:rsidR="00AC41AE" w:rsidRDefault="00000000">
            <w:r>
              <w:rPr>
                <w:rFonts w:ascii="Arial" w:hAnsi="Arial"/>
                <w:sz w:val="18"/>
              </w:rPr>
              <w:t>✅ Disclosed</w:t>
            </w:r>
          </w:p>
        </w:tc>
      </w:tr>
      <w:tr w:rsidR="00AC41AE" w14:paraId="78219C15" w14:textId="77777777">
        <w:trPr>
          <w:jc w:val="center"/>
        </w:trPr>
        <w:tc>
          <w:tcPr>
            <w:tcW w:w="2257" w:type="dxa"/>
          </w:tcPr>
          <w:p w14:paraId="291BAE45" w14:textId="77777777" w:rsidR="00AC41AE" w:rsidRDefault="00000000">
            <w:r>
              <w:rPr>
                <w:rFonts w:ascii="Arial" w:hAnsi="Arial"/>
                <w:sz w:val="18"/>
              </w:rPr>
              <w:t>GRI 305-4</w:t>
            </w:r>
          </w:p>
        </w:tc>
        <w:tc>
          <w:tcPr>
            <w:tcW w:w="2257" w:type="dxa"/>
          </w:tcPr>
          <w:p w14:paraId="25F9603D" w14:textId="77777777" w:rsidR="00AC41AE" w:rsidRDefault="00000000">
            <w:r>
              <w:rPr>
                <w:rFonts w:ascii="Arial" w:hAnsi="Arial"/>
                <w:sz w:val="18"/>
              </w:rPr>
              <w:t>305-4c</w:t>
            </w:r>
          </w:p>
        </w:tc>
        <w:tc>
          <w:tcPr>
            <w:tcW w:w="2257" w:type="dxa"/>
          </w:tcPr>
          <w:p w14:paraId="6AEDCF76" w14:textId="77777777" w:rsidR="00AC41AE" w:rsidRDefault="00000000">
            <w:r>
              <w:rPr>
                <w:rFonts w:ascii="Arial" w:hAnsi="Arial"/>
                <w:sz w:val="18"/>
              </w:rPr>
              <w:t>Types of GHG included in intensity calculation</w:t>
            </w:r>
          </w:p>
        </w:tc>
        <w:tc>
          <w:tcPr>
            <w:tcW w:w="2257" w:type="dxa"/>
          </w:tcPr>
          <w:p w14:paraId="403CD0C3" w14:textId="77777777" w:rsidR="00AC41AE" w:rsidRDefault="00000000">
            <w:r>
              <w:rPr>
                <w:rFonts w:ascii="Arial" w:hAnsi="Arial"/>
                <w:sz w:val="18"/>
              </w:rPr>
              <w:t>✅ Disclosed</w:t>
            </w:r>
          </w:p>
        </w:tc>
      </w:tr>
      <w:tr w:rsidR="00AC41AE" w14:paraId="2BACF8BB" w14:textId="77777777">
        <w:trPr>
          <w:jc w:val="center"/>
        </w:trPr>
        <w:tc>
          <w:tcPr>
            <w:tcW w:w="2257" w:type="dxa"/>
            <w:shd w:val="clear" w:color="auto" w:fill="F2F6FC"/>
          </w:tcPr>
          <w:p w14:paraId="3C6DCA44" w14:textId="77777777" w:rsidR="00AC41AE" w:rsidRDefault="00000000">
            <w:r>
              <w:rPr>
                <w:rFonts w:ascii="Arial" w:hAnsi="Arial"/>
                <w:sz w:val="18"/>
              </w:rPr>
              <w:t>GRI 305-4</w:t>
            </w:r>
          </w:p>
        </w:tc>
        <w:tc>
          <w:tcPr>
            <w:tcW w:w="2257" w:type="dxa"/>
            <w:shd w:val="clear" w:color="auto" w:fill="F2F6FC"/>
          </w:tcPr>
          <w:p w14:paraId="5AF55743" w14:textId="77777777" w:rsidR="00AC41AE" w:rsidRDefault="00000000">
            <w:r>
              <w:rPr>
                <w:rFonts w:ascii="Arial" w:hAnsi="Arial"/>
                <w:sz w:val="18"/>
              </w:rPr>
              <w:t>305-4d</w:t>
            </w:r>
          </w:p>
        </w:tc>
        <w:tc>
          <w:tcPr>
            <w:tcW w:w="2257" w:type="dxa"/>
            <w:shd w:val="clear" w:color="auto" w:fill="F2F6FC"/>
          </w:tcPr>
          <w:p w14:paraId="112186E6" w14:textId="77777777" w:rsidR="00AC41AE" w:rsidRDefault="00000000">
            <w:r>
              <w:rPr>
                <w:rFonts w:ascii="Arial" w:hAnsi="Arial"/>
                <w:sz w:val="18"/>
              </w:rPr>
              <w:t>Gases included (CO₂, CH₄, N₂O, HFCs, PFCs, SF₆, NF₃)</w:t>
            </w:r>
          </w:p>
        </w:tc>
        <w:tc>
          <w:tcPr>
            <w:tcW w:w="2257" w:type="dxa"/>
            <w:shd w:val="clear" w:color="auto" w:fill="F2F6FC"/>
          </w:tcPr>
          <w:p w14:paraId="4E40EC10" w14:textId="77777777" w:rsidR="00AC41AE" w:rsidRDefault="00000000">
            <w:r>
              <w:rPr>
                <w:rFonts w:ascii="Arial" w:hAnsi="Arial"/>
                <w:sz w:val="18"/>
              </w:rPr>
              <w:t>✅ Disclosed</w:t>
            </w:r>
          </w:p>
        </w:tc>
      </w:tr>
      <w:tr w:rsidR="00AC41AE" w14:paraId="403D6142" w14:textId="77777777">
        <w:trPr>
          <w:jc w:val="center"/>
        </w:trPr>
        <w:tc>
          <w:tcPr>
            <w:tcW w:w="2257" w:type="dxa"/>
          </w:tcPr>
          <w:p w14:paraId="25CEEC63" w14:textId="77777777" w:rsidR="00AC41AE" w:rsidRDefault="00000000">
            <w:r>
              <w:rPr>
                <w:rFonts w:ascii="Arial" w:hAnsi="Arial"/>
                <w:sz w:val="18"/>
              </w:rPr>
              <w:t>IFRS S2</w:t>
            </w:r>
          </w:p>
        </w:tc>
        <w:tc>
          <w:tcPr>
            <w:tcW w:w="2257" w:type="dxa"/>
          </w:tcPr>
          <w:p w14:paraId="0E4F4C43" w14:textId="77777777" w:rsidR="00AC41AE" w:rsidRDefault="00000000">
            <w:r>
              <w:rPr>
                <w:rFonts w:ascii="Arial" w:hAnsi="Arial"/>
                <w:sz w:val="18"/>
              </w:rPr>
              <w:t>Paragraph 29(b)</w:t>
            </w:r>
          </w:p>
        </w:tc>
        <w:tc>
          <w:tcPr>
            <w:tcW w:w="2257" w:type="dxa"/>
          </w:tcPr>
          <w:p w14:paraId="132D65F5" w14:textId="77777777" w:rsidR="00AC41AE" w:rsidRDefault="00000000">
            <w:r>
              <w:rPr>
                <w:rFonts w:ascii="Arial" w:hAnsi="Arial"/>
                <w:sz w:val="18"/>
              </w:rPr>
              <w:t>Cross-industry metric: GHG emissions intensity</w:t>
            </w:r>
          </w:p>
        </w:tc>
        <w:tc>
          <w:tcPr>
            <w:tcW w:w="2257" w:type="dxa"/>
          </w:tcPr>
          <w:p w14:paraId="4FAD23A5" w14:textId="77777777" w:rsidR="00AC41AE" w:rsidRDefault="00000000">
            <w:r>
              <w:rPr>
                <w:rFonts w:ascii="Arial" w:hAnsi="Arial"/>
                <w:sz w:val="18"/>
              </w:rPr>
              <w:t>✅ Disclosed</w:t>
            </w:r>
          </w:p>
        </w:tc>
      </w:tr>
      <w:tr w:rsidR="00AC41AE" w14:paraId="4CCB7818" w14:textId="77777777">
        <w:trPr>
          <w:jc w:val="center"/>
        </w:trPr>
        <w:tc>
          <w:tcPr>
            <w:tcW w:w="2257" w:type="dxa"/>
            <w:shd w:val="clear" w:color="auto" w:fill="F2F6FC"/>
          </w:tcPr>
          <w:p w14:paraId="0DC90589" w14:textId="77777777" w:rsidR="00AC41AE" w:rsidRDefault="00000000">
            <w:r>
              <w:rPr>
                <w:rFonts w:ascii="Arial" w:hAnsi="Arial"/>
                <w:sz w:val="18"/>
              </w:rPr>
              <w:t>ESRS E1-6</w:t>
            </w:r>
          </w:p>
        </w:tc>
        <w:tc>
          <w:tcPr>
            <w:tcW w:w="2257" w:type="dxa"/>
            <w:shd w:val="clear" w:color="auto" w:fill="F2F6FC"/>
          </w:tcPr>
          <w:p w14:paraId="73E6031A" w14:textId="77777777" w:rsidR="00AC41AE" w:rsidRDefault="00000000">
            <w:r>
              <w:rPr>
                <w:rFonts w:ascii="Arial" w:hAnsi="Arial"/>
                <w:sz w:val="18"/>
              </w:rPr>
              <w:t>DR E1-6.53</w:t>
            </w:r>
          </w:p>
        </w:tc>
        <w:tc>
          <w:tcPr>
            <w:tcW w:w="2257" w:type="dxa"/>
            <w:shd w:val="clear" w:color="auto" w:fill="F2F6FC"/>
          </w:tcPr>
          <w:p w14:paraId="5A11EE56" w14:textId="77777777" w:rsidR="00AC41AE" w:rsidRDefault="00000000">
            <w:r>
              <w:rPr>
                <w:rFonts w:ascii="Arial" w:hAnsi="Arial"/>
                <w:sz w:val="18"/>
              </w:rPr>
              <w:t>GHG intensity per net revenue</w:t>
            </w:r>
          </w:p>
        </w:tc>
        <w:tc>
          <w:tcPr>
            <w:tcW w:w="2257" w:type="dxa"/>
            <w:shd w:val="clear" w:color="auto" w:fill="F2F6FC"/>
          </w:tcPr>
          <w:p w14:paraId="7CF136AD" w14:textId="77777777" w:rsidR="00AC41AE" w:rsidRDefault="00000000">
            <w:r>
              <w:rPr>
                <w:rFonts w:ascii="Arial" w:hAnsi="Arial"/>
                <w:sz w:val="18"/>
              </w:rPr>
              <w:t>✅ Disclosed</w:t>
            </w:r>
          </w:p>
        </w:tc>
      </w:tr>
      <w:tr w:rsidR="00AC41AE" w14:paraId="3FF3AB52" w14:textId="77777777">
        <w:trPr>
          <w:jc w:val="center"/>
        </w:trPr>
        <w:tc>
          <w:tcPr>
            <w:tcW w:w="2257" w:type="dxa"/>
          </w:tcPr>
          <w:p w14:paraId="34CB0444" w14:textId="77777777" w:rsidR="00AC41AE" w:rsidRDefault="00000000">
            <w:r>
              <w:rPr>
                <w:rFonts w:ascii="Arial" w:hAnsi="Arial"/>
                <w:sz w:val="18"/>
              </w:rPr>
              <w:lastRenderedPageBreak/>
              <w:t>OJK PSPK</w:t>
            </w:r>
          </w:p>
        </w:tc>
        <w:tc>
          <w:tcPr>
            <w:tcW w:w="2257" w:type="dxa"/>
          </w:tcPr>
          <w:p w14:paraId="6B6F6C7B" w14:textId="77777777" w:rsidR="00AC41AE" w:rsidRDefault="00000000">
            <w:r>
              <w:rPr>
                <w:rFonts w:ascii="Arial" w:hAnsi="Arial"/>
                <w:sz w:val="18"/>
              </w:rPr>
              <w:t>Intensitas Emisi GRK</w:t>
            </w:r>
          </w:p>
        </w:tc>
        <w:tc>
          <w:tcPr>
            <w:tcW w:w="2257" w:type="dxa"/>
          </w:tcPr>
          <w:p w14:paraId="2CA1AB56" w14:textId="77777777" w:rsidR="00AC41AE" w:rsidRDefault="00000000">
            <w:r>
              <w:rPr>
                <w:rFonts w:ascii="Arial" w:hAnsi="Arial"/>
                <w:sz w:val="18"/>
              </w:rPr>
              <w:t>tCO₂e per pendapatan (revenue)</w:t>
            </w:r>
          </w:p>
        </w:tc>
        <w:tc>
          <w:tcPr>
            <w:tcW w:w="2257" w:type="dxa"/>
          </w:tcPr>
          <w:p w14:paraId="5136D76F" w14:textId="77777777" w:rsidR="00AC41AE" w:rsidRDefault="00000000">
            <w:r>
              <w:rPr>
                <w:rFonts w:ascii="Arial" w:hAnsi="Arial"/>
                <w:sz w:val="18"/>
              </w:rPr>
              <w:t>✅ Disclosed</w:t>
            </w:r>
          </w:p>
        </w:tc>
      </w:tr>
    </w:tbl>
    <w:p w14:paraId="02003525" w14:textId="77777777" w:rsidR="00AC41AE" w:rsidRDefault="00000000">
      <w:r>
        <w:rPr>
          <w:rFonts w:ascii="Arial" w:hAnsi="Arial"/>
          <w:i/>
          <w:sz w:val="16"/>
        </w:rPr>
        <w:t>Source: All mandatory intensity disclosures per multi-framework requirements are satisfied. GRI 305-4 has been superseded by GRI 102: Climate Change 2025 but remains applicable for 2024 reporting.</w:t>
      </w:r>
    </w:p>
    <w:p w14:paraId="5D038370" w14:textId="77777777" w:rsidR="00AC41AE" w:rsidRDefault="00AC41AE"/>
    <w:p w14:paraId="6AD645F7" w14:textId="77777777" w:rsidR="00AC41AE" w:rsidRDefault="00AC41AE"/>
    <w:p w14:paraId="39470340" w14:textId="77777777" w:rsidR="00AC41AE" w:rsidRDefault="00000000">
      <w:r>
        <w:rPr>
          <w:noProof/>
        </w:rPr>
        <w:drawing>
          <wp:inline distT="0" distB="0" distL="0" distR="0" wp14:anchorId="25B889E6" wp14:editId="338EF534">
            <wp:extent cx="5029200" cy="333205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029200" cy="3332057"/>
                    </a:xfrm>
                    <a:prstGeom prst="rect">
                      <a:avLst/>
                    </a:prstGeom>
                  </pic:spPr>
                </pic:pic>
              </a:graphicData>
            </a:graphic>
          </wp:inline>
        </w:drawing>
      </w:r>
    </w:p>
    <w:p w14:paraId="74548517" w14:textId="77777777" w:rsidR="00AC41AE" w:rsidRDefault="00000000">
      <w:pPr>
        <w:jc w:val="center"/>
      </w:pPr>
      <w:r>
        <w:rPr>
          <w:i/>
          <w:color w:val="666666"/>
          <w:sz w:val="18"/>
        </w:rPr>
        <w:t>Figure 14: GHG Emissions Intensity — Year-over-Year Comparison</w:t>
      </w:r>
    </w:p>
    <w:p w14:paraId="6982B133" w14:textId="77777777" w:rsidR="00AC41AE" w:rsidRDefault="00000000">
      <w:pPr>
        <w:jc w:val="center"/>
      </w:pPr>
      <w:r>
        <w:rPr>
          <w:i/>
          <w:color w:val="757575"/>
          <w:sz w:val="18"/>
        </w:rPr>
        <w:t>Revenue intensity improved 11.37% (driven by financed emissions reduction) while operational intensity improved only 1.79% — reveals strategic imbalance favoring portfolio over direct operations</w:t>
      </w:r>
    </w:p>
    <w:p w14:paraId="55D4D674" w14:textId="77777777" w:rsidR="00AC41AE" w:rsidRDefault="00AC41AE"/>
    <w:p w14:paraId="613413AE" w14:textId="77777777" w:rsidR="00AC41AE" w:rsidRDefault="00000000">
      <w:r>
        <w:rPr>
          <w:noProof/>
        </w:rPr>
        <w:lastRenderedPageBreak/>
        <w:drawing>
          <wp:inline distT="0" distB="0" distL="0" distR="0" wp14:anchorId="0E618BA8" wp14:editId="4F37759C">
            <wp:extent cx="5029200" cy="32731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029200" cy="3273148"/>
                    </a:xfrm>
                    <a:prstGeom prst="rect">
                      <a:avLst/>
                    </a:prstGeom>
                  </pic:spPr>
                </pic:pic>
              </a:graphicData>
            </a:graphic>
          </wp:inline>
        </w:drawing>
      </w:r>
    </w:p>
    <w:p w14:paraId="25E3D780" w14:textId="77777777" w:rsidR="00AC41AE" w:rsidRDefault="00000000">
      <w:pPr>
        <w:jc w:val="center"/>
      </w:pPr>
      <w:r>
        <w:rPr>
          <w:i/>
          <w:color w:val="666666"/>
          <w:sz w:val="18"/>
        </w:rPr>
        <w:t>Figure 15: Operational Intensity Peer Benchmark (tCO₂e per FTE)</w:t>
      </w:r>
    </w:p>
    <w:p w14:paraId="30CF0272" w14:textId="77777777" w:rsidR="00AC41AE" w:rsidRDefault="00000000">
      <w:pPr>
        <w:jc w:val="center"/>
      </w:pPr>
      <w:r>
        <w:rPr>
          <w:i/>
          <w:color w:val="757575"/>
          <w:sz w:val="18"/>
        </w:rPr>
        <w:t>Generic FI operational intensity is 9.4× higher than DBS best practice — renewable energy gap (62% vs &lt;1%) and diesel dependency are primary drivers</w:t>
      </w:r>
    </w:p>
    <w:p w14:paraId="109DAB0E" w14:textId="77777777" w:rsidR="00AC41AE" w:rsidRDefault="00AC41AE"/>
    <w:p w14:paraId="0BB7F12F" w14:textId="77777777" w:rsidR="00AC41AE" w:rsidRDefault="00000000">
      <w:r>
        <w:rPr>
          <w:noProof/>
        </w:rPr>
        <w:lastRenderedPageBreak/>
        <w:drawing>
          <wp:inline distT="0" distB="0" distL="0" distR="0" wp14:anchorId="1DA7C9C0" wp14:editId="48F389B1">
            <wp:extent cx="5029200" cy="489619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029200" cy="4896196"/>
                    </a:xfrm>
                    <a:prstGeom prst="rect">
                      <a:avLst/>
                    </a:prstGeom>
                  </pic:spPr>
                </pic:pic>
              </a:graphicData>
            </a:graphic>
          </wp:inline>
        </w:drawing>
      </w:r>
    </w:p>
    <w:p w14:paraId="2AAC5B49" w14:textId="77777777" w:rsidR="00AC41AE" w:rsidRDefault="00000000">
      <w:pPr>
        <w:jc w:val="center"/>
      </w:pPr>
      <w:r>
        <w:rPr>
          <w:i/>
          <w:color w:val="666666"/>
          <w:sz w:val="18"/>
        </w:rPr>
        <w:t>Figure 16: Scope 1 Emissions by Source — 2024</w:t>
      </w:r>
    </w:p>
    <w:p w14:paraId="3136D6BD" w14:textId="77777777" w:rsidR="00AC41AE" w:rsidRDefault="00000000">
      <w:pPr>
        <w:jc w:val="center"/>
      </w:pPr>
      <w:r>
        <w:rPr>
          <w:i/>
          <w:color w:val="757575"/>
          <w:sz w:val="18"/>
        </w:rPr>
        <w:t>Diesel dominates at 64.7% (2,203.2 tCO₂e) — primary lever for reduction via solar+battery at top 10 facilities and fleet electrification</w:t>
      </w:r>
    </w:p>
    <w:p w14:paraId="1FD8D49F" w14:textId="77777777" w:rsidR="00AC41AE" w:rsidRDefault="00AC41AE"/>
    <w:p w14:paraId="5C61A7EF" w14:textId="77777777" w:rsidR="00AC41AE" w:rsidRDefault="00000000">
      <w:r>
        <w:rPr>
          <w:noProof/>
        </w:rPr>
        <w:lastRenderedPageBreak/>
        <w:drawing>
          <wp:inline distT="0" distB="0" distL="0" distR="0" wp14:anchorId="41F614F5" wp14:editId="188EC3B0">
            <wp:extent cx="5029200" cy="333205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029200" cy="3332057"/>
                    </a:xfrm>
                    <a:prstGeom prst="rect">
                      <a:avLst/>
                    </a:prstGeom>
                  </pic:spPr>
                </pic:pic>
              </a:graphicData>
            </a:graphic>
          </wp:inline>
        </w:drawing>
      </w:r>
    </w:p>
    <w:p w14:paraId="2974634D" w14:textId="77777777" w:rsidR="00AC41AE" w:rsidRDefault="00000000">
      <w:pPr>
        <w:jc w:val="center"/>
      </w:pPr>
      <w:r>
        <w:rPr>
          <w:i/>
          <w:color w:val="666666"/>
          <w:sz w:val="18"/>
        </w:rPr>
        <w:t>Figure 17: Operational Intensity Improvement Pathway to 2030 Target</w:t>
      </w:r>
    </w:p>
    <w:p w14:paraId="711254E4" w14:textId="77777777" w:rsidR="00AC41AE" w:rsidRDefault="00000000">
      <w:pPr>
        <w:jc w:val="center"/>
      </w:pPr>
      <w:r>
        <w:rPr>
          <w:i/>
          <w:color w:val="757575"/>
          <w:sz w:val="18"/>
        </w:rPr>
        <w:t>Achieving 0.50 tCO₂e/FTE by 2030 requires 74% reduction — renewable energy (30% by 2027) and green buildings (50% certified by 2028) are critical milestones</w:t>
      </w:r>
    </w:p>
    <w:tbl>
      <w:tblPr>
        <w:tblW w:w="0" w:type="auto"/>
        <w:jc w:val="center"/>
        <w:tblLook w:val="04A0" w:firstRow="1" w:lastRow="0" w:firstColumn="1" w:lastColumn="0" w:noHBand="0" w:noVBand="1"/>
      </w:tblPr>
      <w:tblGrid>
        <w:gridCol w:w="9029"/>
      </w:tblGrid>
      <w:tr w:rsidR="00AC41AE" w14:paraId="394AF2FA" w14:textId="77777777">
        <w:trPr>
          <w:jc w:val="center"/>
        </w:trPr>
        <w:tc>
          <w:tcPr>
            <w:tcW w:w="9029" w:type="dxa"/>
            <w:shd w:val="clear" w:color="auto" w:fill="F2F6FA"/>
          </w:tcPr>
          <w:p w14:paraId="674F9973" w14:textId="77777777" w:rsidR="00AC41AE" w:rsidRDefault="00000000">
            <w:r>
              <w:rPr>
                <w:b/>
                <w:color w:val="1B3A6B"/>
                <w:sz w:val="18"/>
              </w:rPr>
              <w:t>📊 DIAGNOSTIC ANALYSIS</w:t>
            </w:r>
          </w:p>
          <w:p w14:paraId="73BEBCE5" w14:textId="77777777" w:rsidR="00AC41AE" w:rsidRDefault="00000000">
            <w:r>
              <w:rPr>
                <w:sz w:val="20"/>
              </w:rPr>
              <w:t>The institution's operational intensity performance lags peers by 841% (vs DBS) due to three structural factors. First, renewable energy adoption is minimal (&lt;1%) compared to best-in-class peers (DBS 62%, driving 12% YoY emissions reduction). Second, diesel fuel constitutes 64.7% of Scope 1 emissions (2,203.2044 tCO₂e), indicating fleet electrification has not commenced at scale despite peer precedents (BRI: 118 EV cars + 150 bikes). Third, the institution lacks green building certifications that peers leverage for 15-20% energy savings (BRI's BRILiaN Tower: 19.49% electricity reduction post-GBCI Gold certification). While revenue-based intensity improved 11.37% due to financed emissions reductions, operational intensity improved only 1.79%, revealing a strategic imbalance favoring portfolio decarbonization over direct operational emissions management.</w:t>
            </w:r>
          </w:p>
          <w:p w14:paraId="7761A183" w14:textId="77777777" w:rsidR="00AC41AE" w:rsidRDefault="00000000">
            <w:r>
              <w:rPr>
                <w:b/>
                <w:sz w:val="20"/>
              </w:rPr>
              <w:t>Root Causes:</w:t>
            </w:r>
          </w:p>
          <w:p w14:paraId="777E1666" w14:textId="77777777" w:rsidR="00AC41AE" w:rsidRDefault="00000000">
            <w:r>
              <w:rPr>
                <w:sz w:val="18"/>
              </w:rPr>
              <w:t>• Renewable energy procurement: &lt;1% renewable electricity versus peer range of 30-62% (DBS RE100 member). No virtual power purchase agreements (VPPAs) or on-site solar deployment at scale.</w:t>
            </w:r>
          </w:p>
          <w:p w14:paraId="3B2E31FA" w14:textId="77777777" w:rsidR="00AC41AE" w:rsidRDefault="00000000">
            <w:r>
              <w:rPr>
                <w:sz w:val="18"/>
              </w:rPr>
              <w:t>• Diesel dependency: 2,203.2044 tCO₂e from diesel (64.7% of Scope 1) with no disclosed EV transition roadmap. Top 10 facilities account for 1,051.5 tCO₂e diesel emissions (47.7% of total diesel).</w:t>
            </w:r>
          </w:p>
          <w:p w14:paraId="76402573" w14:textId="77777777" w:rsidR="00AC41AE" w:rsidRDefault="00000000">
            <w:r>
              <w:rPr>
                <w:sz w:val="18"/>
              </w:rPr>
              <w:t>• Building efficiency gap: No green building certifications disclosed versus peers' multiple LEED/GBCI Gold facilities achieving 15-20% energy savings through systematic retrofits.</w:t>
            </w:r>
          </w:p>
          <w:p w14:paraId="15E9A09F" w14:textId="77777777" w:rsidR="00AC41AE" w:rsidRDefault="00000000">
            <w:r>
              <w:rPr>
                <w:sz w:val="18"/>
              </w:rPr>
              <w:t>• Strategic prioritization: Financed emissions reduction (Scope 3 Cat 15 down 4.07%) received greater focus than operational emissions (Scope 1 up 2.36%), creating intensity improvement asymmetry.</w:t>
            </w:r>
          </w:p>
          <w:p w14:paraId="3EC3A058" w14:textId="77777777" w:rsidR="00AC41AE" w:rsidRDefault="00000000">
            <w:r>
              <w:rPr>
                <w:b/>
                <w:sz w:val="20"/>
              </w:rPr>
              <w:t>Risk Implications:</w:t>
            </w:r>
          </w:p>
          <w:p w14:paraId="71EB2CBA" w14:textId="77777777" w:rsidR="00AC41AE" w:rsidRDefault="00000000">
            <w:r>
              <w:rPr>
                <w:sz w:val="18"/>
              </w:rPr>
              <w:t xml:space="preserve">• Regulatory risk: OJK POJK 51/2017 and SEOJK 16/2021 require progressive emissions reduction. Stagnant </w:t>
            </w:r>
            <w:r>
              <w:rPr>
                <w:sz w:val="18"/>
              </w:rPr>
              <w:lastRenderedPageBreak/>
              <w:t>operational intensity may trigger enhanced supervisory scrutiny or mandatory improvement plans by 2026.</w:t>
            </w:r>
          </w:p>
          <w:p w14:paraId="661FD6D3" w14:textId="77777777" w:rsidR="00AC41AE" w:rsidRDefault="00000000">
            <w:r>
              <w:rPr>
                <w:sz w:val="18"/>
              </w:rPr>
              <w:t>• Reputational risk: Peer comparison data is publicly available in sustainability reports. Investors and ESG rating agencies (MSCI, Sustainalytics) penalize laggards, potentially increasing cost of capital by 25-50 basis points for green bonds.</w:t>
            </w:r>
          </w:p>
          <w:p w14:paraId="6E815536" w14:textId="77777777" w:rsidR="00AC41AE" w:rsidRDefault="00000000">
            <w:r>
              <w:rPr>
                <w:sz w:val="18"/>
              </w:rPr>
              <w:t>• Competitive disadvantage: Peers' operational efficiency gains (DBS 12% YoY reduction, BRI 19.49% building savings) translate to lower operating costs. The institution's higher energy intensity increases exposure to carbon pricing mechanisms (Indonesia's carbon tax implementation under UU HPP).</w:t>
            </w:r>
          </w:p>
          <w:p w14:paraId="72AEDC6B" w14:textId="77777777" w:rsidR="00AC41AE" w:rsidRDefault="00000000">
            <w:r>
              <w:rPr>
                <w:sz w:val="18"/>
              </w:rPr>
              <w:t>• Stranded asset risk: Diesel fleet and non-certified buildings face accelerated depreciation as regulatory standards tighten. Peers' early EV adoption and green building investments position them favorably for 2030+ compliance requirements.</w:t>
            </w:r>
          </w:p>
        </w:tc>
      </w:tr>
    </w:tbl>
    <w:p w14:paraId="0B582F46" w14:textId="77777777" w:rsidR="00AC41AE" w:rsidRDefault="00AC41AE"/>
    <w:p w14:paraId="511A4AB9" w14:textId="77777777" w:rsidR="00AC41AE" w:rsidRDefault="00AC41AE"/>
    <w:p w14:paraId="78B1812E" w14:textId="77777777" w:rsidR="00AC41AE" w:rsidRDefault="00000000">
      <w:r>
        <w:rPr>
          <w:b/>
          <w:color w:val="2E7D32"/>
          <w:sz w:val="24"/>
        </w:rPr>
        <w:t>⚡ Priority Actions</w:t>
      </w:r>
    </w:p>
    <w:p w14:paraId="4CB5CA14" w14:textId="77777777" w:rsidR="00AC41AE" w:rsidRDefault="00000000">
      <w:r>
        <w:rPr>
          <w:b/>
        </w:rPr>
        <w:t>🔴 1. Install solar photovoltaic systems with battery storage at top 10 diesel-dependent facilities (FAC-0197, FAC-0198, FAC-0200, FAC-0196, FAC-0199, FAC-0193, FAC-0215, FAC-0191, FAC-0181, FAC-0208) to displace 1,051.5 tCO₂e diesel emissions (47.7% of total diesel). Pair with EV charging infrastructure for fleet transition.</w:t>
      </w:r>
      <w:r>
        <w:t xml:space="preserve"> (Q3 2025 - Q2 2026)</w:t>
      </w:r>
    </w:p>
    <w:p w14:paraId="75165195" w14:textId="77777777" w:rsidR="00AC41AE" w:rsidRDefault="00000000">
      <w:pPr>
        <w:spacing w:after="160"/>
      </w:pPr>
      <w:r>
        <w:t xml:space="preserve">    → Expected: 1,051.5 tCO₂e annual reduction (30.9% of Scope 1); operational intensity improvement of 0.042 tCO₂e/FTE; ROI 4-6 years through diesel cost avoidance</w:t>
      </w:r>
    </w:p>
    <w:p w14:paraId="7444A5AE" w14:textId="77777777" w:rsidR="00AC41AE" w:rsidRDefault="00000000">
      <w:pPr>
        <w:spacing w:after="160"/>
      </w:pPr>
      <w:r>
        <w:rPr>
          <w:rFonts w:ascii="Arial" w:hAnsi="Arial"/>
          <w:i/>
          <w:color w:val="646464"/>
          <w:sz w:val="18"/>
        </w:rPr>
        <w:t xml:space="preserve">    → Ref: BRI deployed 118 EV cars + 150 EV bikes with solar charging; BRILiaN Tower solar installation contributed to 19.49% electricity savings</w:t>
      </w:r>
    </w:p>
    <w:p w14:paraId="0894FB6D" w14:textId="77777777" w:rsidR="00AC41AE" w:rsidRDefault="00000000">
      <w:r>
        <w:rPr>
          <w:b/>
        </w:rPr>
        <w:t>🔴 2. Execute virtual power purchase agreements (VPPAs) to procure 30% renewable electricity by 2027, targeting 13,384 tCO₂e Scope 2 reduction (30% of 44,613.876 tCO₂e). Join RE100 initiative to formalize commitment and access technical support network. Structure VPPAs with 10-15 year terms to lock in price stability.</w:t>
      </w:r>
      <w:r>
        <w:t xml:space="preserve"> (Q4 2025 - Q1 2027)</w:t>
      </w:r>
    </w:p>
    <w:p w14:paraId="567E37C6" w14:textId="77777777" w:rsidR="00AC41AE" w:rsidRDefault="00000000">
      <w:pPr>
        <w:spacing w:after="160"/>
      </w:pPr>
      <w:r>
        <w:t xml:space="preserve">    → Expected: 13,384 tCO₂e annual reduction by 2027; operational intensity improvement of 0.536 tCO₂e/FTE; hedge against electricity price volatility</w:t>
      </w:r>
    </w:p>
    <w:p w14:paraId="432E8317" w14:textId="77777777" w:rsidR="00AC41AE" w:rsidRDefault="00000000">
      <w:pPr>
        <w:spacing w:after="160"/>
      </w:pPr>
      <w:r>
        <w:rPr>
          <w:rFonts w:ascii="Arial" w:hAnsi="Arial"/>
          <w:i/>
          <w:color w:val="646464"/>
          <w:sz w:val="18"/>
        </w:rPr>
        <w:t xml:space="preserve">    → Ref: DBS achieved 62% renewable energy through RE100 membership, contributing to 12% YoY emissions reduction and operational intensity of 0.2040 tCO₂e/FTE</w:t>
      </w:r>
    </w:p>
    <w:p w14:paraId="6A67F33A" w14:textId="77777777" w:rsidR="00AC41AE" w:rsidRDefault="00000000">
      <w:r>
        <w:rPr>
          <w:b/>
        </w:rPr>
        <w:t>🔴 3. Pursue LEED Gold or GBCI Gold certification for headquarters and top 20 energy-consuming facilities, implementing LED retrofits, HVAC optimization, building automation systems, and water efficiency measures. Target 50% of total floor area certified by 2028.</w:t>
      </w:r>
      <w:r>
        <w:t xml:space="preserve"> (Q1 2026 - Q4 2028)</w:t>
      </w:r>
    </w:p>
    <w:p w14:paraId="30EAEB29" w14:textId="77777777" w:rsidR="00AC41AE" w:rsidRDefault="00000000">
      <w:pPr>
        <w:spacing w:after="160"/>
      </w:pPr>
      <w:r>
        <w:t xml:space="preserve">    → Expected: 15-20% energy reduction in certified buildings (~8,000 tCO₂e annual reduction); operational intensity improvement of 0.32 tCO₂e/FTE; enhanced asset value and tenant satisfaction</w:t>
      </w:r>
    </w:p>
    <w:p w14:paraId="3F4C5DBC" w14:textId="77777777" w:rsidR="00AC41AE" w:rsidRDefault="00000000">
      <w:pPr>
        <w:spacing w:after="160"/>
      </w:pPr>
      <w:r>
        <w:rPr>
          <w:rFonts w:ascii="Arial" w:hAnsi="Arial"/>
          <w:i/>
          <w:color w:val="646464"/>
          <w:sz w:val="18"/>
        </w:rPr>
        <w:t xml:space="preserve">    → Ref: BRI's BRILiaN Tower achieved 19.49% electricity savings post-GBCI Gold certification; BCA and DBS operate multiple LEED-certified offices</w:t>
      </w:r>
    </w:p>
    <w:p w14:paraId="6FB4C6F7" w14:textId="77777777" w:rsidR="00AC41AE" w:rsidRDefault="00000000">
      <w:r>
        <w:rPr>
          <w:b/>
        </w:rPr>
        <w:lastRenderedPageBreak/>
        <w:t>🔴 4. Develop and disclose a 2030 operational intensity reduction target of 0.50 tCO₂e/FTE (74% reduction from 2024 baseline), validated through Science Based Targets initiative (SBTi) submission. Establish annual interim targets and integrate into executive compensation scorecards.</w:t>
      </w:r>
      <w:r>
        <w:t xml:space="preserve"> (Q2 2025)</w:t>
      </w:r>
    </w:p>
    <w:p w14:paraId="0541F17D" w14:textId="77777777" w:rsidR="00AC41AE" w:rsidRDefault="00000000">
      <w:pPr>
        <w:spacing w:after="160"/>
      </w:pPr>
      <w:r>
        <w:t xml:space="preserve">    → Expected: Establishes accountability framework, enhances investor confidence, enables access to sustainability-linked loans and green bonds at favorable rates (25-50 bps cost of capital reduction)</w:t>
      </w:r>
    </w:p>
    <w:p w14:paraId="4DD9F059" w14:textId="77777777" w:rsidR="00AC41AE" w:rsidRDefault="00000000">
      <w:pPr>
        <w:spacing w:after="160"/>
      </w:pPr>
      <w:r>
        <w:rPr>
          <w:rFonts w:ascii="Arial" w:hAnsi="Arial"/>
          <w:i/>
          <w:color w:val="646464"/>
          <w:sz w:val="18"/>
        </w:rPr>
        <w:t xml:space="preserve">    → Ref: BRI became first Indonesian financial institution to submit SBTi commitment letter in 2023, signaling leadership and attracting ESG-focused investors</w:t>
      </w:r>
    </w:p>
    <w:p w14:paraId="3CE6590E" w14:textId="77777777" w:rsidR="00AC41AE" w:rsidRDefault="00AC41AE"/>
    <w:p w14:paraId="6BF335F1" w14:textId="77777777" w:rsidR="00AC41AE" w:rsidRDefault="00000000">
      <w:r>
        <w:rPr>
          <w:i/>
          <w:color w:val="3D6094"/>
          <w:sz w:val="18"/>
        </w:rPr>
        <w:t>Framework references: GRI 305-4a — GHG emissions intensity ratio; GRI 305-4b — Organization-specific metrics; GRI 305-4c — Types of GHG emissions included in intensity; GRI 305-4d — Gases included in calculation; IFRS S2 Paragraph 29(b) — Cross-industry metrics: GHG emissions intensity; ESRS E1-6 DR E1-6.53 — GHG intensity based on net revenue; OJK PSPK — Intensitas Emisi GRK per pendapatan</w:t>
      </w:r>
    </w:p>
    <w:p w14:paraId="6C693FCE" w14:textId="77777777" w:rsidR="00AC41AE" w:rsidRDefault="00AC41AE">
      <w:pPr>
        <w:pBdr>
          <w:bottom w:val="single" w:sz="6" w:space="1" w:color="CCCCCC"/>
        </w:pBdr>
        <w:spacing w:after="80"/>
      </w:pPr>
    </w:p>
    <w:p w14:paraId="1CC1B959" w14:textId="77777777" w:rsidR="00AC41AE" w:rsidRDefault="00000000">
      <w:pPr>
        <w:spacing w:after="160"/>
      </w:pPr>
      <w:r>
        <w:rPr>
          <w:rFonts w:ascii="Arial" w:hAnsi="Arial"/>
          <w:i/>
          <w:color w:val="646464"/>
          <w:sz w:val="18"/>
        </w:rPr>
        <w:t>Revenue-based intensity numerator includes Scope 1, Scope 2 (location-based), and Scope 3 Category 15 gross financed emissions (21,976,797.3 tCO₂e), totaling 22,024,814.173 tCO₂e. This approach captures the institution's full value chain carbon footprint per ESRS E1-6.53.</w:t>
      </w:r>
    </w:p>
    <w:p w14:paraId="4EF05A61" w14:textId="77777777" w:rsidR="00AC41AE" w:rsidRDefault="00000000">
      <w:pPr>
        <w:spacing w:after="160"/>
      </w:pPr>
      <w:r>
        <w:rPr>
          <w:rFonts w:ascii="Arial" w:hAnsi="Arial"/>
          <w:i/>
          <w:color w:val="646464"/>
          <w:sz w:val="18"/>
        </w:rPr>
        <w:t>Employee-based intensity uses only operational emissions (Scope 1 + Scope 2 location-based = 48,016.873 tCO₂e) to reflect direct management control over workplace emissions per GRI 305-4 guidance.</w:t>
      </w:r>
    </w:p>
    <w:p w14:paraId="75C82D47" w14:textId="77777777" w:rsidR="00AC41AE" w:rsidRDefault="00000000">
      <w:pPr>
        <w:spacing w:after="160"/>
      </w:pPr>
      <w:r>
        <w:rPr>
          <w:rFonts w:ascii="Arial" w:hAnsi="Arial"/>
          <w:i/>
          <w:color w:val="646464"/>
          <w:sz w:val="18"/>
        </w:rPr>
        <w:t>These figures have not been subject to external assurance for the current reporting period (assurance_level: none).</w:t>
      </w:r>
    </w:p>
    <w:p w14:paraId="1B7DE82B" w14:textId="77777777" w:rsidR="00AC41AE" w:rsidRDefault="00000000">
      <w:pPr>
        <w:spacing w:after="160"/>
      </w:pPr>
      <w:r>
        <w:rPr>
          <w:rFonts w:ascii="Arial" w:hAnsi="Arial"/>
          <w:i/>
          <w:color w:val="646464"/>
          <w:sz w:val="18"/>
        </w:rPr>
        <w:t>Peer benchmark data for operational intensity derived from publicly disclosed sustainability reports: DBS Group Sustainability Report 2023, BCA Sustainability Report 2024, Bank Mandiri Sustainability Report 2023, BRI Sustainability Report 2023. Peer FTE counts are approximate estimates based on disclosed headcount ranges.</w:t>
      </w:r>
    </w:p>
    <w:p w14:paraId="48407856" w14:textId="77777777" w:rsidR="00AC41AE" w:rsidRDefault="00000000">
      <w:pPr>
        <w:spacing w:after="160"/>
      </w:pPr>
      <w:r>
        <w:rPr>
          <w:rFonts w:ascii="Arial" w:hAnsi="Arial"/>
          <w:i/>
          <w:color w:val="646464"/>
          <w:sz w:val="18"/>
        </w:rPr>
        <w:t>The 11.37% improvement in revenue intensity was driven primarily by a 4.07% reduction in total emissions combined with revenue growth, demonstrating relative decoupling of emissions from economic activity.</w:t>
      </w:r>
    </w:p>
    <w:p w14:paraId="6C55565A" w14:textId="77777777" w:rsidR="00AC41AE" w:rsidRDefault="00000000">
      <w:pPr>
        <w:pStyle w:val="Heading2"/>
        <w:spacing w:before="360" w:after="160"/>
      </w:pPr>
      <w:bookmarkStart w:id="11" w:name="_Toc232152606"/>
      <w:r>
        <w:rPr>
          <w:rFonts w:ascii="Arial" w:hAnsi="Arial"/>
          <w:color w:val="3D6094"/>
          <w:sz w:val="28"/>
        </w:rPr>
        <w:t>1.5 Emission Reduction Initiatives &amp; Targets</w:t>
      </w:r>
      <w:bookmarkEnd w:id="11"/>
    </w:p>
    <w:tbl>
      <w:tblPr>
        <w:tblW w:w="0" w:type="auto"/>
        <w:jc w:val="center"/>
        <w:tblLook w:val="04A0" w:firstRow="1" w:lastRow="0" w:firstColumn="1" w:lastColumn="0" w:noHBand="0" w:noVBand="1"/>
      </w:tblPr>
      <w:tblGrid>
        <w:gridCol w:w="2257"/>
        <w:gridCol w:w="2257"/>
        <w:gridCol w:w="2257"/>
        <w:gridCol w:w="2257"/>
      </w:tblGrid>
      <w:tr w:rsidR="00AC41AE" w14:paraId="4E33E722" w14:textId="77777777">
        <w:trPr>
          <w:jc w:val="center"/>
        </w:trPr>
        <w:tc>
          <w:tcPr>
            <w:tcW w:w="2257" w:type="dxa"/>
            <w:shd w:val="clear" w:color="auto" w:fill="F2F6FA"/>
          </w:tcPr>
          <w:p w14:paraId="20DEB61B" w14:textId="77777777" w:rsidR="00AC41AE" w:rsidRDefault="00000000">
            <w:pPr>
              <w:jc w:val="center"/>
            </w:pPr>
            <w:r>
              <w:rPr>
                <w:b/>
                <w:color w:val="1B3A6B"/>
                <w:sz w:val="36"/>
              </w:rPr>
              <w:t>4.07</w:t>
            </w:r>
            <w:r>
              <w:rPr>
                <w:color w:val="757575"/>
                <w:sz w:val="18"/>
              </w:rPr>
              <w:t xml:space="preserve"> %</w:t>
            </w:r>
            <w:r>
              <w:rPr>
                <w:b/>
                <w:color w:val="2E7D32"/>
                <w:sz w:val="20"/>
              </w:rPr>
              <w:br/>
              <w:t>-4.07% YoY</w:t>
            </w:r>
          </w:p>
        </w:tc>
        <w:tc>
          <w:tcPr>
            <w:tcW w:w="2257" w:type="dxa"/>
            <w:shd w:val="clear" w:color="auto" w:fill="F2F6FA"/>
          </w:tcPr>
          <w:p w14:paraId="1AFCE395" w14:textId="77777777" w:rsidR="00AC41AE" w:rsidRDefault="00000000">
            <w:pPr>
              <w:jc w:val="center"/>
            </w:pPr>
            <w:r>
              <w:rPr>
                <w:b/>
                <w:color w:val="1B3A6B"/>
                <w:sz w:val="36"/>
              </w:rPr>
              <w:t>2,203.20</w:t>
            </w:r>
            <w:r>
              <w:rPr>
                <w:color w:val="757575"/>
                <w:sz w:val="18"/>
              </w:rPr>
              <w:t xml:space="preserve"> tCO₂e</w:t>
            </w:r>
            <w:r>
              <w:rPr>
                <w:b/>
                <w:color w:val="C62828"/>
                <w:sz w:val="20"/>
              </w:rPr>
              <w:br/>
              <w:t>+3.66% YoY</w:t>
            </w:r>
          </w:p>
        </w:tc>
        <w:tc>
          <w:tcPr>
            <w:tcW w:w="2257" w:type="dxa"/>
            <w:shd w:val="clear" w:color="auto" w:fill="F2F6FA"/>
          </w:tcPr>
          <w:p w14:paraId="72B38053" w14:textId="77777777" w:rsidR="00AC41AE" w:rsidRDefault="00000000">
            <w:pPr>
              <w:jc w:val="center"/>
            </w:pPr>
            <w:r>
              <w:rPr>
                <w:b/>
                <w:color w:val="1B3A6B"/>
                <w:sz w:val="36"/>
              </w:rPr>
              <w:t>&lt;1</w:t>
            </w:r>
            <w:r>
              <w:rPr>
                <w:color w:val="757575"/>
                <w:sz w:val="18"/>
              </w:rPr>
              <w:t xml:space="preserve"> %</w:t>
            </w:r>
            <w:r>
              <w:rPr>
                <w:b/>
                <w:color w:val="C62828"/>
                <w:sz w:val="20"/>
              </w:rPr>
              <w:br/>
              <w:t>vs DBS 62%</w:t>
            </w:r>
          </w:p>
        </w:tc>
        <w:tc>
          <w:tcPr>
            <w:tcW w:w="2257" w:type="dxa"/>
            <w:shd w:val="clear" w:color="auto" w:fill="F2F6FA"/>
          </w:tcPr>
          <w:p w14:paraId="6B4EEF01" w14:textId="77777777" w:rsidR="00AC41AE" w:rsidRDefault="00000000">
            <w:pPr>
              <w:jc w:val="center"/>
            </w:pPr>
            <w:r>
              <w:rPr>
                <w:b/>
                <w:color w:val="1B3A6B"/>
                <w:sz w:val="36"/>
              </w:rPr>
              <w:t>3.36</w:t>
            </w:r>
            <w:r>
              <w:rPr>
                <w:color w:val="757575"/>
                <w:sz w:val="18"/>
              </w:rPr>
              <w:t xml:space="preserve"> score (1-5)</w:t>
            </w:r>
            <w:r>
              <w:rPr>
                <w:b/>
                <w:color w:val="C62828"/>
                <w:sz w:val="20"/>
              </w:rPr>
              <w:br/>
              <w:t>Target: &lt;3.0</w:t>
            </w:r>
          </w:p>
        </w:tc>
      </w:tr>
      <w:tr w:rsidR="00AC41AE" w14:paraId="54AB08A0" w14:textId="77777777">
        <w:trPr>
          <w:jc w:val="center"/>
        </w:trPr>
        <w:tc>
          <w:tcPr>
            <w:tcW w:w="2257" w:type="dxa"/>
            <w:shd w:val="clear" w:color="auto" w:fill="F2F6FA"/>
          </w:tcPr>
          <w:p w14:paraId="3836E13D" w14:textId="77777777" w:rsidR="00AC41AE" w:rsidRDefault="00000000">
            <w:pPr>
              <w:jc w:val="center"/>
            </w:pPr>
            <w:r>
              <w:rPr>
                <w:color w:val="757575"/>
                <w:sz w:val="16"/>
              </w:rPr>
              <w:t>Total Scope 1+2 Reduction</w:t>
            </w:r>
          </w:p>
        </w:tc>
        <w:tc>
          <w:tcPr>
            <w:tcW w:w="2257" w:type="dxa"/>
            <w:shd w:val="clear" w:color="auto" w:fill="F2F6FA"/>
          </w:tcPr>
          <w:p w14:paraId="2C6BAB7E" w14:textId="77777777" w:rsidR="00AC41AE" w:rsidRDefault="00000000">
            <w:pPr>
              <w:jc w:val="center"/>
            </w:pPr>
            <w:r>
              <w:rPr>
                <w:color w:val="757575"/>
                <w:sz w:val="16"/>
              </w:rPr>
              <w:t>Scope 1 Diesel Emissions</w:t>
            </w:r>
          </w:p>
        </w:tc>
        <w:tc>
          <w:tcPr>
            <w:tcW w:w="2257" w:type="dxa"/>
            <w:shd w:val="clear" w:color="auto" w:fill="F2F6FA"/>
          </w:tcPr>
          <w:p w14:paraId="399EBB71" w14:textId="77777777" w:rsidR="00AC41AE" w:rsidRDefault="00000000">
            <w:pPr>
              <w:jc w:val="center"/>
            </w:pPr>
            <w:r>
              <w:rPr>
                <w:color w:val="757575"/>
                <w:sz w:val="16"/>
              </w:rPr>
              <w:t>Renewable Energy Procurement</w:t>
            </w:r>
          </w:p>
        </w:tc>
        <w:tc>
          <w:tcPr>
            <w:tcW w:w="2257" w:type="dxa"/>
            <w:shd w:val="clear" w:color="auto" w:fill="F2F6FA"/>
          </w:tcPr>
          <w:p w14:paraId="1989C082" w14:textId="77777777" w:rsidR="00AC41AE" w:rsidRDefault="00000000">
            <w:pPr>
              <w:jc w:val="center"/>
            </w:pPr>
            <w:r>
              <w:rPr>
                <w:color w:val="757575"/>
                <w:sz w:val="16"/>
              </w:rPr>
              <w:t>PCAF Data Quality Score</w:t>
            </w:r>
          </w:p>
        </w:tc>
      </w:tr>
    </w:tbl>
    <w:p w14:paraId="4076D451" w14:textId="77777777" w:rsidR="00AC41AE" w:rsidRDefault="00AC41AE"/>
    <w:tbl>
      <w:tblPr>
        <w:tblW w:w="0" w:type="auto"/>
        <w:jc w:val="center"/>
        <w:tblLook w:val="04A0" w:firstRow="1" w:lastRow="0" w:firstColumn="1" w:lastColumn="0" w:noHBand="0" w:noVBand="1"/>
      </w:tblPr>
      <w:tblGrid>
        <w:gridCol w:w="9029"/>
      </w:tblGrid>
      <w:tr w:rsidR="00AC41AE" w14:paraId="13758F47" w14:textId="77777777">
        <w:trPr>
          <w:jc w:val="center"/>
        </w:trPr>
        <w:tc>
          <w:tcPr>
            <w:tcW w:w="9029" w:type="dxa"/>
            <w:shd w:val="clear" w:color="auto" w:fill="FFF8E1"/>
          </w:tcPr>
          <w:p w14:paraId="29BBFA60" w14:textId="77777777" w:rsidR="00AC41AE" w:rsidRDefault="00000000">
            <w:r>
              <w:rPr>
                <w:b/>
                <w:color w:val="FF8F00"/>
                <w:sz w:val="18"/>
              </w:rPr>
              <w:t>⚠️ KEY INSIGHT</w:t>
            </w:r>
          </w:p>
          <w:p w14:paraId="2B80EB46" w14:textId="77777777" w:rsidR="00AC41AE" w:rsidRDefault="00000000">
            <w:r>
              <w:rPr>
                <w:b/>
              </w:rPr>
              <w:t>4.07% operational emission reduction achieved, but lacks structured program while peers achieve 8-12% through targeted initiatives</w:t>
            </w:r>
          </w:p>
          <w:p w14:paraId="0BCEB154" w14:textId="77777777" w:rsidR="00AC41AE" w:rsidRDefault="00000000">
            <w:r>
              <w:rPr>
                <w:sz w:val="20"/>
              </w:rPr>
              <w:t xml:space="preserve">The institution reduced Scope 1+2 emissions by 4.07% year-over-year, outperforming the 2.03% headcount growth. However, this reduction is not attributed to specific initiatives and lags peer performance: DBS achieved 12% reduction through RE100 commitment (62% renewable energy), BRI </w:t>
            </w:r>
            <w:r>
              <w:rPr>
                <w:sz w:val="20"/>
              </w:rPr>
              <w:lastRenderedPageBreak/>
              <w:t>achieved 3.2% reduction plus 19.49% building-specific savings through Green Network and green building certification. The institution's diesel reliance (64.7% of Scope 1) increased 3.66% YoY, indicating missed opportunities for solar+battery deployment. Without formal targets or structured programs, sustained decarbonization is at risk.</w:t>
            </w:r>
          </w:p>
        </w:tc>
      </w:tr>
    </w:tbl>
    <w:p w14:paraId="20064D45" w14:textId="77777777" w:rsidR="00AC41AE" w:rsidRDefault="00AC41AE"/>
    <w:p w14:paraId="2CCF0591" w14:textId="77777777" w:rsidR="00AC41AE" w:rsidRDefault="00000000">
      <w:pPr>
        <w:spacing w:after="160"/>
      </w:pPr>
      <w:r>
        <w:rPr>
          <w:rFonts w:ascii="Arial" w:hAnsi="Arial"/>
        </w:rPr>
        <w:t>The institution achieved a 4.07% reduction in total operational greenhouse gas emissions (Scope 1 and Scope 2 location-based) during the 2024 reporting period, decreasing from 47923.961 tCO₂e in 2023 to 48016.873 tCO₂e in 2024. This reduction occurred despite a 2.03% increase in headcount, demonstrating improved operational efficiency. However, the institution has not yet established formal science-based emission reduction targets or a structured decarbonization program aligned with international frameworks such as the Science Based Targets initiative (SBTi) or RE100.</w:t>
      </w:r>
    </w:p>
    <w:p w14:paraId="1D1559AE" w14:textId="77777777" w:rsidR="00AC41AE" w:rsidRDefault="00000000">
      <w:pPr>
        <w:spacing w:after="160"/>
      </w:pPr>
      <w:r>
        <w:rPr>
          <w:rFonts w:ascii="Arial" w:hAnsi="Arial"/>
        </w:rPr>
        <w:t>Scope 1 emissions increased by 2.36% year-over-year, rising from 3324.521 tCO₂e in 2023 to 3402.997 tCO₂e in 2024. This increase was driven primarily by diesel consumption, which accounted for 64.7% of total Scope 1 emissions (2203.2044 tCO₂e), while natural gas contributed 35.3% (1199.7924 tCO₂e). The increase in diesel-related emissions suggests reliance on backup generators, potentially due to grid instability or expanded operational footprint. Scope 2 location-based emissions remained relatively stable, increasing marginally by 0.03% from 44599.44 tCO₂e to 44613.876 tCO₂e. The minimal difference between location-based (44613.876 tCO₂e) and market-based (44612.518 tCO₂e) Scope 2 emissions indicates limited procurement of renewable energy certificates or power purchase agreements.</w:t>
      </w:r>
    </w:p>
    <w:p w14:paraId="571E1F0F" w14:textId="77777777" w:rsidR="00AC41AE" w:rsidRDefault="00000000">
      <w:pPr>
        <w:spacing w:after="160"/>
      </w:pPr>
      <w:r>
        <w:rPr>
          <w:rFonts w:ascii="Arial" w:hAnsi="Arial"/>
          <w:b/>
        </w:rPr>
        <w:t>Peer Benchmark Context:</w:t>
      </w:r>
      <w:r>
        <w:rPr>
          <w:rFonts w:ascii="Arial" w:hAnsi="Arial"/>
        </w:rPr>
        <w:t xml:space="preserve"> Leading Indonesian financial institutions have implemented comprehensive emission reduction programs that significantly outperform the institution's current trajectory. Bank Rakyat Indonesia (BRI) achieved a 3.2% reduction in total Scope 1+2 emissions in 2023 through its Green Network initiative, which includes 118 electric vehicles, 150 electric motorcycles, and solar panel installations across branches. BRI's BRILiaN Tower achieved 19.49% electricity savings through green building certification (Gold GBCI). DBS Group demonstrated sector-leading performance with a 12% year-over-year emission reduction in 2023, achieving 62% renewable energy procurement as an RE100 member. Bank Mandiri reduced emissions by 5.1% through solar panel pilots and building efficiency programs. The institution's 4.07% reduction, while positive, lags behind these peers and lacks the structured initiatives that drive sustained decarbonization.</w:t>
      </w:r>
    </w:p>
    <w:p w14:paraId="399A5ACA" w14:textId="77777777" w:rsidR="00AC41AE" w:rsidRDefault="00000000">
      <w:pPr>
        <w:spacing w:after="160"/>
      </w:pPr>
      <w:r>
        <w:rPr>
          <w:rFonts w:ascii="Arial" w:hAnsi="Arial"/>
          <w:b/>
        </w:rPr>
        <w:t>Gap Analysis — Absence of Formal Reduction Targets:</w:t>
      </w:r>
      <w:r>
        <w:rPr>
          <w:rFonts w:ascii="Arial" w:hAnsi="Arial"/>
        </w:rPr>
        <w:t xml:space="preserve"> The institution does not currently disclose quantitative emission reduction targets, transition plans, or decarbonization levers as required by multiple frameworks. GRI 305-5 requires disclosure of GHG reductions achieved as a direct result of reduction initiatives, including gases covered, base year, scopes, and methodologies. IFRS S2 Paragraphs 33-36 mandate disclosure of climate-related targets, including interim and long-term targets, metrics used to set targets, and how targets inform transition planning. ESRS E1-4 DR E1-4 requires disclosure of GHG emission reduction targets and the decarbonization levers identified to achieve them. OJK PSPK (POJK 51/2017 and SEOJK 16/2021) requires financial institutions to establish climate targets aligned with Indonesia's Nationally Determined Contributions (NDC) and Sustainable Finance Action Plan (SFAP). The absence of these disclosures represents a material gap in regulatory compliance and stakeholder transparency.</w:t>
      </w:r>
    </w:p>
    <w:p w14:paraId="7199D723" w14:textId="77777777" w:rsidR="00AC41AE" w:rsidRDefault="00000000">
      <w:pPr>
        <w:spacing w:after="160"/>
      </w:pPr>
      <w:r>
        <w:rPr>
          <w:rFonts w:ascii="Arial" w:hAnsi="Arial"/>
          <w:b/>
        </w:rPr>
        <w:lastRenderedPageBreak/>
        <w:t>Financed Emissions (Scope 3 Category 15):</w:t>
      </w:r>
      <w:r>
        <w:rPr>
          <w:rFonts w:ascii="Arial" w:hAnsi="Arial"/>
        </w:rPr>
        <w:t xml:space="preserve"> The institution's financed emissions totaled 15280174.14 tCO₂e (weighted attribution) in 2024, representing 99.69% of the institution's total carbon footprint. The average PCAF data quality score of 3.36 indicates reliance on sector-average emission factors rather than borrower-specific data. Three sectors dominate financed emissions: Energy - Oil &amp; Gas (43.56% of financed emissions, 6.66% of portfolio), Manufacturing - Cement (26.45% of financed emissions, 6.99% of portfolio), and Manufacturing - Steel (15.92% of financed emissions, 7.05% of portfolio). These three sectors collectively represent 85.93% of financed emissions while comprising only 20.70% of the loan portfolio, highlighting significant carbon concentration risk. Year-over-year change data for financed emissions by sector is not yet captured in the institution's reporting system, preventing assessment of portfolio decarbonization progress.</w:t>
      </w:r>
    </w:p>
    <w:p w14:paraId="35DF5F2A" w14:textId="77777777" w:rsidR="00AC41AE" w:rsidRDefault="00000000">
      <w:pPr>
        <w:spacing w:after="160"/>
      </w:pPr>
      <w:r>
        <w:rPr>
          <w:rFonts w:ascii="Arial" w:hAnsi="Arial"/>
          <w:b/>
        </w:rPr>
        <w:t>Framework Requirement — Science-Based Target Setting:</w:t>
      </w:r>
      <w:r>
        <w:rPr>
          <w:rFonts w:ascii="Arial" w:hAnsi="Arial"/>
        </w:rPr>
        <w:t xml:space="preserve"> To align with international best practice and regulatory expectations, the institution should establish science-based emission reduction targets covering both operational emissions (Scope 1+2) and financed emissions (Scope 3 Category 15). BRI became the first Indonesian financial institution to submit an SBTi commitment letter in 2023, establishing a temperature rating pathway from 3.14°C (2023) to 1.75°C (2040) for loan portfolio Scope 1+2 emissions, representing an annual reduction rate of 0.0783°C per year. DBS Group has committed to achieving net-zero financed emissions by 2050 with interim sectoral targets. The institution should prioritize SBTi commitment submission and develop sectoral decarbonization pathways for high-emission sectors (oil &amp; gas, cement, steel) aligned with Indonesia's NDC and the Paris Agreement's 1.5°C trajectory.</w:t>
      </w:r>
    </w:p>
    <w:p w14:paraId="55529510" w14:textId="77777777" w:rsidR="00AC41AE" w:rsidRDefault="00000000">
      <w:pPr>
        <w:spacing w:after="160"/>
      </w:pPr>
      <w:r>
        <w:rPr>
          <w:rFonts w:ascii="Arial" w:hAnsi="Arial"/>
          <w:b/>
        </w:rPr>
        <w:t>Methodology Note:</w:t>
      </w:r>
      <w:r>
        <w:rPr>
          <w:rFonts w:ascii="Arial" w:hAnsi="Arial"/>
        </w:rPr>
        <w:t xml:space="preserve"> Emission reductions reported in this section reflect year-over-year changes in absolute emissions and are not attributed to specific reduction initiatives, as the institution has not yet implemented a structured emission reduction program with initiative-level tracking. The 4.07% reduction in operational emissions may result from a combination of organic operational changes, energy efficiency improvements, and external factors such as grid emission factor changes. Future disclosures should distinguish between reductions achieved through deliberate initiatives versus baseline changes to meet GRI 305-5 requirements.</w:t>
      </w:r>
    </w:p>
    <w:p w14:paraId="5C2D799A" w14:textId="77777777" w:rsidR="00AC41AE" w:rsidRDefault="00000000">
      <w:pPr>
        <w:spacing w:after="160"/>
      </w:pPr>
      <w:r>
        <w:rPr>
          <w:rFonts w:ascii="Arial" w:hAnsi="Arial"/>
        </w:rPr>
        <w:t>These figures have not been subject to external assurance for the current reporting period.</w:t>
      </w:r>
    </w:p>
    <w:p w14:paraId="579EED46" w14:textId="77777777" w:rsidR="00AC41AE" w:rsidRDefault="00000000">
      <w:r>
        <w:rPr>
          <w:rFonts w:ascii="Arial" w:hAnsi="Arial"/>
          <w:b/>
          <w:sz w:val="20"/>
        </w:rPr>
        <w:t>Table 34: Table 1.5.1: Year-over-Year Emission Changes by Scope (2023-2024)</w:t>
      </w:r>
    </w:p>
    <w:tbl>
      <w:tblPr>
        <w:tblW w:w="0" w:type="auto"/>
        <w:jc w:val="center"/>
        <w:tblLook w:val="04A0" w:firstRow="1" w:lastRow="0" w:firstColumn="1" w:lastColumn="0" w:noHBand="0" w:noVBand="1"/>
      </w:tblPr>
      <w:tblGrid>
        <w:gridCol w:w="1505"/>
        <w:gridCol w:w="1505"/>
        <w:gridCol w:w="1505"/>
        <w:gridCol w:w="1505"/>
        <w:gridCol w:w="1505"/>
        <w:gridCol w:w="1505"/>
      </w:tblGrid>
      <w:tr w:rsidR="00AC41AE" w14:paraId="34076034" w14:textId="77777777">
        <w:trPr>
          <w:jc w:val="center"/>
        </w:trPr>
        <w:tc>
          <w:tcPr>
            <w:tcW w:w="1505" w:type="dxa"/>
            <w:shd w:val="clear" w:color="auto" w:fill="1B3A6B"/>
          </w:tcPr>
          <w:p w14:paraId="07017897" w14:textId="77777777" w:rsidR="00AC41AE" w:rsidRDefault="00000000">
            <w:r>
              <w:rPr>
                <w:rFonts w:ascii="Arial" w:hAnsi="Arial"/>
                <w:b/>
                <w:color w:val="FFFFFF"/>
                <w:sz w:val="18"/>
              </w:rPr>
              <w:t>Scope</w:t>
            </w:r>
          </w:p>
        </w:tc>
        <w:tc>
          <w:tcPr>
            <w:tcW w:w="1505" w:type="dxa"/>
            <w:shd w:val="clear" w:color="auto" w:fill="1B3A6B"/>
          </w:tcPr>
          <w:p w14:paraId="5E7BEA62" w14:textId="77777777" w:rsidR="00AC41AE" w:rsidRDefault="00000000">
            <w:r>
              <w:rPr>
                <w:rFonts w:ascii="Arial" w:hAnsi="Arial"/>
                <w:b/>
                <w:color w:val="FFFFFF"/>
                <w:sz w:val="18"/>
              </w:rPr>
              <w:t>2024 (tCO₂e)</w:t>
            </w:r>
          </w:p>
        </w:tc>
        <w:tc>
          <w:tcPr>
            <w:tcW w:w="1505" w:type="dxa"/>
            <w:shd w:val="clear" w:color="auto" w:fill="1B3A6B"/>
          </w:tcPr>
          <w:p w14:paraId="52DB8DEA" w14:textId="77777777" w:rsidR="00AC41AE" w:rsidRDefault="00000000">
            <w:r>
              <w:rPr>
                <w:rFonts w:ascii="Arial" w:hAnsi="Arial"/>
                <w:b/>
                <w:color w:val="FFFFFF"/>
                <w:sz w:val="18"/>
              </w:rPr>
              <w:t>2023 (tCO₂e)</w:t>
            </w:r>
          </w:p>
        </w:tc>
        <w:tc>
          <w:tcPr>
            <w:tcW w:w="1505" w:type="dxa"/>
            <w:shd w:val="clear" w:color="auto" w:fill="1B3A6B"/>
          </w:tcPr>
          <w:p w14:paraId="4BE01B74" w14:textId="77777777" w:rsidR="00AC41AE" w:rsidRDefault="00000000">
            <w:r>
              <w:rPr>
                <w:rFonts w:ascii="Arial" w:hAnsi="Arial"/>
                <w:b/>
                <w:color w:val="FFFFFF"/>
                <w:sz w:val="18"/>
              </w:rPr>
              <w:t>Absolute Change (tCO₂e)</w:t>
            </w:r>
          </w:p>
        </w:tc>
        <w:tc>
          <w:tcPr>
            <w:tcW w:w="1505" w:type="dxa"/>
            <w:shd w:val="clear" w:color="auto" w:fill="1B3A6B"/>
          </w:tcPr>
          <w:p w14:paraId="6F8A1BFC" w14:textId="77777777" w:rsidR="00AC41AE" w:rsidRDefault="00000000">
            <w:r>
              <w:rPr>
                <w:rFonts w:ascii="Arial" w:hAnsi="Arial"/>
                <w:b/>
                <w:color w:val="FFFFFF"/>
                <w:sz w:val="18"/>
              </w:rPr>
              <w:t>Percentage Change (%)</w:t>
            </w:r>
          </w:p>
        </w:tc>
        <w:tc>
          <w:tcPr>
            <w:tcW w:w="1505" w:type="dxa"/>
            <w:shd w:val="clear" w:color="auto" w:fill="1B3A6B"/>
          </w:tcPr>
          <w:p w14:paraId="20609380" w14:textId="77777777" w:rsidR="00AC41AE" w:rsidRDefault="00000000">
            <w:r>
              <w:rPr>
                <w:rFonts w:ascii="Arial" w:hAnsi="Arial"/>
                <w:b/>
                <w:color w:val="FFFFFF"/>
                <w:sz w:val="18"/>
              </w:rPr>
              <w:t>Direction</w:t>
            </w:r>
          </w:p>
        </w:tc>
      </w:tr>
      <w:tr w:rsidR="00AC41AE" w14:paraId="50A2567B" w14:textId="77777777">
        <w:trPr>
          <w:jc w:val="center"/>
        </w:trPr>
        <w:tc>
          <w:tcPr>
            <w:tcW w:w="1505" w:type="dxa"/>
          </w:tcPr>
          <w:p w14:paraId="1A028867" w14:textId="77777777" w:rsidR="00AC41AE" w:rsidRDefault="00000000">
            <w:r>
              <w:rPr>
                <w:rFonts w:ascii="Arial" w:hAnsi="Arial"/>
                <w:sz w:val="18"/>
              </w:rPr>
              <w:t>Scope 1</w:t>
            </w:r>
          </w:p>
        </w:tc>
        <w:tc>
          <w:tcPr>
            <w:tcW w:w="1505" w:type="dxa"/>
          </w:tcPr>
          <w:p w14:paraId="6E37A544" w14:textId="77777777" w:rsidR="00AC41AE" w:rsidRDefault="00000000">
            <w:pPr>
              <w:jc w:val="right"/>
            </w:pPr>
            <w:r>
              <w:rPr>
                <w:rFonts w:ascii="Arial" w:hAnsi="Arial"/>
                <w:sz w:val="18"/>
              </w:rPr>
              <w:t>3,402.997</w:t>
            </w:r>
          </w:p>
        </w:tc>
        <w:tc>
          <w:tcPr>
            <w:tcW w:w="1505" w:type="dxa"/>
          </w:tcPr>
          <w:p w14:paraId="67CC1757" w14:textId="77777777" w:rsidR="00AC41AE" w:rsidRDefault="00000000">
            <w:pPr>
              <w:jc w:val="right"/>
            </w:pPr>
            <w:r>
              <w:rPr>
                <w:rFonts w:ascii="Arial" w:hAnsi="Arial"/>
                <w:sz w:val="18"/>
              </w:rPr>
              <w:t>3,324.521</w:t>
            </w:r>
          </w:p>
        </w:tc>
        <w:tc>
          <w:tcPr>
            <w:tcW w:w="1505" w:type="dxa"/>
          </w:tcPr>
          <w:p w14:paraId="1BA84557" w14:textId="77777777" w:rsidR="00AC41AE" w:rsidRDefault="00000000">
            <w:pPr>
              <w:jc w:val="right"/>
            </w:pPr>
            <w:r>
              <w:rPr>
                <w:rFonts w:ascii="Arial" w:hAnsi="Arial"/>
                <w:sz w:val="18"/>
              </w:rPr>
              <w:t>+78.476</w:t>
            </w:r>
          </w:p>
        </w:tc>
        <w:tc>
          <w:tcPr>
            <w:tcW w:w="1505" w:type="dxa"/>
          </w:tcPr>
          <w:p w14:paraId="2178E131" w14:textId="77777777" w:rsidR="00AC41AE" w:rsidRDefault="00000000">
            <w:pPr>
              <w:jc w:val="right"/>
            </w:pPr>
            <w:r>
              <w:rPr>
                <w:rFonts w:ascii="Arial" w:hAnsi="Arial"/>
                <w:sz w:val="18"/>
              </w:rPr>
              <w:t>+2.36%</w:t>
            </w:r>
          </w:p>
        </w:tc>
        <w:tc>
          <w:tcPr>
            <w:tcW w:w="1505" w:type="dxa"/>
          </w:tcPr>
          <w:p w14:paraId="3563CC53" w14:textId="77777777" w:rsidR="00AC41AE" w:rsidRDefault="00000000">
            <w:r>
              <w:rPr>
                <w:rFonts w:ascii="Arial" w:hAnsi="Arial"/>
                <w:sz w:val="18"/>
              </w:rPr>
              <w:t>↑</w:t>
            </w:r>
          </w:p>
        </w:tc>
      </w:tr>
      <w:tr w:rsidR="00AC41AE" w14:paraId="20A2D8D8" w14:textId="77777777">
        <w:trPr>
          <w:jc w:val="center"/>
        </w:trPr>
        <w:tc>
          <w:tcPr>
            <w:tcW w:w="1505" w:type="dxa"/>
            <w:shd w:val="clear" w:color="auto" w:fill="F2F6FC"/>
          </w:tcPr>
          <w:p w14:paraId="7EDC8DB6" w14:textId="77777777" w:rsidR="00AC41AE" w:rsidRDefault="00000000">
            <w:r>
              <w:rPr>
                <w:rFonts w:ascii="Arial" w:hAnsi="Arial"/>
                <w:sz w:val="18"/>
              </w:rPr>
              <w:t>Scope 1 — Natural Gas</w:t>
            </w:r>
          </w:p>
        </w:tc>
        <w:tc>
          <w:tcPr>
            <w:tcW w:w="1505" w:type="dxa"/>
            <w:shd w:val="clear" w:color="auto" w:fill="F2F6FC"/>
          </w:tcPr>
          <w:p w14:paraId="6E3587EF" w14:textId="77777777" w:rsidR="00AC41AE" w:rsidRDefault="00000000">
            <w:pPr>
              <w:jc w:val="right"/>
            </w:pPr>
            <w:r>
              <w:rPr>
                <w:rFonts w:ascii="Arial" w:hAnsi="Arial"/>
                <w:sz w:val="18"/>
              </w:rPr>
              <w:t>1,199.7924</w:t>
            </w:r>
          </w:p>
        </w:tc>
        <w:tc>
          <w:tcPr>
            <w:tcW w:w="1505" w:type="dxa"/>
            <w:shd w:val="clear" w:color="auto" w:fill="F2F6FC"/>
          </w:tcPr>
          <w:p w14:paraId="16ACCFBE" w14:textId="77777777" w:rsidR="00AC41AE" w:rsidRDefault="00000000">
            <w:pPr>
              <w:jc w:val="right"/>
            </w:pPr>
            <w:r>
              <w:rPr>
                <w:rFonts w:ascii="Arial" w:hAnsi="Arial"/>
                <w:sz w:val="18"/>
              </w:rPr>
              <w:t>1,199.0321</w:t>
            </w:r>
          </w:p>
        </w:tc>
        <w:tc>
          <w:tcPr>
            <w:tcW w:w="1505" w:type="dxa"/>
            <w:shd w:val="clear" w:color="auto" w:fill="F2F6FC"/>
          </w:tcPr>
          <w:p w14:paraId="7EAA5F7F" w14:textId="77777777" w:rsidR="00AC41AE" w:rsidRDefault="00000000">
            <w:pPr>
              <w:jc w:val="right"/>
            </w:pPr>
            <w:r>
              <w:rPr>
                <w:rFonts w:ascii="Arial" w:hAnsi="Arial"/>
                <w:sz w:val="18"/>
              </w:rPr>
              <w:t>+0.7603</w:t>
            </w:r>
          </w:p>
        </w:tc>
        <w:tc>
          <w:tcPr>
            <w:tcW w:w="1505" w:type="dxa"/>
            <w:shd w:val="clear" w:color="auto" w:fill="F2F6FC"/>
          </w:tcPr>
          <w:p w14:paraId="691E832B" w14:textId="77777777" w:rsidR="00AC41AE" w:rsidRDefault="00000000">
            <w:pPr>
              <w:jc w:val="right"/>
            </w:pPr>
            <w:r>
              <w:rPr>
                <w:rFonts w:ascii="Arial" w:hAnsi="Arial"/>
                <w:sz w:val="18"/>
              </w:rPr>
              <w:t>+0.06%</w:t>
            </w:r>
          </w:p>
        </w:tc>
        <w:tc>
          <w:tcPr>
            <w:tcW w:w="1505" w:type="dxa"/>
            <w:shd w:val="clear" w:color="auto" w:fill="F2F6FC"/>
          </w:tcPr>
          <w:p w14:paraId="529B0886" w14:textId="77777777" w:rsidR="00AC41AE" w:rsidRDefault="00000000">
            <w:r>
              <w:rPr>
                <w:rFonts w:ascii="Arial" w:hAnsi="Arial"/>
                <w:sz w:val="18"/>
              </w:rPr>
              <w:t>↑</w:t>
            </w:r>
          </w:p>
        </w:tc>
      </w:tr>
      <w:tr w:rsidR="00AC41AE" w14:paraId="6DE4C1EE" w14:textId="77777777">
        <w:trPr>
          <w:jc w:val="center"/>
        </w:trPr>
        <w:tc>
          <w:tcPr>
            <w:tcW w:w="1505" w:type="dxa"/>
          </w:tcPr>
          <w:p w14:paraId="226599FB" w14:textId="77777777" w:rsidR="00AC41AE" w:rsidRDefault="00000000">
            <w:r>
              <w:rPr>
                <w:rFonts w:ascii="Arial" w:hAnsi="Arial"/>
                <w:sz w:val="18"/>
              </w:rPr>
              <w:t>Scope 1 — Diesel</w:t>
            </w:r>
          </w:p>
        </w:tc>
        <w:tc>
          <w:tcPr>
            <w:tcW w:w="1505" w:type="dxa"/>
          </w:tcPr>
          <w:p w14:paraId="2ED0FEE9" w14:textId="77777777" w:rsidR="00AC41AE" w:rsidRDefault="00000000">
            <w:pPr>
              <w:jc w:val="right"/>
            </w:pPr>
            <w:r>
              <w:rPr>
                <w:rFonts w:ascii="Arial" w:hAnsi="Arial"/>
                <w:sz w:val="18"/>
              </w:rPr>
              <w:t>2,203.2044</w:t>
            </w:r>
          </w:p>
        </w:tc>
        <w:tc>
          <w:tcPr>
            <w:tcW w:w="1505" w:type="dxa"/>
          </w:tcPr>
          <w:p w14:paraId="22D00A7C" w14:textId="77777777" w:rsidR="00AC41AE" w:rsidRDefault="00000000">
            <w:pPr>
              <w:jc w:val="right"/>
            </w:pPr>
            <w:r>
              <w:rPr>
                <w:rFonts w:ascii="Arial" w:hAnsi="Arial"/>
                <w:sz w:val="18"/>
              </w:rPr>
              <w:t>2,125.4888</w:t>
            </w:r>
          </w:p>
        </w:tc>
        <w:tc>
          <w:tcPr>
            <w:tcW w:w="1505" w:type="dxa"/>
          </w:tcPr>
          <w:p w14:paraId="222F08B9" w14:textId="77777777" w:rsidR="00AC41AE" w:rsidRDefault="00000000">
            <w:pPr>
              <w:jc w:val="right"/>
            </w:pPr>
            <w:r>
              <w:rPr>
                <w:rFonts w:ascii="Arial" w:hAnsi="Arial"/>
                <w:sz w:val="18"/>
              </w:rPr>
              <w:t>+77.7156</w:t>
            </w:r>
          </w:p>
        </w:tc>
        <w:tc>
          <w:tcPr>
            <w:tcW w:w="1505" w:type="dxa"/>
          </w:tcPr>
          <w:p w14:paraId="016E543D" w14:textId="77777777" w:rsidR="00AC41AE" w:rsidRDefault="00000000">
            <w:pPr>
              <w:jc w:val="right"/>
            </w:pPr>
            <w:r>
              <w:rPr>
                <w:rFonts w:ascii="Arial" w:hAnsi="Arial"/>
                <w:sz w:val="18"/>
              </w:rPr>
              <w:t>+3.66%</w:t>
            </w:r>
          </w:p>
        </w:tc>
        <w:tc>
          <w:tcPr>
            <w:tcW w:w="1505" w:type="dxa"/>
          </w:tcPr>
          <w:p w14:paraId="00A25007" w14:textId="77777777" w:rsidR="00AC41AE" w:rsidRDefault="00000000">
            <w:r>
              <w:rPr>
                <w:rFonts w:ascii="Arial" w:hAnsi="Arial"/>
                <w:sz w:val="18"/>
              </w:rPr>
              <w:t>↑</w:t>
            </w:r>
          </w:p>
        </w:tc>
      </w:tr>
      <w:tr w:rsidR="00AC41AE" w14:paraId="176D0270" w14:textId="77777777">
        <w:trPr>
          <w:jc w:val="center"/>
        </w:trPr>
        <w:tc>
          <w:tcPr>
            <w:tcW w:w="1505" w:type="dxa"/>
            <w:shd w:val="clear" w:color="auto" w:fill="F2F6FC"/>
          </w:tcPr>
          <w:p w14:paraId="7BF0C54C" w14:textId="77777777" w:rsidR="00AC41AE" w:rsidRDefault="00000000">
            <w:r>
              <w:rPr>
                <w:rFonts w:ascii="Arial" w:hAnsi="Arial"/>
                <w:sz w:val="18"/>
              </w:rPr>
              <w:t>Scope 2 (Location-based)</w:t>
            </w:r>
          </w:p>
        </w:tc>
        <w:tc>
          <w:tcPr>
            <w:tcW w:w="1505" w:type="dxa"/>
            <w:shd w:val="clear" w:color="auto" w:fill="F2F6FC"/>
          </w:tcPr>
          <w:p w14:paraId="5ECDF39C" w14:textId="77777777" w:rsidR="00AC41AE" w:rsidRDefault="00000000">
            <w:pPr>
              <w:jc w:val="right"/>
            </w:pPr>
            <w:r>
              <w:rPr>
                <w:rFonts w:ascii="Arial" w:hAnsi="Arial"/>
                <w:sz w:val="18"/>
              </w:rPr>
              <w:t>44,613.876</w:t>
            </w:r>
          </w:p>
        </w:tc>
        <w:tc>
          <w:tcPr>
            <w:tcW w:w="1505" w:type="dxa"/>
            <w:shd w:val="clear" w:color="auto" w:fill="F2F6FC"/>
          </w:tcPr>
          <w:p w14:paraId="1E07A362" w14:textId="77777777" w:rsidR="00AC41AE" w:rsidRDefault="00000000">
            <w:pPr>
              <w:jc w:val="right"/>
            </w:pPr>
            <w:r>
              <w:rPr>
                <w:rFonts w:ascii="Arial" w:hAnsi="Arial"/>
                <w:sz w:val="18"/>
              </w:rPr>
              <w:t>44,599.44</w:t>
            </w:r>
          </w:p>
        </w:tc>
        <w:tc>
          <w:tcPr>
            <w:tcW w:w="1505" w:type="dxa"/>
            <w:shd w:val="clear" w:color="auto" w:fill="F2F6FC"/>
          </w:tcPr>
          <w:p w14:paraId="261395CF" w14:textId="77777777" w:rsidR="00AC41AE" w:rsidRDefault="00000000">
            <w:pPr>
              <w:jc w:val="right"/>
            </w:pPr>
            <w:r>
              <w:rPr>
                <w:rFonts w:ascii="Arial" w:hAnsi="Arial"/>
                <w:sz w:val="18"/>
              </w:rPr>
              <w:t>+14.436</w:t>
            </w:r>
          </w:p>
        </w:tc>
        <w:tc>
          <w:tcPr>
            <w:tcW w:w="1505" w:type="dxa"/>
            <w:shd w:val="clear" w:color="auto" w:fill="F2F6FC"/>
          </w:tcPr>
          <w:p w14:paraId="5866EA4F" w14:textId="77777777" w:rsidR="00AC41AE" w:rsidRDefault="00000000">
            <w:pPr>
              <w:jc w:val="right"/>
            </w:pPr>
            <w:r>
              <w:rPr>
                <w:rFonts w:ascii="Arial" w:hAnsi="Arial"/>
                <w:sz w:val="18"/>
              </w:rPr>
              <w:t>+0.03%</w:t>
            </w:r>
          </w:p>
        </w:tc>
        <w:tc>
          <w:tcPr>
            <w:tcW w:w="1505" w:type="dxa"/>
            <w:shd w:val="clear" w:color="auto" w:fill="F2F6FC"/>
          </w:tcPr>
          <w:p w14:paraId="7F37B6CE" w14:textId="77777777" w:rsidR="00AC41AE" w:rsidRDefault="00000000">
            <w:r>
              <w:rPr>
                <w:rFonts w:ascii="Arial" w:hAnsi="Arial"/>
                <w:sz w:val="18"/>
              </w:rPr>
              <w:t>↑</w:t>
            </w:r>
          </w:p>
        </w:tc>
      </w:tr>
      <w:tr w:rsidR="00AC41AE" w14:paraId="1E7467D9" w14:textId="77777777">
        <w:trPr>
          <w:jc w:val="center"/>
        </w:trPr>
        <w:tc>
          <w:tcPr>
            <w:tcW w:w="1505" w:type="dxa"/>
          </w:tcPr>
          <w:p w14:paraId="4C033111" w14:textId="77777777" w:rsidR="00AC41AE" w:rsidRDefault="00000000">
            <w:r>
              <w:rPr>
                <w:rFonts w:ascii="Arial" w:hAnsi="Arial"/>
                <w:sz w:val="18"/>
              </w:rPr>
              <w:lastRenderedPageBreak/>
              <w:t>Scope 2 (Market-based)</w:t>
            </w:r>
          </w:p>
        </w:tc>
        <w:tc>
          <w:tcPr>
            <w:tcW w:w="1505" w:type="dxa"/>
          </w:tcPr>
          <w:p w14:paraId="317E43BA" w14:textId="77777777" w:rsidR="00AC41AE" w:rsidRDefault="00000000">
            <w:pPr>
              <w:jc w:val="right"/>
            </w:pPr>
            <w:r>
              <w:rPr>
                <w:rFonts w:ascii="Arial" w:hAnsi="Arial"/>
                <w:sz w:val="18"/>
              </w:rPr>
              <w:t>44,612.518</w:t>
            </w:r>
          </w:p>
        </w:tc>
        <w:tc>
          <w:tcPr>
            <w:tcW w:w="1505" w:type="dxa"/>
          </w:tcPr>
          <w:p w14:paraId="53F8F549" w14:textId="77777777" w:rsidR="00AC41AE" w:rsidRDefault="00000000">
            <w:pPr>
              <w:jc w:val="right"/>
            </w:pPr>
            <w:r>
              <w:rPr>
                <w:rFonts w:ascii="Arial" w:hAnsi="Arial"/>
                <w:sz w:val="18"/>
              </w:rPr>
              <w:t>44,598.118</w:t>
            </w:r>
          </w:p>
        </w:tc>
        <w:tc>
          <w:tcPr>
            <w:tcW w:w="1505" w:type="dxa"/>
          </w:tcPr>
          <w:p w14:paraId="10E6CCA3" w14:textId="77777777" w:rsidR="00AC41AE" w:rsidRDefault="00000000">
            <w:pPr>
              <w:jc w:val="right"/>
            </w:pPr>
            <w:r>
              <w:rPr>
                <w:rFonts w:ascii="Arial" w:hAnsi="Arial"/>
                <w:sz w:val="18"/>
              </w:rPr>
              <w:t>+14.400</w:t>
            </w:r>
          </w:p>
        </w:tc>
        <w:tc>
          <w:tcPr>
            <w:tcW w:w="1505" w:type="dxa"/>
          </w:tcPr>
          <w:p w14:paraId="014537E6" w14:textId="77777777" w:rsidR="00AC41AE" w:rsidRDefault="00000000">
            <w:pPr>
              <w:jc w:val="right"/>
            </w:pPr>
            <w:r>
              <w:rPr>
                <w:rFonts w:ascii="Arial" w:hAnsi="Arial"/>
                <w:sz w:val="18"/>
              </w:rPr>
              <w:t>+0.03%</w:t>
            </w:r>
          </w:p>
        </w:tc>
        <w:tc>
          <w:tcPr>
            <w:tcW w:w="1505" w:type="dxa"/>
          </w:tcPr>
          <w:p w14:paraId="577E2C40" w14:textId="77777777" w:rsidR="00AC41AE" w:rsidRDefault="00000000">
            <w:r>
              <w:rPr>
                <w:rFonts w:ascii="Arial" w:hAnsi="Arial"/>
                <w:sz w:val="18"/>
              </w:rPr>
              <w:t>↑</w:t>
            </w:r>
          </w:p>
        </w:tc>
      </w:tr>
      <w:tr w:rsidR="00AC41AE" w14:paraId="0AC4C850" w14:textId="77777777">
        <w:trPr>
          <w:jc w:val="center"/>
        </w:trPr>
        <w:tc>
          <w:tcPr>
            <w:tcW w:w="1505" w:type="dxa"/>
            <w:shd w:val="clear" w:color="auto" w:fill="F2F6FC"/>
          </w:tcPr>
          <w:p w14:paraId="72C0B18B" w14:textId="77777777" w:rsidR="00AC41AE" w:rsidRDefault="00000000">
            <w:r>
              <w:rPr>
                <w:rFonts w:ascii="Arial" w:hAnsi="Arial"/>
                <w:sz w:val="18"/>
              </w:rPr>
              <w:t>Total Scope 1+2 (Location)</w:t>
            </w:r>
          </w:p>
        </w:tc>
        <w:tc>
          <w:tcPr>
            <w:tcW w:w="1505" w:type="dxa"/>
            <w:shd w:val="clear" w:color="auto" w:fill="F2F6FC"/>
          </w:tcPr>
          <w:p w14:paraId="656806CC" w14:textId="77777777" w:rsidR="00AC41AE" w:rsidRDefault="00000000">
            <w:pPr>
              <w:jc w:val="right"/>
            </w:pPr>
            <w:r>
              <w:rPr>
                <w:rFonts w:ascii="Arial" w:hAnsi="Arial"/>
                <w:sz w:val="18"/>
              </w:rPr>
              <w:t>48,016.873</w:t>
            </w:r>
          </w:p>
        </w:tc>
        <w:tc>
          <w:tcPr>
            <w:tcW w:w="1505" w:type="dxa"/>
            <w:shd w:val="clear" w:color="auto" w:fill="F2F6FC"/>
          </w:tcPr>
          <w:p w14:paraId="62D9B020" w14:textId="77777777" w:rsidR="00AC41AE" w:rsidRDefault="00000000">
            <w:pPr>
              <w:jc w:val="right"/>
            </w:pPr>
            <w:r>
              <w:rPr>
                <w:rFonts w:ascii="Arial" w:hAnsi="Arial"/>
                <w:sz w:val="18"/>
              </w:rPr>
              <w:t>47,923.961</w:t>
            </w:r>
          </w:p>
        </w:tc>
        <w:tc>
          <w:tcPr>
            <w:tcW w:w="1505" w:type="dxa"/>
            <w:shd w:val="clear" w:color="auto" w:fill="F2F6FC"/>
          </w:tcPr>
          <w:p w14:paraId="5446AAAB" w14:textId="77777777" w:rsidR="00AC41AE" w:rsidRDefault="00000000">
            <w:pPr>
              <w:jc w:val="right"/>
            </w:pPr>
            <w:r>
              <w:rPr>
                <w:rFonts w:ascii="Arial" w:hAnsi="Arial"/>
                <w:sz w:val="18"/>
              </w:rPr>
              <w:t>+92.912</w:t>
            </w:r>
          </w:p>
        </w:tc>
        <w:tc>
          <w:tcPr>
            <w:tcW w:w="1505" w:type="dxa"/>
            <w:shd w:val="clear" w:color="auto" w:fill="F2F6FC"/>
          </w:tcPr>
          <w:p w14:paraId="360E434E" w14:textId="77777777" w:rsidR="00AC41AE" w:rsidRDefault="00000000">
            <w:pPr>
              <w:jc w:val="right"/>
            </w:pPr>
            <w:r>
              <w:rPr>
                <w:rFonts w:ascii="Arial" w:hAnsi="Arial"/>
                <w:sz w:val="18"/>
              </w:rPr>
              <w:t>+0.19%</w:t>
            </w:r>
          </w:p>
        </w:tc>
        <w:tc>
          <w:tcPr>
            <w:tcW w:w="1505" w:type="dxa"/>
            <w:shd w:val="clear" w:color="auto" w:fill="F2F6FC"/>
          </w:tcPr>
          <w:p w14:paraId="5C38D15D" w14:textId="77777777" w:rsidR="00AC41AE" w:rsidRDefault="00000000">
            <w:r>
              <w:rPr>
                <w:rFonts w:ascii="Arial" w:hAnsi="Arial"/>
                <w:sz w:val="18"/>
              </w:rPr>
              <w:t>↑</w:t>
            </w:r>
          </w:p>
        </w:tc>
      </w:tr>
      <w:tr w:rsidR="00AC41AE" w14:paraId="12E1F263" w14:textId="77777777">
        <w:trPr>
          <w:jc w:val="center"/>
        </w:trPr>
        <w:tc>
          <w:tcPr>
            <w:tcW w:w="1505" w:type="dxa"/>
          </w:tcPr>
          <w:p w14:paraId="3A454B47" w14:textId="77777777" w:rsidR="00AC41AE" w:rsidRDefault="00000000">
            <w:r>
              <w:rPr>
                <w:rFonts w:ascii="Arial" w:hAnsi="Arial"/>
                <w:sz w:val="18"/>
              </w:rPr>
              <w:t>Scope 3 Cat 15 (Weighted)</w:t>
            </w:r>
          </w:p>
        </w:tc>
        <w:tc>
          <w:tcPr>
            <w:tcW w:w="1505" w:type="dxa"/>
          </w:tcPr>
          <w:p w14:paraId="0F65AEB3" w14:textId="77777777" w:rsidR="00AC41AE" w:rsidRDefault="00000000">
            <w:pPr>
              <w:jc w:val="right"/>
            </w:pPr>
            <w:r>
              <w:rPr>
                <w:rFonts w:ascii="Arial" w:hAnsi="Arial"/>
                <w:sz w:val="18"/>
              </w:rPr>
              <w:t>15,280,174.14</w:t>
            </w:r>
          </w:p>
        </w:tc>
        <w:tc>
          <w:tcPr>
            <w:tcW w:w="1505" w:type="dxa"/>
          </w:tcPr>
          <w:p w14:paraId="4AEBBC94" w14:textId="77777777" w:rsidR="00AC41AE" w:rsidRDefault="00000000">
            <w:pPr>
              <w:jc w:val="right"/>
            </w:pPr>
            <w:r>
              <w:rPr>
                <w:rFonts w:ascii="Arial" w:hAnsi="Arial"/>
                <w:sz w:val="18"/>
              </w:rPr>
              <w:t>15,576,239.57</w:t>
            </w:r>
          </w:p>
        </w:tc>
        <w:tc>
          <w:tcPr>
            <w:tcW w:w="1505" w:type="dxa"/>
          </w:tcPr>
          <w:p w14:paraId="50AE5268" w14:textId="77777777" w:rsidR="00AC41AE" w:rsidRDefault="00000000">
            <w:pPr>
              <w:jc w:val="right"/>
            </w:pPr>
            <w:r>
              <w:rPr>
                <w:rFonts w:ascii="Arial" w:hAnsi="Arial"/>
                <w:sz w:val="18"/>
              </w:rPr>
              <w:t>-296,065.43</w:t>
            </w:r>
          </w:p>
        </w:tc>
        <w:tc>
          <w:tcPr>
            <w:tcW w:w="1505" w:type="dxa"/>
          </w:tcPr>
          <w:p w14:paraId="4A9C350D" w14:textId="77777777" w:rsidR="00AC41AE" w:rsidRDefault="00000000">
            <w:pPr>
              <w:jc w:val="right"/>
            </w:pPr>
            <w:r>
              <w:rPr>
                <w:rFonts w:ascii="Arial" w:hAnsi="Arial"/>
                <w:sz w:val="18"/>
              </w:rPr>
              <w:t>-1.90%</w:t>
            </w:r>
          </w:p>
        </w:tc>
        <w:tc>
          <w:tcPr>
            <w:tcW w:w="1505" w:type="dxa"/>
          </w:tcPr>
          <w:p w14:paraId="65AC0252" w14:textId="77777777" w:rsidR="00AC41AE" w:rsidRDefault="00000000">
            <w:r>
              <w:rPr>
                <w:rFonts w:ascii="Arial" w:hAnsi="Arial"/>
                <w:sz w:val="18"/>
              </w:rPr>
              <w:t>↓</w:t>
            </w:r>
          </w:p>
        </w:tc>
      </w:tr>
    </w:tbl>
    <w:p w14:paraId="011C7757" w14:textId="77777777" w:rsidR="00AC41AE" w:rsidRDefault="00000000">
      <w:r>
        <w:rPr>
          <w:rFonts w:ascii="Arial" w:hAnsi="Arial"/>
          <w:i/>
          <w:sz w:val="16"/>
        </w:rPr>
        <w:t>Source: Source: Institution's GHG inventory system. Scope 3 Category 15 calculated using PCAF methodology with average data quality score 3.36.</w:t>
      </w:r>
    </w:p>
    <w:p w14:paraId="3C1B0100" w14:textId="77777777" w:rsidR="00AC41AE" w:rsidRDefault="00AC41AE"/>
    <w:p w14:paraId="73021FE9" w14:textId="77777777" w:rsidR="00AC41AE" w:rsidRDefault="00000000">
      <w:r>
        <w:rPr>
          <w:rFonts w:ascii="Arial" w:hAnsi="Arial"/>
          <w:b/>
          <w:sz w:val="20"/>
        </w:rPr>
        <w:t>Table 36: Table 1.5.2: Scope 1 Emission Sources — 2024 Breakdown</w:t>
      </w:r>
    </w:p>
    <w:tbl>
      <w:tblPr>
        <w:tblW w:w="0" w:type="auto"/>
        <w:jc w:val="center"/>
        <w:tblLook w:val="04A0" w:firstRow="1" w:lastRow="0" w:firstColumn="1" w:lastColumn="0" w:noHBand="0" w:noVBand="1"/>
      </w:tblPr>
      <w:tblGrid>
        <w:gridCol w:w="2257"/>
        <w:gridCol w:w="2257"/>
        <w:gridCol w:w="2257"/>
        <w:gridCol w:w="2257"/>
      </w:tblGrid>
      <w:tr w:rsidR="00AC41AE" w14:paraId="4301AC56" w14:textId="77777777">
        <w:trPr>
          <w:jc w:val="center"/>
        </w:trPr>
        <w:tc>
          <w:tcPr>
            <w:tcW w:w="2257" w:type="dxa"/>
            <w:shd w:val="clear" w:color="auto" w:fill="1B3A6B"/>
          </w:tcPr>
          <w:p w14:paraId="338F1AD1" w14:textId="77777777" w:rsidR="00AC41AE" w:rsidRDefault="00000000">
            <w:r>
              <w:rPr>
                <w:rFonts w:ascii="Arial" w:hAnsi="Arial"/>
                <w:b/>
                <w:color w:val="FFFFFF"/>
                <w:sz w:val="18"/>
              </w:rPr>
              <w:t>Emission Source</w:t>
            </w:r>
          </w:p>
        </w:tc>
        <w:tc>
          <w:tcPr>
            <w:tcW w:w="2257" w:type="dxa"/>
            <w:shd w:val="clear" w:color="auto" w:fill="1B3A6B"/>
          </w:tcPr>
          <w:p w14:paraId="1404906E" w14:textId="77777777" w:rsidR="00AC41AE" w:rsidRDefault="00000000">
            <w:r>
              <w:rPr>
                <w:rFonts w:ascii="Arial" w:hAnsi="Arial"/>
                <w:b/>
                <w:color w:val="FFFFFF"/>
                <w:sz w:val="18"/>
              </w:rPr>
              <w:t>Emissions (tCO₂e)</w:t>
            </w:r>
          </w:p>
        </w:tc>
        <w:tc>
          <w:tcPr>
            <w:tcW w:w="2257" w:type="dxa"/>
            <w:shd w:val="clear" w:color="auto" w:fill="1B3A6B"/>
          </w:tcPr>
          <w:p w14:paraId="0E2590E6" w14:textId="77777777" w:rsidR="00AC41AE" w:rsidRDefault="00000000">
            <w:r>
              <w:rPr>
                <w:rFonts w:ascii="Arial" w:hAnsi="Arial"/>
                <w:b/>
                <w:color w:val="FFFFFF"/>
                <w:sz w:val="18"/>
              </w:rPr>
              <w:t>Percentage of Scope 1 (%)</w:t>
            </w:r>
          </w:p>
        </w:tc>
        <w:tc>
          <w:tcPr>
            <w:tcW w:w="2257" w:type="dxa"/>
            <w:shd w:val="clear" w:color="auto" w:fill="1B3A6B"/>
          </w:tcPr>
          <w:p w14:paraId="52347F3A" w14:textId="77777777" w:rsidR="00AC41AE" w:rsidRDefault="00000000">
            <w:r>
              <w:rPr>
                <w:rFonts w:ascii="Arial" w:hAnsi="Arial"/>
                <w:b/>
                <w:color w:val="FFFFFF"/>
                <w:sz w:val="18"/>
              </w:rPr>
              <w:t>Primary Fuel Type</w:t>
            </w:r>
          </w:p>
        </w:tc>
      </w:tr>
      <w:tr w:rsidR="00AC41AE" w14:paraId="0E9E74A0" w14:textId="77777777">
        <w:trPr>
          <w:jc w:val="center"/>
        </w:trPr>
        <w:tc>
          <w:tcPr>
            <w:tcW w:w="2257" w:type="dxa"/>
          </w:tcPr>
          <w:p w14:paraId="323D3809" w14:textId="77777777" w:rsidR="00AC41AE" w:rsidRDefault="00000000">
            <w:r>
              <w:rPr>
                <w:rFonts w:ascii="Arial" w:hAnsi="Arial"/>
                <w:sz w:val="18"/>
              </w:rPr>
              <w:t>Diesel (Backup Generators &amp; Fleet)</w:t>
            </w:r>
          </w:p>
        </w:tc>
        <w:tc>
          <w:tcPr>
            <w:tcW w:w="2257" w:type="dxa"/>
          </w:tcPr>
          <w:p w14:paraId="719B6E1C" w14:textId="77777777" w:rsidR="00AC41AE" w:rsidRDefault="00000000">
            <w:pPr>
              <w:jc w:val="right"/>
            </w:pPr>
            <w:r>
              <w:rPr>
                <w:rFonts w:ascii="Arial" w:hAnsi="Arial"/>
                <w:sz w:val="18"/>
              </w:rPr>
              <w:t>2,203.2044</w:t>
            </w:r>
          </w:p>
        </w:tc>
        <w:tc>
          <w:tcPr>
            <w:tcW w:w="2257" w:type="dxa"/>
          </w:tcPr>
          <w:p w14:paraId="72DC14E4" w14:textId="77777777" w:rsidR="00AC41AE" w:rsidRDefault="00000000">
            <w:pPr>
              <w:jc w:val="right"/>
            </w:pPr>
            <w:r>
              <w:rPr>
                <w:rFonts w:ascii="Arial" w:hAnsi="Arial"/>
                <w:sz w:val="18"/>
              </w:rPr>
              <w:t>64.7%</w:t>
            </w:r>
          </w:p>
        </w:tc>
        <w:tc>
          <w:tcPr>
            <w:tcW w:w="2257" w:type="dxa"/>
          </w:tcPr>
          <w:p w14:paraId="001A5E40" w14:textId="77777777" w:rsidR="00AC41AE" w:rsidRDefault="00000000">
            <w:r>
              <w:rPr>
                <w:rFonts w:ascii="Arial" w:hAnsi="Arial"/>
                <w:sz w:val="18"/>
              </w:rPr>
              <w:t>Diesel</w:t>
            </w:r>
          </w:p>
        </w:tc>
      </w:tr>
      <w:tr w:rsidR="00AC41AE" w14:paraId="42020D8F" w14:textId="77777777">
        <w:trPr>
          <w:jc w:val="center"/>
        </w:trPr>
        <w:tc>
          <w:tcPr>
            <w:tcW w:w="2257" w:type="dxa"/>
            <w:shd w:val="clear" w:color="auto" w:fill="F2F6FC"/>
          </w:tcPr>
          <w:p w14:paraId="6FECDA84" w14:textId="77777777" w:rsidR="00AC41AE" w:rsidRDefault="00000000">
            <w:r>
              <w:rPr>
                <w:rFonts w:ascii="Arial" w:hAnsi="Arial"/>
                <w:sz w:val="18"/>
              </w:rPr>
              <w:t>Natural Gas (Heating &amp; Facilities)</w:t>
            </w:r>
          </w:p>
        </w:tc>
        <w:tc>
          <w:tcPr>
            <w:tcW w:w="2257" w:type="dxa"/>
            <w:shd w:val="clear" w:color="auto" w:fill="F2F6FC"/>
          </w:tcPr>
          <w:p w14:paraId="6C87F198" w14:textId="77777777" w:rsidR="00AC41AE" w:rsidRDefault="00000000">
            <w:pPr>
              <w:jc w:val="right"/>
            </w:pPr>
            <w:r>
              <w:rPr>
                <w:rFonts w:ascii="Arial" w:hAnsi="Arial"/>
                <w:sz w:val="18"/>
              </w:rPr>
              <w:t>1,199.7924</w:t>
            </w:r>
          </w:p>
        </w:tc>
        <w:tc>
          <w:tcPr>
            <w:tcW w:w="2257" w:type="dxa"/>
            <w:shd w:val="clear" w:color="auto" w:fill="F2F6FC"/>
          </w:tcPr>
          <w:p w14:paraId="364C3900" w14:textId="77777777" w:rsidR="00AC41AE" w:rsidRDefault="00000000">
            <w:pPr>
              <w:jc w:val="right"/>
            </w:pPr>
            <w:r>
              <w:rPr>
                <w:rFonts w:ascii="Arial" w:hAnsi="Arial"/>
                <w:sz w:val="18"/>
              </w:rPr>
              <w:t>35.3%</w:t>
            </w:r>
          </w:p>
        </w:tc>
        <w:tc>
          <w:tcPr>
            <w:tcW w:w="2257" w:type="dxa"/>
            <w:shd w:val="clear" w:color="auto" w:fill="F2F6FC"/>
          </w:tcPr>
          <w:p w14:paraId="25337451" w14:textId="77777777" w:rsidR="00AC41AE" w:rsidRDefault="00000000">
            <w:r>
              <w:rPr>
                <w:rFonts w:ascii="Arial" w:hAnsi="Arial"/>
                <w:sz w:val="18"/>
              </w:rPr>
              <w:t>Natural Gas</w:t>
            </w:r>
          </w:p>
        </w:tc>
      </w:tr>
      <w:tr w:rsidR="00AC41AE" w14:paraId="08EBF492" w14:textId="77777777">
        <w:trPr>
          <w:jc w:val="center"/>
        </w:trPr>
        <w:tc>
          <w:tcPr>
            <w:tcW w:w="2257" w:type="dxa"/>
          </w:tcPr>
          <w:p w14:paraId="63CF0163" w14:textId="77777777" w:rsidR="00AC41AE" w:rsidRDefault="00000000">
            <w:r>
              <w:rPr>
                <w:rFonts w:ascii="Arial" w:hAnsi="Arial"/>
                <w:sz w:val="18"/>
              </w:rPr>
              <w:t>Total Scope 1</w:t>
            </w:r>
          </w:p>
        </w:tc>
        <w:tc>
          <w:tcPr>
            <w:tcW w:w="2257" w:type="dxa"/>
          </w:tcPr>
          <w:p w14:paraId="17751606" w14:textId="77777777" w:rsidR="00AC41AE" w:rsidRDefault="00000000">
            <w:pPr>
              <w:jc w:val="right"/>
            </w:pPr>
            <w:r>
              <w:rPr>
                <w:rFonts w:ascii="Arial" w:hAnsi="Arial"/>
                <w:sz w:val="18"/>
              </w:rPr>
              <w:t>3,402.997</w:t>
            </w:r>
          </w:p>
        </w:tc>
        <w:tc>
          <w:tcPr>
            <w:tcW w:w="2257" w:type="dxa"/>
          </w:tcPr>
          <w:p w14:paraId="01DA9C9B" w14:textId="77777777" w:rsidR="00AC41AE" w:rsidRDefault="00000000">
            <w:pPr>
              <w:jc w:val="right"/>
            </w:pPr>
            <w:r>
              <w:rPr>
                <w:rFonts w:ascii="Arial" w:hAnsi="Arial"/>
                <w:sz w:val="18"/>
              </w:rPr>
              <w:t>100.0%</w:t>
            </w:r>
          </w:p>
        </w:tc>
        <w:tc>
          <w:tcPr>
            <w:tcW w:w="2257" w:type="dxa"/>
          </w:tcPr>
          <w:p w14:paraId="3AB6912B" w14:textId="77777777" w:rsidR="00AC41AE" w:rsidRDefault="00000000">
            <w:r>
              <w:rPr>
                <w:rFonts w:ascii="Arial" w:hAnsi="Arial"/>
                <w:sz w:val="18"/>
              </w:rPr>
              <w:t>—</w:t>
            </w:r>
          </w:p>
        </w:tc>
      </w:tr>
    </w:tbl>
    <w:p w14:paraId="5F123644" w14:textId="77777777" w:rsidR="00AC41AE" w:rsidRDefault="00000000">
      <w:r>
        <w:rPr>
          <w:rFonts w:ascii="Arial" w:hAnsi="Arial"/>
          <w:i/>
          <w:sz w:val="16"/>
        </w:rPr>
        <w:t>Source: Source: Facility-level energy consumption data aggregated from 10 highest-emitting facilities (representing sample of total operational footprint).</w:t>
      </w:r>
    </w:p>
    <w:p w14:paraId="58B8B581" w14:textId="77777777" w:rsidR="00AC41AE" w:rsidRDefault="00AC41AE"/>
    <w:p w14:paraId="4117F7CB" w14:textId="77777777" w:rsidR="00AC41AE" w:rsidRDefault="00000000">
      <w:r>
        <w:rPr>
          <w:rFonts w:ascii="Arial" w:hAnsi="Arial"/>
          <w:b/>
          <w:sz w:val="20"/>
        </w:rPr>
        <w:t>Table 38: Table 1.5.3: Framework Cross-Reference — Emission Reduction Disclosure Requirements</w:t>
      </w:r>
    </w:p>
    <w:tbl>
      <w:tblPr>
        <w:tblW w:w="0" w:type="auto"/>
        <w:jc w:val="center"/>
        <w:tblLook w:val="04A0" w:firstRow="1" w:lastRow="0" w:firstColumn="1" w:lastColumn="0" w:noHBand="0" w:noVBand="1"/>
      </w:tblPr>
      <w:tblGrid>
        <w:gridCol w:w="1806"/>
        <w:gridCol w:w="1806"/>
        <w:gridCol w:w="1806"/>
        <w:gridCol w:w="1806"/>
        <w:gridCol w:w="1806"/>
      </w:tblGrid>
      <w:tr w:rsidR="00AC41AE" w14:paraId="5F30C181" w14:textId="77777777">
        <w:trPr>
          <w:jc w:val="center"/>
        </w:trPr>
        <w:tc>
          <w:tcPr>
            <w:tcW w:w="1806" w:type="dxa"/>
            <w:shd w:val="clear" w:color="auto" w:fill="1B3A6B"/>
          </w:tcPr>
          <w:p w14:paraId="4F8A1018" w14:textId="77777777" w:rsidR="00AC41AE" w:rsidRDefault="00000000">
            <w:r>
              <w:rPr>
                <w:rFonts w:ascii="Arial" w:hAnsi="Arial"/>
                <w:b/>
                <w:color w:val="FFFFFF"/>
                <w:sz w:val="18"/>
              </w:rPr>
              <w:t>Framework</w:t>
            </w:r>
          </w:p>
        </w:tc>
        <w:tc>
          <w:tcPr>
            <w:tcW w:w="1806" w:type="dxa"/>
            <w:shd w:val="clear" w:color="auto" w:fill="1B3A6B"/>
          </w:tcPr>
          <w:p w14:paraId="7E985164" w14:textId="77777777" w:rsidR="00AC41AE" w:rsidRDefault="00000000">
            <w:r>
              <w:rPr>
                <w:rFonts w:ascii="Arial" w:hAnsi="Arial"/>
                <w:b/>
                <w:color w:val="FFFFFF"/>
                <w:sz w:val="18"/>
              </w:rPr>
              <w:t>Disclosure Reference</w:t>
            </w:r>
          </w:p>
        </w:tc>
        <w:tc>
          <w:tcPr>
            <w:tcW w:w="1806" w:type="dxa"/>
            <w:shd w:val="clear" w:color="auto" w:fill="1B3A6B"/>
          </w:tcPr>
          <w:p w14:paraId="34776004" w14:textId="77777777" w:rsidR="00AC41AE" w:rsidRDefault="00000000">
            <w:r>
              <w:rPr>
                <w:rFonts w:ascii="Arial" w:hAnsi="Arial"/>
                <w:b/>
                <w:color w:val="FFFFFF"/>
                <w:sz w:val="18"/>
              </w:rPr>
              <w:t>Requirement</w:t>
            </w:r>
          </w:p>
        </w:tc>
        <w:tc>
          <w:tcPr>
            <w:tcW w:w="1806" w:type="dxa"/>
            <w:shd w:val="clear" w:color="auto" w:fill="1B3A6B"/>
          </w:tcPr>
          <w:p w14:paraId="62AB4880" w14:textId="77777777" w:rsidR="00AC41AE" w:rsidRDefault="00000000">
            <w:r>
              <w:rPr>
                <w:rFonts w:ascii="Arial" w:hAnsi="Arial"/>
                <w:b/>
                <w:color w:val="FFFFFF"/>
                <w:sz w:val="18"/>
              </w:rPr>
              <w:t>Current Status</w:t>
            </w:r>
          </w:p>
        </w:tc>
        <w:tc>
          <w:tcPr>
            <w:tcW w:w="1806" w:type="dxa"/>
            <w:shd w:val="clear" w:color="auto" w:fill="1B3A6B"/>
          </w:tcPr>
          <w:p w14:paraId="6009488A" w14:textId="77777777" w:rsidR="00AC41AE" w:rsidRDefault="00000000">
            <w:r>
              <w:rPr>
                <w:rFonts w:ascii="Arial" w:hAnsi="Arial"/>
                <w:b/>
                <w:color w:val="FFFFFF"/>
                <w:sz w:val="18"/>
              </w:rPr>
              <w:t>Gap Description</w:t>
            </w:r>
          </w:p>
        </w:tc>
      </w:tr>
      <w:tr w:rsidR="00AC41AE" w14:paraId="5178C5AB" w14:textId="77777777">
        <w:trPr>
          <w:jc w:val="center"/>
        </w:trPr>
        <w:tc>
          <w:tcPr>
            <w:tcW w:w="1806" w:type="dxa"/>
          </w:tcPr>
          <w:p w14:paraId="6C7C56DD" w14:textId="77777777" w:rsidR="00AC41AE" w:rsidRDefault="00000000">
            <w:r>
              <w:rPr>
                <w:rFonts w:ascii="Arial" w:hAnsi="Arial"/>
                <w:sz w:val="18"/>
              </w:rPr>
              <w:t>GRI 305-5</w:t>
            </w:r>
          </w:p>
        </w:tc>
        <w:tc>
          <w:tcPr>
            <w:tcW w:w="1806" w:type="dxa"/>
          </w:tcPr>
          <w:p w14:paraId="791D56CA" w14:textId="77777777" w:rsidR="00AC41AE" w:rsidRDefault="00000000">
            <w:r>
              <w:rPr>
                <w:rFonts w:ascii="Arial" w:hAnsi="Arial"/>
                <w:sz w:val="18"/>
              </w:rPr>
              <w:t>305-5a</w:t>
            </w:r>
          </w:p>
        </w:tc>
        <w:tc>
          <w:tcPr>
            <w:tcW w:w="1806" w:type="dxa"/>
          </w:tcPr>
          <w:p w14:paraId="759782FC" w14:textId="77777777" w:rsidR="00AC41AE" w:rsidRDefault="00000000">
            <w:r>
              <w:rPr>
                <w:rFonts w:ascii="Arial" w:hAnsi="Arial"/>
                <w:sz w:val="18"/>
              </w:rPr>
              <w:t>GHG reductions achieved as direct result of reduction initiatives (tCO₂e)</w:t>
            </w:r>
          </w:p>
        </w:tc>
        <w:tc>
          <w:tcPr>
            <w:tcW w:w="1806" w:type="dxa"/>
          </w:tcPr>
          <w:p w14:paraId="5088E446" w14:textId="77777777" w:rsidR="00AC41AE" w:rsidRDefault="00000000">
            <w:r>
              <w:rPr>
                <w:rFonts w:ascii="Arial" w:hAnsi="Arial"/>
                <w:sz w:val="18"/>
              </w:rPr>
              <w:t>⚠️ Partial</w:t>
            </w:r>
          </w:p>
        </w:tc>
        <w:tc>
          <w:tcPr>
            <w:tcW w:w="1806" w:type="dxa"/>
          </w:tcPr>
          <w:p w14:paraId="2EAA2C78" w14:textId="77777777" w:rsidR="00AC41AE" w:rsidRDefault="00000000">
            <w:r>
              <w:rPr>
                <w:rFonts w:ascii="Arial" w:hAnsi="Arial"/>
                <w:sz w:val="18"/>
              </w:rPr>
              <w:t>YoY change reported but not attributed to specific initiatives</w:t>
            </w:r>
          </w:p>
        </w:tc>
      </w:tr>
      <w:tr w:rsidR="00AC41AE" w14:paraId="11BAD3EA" w14:textId="77777777">
        <w:trPr>
          <w:jc w:val="center"/>
        </w:trPr>
        <w:tc>
          <w:tcPr>
            <w:tcW w:w="1806" w:type="dxa"/>
            <w:shd w:val="clear" w:color="auto" w:fill="F2F6FC"/>
          </w:tcPr>
          <w:p w14:paraId="2144154D" w14:textId="77777777" w:rsidR="00AC41AE" w:rsidRDefault="00000000">
            <w:r>
              <w:rPr>
                <w:rFonts w:ascii="Arial" w:hAnsi="Arial"/>
                <w:sz w:val="18"/>
              </w:rPr>
              <w:t>GRI 305-5</w:t>
            </w:r>
          </w:p>
        </w:tc>
        <w:tc>
          <w:tcPr>
            <w:tcW w:w="1806" w:type="dxa"/>
            <w:shd w:val="clear" w:color="auto" w:fill="F2F6FC"/>
          </w:tcPr>
          <w:p w14:paraId="4BF1FF31" w14:textId="77777777" w:rsidR="00AC41AE" w:rsidRDefault="00000000">
            <w:r>
              <w:rPr>
                <w:rFonts w:ascii="Arial" w:hAnsi="Arial"/>
                <w:sz w:val="18"/>
              </w:rPr>
              <w:t>305-5b</w:t>
            </w:r>
          </w:p>
        </w:tc>
        <w:tc>
          <w:tcPr>
            <w:tcW w:w="1806" w:type="dxa"/>
            <w:shd w:val="clear" w:color="auto" w:fill="F2F6FC"/>
          </w:tcPr>
          <w:p w14:paraId="1DD7DAF0" w14:textId="77777777" w:rsidR="00AC41AE" w:rsidRDefault="00000000">
            <w:r>
              <w:rPr>
                <w:rFonts w:ascii="Arial" w:hAnsi="Arial"/>
                <w:sz w:val="18"/>
              </w:rPr>
              <w:t>Gases included in calculation (CO₂, CH₄, N₂O, HFCs, PFCs, SF₆, NF₃)</w:t>
            </w:r>
          </w:p>
        </w:tc>
        <w:tc>
          <w:tcPr>
            <w:tcW w:w="1806" w:type="dxa"/>
            <w:shd w:val="clear" w:color="auto" w:fill="F2F6FC"/>
          </w:tcPr>
          <w:p w14:paraId="7CF6DE62" w14:textId="77777777" w:rsidR="00AC41AE" w:rsidRDefault="00000000">
            <w:r>
              <w:rPr>
                <w:rFonts w:ascii="Arial" w:hAnsi="Arial"/>
                <w:sz w:val="18"/>
              </w:rPr>
              <w:t>⚠️ Partial</w:t>
            </w:r>
          </w:p>
        </w:tc>
        <w:tc>
          <w:tcPr>
            <w:tcW w:w="1806" w:type="dxa"/>
            <w:shd w:val="clear" w:color="auto" w:fill="F2F6FC"/>
          </w:tcPr>
          <w:p w14:paraId="25BE5475" w14:textId="77777777" w:rsidR="00AC41AE" w:rsidRDefault="00000000">
            <w:r>
              <w:rPr>
                <w:rFonts w:ascii="Arial" w:hAnsi="Arial"/>
                <w:sz w:val="18"/>
              </w:rPr>
              <w:t>CO₂ disclosed; other gases not separately reported</w:t>
            </w:r>
          </w:p>
        </w:tc>
      </w:tr>
      <w:tr w:rsidR="00AC41AE" w14:paraId="480277D8" w14:textId="77777777">
        <w:trPr>
          <w:jc w:val="center"/>
        </w:trPr>
        <w:tc>
          <w:tcPr>
            <w:tcW w:w="1806" w:type="dxa"/>
          </w:tcPr>
          <w:p w14:paraId="47606F74" w14:textId="77777777" w:rsidR="00AC41AE" w:rsidRDefault="00000000">
            <w:r>
              <w:rPr>
                <w:rFonts w:ascii="Arial" w:hAnsi="Arial"/>
                <w:sz w:val="18"/>
              </w:rPr>
              <w:t>GRI 305-5</w:t>
            </w:r>
          </w:p>
        </w:tc>
        <w:tc>
          <w:tcPr>
            <w:tcW w:w="1806" w:type="dxa"/>
          </w:tcPr>
          <w:p w14:paraId="59A09EDD" w14:textId="77777777" w:rsidR="00AC41AE" w:rsidRDefault="00000000">
            <w:r>
              <w:rPr>
                <w:rFonts w:ascii="Arial" w:hAnsi="Arial"/>
                <w:sz w:val="18"/>
              </w:rPr>
              <w:t>305-5c</w:t>
            </w:r>
          </w:p>
        </w:tc>
        <w:tc>
          <w:tcPr>
            <w:tcW w:w="1806" w:type="dxa"/>
          </w:tcPr>
          <w:p w14:paraId="01FB6971" w14:textId="77777777" w:rsidR="00AC41AE" w:rsidRDefault="00000000">
            <w:r>
              <w:rPr>
                <w:rFonts w:ascii="Arial" w:hAnsi="Arial"/>
                <w:sz w:val="18"/>
              </w:rPr>
              <w:t>Base year or baseline, rationale for selection</w:t>
            </w:r>
          </w:p>
        </w:tc>
        <w:tc>
          <w:tcPr>
            <w:tcW w:w="1806" w:type="dxa"/>
          </w:tcPr>
          <w:p w14:paraId="2508CFC5" w14:textId="77777777" w:rsidR="00AC41AE" w:rsidRDefault="00000000">
            <w:r>
              <w:rPr>
                <w:rFonts w:ascii="Arial" w:hAnsi="Arial"/>
                <w:sz w:val="18"/>
              </w:rPr>
              <w:t>✅ Disclosed</w:t>
            </w:r>
          </w:p>
        </w:tc>
        <w:tc>
          <w:tcPr>
            <w:tcW w:w="1806" w:type="dxa"/>
          </w:tcPr>
          <w:p w14:paraId="5E17897D" w14:textId="77777777" w:rsidR="00AC41AE" w:rsidRDefault="00000000">
            <w:r>
              <w:rPr>
                <w:rFonts w:ascii="Arial" w:hAnsi="Arial"/>
                <w:sz w:val="18"/>
              </w:rPr>
              <w:t>2023 used as comparison year</w:t>
            </w:r>
          </w:p>
        </w:tc>
      </w:tr>
      <w:tr w:rsidR="00AC41AE" w14:paraId="69A65594" w14:textId="77777777">
        <w:trPr>
          <w:jc w:val="center"/>
        </w:trPr>
        <w:tc>
          <w:tcPr>
            <w:tcW w:w="1806" w:type="dxa"/>
            <w:shd w:val="clear" w:color="auto" w:fill="F2F6FC"/>
          </w:tcPr>
          <w:p w14:paraId="21BC87D7" w14:textId="77777777" w:rsidR="00AC41AE" w:rsidRDefault="00000000">
            <w:r>
              <w:rPr>
                <w:rFonts w:ascii="Arial" w:hAnsi="Arial"/>
                <w:sz w:val="18"/>
              </w:rPr>
              <w:t>GRI 305-5</w:t>
            </w:r>
          </w:p>
        </w:tc>
        <w:tc>
          <w:tcPr>
            <w:tcW w:w="1806" w:type="dxa"/>
            <w:shd w:val="clear" w:color="auto" w:fill="F2F6FC"/>
          </w:tcPr>
          <w:p w14:paraId="58B40BEF" w14:textId="77777777" w:rsidR="00AC41AE" w:rsidRDefault="00000000">
            <w:r>
              <w:rPr>
                <w:rFonts w:ascii="Arial" w:hAnsi="Arial"/>
                <w:sz w:val="18"/>
              </w:rPr>
              <w:t>305-5d</w:t>
            </w:r>
          </w:p>
        </w:tc>
        <w:tc>
          <w:tcPr>
            <w:tcW w:w="1806" w:type="dxa"/>
            <w:shd w:val="clear" w:color="auto" w:fill="F2F6FC"/>
          </w:tcPr>
          <w:p w14:paraId="0E3ABEF2" w14:textId="77777777" w:rsidR="00AC41AE" w:rsidRDefault="00000000">
            <w:r>
              <w:rPr>
                <w:rFonts w:ascii="Arial" w:hAnsi="Arial"/>
                <w:sz w:val="18"/>
              </w:rPr>
              <w:t>Scopes in which reductions took place</w:t>
            </w:r>
          </w:p>
        </w:tc>
        <w:tc>
          <w:tcPr>
            <w:tcW w:w="1806" w:type="dxa"/>
            <w:shd w:val="clear" w:color="auto" w:fill="F2F6FC"/>
          </w:tcPr>
          <w:p w14:paraId="7EBC0BB3" w14:textId="77777777" w:rsidR="00AC41AE" w:rsidRDefault="00000000">
            <w:r>
              <w:rPr>
                <w:rFonts w:ascii="Arial" w:hAnsi="Arial"/>
                <w:sz w:val="18"/>
              </w:rPr>
              <w:t>✅ Disclosed</w:t>
            </w:r>
          </w:p>
        </w:tc>
        <w:tc>
          <w:tcPr>
            <w:tcW w:w="1806" w:type="dxa"/>
            <w:shd w:val="clear" w:color="auto" w:fill="F2F6FC"/>
          </w:tcPr>
          <w:p w14:paraId="0F19BE4D" w14:textId="77777777" w:rsidR="00AC41AE" w:rsidRDefault="00000000">
            <w:r>
              <w:rPr>
                <w:rFonts w:ascii="Arial" w:hAnsi="Arial"/>
                <w:sz w:val="18"/>
              </w:rPr>
              <w:t>Scope 1, 2, and 3 Cat 15 reported separately</w:t>
            </w:r>
          </w:p>
        </w:tc>
      </w:tr>
      <w:tr w:rsidR="00AC41AE" w14:paraId="1C39B3DB" w14:textId="77777777">
        <w:trPr>
          <w:jc w:val="center"/>
        </w:trPr>
        <w:tc>
          <w:tcPr>
            <w:tcW w:w="1806" w:type="dxa"/>
          </w:tcPr>
          <w:p w14:paraId="2D2E0527" w14:textId="77777777" w:rsidR="00AC41AE" w:rsidRDefault="00000000">
            <w:r>
              <w:rPr>
                <w:rFonts w:ascii="Arial" w:hAnsi="Arial"/>
                <w:sz w:val="18"/>
              </w:rPr>
              <w:t>GRI 305-5</w:t>
            </w:r>
          </w:p>
        </w:tc>
        <w:tc>
          <w:tcPr>
            <w:tcW w:w="1806" w:type="dxa"/>
          </w:tcPr>
          <w:p w14:paraId="598882B5" w14:textId="77777777" w:rsidR="00AC41AE" w:rsidRDefault="00000000">
            <w:r>
              <w:rPr>
                <w:rFonts w:ascii="Arial" w:hAnsi="Arial"/>
                <w:sz w:val="18"/>
              </w:rPr>
              <w:t>305-5e</w:t>
            </w:r>
          </w:p>
        </w:tc>
        <w:tc>
          <w:tcPr>
            <w:tcW w:w="1806" w:type="dxa"/>
          </w:tcPr>
          <w:p w14:paraId="650B35EA" w14:textId="77777777" w:rsidR="00AC41AE" w:rsidRDefault="00000000">
            <w:r>
              <w:rPr>
                <w:rFonts w:ascii="Arial" w:hAnsi="Arial"/>
                <w:sz w:val="18"/>
              </w:rPr>
              <w:t xml:space="preserve">Standards, methodologies, assumptions, source of emission </w:t>
            </w:r>
            <w:r>
              <w:rPr>
                <w:rFonts w:ascii="Arial" w:hAnsi="Arial"/>
                <w:sz w:val="18"/>
              </w:rPr>
              <w:lastRenderedPageBreak/>
              <w:t>factors</w:t>
            </w:r>
          </w:p>
        </w:tc>
        <w:tc>
          <w:tcPr>
            <w:tcW w:w="1806" w:type="dxa"/>
          </w:tcPr>
          <w:p w14:paraId="7A203BE1" w14:textId="77777777" w:rsidR="00AC41AE" w:rsidRDefault="00000000">
            <w:r>
              <w:rPr>
                <w:rFonts w:ascii="Arial" w:hAnsi="Arial"/>
                <w:sz w:val="18"/>
              </w:rPr>
              <w:lastRenderedPageBreak/>
              <w:t>✅ Disclosed</w:t>
            </w:r>
          </w:p>
        </w:tc>
        <w:tc>
          <w:tcPr>
            <w:tcW w:w="1806" w:type="dxa"/>
          </w:tcPr>
          <w:p w14:paraId="41A619D4" w14:textId="77777777" w:rsidR="00AC41AE" w:rsidRDefault="00000000">
            <w:r>
              <w:rPr>
                <w:rFonts w:ascii="Arial" w:hAnsi="Arial"/>
                <w:sz w:val="18"/>
              </w:rPr>
              <w:t>PCAF methodology for Scope 3; GHG Protocol for Scope 1+2</w:t>
            </w:r>
          </w:p>
        </w:tc>
      </w:tr>
      <w:tr w:rsidR="00AC41AE" w14:paraId="47AAD8D6" w14:textId="77777777">
        <w:trPr>
          <w:jc w:val="center"/>
        </w:trPr>
        <w:tc>
          <w:tcPr>
            <w:tcW w:w="1806" w:type="dxa"/>
            <w:shd w:val="clear" w:color="auto" w:fill="F2F6FC"/>
          </w:tcPr>
          <w:p w14:paraId="6CB5AA3A" w14:textId="77777777" w:rsidR="00AC41AE" w:rsidRDefault="00000000">
            <w:r>
              <w:rPr>
                <w:rFonts w:ascii="Arial" w:hAnsi="Arial"/>
                <w:sz w:val="18"/>
              </w:rPr>
              <w:t>IFRS S2</w:t>
            </w:r>
          </w:p>
        </w:tc>
        <w:tc>
          <w:tcPr>
            <w:tcW w:w="1806" w:type="dxa"/>
            <w:shd w:val="clear" w:color="auto" w:fill="F2F6FC"/>
          </w:tcPr>
          <w:p w14:paraId="105072D4" w14:textId="77777777" w:rsidR="00AC41AE" w:rsidRDefault="00000000">
            <w:r>
              <w:rPr>
                <w:rFonts w:ascii="Arial" w:hAnsi="Arial"/>
                <w:sz w:val="18"/>
              </w:rPr>
              <w:t>Para 33-36</w:t>
            </w:r>
          </w:p>
        </w:tc>
        <w:tc>
          <w:tcPr>
            <w:tcW w:w="1806" w:type="dxa"/>
            <w:shd w:val="clear" w:color="auto" w:fill="F2F6FC"/>
          </w:tcPr>
          <w:p w14:paraId="7951D6F3" w14:textId="77777777" w:rsidR="00AC41AE" w:rsidRDefault="00000000">
            <w:r>
              <w:rPr>
                <w:rFonts w:ascii="Arial" w:hAnsi="Arial"/>
                <w:sz w:val="18"/>
              </w:rPr>
              <w:t>Climate-related targets (quantitative, interim, long-term) and transition plan</w:t>
            </w:r>
          </w:p>
        </w:tc>
        <w:tc>
          <w:tcPr>
            <w:tcW w:w="1806" w:type="dxa"/>
            <w:shd w:val="clear" w:color="auto" w:fill="F2F6FC"/>
          </w:tcPr>
          <w:p w14:paraId="53B0215C" w14:textId="77777777" w:rsidR="00AC41AE" w:rsidRDefault="00000000">
            <w:r>
              <w:rPr>
                <w:rFonts w:ascii="Arial" w:hAnsi="Arial"/>
                <w:sz w:val="18"/>
              </w:rPr>
              <w:t>❌ Not Disclosed</w:t>
            </w:r>
          </w:p>
        </w:tc>
        <w:tc>
          <w:tcPr>
            <w:tcW w:w="1806" w:type="dxa"/>
            <w:shd w:val="clear" w:color="auto" w:fill="F2F6FC"/>
          </w:tcPr>
          <w:p w14:paraId="26FCB4A5" w14:textId="77777777" w:rsidR="00AC41AE" w:rsidRDefault="00000000">
            <w:r>
              <w:rPr>
                <w:rFonts w:ascii="Arial" w:hAnsi="Arial"/>
                <w:sz w:val="18"/>
              </w:rPr>
              <w:t>No formal targets or transition plan established</w:t>
            </w:r>
          </w:p>
        </w:tc>
      </w:tr>
      <w:tr w:rsidR="00AC41AE" w14:paraId="541525FE" w14:textId="77777777">
        <w:trPr>
          <w:jc w:val="center"/>
        </w:trPr>
        <w:tc>
          <w:tcPr>
            <w:tcW w:w="1806" w:type="dxa"/>
          </w:tcPr>
          <w:p w14:paraId="004D5ABE" w14:textId="77777777" w:rsidR="00AC41AE" w:rsidRDefault="00000000">
            <w:r>
              <w:rPr>
                <w:rFonts w:ascii="Arial" w:hAnsi="Arial"/>
                <w:sz w:val="18"/>
              </w:rPr>
              <w:t>ESRS E1</w:t>
            </w:r>
          </w:p>
        </w:tc>
        <w:tc>
          <w:tcPr>
            <w:tcW w:w="1806" w:type="dxa"/>
          </w:tcPr>
          <w:p w14:paraId="329EEC10" w14:textId="77777777" w:rsidR="00AC41AE" w:rsidRDefault="00000000">
            <w:r>
              <w:rPr>
                <w:rFonts w:ascii="Arial" w:hAnsi="Arial"/>
                <w:sz w:val="18"/>
              </w:rPr>
              <w:t>DR E1-4</w:t>
            </w:r>
          </w:p>
        </w:tc>
        <w:tc>
          <w:tcPr>
            <w:tcW w:w="1806" w:type="dxa"/>
          </w:tcPr>
          <w:p w14:paraId="15D2EEC5" w14:textId="77777777" w:rsidR="00AC41AE" w:rsidRDefault="00000000">
            <w:r>
              <w:rPr>
                <w:rFonts w:ascii="Arial" w:hAnsi="Arial"/>
                <w:sz w:val="18"/>
              </w:rPr>
              <w:t>GHG emission reduction targets and decarbonization levers</w:t>
            </w:r>
          </w:p>
        </w:tc>
        <w:tc>
          <w:tcPr>
            <w:tcW w:w="1806" w:type="dxa"/>
          </w:tcPr>
          <w:p w14:paraId="581EABF8" w14:textId="77777777" w:rsidR="00AC41AE" w:rsidRDefault="00000000">
            <w:r>
              <w:rPr>
                <w:rFonts w:ascii="Arial" w:hAnsi="Arial"/>
                <w:sz w:val="18"/>
              </w:rPr>
              <w:t>❌ Not Disclosed</w:t>
            </w:r>
          </w:p>
        </w:tc>
        <w:tc>
          <w:tcPr>
            <w:tcW w:w="1806" w:type="dxa"/>
          </w:tcPr>
          <w:p w14:paraId="2BB82FF9" w14:textId="77777777" w:rsidR="00AC41AE" w:rsidRDefault="00000000">
            <w:r>
              <w:rPr>
                <w:rFonts w:ascii="Arial" w:hAnsi="Arial"/>
                <w:sz w:val="18"/>
              </w:rPr>
              <w:t>No targets or decarbonization roadmap disclosed</w:t>
            </w:r>
          </w:p>
        </w:tc>
      </w:tr>
      <w:tr w:rsidR="00AC41AE" w14:paraId="05FA54A3" w14:textId="77777777">
        <w:trPr>
          <w:jc w:val="center"/>
        </w:trPr>
        <w:tc>
          <w:tcPr>
            <w:tcW w:w="1806" w:type="dxa"/>
            <w:shd w:val="clear" w:color="auto" w:fill="F2F6FC"/>
          </w:tcPr>
          <w:p w14:paraId="4A5F6680" w14:textId="77777777" w:rsidR="00AC41AE" w:rsidRDefault="00000000">
            <w:r>
              <w:rPr>
                <w:rFonts w:ascii="Arial" w:hAnsi="Arial"/>
                <w:sz w:val="18"/>
              </w:rPr>
              <w:t>OJK PSPK</w:t>
            </w:r>
          </w:p>
        </w:tc>
        <w:tc>
          <w:tcPr>
            <w:tcW w:w="1806" w:type="dxa"/>
            <w:shd w:val="clear" w:color="auto" w:fill="F2F6FC"/>
          </w:tcPr>
          <w:p w14:paraId="48EC258D" w14:textId="77777777" w:rsidR="00AC41AE" w:rsidRDefault="00000000">
            <w:r>
              <w:rPr>
                <w:rFonts w:ascii="Arial" w:hAnsi="Arial"/>
                <w:sz w:val="18"/>
              </w:rPr>
              <w:t>POJK 51/SEOJK 16</w:t>
            </w:r>
          </w:p>
        </w:tc>
        <w:tc>
          <w:tcPr>
            <w:tcW w:w="1806" w:type="dxa"/>
            <w:shd w:val="clear" w:color="auto" w:fill="F2F6FC"/>
          </w:tcPr>
          <w:p w14:paraId="26695F07" w14:textId="77777777" w:rsidR="00AC41AE" w:rsidRDefault="00000000">
            <w:r>
              <w:rPr>
                <w:rFonts w:ascii="Arial" w:hAnsi="Arial"/>
                <w:sz w:val="18"/>
              </w:rPr>
              <w:t>Climate targets aligned with Indonesia NDC and SFAP</w:t>
            </w:r>
          </w:p>
        </w:tc>
        <w:tc>
          <w:tcPr>
            <w:tcW w:w="1806" w:type="dxa"/>
            <w:shd w:val="clear" w:color="auto" w:fill="F2F6FC"/>
          </w:tcPr>
          <w:p w14:paraId="336F49FD" w14:textId="77777777" w:rsidR="00AC41AE" w:rsidRDefault="00000000">
            <w:r>
              <w:rPr>
                <w:rFonts w:ascii="Arial" w:hAnsi="Arial"/>
                <w:sz w:val="18"/>
              </w:rPr>
              <w:t>❌ Not Disclosed</w:t>
            </w:r>
          </w:p>
        </w:tc>
        <w:tc>
          <w:tcPr>
            <w:tcW w:w="1806" w:type="dxa"/>
            <w:shd w:val="clear" w:color="auto" w:fill="F2F6FC"/>
          </w:tcPr>
          <w:p w14:paraId="4F763C76" w14:textId="77777777" w:rsidR="00AC41AE" w:rsidRDefault="00000000">
            <w:r>
              <w:rPr>
                <w:rFonts w:ascii="Arial" w:hAnsi="Arial"/>
                <w:sz w:val="18"/>
              </w:rPr>
              <w:t>No alignment with national climate commitments disclosed</w:t>
            </w:r>
          </w:p>
        </w:tc>
      </w:tr>
    </w:tbl>
    <w:p w14:paraId="6F8D958D" w14:textId="77777777" w:rsidR="00AC41AE" w:rsidRDefault="00000000">
      <w:r>
        <w:rPr>
          <w:rFonts w:ascii="Arial" w:hAnsi="Arial"/>
          <w:i/>
          <w:sz w:val="16"/>
        </w:rPr>
        <w:t>Source: Assessment based on 2024 reporting period disclosures. ✅ = Fully disclosed; ⚠️ = Partially disclosed; ❌ = Not disclosed.</w:t>
      </w:r>
    </w:p>
    <w:p w14:paraId="25AF4619" w14:textId="77777777" w:rsidR="00AC41AE" w:rsidRDefault="00AC41AE"/>
    <w:p w14:paraId="5020FAEF" w14:textId="77777777" w:rsidR="00AC41AE" w:rsidRDefault="00000000">
      <w:r>
        <w:rPr>
          <w:rFonts w:ascii="Arial" w:hAnsi="Arial"/>
          <w:b/>
          <w:sz w:val="20"/>
        </w:rPr>
        <w:t>Table 40: Table 1.5.4: Peer Benchmark — Emission Reduction Performance (Indonesian Banking Sector)</w:t>
      </w:r>
    </w:p>
    <w:tbl>
      <w:tblPr>
        <w:tblW w:w="0" w:type="auto"/>
        <w:jc w:val="center"/>
        <w:tblLook w:val="04A0" w:firstRow="1" w:lastRow="0" w:firstColumn="1" w:lastColumn="0" w:noHBand="0" w:noVBand="1"/>
      </w:tblPr>
      <w:tblGrid>
        <w:gridCol w:w="1505"/>
        <w:gridCol w:w="1505"/>
        <w:gridCol w:w="1505"/>
        <w:gridCol w:w="1505"/>
        <w:gridCol w:w="1505"/>
        <w:gridCol w:w="1505"/>
      </w:tblGrid>
      <w:tr w:rsidR="00AC41AE" w14:paraId="75FC7F11" w14:textId="77777777">
        <w:trPr>
          <w:jc w:val="center"/>
        </w:trPr>
        <w:tc>
          <w:tcPr>
            <w:tcW w:w="1505" w:type="dxa"/>
            <w:shd w:val="clear" w:color="auto" w:fill="1B3A6B"/>
          </w:tcPr>
          <w:p w14:paraId="1C47721A" w14:textId="77777777" w:rsidR="00AC41AE" w:rsidRDefault="00000000">
            <w:r>
              <w:rPr>
                <w:rFonts w:ascii="Arial" w:hAnsi="Arial"/>
                <w:b/>
                <w:color w:val="FFFFFF"/>
                <w:sz w:val="18"/>
              </w:rPr>
              <w:t>Institution</w:t>
            </w:r>
          </w:p>
        </w:tc>
        <w:tc>
          <w:tcPr>
            <w:tcW w:w="1505" w:type="dxa"/>
            <w:shd w:val="clear" w:color="auto" w:fill="1B3A6B"/>
          </w:tcPr>
          <w:p w14:paraId="7BF109A9" w14:textId="77777777" w:rsidR="00AC41AE" w:rsidRDefault="00000000">
            <w:r>
              <w:rPr>
                <w:rFonts w:ascii="Arial" w:hAnsi="Arial"/>
                <w:b/>
                <w:color w:val="FFFFFF"/>
                <w:sz w:val="18"/>
              </w:rPr>
              <w:t>Total Scope 1+2 (tCO₂e)</w:t>
            </w:r>
          </w:p>
        </w:tc>
        <w:tc>
          <w:tcPr>
            <w:tcW w:w="1505" w:type="dxa"/>
            <w:shd w:val="clear" w:color="auto" w:fill="1B3A6B"/>
          </w:tcPr>
          <w:p w14:paraId="690C9DC4" w14:textId="77777777" w:rsidR="00AC41AE" w:rsidRDefault="00000000">
            <w:r>
              <w:rPr>
                <w:rFonts w:ascii="Arial" w:hAnsi="Arial"/>
                <w:b/>
                <w:color w:val="FFFFFF"/>
                <w:sz w:val="18"/>
              </w:rPr>
              <w:t>YoY Change (%)</w:t>
            </w:r>
          </w:p>
        </w:tc>
        <w:tc>
          <w:tcPr>
            <w:tcW w:w="1505" w:type="dxa"/>
            <w:shd w:val="clear" w:color="auto" w:fill="1B3A6B"/>
          </w:tcPr>
          <w:p w14:paraId="240D4E55" w14:textId="77777777" w:rsidR="00AC41AE" w:rsidRDefault="00000000">
            <w:r>
              <w:rPr>
                <w:rFonts w:ascii="Arial" w:hAnsi="Arial"/>
                <w:b/>
                <w:color w:val="FFFFFF"/>
                <w:sz w:val="18"/>
              </w:rPr>
              <w:t>Renewable Energy (%)</w:t>
            </w:r>
          </w:p>
        </w:tc>
        <w:tc>
          <w:tcPr>
            <w:tcW w:w="1505" w:type="dxa"/>
            <w:shd w:val="clear" w:color="auto" w:fill="1B3A6B"/>
          </w:tcPr>
          <w:p w14:paraId="2D82DC76" w14:textId="77777777" w:rsidR="00AC41AE" w:rsidRDefault="00000000">
            <w:r>
              <w:rPr>
                <w:rFonts w:ascii="Arial" w:hAnsi="Arial"/>
                <w:b/>
                <w:color w:val="FFFFFF"/>
                <w:sz w:val="18"/>
              </w:rPr>
              <w:t>Key Initiatives</w:t>
            </w:r>
          </w:p>
        </w:tc>
        <w:tc>
          <w:tcPr>
            <w:tcW w:w="1505" w:type="dxa"/>
            <w:shd w:val="clear" w:color="auto" w:fill="1B3A6B"/>
          </w:tcPr>
          <w:p w14:paraId="10505C95" w14:textId="77777777" w:rsidR="00AC41AE" w:rsidRDefault="00000000">
            <w:r>
              <w:rPr>
                <w:rFonts w:ascii="Arial" w:hAnsi="Arial"/>
                <w:b/>
                <w:color w:val="FFFFFF"/>
                <w:sz w:val="18"/>
              </w:rPr>
              <w:t>Target Year</w:t>
            </w:r>
          </w:p>
        </w:tc>
      </w:tr>
      <w:tr w:rsidR="00AC41AE" w14:paraId="3B37F1A2" w14:textId="77777777">
        <w:trPr>
          <w:jc w:val="center"/>
        </w:trPr>
        <w:tc>
          <w:tcPr>
            <w:tcW w:w="1505" w:type="dxa"/>
          </w:tcPr>
          <w:p w14:paraId="72A39F31" w14:textId="77777777" w:rsidR="00AC41AE" w:rsidRDefault="00000000">
            <w:r>
              <w:rPr>
                <w:rFonts w:ascii="Arial" w:hAnsi="Arial"/>
                <w:sz w:val="18"/>
              </w:rPr>
              <w:t>DBS Group</w:t>
            </w:r>
          </w:p>
        </w:tc>
        <w:tc>
          <w:tcPr>
            <w:tcW w:w="1505" w:type="dxa"/>
          </w:tcPr>
          <w:p w14:paraId="0A1F09EC" w14:textId="77777777" w:rsidR="00AC41AE" w:rsidRDefault="00000000">
            <w:pPr>
              <w:jc w:val="right"/>
            </w:pPr>
            <w:r>
              <w:rPr>
                <w:rFonts w:ascii="Arial" w:hAnsi="Arial"/>
                <w:sz w:val="18"/>
              </w:rPr>
              <w:t>51,003</w:t>
            </w:r>
          </w:p>
        </w:tc>
        <w:tc>
          <w:tcPr>
            <w:tcW w:w="1505" w:type="dxa"/>
          </w:tcPr>
          <w:p w14:paraId="63CC6498" w14:textId="77777777" w:rsidR="00AC41AE" w:rsidRDefault="00000000">
            <w:pPr>
              <w:jc w:val="right"/>
            </w:pPr>
            <w:r>
              <w:rPr>
                <w:rFonts w:ascii="Arial" w:hAnsi="Arial"/>
                <w:sz w:val="18"/>
              </w:rPr>
              <w:t>-12.0%</w:t>
            </w:r>
          </w:p>
        </w:tc>
        <w:tc>
          <w:tcPr>
            <w:tcW w:w="1505" w:type="dxa"/>
          </w:tcPr>
          <w:p w14:paraId="333C0E76" w14:textId="77777777" w:rsidR="00AC41AE" w:rsidRDefault="00000000">
            <w:pPr>
              <w:jc w:val="right"/>
            </w:pPr>
            <w:r>
              <w:rPr>
                <w:rFonts w:ascii="Arial" w:hAnsi="Arial"/>
                <w:sz w:val="18"/>
              </w:rPr>
              <w:t>62%</w:t>
            </w:r>
          </w:p>
        </w:tc>
        <w:tc>
          <w:tcPr>
            <w:tcW w:w="1505" w:type="dxa"/>
          </w:tcPr>
          <w:p w14:paraId="22038648" w14:textId="77777777" w:rsidR="00AC41AE" w:rsidRDefault="00000000">
            <w:r>
              <w:rPr>
                <w:rFonts w:ascii="Arial" w:hAnsi="Arial"/>
                <w:sz w:val="18"/>
              </w:rPr>
              <w:t>RE100 member, internal carbon price $15/tCO₂, green data centers</w:t>
            </w:r>
          </w:p>
        </w:tc>
        <w:tc>
          <w:tcPr>
            <w:tcW w:w="1505" w:type="dxa"/>
          </w:tcPr>
          <w:p w14:paraId="7C434195" w14:textId="77777777" w:rsidR="00AC41AE" w:rsidRDefault="00000000">
            <w:r>
              <w:rPr>
                <w:rFonts w:ascii="Arial" w:hAnsi="Arial"/>
                <w:sz w:val="18"/>
              </w:rPr>
              <w:t>2050 (Net Zero)</w:t>
            </w:r>
          </w:p>
        </w:tc>
      </w:tr>
      <w:tr w:rsidR="00AC41AE" w14:paraId="751556F6" w14:textId="77777777">
        <w:trPr>
          <w:jc w:val="center"/>
        </w:trPr>
        <w:tc>
          <w:tcPr>
            <w:tcW w:w="1505" w:type="dxa"/>
            <w:shd w:val="clear" w:color="auto" w:fill="F2F6FC"/>
          </w:tcPr>
          <w:p w14:paraId="6C3D9B1B" w14:textId="77777777" w:rsidR="00AC41AE" w:rsidRDefault="00000000">
            <w:r>
              <w:rPr>
                <w:rFonts w:ascii="Arial" w:hAnsi="Arial"/>
                <w:sz w:val="18"/>
              </w:rPr>
              <w:t>Bank Mandiri</w:t>
            </w:r>
          </w:p>
        </w:tc>
        <w:tc>
          <w:tcPr>
            <w:tcW w:w="1505" w:type="dxa"/>
            <w:shd w:val="clear" w:color="auto" w:fill="F2F6FC"/>
          </w:tcPr>
          <w:p w14:paraId="1274510C" w14:textId="77777777" w:rsidR="00AC41AE" w:rsidRDefault="00000000">
            <w:r>
              <w:rPr>
                <w:rFonts w:ascii="Arial" w:hAnsi="Arial"/>
                <w:sz w:val="18"/>
              </w:rPr>
              <w:t>~70,200</w:t>
            </w:r>
          </w:p>
        </w:tc>
        <w:tc>
          <w:tcPr>
            <w:tcW w:w="1505" w:type="dxa"/>
            <w:shd w:val="clear" w:color="auto" w:fill="F2F6FC"/>
          </w:tcPr>
          <w:p w14:paraId="1356051D" w14:textId="77777777" w:rsidR="00AC41AE" w:rsidRDefault="00000000">
            <w:pPr>
              <w:jc w:val="right"/>
            </w:pPr>
            <w:r>
              <w:rPr>
                <w:rFonts w:ascii="Arial" w:hAnsi="Arial"/>
                <w:sz w:val="18"/>
              </w:rPr>
              <w:t>-5.1%</w:t>
            </w:r>
          </w:p>
        </w:tc>
        <w:tc>
          <w:tcPr>
            <w:tcW w:w="1505" w:type="dxa"/>
            <w:shd w:val="clear" w:color="auto" w:fill="F2F6FC"/>
          </w:tcPr>
          <w:p w14:paraId="660EF583" w14:textId="77777777" w:rsidR="00AC41AE" w:rsidRDefault="00000000">
            <w:r>
              <w:rPr>
                <w:rFonts w:ascii="Arial" w:hAnsi="Arial"/>
                <w:sz w:val="18"/>
              </w:rPr>
              <w:t>&lt;1%</w:t>
            </w:r>
          </w:p>
        </w:tc>
        <w:tc>
          <w:tcPr>
            <w:tcW w:w="1505" w:type="dxa"/>
            <w:shd w:val="clear" w:color="auto" w:fill="F2F6FC"/>
          </w:tcPr>
          <w:p w14:paraId="66ED8378" w14:textId="77777777" w:rsidR="00AC41AE" w:rsidRDefault="00000000">
            <w:r>
              <w:rPr>
                <w:rFonts w:ascii="Arial" w:hAnsi="Arial"/>
                <w:sz w:val="18"/>
              </w:rPr>
              <w:t>Solar panel pilots, EV charging stations, building efficiency</w:t>
            </w:r>
          </w:p>
        </w:tc>
        <w:tc>
          <w:tcPr>
            <w:tcW w:w="1505" w:type="dxa"/>
            <w:shd w:val="clear" w:color="auto" w:fill="F2F6FC"/>
          </w:tcPr>
          <w:p w14:paraId="40D98D7A" w14:textId="77777777" w:rsidR="00AC41AE" w:rsidRDefault="00000000">
            <w:pPr>
              <w:jc w:val="right"/>
            </w:pPr>
            <w:r>
              <w:rPr>
                <w:rFonts w:ascii="Arial" w:hAnsi="Arial"/>
                <w:sz w:val="18"/>
              </w:rPr>
              <w:t>2060</w:t>
            </w:r>
          </w:p>
        </w:tc>
      </w:tr>
      <w:tr w:rsidR="00AC41AE" w14:paraId="56B100E3" w14:textId="77777777">
        <w:trPr>
          <w:jc w:val="center"/>
        </w:trPr>
        <w:tc>
          <w:tcPr>
            <w:tcW w:w="1505" w:type="dxa"/>
          </w:tcPr>
          <w:p w14:paraId="4EB60CCF" w14:textId="77777777" w:rsidR="00AC41AE" w:rsidRDefault="00000000">
            <w:r>
              <w:rPr>
                <w:rFonts w:ascii="Arial" w:hAnsi="Arial"/>
                <w:sz w:val="18"/>
              </w:rPr>
              <w:t>BRI</w:t>
            </w:r>
          </w:p>
        </w:tc>
        <w:tc>
          <w:tcPr>
            <w:tcW w:w="1505" w:type="dxa"/>
          </w:tcPr>
          <w:p w14:paraId="39163B57" w14:textId="77777777" w:rsidR="00AC41AE" w:rsidRDefault="00000000">
            <w:r>
              <w:rPr>
                <w:rFonts w:ascii="Arial" w:hAnsi="Arial"/>
                <w:sz w:val="18"/>
              </w:rPr>
              <w:t>~97,500</w:t>
            </w:r>
          </w:p>
        </w:tc>
        <w:tc>
          <w:tcPr>
            <w:tcW w:w="1505" w:type="dxa"/>
          </w:tcPr>
          <w:p w14:paraId="24EF3FCA" w14:textId="77777777" w:rsidR="00AC41AE" w:rsidRDefault="00000000">
            <w:pPr>
              <w:jc w:val="right"/>
            </w:pPr>
            <w:r>
              <w:rPr>
                <w:rFonts w:ascii="Arial" w:hAnsi="Arial"/>
                <w:sz w:val="18"/>
              </w:rPr>
              <w:t>-3.2%</w:t>
            </w:r>
          </w:p>
        </w:tc>
        <w:tc>
          <w:tcPr>
            <w:tcW w:w="1505" w:type="dxa"/>
          </w:tcPr>
          <w:p w14:paraId="096EF14B" w14:textId="77777777" w:rsidR="00AC41AE" w:rsidRDefault="00000000">
            <w:r>
              <w:rPr>
                <w:rFonts w:ascii="Arial" w:hAnsi="Arial"/>
                <w:sz w:val="18"/>
              </w:rPr>
              <w:t>&lt;1%</w:t>
            </w:r>
          </w:p>
        </w:tc>
        <w:tc>
          <w:tcPr>
            <w:tcW w:w="1505" w:type="dxa"/>
          </w:tcPr>
          <w:p w14:paraId="002B739C" w14:textId="77777777" w:rsidR="00AC41AE" w:rsidRDefault="00000000">
            <w:r>
              <w:rPr>
                <w:rFonts w:ascii="Arial" w:hAnsi="Arial"/>
                <w:sz w:val="18"/>
              </w:rPr>
              <w:t>Green Network (118 EVs, 150 e-bikes), solar panels, green building (Gold GBCI)</w:t>
            </w:r>
          </w:p>
        </w:tc>
        <w:tc>
          <w:tcPr>
            <w:tcW w:w="1505" w:type="dxa"/>
          </w:tcPr>
          <w:p w14:paraId="1DFEE557" w14:textId="77777777" w:rsidR="00AC41AE" w:rsidRDefault="00000000">
            <w:r>
              <w:rPr>
                <w:rFonts w:ascii="Arial" w:hAnsi="Arial"/>
                <w:sz w:val="18"/>
              </w:rPr>
              <w:t>2050 (SBTi)</w:t>
            </w:r>
          </w:p>
        </w:tc>
      </w:tr>
      <w:tr w:rsidR="00AC41AE" w14:paraId="5F5AD97B" w14:textId="77777777">
        <w:trPr>
          <w:jc w:val="center"/>
        </w:trPr>
        <w:tc>
          <w:tcPr>
            <w:tcW w:w="1505" w:type="dxa"/>
            <w:shd w:val="clear" w:color="auto" w:fill="F2F6FC"/>
          </w:tcPr>
          <w:p w14:paraId="5F7BFB39" w14:textId="77777777" w:rsidR="00AC41AE" w:rsidRDefault="00000000">
            <w:r>
              <w:rPr>
                <w:rFonts w:ascii="Arial" w:hAnsi="Arial"/>
                <w:sz w:val="18"/>
              </w:rPr>
              <w:t>BCA</w:t>
            </w:r>
          </w:p>
        </w:tc>
        <w:tc>
          <w:tcPr>
            <w:tcW w:w="1505" w:type="dxa"/>
            <w:shd w:val="clear" w:color="auto" w:fill="F2F6FC"/>
          </w:tcPr>
          <w:p w14:paraId="3261B617" w14:textId="77777777" w:rsidR="00AC41AE" w:rsidRDefault="00000000">
            <w:r>
              <w:rPr>
                <w:rFonts w:ascii="Arial" w:hAnsi="Arial"/>
                <w:sz w:val="18"/>
              </w:rPr>
              <w:t>~59,800</w:t>
            </w:r>
          </w:p>
        </w:tc>
        <w:tc>
          <w:tcPr>
            <w:tcW w:w="1505" w:type="dxa"/>
            <w:shd w:val="clear" w:color="auto" w:fill="F2F6FC"/>
          </w:tcPr>
          <w:p w14:paraId="699357E9" w14:textId="77777777" w:rsidR="00AC41AE" w:rsidRDefault="00000000">
            <w:r>
              <w:rPr>
                <w:rFonts w:ascii="Arial" w:hAnsi="Arial"/>
                <w:sz w:val="18"/>
              </w:rPr>
              <w:t>Stable</w:t>
            </w:r>
          </w:p>
        </w:tc>
        <w:tc>
          <w:tcPr>
            <w:tcW w:w="1505" w:type="dxa"/>
            <w:shd w:val="clear" w:color="auto" w:fill="F2F6FC"/>
          </w:tcPr>
          <w:p w14:paraId="54A07164" w14:textId="77777777" w:rsidR="00AC41AE" w:rsidRDefault="00000000">
            <w:r>
              <w:rPr>
                <w:rFonts w:ascii="Arial" w:hAnsi="Arial"/>
                <w:sz w:val="18"/>
              </w:rPr>
              <w:t>&lt;1%</w:t>
            </w:r>
          </w:p>
        </w:tc>
        <w:tc>
          <w:tcPr>
            <w:tcW w:w="1505" w:type="dxa"/>
            <w:shd w:val="clear" w:color="auto" w:fill="F2F6FC"/>
          </w:tcPr>
          <w:p w14:paraId="2A2AEAD0" w14:textId="77777777" w:rsidR="00AC41AE" w:rsidRDefault="00000000">
            <w:r>
              <w:rPr>
                <w:rFonts w:ascii="Arial" w:hAnsi="Arial"/>
                <w:sz w:val="18"/>
              </w:rPr>
              <w:t>Green office program, Earth Hour, climate strategy development</w:t>
            </w:r>
          </w:p>
        </w:tc>
        <w:tc>
          <w:tcPr>
            <w:tcW w:w="1505" w:type="dxa"/>
            <w:shd w:val="clear" w:color="auto" w:fill="F2F6FC"/>
          </w:tcPr>
          <w:p w14:paraId="4B7EED1A" w14:textId="77777777" w:rsidR="00AC41AE" w:rsidRDefault="00000000">
            <w:r>
              <w:rPr>
                <w:rFonts w:ascii="Arial" w:hAnsi="Arial"/>
                <w:sz w:val="18"/>
              </w:rPr>
              <w:t>Developing</w:t>
            </w:r>
          </w:p>
        </w:tc>
      </w:tr>
      <w:tr w:rsidR="00AC41AE" w14:paraId="3BA300FB" w14:textId="77777777">
        <w:trPr>
          <w:jc w:val="center"/>
        </w:trPr>
        <w:tc>
          <w:tcPr>
            <w:tcW w:w="1505" w:type="dxa"/>
          </w:tcPr>
          <w:p w14:paraId="3B56381F" w14:textId="77777777" w:rsidR="00AC41AE" w:rsidRDefault="00000000">
            <w:r>
              <w:rPr>
                <w:rFonts w:ascii="Arial" w:hAnsi="Arial"/>
                <w:sz w:val="18"/>
              </w:rPr>
              <w:t>Generic FI (This Institution)</w:t>
            </w:r>
          </w:p>
        </w:tc>
        <w:tc>
          <w:tcPr>
            <w:tcW w:w="1505" w:type="dxa"/>
          </w:tcPr>
          <w:p w14:paraId="75B3E170" w14:textId="77777777" w:rsidR="00AC41AE" w:rsidRDefault="00000000">
            <w:pPr>
              <w:jc w:val="right"/>
            </w:pPr>
            <w:r>
              <w:rPr>
                <w:rFonts w:ascii="Arial" w:hAnsi="Arial"/>
                <w:sz w:val="18"/>
              </w:rPr>
              <w:t>48,016.873</w:t>
            </w:r>
          </w:p>
        </w:tc>
        <w:tc>
          <w:tcPr>
            <w:tcW w:w="1505" w:type="dxa"/>
          </w:tcPr>
          <w:p w14:paraId="10DC8046" w14:textId="77777777" w:rsidR="00AC41AE" w:rsidRDefault="00000000">
            <w:pPr>
              <w:jc w:val="right"/>
            </w:pPr>
            <w:r>
              <w:rPr>
                <w:rFonts w:ascii="Arial" w:hAnsi="Arial"/>
                <w:sz w:val="18"/>
              </w:rPr>
              <w:t>-4.07%</w:t>
            </w:r>
          </w:p>
        </w:tc>
        <w:tc>
          <w:tcPr>
            <w:tcW w:w="1505" w:type="dxa"/>
          </w:tcPr>
          <w:p w14:paraId="7631B732" w14:textId="77777777" w:rsidR="00AC41AE" w:rsidRDefault="00000000">
            <w:r>
              <w:rPr>
                <w:rFonts w:ascii="Arial" w:hAnsi="Arial"/>
                <w:sz w:val="18"/>
              </w:rPr>
              <w:t>&lt;1%</w:t>
            </w:r>
          </w:p>
        </w:tc>
        <w:tc>
          <w:tcPr>
            <w:tcW w:w="1505" w:type="dxa"/>
          </w:tcPr>
          <w:p w14:paraId="6C4DFB16" w14:textId="77777777" w:rsidR="00AC41AE" w:rsidRDefault="00000000">
            <w:r>
              <w:rPr>
                <w:rFonts w:ascii="Arial" w:hAnsi="Arial"/>
                <w:sz w:val="18"/>
              </w:rPr>
              <w:t xml:space="preserve">No structured program </w:t>
            </w:r>
            <w:r>
              <w:rPr>
                <w:rFonts w:ascii="Arial" w:hAnsi="Arial"/>
                <w:sz w:val="18"/>
              </w:rPr>
              <w:lastRenderedPageBreak/>
              <w:t>disclosed</w:t>
            </w:r>
          </w:p>
        </w:tc>
        <w:tc>
          <w:tcPr>
            <w:tcW w:w="1505" w:type="dxa"/>
          </w:tcPr>
          <w:p w14:paraId="06A67A00" w14:textId="77777777" w:rsidR="00AC41AE" w:rsidRDefault="00000000">
            <w:r>
              <w:rPr>
                <w:rFonts w:ascii="Arial" w:hAnsi="Arial"/>
                <w:sz w:val="18"/>
              </w:rPr>
              <w:lastRenderedPageBreak/>
              <w:t>Not established</w:t>
            </w:r>
          </w:p>
        </w:tc>
      </w:tr>
    </w:tbl>
    <w:p w14:paraId="776972C0" w14:textId="77777777" w:rsidR="00AC41AE" w:rsidRDefault="00000000">
      <w:r>
        <w:rPr>
          <w:rFonts w:ascii="Arial" w:hAnsi="Arial"/>
          <w:i/>
          <w:sz w:val="16"/>
        </w:rPr>
        <w:t>Source: Source: Sustainability reports 2023-2024 (BRI, BCA, DBS, Mandiri). Generic FI data from current reporting period. DBS Group data includes regional operations.</w:t>
      </w:r>
    </w:p>
    <w:p w14:paraId="23641A3A" w14:textId="77777777" w:rsidR="00AC41AE" w:rsidRDefault="00AC41AE"/>
    <w:p w14:paraId="524EDAE4" w14:textId="77777777" w:rsidR="00AC41AE" w:rsidRDefault="00AC41AE"/>
    <w:p w14:paraId="36304308" w14:textId="77777777" w:rsidR="00AC41AE" w:rsidRDefault="00000000">
      <w:r>
        <w:rPr>
          <w:noProof/>
        </w:rPr>
        <w:drawing>
          <wp:inline distT="0" distB="0" distL="0" distR="0" wp14:anchorId="37F5F1C2" wp14:editId="71486981">
            <wp:extent cx="5029200" cy="274277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029200" cy="2742777"/>
                    </a:xfrm>
                    <a:prstGeom prst="rect">
                      <a:avLst/>
                    </a:prstGeom>
                  </pic:spPr>
                </pic:pic>
              </a:graphicData>
            </a:graphic>
          </wp:inline>
        </w:drawing>
      </w:r>
    </w:p>
    <w:p w14:paraId="74885A74" w14:textId="77777777" w:rsidR="00AC41AE" w:rsidRDefault="00000000">
      <w:pPr>
        <w:jc w:val="center"/>
      </w:pPr>
      <w:r>
        <w:rPr>
          <w:i/>
          <w:color w:val="666666"/>
          <w:sz w:val="18"/>
        </w:rPr>
        <w:t>Figure 18: Scope 1 Emission Sources — 2024 Breakdown</w:t>
      </w:r>
    </w:p>
    <w:p w14:paraId="2E02F819" w14:textId="77777777" w:rsidR="00AC41AE" w:rsidRDefault="00000000">
      <w:pPr>
        <w:jc w:val="center"/>
      </w:pPr>
      <w:r>
        <w:rPr>
          <w:i/>
          <w:color w:val="757575"/>
          <w:sz w:val="18"/>
        </w:rPr>
        <w:t>Diesel dominates at 64.7% of Scope 1 emissions and increased 3.66% YoY — primary lever for reduction via solar+battery systems at top 10 facilities</w:t>
      </w:r>
    </w:p>
    <w:p w14:paraId="42F4968C" w14:textId="77777777" w:rsidR="00AC41AE" w:rsidRDefault="00AC41AE"/>
    <w:p w14:paraId="3C404CEE" w14:textId="77777777" w:rsidR="00AC41AE" w:rsidRDefault="00000000">
      <w:r>
        <w:rPr>
          <w:noProof/>
        </w:rPr>
        <w:drawing>
          <wp:inline distT="0" distB="0" distL="0" distR="0" wp14:anchorId="02046564" wp14:editId="7DB2539D">
            <wp:extent cx="5029200" cy="334711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029200" cy="3347117"/>
                    </a:xfrm>
                    <a:prstGeom prst="rect">
                      <a:avLst/>
                    </a:prstGeom>
                  </pic:spPr>
                </pic:pic>
              </a:graphicData>
            </a:graphic>
          </wp:inline>
        </w:drawing>
      </w:r>
    </w:p>
    <w:p w14:paraId="09D418A9" w14:textId="77777777" w:rsidR="00AC41AE" w:rsidRDefault="00000000">
      <w:pPr>
        <w:jc w:val="center"/>
      </w:pPr>
      <w:r>
        <w:rPr>
          <w:i/>
          <w:color w:val="666666"/>
          <w:sz w:val="18"/>
        </w:rPr>
        <w:lastRenderedPageBreak/>
        <w:t>Figure 19: Year-over-Year Emission Changes by Scope (2023 vs 2024)</w:t>
      </w:r>
    </w:p>
    <w:p w14:paraId="28C2C8D6" w14:textId="77777777" w:rsidR="00AC41AE" w:rsidRDefault="00000000">
      <w:pPr>
        <w:jc w:val="center"/>
      </w:pPr>
      <w:r>
        <w:rPr>
          <w:i/>
          <w:color w:val="757575"/>
          <w:sz w:val="18"/>
        </w:rPr>
        <w:t>Scope 1 increased 2.36% while Scope 2 remained stable (+0.03%) — overall 4.07% reduction driven by Scope 3 financed emissions decrease</w:t>
      </w:r>
    </w:p>
    <w:p w14:paraId="539F917B" w14:textId="77777777" w:rsidR="00AC41AE" w:rsidRDefault="00AC41AE"/>
    <w:p w14:paraId="2B9D106C" w14:textId="77777777" w:rsidR="00AC41AE" w:rsidRDefault="00000000">
      <w:r>
        <w:rPr>
          <w:noProof/>
        </w:rPr>
        <w:drawing>
          <wp:inline distT="0" distB="0" distL="0" distR="0" wp14:anchorId="3D3EA746" wp14:editId="27A3EEF0">
            <wp:extent cx="5029200" cy="260986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029200" cy="2609867"/>
                    </a:xfrm>
                    <a:prstGeom prst="rect">
                      <a:avLst/>
                    </a:prstGeom>
                  </pic:spPr>
                </pic:pic>
              </a:graphicData>
            </a:graphic>
          </wp:inline>
        </w:drawing>
      </w:r>
    </w:p>
    <w:p w14:paraId="438BD8EC" w14:textId="77777777" w:rsidR="00AC41AE" w:rsidRDefault="00000000">
      <w:pPr>
        <w:jc w:val="center"/>
      </w:pPr>
      <w:r>
        <w:rPr>
          <w:i/>
          <w:color w:val="666666"/>
          <w:sz w:val="18"/>
        </w:rPr>
        <w:t>Figure 20: Peer Benchmark — YoY Emission Reduction Performance (Indonesian Banking Sector)</w:t>
      </w:r>
    </w:p>
    <w:p w14:paraId="670DBFD5" w14:textId="77777777" w:rsidR="00AC41AE" w:rsidRDefault="00000000">
      <w:pPr>
        <w:jc w:val="center"/>
      </w:pPr>
      <w:r>
        <w:rPr>
          <w:i/>
          <w:color w:val="757575"/>
          <w:sz w:val="18"/>
        </w:rPr>
        <w:t>Institution's 4.07% reduction lags DBS (12%) and Mandiri (5.1%) — structured programs (RE100, green building, EV fleet) drive superior peer performance</w:t>
      </w:r>
    </w:p>
    <w:p w14:paraId="15853003" w14:textId="77777777" w:rsidR="00AC41AE" w:rsidRDefault="00AC41AE"/>
    <w:p w14:paraId="318FB091" w14:textId="77777777" w:rsidR="00AC41AE" w:rsidRDefault="00000000">
      <w:r>
        <w:rPr>
          <w:noProof/>
        </w:rPr>
        <w:drawing>
          <wp:inline distT="0" distB="0" distL="0" distR="0" wp14:anchorId="5712441A" wp14:editId="72CB8E41">
            <wp:extent cx="5029200" cy="304548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029200" cy="3045489"/>
                    </a:xfrm>
                    <a:prstGeom prst="rect">
                      <a:avLst/>
                    </a:prstGeom>
                  </pic:spPr>
                </pic:pic>
              </a:graphicData>
            </a:graphic>
          </wp:inline>
        </w:drawing>
      </w:r>
    </w:p>
    <w:p w14:paraId="70757D78" w14:textId="77777777" w:rsidR="00AC41AE" w:rsidRDefault="00000000">
      <w:pPr>
        <w:jc w:val="center"/>
      </w:pPr>
      <w:r>
        <w:rPr>
          <w:i/>
          <w:color w:val="666666"/>
          <w:sz w:val="18"/>
        </w:rPr>
        <w:t>Figure 21: Financed Emissions by Sector — Top 5 Contributors (2024)</w:t>
      </w:r>
    </w:p>
    <w:p w14:paraId="665B59C8" w14:textId="77777777" w:rsidR="00AC41AE" w:rsidRDefault="00000000">
      <w:pPr>
        <w:jc w:val="center"/>
      </w:pPr>
      <w:r>
        <w:rPr>
          <w:i/>
          <w:color w:val="757575"/>
          <w:sz w:val="18"/>
        </w:rPr>
        <w:t>Three sectors (Oil &amp; Gas, Cement, Steel) represent 85.93% of financed emissions but only 20.70% of portfolio — high concentration risk requiring sectoral decarbonization pathways</w:t>
      </w:r>
    </w:p>
    <w:tbl>
      <w:tblPr>
        <w:tblW w:w="0" w:type="auto"/>
        <w:jc w:val="center"/>
        <w:tblLook w:val="04A0" w:firstRow="1" w:lastRow="0" w:firstColumn="1" w:lastColumn="0" w:noHBand="0" w:noVBand="1"/>
      </w:tblPr>
      <w:tblGrid>
        <w:gridCol w:w="9029"/>
      </w:tblGrid>
      <w:tr w:rsidR="00AC41AE" w14:paraId="1D52DCD8" w14:textId="77777777">
        <w:trPr>
          <w:jc w:val="center"/>
        </w:trPr>
        <w:tc>
          <w:tcPr>
            <w:tcW w:w="9029" w:type="dxa"/>
            <w:shd w:val="clear" w:color="auto" w:fill="F2F6FA"/>
          </w:tcPr>
          <w:p w14:paraId="59902ACA" w14:textId="77777777" w:rsidR="00AC41AE" w:rsidRDefault="00000000">
            <w:r>
              <w:rPr>
                <w:b/>
                <w:color w:val="1B3A6B"/>
                <w:sz w:val="18"/>
              </w:rPr>
              <w:lastRenderedPageBreak/>
              <w:t>📊 DIAGNOSTIC ANALYSIS</w:t>
            </w:r>
          </w:p>
          <w:p w14:paraId="0AC67F1F" w14:textId="77777777" w:rsidR="00AC41AE" w:rsidRDefault="00000000">
            <w:r>
              <w:rPr>
                <w:sz w:val="20"/>
              </w:rPr>
              <w:t>The institution's emission profile reveals three structural challenges: (1) Diesel over-reliance driving Scope 1 increases despite overall reduction trend, (2) Minimal renewable energy procurement (&lt;1%) compared to peer average of 15-60%, and (3) Absence of formal reduction targets or initiative tracking, preventing attribution of observed reductions to deliberate actions. The 4.07% reduction appears to result from operational efficiency gains rather than strategic decarbonization programs. Financed emissions (99.69% of total footprint) are concentrated in three sectors (oil &amp; gas, cement, steel) representing 85.93% of Scope 3 emissions, creating portfolio transition risk.</w:t>
            </w:r>
          </w:p>
          <w:p w14:paraId="7C0785C6" w14:textId="77777777" w:rsidR="00AC41AE" w:rsidRDefault="00000000">
            <w:r>
              <w:rPr>
                <w:b/>
                <w:sz w:val="20"/>
              </w:rPr>
              <w:t>Root Causes:</w:t>
            </w:r>
          </w:p>
          <w:p w14:paraId="47A40201" w14:textId="77777777" w:rsidR="00AC41AE" w:rsidRDefault="00000000">
            <w:r>
              <w:rPr>
                <w:sz w:val="18"/>
              </w:rPr>
              <w:t>• No formal emission reduction program or science-based targets established, limiting strategic focus and accountability</w:t>
            </w:r>
          </w:p>
          <w:p w14:paraId="79EDAA9D" w14:textId="77777777" w:rsidR="00AC41AE" w:rsidRDefault="00000000">
            <w:r>
              <w:rPr>
                <w:sz w:val="18"/>
              </w:rPr>
              <w:t>• Diesel backup generators account for 64.7% of Scope 1 emissions and increased 3.66% YoY, indicating grid instability response without renewable alternatives</w:t>
            </w:r>
          </w:p>
          <w:p w14:paraId="2DB74977" w14:textId="77777777" w:rsidR="00AC41AE" w:rsidRDefault="00000000">
            <w:r>
              <w:rPr>
                <w:sz w:val="18"/>
              </w:rPr>
              <w:t>• Renewable energy procurement &lt;1% due to absence of RE100 commitment or PPA strategy, missing primary Scope 2 reduction lever</w:t>
            </w:r>
          </w:p>
          <w:p w14:paraId="6B8A1A97" w14:textId="77777777" w:rsidR="00AC41AE" w:rsidRDefault="00000000">
            <w:r>
              <w:rPr>
                <w:sz w:val="18"/>
              </w:rPr>
              <w:t>• PCAF data quality score 3.36 reflects sector-average emission factors rather than borrower-specific data, limiting financed emission management effectiveness</w:t>
            </w:r>
          </w:p>
          <w:p w14:paraId="2C2B142F" w14:textId="77777777" w:rsidR="00AC41AE" w:rsidRDefault="00000000">
            <w:r>
              <w:rPr>
                <w:sz w:val="18"/>
              </w:rPr>
              <w:t>• High-carbon sector concentration (oil &amp; gas, cement, steel = 85.93% of financed emissions) without sectoral decarbonization pathways or client engagement program</w:t>
            </w:r>
          </w:p>
          <w:p w14:paraId="0BB21656" w14:textId="77777777" w:rsidR="00AC41AE" w:rsidRDefault="00000000">
            <w:r>
              <w:rPr>
                <w:b/>
                <w:sz w:val="20"/>
              </w:rPr>
              <w:t>Risk Implications:</w:t>
            </w:r>
          </w:p>
          <w:p w14:paraId="4A0F8AC1" w14:textId="77777777" w:rsidR="00AC41AE" w:rsidRDefault="00000000">
            <w:r>
              <w:rPr>
                <w:sz w:val="18"/>
              </w:rPr>
              <w:t>• Regulatory risk: OJK SEOJK 16/2021 requires climate targets and transition plans; absence creates compliance gap and potential supervisory action</w:t>
            </w:r>
          </w:p>
          <w:p w14:paraId="514AD9B7" w14:textId="77777777" w:rsidR="00AC41AE" w:rsidRDefault="00000000">
            <w:r>
              <w:rPr>
                <w:sz w:val="18"/>
              </w:rPr>
              <w:t>• Reputational risk: Peer banks (BRI, DBS, Mandiri) have established SBTi commitments and structured programs; lagging performance may impact ESG ratings (MSCI, Sustainalytics) and investor confidence</w:t>
            </w:r>
          </w:p>
          <w:p w14:paraId="3F8F25E2" w14:textId="77777777" w:rsidR="00AC41AE" w:rsidRDefault="00000000">
            <w:r>
              <w:rPr>
                <w:sz w:val="18"/>
              </w:rPr>
              <w:t>• Financial risk: Portfolio concentration in high-carbon sectors (85.93% of financed emissions in 3 sectors) creates transition risk exposure as Indonesia implements carbon pricing and sectoral regulations</w:t>
            </w:r>
          </w:p>
          <w:p w14:paraId="71AD3839" w14:textId="77777777" w:rsidR="00AC41AE" w:rsidRDefault="00000000">
            <w:r>
              <w:rPr>
                <w:sz w:val="18"/>
              </w:rPr>
              <w:t>• Operational risk: Diesel reliance increases vulnerability to fuel price volatility and supply disruptions; missed opportunity for solar+battery cost savings and energy independence</w:t>
            </w:r>
          </w:p>
        </w:tc>
      </w:tr>
    </w:tbl>
    <w:p w14:paraId="0EEF00F2" w14:textId="77777777" w:rsidR="00AC41AE" w:rsidRDefault="00AC41AE"/>
    <w:p w14:paraId="0203F96B" w14:textId="77777777" w:rsidR="00AC41AE" w:rsidRDefault="00AC41AE"/>
    <w:p w14:paraId="6D842581" w14:textId="77777777" w:rsidR="00AC41AE" w:rsidRDefault="00000000">
      <w:r>
        <w:rPr>
          <w:b/>
          <w:color w:val="2E7D32"/>
          <w:sz w:val="24"/>
        </w:rPr>
        <w:t>⚡ Priority Actions</w:t>
      </w:r>
    </w:p>
    <w:p w14:paraId="019FC972" w14:textId="77777777" w:rsidR="00AC41AE" w:rsidRDefault="00000000">
      <w:r>
        <w:rPr>
          <w:b/>
        </w:rPr>
        <w:t>🔴 1. Submit SBTi commitment letter and establish science-based targets for operational (Scope 1+2: -50% by 2030 vs 2024) and financed emissions (sectoral pathways for oil &amp; gas, cement, steel aligned with IEA NZE)</w:t>
      </w:r>
      <w:r>
        <w:t xml:space="preserve"> (Q2 2025)</w:t>
      </w:r>
    </w:p>
    <w:p w14:paraId="69FFBD1B" w14:textId="77777777" w:rsidR="00AC41AE" w:rsidRDefault="00000000">
      <w:pPr>
        <w:spacing w:after="160"/>
      </w:pPr>
      <w:r>
        <w:t xml:space="preserve">    → Expected: Establishes credible decarbonization pathway, enhances ESG ratings, meets OJK regulatory expectations, unlocks green bond eligibility</w:t>
      </w:r>
    </w:p>
    <w:p w14:paraId="13069279" w14:textId="77777777" w:rsidR="00AC41AE" w:rsidRDefault="00000000">
      <w:pPr>
        <w:spacing w:after="160"/>
      </w:pPr>
      <w:r>
        <w:rPr>
          <w:rFonts w:ascii="Arial" w:hAnsi="Arial"/>
          <w:i/>
          <w:color w:val="646464"/>
          <w:sz w:val="18"/>
        </w:rPr>
        <w:t xml:space="preserve">    → Ref: BRI — First Indonesian FI with SBTi commitment; temperature rating pathway 3.14°C → 1.75°C by 2040 (annual reduction 0.0783°C/year)</w:t>
      </w:r>
    </w:p>
    <w:p w14:paraId="7E2DECD7" w14:textId="77777777" w:rsidR="00AC41AE" w:rsidRDefault="00000000">
      <w:r>
        <w:rPr>
          <w:b/>
        </w:rPr>
        <w:lastRenderedPageBreak/>
        <w:t>🔴 2. Install solar+battery systems at top 10 diesel-consuming facilities (FAC-0197, FAC-0198, FAC-0200, FAC-0196, FAC-0199, FAC-0193, FAC-0215, FAC-0191, FAC-0181, FAC-0208) to displace 50% of diesel consumption (target: 1,100-1,400 tCO₂e reduction)</w:t>
      </w:r>
      <w:r>
        <w:t xml:space="preserve"> (Q3-Q4 2025)</w:t>
      </w:r>
    </w:p>
    <w:p w14:paraId="42E3FFD9" w14:textId="77777777" w:rsidR="00AC41AE" w:rsidRDefault="00000000">
      <w:pPr>
        <w:spacing w:after="160"/>
      </w:pPr>
      <w:r>
        <w:t xml:space="preserve">    → Expected: 50% reduction in diesel-related Scope 1 emissions (1,100-1,400 tCO₂e annually), payback period 4-6 years, enhanced operational resilience</w:t>
      </w:r>
    </w:p>
    <w:p w14:paraId="3FDAF888" w14:textId="77777777" w:rsidR="00AC41AE" w:rsidRDefault="00000000">
      <w:pPr>
        <w:spacing w:after="160"/>
      </w:pPr>
      <w:r>
        <w:rPr>
          <w:rFonts w:ascii="Arial" w:hAnsi="Arial"/>
          <w:i/>
          <w:color w:val="646464"/>
          <w:sz w:val="18"/>
        </w:rPr>
        <w:t xml:space="preserve">    → Ref: BRI — Green Network solar panel installations across branches; BRILiaN Tower achieved 19.49% electricity savings through green building initiatives</w:t>
      </w:r>
    </w:p>
    <w:p w14:paraId="4E7D44EF" w14:textId="77777777" w:rsidR="00AC41AE" w:rsidRDefault="00000000">
      <w:r>
        <w:rPr>
          <w:b/>
        </w:rPr>
        <w:t>🔴 3. Develop sectoral decarbonization pathways for oil &amp; gas, cement, and steel (85.93% of financed emissions) using IEA NZE scenarios; launch client engagement program with top 20 emitters requiring transition plans for loans &gt;IDR 100 billion</w:t>
      </w:r>
      <w:r>
        <w:t xml:space="preserve"> (Q2-Q4 2025)</w:t>
      </w:r>
    </w:p>
    <w:p w14:paraId="36CA6243" w14:textId="77777777" w:rsidR="00AC41AE" w:rsidRDefault="00000000">
      <w:pPr>
        <w:spacing w:after="160"/>
      </w:pPr>
      <w:r>
        <w:t xml:space="preserve">    → Expected: Improved PCAF data quality score from 3.36 to &lt;3.0 by 2026, reduced portfolio climate risk, alignment with OJK SEOJK 16/2021 requirements</w:t>
      </w:r>
    </w:p>
    <w:p w14:paraId="0D286B3A" w14:textId="77777777" w:rsidR="00AC41AE" w:rsidRDefault="00000000">
      <w:pPr>
        <w:spacing w:after="160"/>
      </w:pPr>
      <w:r>
        <w:rPr>
          <w:rFonts w:ascii="Arial" w:hAnsi="Arial"/>
          <w:i/>
          <w:color w:val="646464"/>
          <w:sz w:val="18"/>
        </w:rPr>
        <w:t xml:space="preserve">    → Ref: BRI — Sectoral decarbonization pathway for power generation (NZE 2050); DBS — Multi-sector pathways with 2030 interim targets and client engagement program</w:t>
      </w:r>
    </w:p>
    <w:p w14:paraId="62A63D1A" w14:textId="77777777" w:rsidR="00AC41AE" w:rsidRDefault="00000000">
      <w:r>
        <w:rPr>
          <w:b/>
        </w:rPr>
        <w:t>🟡 4. Join RE100 initiative and negotiate power purchase agreements (PPAs) targeting 30% renewable energy by 2027; initiate with virtual PPA covering 10-15% of electricity consumption by Q1 2026</w:t>
      </w:r>
      <w:r>
        <w:t xml:space="preserve"> (Q3 2025 - Q1 2026)</w:t>
      </w:r>
    </w:p>
    <w:p w14:paraId="1E82EEA8" w14:textId="77777777" w:rsidR="00AC41AE" w:rsidRDefault="00000000">
      <w:pPr>
        <w:spacing w:after="160"/>
      </w:pPr>
      <w:r>
        <w:t xml:space="preserve">    → Expected: Reduction of 4,500-6,700 tCO₂e annually (10-15% of Scope 2) by end of 2026, enhanced corporate reputation, alignment with investor expectations</w:t>
      </w:r>
    </w:p>
    <w:p w14:paraId="200A5F33" w14:textId="77777777" w:rsidR="00AC41AE" w:rsidRDefault="00000000">
      <w:pPr>
        <w:spacing w:after="160"/>
      </w:pPr>
      <w:r>
        <w:rPr>
          <w:rFonts w:ascii="Arial" w:hAnsi="Arial"/>
          <w:i/>
          <w:color w:val="646464"/>
          <w:sz w:val="18"/>
        </w:rPr>
        <w:t xml:space="preserve">    → Ref: DBS Group — RE100 member achieving 62% renewable energy procurement; 12% YoY emission reduction through renewable energy strategy</w:t>
      </w:r>
    </w:p>
    <w:p w14:paraId="48F2FBE5" w14:textId="77777777" w:rsidR="00AC41AE" w:rsidRDefault="00AC41AE"/>
    <w:p w14:paraId="2CB66E43" w14:textId="77777777" w:rsidR="00AC41AE" w:rsidRDefault="00000000">
      <w:r>
        <w:rPr>
          <w:i/>
          <w:color w:val="3D6094"/>
          <w:sz w:val="18"/>
        </w:rPr>
        <w:t>Framework references: GRI 305-5a — GHG emissions reduced as direct result of reduction initiatives; GRI 305-5b — Gases included in calculation; GRI 305-5c — Base year or baseline; GRI 305-5d — Scopes in which reductions took place; GRI 305-5e — Standards, methodologies, assumptions used; IFRS S2 Para 33 — Quantitative and qualitative climate-related targets; IFRS S2 Para 34 — Information about targets (metrics, objective, base period); IFRS S2 Para 36 — How targets inform transition planning; ESRS E1-4 DR E1-4 — GHG emission reduction targets; ESRS E1-4 — Decarbonization levers identified; OJK POJK 51/2017 — Sustainable finance framework; OJK SEOJK 16/2021 — Climate risk management and disclosure</w:t>
      </w:r>
    </w:p>
    <w:p w14:paraId="6DB0D3A8" w14:textId="77777777" w:rsidR="00AC41AE" w:rsidRDefault="00AC41AE">
      <w:pPr>
        <w:pBdr>
          <w:bottom w:val="single" w:sz="6" w:space="1" w:color="CCCCCC"/>
        </w:pBdr>
        <w:spacing w:after="80"/>
      </w:pPr>
    </w:p>
    <w:p w14:paraId="33B4D3A3" w14:textId="77777777" w:rsidR="00AC41AE" w:rsidRDefault="00000000">
      <w:pPr>
        <w:spacing w:after="160"/>
      </w:pPr>
      <w:r>
        <w:rPr>
          <w:rFonts w:ascii="Arial" w:hAnsi="Arial"/>
          <w:i/>
          <w:color w:val="646464"/>
          <w:sz w:val="18"/>
        </w:rPr>
        <w:t>These figures have not been subject to external assurance for the current reporting period.</w:t>
      </w:r>
    </w:p>
    <w:p w14:paraId="3B27D494" w14:textId="77777777" w:rsidR="00AC41AE" w:rsidRDefault="00000000">
      <w:pPr>
        <w:spacing w:after="160"/>
      </w:pPr>
      <w:r>
        <w:rPr>
          <w:rFonts w:ascii="Arial" w:hAnsi="Arial"/>
          <w:i/>
          <w:color w:val="646464"/>
          <w:sz w:val="18"/>
        </w:rPr>
        <w:t>Year-over-year change percentages are calculated based on absolute emission values and do not account for changes in operational boundaries or consolidation approach.</w:t>
      </w:r>
    </w:p>
    <w:p w14:paraId="02130CBC" w14:textId="77777777" w:rsidR="00AC41AE" w:rsidRDefault="00000000">
      <w:pPr>
        <w:spacing w:after="160"/>
      </w:pPr>
      <w:r>
        <w:rPr>
          <w:rFonts w:ascii="Arial" w:hAnsi="Arial"/>
          <w:i/>
          <w:color w:val="646464"/>
          <w:sz w:val="18"/>
        </w:rPr>
        <w:t>Financed emissions (Scope 3 Category 15) are calculated using PCAF methodology with average data quality score 3.36, indicating reliance on sector-average emission factors.</w:t>
      </w:r>
    </w:p>
    <w:p w14:paraId="2FDC290B" w14:textId="77777777" w:rsidR="00AC41AE" w:rsidRDefault="00000000">
      <w:pPr>
        <w:spacing w:after="160"/>
      </w:pPr>
      <w:r>
        <w:rPr>
          <w:rFonts w:ascii="Arial" w:hAnsi="Arial"/>
          <w:i/>
          <w:color w:val="646464"/>
          <w:sz w:val="18"/>
        </w:rPr>
        <w:t>The minimal difference between location-based and market-based Scope 2 emissions (1.358 tCO₂e) indicates limited procurement of renewable energy certificates or contractual instruments.</w:t>
      </w:r>
    </w:p>
    <w:p w14:paraId="2C1F4CF0" w14:textId="77777777" w:rsidR="00AC41AE" w:rsidRDefault="00000000">
      <w:pPr>
        <w:spacing w:after="160"/>
      </w:pPr>
      <w:r>
        <w:rPr>
          <w:rFonts w:ascii="Arial" w:hAnsi="Arial"/>
          <w:i/>
          <w:color w:val="646464"/>
          <w:sz w:val="18"/>
        </w:rPr>
        <w:t>Scope 1 emission increases are primarily attributable to diesel consumption (backup generators), which increased 3.66% year-over-year.</w:t>
      </w:r>
    </w:p>
    <w:p w14:paraId="47D757AC" w14:textId="77777777" w:rsidR="00AC41AE" w:rsidRDefault="00000000">
      <w:r>
        <w:lastRenderedPageBreak/>
        <w:br w:type="page"/>
      </w:r>
    </w:p>
    <w:p w14:paraId="2B4B3C13" w14:textId="77777777" w:rsidR="00AC41AE" w:rsidRDefault="00000000">
      <w:pPr>
        <w:pStyle w:val="Heading1"/>
        <w:spacing w:after="240"/>
      </w:pPr>
      <w:bookmarkStart w:id="12" w:name="_Toc232152607"/>
      <w:r>
        <w:rPr>
          <w:rFonts w:ascii="Arial" w:hAnsi="Arial"/>
          <w:color w:val="1B3A6B"/>
          <w:sz w:val="36"/>
        </w:rPr>
        <w:lastRenderedPageBreak/>
        <w:t>Social Performance</w:t>
      </w:r>
      <w:bookmarkEnd w:id="12"/>
    </w:p>
    <w:p w14:paraId="004C6F89" w14:textId="77777777" w:rsidR="00AC41AE" w:rsidRDefault="00000000">
      <w:pPr>
        <w:pStyle w:val="Heading2"/>
        <w:spacing w:before="360" w:after="160"/>
      </w:pPr>
      <w:bookmarkStart w:id="13" w:name="_Toc232152608"/>
      <w:r>
        <w:rPr>
          <w:rFonts w:ascii="Arial" w:hAnsi="Arial"/>
          <w:color w:val="3D6094"/>
          <w:sz w:val="28"/>
        </w:rPr>
        <w:t>2.1 Workforce &amp; Human Capital</w:t>
      </w:r>
      <w:bookmarkEnd w:id="13"/>
    </w:p>
    <w:tbl>
      <w:tblPr>
        <w:tblW w:w="0" w:type="auto"/>
        <w:jc w:val="center"/>
        <w:tblLook w:val="04A0" w:firstRow="1" w:lastRow="0" w:firstColumn="1" w:lastColumn="0" w:noHBand="0" w:noVBand="1"/>
      </w:tblPr>
      <w:tblGrid>
        <w:gridCol w:w="2257"/>
        <w:gridCol w:w="2257"/>
        <w:gridCol w:w="2257"/>
        <w:gridCol w:w="2257"/>
      </w:tblGrid>
      <w:tr w:rsidR="00AC41AE" w14:paraId="648C4D65" w14:textId="77777777">
        <w:trPr>
          <w:jc w:val="center"/>
        </w:trPr>
        <w:tc>
          <w:tcPr>
            <w:tcW w:w="2257" w:type="dxa"/>
            <w:shd w:val="clear" w:color="auto" w:fill="F2F6FA"/>
          </w:tcPr>
          <w:p w14:paraId="0F5F8AF4" w14:textId="77777777" w:rsidR="00AC41AE" w:rsidRDefault="00000000">
            <w:pPr>
              <w:jc w:val="center"/>
            </w:pPr>
            <w:r>
              <w:rPr>
                <w:b/>
                <w:color w:val="1B3A6B"/>
                <w:sz w:val="36"/>
              </w:rPr>
              <w:t>24,997</w:t>
            </w:r>
            <w:r>
              <w:rPr>
                <w:color w:val="757575"/>
                <w:sz w:val="18"/>
              </w:rPr>
              <w:t xml:space="preserve"> FTE</w:t>
            </w:r>
            <w:r>
              <w:rPr>
                <w:b/>
                <w:color w:val="C62828"/>
                <w:sz w:val="20"/>
              </w:rPr>
              <w:br/>
              <w:t>+2.03%</w:t>
            </w:r>
          </w:p>
        </w:tc>
        <w:tc>
          <w:tcPr>
            <w:tcW w:w="2257" w:type="dxa"/>
            <w:shd w:val="clear" w:color="auto" w:fill="F2F6FA"/>
          </w:tcPr>
          <w:p w14:paraId="5F625E40" w14:textId="77777777" w:rsidR="00AC41AE" w:rsidRDefault="00000000">
            <w:pPr>
              <w:jc w:val="center"/>
            </w:pPr>
            <w:r>
              <w:rPr>
                <w:b/>
                <w:color w:val="1B3A6B"/>
                <w:sz w:val="36"/>
              </w:rPr>
              <w:t>42.32</w:t>
            </w:r>
            <w:r>
              <w:rPr>
                <w:color w:val="757575"/>
                <w:sz w:val="18"/>
              </w:rPr>
              <w:t xml:space="preserve"> %</w:t>
            </w:r>
            <w:r>
              <w:rPr>
                <w:b/>
                <w:color w:val="C62828"/>
                <w:sz w:val="20"/>
              </w:rPr>
              <w:br/>
              <w:t>-3.88pp</w:t>
            </w:r>
          </w:p>
        </w:tc>
        <w:tc>
          <w:tcPr>
            <w:tcW w:w="2257" w:type="dxa"/>
            <w:shd w:val="clear" w:color="auto" w:fill="F2F6FA"/>
          </w:tcPr>
          <w:p w14:paraId="5BC69A84" w14:textId="77777777" w:rsidR="00AC41AE" w:rsidRDefault="00000000">
            <w:pPr>
              <w:jc w:val="center"/>
            </w:pPr>
            <w:r>
              <w:rPr>
                <w:b/>
                <w:color w:val="1B3A6B"/>
                <w:sz w:val="36"/>
              </w:rPr>
              <w:t>26.67</w:t>
            </w:r>
            <w:r>
              <w:rPr>
                <w:color w:val="757575"/>
                <w:sz w:val="18"/>
              </w:rPr>
              <w:t xml:space="preserve"> %</w:t>
            </w:r>
            <w:r>
              <w:rPr>
                <w:b/>
                <w:color w:val="C62828"/>
                <w:sz w:val="20"/>
              </w:rPr>
              <w:br/>
              <w:t>-1.78pp</w:t>
            </w:r>
          </w:p>
        </w:tc>
        <w:tc>
          <w:tcPr>
            <w:tcW w:w="2257" w:type="dxa"/>
            <w:shd w:val="clear" w:color="auto" w:fill="F2F6FA"/>
          </w:tcPr>
          <w:p w14:paraId="6D22A120" w14:textId="77777777" w:rsidR="00AC41AE" w:rsidRDefault="00000000">
            <w:pPr>
              <w:jc w:val="center"/>
            </w:pPr>
            <w:r>
              <w:rPr>
                <w:b/>
                <w:color w:val="1B3A6B"/>
                <w:sz w:val="36"/>
              </w:rPr>
              <w:t>49.3</w:t>
            </w:r>
            <w:r>
              <w:rPr>
                <w:color w:val="757575"/>
                <w:sz w:val="18"/>
              </w:rPr>
              <w:t xml:space="preserve"> hours</w:t>
            </w:r>
            <w:r>
              <w:rPr>
                <w:b/>
                <w:color w:val="C62828"/>
                <w:sz w:val="20"/>
              </w:rPr>
              <w:br/>
              <w:t>-23.14%</w:t>
            </w:r>
          </w:p>
        </w:tc>
      </w:tr>
      <w:tr w:rsidR="00AC41AE" w14:paraId="69B9D658" w14:textId="77777777">
        <w:trPr>
          <w:jc w:val="center"/>
        </w:trPr>
        <w:tc>
          <w:tcPr>
            <w:tcW w:w="2257" w:type="dxa"/>
            <w:shd w:val="clear" w:color="auto" w:fill="F2F6FA"/>
          </w:tcPr>
          <w:p w14:paraId="758216CC" w14:textId="77777777" w:rsidR="00AC41AE" w:rsidRDefault="00000000">
            <w:pPr>
              <w:jc w:val="center"/>
            </w:pPr>
            <w:r>
              <w:rPr>
                <w:color w:val="757575"/>
                <w:sz w:val="16"/>
              </w:rPr>
              <w:t>Total Workforce</w:t>
            </w:r>
          </w:p>
        </w:tc>
        <w:tc>
          <w:tcPr>
            <w:tcW w:w="2257" w:type="dxa"/>
            <w:shd w:val="clear" w:color="auto" w:fill="F2F6FA"/>
          </w:tcPr>
          <w:p w14:paraId="1AB17AA9" w14:textId="77777777" w:rsidR="00AC41AE" w:rsidRDefault="00000000">
            <w:pPr>
              <w:jc w:val="center"/>
            </w:pPr>
            <w:r>
              <w:rPr>
                <w:color w:val="757575"/>
                <w:sz w:val="16"/>
              </w:rPr>
              <w:t>Female Representation</w:t>
            </w:r>
          </w:p>
        </w:tc>
        <w:tc>
          <w:tcPr>
            <w:tcW w:w="2257" w:type="dxa"/>
            <w:shd w:val="clear" w:color="auto" w:fill="F2F6FA"/>
          </w:tcPr>
          <w:p w14:paraId="25BB6443" w14:textId="77777777" w:rsidR="00AC41AE" w:rsidRDefault="00000000">
            <w:pPr>
              <w:jc w:val="center"/>
            </w:pPr>
            <w:r>
              <w:rPr>
                <w:color w:val="757575"/>
                <w:sz w:val="16"/>
              </w:rPr>
              <w:t>Women in Management</w:t>
            </w:r>
          </w:p>
        </w:tc>
        <w:tc>
          <w:tcPr>
            <w:tcW w:w="2257" w:type="dxa"/>
            <w:shd w:val="clear" w:color="auto" w:fill="F2F6FA"/>
          </w:tcPr>
          <w:p w14:paraId="21022107" w14:textId="77777777" w:rsidR="00AC41AE" w:rsidRDefault="00000000">
            <w:pPr>
              <w:jc w:val="center"/>
            </w:pPr>
            <w:r>
              <w:rPr>
                <w:color w:val="757575"/>
                <w:sz w:val="16"/>
              </w:rPr>
              <w:t>Training Hours per FTE</w:t>
            </w:r>
          </w:p>
        </w:tc>
      </w:tr>
    </w:tbl>
    <w:p w14:paraId="1960CEC7" w14:textId="77777777" w:rsidR="00AC41AE" w:rsidRDefault="00AC41AE"/>
    <w:tbl>
      <w:tblPr>
        <w:tblW w:w="0" w:type="auto"/>
        <w:jc w:val="center"/>
        <w:tblLook w:val="04A0" w:firstRow="1" w:lastRow="0" w:firstColumn="1" w:lastColumn="0" w:noHBand="0" w:noVBand="1"/>
      </w:tblPr>
      <w:tblGrid>
        <w:gridCol w:w="9029"/>
      </w:tblGrid>
      <w:tr w:rsidR="00AC41AE" w14:paraId="7A89F502" w14:textId="77777777">
        <w:trPr>
          <w:jc w:val="center"/>
        </w:trPr>
        <w:tc>
          <w:tcPr>
            <w:tcW w:w="9029" w:type="dxa"/>
            <w:shd w:val="clear" w:color="auto" w:fill="FFF8E1"/>
          </w:tcPr>
          <w:p w14:paraId="31E975D8" w14:textId="77777777" w:rsidR="00AC41AE" w:rsidRDefault="00000000">
            <w:r>
              <w:rPr>
                <w:b/>
                <w:color w:val="FF8F00"/>
                <w:sz w:val="18"/>
              </w:rPr>
              <w:t>⚠️ KEY INSIGHT</w:t>
            </w:r>
          </w:p>
          <w:p w14:paraId="645AB93B" w14:textId="77777777" w:rsidR="00AC41AE" w:rsidRDefault="00000000">
            <w:r>
              <w:rPr>
                <w:b/>
              </w:rPr>
              <w:t>Training hours fell 23% to 49.3 hrs/FTE while peers maintain 52-62 hrs — widening capability gap for ESG transition</w:t>
            </w:r>
          </w:p>
          <w:p w14:paraId="0780FD81" w14:textId="77777777" w:rsidR="00AC41AE" w:rsidRDefault="00000000">
            <w:r>
              <w:rPr>
                <w:sz w:val="20"/>
              </w:rPr>
              <w:t>The institution's training investment declined significantly in 2024, moving further below Indonesian banking benchmarks (BRI 62.4 hrs, OCBC 62.6 hrs, Mandiri 52 hrs). This reduction contradicts industry trends toward upskilling for digital transformation and sustainability competencies, creating risk of insufficient workforce readiness for climate transition and OJK SEOJK 16/2021 sustainable finance requirements. Simultaneously, female representation declined 3.88pp despite peer banks advancing gender diversity (BCA 61.6% female management).</w:t>
            </w:r>
          </w:p>
        </w:tc>
      </w:tr>
    </w:tbl>
    <w:p w14:paraId="198941F1" w14:textId="77777777" w:rsidR="00AC41AE" w:rsidRDefault="00AC41AE"/>
    <w:p w14:paraId="41B389E6" w14:textId="77777777" w:rsidR="00AC41AE" w:rsidRDefault="00000000">
      <w:pPr>
        <w:pStyle w:val="Heading3"/>
      </w:pPr>
      <w:bookmarkStart w:id="14" w:name="_Toc232152609"/>
      <w:r>
        <w:rPr>
          <w:rFonts w:ascii="Arial" w:hAnsi="Arial"/>
          <w:color w:val="4A7AB5"/>
          <w:sz w:val="24"/>
        </w:rPr>
        <w:t>Workforce Overview</w:t>
      </w:r>
      <w:bookmarkEnd w:id="14"/>
    </w:p>
    <w:p w14:paraId="1FBE241C" w14:textId="77777777" w:rsidR="00AC41AE" w:rsidRDefault="00000000">
      <w:pPr>
        <w:spacing w:after="160"/>
      </w:pPr>
      <w:r>
        <w:rPr>
          <w:rFonts w:ascii="Arial" w:hAnsi="Arial"/>
        </w:rPr>
        <w:t>As of December 31, 2024, the institution employed 24,997 full-time equivalent (FTE) employees, representing a 2.03% increase from 24,500 employees in 2023. The workforce comprised 10,579 female employees (42.32%) and 14,418 male employees (57.68%). This gender distribution reflects a 3.88 percentage point decrease in female representation compared to 2023, when women comprised 46.2% of the workforce. The headcount growth was driven by strategic expansion in digital banking operations and branch network optimization, though the pace of hiring moderated compared to the prior year's more aggressive expansion phase.</w:t>
      </w:r>
    </w:p>
    <w:p w14:paraId="5C7BFAB2" w14:textId="77777777" w:rsidR="00AC41AE" w:rsidRDefault="00000000">
      <w:pPr>
        <w:pStyle w:val="Heading3"/>
      </w:pPr>
      <w:bookmarkStart w:id="15" w:name="_Toc232152610"/>
      <w:r>
        <w:rPr>
          <w:rFonts w:ascii="Arial" w:hAnsi="Arial"/>
          <w:color w:val="4A7AB5"/>
          <w:sz w:val="24"/>
        </w:rPr>
        <w:t>Employment Practices</w:t>
      </w:r>
      <w:bookmarkEnd w:id="15"/>
    </w:p>
    <w:p w14:paraId="1B4D652B" w14:textId="77777777" w:rsidR="00AC41AE" w:rsidRDefault="00000000">
      <w:pPr>
        <w:spacing w:after="160"/>
      </w:pPr>
      <w:r>
        <w:rPr>
          <w:rFonts w:ascii="Arial" w:hAnsi="Arial"/>
        </w:rPr>
        <w:t>The institution hired 2,595 new employees during 2024, representing a hiring rate of 10.38%. This reflects a more measured recruitment approach compared to 2023, when 3,169 new hires were onboarded at a 12.93% hiring rate. Voluntary turnover improved significantly to 8.45% in 2024, down 40.66% from the 14.24% rate recorded in 2023. This substantial reduction in voluntary attrition indicates improved employee retention and satisfaction, aligning with the institution's enhanced employee value proposition initiatives implemented throughout the year. The lower turnover rate contributed to organizational stability and reduced recruitment and training costs.</w:t>
      </w:r>
    </w:p>
    <w:p w14:paraId="032EE8AF" w14:textId="77777777" w:rsidR="00AC41AE" w:rsidRDefault="00000000">
      <w:pPr>
        <w:pStyle w:val="Heading3"/>
      </w:pPr>
      <w:bookmarkStart w:id="16" w:name="_Toc232152611"/>
      <w:r>
        <w:rPr>
          <w:rFonts w:ascii="Arial" w:hAnsi="Arial"/>
          <w:color w:val="4A7AB5"/>
          <w:sz w:val="24"/>
        </w:rPr>
        <w:t>Training and Development</w:t>
      </w:r>
      <w:bookmarkEnd w:id="16"/>
    </w:p>
    <w:p w14:paraId="39A12EAF" w14:textId="77777777" w:rsidR="00AC41AE" w:rsidRDefault="00000000">
      <w:pPr>
        <w:spacing w:after="160"/>
      </w:pPr>
      <w:r>
        <w:rPr>
          <w:rFonts w:ascii="Arial" w:hAnsi="Arial"/>
        </w:rPr>
        <w:t xml:space="preserve">The institution invested 49.3 average training hours per FTE in 2024, representing a 23.14% decrease from the 64.14 hours per FTE provided in 2023. This reduction reflects a strategic shift toward more targeted, competency-based learning interventions rather than volume-driven training programs. The training curriculum encompassed technical skills development, </w:t>
      </w:r>
      <w:r>
        <w:rPr>
          <w:rFonts w:ascii="Arial" w:hAnsi="Arial"/>
        </w:rPr>
        <w:lastRenderedPageBreak/>
        <w:t>regulatory compliance, digital transformation capabilities, and sustainability awareness modules. While the absolute hours decreased, the institution maintained focus on high-impact learning experiences aligned with business priorities and employee career development pathways.</w:t>
      </w:r>
    </w:p>
    <w:p w14:paraId="7788B063" w14:textId="77777777" w:rsidR="00AC41AE" w:rsidRDefault="00000000">
      <w:pPr>
        <w:pStyle w:val="Heading3"/>
      </w:pPr>
      <w:bookmarkStart w:id="17" w:name="_Toc232152612"/>
      <w:r>
        <w:rPr>
          <w:rFonts w:ascii="Arial" w:hAnsi="Arial"/>
          <w:color w:val="4A7AB5"/>
          <w:sz w:val="24"/>
        </w:rPr>
        <w:t>Diversity and Equal Opportunity</w:t>
      </w:r>
      <w:bookmarkEnd w:id="17"/>
    </w:p>
    <w:p w14:paraId="51E3BB60" w14:textId="77777777" w:rsidR="00AC41AE" w:rsidRDefault="00000000">
      <w:pPr>
        <w:spacing w:after="160"/>
      </w:pPr>
      <w:r>
        <w:rPr>
          <w:rFonts w:ascii="Arial" w:hAnsi="Arial"/>
        </w:rPr>
        <w:t>Women represented 42.32% of the total workforce and 26.67% of management positions as of December 31, 2024. Female representation in management decreased by 1.78 percentage points from 28.45% in 2023, while overall female workforce representation declined by 3.88 percentage points from 46.2% in the prior year. These declines occurred despite the institution's stated commitment to gender diversity and equal opportunity. The institution maintains policies prohibiting discrimination based on gender, age, ethnicity, religion, or other protected characteristics, and continues to work toward improving gender balance across all organizational levels through targeted recruitment and development initiatives.</w:t>
      </w:r>
    </w:p>
    <w:p w14:paraId="289843FE" w14:textId="77777777" w:rsidR="00AC41AE" w:rsidRDefault="00000000">
      <w:pPr>
        <w:pStyle w:val="Heading3"/>
      </w:pPr>
      <w:bookmarkStart w:id="18" w:name="_Toc232152613"/>
      <w:r>
        <w:rPr>
          <w:rFonts w:ascii="Arial" w:hAnsi="Arial"/>
          <w:color w:val="4A7AB5"/>
          <w:sz w:val="24"/>
        </w:rPr>
        <w:t>Non-Discrimination and Grievance Mechanisms</w:t>
      </w:r>
      <w:bookmarkEnd w:id="18"/>
    </w:p>
    <w:p w14:paraId="7475333F" w14:textId="77777777" w:rsidR="00AC41AE" w:rsidRDefault="00000000">
      <w:pPr>
        <w:spacing w:after="160"/>
      </w:pPr>
      <w:r>
        <w:rPr>
          <w:rFonts w:ascii="Arial" w:hAnsi="Arial"/>
        </w:rPr>
        <w:t>During 2024, the institution recorded 2 cases of discrimination reported through its grievance mechanisms, compared to 3 cases in 2023. All reported cases were investigated in accordance with the institution's Code of Conduct and Human Rights Policy. Appropriate remedial actions were taken, including corrective measures, employee counseling, and policy reinforcement training for affected departments. The institution maintains a zero-tolerance approach to discrimination and harassment, with multiple confidential reporting channels available to all employees, including a whistleblowing hotline, ethics committee, and human resources escalation pathways. Continuous awareness programs reinforce the institution's commitment to maintaining a respectful and inclusive workplace environment.</w:t>
      </w:r>
    </w:p>
    <w:p w14:paraId="4F3BFF22" w14:textId="77777777" w:rsidR="00AC41AE" w:rsidRDefault="00000000">
      <w:pPr>
        <w:spacing w:after="160"/>
      </w:pPr>
      <w:r>
        <w:rPr>
          <w:rFonts w:ascii="Arial" w:hAnsi="Arial"/>
        </w:rPr>
        <w:t>The workforce metrics disclosed in this section address GRI 2-7 (Employees), GRI 401-1 (New employee hires and employee turnover), GRI 404-1 (Average hours of training per year per employee), GRI 405-1 (Diversity of governance bodies and employees), and GRI 406-1 (Incidents of discrimination and corrective actions taken). These disclosures also align with ESRS S1 (Own Workforce) requirements under the Corporate Sustainability Reporting Directive and fulfill the social pillar requirements of OJK POJK 51/2017 on the Application of Sustainable Finance for Financial Services Institutions, Issuers, and Public Companies.</w:t>
      </w:r>
    </w:p>
    <w:p w14:paraId="4BB78FF2" w14:textId="77777777" w:rsidR="00AC41AE" w:rsidRDefault="00000000">
      <w:r>
        <w:rPr>
          <w:rFonts w:ascii="Arial" w:hAnsi="Arial"/>
          <w:b/>
          <w:sz w:val="20"/>
        </w:rPr>
        <w:t>Table 42: Table 2.1.1: Workforce Composition by Gender</w:t>
      </w:r>
    </w:p>
    <w:tbl>
      <w:tblPr>
        <w:tblW w:w="0" w:type="auto"/>
        <w:jc w:val="center"/>
        <w:tblLook w:val="04A0" w:firstRow="1" w:lastRow="0" w:firstColumn="1" w:lastColumn="0" w:noHBand="0" w:noVBand="1"/>
      </w:tblPr>
      <w:tblGrid>
        <w:gridCol w:w="2257"/>
        <w:gridCol w:w="2257"/>
        <w:gridCol w:w="2257"/>
        <w:gridCol w:w="2257"/>
      </w:tblGrid>
      <w:tr w:rsidR="00AC41AE" w14:paraId="543E83A8" w14:textId="77777777">
        <w:trPr>
          <w:jc w:val="center"/>
        </w:trPr>
        <w:tc>
          <w:tcPr>
            <w:tcW w:w="2257" w:type="dxa"/>
            <w:shd w:val="clear" w:color="auto" w:fill="1B3A6B"/>
          </w:tcPr>
          <w:p w14:paraId="5C1A1386" w14:textId="77777777" w:rsidR="00AC41AE" w:rsidRDefault="00000000">
            <w:r>
              <w:rPr>
                <w:rFonts w:ascii="Arial" w:hAnsi="Arial"/>
                <w:b/>
                <w:color w:val="FFFFFF"/>
                <w:sz w:val="18"/>
              </w:rPr>
              <w:t>Metric</w:t>
            </w:r>
          </w:p>
        </w:tc>
        <w:tc>
          <w:tcPr>
            <w:tcW w:w="2257" w:type="dxa"/>
            <w:shd w:val="clear" w:color="auto" w:fill="1B3A6B"/>
          </w:tcPr>
          <w:p w14:paraId="6F6BE8FF" w14:textId="77777777" w:rsidR="00AC41AE" w:rsidRDefault="00000000">
            <w:r>
              <w:rPr>
                <w:rFonts w:ascii="Arial" w:hAnsi="Arial"/>
                <w:b/>
                <w:color w:val="FFFFFF"/>
                <w:sz w:val="18"/>
              </w:rPr>
              <w:t>2024</w:t>
            </w:r>
          </w:p>
        </w:tc>
        <w:tc>
          <w:tcPr>
            <w:tcW w:w="2257" w:type="dxa"/>
            <w:shd w:val="clear" w:color="auto" w:fill="1B3A6B"/>
          </w:tcPr>
          <w:p w14:paraId="19D67F5E" w14:textId="77777777" w:rsidR="00AC41AE" w:rsidRDefault="00000000">
            <w:r>
              <w:rPr>
                <w:rFonts w:ascii="Arial" w:hAnsi="Arial"/>
                <w:b/>
                <w:color w:val="FFFFFF"/>
                <w:sz w:val="18"/>
              </w:rPr>
              <w:t>2023</w:t>
            </w:r>
          </w:p>
        </w:tc>
        <w:tc>
          <w:tcPr>
            <w:tcW w:w="2257" w:type="dxa"/>
            <w:shd w:val="clear" w:color="auto" w:fill="1B3A6B"/>
          </w:tcPr>
          <w:p w14:paraId="54E0EF05" w14:textId="77777777" w:rsidR="00AC41AE" w:rsidRDefault="00000000">
            <w:r>
              <w:rPr>
                <w:rFonts w:ascii="Arial" w:hAnsi="Arial"/>
                <w:b/>
                <w:color w:val="FFFFFF"/>
                <w:sz w:val="18"/>
              </w:rPr>
              <w:t>Change</w:t>
            </w:r>
          </w:p>
        </w:tc>
      </w:tr>
      <w:tr w:rsidR="00AC41AE" w14:paraId="07C428D1" w14:textId="77777777">
        <w:trPr>
          <w:jc w:val="center"/>
        </w:trPr>
        <w:tc>
          <w:tcPr>
            <w:tcW w:w="2257" w:type="dxa"/>
          </w:tcPr>
          <w:p w14:paraId="7D4DB2FF" w14:textId="77777777" w:rsidR="00AC41AE" w:rsidRDefault="00000000">
            <w:r>
              <w:rPr>
                <w:rFonts w:ascii="Arial" w:hAnsi="Arial"/>
                <w:sz w:val="18"/>
              </w:rPr>
              <w:t>Total FTE Employees</w:t>
            </w:r>
          </w:p>
        </w:tc>
        <w:tc>
          <w:tcPr>
            <w:tcW w:w="2257" w:type="dxa"/>
          </w:tcPr>
          <w:p w14:paraId="28D8E137" w14:textId="77777777" w:rsidR="00AC41AE" w:rsidRDefault="00000000">
            <w:pPr>
              <w:jc w:val="right"/>
            </w:pPr>
            <w:r>
              <w:rPr>
                <w:rFonts w:ascii="Arial" w:hAnsi="Arial"/>
                <w:sz w:val="18"/>
              </w:rPr>
              <w:t>24,997</w:t>
            </w:r>
          </w:p>
        </w:tc>
        <w:tc>
          <w:tcPr>
            <w:tcW w:w="2257" w:type="dxa"/>
          </w:tcPr>
          <w:p w14:paraId="2344C922" w14:textId="77777777" w:rsidR="00AC41AE" w:rsidRDefault="00000000">
            <w:pPr>
              <w:jc w:val="right"/>
            </w:pPr>
            <w:r>
              <w:rPr>
                <w:rFonts w:ascii="Arial" w:hAnsi="Arial"/>
                <w:sz w:val="18"/>
              </w:rPr>
              <w:t>24,500</w:t>
            </w:r>
          </w:p>
        </w:tc>
        <w:tc>
          <w:tcPr>
            <w:tcW w:w="2257" w:type="dxa"/>
          </w:tcPr>
          <w:p w14:paraId="20E4E223" w14:textId="77777777" w:rsidR="00AC41AE" w:rsidRDefault="00000000">
            <w:r>
              <w:rPr>
                <w:rFonts w:ascii="Arial" w:hAnsi="Arial"/>
                <w:sz w:val="18"/>
              </w:rPr>
              <w:t>+497 (+2.03%)</w:t>
            </w:r>
          </w:p>
        </w:tc>
      </w:tr>
      <w:tr w:rsidR="00AC41AE" w14:paraId="49B510B4" w14:textId="77777777">
        <w:trPr>
          <w:jc w:val="center"/>
        </w:trPr>
        <w:tc>
          <w:tcPr>
            <w:tcW w:w="2257" w:type="dxa"/>
            <w:shd w:val="clear" w:color="auto" w:fill="F2F6FC"/>
          </w:tcPr>
          <w:p w14:paraId="0B5E9413" w14:textId="77777777" w:rsidR="00AC41AE" w:rsidRDefault="00000000">
            <w:r>
              <w:rPr>
                <w:rFonts w:ascii="Arial" w:hAnsi="Arial"/>
                <w:sz w:val="18"/>
              </w:rPr>
              <w:t>Female Employees</w:t>
            </w:r>
          </w:p>
        </w:tc>
        <w:tc>
          <w:tcPr>
            <w:tcW w:w="2257" w:type="dxa"/>
            <w:shd w:val="clear" w:color="auto" w:fill="F2F6FC"/>
          </w:tcPr>
          <w:p w14:paraId="46634E94" w14:textId="77777777" w:rsidR="00AC41AE" w:rsidRDefault="00000000">
            <w:pPr>
              <w:jc w:val="right"/>
            </w:pPr>
            <w:r>
              <w:rPr>
                <w:rFonts w:ascii="Arial" w:hAnsi="Arial"/>
                <w:sz w:val="18"/>
              </w:rPr>
              <w:t>10,579</w:t>
            </w:r>
          </w:p>
        </w:tc>
        <w:tc>
          <w:tcPr>
            <w:tcW w:w="2257" w:type="dxa"/>
            <w:shd w:val="clear" w:color="auto" w:fill="F2F6FC"/>
          </w:tcPr>
          <w:p w14:paraId="6ACA6E03" w14:textId="77777777" w:rsidR="00AC41AE" w:rsidRDefault="00000000">
            <w:pPr>
              <w:jc w:val="right"/>
            </w:pPr>
            <w:r>
              <w:rPr>
                <w:rFonts w:ascii="Arial" w:hAnsi="Arial"/>
                <w:sz w:val="18"/>
              </w:rPr>
              <w:t>11,319</w:t>
            </w:r>
          </w:p>
        </w:tc>
        <w:tc>
          <w:tcPr>
            <w:tcW w:w="2257" w:type="dxa"/>
            <w:shd w:val="clear" w:color="auto" w:fill="F2F6FC"/>
          </w:tcPr>
          <w:p w14:paraId="72EB58A8" w14:textId="77777777" w:rsidR="00AC41AE" w:rsidRDefault="00000000">
            <w:r>
              <w:rPr>
                <w:rFonts w:ascii="Arial" w:hAnsi="Arial"/>
                <w:sz w:val="18"/>
              </w:rPr>
              <w:t>-740 (-6.53%)</w:t>
            </w:r>
          </w:p>
        </w:tc>
      </w:tr>
      <w:tr w:rsidR="00AC41AE" w14:paraId="355CB88F" w14:textId="77777777">
        <w:trPr>
          <w:jc w:val="center"/>
        </w:trPr>
        <w:tc>
          <w:tcPr>
            <w:tcW w:w="2257" w:type="dxa"/>
          </w:tcPr>
          <w:p w14:paraId="424EA3FB" w14:textId="77777777" w:rsidR="00AC41AE" w:rsidRDefault="00000000">
            <w:r>
              <w:rPr>
                <w:rFonts w:ascii="Arial" w:hAnsi="Arial"/>
                <w:sz w:val="18"/>
              </w:rPr>
              <w:t>Male Employees</w:t>
            </w:r>
          </w:p>
        </w:tc>
        <w:tc>
          <w:tcPr>
            <w:tcW w:w="2257" w:type="dxa"/>
          </w:tcPr>
          <w:p w14:paraId="5DF59ED0" w14:textId="77777777" w:rsidR="00AC41AE" w:rsidRDefault="00000000">
            <w:pPr>
              <w:jc w:val="right"/>
            </w:pPr>
            <w:r>
              <w:rPr>
                <w:rFonts w:ascii="Arial" w:hAnsi="Arial"/>
                <w:sz w:val="18"/>
              </w:rPr>
              <w:t>14,418</w:t>
            </w:r>
          </w:p>
        </w:tc>
        <w:tc>
          <w:tcPr>
            <w:tcW w:w="2257" w:type="dxa"/>
          </w:tcPr>
          <w:p w14:paraId="32DA681B" w14:textId="77777777" w:rsidR="00AC41AE" w:rsidRDefault="00000000">
            <w:pPr>
              <w:jc w:val="right"/>
            </w:pPr>
            <w:r>
              <w:rPr>
                <w:rFonts w:ascii="Arial" w:hAnsi="Arial"/>
                <w:sz w:val="18"/>
              </w:rPr>
              <w:t>13,181</w:t>
            </w:r>
          </w:p>
        </w:tc>
        <w:tc>
          <w:tcPr>
            <w:tcW w:w="2257" w:type="dxa"/>
          </w:tcPr>
          <w:p w14:paraId="7FD8A5C7" w14:textId="77777777" w:rsidR="00AC41AE" w:rsidRDefault="00000000">
            <w:r>
              <w:rPr>
                <w:rFonts w:ascii="Arial" w:hAnsi="Arial"/>
                <w:sz w:val="18"/>
              </w:rPr>
              <w:t>+1,237 (+9.38%)</w:t>
            </w:r>
          </w:p>
        </w:tc>
      </w:tr>
      <w:tr w:rsidR="00AC41AE" w14:paraId="3F6EE4C2" w14:textId="77777777">
        <w:trPr>
          <w:jc w:val="center"/>
        </w:trPr>
        <w:tc>
          <w:tcPr>
            <w:tcW w:w="2257" w:type="dxa"/>
            <w:shd w:val="clear" w:color="auto" w:fill="F2F6FC"/>
          </w:tcPr>
          <w:p w14:paraId="412103C4" w14:textId="77777777" w:rsidR="00AC41AE" w:rsidRDefault="00000000">
            <w:r>
              <w:rPr>
                <w:rFonts w:ascii="Arial" w:hAnsi="Arial"/>
                <w:sz w:val="18"/>
              </w:rPr>
              <w:t>Female Representation (%)</w:t>
            </w:r>
          </w:p>
        </w:tc>
        <w:tc>
          <w:tcPr>
            <w:tcW w:w="2257" w:type="dxa"/>
            <w:shd w:val="clear" w:color="auto" w:fill="F2F6FC"/>
          </w:tcPr>
          <w:p w14:paraId="2A9A4A6D" w14:textId="77777777" w:rsidR="00AC41AE" w:rsidRDefault="00000000">
            <w:pPr>
              <w:jc w:val="right"/>
            </w:pPr>
            <w:r>
              <w:rPr>
                <w:rFonts w:ascii="Arial" w:hAnsi="Arial"/>
                <w:sz w:val="18"/>
              </w:rPr>
              <w:t>42.32%</w:t>
            </w:r>
          </w:p>
        </w:tc>
        <w:tc>
          <w:tcPr>
            <w:tcW w:w="2257" w:type="dxa"/>
            <w:shd w:val="clear" w:color="auto" w:fill="F2F6FC"/>
          </w:tcPr>
          <w:p w14:paraId="7C25F15D" w14:textId="77777777" w:rsidR="00AC41AE" w:rsidRDefault="00000000">
            <w:pPr>
              <w:jc w:val="right"/>
            </w:pPr>
            <w:r>
              <w:rPr>
                <w:rFonts w:ascii="Arial" w:hAnsi="Arial"/>
                <w:sz w:val="18"/>
              </w:rPr>
              <w:t>46.2%</w:t>
            </w:r>
          </w:p>
        </w:tc>
        <w:tc>
          <w:tcPr>
            <w:tcW w:w="2257" w:type="dxa"/>
            <w:shd w:val="clear" w:color="auto" w:fill="F2F6FC"/>
          </w:tcPr>
          <w:p w14:paraId="56A97EB6" w14:textId="77777777" w:rsidR="00AC41AE" w:rsidRDefault="00000000">
            <w:r>
              <w:rPr>
                <w:rFonts w:ascii="Arial" w:hAnsi="Arial"/>
                <w:sz w:val="18"/>
              </w:rPr>
              <w:t>-3.88pp</w:t>
            </w:r>
          </w:p>
        </w:tc>
      </w:tr>
      <w:tr w:rsidR="00AC41AE" w14:paraId="03089652" w14:textId="77777777">
        <w:trPr>
          <w:jc w:val="center"/>
        </w:trPr>
        <w:tc>
          <w:tcPr>
            <w:tcW w:w="2257" w:type="dxa"/>
          </w:tcPr>
          <w:p w14:paraId="1C4ABBBF" w14:textId="77777777" w:rsidR="00AC41AE" w:rsidRDefault="00000000">
            <w:r>
              <w:rPr>
                <w:rFonts w:ascii="Arial" w:hAnsi="Arial"/>
                <w:sz w:val="18"/>
              </w:rPr>
              <w:t>Male Representation (%)</w:t>
            </w:r>
          </w:p>
        </w:tc>
        <w:tc>
          <w:tcPr>
            <w:tcW w:w="2257" w:type="dxa"/>
          </w:tcPr>
          <w:p w14:paraId="7A115CFC" w14:textId="77777777" w:rsidR="00AC41AE" w:rsidRDefault="00000000">
            <w:pPr>
              <w:jc w:val="right"/>
            </w:pPr>
            <w:r>
              <w:rPr>
                <w:rFonts w:ascii="Arial" w:hAnsi="Arial"/>
                <w:sz w:val="18"/>
              </w:rPr>
              <w:t>57.68%</w:t>
            </w:r>
          </w:p>
        </w:tc>
        <w:tc>
          <w:tcPr>
            <w:tcW w:w="2257" w:type="dxa"/>
          </w:tcPr>
          <w:p w14:paraId="07291E25" w14:textId="77777777" w:rsidR="00AC41AE" w:rsidRDefault="00000000">
            <w:pPr>
              <w:jc w:val="right"/>
            </w:pPr>
            <w:r>
              <w:rPr>
                <w:rFonts w:ascii="Arial" w:hAnsi="Arial"/>
                <w:sz w:val="18"/>
              </w:rPr>
              <w:t>53.8%</w:t>
            </w:r>
          </w:p>
        </w:tc>
        <w:tc>
          <w:tcPr>
            <w:tcW w:w="2257" w:type="dxa"/>
          </w:tcPr>
          <w:p w14:paraId="4F7628D0" w14:textId="77777777" w:rsidR="00AC41AE" w:rsidRDefault="00000000">
            <w:r>
              <w:rPr>
                <w:rFonts w:ascii="Arial" w:hAnsi="Arial"/>
                <w:sz w:val="18"/>
              </w:rPr>
              <w:t>+3.88pp</w:t>
            </w:r>
          </w:p>
        </w:tc>
      </w:tr>
    </w:tbl>
    <w:p w14:paraId="7B7B8AB2" w14:textId="77777777" w:rsidR="00AC41AE" w:rsidRDefault="00000000">
      <w:r>
        <w:rPr>
          <w:rFonts w:ascii="Arial" w:hAnsi="Arial"/>
          <w:i/>
          <w:sz w:val="16"/>
        </w:rPr>
        <w:t>Source: Source: Institution HR system. FTE = Full-time equivalent employees as of December 31.</w:t>
      </w:r>
    </w:p>
    <w:p w14:paraId="4D84D6BC" w14:textId="77777777" w:rsidR="00AC41AE" w:rsidRDefault="00AC41AE"/>
    <w:p w14:paraId="7C2ED5D1" w14:textId="77777777" w:rsidR="00AC41AE" w:rsidRDefault="00000000">
      <w:r>
        <w:rPr>
          <w:rFonts w:ascii="Arial" w:hAnsi="Arial"/>
          <w:b/>
          <w:sz w:val="20"/>
        </w:rPr>
        <w:lastRenderedPageBreak/>
        <w:t>Table 44: Table 2.1.2: Employment Indicators</w:t>
      </w:r>
    </w:p>
    <w:tbl>
      <w:tblPr>
        <w:tblW w:w="0" w:type="auto"/>
        <w:jc w:val="center"/>
        <w:tblLook w:val="04A0" w:firstRow="1" w:lastRow="0" w:firstColumn="1" w:lastColumn="0" w:noHBand="0" w:noVBand="1"/>
      </w:tblPr>
      <w:tblGrid>
        <w:gridCol w:w="2257"/>
        <w:gridCol w:w="2257"/>
        <w:gridCol w:w="2257"/>
        <w:gridCol w:w="2257"/>
      </w:tblGrid>
      <w:tr w:rsidR="00AC41AE" w14:paraId="24598BBC" w14:textId="77777777">
        <w:trPr>
          <w:jc w:val="center"/>
        </w:trPr>
        <w:tc>
          <w:tcPr>
            <w:tcW w:w="2257" w:type="dxa"/>
            <w:shd w:val="clear" w:color="auto" w:fill="1B3A6B"/>
          </w:tcPr>
          <w:p w14:paraId="2BCDA5DE" w14:textId="77777777" w:rsidR="00AC41AE" w:rsidRDefault="00000000">
            <w:r>
              <w:rPr>
                <w:rFonts w:ascii="Arial" w:hAnsi="Arial"/>
                <w:b/>
                <w:color w:val="FFFFFF"/>
                <w:sz w:val="18"/>
              </w:rPr>
              <w:t>Metric</w:t>
            </w:r>
          </w:p>
        </w:tc>
        <w:tc>
          <w:tcPr>
            <w:tcW w:w="2257" w:type="dxa"/>
            <w:shd w:val="clear" w:color="auto" w:fill="1B3A6B"/>
          </w:tcPr>
          <w:p w14:paraId="0B6101B4" w14:textId="77777777" w:rsidR="00AC41AE" w:rsidRDefault="00000000">
            <w:r>
              <w:rPr>
                <w:rFonts w:ascii="Arial" w:hAnsi="Arial"/>
                <w:b/>
                <w:color w:val="FFFFFF"/>
                <w:sz w:val="18"/>
              </w:rPr>
              <w:t>2024</w:t>
            </w:r>
          </w:p>
        </w:tc>
        <w:tc>
          <w:tcPr>
            <w:tcW w:w="2257" w:type="dxa"/>
            <w:shd w:val="clear" w:color="auto" w:fill="1B3A6B"/>
          </w:tcPr>
          <w:p w14:paraId="238B17E1" w14:textId="77777777" w:rsidR="00AC41AE" w:rsidRDefault="00000000">
            <w:r>
              <w:rPr>
                <w:rFonts w:ascii="Arial" w:hAnsi="Arial"/>
                <w:b/>
                <w:color w:val="FFFFFF"/>
                <w:sz w:val="18"/>
              </w:rPr>
              <w:t>2023</w:t>
            </w:r>
          </w:p>
        </w:tc>
        <w:tc>
          <w:tcPr>
            <w:tcW w:w="2257" w:type="dxa"/>
            <w:shd w:val="clear" w:color="auto" w:fill="1B3A6B"/>
          </w:tcPr>
          <w:p w14:paraId="2A1FE323" w14:textId="77777777" w:rsidR="00AC41AE" w:rsidRDefault="00000000">
            <w:r>
              <w:rPr>
                <w:rFonts w:ascii="Arial" w:hAnsi="Arial"/>
                <w:b/>
                <w:color w:val="FFFFFF"/>
                <w:sz w:val="18"/>
              </w:rPr>
              <w:t>YoY Change</w:t>
            </w:r>
          </w:p>
        </w:tc>
      </w:tr>
      <w:tr w:rsidR="00AC41AE" w14:paraId="7DD6CF3C" w14:textId="77777777">
        <w:trPr>
          <w:jc w:val="center"/>
        </w:trPr>
        <w:tc>
          <w:tcPr>
            <w:tcW w:w="2257" w:type="dxa"/>
          </w:tcPr>
          <w:p w14:paraId="1A5272DB" w14:textId="77777777" w:rsidR="00AC41AE" w:rsidRDefault="00000000">
            <w:r>
              <w:rPr>
                <w:rFonts w:ascii="Arial" w:hAnsi="Arial"/>
                <w:sz w:val="18"/>
              </w:rPr>
              <w:t>New Hires</w:t>
            </w:r>
          </w:p>
        </w:tc>
        <w:tc>
          <w:tcPr>
            <w:tcW w:w="2257" w:type="dxa"/>
          </w:tcPr>
          <w:p w14:paraId="680D00F1" w14:textId="77777777" w:rsidR="00AC41AE" w:rsidRDefault="00000000">
            <w:pPr>
              <w:jc w:val="right"/>
            </w:pPr>
            <w:r>
              <w:rPr>
                <w:rFonts w:ascii="Arial" w:hAnsi="Arial"/>
                <w:sz w:val="18"/>
              </w:rPr>
              <w:t>2,595</w:t>
            </w:r>
          </w:p>
        </w:tc>
        <w:tc>
          <w:tcPr>
            <w:tcW w:w="2257" w:type="dxa"/>
          </w:tcPr>
          <w:p w14:paraId="55E9FF08" w14:textId="77777777" w:rsidR="00AC41AE" w:rsidRDefault="00000000">
            <w:pPr>
              <w:jc w:val="right"/>
            </w:pPr>
            <w:r>
              <w:rPr>
                <w:rFonts w:ascii="Arial" w:hAnsi="Arial"/>
                <w:sz w:val="18"/>
              </w:rPr>
              <w:t>3,169</w:t>
            </w:r>
          </w:p>
        </w:tc>
        <w:tc>
          <w:tcPr>
            <w:tcW w:w="2257" w:type="dxa"/>
          </w:tcPr>
          <w:p w14:paraId="0CE9BBD0" w14:textId="77777777" w:rsidR="00AC41AE" w:rsidRDefault="00000000">
            <w:r>
              <w:rPr>
                <w:rFonts w:ascii="Arial" w:hAnsi="Arial"/>
                <w:sz w:val="18"/>
              </w:rPr>
              <w:t>-574 (-18.11%)</w:t>
            </w:r>
          </w:p>
        </w:tc>
      </w:tr>
      <w:tr w:rsidR="00AC41AE" w14:paraId="3E50DB2C" w14:textId="77777777">
        <w:trPr>
          <w:jc w:val="center"/>
        </w:trPr>
        <w:tc>
          <w:tcPr>
            <w:tcW w:w="2257" w:type="dxa"/>
            <w:shd w:val="clear" w:color="auto" w:fill="F2F6FC"/>
          </w:tcPr>
          <w:p w14:paraId="34D9253D" w14:textId="77777777" w:rsidR="00AC41AE" w:rsidRDefault="00000000">
            <w:r>
              <w:rPr>
                <w:rFonts w:ascii="Arial" w:hAnsi="Arial"/>
                <w:sz w:val="18"/>
              </w:rPr>
              <w:t>Hiring Rate (%)</w:t>
            </w:r>
          </w:p>
        </w:tc>
        <w:tc>
          <w:tcPr>
            <w:tcW w:w="2257" w:type="dxa"/>
            <w:shd w:val="clear" w:color="auto" w:fill="F2F6FC"/>
          </w:tcPr>
          <w:p w14:paraId="09765321" w14:textId="77777777" w:rsidR="00AC41AE" w:rsidRDefault="00000000">
            <w:pPr>
              <w:jc w:val="right"/>
            </w:pPr>
            <w:r>
              <w:rPr>
                <w:rFonts w:ascii="Arial" w:hAnsi="Arial"/>
                <w:sz w:val="18"/>
              </w:rPr>
              <w:t>10.38%</w:t>
            </w:r>
          </w:p>
        </w:tc>
        <w:tc>
          <w:tcPr>
            <w:tcW w:w="2257" w:type="dxa"/>
            <w:shd w:val="clear" w:color="auto" w:fill="F2F6FC"/>
          </w:tcPr>
          <w:p w14:paraId="1B5FD4C9" w14:textId="77777777" w:rsidR="00AC41AE" w:rsidRDefault="00000000">
            <w:pPr>
              <w:jc w:val="right"/>
            </w:pPr>
            <w:r>
              <w:rPr>
                <w:rFonts w:ascii="Arial" w:hAnsi="Arial"/>
                <w:sz w:val="18"/>
              </w:rPr>
              <w:t>12.93%</w:t>
            </w:r>
          </w:p>
        </w:tc>
        <w:tc>
          <w:tcPr>
            <w:tcW w:w="2257" w:type="dxa"/>
            <w:shd w:val="clear" w:color="auto" w:fill="F2F6FC"/>
          </w:tcPr>
          <w:p w14:paraId="4672D48C" w14:textId="77777777" w:rsidR="00AC41AE" w:rsidRDefault="00000000">
            <w:r>
              <w:rPr>
                <w:rFonts w:ascii="Arial" w:hAnsi="Arial"/>
                <w:sz w:val="18"/>
              </w:rPr>
              <w:t>-2.55pp</w:t>
            </w:r>
          </w:p>
        </w:tc>
      </w:tr>
      <w:tr w:rsidR="00AC41AE" w14:paraId="7F30A6A1" w14:textId="77777777">
        <w:trPr>
          <w:jc w:val="center"/>
        </w:trPr>
        <w:tc>
          <w:tcPr>
            <w:tcW w:w="2257" w:type="dxa"/>
          </w:tcPr>
          <w:p w14:paraId="3EF4F86F" w14:textId="77777777" w:rsidR="00AC41AE" w:rsidRDefault="00000000">
            <w:r>
              <w:rPr>
                <w:rFonts w:ascii="Arial" w:hAnsi="Arial"/>
                <w:sz w:val="18"/>
              </w:rPr>
              <w:t>Voluntary Turnover Rate (%)</w:t>
            </w:r>
          </w:p>
        </w:tc>
        <w:tc>
          <w:tcPr>
            <w:tcW w:w="2257" w:type="dxa"/>
          </w:tcPr>
          <w:p w14:paraId="56EB7ECF" w14:textId="77777777" w:rsidR="00AC41AE" w:rsidRDefault="00000000">
            <w:pPr>
              <w:jc w:val="right"/>
            </w:pPr>
            <w:r>
              <w:rPr>
                <w:rFonts w:ascii="Arial" w:hAnsi="Arial"/>
                <w:sz w:val="18"/>
              </w:rPr>
              <w:t>8.45%</w:t>
            </w:r>
          </w:p>
        </w:tc>
        <w:tc>
          <w:tcPr>
            <w:tcW w:w="2257" w:type="dxa"/>
          </w:tcPr>
          <w:p w14:paraId="236CA5CA" w14:textId="77777777" w:rsidR="00AC41AE" w:rsidRDefault="00000000">
            <w:pPr>
              <w:jc w:val="right"/>
            </w:pPr>
            <w:r>
              <w:rPr>
                <w:rFonts w:ascii="Arial" w:hAnsi="Arial"/>
                <w:sz w:val="18"/>
              </w:rPr>
              <w:t>14.24%</w:t>
            </w:r>
          </w:p>
        </w:tc>
        <w:tc>
          <w:tcPr>
            <w:tcW w:w="2257" w:type="dxa"/>
          </w:tcPr>
          <w:p w14:paraId="1A210104" w14:textId="77777777" w:rsidR="00AC41AE" w:rsidRDefault="00000000">
            <w:r>
              <w:rPr>
                <w:rFonts w:ascii="Arial" w:hAnsi="Arial"/>
                <w:sz w:val="18"/>
              </w:rPr>
              <w:t>-5.79pp (-40.66%)</w:t>
            </w:r>
          </w:p>
        </w:tc>
      </w:tr>
      <w:tr w:rsidR="00AC41AE" w14:paraId="5CFD2EF0" w14:textId="77777777">
        <w:trPr>
          <w:jc w:val="center"/>
        </w:trPr>
        <w:tc>
          <w:tcPr>
            <w:tcW w:w="2257" w:type="dxa"/>
            <w:shd w:val="clear" w:color="auto" w:fill="F2F6FC"/>
          </w:tcPr>
          <w:p w14:paraId="087566D4" w14:textId="77777777" w:rsidR="00AC41AE" w:rsidRDefault="00000000">
            <w:r>
              <w:rPr>
                <w:rFonts w:ascii="Arial" w:hAnsi="Arial"/>
                <w:sz w:val="18"/>
              </w:rPr>
              <w:t>Involuntary Turnover Rate (%)</w:t>
            </w:r>
          </w:p>
        </w:tc>
        <w:tc>
          <w:tcPr>
            <w:tcW w:w="2257" w:type="dxa"/>
            <w:shd w:val="clear" w:color="auto" w:fill="F2F6FC"/>
          </w:tcPr>
          <w:p w14:paraId="1AF67BB4" w14:textId="77777777" w:rsidR="00AC41AE" w:rsidRDefault="00000000">
            <w:r>
              <w:rPr>
                <w:rFonts w:ascii="Arial" w:hAnsi="Arial"/>
                <w:sz w:val="18"/>
              </w:rPr>
              <w:t>Not disclosed</w:t>
            </w:r>
          </w:p>
        </w:tc>
        <w:tc>
          <w:tcPr>
            <w:tcW w:w="2257" w:type="dxa"/>
            <w:shd w:val="clear" w:color="auto" w:fill="F2F6FC"/>
          </w:tcPr>
          <w:p w14:paraId="7CF47411" w14:textId="77777777" w:rsidR="00AC41AE" w:rsidRDefault="00000000">
            <w:r>
              <w:rPr>
                <w:rFonts w:ascii="Arial" w:hAnsi="Arial"/>
                <w:sz w:val="18"/>
              </w:rPr>
              <w:t>Not disclosed</w:t>
            </w:r>
          </w:p>
        </w:tc>
        <w:tc>
          <w:tcPr>
            <w:tcW w:w="2257" w:type="dxa"/>
            <w:shd w:val="clear" w:color="auto" w:fill="F2F6FC"/>
          </w:tcPr>
          <w:p w14:paraId="49159B8C" w14:textId="77777777" w:rsidR="00AC41AE" w:rsidRDefault="00000000">
            <w:r>
              <w:rPr>
                <w:rFonts w:ascii="Arial" w:hAnsi="Arial"/>
                <w:sz w:val="18"/>
              </w:rPr>
              <w:t>—</w:t>
            </w:r>
          </w:p>
        </w:tc>
      </w:tr>
    </w:tbl>
    <w:p w14:paraId="77FE884C" w14:textId="77777777" w:rsidR="00AC41AE" w:rsidRDefault="00000000">
      <w:r>
        <w:rPr>
          <w:rFonts w:ascii="Arial" w:hAnsi="Arial"/>
          <w:i/>
          <w:sz w:val="16"/>
        </w:rPr>
        <w:t>Source: Source: Institution HR system. Hiring rate = (New hires / Average headcount) × 100. Voluntary turnover rate = (Voluntary departures / Average headcount) × 100.</w:t>
      </w:r>
    </w:p>
    <w:p w14:paraId="7ABFC703" w14:textId="77777777" w:rsidR="00AC41AE" w:rsidRDefault="00AC41AE"/>
    <w:p w14:paraId="2A42C496" w14:textId="77777777" w:rsidR="00AC41AE" w:rsidRDefault="00000000">
      <w:r>
        <w:rPr>
          <w:rFonts w:ascii="Arial" w:hAnsi="Arial"/>
          <w:b/>
          <w:sz w:val="20"/>
        </w:rPr>
        <w:t>Table 46: Table 2.1.3: Training and Development Metrics</w:t>
      </w:r>
    </w:p>
    <w:tbl>
      <w:tblPr>
        <w:tblW w:w="0" w:type="auto"/>
        <w:jc w:val="center"/>
        <w:tblLook w:val="04A0" w:firstRow="1" w:lastRow="0" w:firstColumn="1" w:lastColumn="0" w:noHBand="0" w:noVBand="1"/>
      </w:tblPr>
      <w:tblGrid>
        <w:gridCol w:w="2257"/>
        <w:gridCol w:w="2257"/>
        <w:gridCol w:w="2257"/>
        <w:gridCol w:w="2257"/>
      </w:tblGrid>
      <w:tr w:rsidR="00AC41AE" w14:paraId="2B10DFD2" w14:textId="77777777">
        <w:trPr>
          <w:jc w:val="center"/>
        </w:trPr>
        <w:tc>
          <w:tcPr>
            <w:tcW w:w="2257" w:type="dxa"/>
            <w:shd w:val="clear" w:color="auto" w:fill="1B3A6B"/>
          </w:tcPr>
          <w:p w14:paraId="5E7C8A21" w14:textId="77777777" w:rsidR="00AC41AE" w:rsidRDefault="00000000">
            <w:r>
              <w:rPr>
                <w:rFonts w:ascii="Arial" w:hAnsi="Arial"/>
                <w:b/>
                <w:color w:val="FFFFFF"/>
                <w:sz w:val="18"/>
              </w:rPr>
              <w:t>Metric</w:t>
            </w:r>
          </w:p>
        </w:tc>
        <w:tc>
          <w:tcPr>
            <w:tcW w:w="2257" w:type="dxa"/>
            <w:shd w:val="clear" w:color="auto" w:fill="1B3A6B"/>
          </w:tcPr>
          <w:p w14:paraId="6ACBF372" w14:textId="77777777" w:rsidR="00AC41AE" w:rsidRDefault="00000000">
            <w:r>
              <w:rPr>
                <w:rFonts w:ascii="Arial" w:hAnsi="Arial"/>
                <w:b/>
                <w:color w:val="FFFFFF"/>
                <w:sz w:val="18"/>
              </w:rPr>
              <w:t>2024</w:t>
            </w:r>
          </w:p>
        </w:tc>
        <w:tc>
          <w:tcPr>
            <w:tcW w:w="2257" w:type="dxa"/>
            <w:shd w:val="clear" w:color="auto" w:fill="1B3A6B"/>
          </w:tcPr>
          <w:p w14:paraId="2D4745FD" w14:textId="77777777" w:rsidR="00AC41AE" w:rsidRDefault="00000000">
            <w:r>
              <w:rPr>
                <w:rFonts w:ascii="Arial" w:hAnsi="Arial"/>
                <w:b/>
                <w:color w:val="FFFFFF"/>
                <w:sz w:val="18"/>
              </w:rPr>
              <w:t>2023</w:t>
            </w:r>
          </w:p>
        </w:tc>
        <w:tc>
          <w:tcPr>
            <w:tcW w:w="2257" w:type="dxa"/>
            <w:shd w:val="clear" w:color="auto" w:fill="1B3A6B"/>
          </w:tcPr>
          <w:p w14:paraId="2254D234" w14:textId="77777777" w:rsidR="00AC41AE" w:rsidRDefault="00000000">
            <w:r>
              <w:rPr>
                <w:rFonts w:ascii="Arial" w:hAnsi="Arial"/>
                <w:b/>
                <w:color w:val="FFFFFF"/>
                <w:sz w:val="18"/>
              </w:rPr>
              <w:t>YoY Change</w:t>
            </w:r>
          </w:p>
        </w:tc>
      </w:tr>
      <w:tr w:rsidR="00AC41AE" w14:paraId="21F649BF" w14:textId="77777777">
        <w:trPr>
          <w:jc w:val="center"/>
        </w:trPr>
        <w:tc>
          <w:tcPr>
            <w:tcW w:w="2257" w:type="dxa"/>
          </w:tcPr>
          <w:p w14:paraId="41674757" w14:textId="77777777" w:rsidR="00AC41AE" w:rsidRDefault="00000000">
            <w:r>
              <w:rPr>
                <w:rFonts w:ascii="Arial" w:hAnsi="Arial"/>
                <w:sz w:val="18"/>
              </w:rPr>
              <w:t>Average Training Hours per FTE</w:t>
            </w:r>
          </w:p>
        </w:tc>
        <w:tc>
          <w:tcPr>
            <w:tcW w:w="2257" w:type="dxa"/>
          </w:tcPr>
          <w:p w14:paraId="3228BC75" w14:textId="77777777" w:rsidR="00AC41AE" w:rsidRDefault="00000000">
            <w:pPr>
              <w:jc w:val="right"/>
            </w:pPr>
            <w:r>
              <w:rPr>
                <w:rFonts w:ascii="Arial" w:hAnsi="Arial"/>
                <w:sz w:val="18"/>
              </w:rPr>
              <w:t>49.3</w:t>
            </w:r>
          </w:p>
        </w:tc>
        <w:tc>
          <w:tcPr>
            <w:tcW w:w="2257" w:type="dxa"/>
          </w:tcPr>
          <w:p w14:paraId="5FD2A4E6" w14:textId="77777777" w:rsidR="00AC41AE" w:rsidRDefault="00000000">
            <w:pPr>
              <w:jc w:val="right"/>
            </w:pPr>
            <w:r>
              <w:rPr>
                <w:rFonts w:ascii="Arial" w:hAnsi="Arial"/>
                <w:sz w:val="18"/>
              </w:rPr>
              <w:t>64.14</w:t>
            </w:r>
          </w:p>
        </w:tc>
        <w:tc>
          <w:tcPr>
            <w:tcW w:w="2257" w:type="dxa"/>
          </w:tcPr>
          <w:p w14:paraId="2F0D07F0" w14:textId="77777777" w:rsidR="00AC41AE" w:rsidRDefault="00000000">
            <w:r>
              <w:rPr>
                <w:rFonts w:ascii="Arial" w:hAnsi="Arial"/>
                <w:sz w:val="18"/>
              </w:rPr>
              <w:t>-14.84 (-23.14%)</w:t>
            </w:r>
          </w:p>
        </w:tc>
      </w:tr>
      <w:tr w:rsidR="00AC41AE" w14:paraId="0E07C277" w14:textId="77777777">
        <w:trPr>
          <w:jc w:val="center"/>
        </w:trPr>
        <w:tc>
          <w:tcPr>
            <w:tcW w:w="2257" w:type="dxa"/>
            <w:shd w:val="clear" w:color="auto" w:fill="F2F6FC"/>
          </w:tcPr>
          <w:p w14:paraId="0077E9C6" w14:textId="77777777" w:rsidR="00AC41AE" w:rsidRDefault="00000000">
            <w:r>
              <w:rPr>
                <w:rFonts w:ascii="Arial" w:hAnsi="Arial"/>
                <w:sz w:val="18"/>
              </w:rPr>
              <w:t>Total Training Hours (estimated)</w:t>
            </w:r>
          </w:p>
        </w:tc>
        <w:tc>
          <w:tcPr>
            <w:tcW w:w="2257" w:type="dxa"/>
            <w:shd w:val="clear" w:color="auto" w:fill="F2F6FC"/>
          </w:tcPr>
          <w:p w14:paraId="13500C0D" w14:textId="77777777" w:rsidR="00AC41AE" w:rsidRDefault="00000000">
            <w:pPr>
              <w:jc w:val="right"/>
            </w:pPr>
            <w:r>
              <w:rPr>
                <w:rFonts w:ascii="Arial" w:hAnsi="Arial"/>
                <w:sz w:val="18"/>
              </w:rPr>
              <w:t>1,232,332</w:t>
            </w:r>
          </w:p>
        </w:tc>
        <w:tc>
          <w:tcPr>
            <w:tcW w:w="2257" w:type="dxa"/>
            <w:shd w:val="clear" w:color="auto" w:fill="F2F6FC"/>
          </w:tcPr>
          <w:p w14:paraId="00EB0E44" w14:textId="77777777" w:rsidR="00AC41AE" w:rsidRDefault="00000000">
            <w:pPr>
              <w:jc w:val="right"/>
            </w:pPr>
            <w:r>
              <w:rPr>
                <w:rFonts w:ascii="Arial" w:hAnsi="Arial"/>
                <w:sz w:val="18"/>
              </w:rPr>
              <w:t>1,571,430</w:t>
            </w:r>
          </w:p>
        </w:tc>
        <w:tc>
          <w:tcPr>
            <w:tcW w:w="2257" w:type="dxa"/>
            <w:shd w:val="clear" w:color="auto" w:fill="F2F6FC"/>
          </w:tcPr>
          <w:p w14:paraId="548F06E1" w14:textId="77777777" w:rsidR="00AC41AE" w:rsidRDefault="00000000">
            <w:pPr>
              <w:jc w:val="right"/>
            </w:pPr>
            <w:r>
              <w:rPr>
                <w:rFonts w:ascii="Arial" w:hAnsi="Arial"/>
                <w:sz w:val="18"/>
              </w:rPr>
              <w:t>-339,098</w:t>
            </w:r>
          </w:p>
        </w:tc>
      </w:tr>
      <w:tr w:rsidR="00AC41AE" w14:paraId="32A8F3CD" w14:textId="77777777">
        <w:trPr>
          <w:jc w:val="center"/>
        </w:trPr>
        <w:tc>
          <w:tcPr>
            <w:tcW w:w="2257" w:type="dxa"/>
          </w:tcPr>
          <w:p w14:paraId="5ABC18F5" w14:textId="77777777" w:rsidR="00AC41AE" w:rsidRDefault="00000000">
            <w:r>
              <w:rPr>
                <w:rFonts w:ascii="Arial" w:hAnsi="Arial"/>
                <w:sz w:val="18"/>
              </w:rPr>
              <w:t>Training Investment per FTE</w:t>
            </w:r>
          </w:p>
        </w:tc>
        <w:tc>
          <w:tcPr>
            <w:tcW w:w="2257" w:type="dxa"/>
          </w:tcPr>
          <w:p w14:paraId="7D166503" w14:textId="77777777" w:rsidR="00AC41AE" w:rsidRDefault="00000000">
            <w:r>
              <w:rPr>
                <w:rFonts w:ascii="Arial" w:hAnsi="Arial"/>
                <w:sz w:val="18"/>
              </w:rPr>
              <w:t>Not disclosed</w:t>
            </w:r>
          </w:p>
        </w:tc>
        <w:tc>
          <w:tcPr>
            <w:tcW w:w="2257" w:type="dxa"/>
          </w:tcPr>
          <w:p w14:paraId="5F2E2783" w14:textId="77777777" w:rsidR="00AC41AE" w:rsidRDefault="00000000">
            <w:r>
              <w:rPr>
                <w:rFonts w:ascii="Arial" w:hAnsi="Arial"/>
                <w:sz w:val="18"/>
              </w:rPr>
              <w:t>Not disclosed</w:t>
            </w:r>
          </w:p>
        </w:tc>
        <w:tc>
          <w:tcPr>
            <w:tcW w:w="2257" w:type="dxa"/>
          </w:tcPr>
          <w:p w14:paraId="08AEBD83" w14:textId="77777777" w:rsidR="00AC41AE" w:rsidRDefault="00000000">
            <w:r>
              <w:rPr>
                <w:rFonts w:ascii="Arial" w:hAnsi="Arial"/>
                <w:sz w:val="18"/>
              </w:rPr>
              <w:t>—</w:t>
            </w:r>
          </w:p>
        </w:tc>
      </w:tr>
    </w:tbl>
    <w:p w14:paraId="169DD591" w14:textId="77777777" w:rsidR="00AC41AE" w:rsidRDefault="00000000">
      <w:r>
        <w:rPr>
          <w:rFonts w:ascii="Arial" w:hAnsi="Arial"/>
          <w:i/>
          <w:sz w:val="16"/>
        </w:rPr>
        <w:t>Source: Source: Institution Learning &amp; Development system. Total training hours estimated as average hours × FTE count.</w:t>
      </w:r>
    </w:p>
    <w:p w14:paraId="4016EA33" w14:textId="77777777" w:rsidR="00AC41AE" w:rsidRDefault="00AC41AE"/>
    <w:p w14:paraId="4A238E27" w14:textId="77777777" w:rsidR="00AC41AE" w:rsidRDefault="00000000">
      <w:r>
        <w:rPr>
          <w:rFonts w:ascii="Arial" w:hAnsi="Arial"/>
          <w:b/>
          <w:sz w:val="20"/>
        </w:rPr>
        <w:t>Table 48: Table 2.1.4: Diversity Indicators</w:t>
      </w:r>
    </w:p>
    <w:tbl>
      <w:tblPr>
        <w:tblW w:w="0" w:type="auto"/>
        <w:jc w:val="center"/>
        <w:tblLook w:val="04A0" w:firstRow="1" w:lastRow="0" w:firstColumn="1" w:lastColumn="0" w:noHBand="0" w:noVBand="1"/>
      </w:tblPr>
      <w:tblGrid>
        <w:gridCol w:w="2257"/>
        <w:gridCol w:w="2257"/>
        <w:gridCol w:w="2257"/>
        <w:gridCol w:w="2257"/>
      </w:tblGrid>
      <w:tr w:rsidR="00AC41AE" w14:paraId="39E2EAD0" w14:textId="77777777">
        <w:trPr>
          <w:jc w:val="center"/>
        </w:trPr>
        <w:tc>
          <w:tcPr>
            <w:tcW w:w="2257" w:type="dxa"/>
            <w:shd w:val="clear" w:color="auto" w:fill="1B3A6B"/>
          </w:tcPr>
          <w:p w14:paraId="51115006" w14:textId="77777777" w:rsidR="00AC41AE" w:rsidRDefault="00000000">
            <w:r>
              <w:rPr>
                <w:rFonts w:ascii="Arial" w:hAnsi="Arial"/>
                <w:b/>
                <w:color w:val="FFFFFF"/>
                <w:sz w:val="18"/>
              </w:rPr>
              <w:t>Metric</w:t>
            </w:r>
          </w:p>
        </w:tc>
        <w:tc>
          <w:tcPr>
            <w:tcW w:w="2257" w:type="dxa"/>
            <w:shd w:val="clear" w:color="auto" w:fill="1B3A6B"/>
          </w:tcPr>
          <w:p w14:paraId="2037D890" w14:textId="77777777" w:rsidR="00AC41AE" w:rsidRDefault="00000000">
            <w:r>
              <w:rPr>
                <w:rFonts w:ascii="Arial" w:hAnsi="Arial"/>
                <w:b/>
                <w:color w:val="FFFFFF"/>
                <w:sz w:val="18"/>
              </w:rPr>
              <w:t>2024</w:t>
            </w:r>
          </w:p>
        </w:tc>
        <w:tc>
          <w:tcPr>
            <w:tcW w:w="2257" w:type="dxa"/>
            <w:shd w:val="clear" w:color="auto" w:fill="1B3A6B"/>
          </w:tcPr>
          <w:p w14:paraId="197BD2BF" w14:textId="77777777" w:rsidR="00AC41AE" w:rsidRDefault="00000000">
            <w:r>
              <w:rPr>
                <w:rFonts w:ascii="Arial" w:hAnsi="Arial"/>
                <w:b/>
                <w:color w:val="FFFFFF"/>
                <w:sz w:val="18"/>
              </w:rPr>
              <w:t>2023</w:t>
            </w:r>
          </w:p>
        </w:tc>
        <w:tc>
          <w:tcPr>
            <w:tcW w:w="2257" w:type="dxa"/>
            <w:shd w:val="clear" w:color="auto" w:fill="1B3A6B"/>
          </w:tcPr>
          <w:p w14:paraId="3E50B956" w14:textId="77777777" w:rsidR="00AC41AE" w:rsidRDefault="00000000">
            <w:r>
              <w:rPr>
                <w:rFonts w:ascii="Arial" w:hAnsi="Arial"/>
                <w:b/>
                <w:color w:val="FFFFFF"/>
                <w:sz w:val="18"/>
              </w:rPr>
              <w:t>Change</w:t>
            </w:r>
          </w:p>
        </w:tc>
      </w:tr>
      <w:tr w:rsidR="00AC41AE" w14:paraId="0EC42486" w14:textId="77777777">
        <w:trPr>
          <w:jc w:val="center"/>
        </w:trPr>
        <w:tc>
          <w:tcPr>
            <w:tcW w:w="2257" w:type="dxa"/>
          </w:tcPr>
          <w:p w14:paraId="51570DD8" w14:textId="77777777" w:rsidR="00AC41AE" w:rsidRDefault="00000000">
            <w:r>
              <w:rPr>
                <w:rFonts w:ascii="Arial" w:hAnsi="Arial"/>
                <w:sz w:val="18"/>
              </w:rPr>
              <w:t>Female Representation — Overall (%)</w:t>
            </w:r>
          </w:p>
        </w:tc>
        <w:tc>
          <w:tcPr>
            <w:tcW w:w="2257" w:type="dxa"/>
          </w:tcPr>
          <w:p w14:paraId="13BB00F9" w14:textId="77777777" w:rsidR="00AC41AE" w:rsidRDefault="00000000">
            <w:pPr>
              <w:jc w:val="right"/>
            </w:pPr>
            <w:r>
              <w:rPr>
                <w:rFonts w:ascii="Arial" w:hAnsi="Arial"/>
                <w:sz w:val="18"/>
              </w:rPr>
              <w:t>42.32%</w:t>
            </w:r>
          </w:p>
        </w:tc>
        <w:tc>
          <w:tcPr>
            <w:tcW w:w="2257" w:type="dxa"/>
          </w:tcPr>
          <w:p w14:paraId="0820FA58" w14:textId="77777777" w:rsidR="00AC41AE" w:rsidRDefault="00000000">
            <w:pPr>
              <w:jc w:val="right"/>
            </w:pPr>
            <w:r>
              <w:rPr>
                <w:rFonts w:ascii="Arial" w:hAnsi="Arial"/>
                <w:sz w:val="18"/>
              </w:rPr>
              <w:t>46.2%</w:t>
            </w:r>
          </w:p>
        </w:tc>
        <w:tc>
          <w:tcPr>
            <w:tcW w:w="2257" w:type="dxa"/>
          </w:tcPr>
          <w:p w14:paraId="7430CA0C" w14:textId="77777777" w:rsidR="00AC41AE" w:rsidRDefault="00000000">
            <w:r>
              <w:rPr>
                <w:rFonts w:ascii="Arial" w:hAnsi="Arial"/>
                <w:sz w:val="18"/>
              </w:rPr>
              <w:t>-3.88pp</w:t>
            </w:r>
          </w:p>
        </w:tc>
      </w:tr>
      <w:tr w:rsidR="00AC41AE" w14:paraId="7226A238" w14:textId="77777777">
        <w:trPr>
          <w:jc w:val="center"/>
        </w:trPr>
        <w:tc>
          <w:tcPr>
            <w:tcW w:w="2257" w:type="dxa"/>
            <w:shd w:val="clear" w:color="auto" w:fill="F2F6FC"/>
          </w:tcPr>
          <w:p w14:paraId="15B9ED64" w14:textId="77777777" w:rsidR="00AC41AE" w:rsidRDefault="00000000">
            <w:r>
              <w:rPr>
                <w:rFonts w:ascii="Arial" w:hAnsi="Arial"/>
                <w:sz w:val="18"/>
              </w:rPr>
              <w:t>Female Representation — Management (%)</w:t>
            </w:r>
          </w:p>
        </w:tc>
        <w:tc>
          <w:tcPr>
            <w:tcW w:w="2257" w:type="dxa"/>
            <w:shd w:val="clear" w:color="auto" w:fill="F2F6FC"/>
          </w:tcPr>
          <w:p w14:paraId="18D4DE76" w14:textId="77777777" w:rsidR="00AC41AE" w:rsidRDefault="00000000">
            <w:pPr>
              <w:jc w:val="right"/>
            </w:pPr>
            <w:r>
              <w:rPr>
                <w:rFonts w:ascii="Arial" w:hAnsi="Arial"/>
                <w:sz w:val="18"/>
              </w:rPr>
              <w:t>26.67%</w:t>
            </w:r>
          </w:p>
        </w:tc>
        <w:tc>
          <w:tcPr>
            <w:tcW w:w="2257" w:type="dxa"/>
            <w:shd w:val="clear" w:color="auto" w:fill="F2F6FC"/>
          </w:tcPr>
          <w:p w14:paraId="39671322" w14:textId="77777777" w:rsidR="00AC41AE" w:rsidRDefault="00000000">
            <w:pPr>
              <w:jc w:val="right"/>
            </w:pPr>
            <w:r>
              <w:rPr>
                <w:rFonts w:ascii="Arial" w:hAnsi="Arial"/>
                <w:sz w:val="18"/>
              </w:rPr>
              <w:t>28.45%</w:t>
            </w:r>
          </w:p>
        </w:tc>
        <w:tc>
          <w:tcPr>
            <w:tcW w:w="2257" w:type="dxa"/>
            <w:shd w:val="clear" w:color="auto" w:fill="F2F6FC"/>
          </w:tcPr>
          <w:p w14:paraId="4255D705" w14:textId="77777777" w:rsidR="00AC41AE" w:rsidRDefault="00000000">
            <w:r>
              <w:rPr>
                <w:rFonts w:ascii="Arial" w:hAnsi="Arial"/>
                <w:sz w:val="18"/>
              </w:rPr>
              <w:t>-1.78pp</w:t>
            </w:r>
          </w:p>
        </w:tc>
      </w:tr>
      <w:tr w:rsidR="00AC41AE" w14:paraId="57C8498D" w14:textId="77777777">
        <w:trPr>
          <w:jc w:val="center"/>
        </w:trPr>
        <w:tc>
          <w:tcPr>
            <w:tcW w:w="2257" w:type="dxa"/>
          </w:tcPr>
          <w:p w14:paraId="4F2A4284" w14:textId="77777777" w:rsidR="00AC41AE" w:rsidRDefault="00000000">
            <w:r>
              <w:rPr>
                <w:rFonts w:ascii="Arial" w:hAnsi="Arial"/>
                <w:sz w:val="18"/>
              </w:rPr>
              <w:t>Male Representation — Overall (%)</w:t>
            </w:r>
          </w:p>
        </w:tc>
        <w:tc>
          <w:tcPr>
            <w:tcW w:w="2257" w:type="dxa"/>
          </w:tcPr>
          <w:p w14:paraId="2346ABAE" w14:textId="77777777" w:rsidR="00AC41AE" w:rsidRDefault="00000000">
            <w:pPr>
              <w:jc w:val="right"/>
            </w:pPr>
            <w:r>
              <w:rPr>
                <w:rFonts w:ascii="Arial" w:hAnsi="Arial"/>
                <w:sz w:val="18"/>
              </w:rPr>
              <w:t>57.68%</w:t>
            </w:r>
          </w:p>
        </w:tc>
        <w:tc>
          <w:tcPr>
            <w:tcW w:w="2257" w:type="dxa"/>
          </w:tcPr>
          <w:p w14:paraId="6934F100" w14:textId="77777777" w:rsidR="00AC41AE" w:rsidRDefault="00000000">
            <w:pPr>
              <w:jc w:val="right"/>
            </w:pPr>
            <w:r>
              <w:rPr>
                <w:rFonts w:ascii="Arial" w:hAnsi="Arial"/>
                <w:sz w:val="18"/>
              </w:rPr>
              <w:t>53.8%</w:t>
            </w:r>
          </w:p>
        </w:tc>
        <w:tc>
          <w:tcPr>
            <w:tcW w:w="2257" w:type="dxa"/>
          </w:tcPr>
          <w:p w14:paraId="2F0E6F15" w14:textId="77777777" w:rsidR="00AC41AE" w:rsidRDefault="00000000">
            <w:r>
              <w:rPr>
                <w:rFonts w:ascii="Arial" w:hAnsi="Arial"/>
                <w:sz w:val="18"/>
              </w:rPr>
              <w:t>+3.88pp</w:t>
            </w:r>
          </w:p>
        </w:tc>
      </w:tr>
      <w:tr w:rsidR="00AC41AE" w14:paraId="1C67543C" w14:textId="77777777">
        <w:trPr>
          <w:jc w:val="center"/>
        </w:trPr>
        <w:tc>
          <w:tcPr>
            <w:tcW w:w="2257" w:type="dxa"/>
            <w:shd w:val="clear" w:color="auto" w:fill="F2F6FC"/>
          </w:tcPr>
          <w:p w14:paraId="39BA86A8" w14:textId="77777777" w:rsidR="00AC41AE" w:rsidRDefault="00000000">
            <w:r>
              <w:rPr>
                <w:rFonts w:ascii="Arial" w:hAnsi="Arial"/>
                <w:sz w:val="18"/>
              </w:rPr>
              <w:t>Male Representation — Management (%)</w:t>
            </w:r>
          </w:p>
        </w:tc>
        <w:tc>
          <w:tcPr>
            <w:tcW w:w="2257" w:type="dxa"/>
            <w:shd w:val="clear" w:color="auto" w:fill="F2F6FC"/>
          </w:tcPr>
          <w:p w14:paraId="43CCAC1B" w14:textId="77777777" w:rsidR="00AC41AE" w:rsidRDefault="00000000">
            <w:pPr>
              <w:jc w:val="right"/>
            </w:pPr>
            <w:r>
              <w:rPr>
                <w:rFonts w:ascii="Arial" w:hAnsi="Arial"/>
                <w:sz w:val="18"/>
              </w:rPr>
              <w:t>73.33%</w:t>
            </w:r>
          </w:p>
        </w:tc>
        <w:tc>
          <w:tcPr>
            <w:tcW w:w="2257" w:type="dxa"/>
            <w:shd w:val="clear" w:color="auto" w:fill="F2F6FC"/>
          </w:tcPr>
          <w:p w14:paraId="1DF34FD1" w14:textId="77777777" w:rsidR="00AC41AE" w:rsidRDefault="00000000">
            <w:pPr>
              <w:jc w:val="right"/>
            </w:pPr>
            <w:r>
              <w:rPr>
                <w:rFonts w:ascii="Arial" w:hAnsi="Arial"/>
                <w:sz w:val="18"/>
              </w:rPr>
              <w:t>71.55%</w:t>
            </w:r>
          </w:p>
        </w:tc>
        <w:tc>
          <w:tcPr>
            <w:tcW w:w="2257" w:type="dxa"/>
            <w:shd w:val="clear" w:color="auto" w:fill="F2F6FC"/>
          </w:tcPr>
          <w:p w14:paraId="1A49CDC2" w14:textId="77777777" w:rsidR="00AC41AE" w:rsidRDefault="00000000">
            <w:r>
              <w:rPr>
                <w:rFonts w:ascii="Arial" w:hAnsi="Arial"/>
                <w:sz w:val="18"/>
              </w:rPr>
              <w:t>+1.78pp</w:t>
            </w:r>
          </w:p>
        </w:tc>
      </w:tr>
    </w:tbl>
    <w:p w14:paraId="43174396" w14:textId="77777777" w:rsidR="00AC41AE" w:rsidRDefault="00000000">
      <w:r>
        <w:rPr>
          <w:rFonts w:ascii="Arial" w:hAnsi="Arial"/>
          <w:i/>
          <w:sz w:val="16"/>
        </w:rPr>
        <w:t>Source: Source: Institution HR system. Management includes all supervisory, middle management, and senior leadership positions.</w:t>
      </w:r>
    </w:p>
    <w:p w14:paraId="6E889766" w14:textId="77777777" w:rsidR="00AC41AE" w:rsidRDefault="00AC41AE"/>
    <w:p w14:paraId="09250FF5" w14:textId="77777777" w:rsidR="00AC41AE" w:rsidRDefault="00000000">
      <w:r>
        <w:rPr>
          <w:rFonts w:ascii="Arial" w:hAnsi="Arial"/>
          <w:b/>
          <w:sz w:val="20"/>
        </w:rPr>
        <w:t>Table 50: Table 2.1.5: Non-Discrimination Incidents</w:t>
      </w:r>
    </w:p>
    <w:tbl>
      <w:tblPr>
        <w:tblW w:w="0" w:type="auto"/>
        <w:jc w:val="center"/>
        <w:tblLook w:val="04A0" w:firstRow="1" w:lastRow="0" w:firstColumn="1" w:lastColumn="0" w:noHBand="0" w:noVBand="1"/>
      </w:tblPr>
      <w:tblGrid>
        <w:gridCol w:w="3010"/>
        <w:gridCol w:w="3010"/>
        <w:gridCol w:w="3010"/>
      </w:tblGrid>
      <w:tr w:rsidR="00AC41AE" w14:paraId="5E3F3953" w14:textId="77777777">
        <w:trPr>
          <w:jc w:val="center"/>
        </w:trPr>
        <w:tc>
          <w:tcPr>
            <w:tcW w:w="3010" w:type="dxa"/>
            <w:shd w:val="clear" w:color="auto" w:fill="1B3A6B"/>
          </w:tcPr>
          <w:p w14:paraId="6DE1CCB1" w14:textId="77777777" w:rsidR="00AC41AE" w:rsidRDefault="00000000">
            <w:r>
              <w:rPr>
                <w:rFonts w:ascii="Arial" w:hAnsi="Arial"/>
                <w:b/>
                <w:color w:val="FFFFFF"/>
                <w:sz w:val="18"/>
              </w:rPr>
              <w:t>Metric</w:t>
            </w:r>
          </w:p>
        </w:tc>
        <w:tc>
          <w:tcPr>
            <w:tcW w:w="3010" w:type="dxa"/>
            <w:shd w:val="clear" w:color="auto" w:fill="1B3A6B"/>
          </w:tcPr>
          <w:p w14:paraId="0A76A654" w14:textId="77777777" w:rsidR="00AC41AE" w:rsidRDefault="00000000">
            <w:r>
              <w:rPr>
                <w:rFonts w:ascii="Arial" w:hAnsi="Arial"/>
                <w:b/>
                <w:color w:val="FFFFFF"/>
                <w:sz w:val="18"/>
              </w:rPr>
              <w:t>2024</w:t>
            </w:r>
          </w:p>
        </w:tc>
        <w:tc>
          <w:tcPr>
            <w:tcW w:w="3010" w:type="dxa"/>
            <w:shd w:val="clear" w:color="auto" w:fill="1B3A6B"/>
          </w:tcPr>
          <w:p w14:paraId="04D79A18" w14:textId="77777777" w:rsidR="00AC41AE" w:rsidRDefault="00000000">
            <w:r>
              <w:rPr>
                <w:rFonts w:ascii="Arial" w:hAnsi="Arial"/>
                <w:b/>
                <w:color w:val="FFFFFF"/>
                <w:sz w:val="18"/>
              </w:rPr>
              <w:t>2023</w:t>
            </w:r>
          </w:p>
        </w:tc>
      </w:tr>
      <w:tr w:rsidR="00AC41AE" w14:paraId="64658488" w14:textId="77777777">
        <w:trPr>
          <w:jc w:val="center"/>
        </w:trPr>
        <w:tc>
          <w:tcPr>
            <w:tcW w:w="3010" w:type="dxa"/>
          </w:tcPr>
          <w:p w14:paraId="3A86FE3E" w14:textId="77777777" w:rsidR="00AC41AE" w:rsidRDefault="00000000">
            <w:r>
              <w:rPr>
                <w:rFonts w:ascii="Arial" w:hAnsi="Arial"/>
                <w:sz w:val="18"/>
              </w:rPr>
              <w:lastRenderedPageBreak/>
              <w:t>Discrimination Cases Reported</w:t>
            </w:r>
          </w:p>
        </w:tc>
        <w:tc>
          <w:tcPr>
            <w:tcW w:w="3010" w:type="dxa"/>
          </w:tcPr>
          <w:p w14:paraId="67D4693D" w14:textId="77777777" w:rsidR="00AC41AE" w:rsidRDefault="00000000">
            <w:pPr>
              <w:jc w:val="right"/>
            </w:pPr>
            <w:r>
              <w:rPr>
                <w:rFonts w:ascii="Arial" w:hAnsi="Arial"/>
                <w:sz w:val="18"/>
              </w:rPr>
              <w:t>2</w:t>
            </w:r>
          </w:p>
        </w:tc>
        <w:tc>
          <w:tcPr>
            <w:tcW w:w="3010" w:type="dxa"/>
          </w:tcPr>
          <w:p w14:paraId="5AD62565" w14:textId="77777777" w:rsidR="00AC41AE" w:rsidRDefault="00000000">
            <w:pPr>
              <w:jc w:val="right"/>
            </w:pPr>
            <w:r>
              <w:rPr>
                <w:rFonts w:ascii="Arial" w:hAnsi="Arial"/>
                <w:sz w:val="18"/>
              </w:rPr>
              <w:t>3</w:t>
            </w:r>
          </w:p>
        </w:tc>
      </w:tr>
      <w:tr w:rsidR="00AC41AE" w14:paraId="0E16B904" w14:textId="77777777">
        <w:trPr>
          <w:jc w:val="center"/>
        </w:trPr>
        <w:tc>
          <w:tcPr>
            <w:tcW w:w="3010" w:type="dxa"/>
            <w:shd w:val="clear" w:color="auto" w:fill="F2F6FC"/>
          </w:tcPr>
          <w:p w14:paraId="259A4461" w14:textId="77777777" w:rsidR="00AC41AE" w:rsidRDefault="00000000">
            <w:r>
              <w:rPr>
                <w:rFonts w:ascii="Arial" w:hAnsi="Arial"/>
                <w:sz w:val="18"/>
              </w:rPr>
              <w:t>Cases Investigated</w:t>
            </w:r>
          </w:p>
        </w:tc>
        <w:tc>
          <w:tcPr>
            <w:tcW w:w="3010" w:type="dxa"/>
            <w:shd w:val="clear" w:color="auto" w:fill="F2F6FC"/>
          </w:tcPr>
          <w:p w14:paraId="2A3DF117" w14:textId="77777777" w:rsidR="00AC41AE" w:rsidRDefault="00000000">
            <w:pPr>
              <w:jc w:val="right"/>
            </w:pPr>
            <w:r>
              <w:rPr>
                <w:rFonts w:ascii="Arial" w:hAnsi="Arial"/>
                <w:sz w:val="18"/>
              </w:rPr>
              <w:t>2</w:t>
            </w:r>
          </w:p>
        </w:tc>
        <w:tc>
          <w:tcPr>
            <w:tcW w:w="3010" w:type="dxa"/>
            <w:shd w:val="clear" w:color="auto" w:fill="F2F6FC"/>
          </w:tcPr>
          <w:p w14:paraId="2556CD82" w14:textId="77777777" w:rsidR="00AC41AE" w:rsidRDefault="00000000">
            <w:pPr>
              <w:jc w:val="right"/>
            </w:pPr>
            <w:r>
              <w:rPr>
                <w:rFonts w:ascii="Arial" w:hAnsi="Arial"/>
                <w:sz w:val="18"/>
              </w:rPr>
              <w:t>3</w:t>
            </w:r>
          </w:p>
        </w:tc>
      </w:tr>
      <w:tr w:rsidR="00AC41AE" w14:paraId="69EEFAE3" w14:textId="77777777">
        <w:trPr>
          <w:jc w:val="center"/>
        </w:trPr>
        <w:tc>
          <w:tcPr>
            <w:tcW w:w="3010" w:type="dxa"/>
          </w:tcPr>
          <w:p w14:paraId="18C47831" w14:textId="77777777" w:rsidR="00AC41AE" w:rsidRDefault="00000000">
            <w:r>
              <w:rPr>
                <w:rFonts w:ascii="Arial" w:hAnsi="Arial"/>
                <w:sz w:val="18"/>
              </w:rPr>
              <w:t>Cases Substantiated</w:t>
            </w:r>
          </w:p>
        </w:tc>
        <w:tc>
          <w:tcPr>
            <w:tcW w:w="3010" w:type="dxa"/>
          </w:tcPr>
          <w:p w14:paraId="4443A9F2" w14:textId="77777777" w:rsidR="00AC41AE" w:rsidRDefault="00000000">
            <w:pPr>
              <w:jc w:val="right"/>
            </w:pPr>
            <w:r>
              <w:rPr>
                <w:rFonts w:ascii="Arial" w:hAnsi="Arial"/>
                <w:sz w:val="18"/>
              </w:rPr>
              <w:t>2</w:t>
            </w:r>
          </w:p>
        </w:tc>
        <w:tc>
          <w:tcPr>
            <w:tcW w:w="3010" w:type="dxa"/>
          </w:tcPr>
          <w:p w14:paraId="72DB80F4" w14:textId="77777777" w:rsidR="00AC41AE" w:rsidRDefault="00000000">
            <w:pPr>
              <w:jc w:val="right"/>
            </w:pPr>
            <w:r>
              <w:rPr>
                <w:rFonts w:ascii="Arial" w:hAnsi="Arial"/>
                <w:sz w:val="18"/>
              </w:rPr>
              <w:t>3</w:t>
            </w:r>
          </w:p>
        </w:tc>
      </w:tr>
      <w:tr w:rsidR="00AC41AE" w14:paraId="03CA1856" w14:textId="77777777">
        <w:trPr>
          <w:jc w:val="center"/>
        </w:trPr>
        <w:tc>
          <w:tcPr>
            <w:tcW w:w="3010" w:type="dxa"/>
            <w:shd w:val="clear" w:color="auto" w:fill="F2F6FC"/>
          </w:tcPr>
          <w:p w14:paraId="101BC630" w14:textId="77777777" w:rsidR="00AC41AE" w:rsidRDefault="00000000">
            <w:r>
              <w:rPr>
                <w:rFonts w:ascii="Arial" w:hAnsi="Arial"/>
                <w:sz w:val="18"/>
              </w:rPr>
              <w:t>Remedial Actions Taken</w:t>
            </w:r>
          </w:p>
        </w:tc>
        <w:tc>
          <w:tcPr>
            <w:tcW w:w="3010" w:type="dxa"/>
            <w:shd w:val="clear" w:color="auto" w:fill="F2F6FC"/>
          </w:tcPr>
          <w:p w14:paraId="148ECC3F" w14:textId="77777777" w:rsidR="00AC41AE" w:rsidRDefault="00000000">
            <w:pPr>
              <w:jc w:val="right"/>
            </w:pPr>
            <w:r>
              <w:rPr>
                <w:rFonts w:ascii="Arial" w:hAnsi="Arial"/>
                <w:sz w:val="18"/>
              </w:rPr>
              <w:t>2</w:t>
            </w:r>
          </w:p>
        </w:tc>
        <w:tc>
          <w:tcPr>
            <w:tcW w:w="3010" w:type="dxa"/>
            <w:shd w:val="clear" w:color="auto" w:fill="F2F6FC"/>
          </w:tcPr>
          <w:p w14:paraId="453E5831" w14:textId="77777777" w:rsidR="00AC41AE" w:rsidRDefault="00000000">
            <w:pPr>
              <w:jc w:val="right"/>
            </w:pPr>
            <w:r>
              <w:rPr>
                <w:rFonts w:ascii="Arial" w:hAnsi="Arial"/>
                <w:sz w:val="18"/>
              </w:rPr>
              <w:t>3</w:t>
            </w:r>
          </w:p>
        </w:tc>
      </w:tr>
      <w:tr w:rsidR="00AC41AE" w14:paraId="7A84B317" w14:textId="77777777">
        <w:trPr>
          <w:jc w:val="center"/>
        </w:trPr>
        <w:tc>
          <w:tcPr>
            <w:tcW w:w="3010" w:type="dxa"/>
          </w:tcPr>
          <w:p w14:paraId="7B14481F" w14:textId="77777777" w:rsidR="00AC41AE" w:rsidRDefault="00000000">
            <w:r>
              <w:rPr>
                <w:rFonts w:ascii="Arial" w:hAnsi="Arial"/>
                <w:sz w:val="18"/>
              </w:rPr>
              <w:t>Cases Pending Resolution</w:t>
            </w:r>
          </w:p>
        </w:tc>
        <w:tc>
          <w:tcPr>
            <w:tcW w:w="3010" w:type="dxa"/>
          </w:tcPr>
          <w:p w14:paraId="541FC5E5" w14:textId="77777777" w:rsidR="00AC41AE" w:rsidRDefault="00000000">
            <w:pPr>
              <w:jc w:val="right"/>
            </w:pPr>
            <w:r>
              <w:rPr>
                <w:rFonts w:ascii="Arial" w:hAnsi="Arial"/>
                <w:sz w:val="18"/>
              </w:rPr>
              <w:t>0</w:t>
            </w:r>
          </w:p>
        </w:tc>
        <w:tc>
          <w:tcPr>
            <w:tcW w:w="3010" w:type="dxa"/>
          </w:tcPr>
          <w:p w14:paraId="61F7CD1D" w14:textId="77777777" w:rsidR="00AC41AE" w:rsidRDefault="00000000">
            <w:pPr>
              <w:jc w:val="right"/>
            </w:pPr>
            <w:r>
              <w:rPr>
                <w:rFonts w:ascii="Arial" w:hAnsi="Arial"/>
                <w:sz w:val="18"/>
              </w:rPr>
              <w:t>0</w:t>
            </w:r>
          </w:p>
        </w:tc>
      </w:tr>
    </w:tbl>
    <w:p w14:paraId="4FD7663A" w14:textId="77777777" w:rsidR="00AC41AE" w:rsidRDefault="00000000">
      <w:r>
        <w:rPr>
          <w:rFonts w:ascii="Arial" w:hAnsi="Arial"/>
          <w:i/>
          <w:sz w:val="16"/>
        </w:rPr>
        <w:t>Source: Source: Institution Ethics &amp; Compliance system. All reported cases were investigated and resolved within the reporting period.</w:t>
      </w:r>
    </w:p>
    <w:p w14:paraId="15799611" w14:textId="77777777" w:rsidR="00AC41AE" w:rsidRDefault="00AC41AE"/>
    <w:p w14:paraId="747EB93A" w14:textId="77777777" w:rsidR="00AC41AE" w:rsidRDefault="00000000">
      <w:r>
        <w:rPr>
          <w:rFonts w:ascii="Arial" w:hAnsi="Arial"/>
          <w:b/>
          <w:sz w:val="20"/>
        </w:rPr>
        <w:t>Table 52: Table 2.1.6: Framework Cross-Reference</w:t>
      </w:r>
    </w:p>
    <w:tbl>
      <w:tblPr>
        <w:tblW w:w="0" w:type="auto"/>
        <w:jc w:val="center"/>
        <w:tblLook w:val="04A0" w:firstRow="1" w:lastRow="0" w:firstColumn="1" w:lastColumn="0" w:noHBand="0" w:noVBand="1"/>
      </w:tblPr>
      <w:tblGrid>
        <w:gridCol w:w="2257"/>
        <w:gridCol w:w="2257"/>
        <w:gridCol w:w="2257"/>
        <w:gridCol w:w="2257"/>
      </w:tblGrid>
      <w:tr w:rsidR="00AC41AE" w14:paraId="6C351155" w14:textId="77777777">
        <w:trPr>
          <w:jc w:val="center"/>
        </w:trPr>
        <w:tc>
          <w:tcPr>
            <w:tcW w:w="2257" w:type="dxa"/>
            <w:shd w:val="clear" w:color="auto" w:fill="1B3A6B"/>
          </w:tcPr>
          <w:p w14:paraId="3C94E8F8" w14:textId="77777777" w:rsidR="00AC41AE" w:rsidRDefault="00000000">
            <w:r>
              <w:rPr>
                <w:rFonts w:ascii="Arial" w:hAnsi="Arial"/>
                <w:b/>
                <w:color w:val="FFFFFF"/>
                <w:sz w:val="18"/>
              </w:rPr>
              <w:t>Framework</w:t>
            </w:r>
          </w:p>
        </w:tc>
        <w:tc>
          <w:tcPr>
            <w:tcW w:w="2257" w:type="dxa"/>
            <w:shd w:val="clear" w:color="auto" w:fill="1B3A6B"/>
          </w:tcPr>
          <w:p w14:paraId="37BA5886" w14:textId="77777777" w:rsidR="00AC41AE" w:rsidRDefault="00000000">
            <w:r>
              <w:rPr>
                <w:rFonts w:ascii="Arial" w:hAnsi="Arial"/>
                <w:b/>
                <w:color w:val="FFFFFF"/>
                <w:sz w:val="18"/>
              </w:rPr>
              <w:t>Disclosure Ref</w:t>
            </w:r>
          </w:p>
        </w:tc>
        <w:tc>
          <w:tcPr>
            <w:tcW w:w="2257" w:type="dxa"/>
            <w:shd w:val="clear" w:color="auto" w:fill="1B3A6B"/>
          </w:tcPr>
          <w:p w14:paraId="02E2CBC6" w14:textId="77777777" w:rsidR="00AC41AE" w:rsidRDefault="00000000">
            <w:r>
              <w:rPr>
                <w:rFonts w:ascii="Arial" w:hAnsi="Arial"/>
                <w:b/>
                <w:color w:val="FFFFFF"/>
                <w:sz w:val="18"/>
              </w:rPr>
              <w:t>Requirement</w:t>
            </w:r>
          </w:p>
        </w:tc>
        <w:tc>
          <w:tcPr>
            <w:tcW w:w="2257" w:type="dxa"/>
            <w:shd w:val="clear" w:color="auto" w:fill="1B3A6B"/>
          </w:tcPr>
          <w:p w14:paraId="51B01C28" w14:textId="77777777" w:rsidR="00AC41AE" w:rsidRDefault="00000000">
            <w:r>
              <w:rPr>
                <w:rFonts w:ascii="Arial" w:hAnsi="Arial"/>
                <w:b/>
                <w:color w:val="FFFFFF"/>
                <w:sz w:val="18"/>
              </w:rPr>
              <w:t>Status</w:t>
            </w:r>
          </w:p>
        </w:tc>
      </w:tr>
      <w:tr w:rsidR="00AC41AE" w14:paraId="77CEE274" w14:textId="77777777">
        <w:trPr>
          <w:jc w:val="center"/>
        </w:trPr>
        <w:tc>
          <w:tcPr>
            <w:tcW w:w="2257" w:type="dxa"/>
          </w:tcPr>
          <w:p w14:paraId="4AE6E2D0" w14:textId="77777777" w:rsidR="00AC41AE" w:rsidRDefault="00000000">
            <w:r>
              <w:rPr>
                <w:rFonts w:ascii="Arial" w:hAnsi="Arial"/>
                <w:sz w:val="18"/>
              </w:rPr>
              <w:t>GRI 2-7</w:t>
            </w:r>
          </w:p>
        </w:tc>
        <w:tc>
          <w:tcPr>
            <w:tcW w:w="2257" w:type="dxa"/>
          </w:tcPr>
          <w:p w14:paraId="16982600" w14:textId="77777777" w:rsidR="00AC41AE" w:rsidRDefault="00000000">
            <w:r>
              <w:rPr>
                <w:rFonts w:ascii="Arial" w:hAnsi="Arial"/>
                <w:sz w:val="18"/>
              </w:rPr>
              <w:t>2-7a</w:t>
            </w:r>
          </w:p>
        </w:tc>
        <w:tc>
          <w:tcPr>
            <w:tcW w:w="2257" w:type="dxa"/>
          </w:tcPr>
          <w:p w14:paraId="65F678B5" w14:textId="77777777" w:rsidR="00AC41AE" w:rsidRDefault="00000000">
            <w:r>
              <w:rPr>
                <w:rFonts w:ascii="Arial" w:hAnsi="Arial"/>
                <w:sz w:val="18"/>
              </w:rPr>
              <w:t>Total employees by gender</w:t>
            </w:r>
          </w:p>
        </w:tc>
        <w:tc>
          <w:tcPr>
            <w:tcW w:w="2257" w:type="dxa"/>
          </w:tcPr>
          <w:p w14:paraId="3B81A620" w14:textId="77777777" w:rsidR="00AC41AE" w:rsidRDefault="00000000">
            <w:r>
              <w:rPr>
                <w:rFonts w:ascii="Arial" w:hAnsi="Arial"/>
                <w:sz w:val="18"/>
              </w:rPr>
              <w:t>✅ Disclosed</w:t>
            </w:r>
          </w:p>
        </w:tc>
      </w:tr>
      <w:tr w:rsidR="00AC41AE" w14:paraId="453FBA9D" w14:textId="77777777">
        <w:trPr>
          <w:jc w:val="center"/>
        </w:trPr>
        <w:tc>
          <w:tcPr>
            <w:tcW w:w="2257" w:type="dxa"/>
            <w:shd w:val="clear" w:color="auto" w:fill="F2F6FC"/>
          </w:tcPr>
          <w:p w14:paraId="56D26B42" w14:textId="77777777" w:rsidR="00AC41AE" w:rsidRDefault="00000000">
            <w:r>
              <w:rPr>
                <w:rFonts w:ascii="Arial" w:hAnsi="Arial"/>
                <w:sz w:val="18"/>
              </w:rPr>
              <w:t>GRI 401-1</w:t>
            </w:r>
          </w:p>
        </w:tc>
        <w:tc>
          <w:tcPr>
            <w:tcW w:w="2257" w:type="dxa"/>
            <w:shd w:val="clear" w:color="auto" w:fill="F2F6FC"/>
          </w:tcPr>
          <w:p w14:paraId="6169AB33" w14:textId="77777777" w:rsidR="00AC41AE" w:rsidRDefault="00000000">
            <w:r>
              <w:rPr>
                <w:rFonts w:ascii="Arial" w:hAnsi="Arial"/>
                <w:sz w:val="18"/>
              </w:rPr>
              <w:t>401-1a</w:t>
            </w:r>
          </w:p>
        </w:tc>
        <w:tc>
          <w:tcPr>
            <w:tcW w:w="2257" w:type="dxa"/>
            <w:shd w:val="clear" w:color="auto" w:fill="F2F6FC"/>
          </w:tcPr>
          <w:p w14:paraId="2DD9B6C5" w14:textId="77777777" w:rsidR="00AC41AE" w:rsidRDefault="00000000">
            <w:r>
              <w:rPr>
                <w:rFonts w:ascii="Arial" w:hAnsi="Arial"/>
                <w:sz w:val="18"/>
              </w:rPr>
              <w:t>New hires by gender</w:t>
            </w:r>
          </w:p>
        </w:tc>
        <w:tc>
          <w:tcPr>
            <w:tcW w:w="2257" w:type="dxa"/>
            <w:shd w:val="clear" w:color="auto" w:fill="F2F6FC"/>
          </w:tcPr>
          <w:p w14:paraId="144564FB" w14:textId="77777777" w:rsidR="00AC41AE" w:rsidRDefault="00000000">
            <w:r>
              <w:rPr>
                <w:rFonts w:ascii="Arial" w:hAnsi="Arial"/>
                <w:sz w:val="18"/>
              </w:rPr>
              <w:t>✅ Disclosed (aggregate)</w:t>
            </w:r>
          </w:p>
        </w:tc>
      </w:tr>
      <w:tr w:rsidR="00AC41AE" w14:paraId="671C150C" w14:textId="77777777">
        <w:trPr>
          <w:jc w:val="center"/>
        </w:trPr>
        <w:tc>
          <w:tcPr>
            <w:tcW w:w="2257" w:type="dxa"/>
          </w:tcPr>
          <w:p w14:paraId="38E6F32D" w14:textId="77777777" w:rsidR="00AC41AE" w:rsidRDefault="00000000">
            <w:r>
              <w:rPr>
                <w:rFonts w:ascii="Arial" w:hAnsi="Arial"/>
                <w:sz w:val="18"/>
              </w:rPr>
              <w:t>GRI 401-1</w:t>
            </w:r>
          </w:p>
        </w:tc>
        <w:tc>
          <w:tcPr>
            <w:tcW w:w="2257" w:type="dxa"/>
          </w:tcPr>
          <w:p w14:paraId="0F0BCC88" w14:textId="77777777" w:rsidR="00AC41AE" w:rsidRDefault="00000000">
            <w:r>
              <w:rPr>
                <w:rFonts w:ascii="Arial" w:hAnsi="Arial"/>
                <w:sz w:val="18"/>
              </w:rPr>
              <w:t>401-1b</w:t>
            </w:r>
          </w:p>
        </w:tc>
        <w:tc>
          <w:tcPr>
            <w:tcW w:w="2257" w:type="dxa"/>
          </w:tcPr>
          <w:p w14:paraId="52B24650" w14:textId="77777777" w:rsidR="00AC41AE" w:rsidRDefault="00000000">
            <w:r>
              <w:rPr>
                <w:rFonts w:ascii="Arial" w:hAnsi="Arial"/>
                <w:sz w:val="18"/>
              </w:rPr>
              <w:t>Employee turnover</w:t>
            </w:r>
          </w:p>
        </w:tc>
        <w:tc>
          <w:tcPr>
            <w:tcW w:w="2257" w:type="dxa"/>
          </w:tcPr>
          <w:p w14:paraId="1C403ACA" w14:textId="77777777" w:rsidR="00AC41AE" w:rsidRDefault="00000000">
            <w:r>
              <w:rPr>
                <w:rFonts w:ascii="Arial" w:hAnsi="Arial"/>
                <w:sz w:val="18"/>
              </w:rPr>
              <w:t>✅ Disclosed</w:t>
            </w:r>
          </w:p>
        </w:tc>
      </w:tr>
      <w:tr w:rsidR="00AC41AE" w14:paraId="1E271DF4" w14:textId="77777777">
        <w:trPr>
          <w:jc w:val="center"/>
        </w:trPr>
        <w:tc>
          <w:tcPr>
            <w:tcW w:w="2257" w:type="dxa"/>
            <w:shd w:val="clear" w:color="auto" w:fill="F2F6FC"/>
          </w:tcPr>
          <w:p w14:paraId="3B605A02" w14:textId="77777777" w:rsidR="00AC41AE" w:rsidRDefault="00000000">
            <w:r>
              <w:rPr>
                <w:rFonts w:ascii="Arial" w:hAnsi="Arial"/>
                <w:sz w:val="18"/>
              </w:rPr>
              <w:t>GRI 404-1</w:t>
            </w:r>
          </w:p>
        </w:tc>
        <w:tc>
          <w:tcPr>
            <w:tcW w:w="2257" w:type="dxa"/>
            <w:shd w:val="clear" w:color="auto" w:fill="F2F6FC"/>
          </w:tcPr>
          <w:p w14:paraId="7A69C0BC" w14:textId="77777777" w:rsidR="00AC41AE" w:rsidRDefault="00000000">
            <w:r>
              <w:rPr>
                <w:rFonts w:ascii="Arial" w:hAnsi="Arial"/>
                <w:sz w:val="18"/>
              </w:rPr>
              <w:t>404-1a</w:t>
            </w:r>
          </w:p>
        </w:tc>
        <w:tc>
          <w:tcPr>
            <w:tcW w:w="2257" w:type="dxa"/>
            <w:shd w:val="clear" w:color="auto" w:fill="F2F6FC"/>
          </w:tcPr>
          <w:p w14:paraId="4613ED79" w14:textId="77777777" w:rsidR="00AC41AE" w:rsidRDefault="00000000">
            <w:r>
              <w:rPr>
                <w:rFonts w:ascii="Arial" w:hAnsi="Arial"/>
                <w:sz w:val="18"/>
              </w:rPr>
              <w:t>Average training hours per employee</w:t>
            </w:r>
          </w:p>
        </w:tc>
        <w:tc>
          <w:tcPr>
            <w:tcW w:w="2257" w:type="dxa"/>
            <w:shd w:val="clear" w:color="auto" w:fill="F2F6FC"/>
          </w:tcPr>
          <w:p w14:paraId="058A1A7F" w14:textId="77777777" w:rsidR="00AC41AE" w:rsidRDefault="00000000">
            <w:r>
              <w:rPr>
                <w:rFonts w:ascii="Arial" w:hAnsi="Arial"/>
                <w:sz w:val="18"/>
              </w:rPr>
              <w:t>✅ Disclosed</w:t>
            </w:r>
          </w:p>
        </w:tc>
      </w:tr>
      <w:tr w:rsidR="00AC41AE" w14:paraId="4F59E75F" w14:textId="77777777">
        <w:trPr>
          <w:jc w:val="center"/>
        </w:trPr>
        <w:tc>
          <w:tcPr>
            <w:tcW w:w="2257" w:type="dxa"/>
          </w:tcPr>
          <w:p w14:paraId="5DB4ECBC" w14:textId="77777777" w:rsidR="00AC41AE" w:rsidRDefault="00000000">
            <w:r>
              <w:rPr>
                <w:rFonts w:ascii="Arial" w:hAnsi="Arial"/>
                <w:sz w:val="18"/>
              </w:rPr>
              <w:t>GRI 404-1</w:t>
            </w:r>
          </w:p>
        </w:tc>
        <w:tc>
          <w:tcPr>
            <w:tcW w:w="2257" w:type="dxa"/>
          </w:tcPr>
          <w:p w14:paraId="00EAD300" w14:textId="77777777" w:rsidR="00AC41AE" w:rsidRDefault="00000000">
            <w:r>
              <w:rPr>
                <w:rFonts w:ascii="Arial" w:hAnsi="Arial"/>
                <w:sz w:val="18"/>
              </w:rPr>
              <w:t>404-1b</w:t>
            </w:r>
          </w:p>
        </w:tc>
        <w:tc>
          <w:tcPr>
            <w:tcW w:w="2257" w:type="dxa"/>
          </w:tcPr>
          <w:p w14:paraId="4BAD4D4A" w14:textId="77777777" w:rsidR="00AC41AE" w:rsidRDefault="00000000">
            <w:r>
              <w:rPr>
                <w:rFonts w:ascii="Arial" w:hAnsi="Arial"/>
                <w:sz w:val="18"/>
              </w:rPr>
              <w:t>Training hours by gender</w:t>
            </w:r>
          </w:p>
        </w:tc>
        <w:tc>
          <w:tcPr>
            <w:tcW w:w="2257" w:type="dxa"/>
          </w:tcPr>
          <w:p w14:paraId="527AE2C1" w14:textId="77777777" w:rsidR="00AC41AE" w:rsidRDefault="00000000">
            <w:r>
              <w:rPr>
                <w:rFonts w:ascii="Arial" w:hAnsi="Arial"/>
                <w:sz w:val="18"/>
              </w:rPr>
              <w:t>⚠️ Not yet captured</w:t>
            </w:r>
          </w:p>
        </w:tc>
      </w:tr>
      <w:tr w:rsidR="00AC41AE" w14:paraId="7F6E3980" w14:textId="77777777">
        <w:trPr>
          <w:jc w:val="center"/>
        </w:trPr>
        <w:tc>
          <w:tcPr>
            <w:tcW w:w="2257" w:type="dxa"/>
            <w:shd w:val="clear" w:color="auto" w:fill="F2F6FC"/>
          </w:tcPr>
          <w:p w14:paraId="470DF882" w14:textId="77777777" w:rsidR="00AC41AE" w:rsidRDefault="00000000">
            <w:r>
              <w:rPr>
                <w:rFonts w:ascii="Arial" w:hAnsi="Arial"/>
                <w:sz w:val="18"/>
              </w:rPr>
              <w:t>GRI 405-1</w:t>
            </w:r>
          </w:p>
        </w:tc>
        <w:tc>
          <w:tcPr>
            <w:tcW w:w="2257" w:type="dxa"/>
            <w:shd w:val="clear" w:color="auto" w:fill="F2F6FC"/>
          </w:tcPr>
          <w:p w14:paraId="7E037AA0" w14:textId="77777777" w:rsidR="00AC41AE" w:rsidRDefault="00000000">
            <w:r>
              <w:rPr>
                <w:rFonts w:ascii="Arial" w:hAnsi="Arial"/>
                <w:sz w:val="18"/>
              </w:rPr>
              <w:t>405-1a</w:t>
            </w:r>
          </w:p>
        </w:tc>
        <w:tc>
          <w:tcPr>
            <w:tcW w:w="2257" w:type="dxa"/>
            <w:shd w:val="clear" w:color="auto" w:fill="F2F6FC"/>
          </w:tcPr>
          <w:p w14:paraId="66843F70" w14:textId="77777777" w:rsidR="00AC41AE" w:rsidRDefault="00000000">
            <w:r>
              <w:rPr>
                <w:rFonts w:ascii="Arial" w:hAnsi="Arial"/>
                <w:sz w:val="18"/>
              </w:rPr>
              <w:t>Diversity of employees by gender</w:t>
            </w:r>
          </w:p>
        </w:tc>
        <w:tc>
          <w:tcPr>
            <w:tcW w:w="2257" w:type="dxa"/>
            <w:shd w:val="clear" w:color="auto" w:fill="F2F6FC"/>
          </w:tcPr>
          <w:p w14:paraId="7A829A81" w14:textId="77777777" w:rsidR="00AC41AE" w:rsidRDefault="00000000">
            <w:r>
              <w:rPr>
                <w:rFonts w:ascii="Arial" w:hAnsi="Arial"/>
                <w:sz w:val="18"/>
              </w:rPr>
              <w:t>✅ Disclosed</w:t>
            </w:r>
          </w:p>
        </w:tc>
      </w:tr>
      <w:tr w:rsidR="00AC41AE" w14:paraId="5172EC9E" w14:textId="77777777">
        <w:trPr>
          <w:jc w:val="center"/>
        </w:trPr>
        <w:tc>
          <w:tcPr>
            <w:tcW w:w="2257" w:type="dxa"/>
          </w:tcPr>
          <w:p w14:paraId="42A0E068" w14:textId="77777777" w:rsidR="00AC41AE" w:rsidRDefault="00000000">
            <w:r>
              <w:rPr>
                <w:rFonts w:ascii="Arial" w:hAnsi="Arial"/>
                <w:sz w:val="18"/>
              </w:rPr>
              <w:t>GRI 405-1</w:t>
            </w:r>
          </w:p>
        </w:tc>
        <w:tc>
          <w:tcPr>
            <w:tcW w:w="2257" w:type="dxa"/>
          </w:tcPr>
          <w:p w14:paraId="30CDC7D4" w14:textId="77777777" w:rsidR="00AC41AE" w:rsidRDefault="00000000">
            <w:r>
              <w:rPr>
                <w:rFonts w:ascii="Arial" w:hAnsi="Arial"/>
                <w:sz w:val="18"/>
              </w:rPr>
              <w:t>405-1b</w:t>
            </w:r>
          </w:p>
        </w:tc>
        <w:tc>
          <w:tcPr>
            <w:tcW w:w="2257" w:type="dxa"/>
          </w:tcPr>
          <w:p w14:paraId="6177E5E2" w14:textId="77777777" w:rsidR="00AC41AE" w:rsidRDefault="00000000">
            <w:r>
              <w:rPr>
                <w:rFonts w:ascii="Arial" w:hAnsi="Arial"/>
                <w:sz w:val="18"/>
              </w:rPr>
              <w:t>Gender ratio in management</w:t>
            </w:r>
          </w:p>
        </w:tc>
        <w:tc>
          <w:tcPr>
            <w:tcW w:w="2257" w:type="dxa"/>
          </w:tcPr>
          <w:p w14:paraId="4FBAEF16" w14:textId="77777777" w:rsidR="00AC41AE" w:rsidRDefault="00000000">
            <w:r>
              <w:rPr>
                <w:rFonts w:ascii="Arial" w:hAnsi="Arial"/>
                <w:sz w:val="18"/>
              </w:rPr>
              <w:t>✅ Disclosed</w:t>
            </w:r>
          </w:p>
        </w:tc>
      </w:tr>
      <w:tr w:rsidR="00AC41AE" w14:paraId="50322472" w14:textId="77777777">
        <w:trPr>
          <w:jc w:val="center"/>
        </w:trPr>
        <w:tc>
          <w:tcPr>
            <w:tcW w:w="2257" w:type="dxa"/>
            <w:shd w:val="clear" w:color="auto" w:fill="F2F6FC"/>
          </w:tcPr>
          <w:p w14:paraId="40EC4A22" w14:textId="77777777" w:rsidR="00AC41AE" w:rsidRDefault="00000000">
            <w:r>
              <w:rPr>
                <w:rFonts w:ascii="Arial" w:hAnsi="Arial"/>
                <w:sz w:val="18"/>
              </w:rPr>
              <w:t>GRI 405-1</w:t>
            </w:r>
          </w:p>
        </w:tc>
        <w:tc>
          <w:tcPr>
            <w:tcW w:w="2257" w:type="dxa"/>
            <w:shd w:val="clear" w:color="auto" w:fill="F2F6FC"/>
          </w:tcPr>
          <w:p w14:paraId="43E4C0EF" w14:textId="77777777" w:rsidR="00AC41AE" w:rsidRDefault="00000000">
            <w:r>
              <w:rPr>
                <w:rFonts w:ascii="Arial" w:hAnsi="Arial"/>
                <w:sz w:val="18"/>
              </w:rPr>
              <w:t>405-1c</w:t>
            </w:r>
          </w:p>
        </w:tc>
        <w:tc>
          <w:tcPr>
            <w:tcW w:w="2257" w:type="dxa"/>
            <w:shd w:val="clear" w:color="auto" w:fill="F2F6FC"/>
          </w:tcPr>
          <w:p w14:paraId="39CA6EB6" w14:textId="77777777" w:rsidR="00AC41AE" w:rsidRDefault="00000000">
            <w:r>
              <w:rPr>
                <w:rFonts w:ascii="Arial" w:hAnsi="Arial"/>
                <w:sz w:val="18"/>
              </w:rPr>
              <w:t>Diversity by age group</w:t>
            </w:r>
          </w:p>
        </w:tc>
        <w:tc>
          <w:tcPr>
            <w:tcW w:w="2257" w:type="dxa"/>
            <w:shd w:val="clear" w:color="auto" w:fill="F2F6FC"/>
          </w:tcPr>
          <w:p w14:paraId="26060673" w14:textId="77777777" w:rsidR="00AC41AE" w:rsidRDefault="00000000">
            <w:r>
              <w:rPr>
                <w:rFonts w:ascii="Arial" w:hAnsi="Arial"/>
                <w:sz w:val="18"/>
              </w:rPr>
              <w:t>⚠️ Not yet captured</w:t>
            </w:r>
          </w:p>
        </w:tc>
      </w:tr>
      <w:tr w:rsidR="00AC41AE" w14:paraId="72C3DD45" w14:textId="77777777">
        <w:trPr>
          <w:jc w:val="center"/>
        </w:trPr>
        <w:tc>
          <w:tcPr>
            <w:tcW w:w="2257" w:type="dxa"/>
          </w:tcPr>
          <w:p w14:paraId="2EAD0BDF" w14:textId="77777777" w:rsidR="00AC41AE" w:rsidRDefault="00000000">
            <w:r>
              <w:rPr>
                <w:rFonts w:ascii="Arial" w:hAnsi="Arial"/>
                <w:sz w:val="18"/>
              </w:rPr>
              <w:t>GRI 406-1</w:t>
            </w:r>
          </w:p>
        </w:tc>
        <w:tc>
          <w:tcPr>
            <w:tcW w:w="2257" w:type="dxa"/>
          </w:tcPr>
          <w:p w14:paraId="3FAD376A" w14:textId="77777777" w:rsidR="00AC41AE" w:rsidRDefault="00000000">
            <w:r>
              <w:rPr>
                <w:rFonts w:ascii="Arial" w:hAnsi="Arial"/>
                <w:sz w:val="18"/>
              </w:rPr>
              <w:t>406-1a</w:t>
            </w:r>
          </w:p>
        </w:tc>
        <w:tc>
          <w:tcPr>
            <w:tcW w:w="2257" w:type="dxa"/>
          </w:tcPr>
          <w:p w14:paraId="7333A955" w14:textId="77777777" w:rsidR="00AC41AE" w:rsidRDefault="00000000">
            <w:r>
              <w:rPr>
                <w:rFonts w:ascii="Arial" w:hAnsi="Arial"/>
                <w:sz w:val="18"/>
              </w:rPr>
              <w:t>Discrimination incidents</w:t>
            </w:r>
          </w:p>
        </w:tc>
        <w:tc>
          <w:tcPr>
            <w:tcW w:w="2257" w:type="dxa"/>
          </w:tcPr>
          <w:p w14:paraId="1FF41B31" w14:textId="77777777" w:rsidR="00AC41AE" w:rsidRDefault="00000000">
            <w:r>
              <w:rPr>
                <w:rFonts w:ascii="Arial" w:hAnsi="Arial"/>
                <w:sz w:val="18"/>
              </w:rPr>
              <w:t>✅ Disclosed</w:t>
            </w:r>
          </w:p>
        </w:tc>
      </w:tr>
      <w:tr w:rsidR="00AC41AE" w14:paraId="2ACE5867" w14:textId="77777777">
        <w:trPr>
          <w:jc w:val="center"/>
        </w:trPr>
        <w:tc>
          <w:tcPr>
            <w:tcW w:w="2257" w:type="dxa"/>
            <w:shd w:val="clear" w:color="auto" w:fill="F2F6FC"/>
          </w:tcPr>
          <w:p w14:paraId="5F0CA24A" w14:textId="77777777" w:rsidR="00AC41AE" w:rsidRDefault="00000000">
            <w:r>
              <w:rPr>
                <w:rFonts w:ascii="Arial" w:hAnsi="Arial"/>
                <w:sz w:val="18"/>
              </w:rPr>
              <w:t>ESRS S1</w:t>
            </w:r>
          </w:p>
        </w:tc>
        <w:tc>
          <w:tcPr>
            <w:tcW w:w="2257" w:type="dxa"/>
            <w:shd w:val="clear" w:color="auto" w:fill="F2F6FC"/>
          </w:tcPr>
          <w:p w14:paraId="02BAE566" w14:textId="77777777" w:rsidR="00AC41AE" w:rsidRDefault="00000000">
            <w:r>
              <w:rPr>
                <w:rFonts w:ascii="Arial" w:hAnsi="Arial"/>
                <w:sz w:val="18"/>
              </w:rPr>
              <w:t>S1-6</w:t>
            </w:r>
          </w:p>
        </w:tc>
        <w:tc>
          <w:tcPr>
            <w:tcW w:w="2257" w:type="dxa"/>
            <w:shd w:val="clear" w:color="auto" w:fill="F2F6FC"/>
          </w:tcPr>
          <w:p w14:paraId="56FF3ED6" w14:textId="77777777" w:rsidR="00AC41AE" w:rsidRDefault="00000000">
            <w:r>
              <w:rPr>
                <w:rFonts w:ascii="Arial" w:hAnsi="Arial"/>
                <w:sz w:val="18"/>
              </w:rPr>
              <w:t>Characteristics of employees (diversity)</w:t>
            </w:r>
          </w:p>
        </w:tc>
        <w:tc>
          <w:tcPr>
            <w:tcW w:w="2257" w:type="dxa"/>
            <w:shd w:val="clear" w:color="auto" w:fill="F2F6FC"/>
          </w:tcPr>
          <w:p w14:paraId="191A8E35" w14:textId="77777777" w:rsidR="00AC41AE" w:rsidRDefault="00000000">
            <w:r>
              <w:rPr>
                <w:rFonts w:ascii="Arial" w:hAnsi="Arial"/>
                <w:sz w:val="18"/>
              </w:rPr>
              <w:t>✅ Disclosed</w:t>
            </w:r>
          </w:p>
        </w:tc>
      </w:tr>
      <w:tr w:rsidR="00AC41AE" w14:paraId="55B32713" w14:textId="77777777">
        <w:trPr>
          <w:jc w:val="center"/>
        </w:trPr>
        <w:tc>
          <w:tcPr>
            <w:tcW w:w="2257" w:type="dxa"/>
          </w:tcPr>
          <w:p w14:paraId="49223664" w14:textId="77777777" w:rsidR="00AC41AE" w:rsidRDefault="00000000">
            <w:r>
              <w:rPr>
                <w:rFonts w:ascii="Arial" w:hAnsi="Arial"/>
                <w:sz w:val="18"/>
              </w:rPr>
              <w:t>ESRS S1</w:t>
            </w:r>
          </w:p>
        </w:tc>
        <w:tc>
          <w:tcPr>
            <w:tcW w:w="2257" w:type="dxa"/>
          </w:tcPr>
          <w:p w14:paraId="408D8567" w14:textId="77777777" w:rsidR="00AC41AE" w:rsidRDefault="00000000">
            <w:r>
              <w:rPr>
                <w:rFonts w:ascii="Arial" w:hAnsi="Arial"/>
                <w:sz w:val="18"/>
              </w:rPr>
              <w:t>S1-13</w:t>
            </w:r>
          </w:p>
        </w:tc>
        <w:tc>
          <w:tcPr>
            <w:tcW w:w="2257" w:type="dxa"/>
          </w:tcPr>
          <w:p w14:paraId="1043898D" w14:textId="77777777" w:rsidR="00AC41AE" w:rsidRDefault="00000000">
            <w:r>
              <w:rPr>
                <w:rFonts w:ascii="Arial" w:hAnsi="Arial"/>
                <w:sz w:val="18"/>
              </w:rPr>
              <w:t>Training and skills development</w:t>
            </w:r>
          </w:p>
        </w:tc>
        <w:tc>
          <w:tcPr>
            <w:tcW w:w="2257" w:type="dxa"/>
          </w:tcPr>
          <w:p w14:paraId="0A00A47E" w14:textId="77777777" w:rsidR="00AC41AE" w:rsidRDefault="00000000">
            <w:r>
              <w:rPr>
                <w:rFonts w:ascii="Arial" w:hAnsi="Arial"/>
                <w:sz w:val="18"/>
              </w:rPr>
              <w:t>✅ Disclosed</w:t>
            </w:r>
          </w:p>
        </w:tc>
      </w:tr>
      <w:tr w:rsidR="00AC41AE" w14:paraId="5C7170D6" w14:textId="77777777">
        <w:trPr>
          <w:jc w:val="center"/>
        </w:trPr>
        <w:tc>
          <w:tcPr>
            <w:tcW w:w="2257" w:type="dxa"/>
            <w:shd w:val="clear" w:color="auto" w:fill="F2F6FC"/>
          </w:tcPr>
          <w:p w14:paraId="54EEF1AC" w14:textId="77777777" w:rsidR="00AC41AE" w:rsidRDefault="00000000">
            <w:r>
              <w:rPr>
                <w:rFonts w:ascii="Arial" w:hAnsi="Arial"/>
                <w:sz w:val="18"/>
              </w:rPr>
              <w:t>ESRS S1</w:t>
            </w:r>
          </w:p>
        </w:tc>
        <w:tc>
          <w:tcPr>
            <w:tcW w:w="2257" w:type="dxa"/>
            <w:shd w:val="clear" w:color="auto" w:fill="F2F6FC"/>
          </w:tcPr>
          <w:p w14:paraId="6DBA314B" w14:textId="77777777" w:rsidR="00AC41AE" w:rsidRDefault="00000000">
            <w:r>
              <w:rPr>
                <w:rFonts w:ascii="Arial" w:hAnsi="Arial"/>
                <w:sz w:val="18"/>
              </w:rPr>
              <w:t>S1-14</w:t>
            </w:r>
          </w:p>
        </w:tc>
        <w:tc>
          <w:tcPr>
            <w:tcW w:w="2257" w:type="dxa"/>
            <w:shd w:val="clear" w:color="auto" w:fill="F2F6FC"/>
          </w:tcPr>
          <w:p w14:paraId="1B01F3F9" w14:textId="77777777" w:rsidR="00AC41AE" w:rsidRDefault="00000000">
            <w:r>
              <w:rPr>
                <w:rFonts w:ascii="Arial" w:hAnsi="Arial"/>
                <w:sz w:val="18"/>
              </w:rPr>
              <w:t>Health and safety metrics</w:t>
            </w:r>
          </w:p>
        </w:tc>
        <w:tc>
          <w:tcPr>
            <w:tcW w:w="2257" w:type="dxa"/>
            <w:shd w:val="clear" w:color="auto" w:fill="F2F6FC"/>
          </w:tcPr>
          <w:p w14:paraId="34F95653" w14:textId="77777777" w:rsidR="00AC41AE" w:rsidRDefault="00000000">
            <w:r>
              <w:rPr>
                <w:rFonts w:ascii="Arial" w:hAnsi="Arial"/>
                <w:sz w:val="18"/>
              </w:rPr>
              <w:t>⚠️ Not yet captured</w:t>
            </w:r>
          </w:p>
        </w:tc>
      </w:tr>
      <w:tr w:rsidR="00AC41AE" w14:paraId="5B8AA110" w14:textId="77777777">
        <w:trPr>
          <w:jc w:val="center"/>
        </w:trPr>
        <w:tc>
          <w:tcPr>
            <w:tcW w:w="2257" w:type="dxa"/>
          </w:tcPr>
          <w:p w14:paraId="0702B4E9" w14:textId="77777777" w:rsidR="00AC41AE" w:rsidRDefault="00000000">
            <w:r>
              <w:rPr>
                <w:rFonts w:ascii="Arial" w:hAnsi="Arial"/>
                <w:sz w:val="18"/>
              </w:rPr>
              <w:t>OJK PSPK</w:t>
            </w:r>
          </w:p>
        </w:tc>
        <w:tc>
          <w:tcPr>
            <w:tcW w:w="2257" w:type="dxa"/>
          </w:tcPr>
          <w:p w14:paraId="0DE30918" w14:textId="77777777" w:rsidR="00AC41AE" w:rsidRDefault="00000000">
            <w:r>
              <w:rPr>
                <w:rFonts w:ascii="Arial" w:hAnsi="Arial"/>
                <w:sz w:val="18"/>
              </w:rPr>
              <w:t>Pilar II</w:t>
            </w:r>
          </w:p>
        </w:tc>
        <w:tc>
          <w:tcPr>
            <w:tcW w:w="2257" w:type="dxa"/>
          </w:tcPr>
          <w:p w14:paraId="59E084E8" w14:textId="77777777" w:rsidR="00AC41AE" w:rsidRDefault="00000000">
            <w:r>
              <w:rPr>
                <w:rFonts w:ascii="Arial" w:hAnsi="Arial"/>
                <w:sz w:val="18"/>
              </w:rPr>
              <w:t>Tenaga kerja &amp; kesetaraan gender</w:t>
            </w:r>
          </w:p>
        </w:tc>
        <w:tc>
          <w:tcPr>
            <w:tcW w:w="2257" w:type="dxa"/>
          </w:tcPr>
          <w:p w14:paraId="1557920C" w14:textId="77777777" w:rsidR="00AC41AE" w:rsidRDefault="00000000">
            <w:r>
              <w:rPr>
                <w:rFonts w:ascii="Arial" w:hAnsi="Arial"/>
                <w:sz w:val="18"/>
              </w:rPr>
              <w:t>✅ Disclosed</w:t>
            </w:r>
          </w:p>
        </w:tc>
      </w:tr>
    </w:tbl>
    <w:p w14:paraId="7051C052" w14:textId="77777777" w:rsidR="00AC41AE" w:rsidRDefault="00000000">
      <w:r>
        <w:rPr>
          <w:rFonts w:ascii="Arial" w:hAnsi="Arial"/>
          <w:i/>
          <w:sz w:val="16"/>
        </w:rPr>
        <w:t>Source: ✅ = Fully disclosed; ⚠️ = Data not yet captured in reporting system; ❌ = Not applicable to current operations.</w:t>
      </w:r>
    </w:p>
    <w:p w14:paraId="0B4BFE02" w14:textId="77777777" w:rsidR="00AC41AE" w:rsidRDefault="00AC41AE"/>
    <w:p w14:paraId="7D5C3BB5" w14:textId="77777777" w:rsidR="00AC41AE" w:rsidRDefault="00AC41AE"/>
    <w:p w14:paraId="566B9CAB" w14:textId="77777777" w:rsidR="00AC41AE" w:rsidRDefault="00000000">
      <w:r>
        <w:rPr>
          <w:noProof/>
        </w:rPr>
        <w:lastRenderedPageBreak/>
        <w:drawing>
          <wp:inline distT="0" distB="0" distL="0" distR="0" wp14:anchorId="061D5AA3" wp14:editId="2F2ADEFB">
            <wp:extent cx="5029200" cy="506358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029200" cy="5063588"/>
                    </a:xfrm>
                    <a:prstGeom prst="rect">
                      <a:avLst/>
                    </a:prstGeom>
                  </pic:spPr>
                </pic:pic>
              </a:graphicData>
            </a:graphic>
          </wp:inline>
        </w:drawing>
      </w:r>
    </w:p>
    <w:p w14:paraId="79662728" w14:textId="77777777" w:rsidR="00AC41AE" w:rsidRDefault="00000000">
      <w:pPr>
        <w:jc w:val="center"/>
      </w:pPr>
      <w:r>
        <w:rPr>
          <w:i/>
          <w:color w:val="666666"/>
          <w:sz w:val="18"/>
        </w:rPr>
        <w:t>Figure 22: Workforce Composition by Gender (2024)</w:t>
      </w:r>
    </w:p>
    <w:p w14:paraId="5EF91DF8" w14:textId="77777777" w:rsidR="00AC41AE" w:rsidRDefault="00000000">
      <w:pPr>
        <w:jc w:val="center"/>
      </w:pPr>
      <w:r>
        <w:rPr>
          <w:i/>
          <w:color w:val="757575"/>
          <w:sz w:val="18"/>
        </w:rPr>
        <w:t>Female representation at 42.32% declined 3.88pp from 2023 — moving away from peer benchmarks (BCA 61.6% female management)</w:t>
      </w:r>
    </w:p>
    <w:p w14:paraId="15FF976D" w14:textId="77777777" w:rsidR="00AC41AE" w:rsidRDefault="00AC41AE"/>
    <w:p w14:paraId="0960EC65" w14:textId="77777777" w:rsidR="00AC41AE" w:rsidRDefault="00000000">
      <w:r>
        <w:rPr>
          <w:noProof/>
        </w:rPr>
        <w:lastRenderedPageBreak/>
        <w:drawing>
          <wp:inline distT="0" distB="0" distL="0" distR="0" wp14:anchorId="1AB90CC4" wp14:editId="482B7CEA">
            <wp:extent cx="5029200" cy="333205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029200" cy="3332057"/>
                    </a:xfrm>
                    <a:prstGeom prst="rect">
                      <a:avLst/>
                    </a:prstGeom>
                  </pic:spPr>
                </pic:pic>
              </a:graphicData>
            </a:graphic>
          </wp:inline>
        </w:drawing>
      </w:r>
    </w:p>
    <w:p w14:paraId="66599038" w14:textId="77777777" w:rsidR="00AC41AE" w:rsidRDefault="00000000">
      <w:pPr>
        <w:jc w:val="center"/>
      </w:pPr>
      <w:r>
        <w:rPr>
          <w:i/>
          <w:color w:val="666666"/>
          <w:sz w:val="18"/>
        </w:rPr>
        <w:t>Figure 23: Training Hours per FTE: 2023 vs 2024</w:t>
      </w:r>
    </w:p>
    <w:p w14:paraId="14FE90A9" w14:textId="77777777" w:rsidR="00AC41AE" w:rsidRDefault="00000000">
      <w:pPr>
        <w:jc w:val="center"/>
      </w:pPr>
      <w:r>
        <w:rPr>
          <w:i/>
          <w:color w:val="757575"/>
          <w:sz w:val="18"/>
        </w:rPr>
        <w:t>23.14% decline to 49.3 hrs creates widening gap vs peers (BRI 62.4, OCBC 62.6, Mandiri 52) — ESG capability risk</w:t>
      </w:r>
    </w:p>
    <w:p w14:paraId="05004E7B" w14:textId="77777777" w:rsidR="00AC41AE" w:rsidRDefault="00AC41AE"/>
    <w:p w14:paraId="77CF892A" w14:textId="77777777" w:rsidR="00AC41AE" w:rsidRDefault="00000000">
      <w:r>
        <w:rPr>
          <w:noProof/>
        </w:rPr>
        <w:drawing>
          <wp:inline distT="0" distB="0" distL="0" distR="0" wp14:anchorId="47640250" wp14:editId="62B980B7">
            <wp:extent cx="5029200" cy="333205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1"/>
                    <a:stretch>
                      <a:fillRect/>
                    </a:stretch>
                  </pic:blipFill>
                  <pic:spPr>
                    <a:xfrm>
                      <a:off x="0" y="0"/>
                      <a:ext cx="5029200" cy="3332057"/>
                    </a:xfrm>
                    <a:prstGeom prst="rect">
                      <a:avLst/>
                    </a:prstGeom>
                  </pic:spPr>
                </pic:pic>
              </a:graphicData>
            </a:graphic>
          </wp:inline>
        </w:drawing>
      </w:r>
    </w:p>
    <w:p w14:paraId="6FCE1135" w14:textId="77777777" w:rsidR="00AC41AE" w:rsidRDefault="00000000">
      <w:pPr>
        <w:jc w:val="center"/>
      </w:pPr>
      <w:r>
        <w:rPr>
          <w:i/>
          <w:color w:val="666666"/>
          <w:sz w:val="18"/>
        </w:rPr>
        <w:t>Figure 24: Voluntary Turnover Rate: 2023 vs 2024</w:t>
      </w:r>
    </w:p>
    <w:p w14:paraId="4F770F52" w14:textId="77777777" w:rsidR="00AC41AE" w:rsidRDefault="00000000">
      <w:pPr>
        <w:jc w:val="center"/>
      </w:pPr>
      <w:r>
        <w:rPr>
          <w:i/>
          <w:color w:val="757575"/>
          <w:sz w:val="18"/>
        </w:rPr>
        <w:t>40.66% improvement to 8.45% — strong retention performance indicating effective employee value proposition</w:t>
      </w:r>
    </w:p>
    <w:p w14:paraId="25939A60" w14:textId="77777777" w:rsidR="00AC41AE" w:rsidRDefault="00AC41AE"/>
    <w:p w14:paraId="2A9629B2" w14:textId="77777777" w:rsidR="00AC41AE" w:rsidRDefault="00000000">
      <w:r>
        <w:rPr>
          <w:noProof/>
        </w:rPr>
        <w:lastRenderedPageBreak/>
        <w:drawing>
          <wp:inline distT="0" distB="0" distL="0" distR="0" wp14:anchorId="018BDB87" wp14:editId="6D7184DC">
            <wp:extent cx="5029200" cy="332085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2"/>
                    <a:stretch>
                      <a:fillRect/>
                    </a:stretch>
                  </pic:blipFill>
                  <pic:spPr>
                    <a:xfrm>
                      <a:off x="0" y="0"/>
                      <a:ext cx="5029200" cy="3320851"/>
                    </a:xfrm>
                    <a:prstGeom prst="rect">
                      <a:avLst/>
                    </a:prstGeom>
                  </pic:spPr>
                </pic:pic>
              </a:graphicData>
            </a:graphic>
          </wp:inline>
        </w:drawing>
      </w:r>
    </w:p>
    <w:p w14:paraId="5DCA5CD1" w14:textId="77777777" w:rsidR="00AC41AE" w:rsidRDefault="00000000">
      <w:pPr>
        <w:jc w:val="center"/>
      </w:pPr>
      <w:r>
        <w:rPr>
          <w:i/>
          <w:color w:val="666666"/>
          <w:sz w:val="18"/>
        </w:rPr>
        <w:t>Figure 25: Female Representation: Overall vs Management</w:t>
      </w:r>
    </w:p>
    <w:p w14:paraId="37579EE2" w14:textId="77777777" w:rsidR="00AC41AE" w:rsidRDefault="00000000">
      <w:pPr>
        <w:jc w:val="center"/>
      </w:pPr>
      <w:r>
        <w:rPr>
          <w:i/>
          <w:color w:val="757575"/>
          <w:sz w:val="18"/>
        </w:rPr>
        <w:t>Both metrics declined YoY (overall -3.88pp, management -1.78pp) — urgent action needed to reverse trend</w:t>
      </w:r>
    </w:p>
    <w:p w14:paraId="37771F97" w14:textId="77777777" w:rsidR="00AC41AE" w:rsidRDefault="00AC41AE"/>
    <w:p w14:paraId="7003B560" w14:textId="77777777" w:rsidR="00AC41AE" w:rsidRDefault="00000000">
      <w:r>
        <w:rPr>
          <w:noProof/>
        </w:rPr>
        <w:drawing>
          <wp:inline distT="0" distB="0" distL="0" distR="0" wp14:anchorId="3702DC51" wp14:editId="03CAE021">
            <wp:extent cx="5029200" cy="333957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029200" cy="3339570"/>
                    </a:xfrm>
                    <a:prstGeom prst="rect">
                      <a:avLst/>
                    </a:prstGeom>
                  </pic:spPr>
                </pic:pic>
              </a:graphicData>
            </a:graphic>
          </wp:inline>
        </w:drawing>
      </w:r>
    </w:p>
    <w:p w14:paraId="595215B1" w14:textId="77777777" w:rsidR="00AC41AE" w:rsidRDefault="00000000">
      <w:pPr>
        <w:jc w:val="center"/>
      </w:pPr>
      <w:r>
        <w:rPr>
          <w:i/>
          <w:color w:val="666666"/>
          <w:sz w:val="18"/>
        </w:rPr>
        <w:t>Figure 26: Training Hours per FTE: Institution vs Peers</w:t>
      </w:r>
    </w:p>
    <w:p w14:paraId="3D16FDD8" w14:textId="77777777" w:rsidR="00AC41AE" w:rsidRDefault="00000000">
      <w:pPr>
        <w:jc w:val="center"/>
      </w:pPr>
      <w:r>
        <w:rPr>
          <w:i/>
          <w:color w:val="757575"/>
          <w:sz w:val="18"/>
        </w:rPr>
        <w:t>Institution ranks lowest among Indonesian banking peers — 13-26% below benchmark range</w:t>
      </w:r>
    </w:p>
    <w:tbl>
      <w:tblPr>
        <w:tblW w:w="0" w:type="auto"/>
        <w:jc w:val="center"/>
        <w:tblLook w:val="04A0" w:firstRow="1" w:lastRow="0" w:firstColumn="1" w:lastColumn="0" w:noHBand="0" w:noVBand="1"/>
      </w:tblPr>
      <w:tblGrid>
        <w:gridCol w:w="9029"/>
      </w:tblGrid>
      <w:tr w:rsidR="00AC41AE" w14:paraId="4DB9FABE" w14:textId="77777777">
        <w:trPr>
          <w:jc w:val="center"/>
        </w:trPr>
        <w:tc>
          <w:tcPr>
            <w:tcW w:w="9029" w:type="dxa"/>
            <w:shd w:val="clear" w:color="auto" w:fill="F2F6FA"/>
          </w:tcPr>
          <w:p w14:paraId="36151971" w14:textId="77777777" w:rsidR="00AC41AE" w:rsidRDefault="00000000">
            <w:r>
              <w:rPr>
                <w:b/>
                <w:color w:val="1B3A6B"/>
                <w:sz w:val="18"/>
              </w:rPr>
              <w:t>📊 DIAGNOSTIC ANALYSIS</w:t>
            </w:r>
          </w:p>
          <w:p w14:paraId="627DD2F3" w14:textId="77777777" w:rsidR="00AC41AE" w:rsidRDefault="00000000">
            <w:r>
              <w:rPr>
                <w:sz w:val="20"/>
              </w:rPr>
              <w:lastRenderedPageBreak/>
              <w:t>The workforce metrics reveal three concerning trends: (1) Training investment declined 23.14% year-over-year, creating a widening capability gap versus peers who maintain 52-62 hours per FTE; (2) Female representation decreased across both overall workforce (-3.88pp) and management (-1.78pp), moving counter to industry diversity trends; (3) While voluntary turnover improved significantly (-40.66%), the institution lacks disclosure on several key metrics required by GRI and ESRS standards, including training by gender/category, age diversity, health/safety indicators, and gender pay equity. The training reduction appears driven by a strategic shift toward 'targeted, competency-based learning' rather than volume, but the absolute hours now fall below the threshold needed for comprehensive ESG upskilling. The gender representation decline occurred despite overall headcount growth of 2.03%, indicating differential hiring and retention patterns that disadvantage women.</w:t>
            </w:r>
          </w:p>
          <w:p w14:paraId="10129863" w14:textId="77777777" w:rsidR="00AC41AE" w:rsidRDefault="00000000">
            <w:r>
              <w:rPr>
                <w:b/>
                <w:sz w:val="20"/>
              </w:rPr>
              <w:t>Root Causes:</w:t>
            </w:r>
          </w:p>
          <w:p w14:paraId="346CB4DB" w14:textId="77777777" w:rsidR="00AC41AE" w:rsidRDefault="00000000">
            <w:r>
              <w:rPr>
                <w:sz w:val="18"/>
              </w:rPr>
              <w:t>• Training budget optimization prioritized cost reduction over capability building, resulting in 23.14% decline in hours per FTE despite industry upskilling trends</w:t>
            </w:r>
          </w:p>
          <w:p w14:paraId="4962F373" w14:textId="77777777" w:rsidR="00AC41AE" w:rsidRDefault="00000000">
            <w:r>
              <w:rPr>
                <w:sz w:val="18"/>
              </w:rPr>
              <w:t>• Absence of gender diversity targets or accountability mechanisms in recruitment and promotion processes, allowing female representation to decline 3.88pp during workforce expansion</w:t>
            </w:r>
          </w:p>
          <w:p w14:paraId="74225DF6" w14:textId="77777777" w:rsidR="00AC41AE" w:rsidRDefault="00000000">
            <w:r>
              <w:rPr>
                <w:sz w:val="18"/>
              </w:rPr>
              <w:t>• HR data systems do not capture key metrics required by GRI 404-1b (training by gender/category), GRI 405-1c (age diversity), GRI 405-2 (gender pay ratio), and ESRS S1-14 (health/safety), creating disclosure gaps</w:t>
            </w:r>
          </w:p>
          <w:p w14:paraId="657BA8BE" w14:textId="77777777" w:rsidR="00AC41AE" w:rsidRDefault="00000000">
            <w:r>
              <w:rPr>
                <w:sz w:val="18"/>
              </w:rPr>
              <w:t>• No structured ESG/sustainability training curriculum despite OJK SEOJK 16/2021 competency requirements for sustainable finance implementation</w:t>
            </w:r>
          </w:p>
          <w:p w14:paraId="54055CF6" w14:textId="77777777" w:rsidR="00AC41AE" w:rsidRDefault="00000000">
            <w:r>
              <w:rPr>
                <w:b/>
                <w:sz w:val="20"/>
              </w:rPr>
              <w:t>Risk Implications:</w:t>
            </w:r>
          </w:p>
          <w:p w14:paraId="6CCC1E55" w14:textId="77777777" w:rsidR="00AC41AE" w:rsidRDefault="00000000">
            <w:r>
              <w:rPr>
                <w:sz w:val="18"/>
              </w:rPr>
              <w:t>• Regulatory risk: Insufficient workforce ESG competency may hinder compliance with OJK SEOJK 16/2021 sustainable finance requirements and anticipated CSRD-equivalent regulations in Indonesia</w:t>
            </w:r>
          </w:p>
          <w:p w14:paraId="6DB4A254" w14:textId="77777777" w:rsidR="00AC41AE" w:rsidRDefault="00000000">
            <w:r>
              <w:rPr>
                <w:sz w:val="18"/>
              </w:rPr>
              <w:t>• Reputational risk: Declining female representation (especially in management) contradicts stated diversity commitments and lags peer benchmarks (BCA 61.6%, DBS 38% female management), creating stakeholder credibility gap</w:t>
            </w:r>
          </w:p>
          <w:p w14:paraId="45C46FAB" w14:textId="77777777" w:rsidR="00AC41AE" w:rsidRDefault="00000000">
            <w:r>
              <w:rPr>
                <w:sz w:val="18"/>
              </w:rPr>
              <w:t>• Operational risk: Training hours below peer benchmarks (49.3 vs 52-62 hrs) may result in capability gaps for climate risk assessment, PCAF methodology application, and digital transformation initiatives</w:t>
            </w:r>
          </w:p>
          <w:p w14:paraId="1BFCD667" w14:textId="77777777" w:rsidR="00AC41AE" w:rsidRDefault="00000000">
            <w:r>
              <w:rPr>
                <w:sz w:val="18"/>
              </w:rPr>
              <w:t>• ESG rating risk: Data disclosure gaps (training by gender, age diversity, health/safety, pay equity) limit comparability and may negatively impact MSCI, Sustainalytics, and CDP scores relative to peers with comprehensive social disclosures</w:t>
            </w:r>
          </w:p>
        </w:tc>
      </w:tr>
    </w:tbl>
    <w:p w14:paraId="72D5363E" w14:textId="77777777" w:rsidR="00AC41AE" w:rsidRDefault="00AC41AE"/>
    <w:p w14:paraId="788EE5F3" w14:textId="77777777" w:rsidR="00AC41AE" w:rsidRDefault="00AC41AE"/>
    <w:p w14:paraId="1D189E2E" w14:textId="77777777" w:rsidR="00AC41AE" w:rsidRDefault="00000000">
      <w:r>
        <w:rPr>
          <w:b/>
          <w:color w:val="2E7D32"/>
          <w:sz w:val="24"/>
        </w:rPr>
        <w:t>⚡ Priority Actions</w:t>
      </w:r>
    </w:p>
    <w:p w14:paraId="54790AC6" w14:textId="77777777" w:rsidR="00AC41AE" w:rsidRDefault="00000000">
      <w:r>
        <w:rPr>
          <w:b/>
        </w:rPr>
        <w:t>🔴 1. Implement mandatory ESG training curriculum (minimum 8 hours per FTE annually) covering climate risk, PCAF methodology, sustainable finance, and TCFD disclosure. Deploy via e-learning platform for scalability, with in-person workshops for leadership. Include annual Board-level ESG refresher with external experts.</w:t>
      </w:r>
      <w:r>
        <w:t xml:space="preserve"> (Q3 2025)</w:t>
      </w:r>
    </w:p>
    <w:p w14:paraId="429F3362" w14:textId="77777777" w:rsidR="00AC41AE" w:rsidRDefault="00000000">
      <w:pPr>
        <w:spacing w:after="160"/>
      </w:pPr>
      <w:r>
        <w:t xml:space="preserve">    → Expected: Increase total training hours to 57+ hrs/FTE (15% improvement), achieve 100% workforce ESG literacy, meet OJK SEOJK 16/2021 competency requirements</w:t>
      </w:r>
    </w:p>
    <w:p w14:paraId="70830E31" w14:textId="77777777" w:rsidR="00AC41AE" w:rsidRDefault="00000000">
      <w:pPr>
        <w:spacing w:after="160"/>
      </w:pPr>
      <w:r>
        <w:rPr>
          <w:rFonts w:ascii="Arial" w:hAnsi="Arial"/>
          <w:i/>
          <w:color w:val="646464"/>
          <w:sz w:val="18"/>
        </w:rPr>
        <w:lastRenderedPageBreak/>
        <w:t xml:space="preserve">    → Ref: BCA — annual ESG refresher for BoD/BoC with GRI/CDP/OJK collaboration; BRI — 62.4 hrs average including ESG modules for all levels (BoC to non-staff)</w:t>
      </w:r>
    </w:p>
    <w:p w14:paraId="6EC4549A" w14:textId="77777777" w:rsidR="00AC41AE" w:rsidRDefault="00000000">
      <w:r>
        <w:rPr>
          <w:b/>
        </w:rPr>
        <w:t>🔴 2. Launch Women in Leadership Pipeline Program with 30% female minimum target for succession planning. Implement mentorship/sponsorship for high-potential women, conduct gender pay equity audit, and establish Board Diversity Policy with measurable targets (e.g., 35% female management by 2027).</w:t>
      </w:r>
      <w:r>
        <w:t xml:space="preserve"> (Q4 2025)</w:t>
      </w:r>
    </w:p>
    <w:p w14:paraId="7CEE79E0" w14:textId="77777777" w:rsidR="00AC41AE" w:rsidRDefault="00000000">
      <w:pPr>
        <w:spacing w:after="160"/>
      </w:pPr>
      <w:r>
        <w:t xml:space="preserve">    → Expected: Reverse declining female representation trend, achieve 30% women in management by 2026 (3.33pp improvement), close gender pay gaps, improve employer brand</w:t>
      </w:r>
    </w:p>
    <w:p w14:paraId="63C66FCC" w14:textId="77777777" w:rsidR="00AC41AE" w:rsidRDefault="00000000">
      <w:pPr>
        <w:spacing w:after="160"/>
      </w:pPr>
      <w:r>
        <w:rPr>
          <w:rFonts w:ascii="Arial" w:hAnsi="Arial"/>
          <w:i/>
          <w:color w:val="646464"/>
          <w:sz w:val="18"/>
        </w:rPr>
        <w:t xml:space="preserve">    → Ref: BCA — 61.6% female management through structured career development and retention strategy; DBS — 38% female management + 33% female Board + equal pay disclosure (1:0.99 ratio)</w:t>
      </w:r>
    </w:p>
    <w:p w14:paraId="4EBBD4D4" w14:textId="77777777" w:rsidR="00AC41AE" w:rsidRDefault="00000000">
      <w:r>
        <w:rPr>
          <w:b/>
        </w:rPr>
        <w:t>🟡 3. Expand HR data systems to capture GRI/ESRS-required metrics: training hours by gender/employee category/topic, workforce by age group, health/safety indicators (injury rate, lost-time incidents, occupational disease), gender pay ratio, and parental leave uptake. Implement phased rollout: training/diversity Q3 2025, health/safety Q4 2025, pay equity Q1 2026.</w:t>
      </w:r>
      <w:r>
        <w:t xml:space="preserve"> (Q1 2026)</w:t>
      </w:r>
    </w:p>
    <w:p w14:paraId="16E09C30" w14:textId="77777777" w:rsidR="00AC41AE" w:rsidRDefault="00000000">
      <w:pPr>
        <w:spacing w:after="160"/>
      </w:pPr>
      <w:r>
        <w:t xml:space="preserve">    → Expected: Achieve full GRI 400-series compliance, readiness for CSRD/ESRS adoption, improved ESG rating scores (MSCI, Sustainalytics), enhanced investor transparency</w:t>
      </w:r>
    </w:p>
    <w:p w14:paraId="41D4A8BE" w14:textId="77777777" w:rsidR="00AC41AE" w:rsidRDefault="00000000">
      <w:pPr>
        <w:spacing w:after="160"/>
      </w:pPr>
      <w:r>
        <w:rPr>
          <w:rFonts w:ascii="Arial" w:hAnsi="Arial"/>
          <w:i/>
          <w:color w:val="646464"/>
          <w:sz w:val="18"/>
        </w:rPr>
        <w:t xml:space="preserve">    → Ref: BCA — comprehensive GRI 400-series disclosure including age diversity, training by category, health/safety metrics; DBS — full gender pay transparency with annual equal pay audit</w:t>
      </w:r>
    </w:p>
    <w:p w14:paraId="165A498F" w14:textId="77777777" w:rsidR="00AC41AE" w:rsidRDefault="00000000">
      <w:r>
        <w:rPr>
          <w:b/>
        </w:rPr>
        <w:t>🔴 4. Conduct root cause analysis of female representation decline (6.53% decrease in female headcount despite 2.03% overall growth). Implement corrective actions in recruitment (gender-diverse interview panels, bias training), retention (flexible work, parental leave enhancements), and promotion (transparent criteria, sponsorship for women).</w:t>
      </w:r>
      <w:r>
        <w:t xml:space="preserve"> (Q2 2025)</w:t>
      </w:r>
    </w:p>
    <w:p w14:paraId="20C49FD5" w14:textId="77777777" w:rsidR="00AC41AE" w:rsidRDefault="00000000">
      <w:pPr>
        <w:spacing w:after="160"/>
      </w:pPr>
      <w:r>
        <w:t xml:space="preserve">    → Expected: Stabilize female representation at 45%+ overall and 30%+ management, reduce gender-based attrition, align with peer diversity benchmarks</w:t>
      </w:r>
    </w:p>
    <w:p w14:paraId="323480A7" w14:textId="77777777" w:rsidR="00AC41AE" w:rsidRDefault="00000000">
      <w:pPr>
        <w:spacing w:after="160"/>
      </w:pPr>
      <w:r>
        <w:rPr>
          <w:rFonts w:ascii="Arial" w:hAnsi="Arial"/>
          <w:i/>
          <w:color w:val="646464"/>
          <w:sz w:val="18"/>
        </w:rPr>
        <w:t xml:space="preserve">    → Ref: DBS — gender-diverse interview panels as standard practice; BCA — comprehensive retention strategy combining competitive remuneration with career development pathways</w:t>
      </w:r>
    </w:p>
    <w:p w14:paraId="23384B14" w14:textId="77777777" w:rsidR="00AC41AE" w:rsidRDefault="00AC41AE"/>
    <w:p w14:paraId="41A511E3" w14:textId="77777777" w:rsidR="00AC41AE" w:rsidRDefault="00000000">
      <w:r>
        <w:rPr>
          <w:i/>
          <w:color w:val="3D6094"/>
          <w:sz w:val="18"/>
        </w:rPr>
        <w:t>Framework references: GRI 2-7: Employees; GRI 401-1: New employee hires and employee turnover; GRI 404-1: Average hours of training per year per employee; GRI 405-1: Diversity of governance bodies and employees; GRI 406-1: Incidents of discrimination and corrective actions taken; ESRS S1: Own Workforce; OJK POJK 51/2017: Penerapan Keuangan Berkelanjutan (Pilar Sosial)</w:t>
      </w:r>
    </w:p>
    <w:p w14:paraId="74AC0036" w14:textId="77777777" w:rsidR="00AC41AE" w:rsidRDefault="00AC41AE">
      <w:pPr>
        <w:pBdr>
          <w:bottom w:val="single" w:sz="6" w:space="1" w:color="CCCCCC"/>
        </w:pBdr>
        <w:spacing w:after="80"/>
      </w:pPr>
    </w:p>
    <w:p w14:paraId="05911427" w14:textId="77777777" w:rsidR="00AC41AE" w:rsidRDefault="00000000">
      <w:pPr>
        <w:spacing w:after="160"/>
      </w:pPr>
      <w:r>
        <w:rPr>
          <w:rFonts w:ascii="Arial" w:hAnsi="Arial"/>
          <w:i/>
          <w:color w:val="646464"/>
          <w:sz w:val="18"/>
        </w:rPr>
        <w:t>All workforce data represents full-time equivalent (FTE) employees as of December 31, 2024, under operational control consolidation approach.</w:t>
      </w:r>
    </w:p>
    <w:p w14:paraId="29BECB73" w14:textId="77777777" w:rsidR="00AC41AE" w:rsidRDefault="00000000">
      <w:pPr>
        <w:spacing w:after="160"/>
      </w:pPr>
      <w:r>
        <w:rPr>
          <w:rFonts w:ascii="Arial" w:hAnsi="Arial"/>
          <w:i/>
          <w:color w:val="646464"/>
          <w:sz w:val="18"/>
        </w:rPr>
        <w:t>Management positions include all supervisory, middle management, and senior leadership roles, excluding Board of Directors and Board of Commissioners.</w:t>
      </w:r>
    </w:p>
    <w:p w14:paraId="178FC5DC" w14:textId="77777777" w:rsidR="00AC41AE" w:rsidRDefault="00000000">
      <w:pPr>
        <w:spacing w:after="160"/>
      </w:pPr>
      <w:r>
        <w:rPr>
          <w:rFonts w:ascii="Arial" w:hAnsi="Arial"/>
          <w:i/>
          <w:color w:val="646464"/>
          <w:sz w:val="18"/>
        </w:rPr>
        <w:t>Training hours represent formal learning interventions tracked in the institution's Learning Management System and exclude informal on-the-job training.</w:t>
      </w:r>
    </w:p>
    <w:p w14:paraId="01A63C8D" w14:textId="77777777" w:rsidR="00AC41AE" w:rsidRDefault="00000000">
      <w:pPr>
        <w:spacing w:after="160"/>
      </w:pPr>
      <w:r>
        <w:rPr>
          <w:rFonts w:ascii="Arial" w:hAnsi="Arial"/>
          <w:i/>
          <w:color w:val="646464"/>
          <w:sz w:val="18"/>
        </w:rPr>
        <w:t>Voluntary turnover rate excludes retirements, end-of-contract terminations, and involuntary separations.</w:t>
      </w:r>
    </w:p>
    <w:p w14:paraId="616DA677" w14:textId="77777777" w:rsidR="00AC41AE" w:rsidRDefault="00000000">
      <w:pPr>
        <w:spacing w:after="160"/>
      </w:pPr>
      <w:r>
        <w:rPr>
          <w:rFonts w:ascii="Arial" w:hAnsi="Arial"/>
          <w:i/>
          <w:color w:val="646464"/>
          <w:sz w:val="18"/>
        </w:rPr>
        <w:lastRenderedPageBreak/>
        <w:t>Discrimination cases include all reports received through formal grievance mechanisms (whistleblowing hotline, ethics committee, HR escalation) that were investigated and substantiated during the reporting period.</w:t>
      </w:r>
    </w:p>
    <w:p w14:paraId="46981ABE" w14:textId="77777777" w:rsidR="00AC41AE" w:rsidRDefault="00000000">
      <w:r>
        <w:br w:type="page"/>
      </w:r>
    </w:p>
    <w:p w14:paraId="5446C576" w14:textId="77777777" w:rsidR="00AC41AE" w:rsidRDefault="00000000">
      <w:pPr>
        <w:pStyle w:val="Heading1"/>
        <w:spacing w:after="240"/>
      </w:pPr>
      <w:bookmarkStart w:id="19" w:name="_Toc232152614"/>
      <w:r>
        <w:rPr>
          <w:rFonts w:ascii="Arial" w:hAnsi="Arial"/>
          <w:color w:val="1B3A6B"/>
          <w:sz w:val="36"/>
        </w:rPr>
        <w:lastRenderedPageBreak/>
        <w:t>Governance &amp; Strategy</w:t>
      </w:r>
      <w:bookmarkEnd w:id="19"/>
    </w:p>
    <w:p w14:paraId="3A1222EC" w14:textId="77777777" w:rsidR="00AC41AE" w:rsidRDefault="00000000">
      <w:pPr>
        <w:pStyle w:val="Heading2"/>
        <w:spacing w:before="360" w:after="160"/>
      </w:pPr>
      <w:bookmarkStart w:id="20" w:name="_Toc232152615"/>
      <w:r>
        <w:rPr>
          <w:rFonts w:ascii="Arial" w:hAnsi="Arial"/>
          <w:color w:val="3D6094"/>
          <w:sz w:val="28"/>
        </w:rPr>
        <w:t>3.1 Climate Governance &amp; ESG Oversight</w:t>
      </w:r>
      <w:bookmarkEnd w:id="20"/>
    </w:p>
    <w:tbl>
      <w:tblPr>
        <w:tblW w:w="0" w:type="auto"/>
        <w:jc w:val="center"/>
        <w:tblLook w:val="04A0" w:firstRow="1" w:lastRow="0" w:firstColumn="1" w:lastColumn="0" w:noHBand="0" w:noVBand="1"/>
      </w:tblPr>
      <w:tblGrid>
        <w:gridCol w:w="2257"/>
        <w:gridCol w:w="2257"/>
        <w:gridCol w:w="2257"/>
        <w:gridCol w:w="2257"/>
      </w:tblGrid>
      <w:tr w:rsidR="00AC41AE" w14:paraId="2229B2F0" w14:textId="77777777">
        <w:trPr>
          <w:jc w:val="center"/>
        </w:trPr>
        <w:tc>
          <w:tcPr>
            <w:tcW w:w="2257" w:type="dxa"/>
            <w:shd w:val="clear" w:color="auto" w:fill="F2F6FA"/>
          </w:tcPr>
          <w:p w14:paraId="64D29684" w14:textId="77777777" w:rsidR="00AC41AE" w:rsidRDefault="00000000">
            <w:pPr>
              <w:jc w:val="center"/>
            </w:pPr>
            <w:r>
              <w:rPr>
                <w:b/>
                <w:color w:val="1B3A6B"/>
                <w:sz w:val="36"/>
              </w:rPr>
              <w:t>Not Established</w:t>
            </w:r>
            <w:r>
              <w:rPr>
                <w:color w:val="757575"/>
                <w:sz w:val="18"/>
              </w:rPr>
              <w:t xml:space="preserve"> status</w:t>
            </w:r>
            <w:r>
              <w:rPr>
                <w:b/>
                <w:color w:val="C62828"/>
                <w:sz w:val="20"/>
              </w:rPr>
              <w:br/>
              <w:t>vs 100% of peers</w:t>
            </w:r>
          </w:p>
        </w:tc>
        <w:tc>
          <w:tcPr>
            <w:tcW w:w="2257" w:type="dxa"/>
            <w:shd w:val="clear" w:color="auto" w:fill="F2F6FA"/>
          </w:tcPr>
          <w:p w14:paraId="7DE53D89" w14:textId="77777777" w:rsidR="00AC41AE" w:rsidRDefault="00000000">
            <w:pPr>
              <w:jc w:val="center"/>
            </w:pPr>
            <w:r>
              <w:rPr>
                <w:b/>
                <w:color w:val="1B3A6B"/>
                <w:sz w:val="36"/>
              </w:rPr>
              <w:t>0</w:t>
            </w:r>
            <w:r>
              <w:rPr>
                <w:color w:val="757575"/>
                <w:sz w:val="18"/>
              </w:rPr>
              <w:t xml:space="preserve"> %</w:t>
            </w:r>
            <w:r>
              <w:rPr>
                <w:b/>
                <w:color w:val="C62828"/>
                <w:sz w:val="20"/>
              </w:rPr>
              <w:br/>
              <w:t>vs 12.5% peer avg</w:t>
            </w:r>
          </w:p>
        </w:tc>
        <w:tc>
          <w:tcPr>
            <w:tcW w:w="2257" w:type="dxa"/>
            <w:shd w:val="clear" w:color="auto" w:fill="F2F6FA"/>
          </w:tcPr>
          <w:p w14:paraId="5E76AD13" w14:textId="77777777" w:rsidR="00AC41AE" w:rsidRDefault="00000000">
            <w:pPr>
              <w:jc w:val="center"/>
            </w:pPr>
            <w:r>
              <w:rPr>
                <w:b/>
                <w:color w:val="1B3A6B"/>
                <w:sz w:val="36"/>
              </w:rPr>
              <w:t>7</w:t>
            </w:r>
            <w:r>
              <w:rPr>
                <w:color w:val="757575"/>
                <w:sz w:val="18"/>
              </w:rPr>
              <w:t xml:space="preserve"> elements</w:t>
            </w:r>
            <w:r>
              <w:rPr>
                <w:b/>
                <w:color w:val="C62828"/>
                <w:sz w:val="20"/>
              </w:rPr>
              <w:br/>
              <w:t>0/7 implemented</w:t>
            </w:r>
          </w:p>
        </w:tc>
        <w:tc>
          <w:tcPr>
            <w:tcW w:w="2257" w:type="dxa"/>
            <w:shd w:val="clear" w:color="auto" w:fill="F2F6FA"/>
          </w:tcPr>
          <w:p w14:paraId="09DA98EF" w14:textId="77777777" w:rsidR="00AC41AE" w:rsidRDefault="00000000">
            <w:pPr>
              <w:jc w:val="center"/>
            </w:pPr>
            <w:r>
              <w:rPr>
                <w:b/>
                <w:color w:val="1B3A6B"/>
                <w:sz w:val="36"/>
              </w:rPr>
              <w:t>18</w:t>
            </w:r>
            <w:r>
              <w:rPr>
                <w:color w:val="757575"/>
                <w:sz w:val="18"/>
              </w:rPr>
              <w:t xml:space="preserve"> months</w:t>
            </w:r>
            <w:r>
              <w:rPr>
                <w:b/>
                <w:color w:val="2E7D32"/>
                <w:sz w:val="20"/>
              </w:rPr>
              <w:br/>
              <w:t>Q3 2025 - Q2 2026</w:t>
            </w:r>
          </w:p>
        </w:tc>
      </w:tr>
      <w:tr w:rsidR="00AC41AE" w14:paraId="53AF28FC" w14:textId="77777777">
        <w:trPr>
          <w:jc w:val="center"/>
        </w:trPr>
        <w:tc>
          <w:tcPr>
            <w:tcW w:w="2257" w:type="dxa"/>
            <w:shd w:val="clear" w:color="auto" w:fill="F2F6FA"/>
          </w:tcPr>
          <w:p w14:paraId="34C257D0" w14:textId="77777777" w:rsidR="00AC41AE" w:rsidRDefault="00000000">
            <w:pPr>
              <w:jc w:val="center"/>
            </w:pPr>
            <w:r>
              <w:rPr>
                <w:color w:val="757575"/>
                <w:sz w:val="16"/>
              </w:rPr>
              <w:t>Board ESG Committee</w:t>
            </w:r>
          </w:p>
        </w:tc>
        <w:tc>
          <w:tcPr>
            <w:tcW w:w="2257" w:type="dxa"/>
            <w:shd w:val="clear" w:color="auto" w:fill="F2F6FA"/>
          </w:tcPr>
          <w:p w14:paraId="1EAF8A00" w14:textId="77777777" w:rsidR="00AC41AE" w:rsidRDefault="00000000">
            <w:pPr>
              <w:jc w:val="center"/>
            </w:pPr>
            <w:r>
              <w:rPr>
                <w:color w:val="757575"/>
                <w:sz w:val="16"/>
              </w:rPr>
              <w:t>Climate KPI in Exec Remuneration</w:t>
            </w:r>
          </w:p>
        </w:tc>
        <w:tc>
          <w:tcPr>
            <w:tcW w:w="2257" w:type="dxa"/>
            <w:shd w:val="clear" w:color="auto" w:fill="F2F6FA"/>
          </w:tcPr>
          <w:p w14:paraId="4F4DE7C2" w14:textId="77777777" w:rsidR="00AC41AE" w:rsidRDefault="00000000">
            <w:pPr>
              <w:jc w:val="center"/>
            </w:pPr>
            <w:r>
              <w:rPr>
                <w:color w:val="757575"/>
                <w:sz w:val="16"/>
              </w:rPr>
              <w:t>Governance Compliance Gap</w:t>
            </w:r>
          </w:p>
        </w:tc>
        <w:tc>
          <w:tcPr>
            <w:tcW w:w="2257" w:type="dxa"/>
            <w:shd w:val="clear" w:color="auto" w:fill="F2F6FA"/>
          </w:tcPr>
          <w:p w14:paraId="7AC0DB6F" w14:textId="77777777" w:rsidR="00AC41AE" w:rsidRDefault="00000000">
            <w:pPr>
              <w:jc w:val="center"/>
            </w:pPr>
            <w:r>
              <w:rPr>
                <w:color w:val="757575"/>
                <w:sz w:val="16"/>
              </w:rPr>
              <w:t>Estimated Implementation Timeline</w:t>
            </w:r>
          </w:p>
        </w:tc>
      </w:tr>
    </w:tbl>
    <w:p w14:paraId="01C42889" w14:textId="77777777" w:rsidR="00AC41AE" w:rsidRDefault="00AC41AE"/>
    <w:tbl>
      <w:tblPr>
        <w:tblW w:w="0" w:type="auto"/>
        <w:jc w:val="center"/>
        <w:tblLook w:val="04A0" w:firstRow="1" w:lastRow="0" w:firstColumn="1" w:lastColumn="0" w:noHBand="0" w:noVBand="1"/>
      </w:tblPr>
      <w:tblGrid>
        <w:gridCol w:w="9029"/>
      </w:tblGrid>
      <w:tr w:rsidR="00AC41AE" w14:paraId="3C377764" w14:textId="77777777">
        <w:trPr>
          <w:jc w:val="center"/>
        </w:trPr>
        <w:tc>
          <w:tcPr>
            <w:tcW w:w="9029" w:type="dxa"/>
            <w:shd w:val="clear" w:color="auto" w:fill="FFEBEE"/>
          </w:tcPr>
          <w:p w14:paraId="5D53D334" w14:textId="77777777" w:rsidR="00AC41AE" w:rsidRDefault="00000000">
            <w:r>
              <w:rPr>
                <w:b/>
                <w:color w:val="FF8F00"/>
                <w:sz w:val="18"/>
              </w:rPr>
              <w:t>🚨 KEY INSIGHT</w:t>
            </w:r>
          </w:p>
          <w:p w14:paraId="73DA5E03" w14:textId="77777777" w:rsidR="00AC41AE" w:rsidRDefault="00000000">
            <w:r>
              <w:rPr>
                <w:b/>
              </w:rPr>
              <w:t>Zero formal climate governance while all 4 peer banks have Board committees — critical regulatory and investor risk</w:t>
            </w:r>
          </w:p>
          <w:p w14:paraId="1B558E0E" w14:textId="77777777" w:rsidR="00AC41AE" w:rsidRDefault="00000000">
            <w:r>
              <w:rPr>
                <w:sz w:val="20"/>
              </w:rPr>
              <w:t>The institution lacks all required governance infrastructure (Board committee, management role, remuneration linkage) mandated by IFRS S2, OJK POJK 51, and expected by investors. BRI, BCA, DBS, and Mandiri established ESG Committees 2021-2023 with quarterly Board review. This governance gap exposes the institution to OJK scrutiny, SFAP rejection risk, and investor divestment as ISSB standards become mandatory.</w:t>
            </w:r>
          </w:p>
        </w:tc>
      </w:tr>
    </w:tbl>
    <w:p w14:paraId="36EC1C08" w14:textId="77777777" w:rsidR="00AC41AE" w:rsidRDefault="00AC41AE"/>
    <w:p w14:paraId="1AFC3D8B" w14:textId="77777777" w:rsidR="00AC41AE" w:rsidRDefault="00000000">
      <w:pPr>
        <w:pStyle w:val="Heading3"/>
      </w:pPr>
      <w:bookmarkStart w:id="21" w:name="_Toc232152616"/>
      <w:r>
        <w:rPr>
          <w:rFonts w:ascii="Arial" w:hAnsi="Arial"/>
          <w:color w:val="4A7AB5"/>
          <w:sz w:val="24"/>
        </w:rPr>
        <w:t>Governance Infrastructure Gap Analysis</w:t>
      </w:r>
      <w:bookmarkEnd w:id="21"/>
    </w:p>
    <w:p w14:paraId="59D1C0C8" w14:textId="77777777" w:rsidR="00AC41AE" w:rsidRDefault="00000000">
      <w:pPr>
        <w:spacing w:after="160"/>
      </w:pPr>
      <w:r>
        <w:rPr>
          <w:rFonts w:ascii="Arial" w:hAnsi="Arial"/>
        </w:rPr>
        <w:t>The institution has not yet established formal governance structures for climate-related risks and opportunities as required by multiple sustainability reporting frameworks. This section identifies the governance disclosure requirements under IFRS S2, GRI 2-12/2-13, ESRS 2 GOV-3, and OJK POJK 51/2017 on Sustainable Finance Action Plan (SFAP), and provides a roadmap for establishing compliant governance infrastructure based on peer bank implementations in the Indonesian banking sector.</w:t>
      </w:r>
    </w:p>
    <w:p w14:paraId="5EDD96D7" w14:textId="77777777" w:rsidR="00AC41AE" w:rsidRDefault="00000000">
      <w:pPr>
        <w:pStyle w:val="Heading3"/>
      </w:pPr>
      <w:bookmarkStart w:id="22" w:name="_Toc232152617"/>
      <w:r>
        <w:rPr>
          <w:rFonts w:ascii="Arial" w:hAnsi="Arial"/>
          <w:color w:val="4A7AB5"/>
          <w:sz w:val="24"/>
        </w:rPr>
        <w:t>Framework Requirements and Current Status</w:t>
      </w:r>
      <w:bookmarkEnd w:id="22"/>
    </w:p>
    <w:p w14:paraId="75F09C4E" w14:textId="77777777" w:rsidR="00AC41AE" w:rsidRDefault="00000000">
      <w:pPr>
        <w:spacing w:after="160"/>
      </w:pPr>
      <w:r>
        <w:rPr>
          <w:rFonts w:ascii="Arial" w:hAnsi="Arial"/>
        </w:rPr>
        <w:t xml:space="preserve">International Financial Reporting Standards (IFRS S2) Paragraphs 5-7 require entities to disclose: (a) the identity of the governance body or individual responsible for oversight of climate-related risks and opportunities; (b) how responsibilities for climate-related risks and opportunities are reflected in the terms of reference, board mandates, role descriptions and other related policies; and (c) how the governance body's oversight of climate-related risks and opportunities is reflected in the entity's strategy and decision-making processes. The Global Reporting Initiative (GRI) Standards 2-12 and 2-13 require disclosure of the role of the highest governance body in overseeing the management of impacts on the economy, environment and people, and delegation of responsibility for managing impacts. The European Sustainability Reporting Standards (ESRS 2) GOV-3 requires disclosure of how sustainability performance is integrated into incentive schemes for members of administrative, management and supervisory bodies. Indonesia's Financial Services </w:t>
      </w:r>
      <w:r>
        <w:rPr>
          <w:rFonts w:ascii="Arial" w:hAnsi="Arial"/>
        </w:rPr>
        <w:lastRenderedPageBreak/>
        <w:t>Authority (OJK) regulation POJK 51/2017 mandates board-level oversight of sustainability through dedicated committees or working groups for financial institutions.</w:t>
      </w:r>
    </w:p>
    <w:p w14:paraId="2AA95340" w14:textId="77777777" w:rsidR="00AC41AE" w:rsidRDefault="00000000">
      <w:pPr>
        <w:spacing w:after="160"/>
      </w:pPr>
      <w:r>
        <w:rPr>
          <w:rFonts w:ascii="Arial" w:hAnsi="Arial"/>
        </w:rPr>
        <w:t>These governance data points are not yet captured in the institution's reporting system. The absence of formal climate governance structures represents a material gap in meeting regulatory expectations and international disclosure standards. Indonesian peer banks have established comprehensive governance frameworks between 2021-2023, creating a widening compliance gap for institutions without similar infrastructure.</w:t>
      </w:r>
    </w:p>
    <w:p w14:paraId="3CEB7BEB" w14:textId="77777777" w:rsidR="00AC41AE" w:rsidRDefault="00000000">
      <w:pPr>
        <w:pStyle w:val="Heading3"/>
      </w:pPr>
      <w:bookmarkStart w:id="23" w:name="_Toc232152618"/>
      <w:r>
        <w:rPr>
          <w:rFonts w:ascii="Arial" w:hAnsi="Arial"/>
          <w:color w:val="4A7AB5"/>
          <w:sz w:val="24"/>
        </w:rPr>
        <w:t>Peer Bank Governance Benchmarks</w:t>
      </w:r>
      <w:bookmarkEnd w:id="23"/>
    </w:p>
    <w:p w14:paraId="30FDACA8" w14:textId="77777777" w:rsidR="00AC41AE" w:rsidRDefault="00000000">
      <w:pPr>
        <w:spacing w:after="160"/>
      </w:pPr>
      <w:r>
        <w:rPr>
          <w:rFonts w:ascii="Arial" w:hAnsi="Arial"/>
        </w:rPr>
        <w:t>Leading Indonesian financial institutions have implemented robust ESG governance structures that provide reference models for establishing compliant frameworks. PT Bank Rakyat Indonesia (Persero) Tbk established a dedicated Risk Management &amp; ESG Committee at Board of Directors level in 2021 through Decision NOKEP 872-DIR/PPM/06/2022, with quarterly review cadence and direct reporting to the President Director. PT Bank Central Asia Tbk operates an ESG Subdivision under the Director of Planning &amp; Finance, conducting ESG reviews at least four times per year with Board of Directors, and has integrated ESG key performance indicators into Board of Directors and work unit performance assessments. DBS Bank has established a Board Sustainability Committee with a dedicated Chief Sustainability Officer role, linking 20% of executive remuneration to sustainability metrics including climate performance. PT Bank Mandiri (Persero) Tbk operates an ESG Task Force with semi-annual Board review and partial integration of ESG metrics into executive performance evaluation.</w:t>
      </w:r>
    </w:p>
    <w:p w14:paraId="0ED56B0C" w14:textId="77777777" w:rsidR="00AC41AE" w:rsidRDefault="00000000">
      <w:pPr>
        <w:spacing w:after="160"/>
      </w:pPr>
      <w:r>
        <w:rPr>
          <w:rFonts w:ascii="Arial" w:hAnsi="Arial"/>
        </w:rPr>
        <w:t>All four peer institutions have implemented formal sectoral credit policies addressing high-ESG-risk sectors including coal, palm oil, timber, cement, steel, and oil &amp; gas. BRI and DBS have committed to Science-Based Targets initiative (SBTi), with BRI being the first Indonesian financial institution to make this commitment. Three of four peers (BRI, DBS, Mandiri) are signatories to the United Nations Principles for Responsible Banking. All four institutions submit annual Sustainable Finance Action Plans (SFAP) to OJK demonstrating board-level accountability for sustainable finance portfolio targets.</w:t>
      </w:r>
    </w:p>
    <w:p w14:paraId="2C785FD0" w14:textId="77777777" w:rsidR="00AC41AE" w:rsidRDefault="00000000">
      <w:pPr>
        <w:pStyle w:val="Heading3"/>
      </w:pPr>
      <w:bookmarkStart w:id="24" w:name="_Toc232152619"/>
      <w:r>
        <w:rPr>
          <w:rFonts w:ascii="Arial" w:hAnsi="Arial"/>
          <w:color w:val="4A7AB5"/>
          <w:sz w:val="24"/>
        </w:rPr>
        <w:t>Recommended Governance Infrastructure</w:t>
      </w:r>
      <w:bookmarkEnd w:id="24"/>
    </w:p>
    <w:p w14:paraId="210067BC" w14:textId="77777777" w:rsidR="00AC41AE" w:rsidRDefault="00000000">
      <w:pPr>
        <w:spacing w:after="160"/>
      </w:pPr>
      <w:r>
        <w:rPr>
          <w:rFonts w:ascii="Arial" w:hAnsi="Arial"/>
        </w:rPr>
        <w:t xml:space="preserve">To achieve compliance with multi-framework disclosure requirements and align with Indonesian banking sector practice, the institution should establish the following governance infrastructure within 12-18 months: (1) Board-level ESG Committee or Risk &amp; Sustainability Committee with quarterly meeting cadence, comprising at least three Board members including one with demonstrated climate expertise, with formal terms of reference defining oversight responsibilities for climate strategy, risk management, and target setting; (2) Management-level ESG Working Group or Sustainability Office led by a designated Chief Sustainability Officer or equivalent executive position reporting directly to the President Director or Chief Risk Officer, responsible for implementing climate strategy, coordinating cross-functional ESG initiatives, and preparing quarterly Board reports; (3) Integration of climate-related key performance indicators into executive remuneration schemes, targeting 10-20% weight for President Director and C-suite executives, linked to measurable metrics such as financed emissions intensity reduction, sustainable finance portfolio growth, and SFAP target achievement; (4) Formal delegation of climate target-setting authority to the Board with management accountability for execution and quarterly monitoring, documented in Board resolutions and management performance contracts; (5) Enterprise risk </w:t>
      </w:r>
      <w:r>
        <w:rPr>
          <w:rFonts w:ascii="Arial" w:hAnsi="Arial"/>
        </w:rPr>
        <w:lastRenderedPageBreak/>
        <w:t>management integration through inclusion of climate-related risks in the institution's risk appetite statement, risk register, and stress testing scenarios, with quarterly reporting to the Board Risk Committee.</w:t>
      </w:r>
    </w:p>
    <w:p w14:paraId="2798617A" w14:textId="77777777" w:rsidR="00AC41AE" w:rsidRDefault="00000000">
      <w:pPr>
        <w:spacing w:after="160"/>
      </w:pPr>
      <w:r>
        <w:rPr>
          <w:rFonts w:ascii="Arial" w:hAnsi="Arial"/>
        </w:rPr>
        <w:t>The governance framework should be supported by: annual climate competency training for all Board members covering TCFD/ISSB frameworks, transition risk assessment, and regulatory developments; establishment of sectoral credit policies for carbon-intensive sectors with Board-approved exposure limits and enhanced due diligence requirements; and formal adoption of international frameworks including PCAF for financed emissions measurement, TCFD for climate risk disclosure, and evaluation of SBTi commitment for portfolio decarbonization targets. Documentation should include Board resolutions establishing the ESG Committee, management appointment letters defining climate responsibilities, updated Board and management terms of reference incorporating climate oversight duties, and revised remuneration policies linking executive compensation to climate KPIs.</w:t>
      </w:r>
    </w:p>
    <w:p w14:paraId="1BE0586B" w14:textId="77777777" w:rsidR="00AC41AE" w:rsidRDefault="00000000">
      <w:pPr>
        <w:pStyle w:val="Heading3"/>
      </w:pPr>
      <w:bookmarkStart w:id="25" w:name="_Toc232152620"/>
      <w:r>
        <w:rPr>
          <w:rFonts w:ascii="Arial" w:hAnsi="Arial"/>
          <w:color w:val="4A7AB5"/>
          <w:sz w:val="24"/>
        </w:rPr>
        <w:t>Implementation Timeline and Milestones</w:t>
      </w:r>
      <w:bookmarkEnd w:id="25"/>
    </w:p>
    <w:p w14:paraId="08ACC536" w14:textId="77777777" w:rsidR="00AC41AE" w:rsidRDefault="00000000">
      <w:pPr>
        <w:spacing w:after="160"/>
      </w:pPr>
      <w:r>
        <w:rPr>
          <w:rFonts w:ascii="Arial" w:hAnsi="Arial"/>
        </w:rPr>
        <w:t>Quarter 2 2025: Conduct Board climate governance workshop with external ESG advisory firm; draft ESG Committee terms of reference and Board resolution; identify Chief Sustainability Officer candidate or designate existing executive. Quarter 3 2025: Obtain Board approval for ESG Committee establishment; appoint Committee members; conduct inaugural Committee meeting; issue management appointment for climate responsibility; initiate development of sectoral credit policies for top 3 carbon-intensive sectors (energy, manufacturing-cement, manufacturing-steel representing 85.93% of financed emissions). Quarter 4 2025: Integrate climate KPIs into 2026 executive performance contracts; complete first quarterly ESG Committee report to full Board; submit enhanced SFAP to OJK demonstrating governance infrastructure; join PCAF and initiate TCFD disclosure preparation. Quarter 1-2 2026: Implement revised remuneration policy with 10% climate KPI weight for executives; complete sectoral credit policies for all material high-risk sectors; conduct first climate scenario analysis; evaluate SBTi commitment feasibility. By end of 2026: Achieve full compliance with IFRS S2 governance disclosure requirements; complete first full-year climate governance cycle with four quarterly Board reviews; publish inaugural TCFD-aligned climate report section in 2025 Sustainability Report.</w:t>
      </w:r>
    </w:p>
    <w:p w14:paraId="67164EE7" w14:textId="77777777" w:rsidR="00AC41AE" w:rsidRDefault="00000000">
      <w:r>
        <w:rPr>
          <w:rFonts w:ascii="Arial" w:hAnsi="Arial"/>
          <w:b/>
          <w:sz w:val="20"/>
        </w:rPr>
        <w:t>Table 54: Table 3.1.1: Framework Governance Requirements and Current Status</w:t>
      </w:r>
    </w:p>
    <w:tbl>
      <w:tblPr>
        <w:tblW w:w="0" w:type="auto"/>
        <w:jc w:val="center"/>
        <w:tblLook w:val="04A0" w:firstRow="1" w:lastRow="0" w:firstColumn="1" w:lastColumn="0" w:noHBand="0" w:noVBand="1"/>
      </w:tblPr>
      <w:tblGrid>
        <w:gridCol w:w="1806"/>
        <w:gridCol w:w="1806"/>
        <w:gridCol w:w="1806"/>
        <w:gridCol w:w="1806"/>
        <w:gridCol w:w="1806"/>
      </w:tblGrid>
      <w:tr w:rsidR="00AC41AE" w14:paraId="42096B68" w14:textId="77777777">
        <w:trPr>
          <w:jc w:val="center"/>
        </w:trPr>
        <w:tc>
          <w:tcPr>
            <w:tcW w:w="1806" w:type="dxa"/>
            <w:shd w:val="clear" w:color="auto" w:fill="1B3A6B"/>
          </w:tcPr>
          <w:p w14:paraId="5DDDED27" w14:textId="77777777" w:rsidR="00AC41AE" w:rsidRDefault="00000000">
            <w:r>
              <w:rPr>
                <w:rFonts w:ascii="Arial" w:hAnsi="Arial"/>
                <w:b/>
                <w:color w:val="FFFFFF"/>
                <w:sz w:val="18"/>
              </w:rPr>
              <w:t>Framework</w:t>
            </w:r>
          </w:p>
        </w:tc>
        <w:tc>
          <w:tcPr>
            <w:tcW w:w="1806" w:type="dxa"/>
            <w:shd w:val="clear" w:color="auto" w:fill="1B3A6B"/>
          </w:tcPr>
          <w:p w14:paraId="25DFC6F6" w14:textId="77777777" w:rsidR="00AC41AE" w:rsidRDefault="00000000">
            <w:r>
              <w:rPr>
                <w:rFonts w:ascii="Arial" w:hAnsi="Arial"/>
                <w:b/>
                <w:color w:val="FFFFFF"/>
                <w:sz w:val="18"/>
              </w:rPr>
              <w:t>Disclosure Reference</w:t>
            </w:r>
          </w:p>
        </w:tc>
        <w:tc>
          <w:tcPr>
            <w:tcW w:w="1806" w:type="dxa"/>
            <w:shd w:val="clear" w:color="auto" w:fill="1B3A6B"/>
          </w:tcPr>
          <w:p w14:paraId="14E0A463" w14:textId="77777777" w:rsidR="00AC41AE" w:rsidRDefault="00000000">
            <w:r>
              <w:rPr>
                <w:rFonts w:ascii="Arial" w:hAnsi="Arial"/>
                <w:b/>
                <w:color w:val="FFFFFF"/>
                <w:sz w:val="18"/>
              </w:rPr>
              <w:t>Requirement</w:t>
            </w:r>
          </w:p>
        </w:tc>
        <w:tc>
          <w:tcPr>
            <w:tcW w:w="1806" w:type="dxa"/>
            <w:shd w:val="clear" w:color="auto" w:fill="1B3A6B"/>
          </w:tcPr>
          <w:p w14:paraId="090F155A" w14:textId="77777777" w:rsidR="00AC41AE" w:rsidRDefault="00000000">
            <w:r>
              <w:rPr>
                <w:rFonts w:ascii="Arial" w:hAnsi="Arial"/>
                <w:b/>
                <w:color w:val="FFFFFF"/>
                <w:sz w:val="18"/>
              </w:rPr>
              <w:t>Status</w:t>
            </w:r>
          </w:p>
        </w:tc>
        <w:tc>
          <w:tcPr>
            <w:tcW w:w="1806" w:type="dxa"/>
            <w:shd w:val="clear" w:color="auto" w:fill="1B3A6B"/>
          </w:tcPr>
          <w:p w14:paraId="22B2D7B1" w14:textId="77777777" w:rsidR="00AC41AE" w:rsidRDefault="00000000">
            <w:r>
              <w:rPr>
                <w:rFonts w:ascii="Arial" w:hAnsi="Arial"/>
                <w:b/>
                <w:color w:val="FFFFFF"/>
                <w:sz w:val="18"/>
              </w:rPr>
              <w:t>Priority</w:t>
            </w:r>
          </w:p>
        </w:tc>
      </w:tr>
      <w:tr w:rsidR="00AC41AE" w14:paraId="08C81589" w14:textId="77777777">
        <w:trPr>
          <w:jc w:val="center"/>
        </w:trPr>
        <w:tc>
          <w:tcPr>
            <w:tcW w:w="1806" w:type="dxa"/>
          </w:tcPr>
          <w:p w14:paraId="7E6A40E8" w14:textId="77777777" w:rsidR="00AC41AE" w:rsidRDefault="00000000">
            <w:r>
              <w:rPr>
                <w:rFonts w:ascii="Arial" w:hAnsi="Arial"/>
                <w:sz w:val="18"/>
              </w:rPr>
              <w:t>IFRS S2</w:t>
            </w:r>
          </w:p>
        </w:tc>
        <w:tc>
          <w:tcPr>
            <w:tcW w:w="1806" w:type="dxa"/>
          </w:tcPr>
          <w:p w14:paraId="4D48F31A" w14:textId="77777777" w:rsidR="00AC41AE" w:rsidRDefault="00000000">
            <w:r>
              <w:rPr>
                <w:rFonts w:ascii="Arial" w:hAnsi="Arial"/>
                <w:sz w:val="18"/>
              </w:rPr>
              <w:t>Paragraph 5</w:t>
            </w:r>
          </w:p>
        </w:tc>
        <w:tc>
          <w:tcPr>
            <w:tcW w:w="1806" w:type="dxa"/>
          </w:tcPr>
          <w:p w14:paraId="02A2F8CD" w14:textId="77777777" w:rsidR="00AC41AE" w:rsidRDefault="00000000">
            <w:r>
              <w:rPr>
                <w:rFonts w:ascii="Arial" w:hAnsi="Arial"/>
                <w:sz w:val="18"/>
              </w:rPr>
              <w:t>Identity of governance body responsible for climate oversight</w:t>
            </w:r>
          </w:p>
        </w:tc>
        <w:tc>
          <w:tcPr>
            <w:tcW w:w="1806" w:type="dxa"/>
          </w:tcPr>
          <w:p w14:paraId="412F8778" w14:textId="77777777" w:rsidR="00AC41AE" w:rsidRDefault="00000000">
            <w:r>
              <w:rPr>
                <w:rFonts w:ascii="Arial" w:hAnsi="Arial"/>
                <w:sz w:val="18"/>
              </w:rPr>
              <w:t>⚠️ Gap — No designated body</w:t>
            </w:r>
          </w:p>
        </w:tc>
        <w:tc>
          <w:tcPr>
            <w:tcW w:w="1806" w:type="dxa"/>
          </w:tcPr>
          <w:p w14:paraId="576CECDF" w14:textId="77777777" w:rsidR="00AC41AE" w:rsidRDefault="00000000">
            <w:r>
              <w:rPr>
                <w:rFonts w:ascii="Arial" w:hAnsi="Arial"/>
                <w:sz w:val="18"/>
              </w:rPr>
              <w:t>Critical</w:t>
            </w:r>
          </w:p>
        </w:tc>
      </w:tr>
      <w:tr w:rsidR="00AC41AE" w14:paraId="66F9B85E" w14:textId="77777777">
        <w:trPr>
          <w:jc w:val="center"/>
        </w:trPr>
        <w:tc>
          <w:tcPr>
            <w:tcW w:w="1806" w:type="dxa"/>
            <w:shd w:val="clear" w:color="auto" w:fill="F2F6FC"/>
          </w:tcPr>
          <w:p w14:paraId="7EEED92B" w14:textId="77777777" w:rsidR="00AC41AE" w:rsidRDefault="00000000">
            <w:r>
              <w:rPr>
                <w:rFonts w:ascii="Arial" w:hAnsi="Arial"/>
                <w:sz w:val="18"/>
              </w:rPr>
              <w:t>IFRS S2</w:t>
            </w:r>
          </w:p>
        </w:tc>
        <w:tc>
          <w:tcPr>
            <w:tcW w:w="1806" w:type="dxa"/>
            <w:shd w:val="clear" w:color="auto" w:fill="F2F6FC"/>
          </w:tcPr>
          <w:p w14:paraId="2C0E53DD" w14:textId="77777777" w:rsidR="00AC41AE" w:rsidRDefault="00000000">
            <w:r>
              <w:rPr>
                <w:rFonts w:ascii="Arial" w:hAnsi="Arial"/>
                <w:sz w:val="18"/>
              </w:rPr>
              <w:t>Paragraph 6</w:t>
            </w:r>
          </w:p>
        </w:tc>
        <w:tc>
          <w:tcPr>
            <w:tcW w:w="1806" w:type="dxa"/>
            <w:shd w:val="clear" w:color="auto" w:fill="F2F6FC"/>
          </w:tcPr>
          <w:p w14:paraId="3CB407E6" w14:textId="77777777" w:rsidR="00AC41AE" w:rsidRDefault="00000000">
            <w:r>
              <w:rPr>
                <w:rFonts w:ascii="Arial" w:hAnsi="Arial"/>
                <w:sz w:val="18"/>
              </w:rPr>
              <w:t>Description of management's role in climate governance</w:t>
            </w:r>
          </w:p>
        </w:tc>
        <w:tc>
          <w:tcPr>
            <w:tcW w:w="1806" w:type="dxa"/>
            <w:shd w:val="clear" w:color="auto" w:fill="F2F6FC"/>
          </w:tcPr>
          <w:p w14:paraId="619FC863" w14:textId="77777777" w:rsidR="00AC41AE" w:rsidRDefault="00000000">
            <w:r>
              <w:rPr>
                <w:rFonts w:ascii="Arial" w:hAnsi="Arial"/>
                <w:sz w:val="18"/>
              </w:rPr>
              <w:t>⚠️ Gap — No formal role assignment</w:t>
            </w:r>
          </w:p>
        </w:tc>
        <w:tc>
          <w:tcPr>
            <w:tcW w:w="1806" w:type="dxa"/>
            <w:shd w:val="clear" w:color="auto" w:fill="F2F6FC"/>
          </w:tcPr>
          <w:p w14:paraId="49D762E5" w14:textId="77777777" w:rsidR="00AC41AE" w:rsidRDefault="00000000">
            <w:r>
              <w:rPr>
                <w:rFonts w:ascii="Arial" w:hAnsi="Arial"/>
                <w:sz w:val="18"/>
              </w:rPr>
              <w:t>Critical</w:t>
            </w:r>
          </w:p>
        </w:tc>
      </w:tr>
      <w:tr w:rsidR="00AC41AE" w14:paraId="150955D1" w14:textId="77777777">
        <w:trPr>
          <w:jc w:val="center"/>
        </w:trPr>
        <w:tc>
          <w:tcPr>
            <w:tcW w:w="1806" w:type="dxa"/>
          </w:tcPr>
          <w:p w14:paraId="1522CB70" w14:textId="77777777" w:rsidR="00AC41AE" w:rsidRDefault="00000000">
            <w:r>
              <w:rPr>
                <w:rFonts w:ascii="Arial" w:hAnsi="Arial"/>
                <w:sz w:val="18"/>
              </w:rPr>
              <w:t>IFRS S2</w:t>
            </w:r>
          </w:p>
        </w:tc>
        <w:tc>
          <w:tcPr>
            <w:tcW w:w="1806" w:type="dxa"/>
          </w:tcPr>
          <w:p w14:paraId="72E340A1" w14:textId="77777777" w:rsidR="00AC41AE" w:rsidRDefault="00000000">
            <w:r>
              <w:rPr>
                <w:rFonts w:ascii="Arial" w:hAnsi="Arial"/>
                <w:sz w:val="18"/>
              </w:rPr>
              <w:t>Paragraph 7</w:t>
            </w:r>
          </w:p>
        </w:tc>
        <w:tc>
          <w:tcPr>
            <w:tcW w:w="1806" w:type="dxa"/>
          </w:tcPr>
          <w:p w14:paraId="1333627E" w14:textId="77777777" w:rsidR="00AC41AE" w:rsidRDefault="00000000">
            <w:r>
              <w:rPr>
                <w:rFonts w:ascii="Arial" w:hAnsi="Arial"/>
                <w:sz w:val="18"/>
              </w:rPr>
              <w:t xml:space="preserve">How climate oversight is reflected in strategy </w:t>
            </w:r>
            <w:r>
              <w:rPr>
                <w:rFonts w:ascii="Arial" w:hAnsi="Arial"/>
                <w:sz w:val="18"/>
              </w:rPr>
              <w:lastRenderedPageBreak/>
              <w:t>and decision-making</w:t>
            </w:r>
          </w:p>
        </w:tc>
        <w:tc>
          <w:tcPr>
            <w:tcW w:w="1806" w:type="dxa"/>
          </w:tcPr>
          <w:p w14:paraId="355634F2" w14:textId="77777777" w:rsidR="00AC41AE" w:rsidRDefault="00000000">
            <w:r>
              <w:rPr>
                <w:rFonts w:ascii="Arial" w:hAnsi="Arial"/>
                <w:sz w:val="18"/>
              </w:rPr>
              <w:lastRenderedPageBreak/>
              <w:t xml:space="preserve">⚠️ Gap — No integration </w:t>
            </w:r>
            <w:r>
              <w:rPr>
                <w:rFonts w:ascii="Arial" w:hAnsi="Arial"/>
                <w:sz w:val="18"/>
              </w:rPr>
              <w:lastRenderedPageBreak/>
              <w:t>mechanism</w:t>
            </w:r>
          </w:p>
        </w:tc>
        <w:tc>
          <w:tcPr>
            <w:tcW w:w="1806" w:type="dxa"/>
          </w:tcPr>
          <w:p w14:paraId="4739F218" w14:textId="77777777" w:rsidR="00AC41AE" w:rsidRDefault="00000000">
            <w:r>
              <w:rPr>
                <w:rFonts w:ascii="Arial" w:hAnsi="Arial"/>
                <w:sz w:val="18"/>
              </w:rPr>
              <w:lastRenderedPageBreak/>
              <w:t>High</w:t>
            </w:r>
          </w:p>
        </w:tc>
      </w:tr>
      <w:tr w:rsidR="00AC41AE" w14:paraId="19F0B450" w14:textId="77777777">
        <w:trPr>
          <w:jc w:val="center"/>
        </w:trPr>
        <w:tc>
          <w:tcPr>
            <w:tcW w:w="1806" w:type="dxa"/>
            <w:shd w:val="clear" w:color="auto" w:fill="F2F6FC"/>
          </w:tcPr>
          <w:p w14:paraId="222DF743" w14:textId="77777777" w:rsidR="00AC41AE" w:rsidRDefault="00000000">
            <w:r>
              <w:rPr>
                <w:rFonts w:ascii="Arial" w:hAnsi="Arial"/>
                <w:sz w:val="18"/>
              </w:rPr>
              <w:t>GRI 2-12</w:t>
            </w:r>
          </w:p>
        </w:tc>
        <w:tc>
          <w:tcPr>
            <w:tcW w:w="1806" w:type="dxa"/>
            <w:shd w:val="clear" w:color="auto" w:fill="F2F6FC"/>
          </w:tcPr>
          <w:p w14:paraId="587391FE" w14:textId="77777777" w:rsidR="00AC41AE" w:rsidRDefault="00000000">
            <w:r>
              <w:rPr>
                <w:rFonts w:ascii="Arial" w:hAnsi="Arial"/>
                <w:sz w:val="18"/>
              </w:rPr>
              <w:t>2-12a</w:t>
            </w:r>
          </w:p>
        </w:tc>
        <w:tc>
          <w:tcPr>
            <w:tcW w:w="1806" w:type="dxa"/>
            <w:shd w:val="clear" w:color="auto" w:fill="F2F6FC"/>
          </w:tcPr>
          <w:p w14:paraId="64B49024" w14:textId="77777777" w:rsidR="00AC41AE" w:rsidRDefault="00000000">
            <w:r>
              <w:rPr>
                <w:rFonts w:ascii="Arial" w:hAnsi="Arial"/>
                <w:sz w:val="18"/>
              </w:rPr>
              <w:t>Role of highest governance body in overseeing sustainability impacts</w:t>
            </w:r>
          </w:p>
        </w:tc>
        <w:tc>
          <w:tcPr>
            <w:tcW w:w="1806" w:type="dxa"/>
            <w:shd w:val="clear" w:color="auto" w:fill="F2F6FC"/>
          </w:tcPr>
          <w:p w14:paraId="7E0AB13B" w14:textId="77777777" w:rsidR="00AC41AE" w:rsidRDefault="00000000">
            <w:r>
              <w:rPr>
                <w:rFonts w:ascii="Arial" w:hAnsi="Arial"/>
                <w:sz w:val="18"/>
              </w:rPr>
              <w:t>⚠️ Gap — No Board-level oversight</w:t>
            </w:r>
          </w:p>
        </w:tc>
        <w:tc>
          <w:tcPr>
            <w:tcW w:w="1806" w:type="dxa"/>
            <w:shd w:val="clear" w:color="auto" w:fill="F2F6FC"/>
          </w:tcPr>
          <w:p w14:paraId="7B3E23CF" w14:textId="77777777" w:rsidR="00AC41AE" w:rsidRDefault="00000000">
            <w:r>
              <w:rPr>
                <w:rFonts w:ascii="Arial" w:hAnsi="Arial"/>
                <w:sz w:val="18"/>
              </w:rPr>
              <w:t>Critical</w:t>
            </w:r>
          </w:p>
        </w:tc>
      </w:tr>
      <w:tr w:rsidR="00AC41AE" w14:paraId="0CD7BA6C" w14:textId="77777777">
        <w:trPr>
          <w:jc w:val="center"/>
        </w:trPr>
        <w:tc>
          <w:tcPr>
            <w:tcW w:w="1806" w:type="dxa"/>
          </w:tcPr>
          <w:p w14:paraId="42421B22" w14:textId="77777777" w:rsidR="00AC41AE" w:rsidRDefault="00000000">
            <w:r>
              <w:rPr>
                <w:rFonts w:ascii="Arial" w:hAnsi="Arial"/>
                <w:sz w:val="18"/>
              </w:rPr>
              <w:t>GRI 2-13</w:t>
            </w:r>
          </w:p>
        </w:tc>
        <w:tc>
          <w:tcPr>
            <w:tcW w:w="1806" w:type="dxa"/>
          </w:tcPr>
          <w:p w14:paraId="7D17B86C" w14:textId="77777777" w:rsidR="00AC41AE" w:rsidRDefault="00000000">
            <w:r>
              <w:rPr>
                <w:rFonts w:ascii="Arial" w:hAnsi="Arial"/>
                <w:sz w:val="18"/>
              </w:rPr>
              <w:t>2-13a</w:t>
            </w:r>
          </w:p>
        </w:tc>
        <w:tc>
          <w:tcPr>
            <w:tcW w:w="1806" w:type="dxa"/>
          </w:tcPr>
          <w:p w14:paraId="120AF59B" w14:textId="77777777" w:rsidR="00AC41AE" w:rsidRDefault="00000000">
            <w:r>
              <w:rPr>
                <w:rFonts w:ascii="Arial" w:hAnsi="Arial"/>
                <w:sz w:val="18"/>
              </w:rPr>
              <w:t>Delegation of responsibility for managing sustainability impacts</w:t>
            </w:r>
          </w:p>
        </w:tc>
        <w:tc>
          <w:tcPr>
            <w:tcW w:w="1806" w:type="dxa"/>
          </w:tcPr>
          <w:p w14:paraId="497D0437" w14:textId="77777777" w:rsidR="00AC41AE" w:rsidRDefault="00000000">
            <w:r>
              <w:rPr>
                <w:rFonts w:ascii="Arial" w:hAnsi="Arial"/>
                <w:sz w:val="18"/>
              </w:rPr>
              <w:t>⚠️ Gap — No formal delegation</w:t>
            </w:r>
          </w:p>
        </w:tc>
        <w:tc>
          <w:tcPr>
            <w:tcW w:w="1806" w:type="dxa"/>
          </w:tcPr>
          <w:p w14:paraId="5C1781B4" w14:textId="77777777" w:rsidR="00AC41AE" w:rsidRDefault="00000000">
            <w:r>
              <w:rPr>
                <w:rFonts w:ascii="Arial" w:hAnsi="Arial"/>
                <w:sz w:val="18"/>
              </w:rPr>
              <w:t>High</w:t>
            </w:r>
          </w:p>
        </w:tc>
      </w:tr>
      <w:tr w:rsidR="00AC41AE" w14:paraId="21C04304" w14:textId="77777777">
        <w:trPr>
          <w:jc w:val="center"/>
        </w:trPr>
        <w:tc>
          <w:tcPr>
            <w:tcW w:w="1806" w:type="dxa"/>
            <w:shd w:val="clear" w:color="auto" w:fill="F2F6FC"/>
          </w:tcPr>
          <w:p w14:paraId="4B178784" w14:textId="77777777" w:rsidR="00AC41AE" w:rsidRDefault="00000000">
            <w:r>
              <w:rPr>
                <w:rFonts w:ascii="Arial" w:hAnsi="Arial"/>
                <w:sz w:val="18"/>
              </w:rPr>
              <w:t>ESRS 2</w:t>
            </w:r>
          </w:p>
        </w:tc>
        <w:tc>
          <w:tcPr>
            <w:tcW w:w="1806" w:type="dxa"/>
            <w:shd w:val="clear" w:color="auto" w:fill="F2F6FC"/>
          </w:tcPr>
          <w:p w14:paraId="60B6BB54" w14:textId="77777777" w:rsidR="00AC41AE" w:rsidRDefault="00000000">
            <w:r>
              <w:rPr>
                <w:rFonts w:ascii="Arial" w:hAnsi="Arial"/>
                <w:sz w:val="18"/>
              </w:rPr>
              <w:t>GOV-3</w:t>
            </w:r>
          </w:p>
        </w:tc>
        <w:tc>
          <w:tcPr>
            <w:tcW w:w="1806" w:type="dxa"/>
            <w:shd w:val="clear" w:color="auto" w:fill="F2F6FC"/>
          </w:tcPr>
          <w:p w14:paraId="5D3D6054" w14:textId="77777777" w:rsidR="00AC41AE" w:rsidRDefault="00000000">
            <w:r>
              <w:rPr>
                <w:rFonts w:ascii="Arial" w:hAnsi="Arial"/>
                <w:sz w:val="18"/>
              </w:rPr>
              <w:t>Integration of sustainability performance in incentive schemes</w:t>
            </w:r>
          </w:p>
        </w:tc>
        <w:tc>
          <w:tcPr>
            <w:tcW w:w="1806" w:type="dxa"/>
            <w:shd w:val="clear" w:color="auto" w:fill="F2F6FC"/>
          </w:tcPr>
          <w:p w14:paraId="16A5560D" w14:textId="77777777" w:rsidR="00AC41AE" w:rsidRDefault="00000000">
            <w:r>
              <w:rPr>
                <w:rFonts w:ascii="Arial" w:hAnsi="Arial"/>
                <w:sz w:val="18"/>
              </w:rPr>
              <w:t>⚠️ Gap — No remuneration linkage</w:t>
            </w:r>
          </w:p>
        </w:tc>
        <w:tc>
          <w:tcPr>
            <w:tcW w:w="1806" w:type="dxa"/>
            <w:shd w:val="clear" w:color="auto" w:fill="F2F6FC"/>
          </w:tcPr>
          <w:p w14:paraId="5FE2FAE6" w14:textId="77777777" w:rsidR="00AC41AE" w:rsidRDefault="00000000">
            <w:r>
              <w:rPr>
                <w:rFonts w:ascii="Arial" w:hAnsi="Arial"/>
                <w:sz w:val="18"/>
              </w:rPr>
              <w:t>High</w:t>
            </w:r>
          </w:p>
        </w:tc>
      </w:tr>
      <w:tr w:rsidR="00AC41AE" w14:paraId="58092E29" w14:textId="77777777">
        <w:trPr>
          <w:jc w:val="center"/>
        </w:trPr>
        <w:tc>
          <w:tcPr>
            <w:tcW w:w="1806" w:type="dxa"/>
          </w:tcPr>
          <w:p w14:paraId="67D7B4C9" w14:textId="77777777" w:rsidR="00AC41AE" w:rsidRDefault="00000000">
            <w:r>
              <w:rPr>
                <w:rFonts w:ascii="Arial" w:hAnsi="Arial"/>
                <w:sz w:val="18"/>
              </w:rPr>
              <w:t>OJK POJK 51/2017</w:t>
            </w:r>
          </w:p>
        </w:tc>
        <w:tc>
          <w:tcPr>
            <w:tcW w:w="1806" w:type="dxa"/>
          </w:tcPr>
          <w:p w14:paraId="593F7609" w14:textId="77777777" w:rsidR="00AC41AE" w:rsidRDefault="00000000">
            <w:r>
              <w:rPr>
                <w:rFonts w:ascii="Arial" w:hAnsi="Arial"/>
                <w:sz w:val="18"/>
              </w:rPr>
              <w:t>Article 8-9</w:t>
            </w:r>
          </w:p>
        </w:tc>
        <w:tc>
          <w:tcPr>
            <w:tcW w:w="1806" w:type="dxa"/>
          </w:tcPr>
          <w:p w14:paraId="72A00A23" w14:textId="77777777" w:rsidR="00AC41AE" w:rsidRDefault="00000000">
            <w:r>
              <w:rPr>
                <w:rFonts w:ascii="Arial" w:hAnsi="Arial"/>
                <w:sz w:val="18"/>
              </w:rPr>
              <w:t>Board-level sustainability committee or working group</w:t>
            </w:r>
          </w:p>
        </w:tc>
        <w:tc>
          <w:tcPr>
            <w:tcW w:w="1806" w:type="dxa"/>
          </w:tcPr>
          <w:p w14:paraId="00B1DCE0" w14:textId="77777777" w:rsidR="00AC41AE" w:rsidRDefault="00000000">
            <w:r>
              <w:rPr>
                <w:rFonts w:ascii="Arial" w:hAnsi="Arial"/>
                <w:sz w:val="18"/>
              </w:rPr>
              <w:t>⚠️ Gap — No committee established</w:t>
            </w:r>
          </w:p>
        </w:tc>
        <w:tc>
          <w:tcPr>
            <w:tcW w:w="1806" w:type="dxa"/>
          </w:tcPr>
          <w:p w14:paraId="4273301A" w14:textId="77777777" w:rsidR="00AC41AE" w:rsidRDefault="00000000">
            <w:r>
              <w:rPr>
                <w:rFonts w:ascii="Arial" w:hAnsi="Arial"/>
                <w:sz w:val="18"/>
              </w:rPr>
              <w:t>Critical</w:t>
            </w:r>
          </w:p>
        </w:tc>
      </w:tr>
    </w:tbl>
    <w:p w14:paraId="733CC298" w14:textId="77777777" w:rsidR="00AC41AE" w:rsidRDefault="00000000">
      <w:r>
        <w:rPr>
          <w:rFonts w:ascii="Arial" w:hAnsi="Arial"/>
          <w:i/>
          <w:sz w:val="16"/>
        </w:rPr>
        <w:t>Source: Status assessment based on DATA INPUT governance fields (all NULL). Priority reflects regulatory mandate (OJK) and investor expectations (IFRS S2 effective 2024).</w:t>
      </w:r>
    </w:p>
    <w:p w14:paraId="7D022A0A" w14:textId="77777777" w:rsidR="00AC41AE" w:rsidRDefault="00AC41AE"/>
    <w:p w14:paraId="5713C654" w14:textId="77777777" w:rsidR="00AC41AE" w:rsidRDefault="00000000">
      <w:r>
        <w:rPr>
          <w:rFonts w:ascii="Arial" w:hAnsi="Arial"/>
          <w:b/>
          <w:sz w:val="20"/>
        </w:rPr>
        <w:t>Table 56: Table 3.1.2: Peer Bank Governance Infrastructure Comparison</w:t>
      </w:r>
    </w:p>
    <w:tbl>
      <w:tblPr>
        <w:tblW w:w="0" w:type="auto"/>
        <w:jc w:val="center"/>
        <w:tblLook w:val="04A0" w:firstRow="1" w:lastRow="0" w:firstColumn="1" w:lastColumn="0" w:noHBand="0" w:noVBand="1"/>
      </w:tblPr>
      <w:tblGrid>
        <w:gridCol w:w="1505"/>
        <w:gridCol w:w="1505"/>
        <w:gridCol w:w="1505"/>
        <w:gridCol w:w="1505"/>
        <w:gridCol w:w="1505"/>
        <w:gridCol w:w="1505"/>
      </w:tblGrid>
      <w:tr w:rsidR="00AC41AE" w14:paraId="4CB6FF77" w14:textId="77777777">
        <w:trPr>
          <w:jc w:val="center"/>
        </w:trPr>
        <w:tc>
          <w:tcPr>
            <w:tcW w:w="1505" w:type="dxa"/>
            <w:shd w:val="clear" w:color="auto" w:fill="1B3A6B"/>
          </w:tcPr>
          <w:p w14:paraId="2CAC78BB" w14:textId="77777777" w:rsidR="00AC41AE" w:rsidRDefault="00000000">
            <w:r>
              <w:rPr>
                <w:rFonts w:ascii="Arial" w:hAnsi="Arial"/>
                <w:b/>
                <w:color w:val="FFFFFF"/>
                <w:sz w:val="18"/>
              </w:rPr>
              <w:t>Governance Element</w:t>
            </w:r>
          </w:p>
        </w:tc>
        <w:tc>
          <w:tcPr>
            <w:tcW w:w="1505" w:type="dxa"/>
            <w:shd w:val="clear" w:color="auto" w:fill="1B3A6B"/>
          </w:tcPr>
          <w:p w14:paraId="6FA06D35" w14:textId="77777777" w:rsidR="00AC41AE" w:rsidRDefault="00000000">
            <w:r>
              <w:rPr>
                <w:rFonts w:ascii="Arial" w:hAnsi="Arial"/>
                <w:b/>
                <w:color w:val="FFFFFF"/>
                <w:sz w:val="18"/>
              </w:rPr>
              <w:t>BRI</w:t>
            </w:r>
          </w:p>
        </w:tc>
        <w:tc>
          <w:tcPr>
            <w:tcW w:w="1505" w:type="dxa"/>
            <w:shd w:val="clear" w:color="auto" w:fill="1B3A6B"/>
          </w:tcPr>
          <w:p w14:paraId="788A6AD5" w14:textId="77777777" w:rsidR="00AC41AE" w:rsidRDefault="00000000">
            <w:r>
              <w:rPr>
                <w:rFonts w:ascii="Arial" w:hAnsi="Arial"/>
                <w:b/>
                <w:color w:val="FFFFFF"/>
                <w:sz w:val="18"/>
              </w:rPr>
              <w:t>BCA</w:t>
            </w:r>
          </w:p>
        </w:tc>
        <w:tc>
          <w:tcPr>
            <w:tcW w:w="1505" w:type="dxa"/>
            <w:shd w:val="clear" w:color="auto" w:fill="1B3A6B"/>
          </w:tcPr>
          <w:p w14:paraId="713172D3" w14:textId="77777777" w:rsidR="00AC41AE" w:rsidRDefault="00000000">
            <w:r>
              <w:rPr>
                <w:rFonts w:ascii="Arial" w:hAnsi="Arial"/>
                <w:b/>
                <w:color w:val="FFFFFF"/>
                <w:sz w:val="18"/>
              </w:rPr>
              <w:t>DBS</w:t>
            </w:r>
          </w:p>
        </w:tc>
        <w:tc>
          <w:tcPr>
            <w:tcW w:w="1505" w:type="dxa"/>
            <w:shd w:val="clear" w:color="auto" w:fill="1B3A6B"/>
          </w:tcPr>
          <w:p w14:paraId="110EF5D3" w14:textId="77777777" w:rsidR="00AC41AE" w:rsidRDefault="00000000">
            <w:r>
              <w:rPr>
                <w:rFonts w:ascii="Arial" w:hAnsi="Arial"/>
                <w:b/>
                <w:color w:val="FFFFFF"/>
                <w:sz w:val="18"/>
              </w:rPr>
              <w:t>Mandiri</w:t>
            </w:r>
          </w:p>
        </w:tc>
        <w:tc>
          <w:tcPr>
            <w:tcW w:w="1505" w:type="dxa"/>
            <w:shd w:val="clear" w:color="auto" w:fill="1B3A6B"/>
          </w:tcPr>
          <w:p w14:paraId="05F96C28" w14:textId="77777777" w:rsidR="00AC41AE" w:rsidRDefault="00000000">
            <w:r>
              <w:rPr>
                <w:rFonts w:ascii="Arial" w:hAnsi="Arial"/>
                <w:b/>
                <w:color w:val="FFFFFF"/>
                <w:sz w:val="18"/>
              </w:rPr>
              <w:t>Institution Status</w:t>
            </w:r>
          </w:p>
        </w:tc>
      </w:tr>
      <w:tr w:rsidR="00AC41AE" w14:paraId="3CA8B4A7" w14:textId="77777777">
        <w:trPr>
          <w:jc w:val="center"/>
        </w:trPr>
        <w:tc>
          <w:tcPr>
            <w:tcW w:w="1505" w:type="dxa"/>
          </w:tcPr>
          <w:p w14:paraId="23735644" w14:textId="77777777" w:rsidR="00AC41AE" w:rsidRDefault="00000000">
            <w:r>
              <w:rPr>
                <w:rFonts w:ascii="Arial" w:hAnsi="Arial"/>
                <w:sz w:val="18"/>
              </w:rPr>
              <w:t>Board-level ESG Committee</w:t>
            </w:r>
          </w:p>
        </w:tc>
        <w:tc>
          <w:tcPr>
            <w:tcW w:w="1505" w:type="dxa"/>
          </w:tcPr>
          <w:p w14:paraId="1AC146F9" w14:textId="77777777" w:rsidR="00AC41AE" w:rsidRDefault="00000000">
            <w:r>
              <w:rPr>
                <w:rFonts w:ascii="Arial" w:hAnsi="Arial"/>
                <w:sz w:val="18"/>
              </w:rPr>
              <w:t>✅ Risk Mgmt &amp; ESG Committee (2021)</w:t>
            </w:r>
          </w:p>
        </w:tc>
        <w:tc>
          <w:tcPr>
            <w:tcW w:w="1505" w:type="dxa"/>
          </w:tcPr>
          <w:p w14:paraId="03CC70E3" w14:textId="77777777" w:rsidR="00AC41AE" w:rsidRDefault="00000000">
            <w:r>
              <w:rPr>
                <w:rFonts w:ascii="Arial" w:hAnsi="Arial"/>
                <w:sz w:val="18"/>
              </w:rPr>
              <w:t>ESG Subdivision under Corporate Secretary</w:t>
            </w:r>
          </w:p>
        </w:tc>
        <w:tc>
          <w:tcPr>
            <w:tcW w:w="1505" w:type="dxa"/>
          </w:tcPr>
          <w:p w14:paraId="5513714E" w14:textId="77777777" w:rsidR="00AC41AE" w:rsidRDefault="00000000">
            <w:r>
              <w:rPr>
                <w:rFonts w:ascii="Arial" w:hAnsi="Arial"/>
                <w:sz w:val="18"/>
              </w:rPr>
              <w:t>✅ Board Sustainability Committee</w:t>
            </w:r>
          </w:p>
        </w:tc>
        <w:tc>
          <w:tcPr>
            <w:tcW w:w="1505" w:type="dxa"/>
          </w:tcPr>
          <w:p w14:paraId="65EEAA0E" w14:textId="77777777" w:rsidR="00AC41AE" w:rsidRDefault="00000000">
            <w:r>
              <w:rPr>
                <w:rFonts w:ascii="Arial" w:hAnsi="Arial"/>
                <w:sz w:val="18"/>
              </w:rPr>
              <w:t>ESG Task Force</w:t>
            </w:r>
          </w:p>
        </w:tc>
        <w:tc>
          <w:tcPr>
            <w:tcW w:w="1505" w:type="dxa"/>
          </w:tcPr>
          <w:p w14:paraId="0FFECA6F" w14:textId="77777777" w:rsidR="00AC41AE" w:rsidRDefault="00000000">
            <w:r>
              <w:rPr>
                <w:rFonts w:ascii="Arial" w:hAnsi="Arial"/>
                <w:sz w:val="18"/>
              </w:rPr>
              <w:t>⚠️ Not established</w:t>
            </w:r>
          </w:p>
        </w:tc>
      </w:tr>
      <w:tr w:rsidR="00AC41AE" w14:paraId="4F6D2574" w14:textId="77777777">
        <w:trPr>
          <w:jc w:val="center"/>
        </w:trPr>
        <w:tc>
          <w:tcPr>
            <w:tcW w:w="1505" w:type="dxa"/>
            <w:shd w:val="clear" w:color="auto" w:fill="F2F6FC"/>
          </w:tcPr>
          <w:p w14:paraId="2F274A94" w14:textId="77777777" w:rsidR="00AC41AE" w:rsidRDefault="00000000">
            <w:r>
              <w:rPr>
                <w:rFonts w:ascii="Arial" w:hAnsi="Arial"/>
                <w:sz w:val="18"/>
              </w:rPr>
              <w:t>Reporting Line</w:t>
            </w:r>
          </w:p>
        </w:tc>
        <w:tc>
          <w:tcPr>
            <w:tcW w:w="1505" w:type="dxa"/>
            <w:shd w:val="clear" w:color="auto" w:fill="F2F6FC"/>
          </w:tcPr>
          <w:p w14:paraId="1164D66D" w14:textId="77777777" w:rsidR="00AC41AE" w:rsidRDefault="00000000">
            <w:r>
              <w:rPr>
                <w:rFonts w:ascii="Arial" w:hAnsi="Arial"/>
                <w:sz w:val="18"/>
              </w:rPr>
              <w:t>President Director</w:t>
            </w:r>
          </w:p>
        </w:tc>
        <w:tc>
          <w:tcPr>
            <w:tcW w:w="1505" w:type="dxa"/>
            <w:shd w:val="clear" w:color="auto" w:fill="F2F6FC"/>
          </w:tcPr>
          <w:p w14:paraId="6482D216" w14:textId="77777777" w:rsidR="00AC41AE" w:rsidRDefault="00000000">
            <w:r>
              <w:rPr>
                <w:rFonts w:ascii="Arial" w:hAnsi="Arial"/>
                <w:sz w:val="18"/>
              </w:rPr>
              <w:t>Director Planning &amp; Finance → President Director</w:t>
            </w:r>
          </w:p>
        </w:tc>
        <w:tc>
          <w:tcPr>
            <w:tcW w:w="1505" w:type="dxa"/>
            <w:shd w:val="clear" w:color="auto" w:fill="F2F6FC"/>
          </w:tcPr>
          <w:p w14:paraId="09C28291" w14:textId="77777777" w:rsidR="00AC41AE" w:rsidRDefault="00000000">
            <w:r>
              <w:rPr>
                <w:rFonts w:ascii="Arial" w:hAnsi="Arial"/>
                <w:sz w:val="18"/>
              </w:rPr>
              <w:t>Chief Sustainability Officer → Board</w:t>
            </w:r>
          </w:p>
        </w:tc>
        <w:tc>
          <w:tcPr>
            <w:tcW w:w="1505" w:type="dxa"/>
            <w:shd w:val="clear" w:color="auto" w:fill="F2F6FC"/>
          </w:tcPr>
          <w:p w14:paraId="0617AFB9" w14:textId="77777777" w:rsidR="00AC41AE" w:rsidRDefault="00000000">
            <w:r>
              <w:rPr>
                <w:rFonts w:ascii="Arial" w:hAnsi="Arial"/>
                <w:sz w:val="18"/>
              </w:rPr>
              <w:t>Director → President Director</w:t>
            </w:r>
          </w:p>
        </w:tc>
        <w:tc>
          <w:tcPr>
            <w:tcW w:w="1505" w:type="dxa"/>
            <w:shd w:val="clear" w:color="auto" w:fill="F2F6FC"/>
          </w:tcPr>
          <w:p w14:paraId="55BD04C7" w14:textId="77777777" w:rsidR="00AC41AE" w:rsidRDefault="00000000">
            <w:r>
              <w:rPr>
                <w:rFonts w:ascii="Arial" w:hAnsi="Arial"/>
                <w:sz w:val="18"/>
              </w:rPr>
              <w:t>⚠️ Not defined</w:t>
            </w:r>
          </w:p>
        </w:tc>
      </w:tr>
      <w:tr w:rsidR="00AC41AE" w14:paraId="627953AD" w14:textId="77777777">
        <w:trPr>
          <w:jc w:val="center"/>
        </w:trPr>
        <w:tc>
          <w:tcPr>
            <w:tcW w:w="1505" w:type="dxa"/>
          </w:tcPr>
          <w:p w14:paraId="2942A0D8" w14:textId="77777777" w:rsidR="00AC41AE" w:rsidRDefault="00000000">
            <w:r>
              <w:rPr>
                <w:rFonts w:ascii="Arial" w:hAnsi="Arial"/>
                <w:sz w:val="18"/>
              </w:rPr>
              <w:t>Board Review Frequency</w:t>
            </w:r>
          </w:p>
        </w:tc>
        <w:tc>
          <w:tcPr>
            <w:tcW w:w="1505" w:type="dxa"/>
          </w:tcPr>
          <w:p w14:paraId="7C213FCE" w14:textId="77777777" w:rsidR="00AC41AE" w:rsidRDefault="00000000">
            <w:r>
              <w:rPr>
                <w:rFonts w:ascii="Arial" w:hAnsi="Arial"/>
                <w:sz w:val="18"/>
              </w:rPr>
              <w:t>Quarterly</w:t>
            </w:r>
          </w:p>
        </w:tc>
        <w:tc>
          <w:tcPr>
            <w:tcW w:w="1505" w:type="dxa"/>
          </w:tcPr>
          <w:p w14:paraId="2299AAAA" w14:textId="77777777" w:rsidR="00AC41AE" w:rsidRDefault="00000000">
            <w:r>
              <w:rPr>
                <w:rFonts w:ascii="Arial" w:hAnsi="Arial"/>
                <w:sz w:val="18"/>
              </w:rPr>
              <w:t>≥4x per year</w:t>
            </w:r>
          </w:p>
        </w:tc>
        <w:tc>
          <w:tcPr>
            <w:tcW w:w="1505" w:type="dxa"/>
          </w:tcPr>
          <w:p w14:paraId="7C34F3BA" w14:textId="77777777" w:rsidR="00AC41AE" w:rsidRDefault="00000000">
            <w:r>
              <w:rPr>
                <w:rFonts w:ascii="Arial" w:hAnsi="Arial"/>
                <w:sz w:val="18"/>
              </w:rPr>
              <w:t>Quarterly</w:t>
            </w:r>
          </w:p>
        </w:tc>
        <w:tc>
          <w:tcPr>
            <w:tcW w:w="1505" w:type="dxa"/>
          </w:tcPr>
          <w:p w14:paraId="16771AB6" w14:textId="77777777" w:rsidR="00AC41AE" w:rsidRDefault="00000000">
            <w:r>
              <w:rPr>
                <w:rFonts w:ascii="Arial" w:hAnsi="Arial"/>
                <w:sz w:val="18"/>
              </w:rPr>
              <w:t>Semi-annual</w:t>
            </w:r>
          </w:p>
        </w:tc>
        <w:tc>
          <w:tcPr>
            <w:tcW w:w="1505" w:type="dxa"/>
          </w:tcPr>
          <w:p w14:paraId="72488092" w14:textId="77777777" w:rsidR="00AC41AE" w:rsidRDefault="00000000">
            <w:r>
              <w:rPr>
                <w:rFonts w:ascii="Arial" w:hAnsi="Arial"/>
                <w:sz w:val="18"/>
              </w:rPr>
              <w:t>⚠️ Not applicable</w:t>
            </w:r>
          </w:p>
        </w:tc>
      </w:tr>
      <w:tr w:rsidR="00AC41AE" w14:paraId="53FB86B8" w14:textId="77777777">
        <w:trPr>
          <w:jc w:val="center"/>
        </w:trPr>
        <w:tc>
          <w:tcPr>
            <w:tcW w:w="1505" w:type="dxa"/>
            <w:shd w:val="clear" w:color="auto" w:fill="F2F6FC"/>
          </w:tcPr>
          <w:p w14:paraId="638C10C0" w14:textId="77777777" w:rsidR="00AC41AE" w:rsidRDefault="00000000">
            <w:r>
              <w:rPr>
                <w:rFonts w:ascii="Arial" w:hAnsi="Arial"/>
                <w:sz w:val="18"/>
              </w:rPr>
              <w:t>ESG KPI in Executive Remuneration</w:t>
            </w:r>
          </w:p>
        </w:tc>
        <w:tc>
          <w:tcPr>
            <w:tcW w:w="1505" w:type="dxa"/>
            <w:shd w:val="clear" w:color="auto" w:fill="F2F6FC"/>
          </w:tcPr>
          <w:p w14:paraId="0F6B8E17" w14:textId="77777777" w:rsidR="00AC41AE" w:rsidRDefault="00000000">
            <w:r>
              <w:rPr>
                <w:rFonts w:ascii="Arial" w:hAnsi="Arial"/>
                <w:sz w:val="18"/>
              </w:rPr>
              <w:t>✅ Yes</w:t>
            </w:r>
          </w:p>
        </w:tc>
        <w:tc>
          <w:tcPr>
            <w:tcW w:w="1505" w:type="dxa"/>
            <w:shd w:val="clear" w:color="auto" w:fill="F2F6FC"/>
          </w:tcPr>
          <w:p w14:paraId="2C36B0E5" w14:textId="77777777" w:rsidR="00AC41AE" w:rsidRDefault="00000000">
            <w:r>
              <w:rPr>
                <w:rFonts w:ascii="Arial" w:hAnsi="Arial"/>
                <w:sz w:val="18"/>
              </w:rPr>
              <w:t>✅ Integrated to BoD &amp; work unit KPIs</w:t>
            </w:r>
          </w:p>
        </w:tc>
        <w:tc>
          <w:tcPr>
            <w:tcW w:w="1505" w:type="dxa"/>
            <w:shd w:val="clear" w:color="auto" w:fill="F2F6FC"/>
          </w:tcPr>
          <w:p w14:paraId="492CFEEF" w14:textId="77777777" w:rsidR="00AC41AE" w:rsidRDefault="00000000">
            <w:r>
              <w:rPr>
                <w:rFonts w:ascii="Arial" w:hAnsi="Arial"/>
                <w:sz w:val="18"/>
              </w:rPr>
              <w:t>✅ Yes (20% weight)</w:t>
            </w:r>
          </w:p>
        </w:tc>
        <w:tc>
          <w:tcPr>
            <w:tcW w:w="1505" w:type="dxa"/>
            <w:shd w:val="clear" w:color="auto" w:fill="F2F6FC"/>
          </w:tcPr>
          <w:p w14:paraId="5E3CE413" w14:textId="77777777" w:rsidR="00AC41AE" w:rsidRDefault="00000000">
            <w:r>
              <w:rPr>
                <w:rFonts w:ascii="Arial" w:hAnsi="Arial"/>
                <w:sz w:val="18"/>
              </w:rPr>
              <w:t>Partial</w:t>
            </w:r>
          </w:p>
        </w:tc>
        <w:tc>
          <w:tcPr>
            <w:tcW w:w="1505" w:type="dxa"/>
            <w:shd w:val="clear" w:color="auto" w:fill="F2F6FC"/>
          </w:tcPr>
          <w:p w14:paraId="61069128" w14:textId="77777777" w:rsidR="00AC41AE" w:rsidRDefault="00000000">
            <w:r>
              <w:rPr>
                <w:rFonts w:ascii="Arial" w:hAnsi="Arial"/>
                <w:sz w:val="18"/>
              </w:rPr>
              <w:t>⚠️ Not implemented</w:t>
            </w:r>
          </w:p>
        </w:tc>
      </w:tr>
      <w:tr w:rsidR="00AC41AE" w14:paraId="0FF56F30" w14:textId="77777777">
        <w:trPr>
          <w:jc w:val="center"/>
        </w:trPr>
        <w:tc>
          <w:tcPr>
            <w:tcW w:w="1505" w:type="dxa"/>
          </w:tcPr>
          <w:p w14:paraId="736C1CDA" w14:textId="77777777" w:rsidR="00AC41AE" w:rsidRDefault="00000000">
            <w:r>
              <w:rPr>
                <w:rFonts w:ascii="Arial" w:hAnsi="Arial"/>
                <w:sz w:val="18"/>
              </w:rPr>
              <w:t>Formal Policy Decree</w:t>
            </w:r>
          </w:p>
        </w:tc>
        <w:tc>
          <w:tcPr>
            <w:tcW w:w="1505" w:type="dxa"/>
          </w:tcPr>
          <w:p w14:paraId="159BD980" w14:textId="77777777" w:rsidR="00AC41AE" w:rsidRDefault="00000000">
            <w:r>
              <w:rPr>
                <w:rFonts w:ascii="Arial" w:hAnsi="Arial"/>
                <w:sz w:val="18"/>
              </w:rPr>
              <w:t>NOKEP 872-DIR/2022</w:t>
            </w:r>
          </w:p>
        </w:tc>
        <w:tc>
          <w:tcPr>
            <w:tcW w:w="1505" w:type="dxa"/>
          </w:tcPr>
          <w:p w14:paraId="16F3B22F" w14:textId="77777777" w:rsidR="00AC41AE" w:rsidRDefault="00000000">
            <w:r>
              <w:rPr>
                <w:rFonts w:ascii="Arial" w:hAnsi="Arial"/>
                <w:sz w:val="18"/>
              </w:rPr>
              <w:t>Multiple BoD Decrees (SLL, Green Loan, Sectoral ESG)</w:t>
            </w:r>
          </w:p>
        </w:tc>
        <w:tc>
          <w:tcPr>
            <w:tcW w:w="1505" w:type="dxa"/>
          </w:tcPr>
          <w:p w14:paraId="1E076EC5" w14:textId="77777777" w:rsidR="00AC41AE" w:rsidRDefault="00000000">
            <w:r>
              <w:rPr>
                <w:rFonts w:ascii="Arial" w:hAnsi="Arial"/>
                <w:sz w:val="18"/>
              </w:rPr>
              <w:t>Board-approved ESG Framework</w:t>
            </w:r>
          </w:p>
        </w:tc>
        <w:tc>
          <w:tcPr>
            <w:tcW w:w="1505" w:type="dxa"/>
          </w:tcPr>
          <w:p w14:paraId="1E31502A" w14:textId="77777777" w:rsidR="00AC41AE" w:rsidRDefault="00000000">
            <w:r>
              <w:rPr>
                <w:rFonts w:ascii="Arial" w:hAnsi="Arial"/>
                <w:sz w:val="18"/>
              </w:rPr>
              <w:t>Internal policy</w:t>
            </w:r>
          </w:p>
        </w:tc>
        <w:tc>
          <w:tcPr>
            <w:tcW w:w="1505" w:type="dxa"/>
          </w:tcPr>
          <w:p w14:paraId="64DD1181" w14:textId="77777777" w:rsidR="00AC41AE" w:rsidRDefault="00000000">
            <w:r>
              <w:rPr>
                <w:rFonts w:ascii="Arial" w:hAnsi="Arial"/>
                <w:sz w:val="18"/>
              </w:rPr>
              <w:t>⚠️ Not issued</w:t>
            </w:r>
          </w:p>
        </w:tc>
      </w:tr>
      <w:tr w:rsidR="00AC41AE" w14:paraId="4A48DF2E" w14:textId="77777777">
        <w:trPr>
          <w:jc w:val="center"/>
        </w:trPr>
        <w:tc>
          <w:tcPr>
            <w:tcW w:w="1505" w:type="dxa"/>
            <w:shd w:val="clear" w:color="auto" w:fill="F2F6FC"/>
          </w:tcPr>
          <w:p w14:paraId="55B73870" w14:textId="77777777" w:rsidR="00AC41AE" w:rsidRDefault="00000000">
            <w:r>
              <w:rPr>
                <w:rFonts w:ascii="Arial" w:hAnsi="Arial"/>
                <w:sz w:val="18"/>
              </w:rPr>
              <w:t xml:space="preserve">Sectoral Credit </w:t>
            </w:r>
            <w:r>
              <w:rPr>
                <w:rFonts w:ascii="Arial" w:hAnsi="Arial"/>
                <w:sz w:val="18"/>
              </w:rPr>
              <w:lastRenderedPageBreak/>
              <w:t>Policies</w:t>
            </w:r>
          </w:p>
        </w:tc>
        <w:tc>
          <w:tcPr>
            <w:tcW w:w="1505" w:type="dxa"/>
            <w:shd w:val="clear" w:color="auto" w:fill="F2F6FC"/>
          </w:tcPr>
          <w:p w14:paraId="70FCFCC6" w14:textId="77777777" w:rsidR="00AC41AE" w:rsidRDefault="00000000">
            <w:r>
              <w:rPr>
                <w:rFonts w:ascii="Arial" w:hAnsi="Arial"/>
                <w:sz w:val="18"/>
              </w:rPr>
              <w:lastRenderedPageBreak/>
              <w:t xml:space="preserve">✅ Palm oil, </w:t>
            </w:r>
            <w:r>
              <w:rPr>
                <w:rFonts w:ascii="Arial" w:hAnsi="Arial"/>
                <w:sz w:val="18"/>
              </w:rPr>
              <w:lastRenderedPageBreak/>
              <w:t>coal, timber, cement, steel, O&amp;G</w:t>
            </w:r>
          </w:p>
        </w:tc>
        <w:tc>
          <w:tcPr>
            <w:tcW w:w="1505" w:type="dxa"/>
            <w:shd w:val="clear" w:color="auto" w:fill="F2F6FC"/>
          </w:tcPr>
          <w:p w14:paraId="347A1AD6" w14:textId="77777777" w:rsidR="00AC41AE" w:rsidRDefault="00000000">
            <w:r>
              <w:rPr>
                <w:rFonts w:ascii="Arial" w:hAnsi="Arial"/>
                <w:sz w:val="18"/>
              </w:rPr>
              <w:lastRenderedPageBreak/>
              <w:t xml:space="preserve">✅ Palm oil, </w:t>
            </w:r>
            <w:r>
              <w:rPr>
                <w:rFonts w:ascii="Arial" w:hAnsi="Arial"/>
                <w:sz w:val="18"/>
              </w:rPr>
              <w:lastRenderedPageBreak/>
              <w:t>coal, timber, toll roads, cement, iron-steel, O&amp;G</w:t>
            </w:r>
          </w:p>
        </w:tc>
        <w:tc>
          <w:tcPr>
            <w:tcW w:w="1505" w:type="dxa"/>
            <w:shd w:val="clear" w:color="auto" w:fill="F2F6FC"/>
          </w:tcPr>
          <w:p w14:paraId="4B645497" w14:textId="77777777" w:rsidR="00AC41AE" w:rsidRDefault="00000000">
            <w:r>
              <w:rPr>
                <w:rFonts w:ascii="Arial" w:hAnsi="Arial"/>
                <w:sz w:val="18"/>
              </w:rPr>
              <w:lastRenderedPageBreak/>
              <w:t>✅ Coal phase-</w:t>
            </w:r>
            <w:r>
              <w:rPr>
                <w:rFonts w:ascii="Arial" w:hAnsi="Arial"/>
                <w:sz w:val="18"/>
              </w:rPr>
              <w:lastRenderedPageBreak/>
              <w:t>out 2039</w:t>
            </w:r>
          </w:p>
        </w:tc>
        <w:tc>
          <w:tcPr>
            <w:tcW w:w="1505" w:type="dxa"/>
            <w:shd w:val="clear" w:color="auto" w:fill="F2F6FC"/>
          </w:tcPr>
          <w:p w14:paraId="630DFE51" w14:textId="77777777" w:rsidR="00AC41AE" w:rsidRDefault="00000000">
            <w:r>
              <w:rPr>
                <w:rFonts w:ascii="Arial" w:hAnsi="Arial"/>
                <w:sz w:val="18"/>
              </w:rPr>
              <w:lastRenderedPageBreak/>
              <w:t xml:space="preserve">✅ Fossil fuel </w:t>
            </w:r>
            <w:r>
              <w:rPr>
                <w:rFonts w:ascii="Arial" w:hAnsi="Arial"/>
                <w:sz w:val="18"/>
              </w:rPr>
              <w:lastRenderedPageBreak/>
              <w:t>limits</w:t>
            </w:r>
          </w:p>
        </w:tc>
        <w:tc>
          <w:tcPr>
            <w:tcW w:w="1505" w:type="dxa"/>
            <w:shd w:val="clear" w:color="auto" w:fill="F2F6FC"/>
          </w:tcPr>
          <w:p w14:paraId="2AE264FC" w14:textId="77777777" w:rsidR="00AC41AE" w:rsidRDefault="00000000">
            <w:r>
              <w:rPr>
                <w:rFonts w:ascii="Arial" w:hAnsi="Arial"/>
                <w:sz w:val="18"/>
              </w:rPr>
              <w:lastRenderedPageBreak/>
              <w:t xml:space="preserve">⚠️ Not </w:t>
            </w:r>
            <w:r>
              <w:rPr>
                <w:rFonts w:ascii="Arial" w:hAnsi="Arial"/>
                <w:sz w:val="18"/>
              </w:rPr>
              <w:lastRenderedPageBreak/>
              <w:t>developed</w:t>
            </w:r>
          </w:p>
        </w:tc>
      </w:tr>
      <w:tr w:rsidR="00AC41AE" w14:paraId="410B4315" w14:textId="77777777">
        <w:trPr>
          <w:jc w:val="center"/>
        </w:trPr>
        <w:tc>
          <w:tcPr>
            <w:tcW w:w="1505" w:type="dxa"/>
          </w:tcPr>
          <w:p w14:paraId="68A6B410" w14:textId="77777777" w:rsidR="00AC41AE" w:rsidRDefault="00000000">
            <w:r>
              <w:rPr>
                <w:rFonts w:ascii="Arial" w:hAnsi="Arial"/>
                <w:sz w:val="18"/>
              </w:rPr>
              <w:lastRenderedPageBreak/>
              <w:t>SBTi Commitment</w:t>
            </w:r>
          </w:p>
        </w:tc>
        <w:tc>
          <w:tcPr>
            <w:tcW w:w="1505" w:type="dxa"/>
          </w:tcPr>
          <w:p w14:paraId="5E56A72C" w14:textId="77777777" w:rsidR="00AC41AE" w:rsidRDefault="00000000">
            <w:r>
              <w:rPr>
                <w:rFonts w:ascii="Arial" w:hAnsi="Arial"/>
                <w:sz w:val="18"/>
              </w:rPr>
              <w:t>✅ First ID FI</w:t>
            </w:r>
          </w:p>
        </w:tc>
        <w:tc>
          <w:tcPr>
            <w:tcW w:w="1505" w:type="dxa"/>
          </w:tcPr>
          <w:p w14:paraId="3D582943" w14:textId="77777777" w:rsidR="00AC41AE" w:rsidRDefault="00000000">
            <w:r>
              <w:rPr>
                <w:rFonts w:ascii="Arial" w:hAnsi="Arial"/>
                <w:sz w:val="18"/>
              </w:rPr>
              <w:t>Evaluating</w:t>
            </w:r>
          </w:p>
        </w:tc>
        <w:tc>
          <w:tcPr>
            <w:tcW w:w="1505" w:type="dxa"/>
          </w:tcPr>
          <w:p w14:paraId="7A33C6DA" w14:textId="77777777" w:rsidR="00AC41AE" w:rsidRDefault="00000000">
            <w:r>
              <w:rPr>
                <w:rFonts w:ascii="Arial" w:hAnsi="Arial"/>
                <w:sz w:val="18"/>
              </w:rPr>
              <w:t>✅ Committed</w:t>
            </w:r>
          </w:p>
        </w:tc>
        <w:tc>
          <w:tcPr>
            <w:tcW w:w="1505" w:type="dxa"/>
          </w:tcPr>
          <w:p w14:paraId="2F609F65" w14:textId="77777777" w:rsidR="00AC41AE" w:rsidRDefault="00000000">
            <w:r>
              <w:rPr>
                <w:rFonts w:ascii="Arial" w:hAnsi="Arial"/>
                <w:sz w:val="18"/>
              </w:rPr>
              <w:t>Developing</w:t>
            </w:r>
          </w:p>
        </w:tc>
        <w:tc>
          <w:tcPr>
            <w:tcW w:w="1505" w:type="dxa"/>
          </w:tcPr>
          <w:p w14:paraId="28CFA575" w14:textId="77777777" w:rsidR="00AC41AE" w:rsidRDefault="00000000">
            <w:r>
              <w:rPr>
                <w:rFonts w:ascii="Arial" w:hAnsi="Arial"/>
                <w:sz w:val="18"/>
              </w:rPr>
              <w:t>⚠️ Not committed</w:t>
            </w:r>
          </w:p>
        </w:tc>
      </w:tr>
      <w:tr w:rsidR="00AC41AE" w14:paraId="2ED98216" w14:textId="77777777">
        <w:trPr>
          <w:jc w:val="center"/>
        </w:trPr>
        <w:tc>
          <w:tcPr>
            <w:tcW w:w="1505" w:type="dxa"/>
            <w:shd w:val="clear" w:color="auto" w:fill="F2F6FC"/>
          </w:tcPr>
          <w:p w14:paraId="681964B4" w14:textId="77777777" w:rsidR="00AC41AE" w:rsidRDefault="00000000">
            <w:r>
              <w:rPr>
                <w:rFonts w:ascii="Arial" w:hAnsi="Arial"/>
                <w:sz w:val="18"/>
              </w:rPr>
              <w:t>PCAF Membership</w:t>
            </w:r>
          </w:p>
        </w:tc>
        <w:tc>
          <w:tcPr>
            <w:tcW w:w="1505" w:type="dxa"/>
            <w:shd w:val="clear" w:color="auto" w:fill="F2F6FC"/>
          </w:tcPr>
          <w:p w14:paraId="313932B2" w14:textId="77777777" w:rsidR="00AC41AE" w:rsidRDefault="00000000">
            <w:r>
              <w:rPr>
                <w:rFonts w:ascii="Arial" w:hAnsi="Arial"/>
                <w:sz w:val="18"/>
              </w:rPr>
              <w:t>✅ Member</w:t>
            </w:r>
          </w:p>
        </w:tc>
        <w:tc>
          <w:tcPr>
            <w:tcW w:w="1505" w:type="dxa"/>
            <w:shd w:val="clear" w:color="auto" w:fill="F2F6FC"/>
          </w:tcPr>
          <w:p w14:paraId="7A5AA051" w14:textId="77777777" w:rsidR="00AC41AE" w:rsidRDefault="00000000">
            <w:r>
              <w:rPr>
                <w:rFonts w:ascii="Arial" w:hAnsi="Arial"/>
                <w:sz w:val="18"/>
              </w:rPr>
              <w:t>✅ Member</w:t>
            </w:r>
          </w:p>
        </w:tc>
        <w:tc>
          <w:tcPr>
            <w:tcW w:w="1505" w:type="dxa"/>
            <w:shd w:val="clear" w:color="auto" w:fill="F2F6FC"/>
          </w:tcPr>
          <w:p w14:paraId="01C53279" w14:textId="77777777" w:rsidR="00AC41AE" w:rsidRDefault="00000000">
            <w:r>
              <w:rPr>
                <w:rFonts w:ascii="Arial" w:hAnsi="Arial"/>
                <w:sz w:val="18"/>
              </w:rPr>
              <w:t>✅ Member</w:t>
            </w:r>
          </w:p>
        </w:tc>
        <w:tc>
          <w:tcPr>
            <w:tcW w:w="1505" w:type="dxa"/>
            <w:shd w:val="clear" w:color="auto" w:fill="F2F6FC"/>
          </w:tcPr>
          <w:p w14:paraId="052E06EE" w14:textId="77777777" w:rsidR="00AC41AE" w:rsidRDefault="00000000">
            <w:r>
              <w:rPr>
                <w:rFonts w:ascii="Arial" w:hAnsi="Arial"/>
                <w:sz w:val="18"/>
              </w:rPr>
              <w:t>✅ Member</w:t>
            </w:r>
          </w:p>
        </w:tc>
        <w:tc>
          <w:tcPr>
            <w:tcW w:w="1505" w:type="dxa"/>
            <w:shd w:val="clear" w:color="auto" w:fill="F2F6FC"/>
          </w:tcPr>
          <w:p w14:paraId="51CC8A11" w14:textId="77777777" w:rsidR="00AC41AE" w:rsidRDefault="00000000">
            <w:r>
              <w:rPr>
                <w:rFonts w:ascii="Arial" w:hAnsi="Arial"/>
                <w:sz w:val="18"/>
              </w:rPr>
              <w:t>⚠️ Not member</w:t>
            </w:r>
          </w:p>
        </w:tc>
      </w:tr>
    </w:tbl>
    <w:p w14:paraId="69606154" w14:textId="77777777" w:rsidR="00AC41AE" w:rsidRDefault="00000000">
      <w:r>
        <w:rPr>
          <w:rFonts w:ascii="Arial" w:hAnsi="Arial"/>
          <w:i/>
          <w:sz w:val="16"/>
        </w:rPr>
        <w:t>Source: Source: BRI Sustainability Report 2023, BCA Sustainability Report 2025, DBS Sustainability Report 2023, Bank Mandiri Sustainability Report 2023. ✅ = Implemented, ⚠️ = Gap for subject institution.</w:t>
      </w:r>
    </w:p>
    <w:p w14:paraId="3182BD77" w14:textId="77777777" w:rsidR="00AC41AE" w:rsidRDefault="00AC41AE"/>
    <w:p w14:paraId="7FAB51EC" w14:textId="77777777" w:rsidR="00AC41AE" w:rsidRDefault="00AC41AE"/>
    <w:p w14:paraId="6A72C6D0" w14:textId="77777777" w:rsidR="00AC41AE" w:rsidRDefault="00000000">
      <w:r>
        <w:rPr>
          <w:noProof/>
        </w:rPr>
        <w:drawing>
          <wp:inline distT="0" distB="0" distL="0" distR="0" wp14:anchorId="1904F728" wp14:editId="6E8A709A">
            <wp:extent cx="5029200" cy="311810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4"/>
                    <a:stretch>
                      <a:fillRect/>
                    </a:stretch>
                  </pic:blipFill>
                  <pic:spPr>
                    <a:xfrm>
                      <a:off x="0" y="0"/>
                      <a:ext cx="5029200" cy="3118104"/>
                    </a:xfrm>
                    <a:prstGeom prst="rect">
                      <a:avLst/>
                    </a:prstGeom>
                  </pic:spPr>
                </pic:pic>
              </a:graphicData>
            </a:graphic>
          </wp:inline>
        </w:drawing>
      </w:r>
    </w:p>
    <w:p w14:paraId="504211F9" w14:textId="77777777" w:rsidR="00AC41AE" w:rsidRDefault="00000000">
      <w:pPr>
        <w:jc w:val="center"/>
      </w:pPr>
      <w:r>
        <w:rPr>
          <w:i/>
          <w:color w:val="666666"/>
          <w:sz w:val="18"/>
        </w:rPr>
        <w:t>Figure 27: Climate Governance Maturity: Institution vs Peer Banks</w:t>
      </w:r>
    </w:p>
    <w:p w14:paraId="11B85354" w14:textId="77777777" w:rsidR="00AC41AE" w:rsidRDefault="00000000">
      <w:pPr>
        <w:jc w:val="center"/>
      </w:pPr>
      <w:r>
        <w:rPr>
          <w:i/>
          <w:color w:val="757575"/>
          <w:sz w:val="18"/>
        </w:rPr>
        <w:t>Institution scores 0/7 on governance elements while peers average 5.75/7 — immediate Board action required to close 3-year gap</w:t>
      </w:r>
    </w:p>
    <w:p w14:paraId="67617722" w14:textId="77777777" w:rsidR="00AC41AE" w:rsidRDefault="00AC41AE"/>
    <w:p w14:paraId="21244758" w14:textId="77777777" w:rsidR="00AC41AE" w:rsidRDefault="00000000">
      <w:r>
        <w:rPr>
          <w:noProof/>
        </w:rPr>
        <w:lastRenderedPageBreak/>
        <w:drawing>
          <wp:inline distT="0" distB="0" distL="0" distR="0" wp14:anchorId="500EB131" wp14:editId="5EB07858">
            <wp:extent cx="5029200" cy="3255164"/>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029200" cy="3255164"/>
                    </a:xfrm>
                    <a:prstGeom prst="rect">
                      <a:avLst/>
                    </a:prstGeom>
                  </pic:spPr>
                </pic:pic>
              </a:graphicData>
            </a:graphic>
          </wp:inline>
        </w:drawing>
      </w:r>
    </w:p>
    <w:p w14:paraId="07D1B557" w14:textId="77777777" w:rsidR="00AC41AE" w:rsidRDefault="00000000">
      <w:pPr>
        <w:jc w:val="center"/>
      </w:pPr>
      <w:r>
        <w:rPr>
          <w:i/>
          <w:color w:val="666666"/>
          <w:sz w:val="18"/>
        </w:rPr>
        <w:t>Figure 28: Recommended Governance Implementation Roadmap (2025-2026)</w:t>
      </w:r>
    </w:p>
    <w:p w14:paraId="13269131" w14:textId="77777777" w:rsidR="00AC41AE" w:rsidRDefault="00000000">
      <w:pPr>
        <w:jc w:val="center"/>
      </w:pPr>
      <w:r>
        <w:rPr>
          <w:i/>
          <w:color w:val="757575"/>
          <w:sz w:val="18"/>
        </w:rPr>
        <w:t>Critical governance infrastructure can be established within 18 months following peer bank implementation timelines</w:t>
      </w:r>
    </w:p>
    <w:p w14:paraId="499CBC53" w14:textId="77777777" w:rsidR="00AC41AE" w:rsidRDefault="00AC41AE"/>
    <w:p w14:paraId="1CF1867C" w14:textId="77777777" w:rsidR="00AC41AE" w:rsidRDefault="00000000">
      <w:r>
        <w:rPr>
          <w:noProof/>
        </w:rPr>
        <w:drawing>
          <wp:inline distT="0" distB="0" distL="0" distR="0" wp14:anchorId="3305B61D" wp14:editId="7D2850D2">
            <wp:extent cx="5029200" cy="326593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029200" cy="3265930"/>
                    </a:xfrm>
                    <a:prstGeom prst="rect">
                      <a:avLst/>
                    </a:prstGeom>
                  </pic:spPr>
                </pic:pic>
              </a:graphicData>
            </a:graphic>
          </wp:inline>
        </w:drawing>
      </w:r>
    </w:p>
    <w:p w14:paraId="78C0FDB6" w14:textId="77777777" w:rsidR="00AC41AE" w:rsidRDefault="00000000">
      <w:pPr>
        <w:jc w:val="center"/>
      </w:pPr>
      <w:r>
        <w:rPr>
          <w:i/>
          <w:color w:val="666666"/>
          <w:sz w:val="18"/>
        </w:rPr>
        <w:t>Figure 29: Climate KPI Weight in Executive Remuneration: Peer Comparison</w:t>
      </w:r>
    </w:p>
    <w:p w14:paraId="1ED237F0" w14:textId="77777777" w:rsidR="00AC41AE" w:rsidRDefault="00000000">
      <w:pPr>
        <w:jc w:val="center"/>
      </w:pPr>
      <w:r>
        <w:rPr>
          <w:i/>
          <w:color w:val="757575"/>
          <w:sz w:val="18"/>
        </w:rPr>
        <w:t>Institution's 0% climate remuneration linkage vs peer average 12.5% creates misaligned incentives for climate strategy execution</w:t>
      </w:r>
    </w:p>
    <w:tbl>
      <w:tblPr>
        <w:tblW w:w="0" w:type="auto"/>
        <w:jc w:val="center"/>
        <w:tblLook w:val="04A0" w:firstRow="1" w:lastRow="0" w:firstColumn="1" w:lastColumn="0" w:noHBand="0" w:noVBand="1"/>
      </w:tblPr>
      <w:tblGrid>
        <w:gridCol w:w="9029"/>
      </w:tblGrid>
      <w:tr w:rsidR="00AC41AE" w14:paraId="745D1F5F" w14:textId="77777777">
        <w:trPr>
          <w:jc w:val="center"/>
        </w:trPr>
        <w:tc>
          <w:tcPr>
            <w:tcW w:w="9029" w:type="dxa"/>
            <w:shd w:val="clear" w:color="auto" w:fill="F2F6FA"/>
          </w:tcPr>
          <w:p w14:paraId="01B8BFBE" w14:textId="77777777" w:rsidR="00AC41AE" w:rsidRDefault="00000000">
            <w:r>
              <w:rPr>
                <w:b/>
                <w:color w:val="1B3A6B"/>
                <w:sz w:val="18"/>
              </w:rPr>
              <w:t>📊 DIAGNOSTIC ANALYSIS</w:t>
            </w:r>
          </w:p>
          <w:p w14:paraId="27A08F6D" w14:textId="77777777" w:rsidR="00AC41AE" w:rsidRDefault="00000000">
            <w:r>
              <w:rPr>
                <w:sz w:val="20"/>
              </w:rPr>
              <w:lastRenderedPageBreak/>
              <w:t>The absence of climate governance structures reflects organizational immaturity in ESG integration rather than data collection issues. Root causes include: lack of Board-level mandate or resolution establishing climate as strategic priority; absence of executive accountability through performance contracts or remuneration linkage; no dedicated resources (budget, headcount) allocated to sustainability function; and limited awareness of regulatory requirements (OJK POJK 51/2017, IFRS S2 effective 2024). The governance gap is widening as peer banks advance from basic compliance to sophisticated frameworks (SBTi commitments, 20% remuneration weights, quarterly Board reviews), creating reputational risk and potential competitive disadvantage in attracting ESG-conscious investors and corporate clients.</w:t>
            </w:r>
          </w:p>
          <w:p w14:paraId="55AB134D" w14:textId="77777777" w:rsidR="00AC41AE" w:rsidRDefault="00000000">
            <w:r>
              <w:rPr>
                <w:b/>
                <w:sz w:val="20"/>
              </w:rPr>
              <w:t>Root Causes:</w:t>
            </w:r>
          </w:p>
          <w:p w14:paraId="1F10657D" w14:textId="77777777" w:rsidR="00AC41AE" w:rsidRDefault="00000000">
            <w:r>
              <w:rPr>
                <w:sz w:val="18"/>
              </w:rPr>
              <w:t>• No Board resolution or strategic directive establishing climate as material risk requiring governance oversight, unlike BRI's formal NOKEP 872-DIR/2022 establishing Risk Management &amp; ESG Committee</w:t>
            </w:r>
          </w:p>
          <w:p w14:paraId="53123132" w14:textId="77777777" w:rsidR="00AC41AE" w:rsidRDefault="00000000">
            <w:r>
              <w:rPr>
                <w:sz w:val="18"/>
              </w:rPr>
              <w:t>• Absence of executive-level accountability mechanism — no designated Chief Sustainability Officer, no climate KPIs in performance contracts, zero remuneration linkage (vs DBS 20% weight, BCA integrated BoD KPIs)</w:t>
            </w:r>
          </w:p>
          <w:p w14:paraId="7BF61B42" w14:textId="77777777" w:rsidR="00AC41AE" w:rsidRDefault="00000000">
            <w:r>
              <w:rPr>
                <w:sz w:val="18"/>
              </w:rPr>
              <w:t>• Resource constraint: no dedicated sustainability team or budget allocation for ESG infrastructure development, limiting capacity to implement governance frameworks even if Board mandate exists</w:t>
            </w:r>
          </w:p>
          <w:p w14:paraId="2B80B9D9" w14:textId="77777777" w:rsidR="00AC41AE" w:rsidRDefault="00000000">
            <w:r>
              <w:rPr>
                <w:sz w:val="18"/>
              </w:rPr>
              <w:t>• Knowledge gap at Board and senior management level regarding regulatory requirements (OJK POJK 51, IFRS S2, CSRD timeline) and investor expectations, resulting in low prioritization of governance establishment</w:t>
            </w:r>
          </w:p>
          <w:p w14:paraId="046691E0" w14:textId="77777777" w:rsidR="00AC41AE" w:rsidRDefault="00000000">
            <w:r>
              <w:rPr>
                <w:b/>
                <w:sz w:val="20"/>
              </w:rPr>
              <w:t>Risk Implications:</w:t>
            </w:r>
          </w:p>
          <w:p w14:paraId="6DF70242" w14:textId="77777777" w:rsidR="00AC41AE" w:rsidRDefault="00000000">
            <w:r>
              <w:rPr>
                <w:sz w:val="18"/>
              </w:rPr>
              <w:t>• Regulatory risk: OJK POJK 51/2017 Article 8-9 mandates board-level sustainability oversight for financial institutions. Non-compliance may result in SFAP submission rejection, regulatory sanctions, or inclusion in OJK enhanced supervision list.</w:t>
            </w:r>
          </w:p>
          <w:p w14:paraId="381E8D8C" w14:textId="77777777" w:rsidR="00AC41AE" w:rsidRDefault="00000000">
            <w:r>
              <w:rPr>
                <w:sz w:val="18"/>
              </w:rPr>
              <w:t>• Investor risk: Institutional investors increasingly screen for climate governance as proxy for ESG management quality. Absence of Board committee and remuneration linkage may trigger exclusion from ESG indices (MSCI, FTSE4Good) and divestment by climate-focused funds.</w:t>
            </w:r>
          </w:p>
          <w:p w14:paraId="0728F92C" w14:textId="77777777" w:rsidR="00AC41AE" w:rsidRDefault="00000000">
            <w:r>
              <w:rPr>
                <w:sz w:val="18"/>
              </w:rPr>
              <w:t>• Reputational risk: As all major Indonesian peer banks (BRI, BCA, Mandiri) and regional competitors (DBS, OCBC) publish comprehensive governance disclosures, the institution's gap becomes visible to stakeholders, potentially damaging brand perception and client confidence.</w:t>
            </w:r>
          </w:p>
          <w:p w14:paraId="49EBC122" w14:textId="77777777" w:rsidR="00AC41AE" w:rsidRDefault="00000000">
            <w:r>
              <w:rPr>
                <w:sz w:val="18"/>
              </w:rPr>
              <w:t>• Strategic risk: Without governance infrastructure, the institution cannot effectively oversee financed emissions (15.28 million tCO₂e weighted), set credible decarbonization targets, or manage transition risks in carbon-intensive portfolio (85.93% of financed emissions in 3 sectors), limiting ability to execute climate strategy.</w:t>
            </w:r>
          </w:p>
        </w:tc>
      </w:tr>
    </w:tbl>
    <w:p w14:paraId="3389808A" w14:textId="77777777" w:rsidR="00AC41AE" w:rsidRDefault="00AC41AE"/>
    <w:p w14:paraId="3D14FFE1" w14:textId="77777777" w:rsidR="00AC41AE" w:rsidRDefault="00AC41AE"/>
    <w:p w14:paraId="69A93B18" w14:textId="77777777" w:rsidR="00AC41AE" w:rsidRDefault="00000000">
      <w:r>
        <w:rPr>
          <w:b/>
          <w:color w:val="2E7D32"/>
          <w:sz w:val="24"/>
        </w:rPr>
        <w:t>⚡ Priority Actions</w:t>
      </w:r>
    </w:p>
    <w:p w14:paraId="1C4CF830" w14:textId="77777777" w:rsidR="00AC41AE" w:rsidRDefault="00000000">
      <w:r>
        <w:rPr>
          <w:b/>
        </w:rPr>
        <w:t>🔴 1. Establish Board-level Risk &amp; Sustainability Committee via Board resolution, comprising 3 Board members (including 1 independent with climate expertise), with quarterly meeting mandate and formal terms of reference covering climate strategy oversight, risk appetite setting, and target approval. Model on BRI Risk Management &amp; ESG Committee structure (NOKEP 872-DIR/2022).</w:t>
      </w:r>
      <w:r>
        <w:t xml:space="preserve"> (Q3 2025)</w:t>
      </w:r>
    </w:p>
    <w:p w14:paraId="4FDA1590" w14:textId="77777777" w:rsidR="00AC41AE" w:rsidRDefault="00000000">
      <w:pPr>
        <w:spacing w:after="160"/>
      </w:pPr>
      <w:r>
        <w:lastRenderedPageBreak/>
        <w:t xml:space="preserve">    → Expected: Achieve IFRS S2 Para 5 and OJK POJK 51 compliance; enable quarterly climate risk oversight; establish foundation for all other governance elements (management role, remuneration, targets)</w:t>
      </w:r>
    </w:p>
    <w:p w14:paraId="7C7A2421" w14:textId="77777777" w:rsidR="00AC41AE" w:rsidRDefault="00000000">
      <w:pPr>
        <w:spacing w:after="160"/>
      </w:pPr>
      <w:r>
        <w:rPr>
          <w:rFonts w:ascii="Arial" w:hAnsi="Arial"/>
          <w:i/>
          <w:color w:val="646464"/>
          <w:sz w:val="18"/>
        </w:rPr>
        <w:t xml:space="preserve">    → Ref: BRI established Risk Management &amp; ESG Committee in 2021 via NOKEP 872-DIR/PPM/06/2022, reporting to President Director with quarterly review cadence, enabling comprehensive SFAP implementation and SBTi commitment as first Indonesian FI</w:t>
      </w:r>
    </w:p>
    <w:p w14:paraId="74C8F8A0" w14:textId="77777777" w:rsidR="00AC41AE" w:rsidRDefault="00000000">
      <w:r>
        <w:rPr>
          <w:b/>
        </w:rPr>
        <w:t>🔴 2. Appoint Chief Sustainability Officer (new hire) or designate existing Chief Risk Officer with expanded mandate, reporting directly to President Director, with formal job description including: climate strategy development, financed emissions management, SFAP coordination, Board reporting, and cross-functional ESG working group leadership. Allocate 2-3 analyst positions to sustainability team.</w:t>
      </w:r>
      <w:r>
        <w:t xml:space="preserve"> (Q3 2025)</w:t>
      </w:r>
    </w:p>
    <w:p w14:paraId="5CF70F07" w14:textId="77777777" w:rsidR="00AC41AE" w:rsidRDefault="00000000">
      <w:pPr>
        <w:spacing w:after="160"/>
      </w:pPr>
      <w:r>
        <w:t xml:space="preserve">    → Expected: Achieve IFRS S2 Para 6 compliance; establish clear executive accountability; enable day-to-day climate risk management and Board reporting capability</w:t>
      </w:r>
    </w:p>
    <w:p w14:paraId="0D0877F5" w14:textId="77777777" w:rsidR="00AC41AE" w:rsidRDefault="00000000">
      <w:pPr>
        <w:spacing w:after="160"/>
      </w:pPr>
      <w:r>
        <w:rPr>
          <w:rFonts w:ascii="Arial" w:hAnsi="Arial"/>
          <w:i/>
          <w:color w:val="646464"/>
          <w:sz w:val="18"/>
        </w:rPr>
        <w:t xml:space="preserve">    → Ref: DBS appointed dedicated Chief Sustainability Officer reporting to Board Sustainability Committee, enabling integration of 20% sustainability weight in executive remuneration and achievement of 62% renewable energy, 12% emissions reduction YoY</w:t>
      </w:r>
    </w:p>
    <w:p w14:paraId="18EEA183" w14:textId="77777777" w:rsidR="00AC41AE" w:rsidRDefault="00000000">
      <w:r>
        <w:rPr>
          <w:b/>
        </w:rPr>
        <w:t>🔴 3. Revise executive remuneration policy to integrate climate KPIs at 10% weight (2026) scaling to 20% (2027) for President Director and C-suite, with metrics: (1) Financed emissions intensity reduction vs baseline — 40% weight, (2) Sustainable finance portfolio growth vs SFAP target — 40% weight, (3) PCAF data quality improvement (reduce avg score from 3.36 to &lt;3.0) — 20% weight. Obtain Board Remuneration Committee and full Board approval.</w:t>
      </w:r>
      <w:r>
        <w:t xml:space="preserve"> (Q4 2025)</w:t>
      </w:r>
    </w:p>
    <w:p w14:paraId="15B6D836" w14:textId="77777777" w:rsidR="00AC41AE" w:rsidRDefault="00000000">
      <w:pPr>
        <w:spacing w:after="160"/>
      </w:pPr>
      <w:r>
        <w:t xml:space="preserve">    → Expected: Achieve ESRS 2 GOV-3 compliance; align executive incentives with climate strategy; demonstrate credible commitment to investors and OJK</w:t>
      </w:r>
    </w:p>
    <w:p w14:paraId="22915D3F" w14:textId="77777777" w:rsidR="00AC41AE" w:rsidRDefault="00000000">
      <w:pPr>
        <w:spacing w:after="160"/>
      </w:pPr>
      <w:r>
        <w:rPr>
          <w:rFonts w:ascii="Arial" w:hAnsi="Arial"/>
          <w:i/>
          <w:color w:val="646464"/>
          <w:sz w:val="18"/>
        </w:rPr>
        <w:t xml:space="preserve">    → Ref: DBS links 20% of executive compensation to sustainability metrics including climate performance; BCA integrates ESG KPIs into Board of Directors and work unit performance assessments, driving accountability for SFAP target achievement</w:t>
      </w:r>
    </w:p>
    <w:p w14:paraId="3DB2F442" w14:textId="77777777" w:rsidR="00AC41AE" w:rsidRDefault="00000000">
      <w:r>
        <w:rPr>
          <w:b/>
        </w:rPr>
        <w:t>🔴 4. Develop and obtain Board approval for sectoral credit policies for top 3 carbon-intensive sectors (Energy-Oil &amp; Gas 43.56% of financed emissions, Manufacturing-Cement 26.45%, Manufacturing-Steel 15.92%), including: exposure limits as % of total portfolio, enhanced due diligence requirements (mandatory emissions disclosure, transition plan assessment), client engagement protocols for decarbonization support, and phase-out timelines for sub-sectors (e.g., coal mining, coal-fired power). Model on BCA Board Decrees for cement, iron-steel, O&amp;G sectoral ESG policies.</w:t>
      </w:r>
      <w:r>
        <w:t xml:space="preserve"> (Q4 2025)</w:t>
      </w:r>
    </w:p>
    <w:p w14:paraId="15514E90" w14:textId="77777777" w:rsidR="00AC41AE" w:rsidRDefault="00000000">
      <w:pPr>
        <w:spacing w:after="160"/>
      </w:pPr>
      <w:r>
        <w:t xml:space="preserve">    → Expected: Enable risk-based management of 85.93% of financed emissions; support 4.07% YoY reduction trajectory; demonstrate proactive transition risk management to OJK and investors</w:t>
      </w:r>
    </w:p>
    <w:p w14:paraId="6B3FA1D5" w14:textId="77777777" w:rsidR="00AC41AE" w:rsidRDefault="00000000">
      <w:pPr>
        <w:spacing w:after="160"/>
      </w:pPr>
      <w:r>
        <w:rPr>
          <w:rFonts w:ascii="Arial" w:hAnsi="Arial"/>
          <w:i/>
          <w:color w:val="646464"/>
          <w:sz w:val="18"/>
        </w:rPr>
        <w:t xml:space="preserve">    → Ref: BCA issued Board of Directors Decrees for Sustainability-Linked Loan, Green Loan, and sectoral ESG policies (cement, iron-steel, oil &amp; gas), enabling structured approach to high-risk portfolio management and supporting sustainable finance portfolio growth exceeding SFAP targets</w:t>
      </w:r>
    </w:p>
    <w:p w14:paraId="03305913" w14:textId="77777777" w:rsidR="00AC41AE" w:rsidRDefault="00AC41AE"/>
    <w:p w14:paraId="70D5E892" w14:textId="77777777" w:rsidR="00AC41AE" w:rsidRDefault="00000000">
      <w:r>
        <w:rPr>
          <w:i/>
          <w:color w:val="3D6094"/>
          <w:sz w:val="18"/>
        </w:rPr>
        <w:lastRenderedPageBreak/>
        <w:t>Framework references: IFRS S2 Paragraph 5 — Governance body identification; IFRS S2 Paragraph 6 — Management's role in climate governance; IFRS S2 Paragraph 7 — Integration into strategy and decision-making; GRI 2-12a — Role of highest governance body in sustainability oversight; GRI 2-13a — Delegation of responsibility for managing impacts; ESRS 2 GOV-3 — Integration of sustainability in incentive schemes; OJK POJK 51/2017 Article 8-9 — Sustainable finance governance requirements; OJK SEOJK 16/2021 — Sustainable Finance Action Plan (SFAP) implementation</w:t>
      </w:r>
    </w:p>
    <w:p w14:paraId="59480B7F" w14:textId="77777777" w:rsidR="00AC41AE" w:rsidRDefault="00AC41AE">
      <w:pPr>
        <w:pBdr>
          <w:bottom w:val="single" w:sz="6" w:space="1" w:color="CCCCCC"/>
        </w:pBdr>
        <w:spacing w:after="80"/>
      </w:pPr>
    </w:p>
    <w:p w14:paraId="3BEDEB9E" w14:textId="77777777" w:rsidR="00AC41AE" w:rsidRDefault="00000000">
      <w:pPr>
        <w:spacing w:after="160"/>
      </w:pPr>
      <w:r>
        <w:rPr>
          <w:rFonts w:ascii="Arial" w:hAnsi="Arial"/>
          <w:i/>
          <w:color w:val="646464"/>
          <w:sz w:val="18"/>
        </w:rPr>
        <w:t>All governance data fields in DATA INPUT are NULL, indicating absence of formal climate governance structures. This gap analysis is based on framework requirements and peer bank benchmarks from RAG CONTEXT.</w:t>
      </w:r>
    </w:p>
    <w:p w14:paraId="3174D621" w14:textId="77777777" w:rsidR="00AC41AE" w:rsidRDefault="00000000">
      <w:pPr>
        <w:spacing w:after="160"/>
      </w:pPr>
      <w:r>
        <w:rPr>
          <w:rFonts w:ascii="Arial" w:hAnsi="Arial"/>
          <w:i/>
          <w:color w:val="646464"/>
          <w:sz w:val="18"/>
        </w:rPr>
        <w:t>OJK POJK 51/2017 requires financial institutions to establish sustainable finance governance structures. Non-compliance may result in regulatory scrutiny and SFAP submission rejection.</w:t>
      </w:r>
    </w:p>
    <w:p w14:paraId="6A477FA3" w14:textId="77777777" w:rsidR="00AC41AE" w:rsidRDefault="00000000">
      <w:pPr>
        <w:spacing w:after="160"/>
      </w:pPr>
      <w:r>
        <w:rPr>
          <w:rFonts w:ascii="Arial" w:hAnsi="Arial"/>
          <w:i/>
          <w:color w:val="646464"/>
          <w:sz w:val="18"/>
        </w:rPr>
        <w:t>IFRS S2 became effective for annual reporting periods beginning on or after January 1, 2024, creating immediate disclosure obligations for institutions preparing IFRS-aligned sustainability reports.</w:t>
      </w:r>
    </w:p>
    <w:p w14:paraId="53F86D46" w14:textId="77777777" w:rsidR="00AC41AE" w:rsidRDefault="00000000">
      <w:pPr>
        <w:spacing w:after="160"/>
      </w:pPr>
      <w:r>
        <w:rPr>
          <w:rFonts w:ascii="Arial" w:hAnsi="Arial"/>
          <w:i/>
          <w:color w:val="646464"/>
          <w:sz w:val="18"/>
        </w:rPr>
        <w:t>Peer benchmark data sourced from publicly available sustainability reports: BRI (2023), BCA (2025), DBS (2023), Bank Mandiri (2023). All figures represent disclosed governance practices as of respective reporting years.</w:t>
      </w:r>
    </w:p>
    <w:p w14:paraId="7C850732" w14:textId="77777777" w:rsidR="00AC41AE" w:rsidRDefault="00000000">
      <w:pPr>
        <w:pStyle w:val="Heading2"/>
        <w:spacing w:before="360" w:after="160"/>
      </w:pPr>
      <w:bookmarkStart w:id="26" w:name="_Toc232152621"/>
      <w:r>
        <w:rPr>
          <w:rFonts w:ascii="Arial" w:hAnsi="Arial"/>
          <w:color w:val="3D6094"/>
          <w:sz w:val="28"/>
        </w:rPr>
        <w:t>3.2 Climate Targets &amp; Transition Plan</w:t>
      </w:r>
      <w:bookmarkEnd w:id="26"/>
    </w:p>
    <w:tbl>
      <w:tblPr>
        <w:tblW w:w="0" w:type="auto"/>
        <w:jc w:val="center"/>
        <w:tblLook w:val="04A0" w:firstRow="1" w:lastRow="0" w:firstColumn="1" w:lastColumn="0" w:noHBand="0" w:noVBand="1"/>
      </w:tblPr>
      <w:tblGrid>
        <w:gridCol w:w="2257"/>
        <w:gridCol w:w="2257"/>
        <w:gridCol w:w="2257"/>
        <w:gridCol w:w="2257"/>
      </w:tblGrid>
      <w:tr w:rsidR="00AC41AE" w14:paraId="23030A42" w14:textId="77777777">
        <w:trPr>
          <w:jc w:val="center"/>
        </w:trPr>
        <w:tc>
          <w:tcPr>
            <w:tcW w:w="2257" w:type="dxa"/>
            <w:shd w:val="clear" w:color="auto" w:fill="F2F6FA"/>
          </w:tcPr>
          <w:p w14:paraId="1671F12B" w14:textId="77777777" w:rsidR="00AC41AE" w:rsidRDefault="00000000">
            <w:pPr>
              <w:jc w:val="center"/>
            </w:pPr>
            <w:r>
              <w:rPr>
                <w:b/>
                <w:color w:val="1B3A6B"/>
                <w:sz w:val="36"/>
              </w:rPr>
              <w:t>0</w:t>
            </w:r>
            <w:r>
              <w:rPr>
                <w:color w:val="757575"/>
                <w:sz w:val="18"/>
              </w:rPr>
              <w:t xml:space="preserve"> targets</w:t>
            </w:r>
            <w:r>
              <w:rPr>
                <w:b/>
                <w:color w:val="C62828"/>
                <w:sz w:val="20"/>
              </w:rPr>
              <w:br/>
              <w:t>Gap vs. peers</w:t>
            </w:r>
          </w:p>
        </w:tc>
        <w:tc>
          <w:tcPr>
            <w:tcW w:w="2257" w:type="dxa"/>
            <w:shd w:val="clear" w:color="auto" w:fill="F2F6FA"/>
          </w:tcPr>
          <w:p w14:paraId="2C3DB698" w14:textId="77777777" w:rsidR="00AC41AE" w:rsidRDefault="00000000">
            <w:pPr>
              <w:jc w:val="center"/>
            </w:pPr>
            <w:r>
              <w:rPr>
                <w:b/>
                <w:color w:val="1B3A6B"/>
                <w:sz w:val="36"/>
              </w:rPr>
              <w:t>Not Submitted</w:t>
            </w:r>
            <w:r>
              <w:rPr>
                <w:color w:val="757575"/>
                <w:sz w:val="18"/>
              </w:rPr>
              <w:t xml:space="preserve"> status</w:t>
            </w:r>
            <w:r>
              <w:rPr>
                <w:b/>
                <w:color w:val="C62828"/>
                <w:sz w:val="20"/>
              </w:rPr>
              <w:br/>
              <w:t>BRI submitted 2023</w:t>
            </w:r>
          </w:p>
        </w:tc>
        <w:tc>
          <w:tcPr>
            <w:tcW w:w="2257" w:type="dxa"/>
            <w:shd w:val="clear" w:color="auto" w:fill="F2F6FA"/>
          </w:tcPr>
          <w:p w14:paraId="5692B2FE" w14:textId="77777777" w:rsidR="00AC41AE" w:rsidRDefault="00000000">
            <w:pPr>
              <w:jc w:val="center"/>
            </w:pPr>
            <w:r>
              <w:rPr>
                <w:b/>
                <w:color w:val="1B3A6B"/>
                <w:sz w:val="36"/>
              </w:rPr>
              <w:t>30</w:t>
            </w:r>
            <w:r>
              <w:rPr>
                <w:color w:val="757575"/>
                <w:sz w:val="18"/>
              </w:rPr>
              <w:t xml:space="preserve"> %</w:t>
            </w:r>
            <w:r>
              <w:rPr>
                <w:b/>
                <w:color w:val="2E7D32"/>
                <w:sz w:val="20"/>
              </w:rPr>
              <w:br/>
              <w:t>Aligned with SBTi 1.5°C</w:t>
            </w:r>
          </w:p>
        </w:tc>
        <w:tc>
          <w:tcPr>
            <w:tcW w:w="2257" w:type="dxa"/>
            <w:shd w:val="clear" w:color="auto" w:fill="F2F6FA"/>
          </w:tcPr>
          <w:p w14:paraId="54E9A8F1" w14:textId="77777777" w:rsidR="00AC41AE" w:rsidRDefault="00000000">
            <w:pPr>
              <w:jc w:val="center"/>
            </w:pPr>
            <w:r>
              <w:rPr>
                <w:b/>
                <w:color w:val="1B3A6B"/>
                <w:sz w:val="36"/>
              </w:rPr>
              <w:t>31</w:t>
            </w:r>
            <w:r>
              <w:rPr>
                <w:color w:val="757575"/>
                <w:sz w:val="18"/>
              </w:rPr>
              <w:t xml:space="preserve"> %</w:t>
            </w:r>
            <w:r>
              <w:rPr>
                <w:b/>
                <w:color w:val="2E7D32"/>
                <w:sz w:val="20"/>
              </w:rPr>
              <w:br/>
              <w:t>Peer-aligned pathway</w:t>
            </w:r>
          </w:p>
        </w:tc>
      </w:tr>
      <w:tr w:rsidR="00AC41AE" w14:paraId="769699E2" w14:textId="77777777">
        <w:trPr>
          <w:jc w:val="center"/>
        </w:trPr>
        <w:tc>
          <w:tcPr>
            <w:tcW w:w="2257" w:type="dxa"/>
            <w:shd w:val="clear" w:color="auto" w:fill="F2F6FA"/>
          </w:tcPr>
          <w:p w14:paraId="46AD3E3F" w14:textId="77777777" w:rsidR="00AC41AE" w:rsidRDefault="00000000">
            <w:pPr>
              <w:jc w:val="center"/>
            </w:pPr>
            <w:r>
              <w:rPr>
                <w:color w:val="757575"/>
                <w:sz w:val="16"/>
              </w:rPr>
              <w:t>Climate Targets Set</w:t>
            </w:r>
          </w:p>
        </w:tc>
        <w:tc>
          <w:tcPr>
            <w:tcW w:w="2257" w:type="dxa"/>
            <w:shd w:val="clear" w:color="auto" w:fill="F2F6FA"/>
          </w:tcPr>
          <w:p w14:paraId="7F39E088" w14:textId="77777777" w:rsidR="00AC41AE" w:rsidRDefault="00000000">
            <w:pPr>
              <w:jc w:val="center"/>
            </w:pPr>
            <w:r>
              <w:rPr>
                <w:color w:val="757575"/>
                <w:sz w:val="16"/>
              </w:rPr>
              <w:t>SBTi Commitment Status</w:t>
            </w:r>
          </w:p>
        </w:tc>
        <w:tc>
          <w:tcPr>
            <w:tcW w:w="2257" w:type="dxa"/>
            <w:shd w:val="clear" w:color="auto" w:fill="F2F6FA"/>
          </w:tcPr>
          <w:p w14:paraId="6A67C5F4" w14:textId="77777777" w:rsidR="00AC41AE" w:rsidRDefault="00000000">
            <w:pPr>
              <w:jc w:val="center"/>
            </w:pPr>
            <w:r>
              <w:rPr>
                <w:color w:val="757575"/>
                <w:sz w:val="16"/>
              </w:rPr>
              <w:t>Recommended 2030 Scope 1+2 Reduction</w:t>
            </w:r>
          </w:p>
        </w:tc>
        <w:tc>
          <w:tcPr>
            <w:tcW w:w="2257" w:type="dxa"/>
            <w:shd w:val="clear" w:color="auto" w:fill="F2F6FA"/>
          </w:tcPr>
          <w:p w14:paraId="2A2207EB" w14:textId="77777777" w:rsidR="00AC41AE" w:rsidRDefault="00000000">
            <w:pPr>
              <w:jc w:val="center"/>
            </w:pPr>
            <w:r>
              <w:rPr>
                <w:color w:val="757575"/>
                <w:sz w:val="16"/>
              </w:rPr>
              <w:t>Recommended 2030 Financed Emissions Reduction</w:t>
            </w:r>
          </w:p>
        </w:tc>
      </w:tr>
    </w:tbl>
    <w:p w14:paraId="0A9A794D" w14:textId="77777777" w:rsidR="00AC41AE" w:rsidRDefault="00AC41AE"/>
    <w:tbl>
      <w:tblPr>
        <w:tblW w:w="0" w:type="auto"/>
        <w:jc w:val="center"/>
        <w:tblLook w:val="04A0" w:firstRow="1" w:lastRow="0" w:firstColumn="1" w:lastColumn="0" w:noHBand="0" w:noVBand="1"/>
      </w:tblPr>
      <w:tblGrid>
        <w:gridCol w:w="9029"/>
      </w:tblGrid>
      <w:tr w:rsidR="00AC41AE" w14:paraId="63207119" w14:textId="77777777">
        <w:trPr>
          <w:jc w:val="center"/>
        </w:trPr>
        <w:tc>
          <w:tcPr>
            <w:tcW w:w="9029" w:type="dxa"/>
            <w:shd w:val="clear" w:color="auto" w:fill="FFEBEE"/>
          </w:tcPr>
          <w:p w14:paraId="632C3EBC" w14:textId="77777777" w:rsidR="00AC41AE" w:rsidRDefault="00000000">
            <w:r>
              <w:rPr>
                <w:b/>
                <w:color w:val="FF8F00"/>
                <w:sz w:val="18"/>
              </w:rPr>
              <w:t>🚨 KEY INSIGHT</w:t>
            </w:r>
          </w:p>
          <w:p w14:paraId="336FA23E" w14:textId="77777777" w:rsidR="00AC41AE" w:rsidRDefault="00000000">
            <w:r>
              <w:rPr>
                <w:b/>
              </w:rPr>
              <w:t>No climate targets set while peers commit to SBTi and net-zero — widening credibility gap threatens investor access</w:t>
            </w:r>
          </w:p>
          <w:p w14:paraId="5CAFE63C" w14:textId="77777777" w:rsidR="00AC41AE" w:rsidRDefault="00000000">
            <w:r>
              <w:rPr>
                <w:sz w:val="20"/>
              </w:rPr>
              <w:t>The institution lacks formal GHG reduction targets across all scopes, creating material disclosure gaps under IFRS S2, GRI 305-5, ESRS E1-4, and OJK PSPK. BRI submitted Indonesia's first SBTi commitment (portfolio temp 1.75°C by 2040), while DBS achieved 12% YoY emission reduction with 62% renewable energy. Without targets, the institution cannot demonstrate Paris Agreement alignment, limiting access to sustainability-linked capital and ESG-mandated investment pools.</w:t>
            </w:r>
          </w:p>
        </w:tc>
      </w:tr>
    </w:tbl>
    <w:p w14:paraId="6E9FBC19" w14:textId="77777777" w:rsidR="00AC41AE" w:rsidRDefault="00AC41AE"/>
    <w:p w14:paraId="00FFFA21" w14:textId="77777777" w:rsidR="00AC41AE" w:rsidRDefault="00000000">
      <w:pPr>
        <w:pStyle w:val="Heading3"/>
      </w:pPr>
      <w:bookmarkStart w:id="27" w:name="_Toc232152622"/>
      <w:r>
        <w:rPr>
          <w:rFonts w:ascii="Arial" w:hAnsi="Arial"/>
          <w:color w:val="4A7AB5"/>
          <w:sz w:val="24"/>
        </w:rPr>
        <w:t>Framework Requirements for Climate Target-Setting</w:t>
      </w:r>
      <w:bookmarkEnd w:id="27"/>
    </w:p>
    <w:p w14:paraId="772B7EF4" w14:textId="77777777" w:rsidR="00AC41AE" w:rsidRDefault="00000000">
      <w:pPr>
        <w:spacing w:after="160"/>
      </w:pPr>
      <w:r>
        <w:rPr>
          <w:rFonts w:ascii="Arial" w:hAnsi="Arial"/>
        </w:rPr>
        <w:t xml:space="preserve">The institution currently does not have formally established greenhouse gas reduction targets or a published transition plan. This represents a material disclosure gap across multiple sustainability reporting frameworks. IFRS S2 Paragraph 33 requires entities to disclose quantitative and qualitative climate-related targets set by management, including metrics used and the objective of the target. GRI 305-5 mandates disclosure of reduction targets for GHG emissions, including the target level, baseline year, and scope coverage. </w:t>
      </w:r>
      <w:r>
        <w:rPr>
          <w:rFonts w:ascii="Arial" w:hAnsi="Arial"/>
        </w:rPr>
        <w:lastRenderedPageBreak/>
        <w:t>ESRS E1-4 requires disclosure of GHG emission reduction targets and the decarbonization levers the entity plans to implement. OJK PSPK regulations require financial institutions to establish climate targets aligned with Indonesia's Nationally Determined Contribution (NDC) and disclose transition planning.</w:t>
      </w:r>
    </w:p>
    <w:p w14:paraId="5AB254F8" w14:textId="77777777" w:rsidR="00AC41AE" w:rsidRDefault="00000000">
      <w:pPr>
        <w:pStyle w:val="Heading3"/>
      </w:pPr>
      <w:bookmarkStart w:id="28" w:name="_Toc232152623"/>
      <w:r>
        <w:rPr>
          <w:rFonts w:ascii="Arial" w:hAnsi="Arial"/>
          <w:color w:val="4A7AB5"/>
          <w:sz w:val="24"/>
        </w:rPr>
        <w:t>Strategic Imperative for Target-Setting</w:t>
      </w:r>
      <w:bookmarkEnd w:id="28"/>
    </w:p>
    <w:p w14:paraId="06729CEB" w14:textId="77777777" w:rsidR="00AC41AE" w:rsidRDefault="00000000">
      <w:pPr>
        <w:spacing w:after="160"/>
      </w:pPr>
      <w:r>
        <w:rPr>
          <w:rFonts w:ascii="Arial" w:hAnsi="Arial"/>
        </w:rPr>
        <w:t>The absence of science-based climate targets creates three critical risks for the institution. First, regulatory risk: Indonesia's financial sector is moving toward mandatory climate disclosures under OJK POJK 51/2017 and SEOJK 16/2021, with enforcement tightening annually. Second, reputational risk: institutional investors increasingly screen for SBTi-validated targets, with 68% of global asset managers requiring portfolio companies to set net-zero commitments by 2025. Third, competitive disadvantage: peer institutions have established clear decarbonization pathways, creating a widening credibility gap. Without targets, the institution cannot demonstrate strategic alignment with the Paris Agreement, limiting access to green finance instruments and ESG-linked capital.</w:t>
      </w:r>
    </w:p>
    <w:p w14:paraId="75FA8948" w14:textId="77777777" w:rsidR="00AC41AE" w:rsidRDefault="00000000">
      <w:pPr>
        <w:pStyle w:val="Heading3"/>
      </w:pPr>
      <w:bookmarkStart w:id="29" w:name="_Toc232152624"/>
      <w:r>
        <w:rPr>
          <w:rFonts w:ascii="Arial" w:hAnsi="Arial"/>
          <w:color w:val="4A7AB5"/>
          <w:sz w:val="24"/>
        </w:rPr>
        <w:t>Peer Institution Target Benchmarks</w:t>
      </w:r>
      <w:bookmarkEnd w:id="29"/>
    </w:p>
    <w:p w14:paraId="27718BEA" w14:textId="77777777" w:rsidR="00AC41AE" w:rsidRDefault="00000000">
      <w:pPr>
        <w:spacing w:after="160"/>
      </w:pPr>
      <w:r>
        <w:rPr>
          <w:rFonts w:ascii="Arial" w:hAnsi="Arial"/>
        </w:rPr>
        <w:t>Leading Indonesian and regional banks have established comprehensive climate target frameworks that provide actionable reference points. Bank Rakyat Indonesia (BRI) became the first Indonesian financial institution to submit a Science Based Targets initiative (SBTi) commitment letter in 2023, setting a portfolio temperature alignment target of 1.75°C by 2040 from a 2023 baseline of 3.14°C. This represents an annual reduction trajectory of 0.0783°C per year across financed emissions. DBS Group has committed to net-zero by 2050 with SBTi-submitted targets, achieved 62% renewable energy procurement under RE100 membership, and implemented an internal carbon price of $15 per tCO₂e to drive investment decisions. The bank achieved a 12% year-over-year reduction in operational emissions in 2023. Bank Central Asia (BCA) has published a Climate Change Strategy with sectoral credit policies and is exceeding its Sustainable Finance Action Plan (SFAP) targets, though specific numerical reduction targets have not been publicly disclosed. These peer commitments demonstrate that target-setting is both feasible and increasingly expected for Indonesian financial institutions.</w:t>
      </w:r>
    </w:p>
    <w:p w14:paraId="4A11541E" w14:textId="77777777" w:rsidR="00AC41AE" w:rsidRDefault="00000000">
      <w:pPr>
        <w:pStyle w:val="Heading3"/>
      </w:pPr>
      <w:bookmarkStart w:id="30" w:name="_Toc232152625"/>
      <w:r>
        <w:rPr>
          <w:rFonts w:ascii="Arial" w:hAnsi="Arial"/>
          <w:color w:val="4A7AB5"/>
          <w:sz w:val="24"/>
        </w:rPr>
        <w:t>Recommended Target-Setting Roadmap</w:t>
      </w:r>
      <w:bookmarkEnd w:id="30"/>
    </w:p>
    <w:p w14:paraId="15D4E103" w14:textId="77777777" w:rsidR="00AC41AE" w:rsidRDefault="00000000">
      <w:pPr>
        <w:spacing w:after="160"/>
      </w:pPr>
      <w:r>
        <w:rPr>
          <w:rFonts w:ascii="Arial" w:hAnsi="Arial"/>
        </w:rPr>
        <w:t xml:space="preserve">The institution should adopt a phased approach to establishing credible climate targets over a three-year implementation period. </w:t>
      </w:r>
      <w:r>
        <w:rPr>
          <w:rFonts w:ascii="Arial" w:hAnsi="Arial"/>
          <w:b/>
        </w:rPr>
        <w:t>Year 1 (2025):</w:t>
      </w:r>
      <w:r>
        <w:rPr>
          <w:rFonts w:ascii="Arial" w:hAnsi="Arial"/>
        </w:rPr>
        <w:t xml:space="preserve"> Submit an SBTi commitment letter to publicly signal intent, establish 2024 as the baseline year for all target calculations, and conduct a comprehensive emissions inventory covering Scope 1, 2, and material Scope 3 categories beyond financed emissions. This phase requires minimal capital investment but establishes governance foundations. </w:t>
      </w:r>
      <w:r>
        <w:rPr>
          <w:rFonts w:ascii="Arial" w:hAnsi="Arial"/>
          <w:b/>
        </w:rPr>
        <w:t>Year 2 (2026):</w:t>
      </w:r>
      <w:r>
        <w:rPr>
          <w:rFonts w:ascii="Arial" w:hAnsi="Arial"/>
        </w:rPr>
        <w:t xml:space="preserve"> Set interim operational targets for 2030 (recommended: 30% reduction in Scope 1+2 absolute emissions vs. 2024 baseline) and establish sectoral decarbonization pathways for the top five carbon-intensive lending portfolios (Energy - Oil &amp; Gas, Manufacturing - Cement, Manufacturing - Steel, Transportation - Road, Manufacturing - Food &amp; Beverage). Develop a client engagement program for the top 20 financed emission contributors. </w:t>
      </w:r>
      <w:r>
        <w:rPr>
          <w:rFonts w:ascii="Arial" w:hAnsi="Arial"/>
          <w:b/>
        </w:rPr>
        <w:t>Year 3 (2027):</w:t>
      </w:r>
      <w:r>
        <w:rPr>
          <w:rFonts w:ascii="Arial" w:hAnsi="Arial"/>
        </w:rPr>
        <w:t xml:space="preserve"> Publish a comprehensive transition plan including scenario analysis aligned with TCFD recommendations, submit full SBTi targets for validation (both operational and financed emissions), and establish an internal carbon price mechanism to guide capital allocation </w:t>
      </w:r>
      <w:r>
        <w:rPr>
          <w:rFonts w:ascii="Arial" w:hAnsi="Arial"/>
        </w:rPr>
        <w:lastRenderedPageBreak/>
        <w:t>decisions. This roadmap aligns with regulatory timelines and positions the institution to meet emerging disclosure requirements under Indonesia's evolving ESG framework.</w:t>
      </w:r>
    </w:p>
    <w:p w14:paraId="22C8E8F6" w14:textId="77777777" w:rsidR="00AC41AE" w:rsidRDefault="00000000">
      <w:pPr>
        <w:pStyle w:val="Heading3"/>
      </w:pPr>
      <w:bookmarkStart w:id="31" w:name="_Toc232152626"/>
      <w:r>
        <w:rPr>
          <w:rFonts w:ascii="Arial" w:hAnsi="Arial"/>
          <w:color w:val="4A7AB5"/>
          <w:sz w:val="24"/>
        </w:rPr>
        <w:t>Decarbonization Levers for Operational Emissions</w:t>
      </w:r>
      <w:bookmarkEnd w:id="31"/>
    </w:p>
    <w:p w14:paraId="109DFA0A" w14:textId="77777777" w:rsidR="00AC41AE" w:rsidRDefault="00000000">
      <w:pPr>
        <w:spacing w:after="160"/>
      </w:pPr>
      <w:r>
        <w:rPr>
          <w:rFonts w:ascii="Arial" w:hAnsi="Arial"/>
        </w:rPr>
        <w:t xml:space="preserve">Based on the institution's 2024 emissions profile, four primary decarbonization levers can drive Scope 1+2 reductions. </w:t>
      </w:r>
      <w:r>
        <w:rPr>
          <w:rFonts w:ascii="Arial" w:hAnsi="Arial"/>
          <w:b/>
        </w:rPr>
        <w:t>Energy Efficiency:</w:t>
      </w:r>
      <w:r>
        <w:rPr>
          <w:rFonts w:ascii="Arial" w:hAnsi="Arial"/>
        </w:rPr>
        <w:t xml:space="preserve"> Implement automated shutdown systems for HVAC and IT equipment during non-business hours (reference: BRI's Kaseya program achieved 19.49% electricity savings at BRILiaN Tower), retrofit all facilities with LED lighting, and optimize elevator scheduling. Expected contribution: 8-12% reduction in Scope 2 emissions within 18 months. </w:t>
      </w:r>
      <w:r>
        <w:rPr>
          <w:rFonts w:ascii="Arial" w:hAnsi="Arial"/>
          <w:b/>
        </w:rPr>
        <w:t>Renewable Energy Procurement:</w:t>
      </w:r>
      <w:r>
        <w:rPr>
          <w:rFonts w:ascii="Arial" w:hAnsi="Arial"/>
        </w:rPr>
        <w:t xml:space="preserve"> Establish power purchase agreements (PPAs) with renewable energy providers or pursue RE100 membership. DBS achieved 62% renewable energy procurement, demonstrating feasibility in the Southeast Asian market. Expected contribution: 40-60% reduction in Scope 2 market-based emissions by 2030. </w:t>
      </w:r>
      <w:r>
        <w:rPr>
          <w:rFonts w:ascii="Arial" w:hAnsi="Arial"/>
          <w:b/>
        </w:rPr>
        <w:t>Fuel Switching:</w:t>
      </w:r>
      <w:r>
        <w:rPr>
          <w:rFonts w:ascii="Arial" w:hAnsi="Arial"/>
        </w:rPr>
        <w:t xml:space="preserve"> Convert diesel generators to biodiesel B35+ blends for backup power systems and transition the vehicle fleet to electric vehicles. BRI deployed 118 electric cars and 150 electric motorcycles, reducing Scope 1 transport emissions by approximately 15%. Expected contribution: 20-30% reduction in Scope 1 emissions by 2028. </w:t>
      </w:r>
      <w:r>
        <w:rPr>
          <w:rFonts w:ascii="Arial" w:hAnsi="Arial"/>
          <w:b/>
        </w:rPr>
        <w:t>Green Building Certification:</w:t>
      </w:r>
      <w:r>
        <w:rPr>
          <w:rFonts w:ascii="Arial" w:hAnsi="Arial"/>
        </w:rPr>
        <w:t xml:space="preserve"> Pursue LEED or Green Building Council Indonesia (GBCI) certification for major facilities, incorporating passive cooling, rainwater harvesting, and building management systems. Expected contribution: 15-25% reduction in combined Scope 1+2 emissions for certified buildings.</w:t>
      </w:r>
    </w:p>
    <w:p w14:paraId="178E0EDA" w14:textId="77777777" w:rsidR="00AC41AE" w:rsidRDefault="00000000">
      <w:pPr>
        <w:pStyle w:val="Heading3"/>
      </w:pPr>
      <w:bookmarkStart w:id="32" w:name="_Toc232152627"/>
      <w:r>
        <w:rPr>
          <w:rFonts w:ascii="Arial" w:hAnsi="Arial"/>
          <w:color w:val="4A7AB5"/>
          <w:sz w:val="24"/>
        </w:rPr>
        <w:t>Decarbonization Levers for Financed Emissions</w:t>
      </w:r>
      <w:bookmarkEnd w:id="32"/>
    </w:p>
    <w:p w14:paraId="3FDC8408" w14:textId="77777777" w:rsidR="00AC41AE" w:rsidRDefault="00000000">
      <w:pPr>
        <w:spacing w:after="160"/>
      </w:pPr>
      <w:r>
        <w:rPr>
          <w:rFonts w:ascii="Arial" w:hAnsi="Arial"/>
        </w:rPr>
        <w:t xml:space="preserve">The institution's financed emissions (Scope 3 Category 15) totaled 15,280,174.14 tCO₂e in 2024, representing 99.7% of the total carbon footprint. Three strategic levers can drive portfolio decarbonization. </w:t>
      </w:r>
      <w:r>
        <w:rPr>
          <w:rFonts w:ascii="Arial" w:hAnsi="Arial"/>
          <w:b/>
        </w:rPr>
        <w:t>Sectoral Credit Policies:</w:t>
      </w:r>
      <w:r>
        <w:rPr>
          <w:rFonts w:ascii="Arial" w:hAnsi="Arial"/>
        </w:rPr>
        <w:t xml:space="preserve"> Establish exclusion criteria and enhanced due diligence requirements for carbon-intensive sectors. The Energy - Oil &amp; Gas sector represents 43.56% of financed emissions despite only 6.66% of portfolio value, indicating high emission intensity (93.242 tCO₂e per IDR billion). Implement phase-out timelines for thermal coal financing and tightened lending criteria for upstream oil and gas projects. BCA has implemented sectoral policies covering coal, palm oil, cement, and oil &amp; gas. </w:t>
      </w:r>
      <w:r>
        <w:rPr>
          <w:rFonts w:ascii="Arial" w:hAnsi="Arial"/>
          <w:b/>
        </w:rPr>
        <w:t>Client Engagement Program:</w:t>
      </w:r>
      <w:r>
        <w:rPr>
          <w:rFonts w:ascii="Arial" w:hAnsi="Arial"/>
        </w:rPr>
        <w:t xml:space="preserve"> Develop a structured engagement framework for the top 50 borrowers by financed emissions, requiring transition plans as a condition for loan renewal. Focus initially on the 607 borrowers in Energy - Oil &amp; Gas (135), Manufacturing - Cement (161), Manufacturing - Steel (122), and Transportation - Road (189) sectors, which collectively represent 91.51% of financed emissions. </w:t>
      </w:r>
      <w:r>
        <w:rPr>
          <w:rFonts w:ascii="Arial" w:hAnsi="Arial"/>
          <w:b/>
        </w:rPr>
        <w:t>Portfolio Temperature Alignment:</w:t>
      </w:r>
      <w:r>
        <w:rPr>
          <w:rFonts w:ascii="Arial" w:hAnsi="Arial"/>
        </w:rPr>
        <w:t xml:space="preserve"> Establish a portfolio temperature rating methodology aligned with PACTA (Paris Agreement Capital Transition Assessment) or SBTi Financial Sector guidance. Set a target to reduce portfolio temperature from current levels to below 2°C by 2030 and 1.5°C by 2040, following BRI's trajectory (3.14°C to 1.75°C over 17 years).</w:t>
      </w:r>
    </w:p>
    <w:p w14:paraId="09C201A6" w14:textId="77777777" w:rsidR="00AC41AE" w:rsidRDefault="00000000">
      <w:pPr>
        <w:pStyle w:val="Heading3"/>
      </w:pPr>
      <w:bookmarkStart w:id="33" w:name="_Toc232152628"/>
      <w:r>
        <w:rPr>
          <w:rFonts w:ascii="Arial" w:hAnsi="Arial"/>
          <w:color w:val="4A7AB5"/>
          <w:sz w:val="24"/>
        </w:rPr>
        <w:t>Data Quality Improvement Requirements</w:t>
      </w:r>
      <w:bookmarkEnd w:id="33"/>
    </w:p>
    <w:p w14:paraId="72C5EF81" w14:textId="77777777" w:rsidR="00AC41AE" w:rsidRDefault="00000000">
      <w:pPr>
        <w:spacing w:after="160"/>
      </w:pPr>
      <w:r>
        <w:rPr>
          <w:rFonts w:ascii="Arial" w:hAnsi="Arial"/>
        </w:rPr>
        <w:t xml:space="preserve">The institution's average PCAF data quality score of 3.36 indicates reliance on sector-average and proxy data rather than borrower-specific emissions data. This limits the precision of financed emissions calculations and the ability to track progress against targets. To improve data quality to an average score below 3.0 by 2027, the institution should implement three initiatives. First, integrate emissions data collection into the credit origination and annual review processes, requiring borrowers above IDR 50 billion exposure </w:t>
      </w:r>
      <w:r>
        <w:rPr>
          <w:rFonts w:ascii="Arial" w:hAnsi="Arial"/>
        </w:rPr>
        <w:lastRenderedPageBreak/>
        <w:t>to provide verified GHG inventories. Second, establish data partnerships with industry associations and government agencies (e.g., Ministry of Energy and Mineral Resources, Ministry of Industry) to access facility-level emissions data for key sectors. Third, invest in emissions estimation tools and databases (e.g., Trucost, S&amp;P Global, Bloomberg) to supplement borrower-reported data. The Financial Services sector currently has the weakest data quality (average PCAF score 3.42), while Real Estate - Commercial has the strongest (3.27), indicating sector-specific data availability challenges that require tailored solutions.</w:t>
      </w:r>
    </w:p>
    <w:p w14:paraId="2E821C87" w14:textId="77777777" w:rsidR="00AC41AE" w:rsidRDefault="00000000">
      <w:pPr>
        <w:spacing w:after="160"/>
      </w:pPr>
      <w:r>
        <w:rPr>
          <w:rFonts w:ascii="Arial" w:hAnsi="Arial"/>
        </w:rPr>
        <w:t>These figures have not been subject to external assurance for the current reporting period. The institution should pursue limited assurance for Scope 1 and 2 emissions by 2025 and reasonable assurance by 2027 to enhance credibility with investors and regulators.</w:t>
      </w:r>
    </w:p>
    <w:p w14:paraId="508D39D7" w14:textId="77777777" w:rsidR="00AC41AE" w:rsidRDefault="00000000">
      <w:r>
        <w:rPr>
          <w:rFonts w:ascii="Arial" w:hAnsi="Arial"/>
          <w:b/>
          <w:sz w:val="20"/>
        </w:rPr>
        <w:t>Table 58: Table 3.2.1: Framework Requirements for Climate Target Disclosure — Gap Analysis</w:t>
      </w:r>
    </w:p>
    <w:tbl>
      <w:tblPr>
        <w:tblW w:w="0" w:type="auto"/>
        <w:jc w:val="center"/>
        <w:tblLook w:val="04A0" w:firstRow="1" w:lastRow="0" w:firstColumn="1" w:lastColumn="0" w:noHBand="0" w:noVBand="1"/>
      </w:tblPr>
      <w:tblGrid>
        <w:gridCol w:w="1806"/>
        <w:gridCol w:w="1806"/>
        <w:gridCol w:w="1806"/>
        <w:gridCol w:w="1806"/>
        <w:gridCol w:w="1806"/>
      </w:tblGrid>
      <w:tr w:rsidR="00AC41AE" w14:paraId="6A216FCB" w14:textId="77777777">
        <w:trPr>
          <w:jc w:val="center"/>
        </w:trPr>
        <w:tc>
          <w:tcPr>
            <w:tcW w:w="1806" w:type="dxa"/>
            <w:shd w:val="clear" w:color="auto" w:fill="1B3A6B"/>
          </w:tcPr>
          <w:p w14:paraId="54F0BBEE" w14:textId="77777777" w:rsidR="00AC41AE" w:rsidRDefault="00000000">
            <w:r>
              <w:rPr>
                <w:rFonts w:ascii="Arial" w:hAnsi="Arial"/>
                <w:b/>
                <w:color w:val="FFFFFF"/>
                <w:sz w:val="18"/>
              </w:rPr>
              <w:t>Framework</w:t>
            </w:r>
          </w:p>
        </w:tc>
        <w:tc>
          <w:tcPr>
            <w:tcW w:w="1806" w:type="dxa"/>
            <w:shd w:val="clear" w:color="auto" w:fill="1B3A6B"/>
          </w:tcPr>
          <w:p w14:paraId="32667699" w14:textId="77777777" w:rsidR="00AC41AE" w:rsidRDefault="00000000">
            <w:r>
              <w:rPr>
                <w:rFonts w:ascii="Arial" w:hAnsi="Arial"/>
                <w:b/>
                <w:color w:val="FFFFFF"/>
                <w:sz w:val="18"/>
              </w:rPr>
              <w:t>Disclosure Reference</w:t>
            </w:r>
          </w:p>
        </w:tc>
        <w:tc>
          <w:tcPr>
            <w:tcW w:w="1806" w:type="dxa"/>
            <w:shd w:val="clear" w:color="auto" w:fill="1B3A6B"/>
          </w:tcPr>
          <w:p w14:paraId="1FE09CF5" w14:textId="77777777" w:rsidR="00AC41AE" w:rsidRDefault="00000000">
            <w:r>
              <w:rPr>
                <w:rFonts w:ascii="Arial" w:hAnsi="Arial"/>
                <w:b/>
                <w:color w:val="FFFFFF"/>
                <w:sz w:val="18"/>
              </w:rPr>
              <w:t>Requirement</w:t>
            </w:r>
          </w:p>
        </w:tc>
        <w:tc>
          <w:tcPr>
            <w:tcW w:w="1806" w:type="dxa"/>
            <w:shd w:val="clear" w:color="auto" w:fill="1B3A6B"/>
          </w:tcPr>
          <w:p w14:paraId="06F22086" w14:textId="77777777" w:rsidR="00AC41AE" w:rsidRDefault="00000000">
            <w:r>
              <w:rPr>
                <w:rFonts w:ascii="Arial" w:hAnsi="Arial"/>
                <w:b/>
                <w:color w:val="FFFFFF"/>
                <w:sz w:val="18"/>
              </w:rPr>
              <w:t>Current Status</w:t>
            </w:r>
          </w:p>
        </w:tc>
        <w:tc>
          <w:tcPr>
            <w:tcW w:w="1806" w:type="dxa"/>
            <w:shd w:val="clear" w:color="auto" w:fill="1B3A6B"/>
          </w:tcPr>
          <w:p w14:paraId="11D66D07" w14:textId="77777777" w:rsidR="00AC41AE" w:rsidRDefault="00000000">
            <w:r>
              <w:rPr>
                <w:rFonts w:ascii="Arial" w:hAnsi="Arial"/>
                <w:b/>
                <w:color w:val="FFFFFF"/>
                <w:sz w:val="18"/>
              </w:rPr>
              <w:t>Peer Benchmark</w:t>
            </w:r>
          </w:p>
        </w:tc>
      </w:tr>
      <w:tr w:rsidR="00AC41AE" w14:paraId="05A8D890" w14:textId="77777777">
        <w:trPr>
          <w:jc w:val="center"/>
        </w:trPr>
        <w:tc>
          <w:tcPr>
            <w:tcW w:w="1806" w:type="dxa"/>
          </w:tcPr>
          <w:p w14:paraId="1FCABF2D" w14:textId="77777777" w:rsidR="00AC41AE" w:rsidRDefault="00000000">
            <w:r>
              <w:rPr>
                <w:rFonts w:ascii="Arial" w:hAnsi="Arial"/>
                <w:sz w:val="18"/>
              </w:rPr>
              <w:t>IFRS S2</w:t>
            </w:r>
          </w:p>
        </w:tc>
        <w:tc>
          <w:tcPr>
            <w:tcW w:w="1806" w:type="dxa"/>
          </w:tcPr>
          <w:p w14:paraId="4014E190" w14:textId="77777777" w:rsidR="00AC41AE" w:rsidRDefault="00000000">
            <w:r>
              <w:rPr>
                <w:rFonts w:ascii="Arial" w:hAnsi="Arial"/>
                <w:sz w:val="18"/>
              </w:rPr>
              <w:t>Para 33</w:t>
            </w:r>
          </w:p>
        </w:tc>
        <w:tc>
          <w:tcPr>
            <w:tcW w:w="1806" w:type="dxa"/>
          </w:tcPr>
          <w:p w14:paraId="7C1E1E56" w14:textId="77777777" w:rsidR="00AC41AE" w:rsidRDefault="00000000">
            <w:r>
              <w:rPr>
                <w:rFonts w:ascii="Arial" w:hAnsi="Arial"/>
                <w:sz w:val="18"/>
              </w:rPr>
              <w:t>Quantitative and qualitative climate-related targets</w:t>
            </w:r>
          </w:p>
        </w:tc>
        <w:tc>
          <w:tcPr>
            <w:tcW w:w="1806" w:type="dxa"/>
          </w:tcPr>
          <w:p w14:paraId="2A7EBEF5" w14:textId="77777777" w:rsidR="00AC41AE" w:rsidRDefault="00000000">
            <w:r>
              <w:rPr>
                <w:rFonts w:ascii="Arial" w:hAnsi="Arial"/>
                <w:sz w:val="18"/>
              </w:rPr>
              <w:t>⚠️ Gap — No targets set</w:t>
            </w:r>
          </w:p>
        </w:tc>
        <w:tc>
          <w:tcPr>
            <w:tcW w:w="1806" w:type="dxa"/>
          </w:tcPr>
          <w:p w14:paraId="5B707E44" w14:textId="77777777" w:rsidR="00AC41AE" w:rsidRDefault="00000000">
            <w:r>
              <w:rPr>
                <w:rFonts w:ascii="Arial" w:hAnsi="Arial"/>
                <w:sz w:val="18"/>
              </w:rPr>
              <w:t>DBS: Net Zero 2050, SBTi submitted</w:t>
            </w:r>
          </w:p>
        </w:tc>
      </w:tr>
      <w:tr w:rsidR="00AC41AE" w14:paraId="70A3A658" w14:textId="77777777">
        <w:trPr>
          <w:jc w:val="center"/>
        </w:trPr>
        <w:tc>
          <w:tcPr>
            <w:tcW w:w="1806" w:type="dxa"/>
            <w:shd w:val="clear" w:color="auto" w:fill="F2F6FC"/>
          </w:tcPr>
          <w:p w14:paraId="3988C855" w14:textId="77777777" w:rsidR="00AC41AE" w:rsidRDefault="00000000">
            <w:r>
              <w:rPr>
                <w:rFonts w:ascii="Arial" w:hAnsi="Arial"/>
                <w:sz w:val="18"/>
              </w:rPr>
              <w:t>IFRS S2</w:t>
            </w:r>
          </w:p>
        </w:tc>
        <w:tc>
          <w:tcPr>
            <w:tcW w:w="1806" w:type="dxa"/>
            <w:shd w:val="clear" w:color="auto" w:fill="F2F6FC"/>
          </w:tcPr>
          <w:p w14:paraId="4F7A2B50" w14:textId="77777777" w:rsidR="00AC41AE" w:rsidRDefault="00000000">
            <w:r>
              <w:rPr>
                <w:rFonts w:ascii="Arial" w:hAnsi="Arial"/>
                <w:sz w:val="18"/>
              </w:rPr>
              <w:t>Para 34</w:t>
            </w:r>
          </w:p>
        </w:tc>
        <w:tc>
          <w:tcPr>
            <w:tcW w:w="1806" w:type="dxa"/>
            <w:shd w:val="clear" w:color="auto" w:fill="F2F6FC"/>
          </w:tcPr>
          <w:p w14:paraId="1CDC6C03" w14:textId="77777777" w:rsidR="00AC41AE" w:rsidRDefault="00000000">
            <w:r>
              <w:rPr>
                <w:rFonts w:ascii="Arial" w:hAnsi="Arial"/>
                <w:sz w:val="18"/>
              </w:rPr>
              <w:t>Metrics used to set targets and monitor progress</w:t>
            </w:r>
          </w:p>
        </w:tc>
        <w:tc>
          <w:tcPr>
            <w:tcW w:w="1806" w:type="dxa"/>
            <w:shd w:val="clear" w:color="auto" w:fill="F2F6FC"/>
          </w:tcPr>
          <w:p w14:paraId="4F2881A9" w14:textId="77777777" w:rsidR="00AC41AE" w:rsidRDefault="00000000">
            <w:r>
              <w:rPr>
                <w:rFonts w:ascii="Arial" w:hAnsi="Arial"/>
                <w:sz w:val="18"/>
              </w:rPr>
              <w:t>⚠️ Gap — No target metrics defined</w:t>
            </w:r>
          </w:p>
        </w:tc>
        <w:tc>
          <w:tcPr>
            <w:tcW w:w="1806" w:type="dxa"/>
            <w:shd w:val="clear" w:color="auto" w:fill="F2F6FC"/>
          </w:tcPr>
          <w:p w14:paraId="600310AD" w14:textId="77777777" w:rsidR="00AC41AE" w:rsidRDefault="00000000">
            <w:r>
              <w:rPr>
                <w:rFonts w:ascii="Arial" w:hAnsi="Arial"/>
                <w:sz w:val="18"/>
              </w:rPr>
              <w:t>BRI: Portfolio temp 1.75°C by 2040</w:t>
            </w:r>
          </w:p>
        </w:tc>
      </w:tr>
      <w:tr w:rsidR="00AC41AE" w14:paraId="7ECD2ACF" w14:textId="77777777">
        <w:trPr>
          <w:jc w:val="center"/>
        </w:trPr>
        <w:tc>
          <w:tcPr>
            <w:tcW w:w="1806" w:type="dxa"/>
          </w:tcPr>
          <w:p w14:paraId="51317494" w14:textId="77777777" w:rsidR="00AC41AE" w:rsidRDefault="00000000">
            <w:r>
              <w:rPr>
                <w:rFonts w:ascii="Arial" w:hAnsi="Arial"/>
                <w:sz w:val="18"/>
              </w:rPr>
              <w:t>IFRS S2</w:t>
            </w:r>
          </w:p>
        </w:tc>
        <w:tc>
          <w:tcPr>
            <w:tcW w:w="1806" w:type="dxa"/>
          </w:tcPr>
          <w:p w14:paraId="71524048" w14:textId="77777777" w:rsidR="00AC41AE" w:rsidRDefault="00000000">
            <w:r>
              <w:rPr>
                <w:rFonts w:ascii="Arial" w:hAnsi="Arial"/>
                <w:sz w:val="18"/>
              </w:rPr>
              <w:t>Para 35</w:t>
            </w:r>
          </w:p>
        </w:tc>
        <w:tc>
          <w:tcPr>
            <w:tcW w:w="1806" w:type="dxa"/>
          </w:tcPr>
          <w:p w14:paraId="7B790749" w14:textId="77777777" w:rsidR="00AC41AE" w:rsidRDefault="00000000">
            <w:r>
              <w:rPr>
                <w:rFonts w:ascii="Arial" w:hAnsi="Arial"/>
                <w:sz w:val="18"/>
              </w:rPr>
              <w:t>Objective of target and how it contributes to climate goals</w:t>
            </w:r>
          </w:p>
        </w:tc>
        <w:tc>
          <w:tcPr>
            <w:tcW w:w="1806" w:type="dxa"/>
          </w:tcPr>
          <w:p w14:paraId="6D19628B" w14:textId="77777777" w:rsidR="00AC41AE" w:rsidRDefault="00000000">
            <w:r>
              <w:rPr>
                <w:rFonts w:ascii="Arial" w:hAnsi="Arial"/>
                <w:sz w:val="18"/>
              </w:rPr>
              <w:t>⚠️ Gap — No strategic alignment disclosed</w:t>
            </w:r>
          </w:p>
        </w:tc>
        <w:tc>
          <w:tcPr>
            <w:tcW w:w="1806" w:type="dxa"/>
          </w:tcPr>
          <w:p w14:paraId="01E66569" w14:textId="77777777" w:rsidR="00AC41AE" w:rsidRDefault="00000000">
            <w:r>
              <w:rPr>
                <w:rFonts w:ascii="Arial" w:hAnsi="Arial"/>
                <w:sz w:val="18"/>
              </w:rPr>
              <w:t>DBS: Paris Agreement aligned</w:t>
            </w:r>
          </w:p>
        </w:tc>
      </w:tr>
      <w:tr w:rsidR="00AC41AE" w14:paraId="3B809A6E" w14:textId="77777777">
        <w:trPr>
          <w:jc w:val="center"/>
        </w:trPr>
        <w:tc>
          <w:tcPr>
            <w:tcW w:w="1806" w:type="dxa"/>
            <w:shd w:val="clear" w:color="auto" w:fill="F2F6FC"/>
          </w:tcPr>
          <w:p w14:paraId="1FF033DA" w14:textId="77777777" w:rsidR="00AC41AE" w:rsidRDefault="00000000">
            <w:r>
              <w:rPr>
                <w:rFonts w:ascii="Arial" w:hAnsi="Arial"/>
                <w:sz w:val="18"/>
              </w:rPr>
              <w:t>IFRS S2</w:t>
            </w:r>
          </w:p>
        </w:tc>
        <w:tc>
          <w:tcPr>
            <w:tcW w:w="1806" w:type="dxa"/>
            <w:shd w:val="clear" w:color="auto" w:fill="F2F6FC"/>
          </w:tcPr>
          <w:p w14:paraId="5D01E4EC" w14:textId="77777777" w:rsidR="00AC41AE" w:rsidRDefault="00000000">
            <w:r>
              <w:rPr>
                <w:rFonts w:ascii="Arial" w:hAnsi="Arial"/>
                <w:sz w:val="18"/>
              </w:rPr>
              <w:t>Para 36</w:t>
            </w:r>
          </w:p>
        </w:tc>
        <w:tc>
          <w:tcPr>
            <w:tcW w:w="1806" w:type="dxa"/>
            <w:shd w:val="clear" w:color="auto" w:fill="F2F6FC"/>
          </w:tcPr>
          <w:p w14:paraId="2CB80A73" w14:textId="77777777" w:rsidR="00AC41AE" w:rsidRDefault="00000000">
            <w:r>
              <w:rPr>
                <w:rFonts w:ascii="Arial" w:hAnsi="Arial"/>
                <w:sz w:val="18"/>
              </w:rPr>
              <w:t>Progress toward targets in reporting period</w:t>
            </w:r>
          </w:p>
        </w:tc>
        <w:tc>
          <w:tcPr>
            <w:tcW w:w="1806" w:type="dxa"/>
            <w:shd w:val="clear" w:color="auto" w:fill="F2F6FC"/>
          </w:tcPr>
          <w:p w14:paraId="2B75BA04" w14:textId="77777777" w:rsidR="00AC41AE" w:rsidRDefault="00000000">
            <w:r>
              <w:rPr>
                <w:rFonts w:ascii="Arial" w:hAnsi="Arial"/>
                <w:sz w:val="18"/>
              </w:rPr>
              <w:t>⚠️ Gap — No baseline for comparison</w:t>
            </w:r>
          </w:p>
        </w:tc>
        <w:tc>
          <w:tcPr>
            <w:tcW w:w="1806" w:type="dxa"/>
            <w:shd w:val="clear" w:color="auto" w:fill="F2F6FC"/>
          </w:tcPr>
          <w:p w14:paraId="5E6DF5EE" w14:textId="77777777" w:rsidR="00AC41AE" w:rsidRDefault="00000000">
            <w:r>
              <w:rPr>
                <w:rFonts w:ascii="Arial" w:hAnsi="Arial"/>
                <w:sz w:val="18"/>
              </w:rPr>
              <w:t>DBS: 12% YoY reduction achieved</w:t>
            </w:r>
          </w:p>
        </w:tc>
      </w:tr>
      <w:tr w:rsidR="00AC41AE" w14:paraId="198B4853" w14:textId="77777777">
        <w:trPr>
          <w:jc w:val="center"/>
        </w:trPr>
        <w:tc>
          <w:tcPr>
            <w:tcW w:w="1806" w:type="dxa"/>
          </w:tcPr>
          <w:p w14:paraId="4FB1482D" w14:textId="77777777" w:rsidR="00AC41AE" w:rsidRDefault="00000000">
            <w:r>
              <w:rPr>
                <w:rFonts w:ascii="Arial" w:hAnsi="Arial"/>
                <w:sz w:val="18"/>
              </w:rPr>
              <w:t>GRI 305-5</w:t>
            </w:r>
          </w:p>
        </w:tc>
        <w:tc>
          <w:tcPr>
            <w:tcW w:w="1806" w:type="dxa"/>
          </w:tcPr>
          <w:p w14:paraId="5F2AB47F" w14:textId="77777777" w:rsidR="00AC41AE" w:rsidRDefault="00000000">
            <w:r>
              <w:rPr>
                <w:rFonts w:ascii="Arial" w:hAnsi="Arial"/>
                <w:sz w:val="18"/>
              </w:rPr>
              <w:t>305-5a</w:t>
            </w:r>
          </w:p>
        </w:tc>
        <w:tc>
          <w:tcPr>
            <w:tcW w:w="1806" w:type="dxa"/>
          </w:tcPr>
          <w:p w14:paraId="045B574A" w14:textId="77777777" w:rsidR="00AC41AE" w:rsidRDefault="00000000">
            <w:r>
              <w:rPr>
                <w:rFonts w:ascii="Arial" w:hAnsi="Arial"/>
                <w:sz w:val="18"/>
              </w:rPr>
              <w:t>Absolute GHG emission reductions achieved</w:t>
            </w:r>
          </w:p>
        </w:tc>
        <w:tc>
          <w:tcPr>
            <w:tcW w:w="1806" w:type="dxa"/>
          </w:tcPr>
          <w:p w14:paraId="3F305B9E" w14:textId="77777777" w:rsidR="00AC41AE" w:rsidRDefault="00000000">
            <w:r>
              <w:rPr>
                <w:rFonts w:ascii="Arial" w:hAnsi="Arial"/>
                <w:sz w:val="18"/>
              </w:rPr>
              <w:t>⚠️ Partial — YoY data available but no target</w:t>
            </w:r>
          </w:p>
        </w:tc>
        <w:tc>
          <w:tcPr>
            <w:tcW w:w="1806" w:type="dxa"/>
          </w:tcPr>
          <w:p w14:paraId="3D379CE8" w14:textId="77777777" w:rsidR="00AC41AE" w:rsidRDefault="00000000">
            <w:r>
              <w:rPr>
                <w:rFonts w:ascii="Arial" w:hAnsi="Arial"/>
                <w:sz w:val="18"/>
              </w:rPr>
              <w:t>BRI: 3.2% reduction vs 2022</w:t>
            </w:r>
          </w:p>
        </w:tc>
      </w:tr>
      <w:tr w:rsidR="00AC41AE" w14:paraId="02CF7192" w14:textId="77777777">
        <w:trPr>
          <w:jc w:val="center"/>
        </w:trPr>
        <w:tc>
          <w:tcPr>
            <w:tcW w:w="1806" w:type="dxa"/>
            <w:shd w:val="clear" w:color="auto" w:fill="F2F6FC"/>
          </w:tcPr>
          <w:p w14:paraId="0F625C0A" w14:textId="77777777" w:rsidR="00AC41AE" w:rsidRDefault="00000000">
            <w:r>
              <w:rPr>
                <w:rFonts w:ascii="Arial" w:hAnsi="Arial"/>
                <w:sz w:val="18"/>
              </w:rPr>
              <w:t>ESRS E1</w:t>
            </w:r>
          </w:p>
        </w:tc>
        <w:tc>
          <w:tcPr>
            <w:tcW w:w="1806" w:type="dxa"/>
            <w:shd w:val="clear" w:color="auto" w:fill="F2F6FC"/>
          </w:tcPr>
          <w:p w14:paraId="4B71B4D6" w14:textId="77777777" w:rsidR="00AC41AE" w:rsidRDefault="00000000">
            <w:r>
              <w:rPr>
                <w:rFonts w:ascii="Arial" w:hAnsi="Arial"/>
                <w:sz w:val="18"/>
              </w:rPr>
              <w:t>DR E1-4</w:t>
            </w:r>
          </w:p>
        </w:tc>
        <w:tc>
          <w:tcPr>
            <w:tcW w:w="1806" w:type="dxa"/>
            <w:shd w:val="clear" w:color="auto" w:fill="F2F6FC"/>
          </w:tcPr>
          <w:p w14:paraId="64336156" w14:textId="77777777" w:rsidR="00AC41AE" w:rsidRDefault="00000000">
            <w:r>
              <w:rPr>
                <w:rFonts w:ascii="Arial" w:hAnsi="Arial"/>
                <w:sz w:val="18"/>
              </w:rPr>
              <w:t>GHG emission reduction targets by scope</w:t>
            </w:r>
          </w:p>
        </w:tc>
        <w:tc>
          <w:tcPr>
            <w:tcW w:w="1806" w:type="dxa"/>
            <w:shd w:val="clear" w:color="auto" w:fill="F2F6FC"/>
          </w:tcPr>
          <w:p w14:paraId="222A1A27" w14:textId="77777777" w:rsidR="00AC41AE" w:rsidRDefault="00000000">
            <w:r>
              <w:rPr>
                <w:rFonts w:ascii="Arial" w:hAnsi="Arial"/>
                <w:sz w:val="18"/>
              </w:rPr>
              <w:t>⚠️ Gap — No scope-specific targets</w:t>
            </w:r>
          </w:p>
        </w:tc>
        <w:tc>
          <w:tcPr>
            <w:tcW w:w="1806" w:type="dxa"/>
            <w:shd w:val="clear" w:color="auto" w:fill="F2F6FC"/>
          </w:tcPr>
          <w:p w14:paraId="443A11F3" w14:textId="77777777" w:rsidR="00AC41AE" w:rsidRDefault="00000000">
            <w:r>
              <w:rPr>
                <w:rFonts w:ascii="Arial" w:hAnsi="Arial"/>
                <w:sz w:val="18"/>
              </w:rPr>
              <w:t>DBS: Scope 1+2 and financed emissions</w:t>
            </w:r>
          </w:p>
        </w:tc>
      </w:tr>
      <w:tr w:rsidR="00AC41AE" w14:paraId="0194235B" w14:textId="77777777">
        <w:trPr>
          <w:jc w:val="center"/>
        </w:trPr>
        <w:tc>
          <w:tcPr>
            <w:tcW w:w="1806" w:type="dxa"/>
          </w:tcPr>
          <w:p w14:paraId="6B449CCB" w14:textId="77777777" w:rsidR="00AC41AE" w:rsidRDefault="00000000">
            <w:r>
              <w:rPr>
                <w:rFonts w:ascii="Arial" w:hAnsi="Arial"/>
                <w:sz w:val="18"/>
              </w:rPr>
              <w:t>ESRS E1</w:t>
            </w:r>
          </w:p>
        </w:tc>
        <w:tc>
          <w:tcPr>
            <w:tcW w:w="1806" w:type="dxa"/>
          </w:tcPr>
          <w:p w14:paraId="423FFEC6" w14:textId="77777777" w:rsidR="00AC41AE" w:rsidRDefault="00000000">
            <w:r>
              <w:rPr>
                <w:rFonts w:ascii="Arial" w:hAnsi="Arial"/>
                <w:sz w:val="18"/>
              </w:rPr>
              <w:t>DR E1-4</w:t>
            </w:r>
          </w:p>
        </w:tc>
        <w:tc>
          <w:tcPr>
            <w:tcW w:w="1806" w:type="dxa"/>
          </w:tcPr>
          <w:p w14:paraId="2C1DD968" w14:textId="77777777" w:rsidR="00AC41AE" w:rsidRDefault="00000000">
            <w:r>
              <w:rPr>
                <w:rFonts w:ascii="Arial" w:hAnsi="Arial"/>
                <w:sz w:val="18"/>
              </w:rPr>
              <w:t>Decarbonization levers and expected contribution</w:t>
            </w:r>
          </w:p>
        </w:tc>
        <w:tc>
          <w:tcPr>
            <w:tcW w:w="1806" w:type="dxa"/>
          </w:tcPr>
          <w:p w14:paraId="102A3EB4" w14:textId="77777777" w:rsidR="00AC41AE" w:rsidRDefault="00000000">
            <w:r>
              <w:rPr>
                <w:rFonts w:ascii="Arial" w:hAnsi="Arial"/>
                <w:sz w:val="18"/>
              </w:rPr>
              <w:t>⚠️ Gap — No lever analysis published</w:t>
            </w:r>
          </w:p>
        </w:tc>
        <w:tc>
          <w:tcPr>
            <w:tcW w:w="1806" w:type="dxa"/>
          </w:tcPr>
          <w:p w14:paraId="3FB443A7" w14:textId="77777777" w:rsidR="00AC41AE" w:rsidRDefault="00000000">
            <w:r>
              <w:rPr>
                <w:rFonts w:ascii="Arial" w:hAnsi="Arial"/>
                <w:sz w:val="18"/>
              </w:rPr>
              <w:t>BRI: Green Network, EV fleet, solar</w:t>
            </w:r>
          </w:p>
        </w:tc>
      </w:tr>
      <w:tr w:rsidR="00AC41AE" w14:paraId="146441A2" w14:textId="77777777">
        <w:trPr>
          <w:jc w:val="center"/>
        </w:trPr>
        <w:tc>
          <w:tcPr>
            <w:tcW w:w="1806" w:type="dxa"/>
            <w:shd w:val="clear" w:color="auto" w:fill="F2F6FC"/>
          </w:tcPr>
          <w:p w14:paraId="2B1D0AB0" w14:textId="77777777" w:rsidR="00AC41AE" w:rsidRDefault="00000000">
            <w:r>
              <w:rPr>
                <w:rFonts w:ascii="Arial" w:hAnsi="Arial"/>
                <w:sz w:val="18"/>
              </w:rPr>
              <w:t>OJK PSPK</w:t>
            </w:r>
          </w:p>
        </w:tc>
        <w:tc>
          <w:tcPr>
            <w:tcW w:w="1806" w:type="dxa"/>
            <w:shd w:val="clear" w:color="auto" w:fill="F2F6FC"/>
          </w:tcPr>
          <w:p w14:paraId="142FD75C" w14:textId="77777777" w:rsidR="00AC41AE" w:rsidRDefault="00000000">
            <w:r>
              <w:rPr>
                <w:rFonts w:ascii="Arial" w:hAnsi="Arial"/>
                <w:sz w:val="18"/>
              </w:rPr>
              <w:t>Target Iklim</w:t>
            </w:r>
          </w:p>
        </w:tc>
        <w:tc>
          <w:tcPr>
            <w:tcW w:w="1806" w:type="dxa"/>
            <w:shd w:val="clear" w:color="auto" w:fill="F2F6FC"/>
          </w:tcPr>
          <w:p w14:paraId="0A65A61A" w14:textId="77777777" w:rsidR="00AC41AE" w:rsidRDefault="00000000">
            <w:r>
              <w:rPr>
                <w:rFonts w:ascii="Arial" w:hAnsi="Arial"/>
                <w:sz w:val="18"/>
              </w:rPr>
              <w:t>Climate targets aligned with Indonesia NDC</w:t>
            </w:r>
          </w:p>
        </w:tc>
        <w:tc>
          <w:tcPr>
            <w:tcW w:w="1806" w:type="dxa"/>
            <w:shd w:val="clear" w:color="auto" w:fill="F2F6FC"/>
          </w:tcPr>
          <w:p w14:paraId="78A1DBB7" w14:textId="77777777" w:rsidR="00AC41AE" w:rsidRDefault="00000000">
            <w:r>
              <w:rPr>
                <w:rFonts w:ascii="Arial" w:hAnsi="Arial"/>
                <w:sz w:val="18"/>
              </w:rPr>
              <w:t>⚠️ Gap — No NDC alignment disclosed</w:t>
            </w:r>
          </w:p>
        </w:tc>
        <w:tc>
          <w:tcPr>
            <w:tcW w:w="1806" w:type="dxa"/>
            <w:shd w:val="clear" w:color="auto" w:fill="F2F6FC"/>
          </w:tcPr>
          <w:p w14:paraId="747700BD" w14:textId="77777777" w:rsidR="00AC41AE" w:rsidRDefault="00000000">
            <w:r>
              <w:rPr>
                <w:rFonts w:ascii="Arial" w:hAnsi="Arial"/>
                <w:sz w:val="18"/>
              </w:rPr>
              <w:t>BRI: SBTi commitment (NDC-aligned)</w:t>
            </w:r>
          </w:p>
        </w:tc>
      </w:tr>
    </w:tbl>
    <w:p w14:paraId="653697C6" w14:textId="77777777" w:rsidR="00AC41AE" w:rsidRDefault="00000000">
      <w:r>
        <w:rPr>
          <w:rFonts w:ascii="Arial" w:hAnsi="Arial"/>
          <w:i/>
          <w:sz w:val="16"/>
        </w:rPr>
        <w:t>Source: Gap analysis based on 2024 reporting period. Peer benchmarks from BRI Sustainability Report 2023, DBS Sustainability Report 2023.</w:t>
      </w:r>
    </w:p>
    <w:p w14:paraId="7A698269" w14:textId="77777777" w:rsidR="00AC41AE" w:rsidRDefault="00AC41AE"/>
    <w:p w14:paraId="3CBCDD2C" w14:textId="77777777" w:rsidR="00AC41AE" w:rsidRDefault="00000000">
      <w:r>
        <w:rPr>
          <w:rFonts w:ascii="Arial" w:hAnsi="Arial"/>
          <w:b/>
          <w:sz w:val="20"/>
        </w:rPr>
        <w:t>Table 60: Table 3.2.2: Recommended Operational Emission Reduction Targets (2024 Baseline)</w:t>
      </w:r>
    </w:p>
    <w:tbl>
      <w:tblPr>
        <w:tblW w:w="0" w:type="auto"/>
        <w:jc w:val="center"/>
        <w:tblLook w:val="04A0" w:firstRow="1" w:lastRow="0" w:firstColumn="1" w:lastColumn="0" w:noHBand="0" w:noVBand="1"/>
      </w:tblPr>
      <w:tblGrid>
        <w:gridCol w:w="1806"/>
        <w:gridCol w:w="1806"/>
        <w:gridCol w:w="1806"/>
        <w:gridCol w:w="1806"/>
        <w:gridCol w:w="1806"/>
      </w:tblGrid>
      <w:tr w:rsidR="00AC41AE" w14:paraId="47D675F2" w14:textId="77777777">
        <w:trPr>
          <w:jc w:val="center"/>
        </w:trPr>
        <w:tc>
          <w:tcPr>
            <w:tcW w:w="1806" w:type="dxa"/>
            <w:shd w:val="clear" w:color="auto" w:fill="1B3A6B"/>
          </w:tcPr>
          <w:p w14:paraId="347DB189" w14:textId="77777777" w:rsidR="00AC41AE" w:rsidRDefault="00000000">
            <w:r>
              <w:rPr>
                <w:rFonts w:ascii="Arial" w:hAnsi="Arial"/>
                <w:b/>
                <w:color w:val="FFFFFF"/>
                <w:sz w:val="18"/>
              </w:rPr>
              <w:lastRenderedPageBreak/>
              <w:t>Target Metric</w:t>
            </w:r>
          </w:p>
        </w:tc>
        <w:tc>
          <w:tcPr>
            <w:tcW w:w="1806" w:type="dxa"/>
            <w:shd w:val="clear" w:color="auto" w:fill="1B3A6B"/>
          </w:tcPr>
          <w:p w14:paraId="5510925C" w14:textId="77777777" w:rsidR="00AC41AE" w:rsidRDefault="00000000">
            <w:r>
              <w:rPr>
                <w:rFonts w:ascii="Arial" w:hAnsi="Arial"/>
                <w:b/>
                <w:color w:val="FFFFFF"/>
                <w:sz w:val="18"/>
              </w:rPr>
              <w:t>2024 Baseline</w:t>
            </w:r>
          </w:p>
        </w:tc>
        <w:tc>
          <w:tcPr>
            <w:tcW w:w="1806" w:type="dxa"/>
            <w:shd w:val="clear" w:color="auto" w:fill="1B3A6B"/>
          </w:tcPr>
          <w:p w14:paraId="77CBB919" w14:textId="77777777" w:rsidR="00AC41AE" w:rsidRDefault="00000000">
            <w:r>
              <w:rPr>
                <w:rFonts w:ascii="Arial" w:hAnsi="Arial"/>
                <w:b/>
                <w:color w:val="FFFFFF"/>
                <w:sz w:val="18"/>
              </w:rPr>
              <w:t>2030 Target</w:t>
            </w:r>
          </w:p>
        </w:tc>
        <w:tc>
          <w:tcPr>
            <w:tcW w:w="1806" w:type="dxa"/>
            <w:shd w:val="clear" w:color="auto" w:fill="1B3A6B"/>
          </w:tcPr>
          <w:p w14:paraId="5D88E094" w14:textId="77777777" w:rsidR="00AC41AE" w:rsidRDefault="00000000">
            <w:r>
              <w:rPr>
                <w:rFonts w:ascii="Arial" w:hAnsi="Arial"/>
                <w:b/>
                <w:color w:val="FFFFFF"/>
                <w:sz w:val="18"/>
              </w:rPr>
              <w:t>Reduction %</w:t>
            </w:r>
          </w:p>
        </w:tc>
        <w:tc>
          <w:tcPr>
            <w:tcW w:w="1806" w:type="dxa"/>
            <w:shd w:val="clear" w:color="auto" w:fill="1B3A6B"/>
          </w:tcPr>
          <w:p w14:paraId="671C6834" w14:textId="77777777" w:rsidR="00AC41AE" w:rsidRDefault="00000000">
            <w:r>
              <w:rPr>
                <w:rFonts w:ascii="Arial" w:hAnsi="Arial"/>
                <w:b/>
                <w:color w:val="FFFFFF"/>
                <w:sz w:val="18"/>
              </w:rPr>
              <w:t>Alignment</w:t>
            </w:r>
          </w:p>
        </w:tc>
      </w:tr>
      <w:tr w:rsidR="00AC41AE" w14:paraId="0C3AE982" w14:textId="77777777">
        <w:trPr>
          <w:jc w:val="center"/>
        </w:trPr>
        <w:tc>
          <w:tcPr>
            <w:tcW w:w="1806" w:type="dxa"/>
          </w:tcPr>
          <w:p w14:paraId="0977A3B4" w14:textId="77777777" w:rsidR="00AC41AE" w:rsidRDefault="00000000">
            <w:r>
              <w:rPr>
                <w:rFonts w:ascii="Arial" w:hAnsi="Arial"/>
                <w:sz w:val="18"/>
              </w:rPr>
              <w:t>Scope 1 Absolute Emissions</w:t>
            </w:r>
          </w:p>
        </w:tc>
        <w:tc>
          <w:tcPr>
            <w:tcW w:w="1806" w:type="dxa"/>
          </w:tcPr>
          <w:p w14:paraId="4DCFDB40" w14:textId="77777777" w:rsidR="00AC41AE" w:rsidRDefault="00000000">
            <w:r>
              <w:rPr>
                <w:rFonts w:ascii="Arial" w:hAnsi="Arial"/>
                <w:sz w:val="18"/>
              </w:rPr>
              <w:t>3,402.997 tCO₂e</w:t>
            </w:r>
          </w:p>
        </w:tc>
        <w:tc>
          <w:tcPr>
            <w:tcW w:w="1806" w:type="dxa"/>
          </w:tcPr>
          <w:p w14:paraId="3A1AFC32" w14:textId="77777777" w:rsidR="00AC41AE" w:rsidRDefault="00000000">
            <w:r>
              <w:rPr>
                <w:rFonts w:ascii="Arial" w:hAnsi="Arial"/>
                <w:sz w:val="18"/>
              </w:rPr>
              <w:t>2,382 tCO₂e</w:t>
            </w:r>
          </w:p>
        </w:tc>
        <w:tc>
          <w:tcPr>
            <w:tcW w:w="1806" w:type="dxa"/>
          </w:tcPr>
          <w:p w14:paraId="3849CAC1" w14:textId="77777777" w:rsidR="00AC41AE" w:rsidRDefault="00000000">
            <w:pPr>
              <w:jc w:val="right"/>
            </w:pPr>
            <w:r>
              <w:rPr>
                <w:rFonts w:ascii="Arial" w:hAnsi="Arial"/>
                <w:sz w:val="18"/>
              </w:rPr>
              <w:t>30%</w:t>
            </w:r>
          </w:p>
        </w:tc>
        <w:tc>
          <w:tcPr>
            <w:tcW w:w="1806" w:type="dxa"/>
          </w:tcPr>
          <w:p w14:paraId="01F4179F" w14:textId="77777777" w:rsidR="00AC41AE" w:rsidRDefault="00000000">
            <w:r>
              <w:rPr>
                <w:rFonts w:ascii="Arial" w:hAnsi="Arial"/>
                <w:sz w:val="18"/>
              </w:rPr>
              <w:t>SBTi 1.5°C pathway</w:t>
            </w:r>
          </w:p>
        </w:tc>
      </w:tr>
      <w:tr w:rsidR="00AC41AE" w14:paraId="1EC40C79" w14:textId="77777777">
        <w:trPr>
          <w:jc w:val="center"/>
        </w:trPr>
        <w:tc>
          <w:tcPr>
            <w:tcW w:w="1806" w:type="dxa"/>
            <w:shd w:val="clear" w:color="auto" w:fill="F2F6FC"/>
          </w:tcPr>
          <w:p w14:paraId="4B1CE34A" w14:textId="77777777" w:rsidR="00AC41AE" w:rsidRDefault="00000000">
            <w:r>
              <w:rPr>
                <w:rFonts w:ascii="Arial" w:hAnsi="Arial"/>
                <w:sz w:val="18"/>
              </w:rPr>
              <w:t>Scope 2 Market-Based Emissions</w:t>
            </w:r>
          </w:p>
        </w:tc>
        <w:tc>
          <w:tcPr>
            <w:tcW w:w="1806" w:type="dxa"/>
            <w:shd w:val="clear" w:color="auto" w:fill="F2F6FC"/>
          </w:tcPr>
          <w:p w14:paraId="2E486E28" w14:textId="77777777" w:rsidR="00AC41AE" w:rsidRDefault="00000000">
            <w:r>
              <w:rPr>
                <w:rFonts w:ascii="Arial" w:hAnsi="Arial"/>
                <w:sz w:val="18"/>
              </w:rPr>
              <w:t>44,612.518 tCO₂e</w:t>
            </w:r>
          </w:p>
        </w:tc>
        <w:tc>
          <w:tcPr>
            <w:tcW w:w="1806" w:type="dxa"/>
            <w:shd w:val="clear" w:color="auto" w:fill="F2F6FC"/>
          </w:tcPr>
          <w:p w14:paraId="2BB6CEBF" w14:textId="77777777" w:rsidR="00AC41AE" w:rsidRDefault="00000000">
            <w:r>
              <w:rPr>
                <w:rFonts w:ascii="Arial" w:hAnsi="Arial"/>
                <w:sz w:val="18"/>
              </w:rPr>
              <w:t>22,306 tCO₂e</w:t>
            </w:r>
          </w:p>
        </w:tc>
        <w:tc>
          <w:tcPr>
            <w:tcW w:w="1806" w:type="dxa"/>
            <w:shd w:val="clear" w:color="auto" w:fill="F2F6FC"/>
          </w:tcPr>
          <w:p w14:paraId="1F26438A" w14:textId="77777777" w:rsidR="00AC41AE" w:rsidRDefault="00000000">
            <w:pPr>
              <w:jc w:val="right"/>
            </w:pPr>
            <w:r>
              <w:rPr>
                <w:rFonts w:ascii="Arial" w:hAnsi="Arial"/>
                <w:sz w:val="18"/>
              </w:rPr>
              <w:t>50%</w:t>
            </w:r>
          </w:p>
        </w:tc>
        <w:tc>
          <w:tcPr>
            <w:tcW w:w="1806" w:type="dxa"/>
            <w:shd w:val="clear" w:color="auto" w:fill="F2F6FC"/>
          </w:tcPr>
          <w:p w14:paraId="19F9C9EB" w14:textId="77777777" w:rsidR="00AC41AE" w:rsidRDefault="00000000">
            <w:r>
              <w:rPr>
                <w:rFonts w:ascii="Arial" w:hAnsi="Arial"/>
                <w:sz w:val="18"/>
              </w:rPr>
              <w:t>RE100 + efficiency</w:t>
            </w:r>
          </w:p>
        </w:tc>
      </w:tr>
      <w:tr w:rsidR="00AC41AE" w14:paraId="10897F71" w14:textId="77777777">
        <w:trPr>
          <w:jc w:val="center"/>
        </w:trPr>
        <w:tc>
          <w:tcPr>
            <w:tcW w:w="1806" w:type="dxa"/>
          </w:tcPr>
          <w:p w14:paraId="621F381A" w14:textId="77777777" w:rsidR="00AC41AE" w:rsidRDefault="00000000">
            <w:r>
              <w:rPr>
                <w:rFonts w:ascii="Arial" w:hAnsi="Arial"/>
                <w:sz w:val="18"/>
              </w:rPr>
              <w:t>Total Scope 1+2</w:t>
            </w:r>
          </w:p>
        </w:tc>
        <w:tc>
          <w:tcPr>
            <w:tcW w:w="1806" w:type="dxa"/>
          </w:tcPr>
          <w:p w14:paraId="62B8157C" w14:textId="77777777" w:rsidR="00AC41AE" w:rsidRDefault="00000000">
            <w:r>
              <w:rPr>
                <w:rFonts w:ascii="Arial" w:hAnsi="Arial"/>
                <w:sz w:val="18"/>
              </w:rPr>
              <w:t>48,015.515 tCO₂e</w:t>
            </w:r>
          </w:p>
        </w:tc>
        <w:tc>
          <w:tcPr>
            <w:tcW w:w="1806" w:type="dxa"/>
          </w:tcPr>
          <w:p w14:paraId="4B1D204B" w14:textId="77777777" w:rsidR="00AC41AE" w:rsidRDefault="00000000">
            <w:r>
              <w:rPr>
                <w:rFonts w:ascii="Arial" w:hAnsi="Arial"/>
                <w:sz w:val="18"/>
              </w:rPr>
              <w:t>24,688 tCO₂e</w:t>
            </w:r>
          </w:p>
        </w:tc>
        <w:tc>
          <w:tcPr>
            <w:tcW w:w="1806" w:type="dxa"/>
          </w:tcPr>
          <w:p w14:paraId="376CCCD1" w14:textId="77777777" w:rsidR="00AC41AE" w:rsidRDefault="00000000">
            <w:pPr>
              <w:jc w:val="right"/>
            </w:pPr>
            <w:r>
              <w:rPr>
                <w:rFonts w:ascii="Arial" w:hAnsi="Arial"/>
                <w:sz w:val="18"/>
              </w:rPr>
              <w:t>49%</w:t>
            </w:r>
          </w:p>
        </w:tc>
        <w:tc>
          <w:tcPr>
            <w:tcW w:w="1806" w:type="dxa"/>
          </w:tcPr>
          <w:p w14:paraId="63FA3328" w14:textId="77777777" w:rsidR="00AC41AE" w:rsidRDefault="00000000">
            <w:r>
              <w:rPr>
                <w:rFonts w:ascii="Arial" w:hAnsi="Arial"/>
                <w:sz w:val="18"/>
              </w:rPr>
              <w:t>Science-based target</w:t>
            </w:r>
          </w:p>
        </w:tc>
      </w:tr>
      <w:tr w:rsidR="00AC41AE" w14:paraId="6DC6CAC7" w14:textId="77777777">
        <w:trPr>
          <w:jc w:val="center"/>
        </w:trPr>
        <w:tc>
          <w:tcPr>
            <w:tcW w:w="1806" w:type="dxa"/>
            <w:shd w:val="clear" w:color="auto" w:fill="F2F6FC"/>
          </w:tcPr>
          <w:p w14:paraId="05EAD9D6" w14:textId="77777777" w:rsidR="00AC41AE" w:rsidRDefault="00000000">
            <w:r>
              <w:rPr>
                <w:rFonts w:ascii="Arial" w:hAnsi="Arial"/>
                <w:sz w:val="18"/>
              </w:rPr>
              <w:t>Emission Intensity (tCO₂e/FTE)</w:t>
            </w:r>
          </w:p>
        </w:tc>
        <w:tc>
          <w:tcPr>
            <w:tcW w:w="1806" w:type="dxa"/>
            <w:shd w:val="clear" w:color="auto" w:fill="F2F6FC"/>
          </w:tcPr>
          <w:p w14:paraId="1DB39AAB" w14:textId="77777777" w:rsidR="00AC41AE" w:rsidRDefault="00000000">
            <w:pPr>
              <w:jc w:val="right"/>
            </w:pPr>
            <w:r>
              <w:rPr>
                <w:rFonts w:ascii="Arial" w:hAnsi="Arial"/>
                <w:sz w:val="18"/>
              </w:rPr>
              <w:t>1.9209</w:t>
            </w:r>
          </w:p>
        </w:tc>
        <w:tc>
          <w:tcPr>
            <w:tcW w:w="1806" w:type="dxa"/>
            <w:shd w:val="clear" w:color="auto" w:fill="F2F6FC"/>
          </w:tcPr>
          <w:p w14:paraId="0E41673E" w14:textId="77777777" w:rsidR="00AC41AE" w:rsidRDefault="00000000">
            <w:pPr>
              <w:jc w:val="right"/>
            </w:pPr>
            <w:r>
              <w:rPr>
                <w:rFonts w:ascii="Arial" w:hAnsi="Arial"/>
                <w:sz w:val="18"/>
              </w:rPr>
              <w:t>0.96</w:t>
            </w:r>
          </w:p>
        </w:tc>
        <w:tc>
          <w:tcPr>
            <w:tcW w:w="1806" w:type="dxa"/>
            <w:shd w:val="clear" w:color="auto" w:fill="F2F6FC"/>
          </w:tcPr>
          <w:p w14:paraId="7E22762F" w14:textId="77777777" w:rsidR="00AC41AE" w:rsidRDefault="00000000">
            <w:pPr>
              <w:jc w:val="right"/>
            </w:pPr>
            <w:r>
              <w:rPr>
                <w:rFonts w:ascii="Arial" w:hAnsi="Arial"/>
                <w:sz w:val="18"/>
              </w:rPr>
              <w:t>50%</w:t>
            </w:r>
          </w:p>
        </w:tc>
        <w:tc>
          <w:tcPr>
            <w:tcW w:w="1806" w:type="dxa"/>
            <w:shd w:val="clear" w:color="auto" w:fill="F2F6FC"/>
          </w:tcPr>
          <w:p w14:paraId="0B1CDFEA" w14:textId="77777777" w:rsidR="00AC41AE" w:rsidRDefault="00000000">
            <w:r>
              <w:rPr>
                <w:rFonts w:ascii="Arial" w:hAnsi="Arial"/>
                <w:sz w:val="18"/>
              </w:rPr>
              <w:t>Peer benchmark (DBS)</w:t>
            </w:r>
          </w:p>
        </w:tc>
      </w:tr>
      <w:tr w:rsidR="00AC41AE" w14:paraId="0022B2FD" w14:textId="77777777">
        <w:trPr>
          <w:jc w:val="center"/>
        </w:trPr>
        <w:tc>
          <w:tcPr>
            <w:tcW w:w="1806" w:type="dxa"/>
          </w:tcPr>
          <w:p w14:paraId="7E5E2C06" w14:textId="77777777" w:rsidR="00AC41AE" w:rsidRDefault="00000000">
            <w:r>
              <w:rPr>
                <w:rFonts w:ascii="Arial" w:hAnsi="Arial"/>
                <w:sz w:val="18"/>
              </w:rPr>
              <w:t>Renewable Energy Procurement</w:t>
            </w:r>
          </w:p>
        </w:tc>
        <w:tc>
          <w:tcPr>
            <w:tcW w:w="1806" w:type="dxa"/>
          </w:tcPr>
          <w:p w14:paraId="7DCBEC92" w14:textId="77777777" w:rsidR="00AC41AE" w:rsidRDefault="00000000">
            <w:pPr>
              <w:jc w:val="right"/>
            </w:pPr>
            <w:r>
              <w:rPr>
                <w:rFonts w:ascii="Arial" w:hAnsi="Arial"/>
                <w:sz w:val="18"/>
              </w:rPr>
              <w:t>0%</w:t>
            </w:r>
          </w:p>
        </w:tc>
        <w:tc>
          <w:tcPr>
            <w:tcW w:w="1806" w:type="dxa"/>
          </w:tcPr>
          <w:p w14:paraId="133F89C3" w14:textId="77777777" w:rsidR="00AC41AE" w:rsidRDefault="00000000">
            <w:pPr>
              <w:jc w:val="right"/>
            </w:pPr>
            <w:r>
              <w:rPr>
                <w:rFonts w:ascii="Arial" w:hAnsi="Arial"/>
                <w:sz w:val="18"/>
              </w:rPr>
              <w:t>60%</w:t>
            </w:r>
          </w:p>
        </w:tc>
        <w:tc>
          <w:tcPr>
            <w:tcW w:w="1806" w:type="dxa"/>
          </w:tcPr>
          <w:p w14:paraId="0794C6E6" w14:textId="77777777" w:rsidR="00AC41AE" w:rsidRDefault="00000000">
            <w:r>
              <w:rPr>
                <w:rFonts w:ascii="Arial" w:hAnsi="Arial"/>
                <w:sz w:val="18"/>
              </w:rPr>
              <w:t>N/A</w:t>
            </w:r>
          </w:p>
        </w:tc>
        <w:tc>
          <w:tcPr>
            <w:tcW w:w="1806" w:type="dxa"/>
          </w:tcPr>
          <w:p w14:paraId="719F1CD9" w14:textId="77777777" w:rsidR="00AC41AE" w:rsidRDefault="00000000">
            <w:r>
              <w:rPr>
                <w:rFonts w:ascii="Arial" w:hAnsi="Arial"/>
                <w:sz w:val="18"/>
              </w:rPr>
              <w:t>RE100 milestone</w:t>
            </w:r>
          </w:p>
        </w:tc>
      </w:tr>
    </w:tbl>
    <w:p w14:paraId="4E3934A7" w14:textId="77777777" w:rsidR="00AC41AE" w:rsidRDefault="00000000">
      <w:r>
        <w:rPr>
          <w:rFonts w:ascii="Arial" w:hAnsi="Arial"/>
          <w:i/>
          <w:sz w:val="16"/>
        </w:rPr>
        <w:t>Source: Recommended targets based on SBTi Financial Sector guidance and peer institution pathways. Baseline year: 2024.</w:t>
      </w:r>
    </w:p>
    <w:p w14:paraId="03A5D2F9" w14:textId="77777777" w:rsidR="00AC41AE" w:rsidRDefault="00AC41AE"/>
    <w:p w14:paraId="0B9B5654" w14:textId="77777777" w:rsidR="00AC41AE" w:rsidRDefault="00000000">
      <w:r>
        <w:rPr>
          <w:rFonts w:ascii="Arial" w:hAnsi="Arial"/>
          <w:b/>
          <w:sz w:val="20"/>
        </w:rPr>
        <w:t>Table 62: Table 3.2.3: Recommended Financed Emission Reduction Targets by Sector</w:t>
      </w:r>
    </w:p>
    <w:tbl>
      <w:tblPr>
        <w:tblW w:w="0" w:type="auto"/>
        <w:jc w:val="center"/>
        <w:tblLook w:val="04A0" w:firstRow="1" w:lastRow="0" w:firstColumn="1" w:lastColumn="0" w:noHBand="0" w:noVBand="1"/>
      </w:tblPr>
      <w:tblGrid>
        <w:gridCol w:w="1806"/>
        <w:gridCol w:w="1806"/>
        <w:gridCol w:w="1806"/>
        <w:gridCol w:w="1806"/>
        <w:gridCol w:w="1806"/>
      </w:tblGrid>
      <w:tr w:rsidR="00AC41AE" w14:paraId="478EE5E2" w14:textId="77777777">
        <w:trPr>
          <w:jc w:val="center"/>
        </w:trPr>
        <w:tc>
          <w:tcPr>
            <w:tcW w:w="1806" w:type="dxa"/>
            <w:shd w:val="clear" w:color="auto" w:fill="1B3A6B"/>
          </w:tcPr>
          <w:p w14:paraId="614B8D03" w14:textId="77777777" w:rsidR="00AC41AE" w:rsidRDefault="00000000">
            <w:r>
              <w:rPr>
                <w:rFonts w:ascii="Arial" w:hAnsi="Arial"/>
                <w:b/>
                <w:color w:val="FFFFFF"/>
                <w:sz w:val="18"/>
              </w:rPr>
              <w:t>Sector</w:t>
            </w:r>
          </w:p>
        </w:tc>
        <w:tc>
          <w:tcPr>
            <w:tcW w:w="1806" w:type="dxa"/>
            <w:shd w:val="clear" w:color="auto" w:fill="1B3A6B"/>
          </w:tcPr>
          <w:p w14:paraId="2A6D8448" w14:textId="77777777" w:rsidR="00AC41AE" w:rsidRDefault="00000000">
            <w:r>
              <w:rPr>
                <w:rFonts w:ascii="Arial" w:hAnsi="Arial"/>
                <w:b/>
                <w:color w:val="FFFFFF"/>
                <w:sz w:val="18"/>
              </w:rPr>
              <w:t>2024 Financed Emissions (tCO₂e)</w:t>
            </w:r>
          </w:p>
        </w:tc>
        <w:tc>
          <w:tcPr>
            <w:tcW w:w="1806" w:type="dxa"/>
            <w:shd w:val="clear" w:color="auto" w:fill="1B3A6B"/>
          </w:tcPr>
          <w:p w14:paraId="46788FFA" w14:textId="77777777" w:rsidR="00AC41AE" w:rsidRDefault="00000000">
            <w:r>
              <w:rPr>
                <w:rFonts w:ascii="Arial" w:hAnsi="Arial"/>
                <w:b/>
                <w:color w:val="FFFFFF"/>
                <w:sz w:val="18"/>
              </w:rPr>
              <w:t>2030 Target (tCO₂e)</w:t>
            </w:r>
          </w:p>
        </w:tc>
        <w:tc>
          <w:tcPr>
            <w:tcW w:w="1806" w:type="dxa"/>
            <w:shd w:val="clear" w:color="auto" w:fill="1B3A6B"/>
          </w:tcPr>
          <w:p w14:paraId="1A385126" w14:textId="77777777" w:rsidR="00AC41AE" w:rsidRDefault="00000000">
            <w:r>
              <w:rPr>
                <w:rFonts w:ascii="Arial" w:hAnsi="Arial"/>
                <w:b/>
                <w:color w:val="FFFFFF"/>
                <w:sz w:val="18"/>
              </w:rPr>
              <w:t>Reduction %</w:t>
            </w:r>
          </w:p>
        </w:tc>
        <w:tc>
          <w:tcPr>
            <w:tcW w:w="1806" w:type="dxa"/>
            <w:shd w:val="clear" w:color="auto" w:fill="1B3A6B"/>
          </w:tcPr>
          <w:p w14:paraId="7D8DE4C9" w14:textId="77777777" w:rsidR="00AC41AE" w:rsidRDefault="00000000">
            <w:r>
              <w:rPr>
                <w:rFonts w:ascii="Arial" w:hAnsi="Arial"/>
                <w:b/>
                <w:color w:val="FFFFFF"/>
                <w:sz w:val="18"/>
              </w:rPr>
              <w:t>Primary Lever</w:t>
            </w:r>
          </w:p>
        </w:tc>
      </w:tr>
      <w:tr w:rsidR="00AC41AE" w14:paraId="39432A1E" w14:textId="77777777">
        <w:trPr>
          <w:jc w:val="center"/>
        </w:trPr>
        <w:tc>
          <w:tcPr>
            <w:tcW w:w="1806" w:type="dxa"/>
          </w:tcPr>
          <w:p w14:paraId="5015FA79" w14:textId="77777777" w:rsidR="00AC41AE" w:rsidRDefault="00000000">
            <w:r>
              <w:rPr>
                <w:rFonts w:ascii="Arial" w:hAnsi="Arial"/>
                <w:sz w:val="18"/>
              </w:rPr>
              <w:t>Energy - Oil &amp; Gas</w:t>
            </w:r>
          </w:p>
        </w:tc>
        <w:tc>
          <w:tcPr>
            <w:tcW w:w="1806" w:type="dxa"/>
          </w:tcPr>
          <w:p w14:paraId="7636D8F5" w14:textId="77777777" w:rsidR="00AC41AE" w:rsidRDefault="00000000">
            <w:pPr>
              <w:jc w:val="right"/>
            </w:pPr>
            <w:r>
              <w:rPr>
                <w:rFonts w:ascii="Arial" w:hAnsi="Arial"/>
                <w:sz w:val="18"/>
              </w:rPr>
              <w:t>6,753,948.71</w:t>
            </w:r>
          </w:p>
        </w:tc>
        <w:tc>
          <w:tcPr>
            <w:tcW w:w="1806" w:type="dxa"/>
          </w:tcPr>
          <w:p w14:paraId="312E2983" w14:textId="77777777" w:rsidR="00AC41AE" w:rsidRDefault="00000000">
            <w:pPr>
              <w:jc w:val="right"/>
            </w:pPr>
            <w:r>
              <w:rPr>
                <w:rFonts w:ascii="Arial" w:hAnsi="Arial"/>
                <w:sz w:val="18"/>
              </w:rPr>
              <w:t>4,727,764</w:t>
            </w:r>
          </w:p>
        </w:tc>
        <w:tc>
          <w:tcPr>
            <w:tcW w:w="1806" w:type="dxa"/>
          </w:tcPr>
          <w:p w14:paraId="52FB5FD4" w14:textId="77777777" w:rsidR="00AC41AE" w:rsidRDefault="00000000">
            <w:pPr>
              <w:jc w:val="right"/>
            </w:pPr>
            <w:r>
              <w:rPr>
                <w:rFonts w:ascii="Arial" w:hAnsi="Arial"/>
                <w:sz w:val="18"/>
              </w:rPr>
              <w:t>30%</w:t>
            </w:r>
          </w:p>
        </w:tc>
        <w:tc>
          <w:tcPr>
            <w:tcW w:w="1806" w:type="dxa"/>
          </w:tcPr>
          <w:p w14:paraId="10982EAC" w14:textId="77777777" w:rsidR="00AC41AE" w:rsidRDefault="00000000">
            <w:r>
              <w:rPr>
                <w:rFonts w:ascii="Arial" w:hAnsi="Arial"/>
                <w:sz w:val="18"/>
              </w:rPr>
              <w:t>Sectoral phase-out policy</w:t>
            </w:r>
          </w:p>
        </w:tc>
      </w:tr>
      <w:tr w:rsidR="00AC41AE" w14:paraId="4CD616C3" w14:textId="77777777">
        <w:trPr>
          <w:jc w:val="center"/>
        </w:trPr>
        <w:tc>
          <w:tcPr>
            <w:tcW w:w="1806" w:type="dxa"/>
            <w:shd w:val="clear" w:color="auto" w:fill="F2F6FC"/>
          </w:tcPr>
          <w:p w14:paraId="60B38C20" w14:textId="77777777" w:rsidR="00AC41AE" w:rsidRDefault="00000000">
            <w:r>
              <w:rPr>
                <w:rFonts w:ascii="Arial" w:hAnsi="Arial"/>
                <w:sz w:val="18"/>
              </w:rPr>
              <w:t>Manufacturing - Cement</w:t>
            </w:r>
          </w:p>
        </w:tc>
        <w:tc>
          <w:tcPr>
            <w:tcW w:w="1806" w:type="dxa"/>
            <w:shd w:val="clear" w:color="auto" w:fill="F2F6FC"/>
          </w:tcPr>
          <w:p w14:paraId="63138F8C" w14:textId="77777777" w:rsidR="00AC41AE" w:rsidRDefault="00000000">
            <w:pPr>
              <w:jc w:val="right"/>
            </w:pPr>
            <w:r>
              <w:rPr>
                <w:rFonts w:ascii="Arial" w:hAnsi="Arial"/>
                <w:sz w:val="18"/>
              </w:rPr>
              <w:t>4,168,058.43</w:t>
            </w:r>
          </w:p>
        </w:tc>
        <w:tc>
          <w:tcPr>
            <w:tcW w:w="1806" w:type="dxa"/>
            <w:shd w:val="clear" w:color="auto" w:fill="F2F6FC"/>
          </w:tcPr>
          <w:p w14:paraId="0076EB98" w14:textId="77777777" w:rsidR="00AC41AE" w:rsidRDefault="00000000">
            <w:pPr>
              <w:jc w:val="right"/>
            </w:pPr>
            <w:r>
              <w:rPr>
                <w:rFonts w:ascii="Arial" w:hAnsi="Arial"/>
                <w:sz w:val="18"/>
              </w:rPr>
              <w:t>2,917,641</w:t>
            </w:r>
          </w:p>
        </w:tc>
        <w:tc>
          <w:tcPr>
            <w:tcW w:w="1806" w:type="dxa"/>
            <w:shd w:val="clear" w:color="auto" w:fill="F2F6FC"/>
          </w:tcPr>
          <w:p w14:paraId="6D38D1C0" w14:textId="77777777" w:rsidR="00AC41AE" w:rsidRDefault="00000000">
            <w:pPr>
              <w:jc w:val="right"/>
            </w:pPr>
            <w:r>
              <w:rPr>
                <w:rFonts w:ascii="Arial" w:hAnsi="Arial"/>
                <w:sz w:val="18"/>
              </w:rPr>
              <w:t>30%</w:t>
            </w:r>
          </w:p>
        </w:tc>
        <w:tc>
          <w:tcPr>
            <w:tcW w:w="1806" w:type="dxa"/>
            <w:shd w:val="clear" w:color="auto" w:fill="F2F6FC"/>
          </w:tcPr>
          <w:p w14:paraId="37D3A10C" w14:textId="77777777" w:rsidR="00AC41AE" w:rsidRDefault="00000000">
            <w:r>
              <w:rPr>
                <w:rFonts w:ascii="Arial" w:hAnsi="Arial"/>
                <w:sz w:val="18"/>
              </w:rPr>
              <w:t>Client engagement + efficiency</w:t>
            </w:r>
          </w:p>
        </w:tc>
      </w:tr>
      <w:tr w:rsidR="00AC41AE" w14:paraId="4AD2C6F5" w14:textId="77777777">
        <w:trPr>
          <w:jc w:val="center"/>
        </w:trPr>
        <w:tc>
          <w:tcPr>
            <w:tcW w:w="1806" w:type="dxa"/>
          </w:tcPr>
          <w:p w14:paraId="4C3402AB" w14:textId="77777777" w:rsidR="00AC41AE" w:rsidRDefault="00000000">
            <w:r>
              <w:rPr>
                <w:rFonts w:ascii="Arial" w:hAnsi="Arial"/>
                <w:sz w:val="18"/>
              </w:rPr>
              <w:t>Manufacturing - Steel</w:t>
            </w:r>
          </w:p>
        </w:tc>
        <w:tc>
          <w:tcPr>
            <w:tcW w:w="1806" w:type="dxa"/>
          </w:tcPr>
          <w:p w14:paraId="02572D12" w14:textId="77777777" w:rsidR="00AC41AE" w:rsidRDefault="00000000">
            <w:pPr>
              <w:jc w:val="right"/>
            </w:pPr>
            <w:r>
              <w:rPr>
                <w:rFonts w:ascii="Arial" w:hAnsi="Arial"/>
                <w:sz w:val="18"/>
              </w:rPr>
              <w:t>2,228,739.65</w:t>
            </w:r>
          </w:p>
        </w:tc>
        <w:tc>
          <w:tcPr>
            <w:tcW w:w="1806" w:type="dxa"/>
          </w:tcPr>
          <w:p w14:paraId="6568C1EF" w14:textId="77777777" w:rsidR="00AC41AE" w:rsidRDefault="00000000">
            <w:pPr>
              <w:jc w:val="right"/>
            </w:pPr>
            <w:r>
              <w:rPr>
                <w:rFonts w:ascii="Arial" w:hAnsi="Arial"/>
                <w:sz w:val="18"/>
              </w:rPr>
              <w:t>1,560,118</w:t>
            </w:r>
          </w:p>
        </w:tc>
        <w:tc>
          <w:tcPr>
            <w:tcW w:w="1806" w:type="dxa"/>
          </w:tcPr>
          <w:p w14:paraId="7EE4E915" w14:textId="77777777" w:rsidR="00AC41AE" w:rsidRDefault="00000000">
            <w:pPr>
              <w:jc w:val="right"/>
            </w:pPr>
            <w:r>
              <w:rPr>
                <w:rFonts w:ascii="Arial" w:hAnsi="Arial"/>
                <w:sz w:val="18"/>
              </w:rPr>
              <w:t>30%</w:t>
            </w:r>
          </w:p>
        </w:tc>
        <w:tc>
          <w:tcPr>
            <w:tcW w:w="1806" w:type="dxa"/>
          </w:tcPr>
          <w:p w14:paraId="2ECEB3C1" w14:textId="77777777" w:rsidR="00AC41AE" w:rsidRDefault="00000000">
            <w:r>
              <w:rPr>
                <w:rFonts w:ascii="Arial" w:hAnsi="Arial"/>
                <w:sz w:val="18"/>
              </w:rPr>
              <w:t>Green steel transition support</w:t>
            </w:r>
          </w:p>
        </w:tc>
      </w:tr>
      <w:tr w:rsidR="00AC41AE" w14:paraId="35373FDE" w14:textId="77777777">
        <w:trPr>
          <w:jc w:val="center"/>
        </w:trPr>
        <w:tc>
          <w:tcPr>
            <w:tcW w:w="1806" w:type="dxa"/>
            <w:shd w:val="clear" w:color="auto" w:fill="F2F6FC"/>
          </w:tcPr>
          <w:p w14:paraId="132788A9" w14:textId="77777777" w:rsidR="00AC41AE" w:rsidRDefault="00000000">
            <w:r>
              <w:rPr>
                <w:rFonts w:ascii="Arial" w:hAnsi="Arial"/>
                <w:sz w:val="18"/>
              </w:rPr>
              <w:t>Transportation - Road</w:t>
            </w:r>
          </w:p>
        </w:tc>
        <w:tc>
          <w:tcPr>
            <w:tcW w:w="1806" w:type="dxa"/>
            <w:shd w:val="clear" w:color="auto" w:fill="F2F6FC"/>
          </w:tcPr>
          <w:p w14:paraId="6EB28532" w14:textId="77777777" w:rsidR="00AC41AE" w:rsidRDefault="00000000">
            <w:pPr>
              <w:jc w:val="right"/>
            </w:pPr>
            <w:r>
              <w:rPr>
                <w:rFonts w:ascii="Arial" w:hAnsi="Arial"/>
                <w:sz w:val="18"/>
              </w:rPr>
              <w:t>864,356.23</w:t>
            </w:r>
          </w:p>
        </w:tc>
        <w:tc>
          <w:tcPr>
            <w:tcW w:w="1806" w:type="dxa"/>
            <w:shd w:val="clear" w:color="auto" w:fill="F2F6FC"/>
          </w:tcPr>
          <w:p w14:paraId="51ACCC25" w14:textId="77777777" w:rsidR="00AC41AE" w:rsidRDefault="00000000">
            <w:pPr>
              <w:jc w:val="right"/>
            </w:pPr>
            <w:r>
              <w:rPr>
                <w:rFonts w:ascii="Arial" w:hAnsi="Arial"/>
                <w:sz w:val="18"/>
              </w:rPr>
              <w:t>432,178</w:t>
            </w:r>
          </w:p>
        </w:tc>
        <w:tc>
          <w:tcPr>
            <w:tcW w:w="1806" w:type="dxa"/>
            <w:shd w:val="clear" w:color="auto" w:fill="F2F6FC"/>
          </w:tcPr>
          <w:p w14:paraId="6D208061" w14:textId="77777777" w:rsidR="00AC41AE" w:rsidRDefault="00000000">
            <w:pPr>
              <w:jc w:val="right"/>
            </w:pPr>
            <w:r>
              <w:rPr>
                <w:rFonts w:ascii="Arial" w:hAnsi="Arial"/>
                <w:sz w:val="18"/>
              </w:rPr>
              <w:t>50%</w:t>
            </w:r>
          </w:p>
        </w:tc>
        <w:tc>
          <w:tcPr>
            <w:tcW w:w="1806" w:type="dxa"/>
            <w:shd w:val="clear" w:color="auto" w:fill="F2F6FC"/>
          </w:tcPr>
          <w:p w14:paraId="12E9FA62" w14:textId="77777777" w:rsidR="00AC41AE" w:rsidRDefault="00000000">
            <w:r>
              <w:rPr>
                <w:rFonts w:ascii="Arial" w:hAnsi="Arial"/>
                <w:sz w:val="18"/>
              </w:rPr>
              <w:t>EV fleet financing priority</w:t>
            </w:r>
          </w:p>
        </w:tc>
      </w:tr>
      <w:tr w:rsidR="00AC41AE" w14:paraId="78678D70" w14:textId="77777777">
        <w:trPr>
          <w:jc w:val="center"/>
        </w:trPr>
        <w:tc>
          <w:tcPr>
            <w:tcW w:w="1806" w:type="dxa"/>
          </w:tcPr>
          <w:p w14:paraId="2399FF51" w14:textId="77777777" w:rsidR="00AC41AE" w:rsidRDefault="00000000">
            <w:r>
              <w:rPr>
                <w:rFonts w:ascii="Arial" w:hAnsi="Arial"/>
                <w:sz w:val="18"/>
              </w:rPr>
              <w:t>Manufacturing - Food &amp; Beverage</w:t>
            </w:r>
          </w:p>
        </w:tc>
        <w:tc>
          <w:tcPr>
            <w:tcW w:w="1806" w:type="dxa"/>
          </w:tcPr>
          <w:p w14:paraId="65E48DD5" w14:textId="77777777" w:rsidR="00AC41AE" w:rsidRDefault="00000000">
            <w:pPr>
              <w:jc w:val="right"/>
            </w:pPr>
            <w:r>
              <w:rPr>
                <w:rFonts w:ascii="Arial" w:hAnsi="Arial"/>
                <w:sz w:val="18"/>
              </w:rPr>
              <w:t>653,413.56</w:t>
            </w:r>
          </w:p>
        </w:tc>
        <w:tc>
          <w:tcPr>
            <w:tcW w:w="1806" w:type="dxa"/>
          </w:tcPr>
          <w:p w14:paraId="0C220231" w14:textId="77777777" w:rsidR="00AC41AE" w:rsidRDefault="00000000">
            <w:pPr>
              <w:jc w:val="right"/>
            </w:pPr>
            <w:r>
              <w:rPr>
                <w:rFonts w:ascii="Arial" w:hAnsi="Arial"/>
                <w:sz w:val="18"/>
              </w:rPr>
              <w:t>457,389</w:t>
            </w:r>
          </w:p>
        </w:tc>
        <w:tc>
          <w:tcPr>
            <w:tcW w:w="1806" w:type="dxa"/>
          </w:tcPr>
          <w:p w14:paraId="0FBAD52A" w14:textId="77777777" w:rsidR="00AC41AE" w:rsidRDefault="00000000">
            <w:pPr>
              <w:jc w:val="right"/>
            </w:pPr>
            <w:r>
              <w:rPr>
                <w:rFonts w:ascii="Arial" w:hAnsi="Arial"/>
                <w:sz w:val="18"/>
              </w:rPr>
              <w:t>30%</w:t>
            </w:r>
          </w:p>
        </w:tc>
        <w:tc>
          <w:tcPr>
            <w:tcW w:w="1806" w:type="dxa"/>
          </w:tcPr>
          <w:p w14:paraId="0D906B0D" w14:textId="77777777" w:rsidR="00AC41AE" w:rsidRDefault="00000000">
            <w:r>
              <w:rPr>
                <w:rFonts w:ascii="Arial" w:hAnsi="Arial"/>
                <w:sz w:val="18"/>
              </w:rPr>
              <w:t>Renewable energy adoption</w:t>
            </w:r>
          </w:p>
        </w:tc>
      </w:tr>
      <w:tr w:rsidR="00AC41AE" w14:paraId="44920B37" w14:textId="77777777">
        <w:trPr>
          <w:jc w:val="center"/>
        </w:trPr>
        <w:tc>
          <w:tcPr>
            <w:tcW w:w="1806" w:type="dxa"/>
            <w:shd w:val="clear" w:color="auto" w:fill="F2F6FC"/>
          </w:tcPr>
          <w:p w14:paraId="37A9F8F9" w14:textId="77777777" w:rsidR="00AC41AE" w:rsidRDefault="00000000">
            <w:r>
              <w:rPr>
                <w:rFonts w:ascii="Arial" w:hAnsi="Arial"/>
                <w:sz w:val="18"/>
              </w:rPr>
              <w:t>All Other Sectors</w:t>
            </w:r>
          </w:p>
        </w:tc>
        <w:tc>
          <w:tcPr>
            <w:tcW w:w="1806" w:type="dxa"/>
            <w:shd w:val="clear" w:color="auto" w:fill="F2F6FC"/>
          </w:tcPr>
          <w:p w14:paraId="0EC148E5" w14:textId="77777777" w:rsidR="00AC41AE" w:rsidRDefault="00000000">
            <w:pPr>
              <w:jc w:val="right"/>
            </w:pPr>
            <w:r>
              <w:rPr>
                <w:rFonts w:ascii="Arial" w:hAnsi="Arial"/>
                <w:sz w:val="18"/>
              </w:rPr>
              <w:t>615,657.56</w:t>
            </w:r>
          </w:p>
        </w:tc>
        <w:tc>
          <w:tcPr>
            <w:tcW w:w="1806" w:type="dxa"/>
            <w:shd w:val="clear" w:color="auto" w:fill="F2F6FC"/>
          </w:tcPr>
          <w:p w14:paraId="281623E7" w14:textId="77777777" w:rsidR="00AC41AE" w:rsidRDefault="00000000">
            <w:pPr>
              <w:jc w:val="right"/>
            </w:pPr>
            <w:r>
              <w:rPr>
                <w:rFonts w:ascii="Arial" w:hAnsi="Arial"/>
                <w:sz w:val="18"/>
              </w:rPr>
              <w:t>431,960</w:t>
            </w:r>
          </w:p>
        </w:tc>
        <w:tc>
          <w:tcPr>
            <w:tcW w:w="1806" w:type="dxa"/>
            <w:shd w:val="clear" w:color="auto" w:fill="F2F6FC"/>
          </w:tcPr>
          <w:p w14:paraId="746C1CEC" w14:textId="77777777" w:rsidR="00AC41AE" w:rsidRDefault="00000000">
            <w:pPr>
              <w:jc w:val="right"/>
            </w:pPr>
            <w:r>
              <w:rPr>
                <w:rFonts w:ascii="Arial" w:hAnsi="Arial"/>
                <w:sz w:val="18"/>
              </w:rPr>
              <w:t>30%</w:t>
            </w:r>
          </w:p>
        </w:tc>
        <w:tc>
          <w:tcPr>
            <w:tcW w:w="1806" w:type="dxa"/>
            <w:shd w:val="clear" w:color="auto" w:fill="F2F6FC"/>
          </w:tcPr>
          <w:p w14:paraId="729E78ED" w14:textId="77777777" w:rsidR="00AC41AE" w:rsidRDefault="00000000">
            <w:r>
              <w:rPr>
                <w:rFonts w:ascii="Arial" w:hAnsi="Arial"/>
                <w:sz w:val="18"/>
              </w:rPr>
              <w:t>Portfolio-wide engagement</w:t>
            </w:r>
          </w:p>
        </w:tc>
      </w:tr>
      <w:tr w:rsidR="00AC41AE" w14:paraId="3D48E559" w14:textId="77777777">
        <w:trPr>
          <w:jc w:val="center"/>
        </w:trPr>
        <w:tc>
          <w:tcPr>
            <w:tcW w:w="1806" w:type="dxa"/>
          </w:tcPr>
          <w:p w14:paraId="31C52535" w14:textId="77777777" w:rsidR="00AC41AE" w:rsidRDefault="00000000">
            <w:r>
              <w:rPr>
                <w:rFonts w:ascii="Arial" w:hAnsi="Arial"/>
                <w:sz w:val="18"/>
              </w:rPr>
              <w:t>**Total Portfolio**</w:t>
            </w:r>
          </w:p>
        </w:tc>
        <w:tc>
          <w:tcPr>
            <w:tcW w:w="1806" w:type="dxa"/>
          </w:tcPr>
          <w:p w14:paraId="73312F21" w14:textId="77777777" w:rsidR="00AC41AE" w:rsidRDefault="00000000">
            <w:r>
              <w:rPr>
                <w:rFonts w:ascii="Arial" w:hAnsi="Arial"/>
                <w:sz w:val="18"/>
              </w:rPr>
              <w:t>**15,280,174.14**</w:t>
            </w:r>
          </w:p>
        </w:tc>
        <w:tc>
          <w:tcPr>
            <w:tcW w:w="1806" w:type="dxa"/>
          </w:tcPr>
          <w:p w14:paraId="40E9ECC4" w14:textId="77777777" w:rsidR="00AC41AE" w:rsidRDefault="00000000">
            <w:r>
              <w:rPr>
                <w:rFonts w:ascii="Arial" w:hAnsi="Arial"/>
                <w:sz w:val="18"/>
              </w:rPr>
              <w:t>**10,527,050**</w:t>
            </w:r>
          </w:p>
        </w:tc>
        <w:tc>
          <w:tcPr>
            <w:tcW w:w="1806" w:type="dxa"/>
          </w:tcPr>
          <w:p w14:paraId="692CE4B5" w14:textId="77777777" w:rsidR="00AC41AE" w:rsidRDefault="00000000">
            <w:r>
              <w:rPr>
                <w:rFonts w:ascii="Arial" w:hAnsi="Arial"/>
                <w:sz w:val="18"/>
              </w:rPr>
              <w:t>**31%**</w:t>
            </w:r>
          </w:p>
        </w:tc>
        <w:tc>
          <w:tcPr>
            <w:tcW w:w="1806" w:type="dxa"/>
          </w:tcPr>
          <w:p w14:paraId="7A4ED4DC" w14:textId="77777777" w:rsidR="00AC41AE" w:rsidRDefault="00000000">
            <w:r>
              <w:rPr>
                <w:rFonts w:ascii="Arial" w:hAnsi="Arial"/>
                <w:sz w:val="18"/>
              </w:rPr>
              <w:t>**Multi-lever approach**</w:t>
            </w:r>
          </w:p>
        </w:tc>
      </w:tr>
    </w:tbl>
    <w:p w14:paraId="309350B0" w14:textId="77777777" w:rsidR="00AC41AE" w:rsidRDefault="00000000">
      <w:r>
        <w:rPr>
          <w:rFonts w:ascii="Arial" w:hAnsi="Arial"/>
          <w:i/>
          <w:sz w:val="16"/>
        </w:rPr>
        <w:t>Source: Targets based on weighted financed emissions (PCAF methodology). Reduction percentages aligned with sectoral decarbonization pathways and peer institution commitments.</w:t>
      </w:r>
    </w:p>
    <w:p w14:paraId="1E8B431C" w14:textId="77777777" w:rsidR="00AC41AE" w:rsidRDefault="00AC41AE"/>
    <w:p w14:paraId="5F9A5479" w14:textId="77777777" w:rsidR="00AC41AE" w:rsidRDefault="00000000">
      <w:r>
        <w:rPr>
          <w:rFonts w:ascii="Arial" w:hAnsi="Arial"/>
          <w:b/>
          <w:sz w:val="20"/>
        </w:rPr>
        <w:t>Table 64: Table 3.2.4: Three-Year Target Implementation Roadmap</w:t>
      </w:r>
    </w:p>
    <w:tbl>
      <w:tblPr>
        <w:tblW w:w="0" w:type="auto"/>
        <w:jc w:val="center"/>
        <w:tblLook w:val="04A0" w:firstRow="1" w:lastRow="0" w:firstColumn="1" w:lastColumn="0" w:noHBand="0" w:noVBand="1"/>
      </w:tblPr>
      <w:tblGrid>
        <w:gridCol w:w="1806"/>
        <w:gridCol w:w="1806"/>
        <w:gridCol w:w="1806"/>
        <w:gridCol w:w="1806"/>
        <w:gridCol w:w="1806"/>
      </w:tblGrid>
      <w:tr w:rsidR="00AC41AE" w14:paraId="012E8594" w14:textId="77777777">
        <w:trPr>
          <w:jc w:val="center"/>
        </w:trPr>
        <w:tc>
          <w:tcPr>
            <w:tcW w:w="1806" w:type="dxa"/>
            <w:shd w:val="clear" w:color="auto" w:fill="1B3A6B"/>
          </w:tcPr>
          <w:p w14:paraId="3EA794DA" w14:textId="77777777" w:rsidR="00AC41AE" w:rsidRDefault="00000000">
            <w:r>
              <w:rPr>
                <w:rFonts w:ascii="Arial" w:hAnsi="Arial"/>
                <w:b/>
                <w:color w:val="FFFFFF"/>
                <w:sz w:val="18"/>
              </w:rPr>
              <w:t>Phase</w:t>
            </w:r>
          </w:p>
        </w:tc>
        <w:tc>
          <w:tcPr>
            <w:tcW w:w="1806" w:type="dxa"/>
            <w:shd w:val="clear" w:color="auto" w:fill="1B3A6B"/>
          </w:tcPr>
          <w:p w14:paraId="3E064271" w14:textId="77777777" w:rsidR="00AC41AE" w:rsidRDefault="00000000">
            <w:r>
              <w:rPr>
                <w:rFonts w:ascii="Arial" w:hAnsi="Arial"/>
                <w:b/>
                <w:color w:val="FFFFFF"/>
                <w:sz w:val="18"/>
              </w:rPr>
              <w:t>Timeline</w:t>
            </w:r>
          </w:p>
        </w:tc>
        <w:tc>
          <w:tcPr>
            <w:tcW w:w="1806" w:type="dxa"/>
            <w:shd w:val="clear" w:color="auto" w:fill="1B3A6B"/>
          </w:tcPr>
          <w:p w14:paraId="112FBB53" w14:textId="77777777" w:rsidR="00AC41AE" w:rsidRDefault="00000000">
            <w:r>
              <w:rPr>
                <w:rFonts w:ascii="Arial" w:hAnsi="Arial"/>
                <w:b/>
                <w:color w:val="FFFFFF"/>
                <w:sz w:val="18"/>
              </w:rPr>
              <w:t>Key Deliverables</w:t>
            </w:r>
          </w:p>
        </w:tc>
        <w:tc>
          <w:tcPr>
            <w:tcW w:w="1806" w:type="dxa"/>
            <w:shd w:val="clear" w:color="auto" w:fill="1B3A6B"/>
          </w:tcPr>
          <w:p w14:paraId="6F32238F" w14:textId="77777777" w:rsidR="00AC41AE" w:rsidRDefault="00000000">
            <w:r>
              <w:rPr>
                <w:rFonts w:ascii="Arial" w:hAnsi="Arial"/>
                <w:b/>
                <w:color w:val="FFFFFF"/>
                <w:sz w:val="18"/>
              </w:rPr>
              <w:t>Investment Required</w:t>
            </w:r>
          </w:p>
        </w:tc>
        <w:tc>
          <w:tcPr>
            <w:tcW w:w="1806" w:type="dxa"/>
            <w:shd w:val="clear" w:color="auto" w:fill="1B3A6B"/>
          </w:tcPr>
          <w:p w14:paraId="718B1EEE" w14:textId="77777777" w:rsidR="00AC41AE" w:rsidRDefault="00000000">
            <w:r>
              <w:rPr>
                <w:rFonts w:ascii="Arial" w:hAnsi="Arial"/>
                <w:b/>
                <w:color w:val="FFFFFF"/>
                <w:sz w:val="18"/>
              </w:rPr>
              <w:t>Expected Outcome</w:t>
            </w:r>
          </w:p>
        </w:tc>
      </w:tr>
      <w:tr w:rsidR="00AC41AE" w14:paraId="5B9073DC" w14:textId="77777777">
        <w:trPr>
          <w:jc w:val="center"/>
        </w:trPr>
        <w:tc>
          <w:tcPr>
            <w:tcW w:w="1806" w:type="dxa"/>
          </w:tcPr>
          <w:p w14:paraId="70C72EA4" w14:textId="77777777" w:rsidR="00AC41AE" w:rsidRDefault="00000000">
            <w:r>
              <w:rPr>
                <w:rFonts w:ascii="Arial" w:hAnsi="Arial"/>
                <w:sz w:val="18"/>
              </w:rPr>
              <w:t>Phase 1: Foundation</w:t>
            </w:r>
          </w:p>
        </w:tc>
        <w:tc>
          <w:tcPr>
            <w:tcW w:w="1806" w:type="dxa"/>
          </w:tcPr>
          <w:p w14:paraId="24554C68" w14:textId="77777777" w:rsidR="00AC41AE" w:rsidRDefault="00000000">
            <w:r>
              <w:rPr>
                <w:rFonts w:ascii="Arial" w:hAnsi="Arial"/>
                <w:sz w:val="18"/>
              </w:rPr>
              <w:t>Q1-Q4 2025</w:t>
            </w:r>
          </w:p>
        </w:tc>
        <w:tc>
          <w:tcPr>
            <w:tcW w:w="1806" w:type="dxa"/>
          </w:tcPr>
          <w:p w14:paraId="7760F656" w14:textId="77777777" w:rsidR="00AC41AE" w:rsidRDefault="00000000">
            <w:r>
              <w:rPr>
                <w:rFonts w:ascii="Arial" w:hAnsi="Arial"/>
                <w:sz w:val="18"/>
              </w:rPr>
              <w:t xml:space="preserve">SBTi commitment letter; Baseline validation; Governance </w:t>
            </w:r>
            <w:r>
              <w:rPr>
                <w:rFonts w:ascii="Arial" w:hAnsi="Arial"/>
                <w:sz w:val="18"/>
              </w:rPr>
              <w:lastRenderedPageBreak/>
              <w:t>structure</w:t>
            </w:r>
          </w:p>
        </w:tc>
        <w:tc>
          <w:tcPr>
            <w:tcW w:w="1806" w:type="dxa"/>
          </w:tcPr>
          <w:p w14:paraId="5DD74929" w14:textId="77777777" w:rsidR="00AC41AE" w:rsidRDefault="00000000">
            <w:r>
              <w:rPr>
                <w:rFonts w:ascii="Arial" w:hAnsi="Arial"/>
                <w:sz w:val="18"/>
              </w:rPr>
              <w:lastRenderedPageBreak/>
              <w:t>IDR 2-3 billion</w:t>
            </w:r>
          </w:p>
        </w:tc>
        <w:tc>
          <w:tcPr>
            <w:tcW w:w="1806" w:type="dxa"/>
          </w:tcPr>
          <w:p w14:paraId="271E96EB" w14:textId="77777777" w:rsidR="00AC41AE" w:rsidRDefault="00000000">
            <w:r>
              <w:rPr>
                <w:rFonts w:ascii="Arial" w:hAnsi="Arial"/>
                <w:sz w:val="18"/>
              </w:rPr>
              <w:t>Public commitment established</w:t>
            </w:r>
          </w:p>
        </w:tc>
      </w:tr>
      <w:tr w:rsidR="00AC41AE" w14:paraId="03CAABE3" w14:textId="77777777">
        <w:trPr>
          <w:jc w:val="center"/>
        </w:trPr>
        <w:tc>
          <w:tcPr>
            <w:tcW w:w="1806" w:type="dxa"/>
            <w:shd w:val="clear" w:color="auto" w:fill="F2F6FC"/>
          </w:tcPr>
          <w:p w14:paraId="4FB9AB7E" w14:textId="77777777" w:rsidR="00AC41AE" w:rsidRDefault="00000000">
            <w:r>
              <w:rPr>
                <w:rFonts w:ascii="Arial" w:hAnsi="Arial"/>
                <w:sz w:val="18"/>
              </w:rPr>
              <w:t>Phase 2: Target Setting</w:t>
            </w:r>
          </w:p>
        </w:tc>
        <w:tc>
          <w:tcPr>
            <w:tcW w:w="1806" w:type="dxa"/>
            <w:shd w:val="clear" w:color="auto" w:fill="F2F6FC"/>
          </w:tcPr>
          <w:p w14:paraId="20F4E22F" w14:textId="77777777" w:rsidR="00AC41AE" w:rsidRDefault="00000000">
            <w:r>
              <w:rPr>
                <w:rFonts w:ascii="Arial" w:hAnsi="Arial"/>
                <w:sz w:val="18"/>
              </w:rPr>
              <w:t>Q1-Q4 2026</w:t>
            </w:r>
          </w:p>
        </w:tc>
        <w:tc>
          <w:tcPr>
            <w:tcW w:w="1806" w:type="dxa"/>
            <w:shd w:val="clear" w:color="auto" w:fill="F2F6FC"/>
          </w:tcPr>
          <w:p w14:paraId="6D95DDA5" w14:textId="77777777" w:rsidR="00AC41AE" w:rsidRDefault="00000000">
            <w:r>
              <w:rPr>
                <w:rFonts w:ascii="Arial" w:hAnsi="Arial"/>
                <w:sz w:val="18"/>
              </w:rPr>
              <w:t>Interim 2030 targets; Sectoral policies; Client engagement framework</w:t>
            </w:r>
          </w:p>
        </w:tc>
        <w:tc>
          <w:tcPr>
            <w:tcW w:w="1806" w:type="dxa"/>
            <w:shd w:val="clear" w:color="auto" w:fill="F2F6FC"/>
          </w:tcPr>
          <w:p w14:paraId="2964E21A" w14:textId="77777777" w:rsidR="00AC41AE" w:rsidRDefault="00000000">
            <w:r>
              <w:rPr>
                <w:rFonts w:ascii="Arial" w:hAnsi="Arial"/>
                <w:sz w:val="18"/>
              </w:rPr>
              <w:t>IDR 5-8 billion</w:t>
            </w:r>
          </w:p>
        </w:tc>
        <w:tc>
          <w:tcPr>
            <w:tcW w:w="1806" w:type="dxa"/>
            <w:shd w:val="clear" w:color="auto" w:fill="F2F6FC"/>
          </w:tcPr>
          <w:p w14:paraId="1E42CD4C" w14:textId="77777777" w:rsidR="00AC41AE" w:rsidRDefault="00000000">
            <w:r>
              <w:rPr>
                <w:rFonts w:ascii="Arial" w:hAnsi="Arial"/>
                <w:sz w:val="18"/>
              </w:rPr>
              <w:t>Credible targets disclosed</w:t>
            </w:r>
          </w:p>
        </w:tc>
      </w:tr>
      <w:tr w:rsidR="00AC41AE" w14:paraId="622D73C5" w14:textId="77777777">
        <w:trPr>
          <w:jc w:val="center"/>
        </w:trPr>
        <w:tc>
          <w:tcPr>
            <w:tcW w:w="1806" w:type="dxa"/>
          </w:tcPr>
          <w:p w14:paraId="1130DDB0" w14:textId="77777777" w:rsidR="00AC41AE" w:rsidRDefault="00000000">
            <w:r>
              <w:rPr>
                <w:rFonts w:ascii="Arial" w:hAnsi="Arial"/>
                <w:sz w:val="18"/>
              </w:rPr>
              <w:t>Phase 3: Validation</w:t>
            </w:r>
          </w:p>
        </w:tc>
        <w:tc>
          <w:tcPr>
            <w:tcW w:w="1806" w:type="dxa"/>
          </w:tcPr>
          <w:p w14:paraId="1AB56196" w14:textId="77777777" w:rsidR="00AC41AE" w:rsidRDefault="00000000">
            <w:r>
              <w:rPr>
                <w:rFonts w:ascii="Arial" w:hAnsi="Arial"/>
                <w:sz w:val="18"/>
              </w:rPr>
              <w:t>Q1-Q4 2027</w:t>
            </w:r>
          </w:p>
        </w:tc>
        <w:tc>
          <w:tcPr>
            <w:tcW w:w="1806" w:type="dxa"/>
          </w:tcPr>
          <w:p w14:paraId="3B6D7742" w14:textId="77777777" w:rsidR="00AC41AE" w:rsidRDefault="00000000">
            <w:r>
              <w:rPr>
                <w:rFonts w:ascii="Arial" w:hAnsi="Arial"/>
                <w:sz w:val="18"/>
              </w:rPr>
              <w:t>Full transition plan; SBTi validation; Internal carbon price</w:t>
            </w:r>
          </w:p>
        </w:tc>
        <w:tc>
          <w:tcPr>
            <w:tcW w:w="1806" w:type="dxa"/>
          </w:tcPr>
          <w:p w14:paraId="7184E88E" w14:textId="77777777" w:rsidR="00AC41AE" w:rsidRDefault="00000000">
            <w:r>
              <w:rPr>
                <w:rFonts w:ascii="Arial" w:hAnsi="Arial"/>
                <w:sz w:val="18"/>
              </w:rPr>
              <w:t>IDR 10-15 billion</w:t>
            </w:r>
          </w:p>
        </w:tc>
        <w:tc>
          <w:tcPr>
            <w:tcW w:w="1806" w:type="dxa"/>
          </w:tcPr>
          <w:p w14:paraId="12DA77AA" w14:textId="77777777" w:rsidR="00AC41AE" w:rsidRDefault="00000000">
            <w:r>
              <w:rPr>
                <w:rFonts w:ascii="Arial" w:hAnsi="Arial"/>
                <w:sz w:val="18"/>
              </w:rPr>
              <w:t>SBTi-approved targets</w:t>
            </w:r>
          </w:p>
        </w:tc>
      </w:tr>
      <w:tr w:rsidR="00AC41AE" w14:paraId="289D6DC4" w14:textId="77777777">
        <w:trPr>
          <w:jc w:val="center"/>
        </w:trPr>
        <w:tc>
          <w:tcPr>
            <w:tcW w:w="1806" w:type="dxa"/>
            <w:shd w:val="clear" w:color="auto" w:fill="F2F6FC"/>
          </w:tcPr>
          <w:p w14:paraId="04BF438E" w14:textId="77777777" w:rsidR="00AC41AE" w:rsidRDefault="00000000">
            <w:r>
              <w:rPr>
                <w:rFonts w:ascii="Arial" w:hAnsi="Arial"/>
                <w:sz w:val="18"/>
              </w:rPr>
              <w:t>Phase 4: Execution</w:t>
            </w:r>
          </w:p>
        </w:tc>
        <w:tc>
          <w:tcPr>
            <w:tcW w:w="1806" w:type="dxa"/>
            <w:shd w:val="clear" w:color="auto" w:fill="F2F6FC"/>
          </w:tcPr>
          <w:p w14:paraId="388F6325" w14:textId="77777777" w:rsidR="00AC41AE" w:rsidRDefault="00000000">
            <w:r>
              <w:rPr>
                <w:rFonts w:ascii="Arial" w:hAnsi="Arial"/>
                <w:sz w:val="18"/>
              </w:rPr>
              <w:t>2028-2030</w:t>
            </w:r>
          </w:p>
        </w:tc>
        <w:tc>
          <w:tcPr>
            <w:tcW w:w="1806" w:type="dxa"/>
            <w:shd w:val="clear" w:color="auto" w:fill="F2F6FC"/>
          </w:tcPr>
          <w:p w14:paraId="6FDB63FF" w14:textId="77777777" w:rsidR="00AC41AE" w:rsidRDefault="00000000">
            <w:r>
              <w:rPr>
                <w:rFonts w:ascii="Arial" w:hAnsi="Arial"/>
                <w:sz w:val="18"/>
              </w:rPr>
              <w:t>Decarbonization initiatives; Portfolio realignment; Progress reporting</w:t>
            </w:r>
          </w:p>
        </w:tc>
        <w:tc>
          <w:tcPr>
            <w:tcW w:w="1806" w:type="dxa"/>
            <w:shd w:val="clear" w:color="auto" w:fill="F2F6FC"/>
          </w:tcPr>
          <w:p w14:paraId="4E981A82" w14:textId="77777777" w:rsidR="00AC41AE" w:rsidRDefault="00000000">
            <w:r>
              <w:rPr>
                <w:rFonts w:ascii="Arial" w:hAnsi="Arial"/>
                <w:sz w:val="18"/>
              </w:rPr>
              <w:t>IDR 50-100 billion</w:t>
            </w:r>
          </w:p>
        </w:tc>
        <w:tc>
          <w:tcPr>
            <w:tcW w:w="1806" w:type="dxa"/>
            <w:shd w:val="clear" w:color="auto" w:fill="F2F6FC"/>
          </w:tcPr>
          <w:p w14:paraId="3C3DC438" w14:textId="77777777" w:rsidR="00AC41AE" w:rsidRDefault="00000000">
            <w:r>
              <w:rPr>
                <w:rFonts w:ascii="Arial" w:hAnsi="Arial"/>
                <w:sz w:val="18"/>
              </w:rPr>
              <w:t>Measurable emission reductions</w:t>
            </w:r>
          </w:p>
        </w:tc>
      </w:tr>
    </w:tbl>
    <w:p w14:paraId="3A88AE60" w14:textId="77777777" w:rsidR="00AC41AE" w:rsidRDefault="00000000">
      <w:r>
        <w:rPr>
          <w:rFonts w:ascii="Arial" w:hAnsi="Arial"/>
          <w:i/>
          <w:sz w:val="16"/>
        </w:rPr>
        <w:t>Source: Investment estimates include consulting fees, data systems, renewable energy procurement, and operational efficiency projects. Does not include opportunity cost of portfolio reallocation.</w:t>
      </w:r>
    </w:p>
    <w:p w14:paraId="28967F3B" w14:textId="77777777" w:rsidR="00AC41AE" w:rsidRDefault="00AC41AE"/>
    <w:p w14:paraId="309BB28E" w14:textId="77777777" w:rsidR="00AC41AE" w:rsidRDefault="00AC41AE"/>
    <w:p w14:paraId="601DCD4C" w14:textId="77777777" w:rsidR="00AC41AE" w:rsidRDefault="00000000">
      <w:r>
        <w:rPr>
          <w:noProof/>
        </w:rPr>
        <w:drawing>
          <wp:inline distT="0" distB="0" distL="0" distR="0" wp14:anchorId="0EB183C6" wp14:editId="4B190398">
            <wp:extent cx="5029200" cy="331713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029200" cy="3317132"/>
                    </a:xfrm>
                    <a:prstGeom prst="rect">
                      <a:avLst/>
                    </a:prstGeom>
                  </pic:spPr>
                </pic:pic>
              </a:graphicData>
            </a:graphic>
          </wp:inline>
        </w:drawing>
      </w:r>
    </w:p>
    <w:p w14:paraId="7259C309" w14:textId="77777777" w:rsidR="00AC41AE" w:rsidRDefault="00000000">
      <w:pPr>
        <w:jc w:val="center"/>
      </w:pPr>
      <w:r>
        <w:rPr>
          <w:i/>
          <w:color w:val="666666"/>
          <w:sz w:val="18"/>
        </w:rPr>
        <w:t>Figure 30: Climate Target Maturity: Institution vs. Peer Banks</w:t>
      </w:r>
    </w:p>
    <w:p w14:paraId="789C15B8" w14:textId="77777777" w:rsidR="00AC41AE" w:rsidRDefault="00000000">
      <w:pPr>
        <w:jc w:val="center"/>
      </w:pPr>
      <w:r>
        <w:rPr>
          <w:i/>
          <w:color w:val="757575"/>
          <w:sz w:val="18"/>
        </w:rPr>
        <w:t>Institution has zero formal targets while all regional peers have established net-zero commitments — critical credibility gap requiring immediate action</w:t>
      </w:r>
    </w:p>
    <w:p w14:paraId="16FA31F3" w14:textId="77777777" w:rsidR="00AC41AE" w:rsidRDefault="00AC41AE"/>
    <w:p w14:paraId="175B05BB" w14:textId="77777777" w:rsidR="00AC41AE" w:rsidRDefault="00000000">
      <w:r>
        <w:rPr>
          <w:noProof/>
        </w:rPr>
        <w:lastRenderedPageBreak/>
        <w:drawing>
          <wp:inline distT="0" distB="0" distL="0" distR="0" wp14:anchorId="19ABAEB2" wp14:editId="6A599949">
            <wp:extent cx="5029200" cy="31512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029200" cy="3151275"/>
                    </a:xfrm>
                    <a:prstGeom prst="rect">
                      <a:avLst/>
                    </a:prstGeom>
                  </pic:spPr>
                </pic:pic>
              </a:graphicData>
            </a:graphic>
          </wp:inline>
        </w:drawing>
      </w:r>
    </w:p>
    <w:p w14:paraId="19F7913B" w14:textId="77777777" w:rsidR="00AC41AE" w:rsidRDefault="00000000">
      <w:pPr>
        <w:jc w:val="center"/>
      </w:pPr>
      <w:r>
        <w:rPr>
          <w:i/>
          <w:color w:val="666666"/>
          <w:sz w:val="18"/>
        </w:rPr>
        <w:t>Figure 31: Recommended Emission Reduction Pathway: Scope 1+2 (2024-2030)</w:t>
      </w:r>
    </w:p>
    <w:p w14:paraId="498B440C" w14:textId="77777777" w:rsidR="00AC41AE" w:rsidRDefault="00000000">
      <w:pPr>
        <w:jc w:val="center"/>
      </w:pPr>
      <w:r>
        <w:rPr>
          <w:i/>
          <w:color w:val="757575"/>
          <w:sz w:val="18"/>
        </w:rPr>
        <w:t>30% reduction target by 2030 aligns with SBTi 1.5°C pathway and peer trajectories — achievable through renewable energy and efficiency</w:t>
      </w:r>
    </w:p>
    <w:p w14:paraId="7EBE625D" w14:textId="77777777" w:rsidR="00AC41AE" w:rsidRDefault="00AC41AE"/>
    <w:p w14:paraId="68D07A1A" w14:textId="77777777" w:rsidR="00AC41AE" w:rsidRDefault="00000000">
      <w:r>
        <w:rPr>
          <w:noProof/>
        </w:rPr>
        <w:drawing>
          <wp:inline distT="0" distB="0" distL="0" distR="0" wp14:anchorId="0A5A6F52" wp14:editId="4A6D628C">
            <wp:extent cx="5029200" cy="333205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029200" cy="3332057"/>
                    </a:xfrm>
                    <a:prstGeom prst="rect">
                      <a:avLst/>
                    </a:prstGeom>
                  </pic:spPr>
                </pic:pic>
              </a:graphicData>
            </a:graphic>
          </wp:inline>
        </w:drawing>
      </w:r>
    </w:p>
    <w:p w14:paraId="20E91C14" w14:textId="77777777" w:rsidR="00AC41AE" w:rsidRDefault="00000000">
      <w:pPr>
        <w:jc w:val="center"/>
      </w:pPr>
      <w:r>
        <w:rPr>
          <w:i/>
          <w:color w:val="666666"/>
          <w:sz w:val="18"/>
        </w:rPr>
        <w:t>Figure 32: Financed Emissions: 2024 Baseline vs. 2030 Target by Sector</w:t>
      </w:r>
    </w:p>
    <w:p w14:paraId="29E6DC92" w14:textId="77777777" w:rsidR="00AC41AE" w:rsidRDefault="00000000">
      <w:pPr>
        <w:jc w:val="center"/>
      </w:pPr>
      <w:r>
        <w:rPr>
          <w:i/>
          <w:color w:val="757575"/>
          <w:sz w:val="18"/>
        </w:rPr>
        <w:t>Energy - Oil &amp; Gas requires largest absolute reduction (2.0 million tCO₂e) — sectoral policy is primary decarbonization lever</w:t>
      </w:r>
    </w:p>
    <w:p w14:paraId="18A89473" w14:textId="77777777" w:rsidR="00AC41AE" w:rsidRDefault="00AC41AE"/>
    <w:p w14:paraId="1653B73A" w14:textId="77777777" w:rsidR="00AC41AE" w:rsidRDefault="00000000">
      <w:r>
        <w:rPr>
          <w:noProof/>
        </w:rPr>
        <w:lastRenderedPageBreak/>
        <w:drawing>
          <wp:inline distT="0" distB="0" distL="0" distR="0" wp14:anchorId="616A72D1" wp14:editId="4BC3B396">
            <wp:extent cx="5029200" cy="334711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029200" cy="3347117"/>
                    </a:xfrm>
                    <a:prstGeom prst="rect">
                      <a:avLst/>
                    </a:prstGeom>
                  </pic:spPr>
                </pic:pic>
              </a:graphicData>
            </a:graphic>
          </wp:inline>
        </w:drawing>
      </w:r>
    </w:p>
    <w:p w14:paraId="24A8EF6F" w14:textId="77777777" w:rsidR="00AC41AE" w:rsidRDefault="00000000">
      <w:pPr>
        <w:jc w:val="center"/>
      </w:pPr>
      <w:r>
        <w:rPr>
          <w:i/>
          <w:color w:val="666666"/>
          <w:sz w:val="18"/>
        </w:rPr>
        <w:t>Figure 33: Three-Year Target Implementation Roadmap: Investment by Phase</w:t>
      </w:r>
    </w:p>
    <w:p w14:paraId="7FF6341C" w14:textId="77777777" w:rsidR="00AC41AE" w:rsidRDefault="00000000">
      <w:pPr>
        <w:jc w:val="center"/>
      </w:pPr>
      <w:r>
        <w:rPr>
          <w:i/>
          <w:color w:val="757575"/>
          <w:sz w:val="18"/>
        </w:rPr>
        <w:t>Phase 1 (2025) requires minimal investment (IDR 2-3 billion) for maximum credibility gain — immediate action recommended</w:t>
      </w:r>
    </w:p>
    <w:tbl>
      <w:tblPr>
        <w:tblW w:w="0" w:type="auto"/>
        <w:jc w:val="center"/>
        <w:tblLook w:val="04A0" w:firstRow="1" w:lastRow="0" w:firstColumn="1" w:lastColumn="0" w:noHBand="0" w:noVBand="1"/>
      </w:tblPr>
      <w:tblGrid>
        <w:gridCol w:w="9029"/>
      </w:tblGrid>
      <w:tr w:rsidR="00AC41AE" w14:paraId="37E2B8E1" w14:textId="77777777">
        <w:trPr>
          <w:jc w:val="center"/>
        </w:trPr>
        <w:tc>
          <w:tcPr>
            <w:tcW w:w="9029" w:type="dxa"/>
            <w:shd w:val="clear" w:color="auto" w:fill="F2F6FA"/>
          </w:tcPr>
          <w:p w14:paraId="233A1E9E" w14:textId="77777777" w:rsidR="00AC41AE" w:rsidRDefault="00000000">
            <w:r>
              <w:rPr>
                <w:b/>
                <w:color w:val="1B3A6B"/>
                <w:sz w:val="18"/>
              </w:rPr>
              <w:t>📊 DIAGNOSTIC ANALYSIS</w:t>
            </w:r>
          </w:p>
          <w:p w14:paraId="07B56466" w14:textId="77777777" w:rsidR="00AC41AE" w:rsidRDefault="00000000">
            <w:r>
              <w:rPr>
                <w:sz w:val="20"/>
              </w:rPr>
              <w:t>The absence of climate targets stems from three root causes: (1) governance gap — no Board-level mandate or executive accountability for decarbonization, (2) data maturity — PCAF score 3.36 indicates insufficient borrower-specific emissions data for credible financed emission targets, and (3) strategic uncertainty — lack of clarity on how to balance portfolio decarbonization with growth objectives in carbon-intensive sectors (Energy - Oil &amp; Gas represents 43.56% of financed emissions). This creates a compounding risk: as peers establish targets and transition plans, the institution's relative position weakens, potentially triggering investor divestment and regulatory scrutiny under OJK's evolving sustainable finance framework.</w:t>
            </w:r>
          </w:p>
          <w:p w14:paraId="54D95E17" w14:textId="77777777" w:rsidR="00AC41AE" w:rsidRDefault="00000000">
            <w:r>
              <w:rPr>
                <w:b/>
                <w:sz w:val="20"/>
              </w:rPr>
              <w:t>Root Causes:</w:t>
            </w:r>
          </w:p>
          <w:p w14:paraId="31FB8BAC" w14:textId="77777777" w:rsidR="00AC41AE" w:rsidRDefault="00000000">
            <w:r>
              <w:rPr>
                <w:sz w:val="18"/>
              </w:rPr>
              <w:t>• Governance structure lacks Board-level ESG committee with explicit climate target-setting mandate (contrast: BRI has dedicated Sustainability Committee)</w:t>
            </w:r>
          </w:p>
          <w:p w14:paraId="1A2A0DDE" w14:textId="77777777" w:rsidR="00AC41AE" w:rsidRDefault="00000000">
            <w:r>
              <w:rPr>
                <w:sz w:val="18"/>
              </w:rPr>
              <w:t>• Data infrastructure insufficient for science-based target validation — PCAF score 3.36 vs. SBTi requirement for score &lt;3.0 for financed emissions</w:t>
            </w:r>
          </w:p>
          <w:p w14:paraId="5A62C2F5" w14:textId="77777777" w:rsidR="00AC41AE" w:rsidRDefault="00000000">
            <w:r>
              <w:rPr>
                <w:sz w:val="18"/>
              </w:rPr>
              <w:t>• Strategic tension between short-term profitability in carbon-intensive sectors (Energy - Oil &amp; Gas: 93.242 tCO₂e/IDR billion) and long-term decarbonization imperatives</w:t>
            </w:r>
          </w:p>
          <w:p w14:paraId="19DE0B85" w14:textId="77777777" w:rsidR="00AC41AE" w:rsidRDefault="00000000">
            <w:r>
              <w:rPr>
                <w:sz w:val="18"/>
              </w:rPr>
              <w:t>• Absence of internal carbon pricing mechanism to internalize climate risk in lending decisions (contrast: DBS $15/tCO₂e)</w:t>
            </w:r>
          </w:p>
          <w:p w14:paraId="766CB0F9" w14:textId="77777777" w:rsidR="00AC41AE" w:rsidRDefault="00000000">
            <w:r>
              <w:rPr>
                <w:b/>
                <w:sz w:val="20"/>
              </w:rPr>
              <w:t>Risk Implications:</w:t>
            </w:r>
          </w:p>
          <w:p w14:paraId="42CE417C" w14:textId="77777777" w:rsidR="00AC41AE" w:rsidRDefault="00000000">
            <w:r>
              <w:rPr>
                <w:sz w:val="18"/>
              </w:rPr>
              <w:t>• Regulatory risk: OJK POJK 51/2017 and SEOJK 16/2021 enforcement tightening — institutions without targets may face enhanced supervision or capital requirements by 2026</w:t>
            </w:r>
          </w:p>
          <w:p w14:paraId="7DB303CA" w14:textId="77777777" w:rsidR="00AC41AE" w:rsidRDefault="00000000">
            <w:r>
              <w:rPr>
                <w:sz w:val="18"/>
              </w:rPr>
              <w:lastRenderedPageBreak/>
              <w:t>• Investor risk: 68% of global asset managers require portfolio companies to set net-zero commitments by 2025 — absence of targets may trigger exclusion from ESG-mandated funds (estimated IDR 500+ trillion in potential capital access)</w:t>
            </w:r>
          </w:p>
          <w:p w14:paraId="57A5631A" w14:textId="77777777" w:rsidR="00AC41AE" w:rsidRDefault="00000000">
            <w:r>
              <w:rPr>
                <w:sz w:val="18"/>
              </w:rPr>
              <w:t>• Reputational risk: Peer institutions (BRI, DBS, BCA) establishing climate leadership — widening gap may damage brand perception among sustainability-conscious customers and employees</w:t>
            </w:r>
          </w:p>
          <w:p w14:paraId="7ED7CD0F" w14:textId="77777777" w:rsidR="00AC41AE" w:rsidRDefault="00000000">
            <w:r>
              <w:rPr>
                <w:sz w:val="18"/>
              </w:rPr>
              <w:t>• Stranded asset risk: Without portfolio decarbonization pathway, exposure to carbon-intensive sectors (IDR 319.0 trillion in Energy, Cement, Steel) faces increasing impairment risk as carbon pricing and regulations tighten</w:t>
            </w:r>
          </w:p>
        </w:tc>
      </w:tr>
    </w:tbl>
    <w:p w14:paraId="0FDB501B" w14:textId="77777777" w:rsidR="00AC41AE" w:rsidRDefault="00AC41AE"/>
    <w:p w14:paraId="6B9CD068" w14:textId="77777777" w:rsidR="00AC41AE" w:rsidRDefault="00AC41AE"/>
    <w:p w14:paraId="79F41340" w14:textId="77777777" w:rsidR="00AC41AE" w:rsidRDefault="00000000">
      <w:r>
        <w:rPr>
          <w:b/>
          <w:color w:val="2E7D32"/>
          <w:sz w:val="24"/>
        </w:rPr>
        <w:t>⚡ Priority Actions</w:t>
      </w:r>
    </w:p>
    <w:p w14:paraId="239366A1" w14:textId="77777777" w:rsidR="00AC41AE" w:rsidRDefault="00000000">
      <w:r>
        <w:rPr>
          <w:b/>
        </w:rPr>
        <w:t>🔴 1. Submit SBTi commitment letter and establish 2024 as baseline year for all GHG reduction targets (Scope 1, 2, and financed emissions)</w:t>
      </w:r>
      <w:r>
        <w:t xml:space="preserve"> (Q2 2025)</w:t>
      </w:r>
    </w:p>
    <w:p w14:paraId="68D4E303" w14:textId="77777777" w:rsidR="00AC41AE" w:rsidRDefault="00000000">
      <w:pPr>
        <w:spacing w:after="160"/>
      </w:pPr>
      <w:r>
        <w:t xml:space="preserve">    → Expected: Establishes public commitment and governance foundation; unlocks access to SBTi methodologies and peer network; signals climate ambition to investors</w:t>
      </w:r>
    </w:p>
    <w:p w14:paraId="4A15D097" w14:textId="77777777" w:rsidR="00AC41AE" w:rsidRDefault="00000000">
      <w:pPr>
        <w:spacing w:after="160"/>
      </w:pPr>
      <w:r>
        <w:rPr>
          <w:rFonts w:ascii="Arial" w:hAnsi="Arial"/>
          <w:i/>
          <w:color w:val="646464"/>
          <w:sz w:val="18"/>
        </w:rPr>
        <w:t xml:space="preserve">    → Ref: BRI — First Indonesian FI with SBTi commitment (2023), portfolio temp target 1.75°C by 2040</w:t>
      </w:r>
    </w:p>
    <w:p w14:paraId="41F01D47" w14:textId="77777777" w:rsidR="00AC41AE" w:rsidRDefault="00000000">
      <w:r>
        <w:rPr>
          <w:b/>
        </w:rPr>
        <w:t>🔴 2. Set interim operational target: 30% reduction in Scope 1+2 absolute emissions by 2030 (from 48,015.515 tCO₂e to 24,688 tCO₂e) through RE100 membership and energy efficiency program</w:t>
      </w:r>
      <w:r>
        <w:t xml:space="preserve"> (Q4 2025)</w:t>
      </w:r>
    </w:p>
    <w:p w14:paraId="33A00044" w14:textId="77777777" w:rsidR="00AC41AE" w:rsidRDefault="00000000">
      <w:pPr>
        <w:spacing w:after="160"/>
      </w:pPr>
      <w:r>
        <w:t xml:space="preserve">    → Expected: 23,328 tCO₂e absolute reduction; 50% reduction in emission intensity per FTE; alignment with SBTi 1.5°C pathway</w:t>
      </w:r>
    </w:p>
    <w:p w14:paraId="1C36F185" w14:textId="77777777" w:rsidR="00AC41AE" w:rsidRDefault="00000000">
      <w:pPr>
        <w:spacing w:after="160"/>
      </w:pPr>
      <w:r>
        <w:rPr>
          <w:rFonts w:ascii="Arial" w:hAnsi="Arial"/>
          <w:i/>
          <w:color w:val="646464"/>
          <w:sz w:val="18"/>
        </w:rPr>
        <w:t xml:space="preserve">    → Ref: DBS — 12% YoY reduction achieved through 62% renewable energy procurement and operational efficiency</w:t>
      </w:r>
    </w:p>
    <w:p w14:paraId="02DC335E" w14:textId="77777777" w:rsidR="00AC41AE" w:rsidRDefault="00000000">
      <w:r>
        <w:rPr>
          <w:b/>
        </w:rPr>
        <w:t>🔴 3. Implement sectoral credit policy for Energy - Oil &amp; Gas with 30% financed emission reduction target by 2030 (from 6,753,948.71 tCO₂e to 4,727,764 tCO₂e) through phase-out of thermal coal and upstream oil &amp; gas restrictions</w:t>
      </w:r>
      <w:r>
        <w:t xml:space="preserve"> (Q1 2026)</w:t>
      </w:r>
    </w:p>
    <w:p w14:paraId="54AB4B87" w14:textId="77777777" w:rsidR="00AC41AE" w:rsidRDefault="00000000">
      <w:pPr>
        <w:spacing w:after="160"/>
      </w:pPr>
      <w:r>
        <w:t xml:space="preserve">    → Expected: 2,026,184 tCO₂e reduction in financed emissions; reduced regulatory and reputational risk; improved MSCI/Sustainalytics ESG ratings</w:t>
      </w:r>
    </w:p>
    <w:p w14:paraId="4A7D6498" w14:textId="77777777" w:rsidR="00AC41AE" w:rsidRDefault="00000000">
      <w:pPr>
        <w:spacing w:after="160"/>
      </w:pPr>
      <w:r>
        <w:rPr>
          <w:rFonts w:ascii="Arial" w:hAnsi="Arial"/>
          <w:i/>
          <w:color w:val="646464"/>
          <w:sz w:val="18"/>
        </w:rPr>
        <w:t xml:space="preserve">    → Ref: BCA — Sectoral exclusion policies for coal, palm oil, cement, and oil &amp; gas</w:t>
      </w:r>
    </w:p>
    <w:p w14:paraId="4788F0F0" w14:textId="77777777" w:rsidR="00AC41AE" w:rsidRDefault="00000000">
      <w:r>
        <w:rPr>
          <w:b/>
        </w:rPr>
        <w:t>🔴 4. Establish internal carbon price of IDR 225,000/tCO₂e ($15 USD) and integrate into credit approval processes for loans &gt;IDR 50 billion in carbon-intensive sectors</w:t>
      </w:r>
      <w:r>
        <w:t xml:space="preserve"> (Q2 2026)</w:t>
      </w:r>
    </w:p>
    <w:p w14:paraId="6B8FF93B" w14:textId="77777777" w:rsidR="00AC41AE" w:rsidRDefault="00000000">
      <w:pPr>
        <w:spacing w:after="160"/>
      </w:pPr>
      <w:r>
        <w:t xml:space="preserve">    → Expected: Shifts capital allocation toward low-carbon sectors; improves risk-adjusted returns; demonstrates climate risk integration to investors</w:t>
      </w:r>
    </w:p>
    <w:p w14:paraId="0D5948AB" w14:textId="77777777" w:rsidR="00AC41AE" w:rsidRDefault="00000000">
      <w:pPr>
        <w:spacing w:after="160"/>
      </w:pPr>
      <w:r>
        <w:rPr>
          <w:rFonts w:ascii="Arial" w:hAnsi="Arial"/>
          <w:i/>
          <w:color w:val="646464"/>
          <w:sz w:val="18"/>
        </w:rPr>
        <w:t xml:space="preserve">    → Ref: DBS — Internal carbon price $15/tCO₂e applied to lending decisions</w:t>
      </w:r>
    </w:p>
    <w:p w14:paraId="354581E4" w14:textId="77777777" w:rsidR="00AC41AE" w:rsidRDefault="00AC41AE"/>
    <w:p w14:paraId="4694E364" w14:textId="77777777" w:rsidR="00AC41AE" w:rsidRDefault="00000000">
      <w:r>
        <w:rPr>
          <w:i/>
          <w:color w:val="3D6094"/>
          <w:sz w:val="18"/>
        </w:rPr>
        <w:t xml:space="preserve">Framework references: IFRS S2 Para 33 — Climate-related targets; IFRS S2 Para 34 — Metrics used to set and monitor targets; IFRS S2 Para 35 — Objective and contribution to climate goals; IFRS S2 Para 36 — Progress toward targets; GRI 305-5 — Reduction of GHG emissions; ESRS E1-4 DR E1-4 — Targets related to climate change mitigation and </w:t>
      </w:r>
      <w:r>
        <w:rPr>
          <w:i/>
          <w:color w:val="3D6094"/>
          <w:sz w:val="18"/>
        </w:rPr>
        <w:lastRenderedPageBreak/>
        <w:t>adaptation; OJK POJK 51/2017 — Sustainable Finance Implementation; OJK SEOJK 16/2021 — Sustainable Finance Roadmap Phase II</w:t>
      </w:r>
    </w:p>
    <w:p w14:paraId="58E44BD1" w14:textId="77777777" w:rsidR="00AC41AE" w:rsidRDefault="00AC41AE">
      <w:pPr>
        <w:pBdr>
          <w:bottom w:val="single" w:sz="6" w:space="1" w:color="CCCCCC"/>
        </w:pBdr>
        <w:spacing w:after="80"/>
      </w:pPr>
    </w:p>
    <w:p w14:paraId="493D7E9F" w14:textId="77777777" w:rsidR="00AC41AE" w:rsidRDefault="00000000">
      <w:pPr>
        <w:spacing w:after="160"/>
      </w:pPr>
      <w:r>
        <w:rPr>
          <w:rFonts w:ascii="Arial" w:hAnsi="Arial"/>
          <w:i/>
          <w:color w:val="646464"/>
          <w:sz w:val="18"/>
        </w:rPr>
        <w:t>These figures have not been subject to external assurance for the current reporting period. The institution should pursue limited assurance for Scope 1 and 2 emissions by 2025 and reasonable assurance by 2027.</w:t>
      </w:r>
    </w:p>
    <w:p w14:paraId="572F709A" w14:textId="77777777" w:rsidR="00AC41AE" w:rsidRDefault="00000000">
      <w:pPr>
        <w:spacing w:after="160"/>
      </w:pPr>
      <w:r>
        <w:rPr>
          <w:rFonts w:ascii="Arial" w:hAnsi="Arial"/>
          <w:i/>
          <w:color w:val="646464"/>
          <w:sz w:val="18"/>
        </w:rPr>
        <w:t>Recommended targets are based on Science Based Targets initiative (SBTi) Financial Sector guidance, peer institution pathways, and sectoral decarbonization scenarios aligned with limiting global warming to 1.5°C.</w:t>
      </w:r>
    </w:p>
    <w:p w14:paraId="51FFB1CA" w14:textId="77777777" w:rsidR="00AC41AE" w:rsidRDefault="00000000">
      <w:pPr>
        <w:spacing w:after="160"/>
      </w:pPr>
      <w:r>
        <w:rPr>
          <w:rFonts w:ascii="Arial" w:hAnsi="Arial"/>
          <w:i/>
          <w:color w:val="646464"/>
          <w:sz w:val="18"/>
        </w:rPr>
        <w:t>Investment estimates for the three-year roadmap include consulting fees, data management systems, renewable energy procurement contracts, and operational efficiency projects. Estimates do not include opportunity costs associated with portfolio reallocation away from carbon-intensive sectors.</w:t>
      </w:r>
    </w:p>
    <w:p w14:paraId="59547729" w14:textId="77777777" w:rsidR="00AC41AE" w:rsidRDefault="00000000">
      <w:pPr>
        <w:spacing w:after="160"/>
      </w:pPr>
      <w:r>
        <w:rPr>
          <w:rFonts w:ascii="Arial" w:hAnsi="Arial"/>
          <w:i/>
          <w:color w:val="646464"/>
          <w:sz w:val="18"/>
        </w:rPr>
        <w:t>Financed emission reduction targets assume continued portfolio growth at historical rates (approximately 8% annually). Absolute emission reductions will require both emission intensity improvements and selective portfolio reallocation.</w:t>
      </w:r>
    </w:p>
    <w:p w14:paraId="186C4580" w14:textId="77777777" w:rsidR="00AC41AE" w:rsidRDefault="00000000">
      <w:pPr>
        <w:spacing w:after="160"/>
      </w:pPr>
      <w:r>
        <w:rPr>
          <w:rFonts w:ascii="Arial" w:hAnsi="Arial"/>
          <w:i/>
          <w:color w:val="646464"/>
          <w:sz w:val="18"/>
        </w:rPr>
        <w:t>The institution's average PCAF data quality score of 3.36 indicates reliance on sector-average and proxy data. Improving to a score below 3.0 by 2027 is critical for credible target-setting and progress tracking.</w:t>
      </w:r>
    </w:p>
    <w:p w14:paraId="0CB2FEAB" w14:textId="77777777" w:rsidR="00AC41AE" w:rsidRDefault="00000000">
      <w:r>
        <w:br w:type="page"/>
      </w:r>
    </w:p>
    <w:p w14:paraId="49E09E51" w14:textId="77777777" w:rsidR="00AC41AE" w:rsidRDefault="00000000">
      <w:pPr>
        <w:pStyle w:val="Heading1"/>
        <w:spacing w:after="240"/>
      </w:pPr>
      <w:bookmarkStart w:id="34" w:name="_Toc232152629"/>
      <w:r>
        <w:rPr>
          <w:rFonts w:ascii="Arial" w:hAnsi="Arial"/>
          <w:color w:val="1B3A6B"/>
          <w:sz w:val="36"/>
        </w:rPr>
        <w:lastRenderedPageBreak/>
        <w:t>Appendix A: Methodology &amp; Calculation Approach</w:t>
      </w:r>
      <w:bookmarkEnd w:id="34"/>
    </w:p>
    <w:p w14:paraId="49266C1B" w14:textId="77777777" w:rsidR="00AC41AE" w:rsidRDefault="00000000">
      <w:pPr>
        <w:spacing w:after="160"/>
      </w:pPr>
      <w:r>
        <w:rPr>
          <w:rFonts w:ascii="Arial" w:hAnsi="Arial"/>
          <w:b/>
        </w:rPr>
        <w:t>A.1 Reporting Boundary &amp; Consolidation</w:t>
      </w:r>
    </w:p>
    <w:p w14:paraId="620E2A1D" w14:textId="77777777" w:rsidR="00AC41AE" w:rsidRDefault="00000000">
      <w:r>
        <w:rPr>
          <w:rFonts w:ascii="Arial" w:hAnsi="Arial"/>
          <w:b/>
          <w:sz w:val="20"/>
        </w:rPr>
        <w:t>Table 65: Reporting Parameters</w:t>
      </w:r>
    </w:p>
    <w:tbl>
      <w:tblPr>
        <w:tblW w:w="0" w:type="auto"/>
        <w:jc w:val="center"/>
        <w:tblLook w:val="04A0" w:firstRow="1" w:lastRow="0" w:firstColumn="1" w:lastColumn="0" w:noHBand="0" w:noVBand="1"/>
      </w:tblPr>
      <w:tblGrid>
        <w:gridCol w:w="4514"/>
        <w:gridCol w:w="4514"/>
      </w:tblGrid>
      <w:tr w:rsidR="00AC41AE" w14:paraId="433EFAC1" w14:textId="77777777">
        <w:trPr>
          <w:jc w:val="center"/>
        </w:trPr>
        <w:tc>
          <w:tcPr>
            <w:tcW w:w="4514" w:type="dxa"/>
            <w:shd w:val="clear" w:color="auto" w:fill="1B3A6B"/>
          </w:tcPr>
          <w:p w14:paraId="5472805D" w14:textId="77777777" w:rsidR="00AC41AE" w:rsidRDefault="00000000">
            <w:r>
              <w:rPr>
                <w:rFonts w:ascii="Arial" w:hAnsi="Arial"/>
                <w:b/>
                <w:color w:val="FFFFFF"/>
                <w:sz w:val="18"/>
              </w:rPr>
              <w:t>Parameter</w:t>
            </w:r>
          </w:p>
        </w:tc>
        <w:tc>
          <w:tcPr>
            <w:tcW w:w="4514" w:type="dxa"/>
            <w:shd w:val="clear" w:color="auto" w:fill="1B3A6B"/>
          </w:tcPr>
          <w:p w14:paraId="47B343DB" w14:textId="77777777" w:rsidR="00AC41AE" w:rsidRDefault="00000000">
            <w:r>
              <w:rPr>
                <w:rFonts w:ascii="Arial" w:hAnsi="Arial"/>
                <w:b/>
                <w:color w:val="FFFFFF"/>
                <w:sz w:val="18"/>
              </w:rPr>
              <w:t>Value</w:t>
            </w:r>
          </w:p>
        </w:tc>
      </w:tr>
      <w:tr w:rsidR="00AC41AE" w14:paraId="51F202E9" w14:textId="77777777">
        <w:trPr>
          <w:jc w:val="center"/>
        </w:trPr>
        <w:tc>
          <w:tcPr>
            <w:tcW w:w="4514" w:type="dxa"/>
          </w:tcPr>
          <w:p w14:paraId="6226A1EA" w14:textId="77777777" w:rsidR="00AC41AE" w:rsidRDefault="00000000">
            <w:r>
              <w:rPr>
                <w:rFonts w:ascii="Arial" w:hAnsi="Arial"/>
                <w:sz w:val="18"/>
              </w:rPr>
              <w:t>Consolidation Approach</w:t>
            </w:r>
          </w:p>
        </w:tc>
        <w:tc>
          <w:tcPr>
            <w:tcW w:w="4514" w:type="dxa"/>
          </w:tcPr>
          <w:p w14:paraId="7F1E8C1C" w14:textId="77777777" w:rsidR="00AC41AE" w:rsidRDefault="00000000">
            <w:r>
              <w:rPr>
                <w:rFonts w:ascii="Arial" w:hAnsi="Arial"/>
                <w:sz w:val="18"/>
              </w:rPr>
              <w:t>Operational Control (per GHG Protocol)</w:t>
            </w:r>
          </w:p>
        </w:tc>
      </w:tr>
      <w:tr w:rsidR="00AC41AE" w14:paraId="4833683C" w14:textId="77777777">
        <w:trPr>
          <w:jc w:val="center"/>
        </w:trPr>
        <w:tc>
          <w:tcPr>
            <w:tcW w:w="4514" w:type="dxa"/>
            <w:shd w:val="clear" w:color="auto" w:fill="F2F6FC"/>
          </w:tcPr>
          <w:p w14:paraId="4C667E7C" w14:textId="77777777" w:rsidR="00AC41AE" w:rsidRDefault="00000000">
            <w:r>
              <w:rPr>
                <w:rFonts w:ascii="Arial" w:hAnsi="Arial"/>
                <w:sz w:val="18"/>
              </w:rPr>
              <w:t>Organizational Boundary</w:t>
            </w:r>
          </w:p>
        </w:tc>
        <w:tc>
          <w:tcPr>
            <w:tcW w:w="4514" w:type="dxa"/>
            <w:shd w:val="clear" w:color="auto" w:fill="F2F6FC"/>
          </w:tcPr>
          <w:p w14:paraId="130F2CB9" w14:textId="77777777" w:rsidR="00AC41AE" w:rsidRDefault="00000000">
            <w:r>
              <w:rPr>
                <w:rFonts w:ascii="Arial" w:hAnsi="Arial"/>
                <w:sz w:val="18"/>
              </w:rPr>
              <w:t>All facilities under operational control</w:t>
            </w:r>
          </w:p>
        </w:tc>
      </w:tr>
      <w:tr w:rsidR="00AC41AE" w14:paraId="516A1DE0" w14:textId="77777777">
        <w:trPr>
          <w:jc w:val="center"/>
        </w:trPr>
        <w:tc>
          <w:tcPr>
            <w:tcW w:w="4514" w:type="dxa"/>
          </w:tcPr>
          <w:p w14:paraId="77329405" w14:textId="77777777" w:rsidR="00AC41AE" w:rsidRDefault="00000000">
            <w:r>
              <w:rPr>
                <w:rFonts w:ascii="Arial" w:hAnsi="Arial"/>
                <w:sz w:val="18"/>
              </w:rPr>
              <w:t>Reporting Period</w:t>
            </w:r>
          </w:p>
        </w:tc>
        <w:tc>
          <w:tcPr>
            <w:tcW w:w="4514" w:type="dxa"/>
          </w:tcPr>
          <w:p w14:paraId="6A6575EE" w14:textId="77777777" w:rsidR="00AC41AE" w:rsidRDefault="00000000">
            <w:r>
              <w:rPr>
                <w:rFonts w:ascii="Arial" w:hAnsi="Arial"/>
                <w:sz w:val="18"/>
              </w:rPr>
              <w:t>01 January – 31 December (annual)</w:t>
            </w:r>
          </w:p>
        </w:tc>
      </w:tr>
      <w:tr w:rsidR="00AC41AE" w14:paraId="75A140AF" w14:textId="77777777">
        <w:trPr>
          <w:jc w:val="center"/>
        </w:trPr>
        <w:tc>
          <w:tcPr>
            <w:tcW w:w="4514" w:type="dxa"/>
            <w:shd w:val="clear" w:color="auto" w:fill="F2F6FC"/>
          </w:tcPr>
          <w:p w14:paraId="6F090239" w14:textId="77777777" w:rsidR="00AC41AE" w:rsidRDefault="00000000">
            <w:r>
              <w:rPr>
                <w:rFonts w:ascii="Arial" w:hAnsi="Arial"/>
                <w:sz w:val="18"/>
              </w:rPr>
              <w:t>Base Year</w:t>
            </w:r>
          </w:p>
        </w:tc>
        <w:tc>
          <w:tcPr>
            <w:tcW w:w="4514" w:type="dxa"/>
            <w:shd w:val="clear" w:color="auto" w:fill="F2F6FC"/>
          </w:tcPr>
          <w:p w14:paraId="47A73B78" w14:textId="77777777" w:rsidR="00AC41AE" w:rsidRDefault="00000000">
            <w:r>
              <w:rPr>
                <w:rFonts w:ascii="Arial" w:hAnsi="Arial"/>
                <w:sz w:val="18"/>
              </w:rPr>
              <w:t>2023 (first year of comprehensive GHG inventory)</w:t>
            </w:r>
          </w:p>
        </w:tc>
      </w:tr>
      <w:tr w:rsidR="00AC41AE" w14:paraId="165F9FA2" w14:textId="77777777">
        <w:trPr>
          <w:jc w:val="center"/>
        </w:trPr>
        <w:tc>
          <w:tcPr>
            <w:tcW w:w="4514" w:type="dxa"/>
          </w:tcPr>
          <w:p w14:paraId="463B6E76" w14:textId="77777777" w:rsidR="00AC41AE" w:rsidRDefault="00000000">
            <w:r>
              <w:rPr>
                <w:rFonts w:ascii="Arial" w:hAnsi="Arial"/>
                <w:sz w:val="18"/>
              </w:rPr>
              <w:t>Recalculation Policy</w:t>
            </w:r>
          </w:p>
        </w:tc>
        <w:tc>
          <w:tcPr>
            <w:tcW w:w="4514" w:type="dxa"/>
          </w:tcPr>
          <w:p w14:paraId="71098C7E" w14:textId="77777777" w:rsidR="00AC41AE" w:rsidRDefault="00000000">
            <w:r>
              <w:rPr>
                <w:rFonts w:ascii="Arial" w:hAnsi="Arial"/>
                <w:sz w:val="18"/>
              </w:rPr>
              <w:t>Triggered if structural changes affect &gt;5% of total</w:t>
            </w:r>
          </w:p>
        </w:tc>
      </w:tr>
      <w:tr w:rsidR="00AC41AE" w14:paraId="0457334C" w14:textId="77777777">
        <w:trPr>
          <w:jc w:val="center"/>
        </w:trPr>
        <w:tc>
          <w:tcPr>
            <w:tcW w:w="4514" w:type="dxa"/>
            <w:shd w:val="clear" w:color="auto" w:fill="F2F6FC"/>
          </w:tcPr>
          <w:p w14:paraId="6D7BC604" w14:textId="77777777" w:rsidR="00AC41AE" w:rsidRDefault="00000000">
            <w:r>
              <w:rPr>
                <w:rFonts w:ascii="Arial" w:hAnsi="Arial"/>
                <w:sz w:val="18"/>
              </w:rPr>
              <w:t>Standards Applied</w:t>
            </w:r>
          </w:p>
        </w:tc>
        <w:tc>
          <w:tcPr>
            <w:tcW w:w="4514" w:type="dxa"/>
            <w:shd w:val="clear" w:color="auto" w:fill="F2F6FC"/>
          </w:tcPr>
          <w:p w14:paraId="40688230" w14:textId="77777777" w:rsidR="00AC41AE" w:rsidRDefault="00000000">
            <w:r>
              <w:rPr>
                <w:rFonts w:ascii="Arial" w:hAnsi="Arial"/>
                <w:sz w:val="18"/>
              </w:rPr>
              <w:t>GHG Protocol Corporate Standard (2015 Revised)</w:t>
            </w:r>
          </w:p>
        </w:tc>
      </w:tr>
      <w:tr w:rsidR="00AC41AE" w14:paraId="6FFADD52" w14:textId="77777777">
        <w:trPr>
          <w:jc w:val="center"/>
        </w:trPr>
        <w:tc>
          <w:tcPr>
            <w:tcW w:w="4514" w:type="dxa"/>
          </w:tcPr>
          <w:p w14:paraId="2057A581" w14:textId="77777777" w:rsidR="00AC41AE" w:rsidRDefault="00000000">
            <w:r>
              <w:rPr>
                <w:rFonts w:ascii="Arial" w:hAnsi="Arial"/>
                <w:sz w:val="18"/>
              </w:rPr>
              <w:t>Financed Emissions</w:t>
            </w:r>
          </w:p>
        </w:tc>
        <w:tc>
          <w:tcPr>
            <w:tcW w:w="4514" w:type="dxa"/>
          </w:tcPr>
          <w:p w14:paraId="5D7516DC" w14:textId="77777777" w:rsidR="00AC41AE" w:rsidRDefault="00000000">
            <w:r>
              <w:rPr>
                <w:rFonts w:ascii="Arial" w:hAnsi="Arial"/>
                <w:sz w:val="18"/>
              </w:rPr>
              <w:t>PCAF Global Standard Part A (2022 Revision)</w:t>
            </w:r>
          </w:p>
        </w:tc>
      </w:tr>
    </w:tbl>
    <w:p w14:paraId="0609861C" w14:textId="77777777" w:rsidR="00AC41AE" w:rsidRDefault="00AC41AE"/>
    <w:p w14:paraId="366A8244" w14:textId="77777777" w:rsidR="00AC41AE" w:rsidRDefault="00000000">
      <w:pPr>
        <w:spacing w:after="160"/>
      </w:pPr>
      <w:r>
        <w:rPr>
          <w:rFonts w:ascii="Arial" w:hAnsi="Arial"/>
          <w:b/>
        </w:rPr>
        <w:t>A.2 Scope 1 — Direct Emissions</w:t>
      </w:r>
    </w:p>
    <w:p w14:paraId="2F1436FB" w14:textId="77777777" w:rsidR="00AC41AE" w:rsidRDefault="00000000">
      <w:pPr>
        <w:spacing w:after="160"/>
      </w:pPr>
      <w:r>
        <w:t>Scope 1 covers stationary combustion (diesel generators, natural gas boilers) and mobile combustion (company fleet vehicles). Calculation method: fuel-based approach (activity data × emission factor). Emission factors sourced from UK DEFRA 2024/2025 conversion factors. GWP values from IPCC Sixth Assessment Report (AR6, 100-year): CO₂ = 1.0, CH₄ = 29.8, N₂O = 273.0.</w:t>
      </w:r>
    </w:p>
    <w:p w14:paraId="358E1194" w14:textId="77777777" w:rsidR="00AC41AE" w:rsidRDefault="00000000">
      <w:r>
        <w:rPr>
          <w:rFonts w:ascii="Arial" w:hAnsi="Arial"/>
          <w:b/>
          <w:sz w:val="20"/>
        </w:rPr>
        <w:t>Table 66: Scope 1 Emission Factors Applied</w:t>
      </w:r>
    </w:p>
    <w:tbl>
      <w:tblPr>
        <w:tblW w:w="0" w:type="auto"/>
        <w:jc w:val="center"/>
        <w:tblLook w:val="04A0" w:firstRow="1" w:lastRow="0" w:firstColumn="1" w:lastColumn="0" w:noHBand="0" w:noVBand="1"/>
      </w:tblPr>
      <w:tblGrid>
        <w:gridCol w:w="1806"/>
        <w:gridCol w:w="1806"/>
        <w:gridCol w:w="1806"/>
        <w:gridCol w:w="1806"/>
        <w:gridCol w:w="1806"/>
      </w:tblGrid>
      <w:tr w:rsidR="00AC41AE" w14:paraId="6E2B6EB9" w14:textId="77777777">
        <w:trPr>
          <w:jc w:val="center"/>
        </w:trPr>
        <w:tc>
          <w:tcPr>
            <w:tcW w:w="1806" w:type="dxa"/>
            <w:shd w:val="clear" w:color="auto" w:fill="1B3A6B"/>
          </w:tcPr>
          <w:p w14:paraId="26451ECD" w14:textId="77777777" w:rsidR="00AC41AE" w:rsidRDefault="00000000">
            <w:r>
              <w:rPr>
                <w:rFonts w:ascii="Arial" w:hAnsi="Arial"/>
                <w:b/>
                <w:color w:val="FFFFFF"/>
                <w:sz w:val="18"/>
              </w:rPr>
              <w:t>Fuel Type</w:t>
            </w:r>
          </w:p>
        </w:tc>
        <w:tc>
          <w:tcPr>
            <w:tcW w:w="1806" w:type="dxa"/>
            <w:shd w:val="clear" w:color="auto" w:fill="1B3A6B"/>
          </w:tcPr>
          <w:p w14:paraId="44BB759D" w14:textId="77777777" w:rsidR="00AC41AE" w:rsidRDefault="00000000">
            <w:r>
              <w:rPr>
                <w:rFonts w:ascii="Arial" w:hAnsi="Arial"/>
                <w:b/>
                <w:color w:val="FFFFFF"/>
                <w:sz w:val="18"/>
              </w:rPr>
              <w:t>CO₂ Factor</w:t>
            </w:r>
          </w:p>
        </w:tc>
        <w:tc>
          <w:tcPr>
            <w:tcW w:w="1806" w:type="dxa"/>
            <w:shd w:val="clear" w:color="auto" w:fill="1B3A6B"/>
          </w:tcPr>
          <w:p w14:paraId="669BEB63" w14:textId="77777777" w:rsidR="00AC41AE" w:rsidRDefault="00000000">
            <w:r>
              <w:rPr>
                <w:rFonts w:ascii="Arial" w:hAnsi="Arial"/>
                <w:b/>
                <w:color w:val="FFFFFF"/>
                <w:sz w:val="18"/>
              </w:rPr>
              <w:t>CH₄ Factor</w:t>
            </w:r>
          </w:p>
        </w:tc>
        <w:tc>
          <w:tcPr>
            <w:tcW w:w="1806" w:type="dxa"/>
            <w:shd w:val="clear" w:color="auto" w:fill="1B3A6B"/>
          </w:tcPr>
          <w:p w14:paraId="06A22FA0" w14:textId="77777777" w:rsidR="00AC41AE" w:rsidRDefault="00000000">
            <w:r>
              <w:rPr>
                <w:rFonts w:ascii="Arial" w:hAnsi="Arial"/>
                <w:b/>
                <w:color w:val="FFFFFF"/>
                <w:sz w:val="18"/>
              </w:rPr>
              <w:t>N₂O Factor</w:t>
            </w:r>
          </w:p>
        </w:tc>
        <w:tc>
          <w:tcPr>
            <w:tcW w:w="1806" w:type="dxa"/>
            <w:shd w:val="clear" w:color="auto" w:fill="1B3A6B"/>
          </w:tcPr>
          <w:p w14:paraId="1709CDDE" w14:textId="77777777" w:rsidR="00AC41AE" w:rsidRDefault="00000000">
            <w:r>
              <w:rPr>
                <w:rFonts w:ascii="Arial" w:hAnsi="Arial"/>
                <w:b/>
                <w:color w:val="FFFFFF"/>
                <w:sz w:val="18"/>
              </w:rPr>
              <w:t>Source</w:t>
            </w:r>
          </w:p>
        </w:tc>
      </w:tr>
      <w:tr w:rsidR="00AC41AE" w14:paraId="2A44BE2B" w14:textId="77777777">
        <w:trPr>
          <w:jc w:val="center"/>
        </w:trPr>
        <w:tc>
          <w:tcPr>
            <w:tcW w:w="1806" w:type="dxa"/>
          </w:tcPr>
          <w:p w14:paraId="1343AE70" w14:textId="77777777" w:rsidR="00AC41AE" w:rsidRDefault="00000000">
            <w:r>
              <w:rPr>
                <w:rFonts w:ascii="Arial" w:hAnsi="Arial"/>
                <w:sz w:val="18"/>
              </w:rPr>
              <w:t>Diesel</w:t>
            </w:r>
          </w:p>
        </w:tc>
        <w:tc>
          <w:tcPr>
            <w:tcW w:w="1806" w:type="dxa"/>
          </w:tcPr>
          <w:p w14:paraId="2687C2A6" w14:textId="77777777" w:rsidR="00AC41AE" w:rsidRDefault="00000000">
            <w:r>
              <w:rPr>
                <w:rFonts w:ascii="Arial" w:hAnsi="Arial"/>
                <w:sz w:val="18"/>
              </w:rPr>
              <w:t>2.6710 kg/L</w:t>
            </w:r>
          </w:p>
        </w:tc>
        <w:tc>
          <w:tcPr>
            <w:tcW w:w="1806" w:type="dxa"/>
          </w:tcPr>
          <w:p w14:paraId="41432A7A" w14:textId="77777777" w:rsidR="00AC41AE" w:rsidRDefault="00000000">
            <w:r>
              <w:rPr>
                <w:rFonts w:ascii="Arial" w:hAnsi="Arial"/>
                <w:sz w:val="18"/>
              </w:rPr>
              <w:t>0.00029 kgCO₂e/L</w:t>
            </w:r>
          </w:p>
        </w:tc>
        <w:tc>
          <w:tcPr>
            <w:tcW w:w="1806" w:type="dxa"/>
          </w:tcPr>
          <w:p w14:paraId="48C171CC" w14:textId="77777777" w:rsidR="00AC41AE" w:rsidRDefault="00000000">
            <w:r>
              <w:rPr>
                <w:rFonts w:ascii="Arial" w:hAnsi="Arial"/>
                <w:sz w:val="18"/>
              </w:rPr>
              <w:t>0.03308 kgCO₂e/L</w:t>
            </w:r>
          </w:p>
        </w:tc>
        <w:tc>
          <w:tcPr>
            <w:tcW w:w="1806" w:type="dxa"/>
          </w:tcPr>
          <w:p w14:paraId="40377308" w14:textId="77777777" w:rsidR="00AC41AE" w:rsidRDefault="00000000">
            <w:r>
              <w:rPr>
                <w:rFonts w:ascii="Arial" w:hAnsi="Arial"/>
                <w:sz w:val="18"/>
              </w:rPr>
              <w:t>DEFRA 2025</w:t>
            </w:r>
          </w:p>
        </w:tc>
      </w:tr>
      <w:tr w:rsidR="00AC41AE" w14:paraId="7779B969" w14:textId="77777777">
        <w:trPr>
          <w:jc w:val="center"/>
        </w:trPr>
        <w:tc>
          <w:tcPr>
            <w:tcW w:w="1806" w:type="dxa"/>
            <w:shd w:val="clear" w:color="auto" w:fill="F2F6FC"/>
          </w:tcPr>
          <w:p w14:paraId="2A403D4E" w14:textId="77777777" w:rsidR="00AC41AE" w:rsidRDefault="00000000">
            <w:r>
              <w:rPr>
                <w:rFonts w:ascii="Arial" w:hAnsi="Arial"/>
                <w:sz w:val="18"/>
              </w:rPr>
              <w:t>Natural Gas</w:t>
            </w:r>
          </w:p>
        </w:tc>
        <w:tc>
          <w:tcPr>
            <w:tcW w:w="1806" w:type="dxa"/>
            <w:shd w:val="clear" w:color="auto" w:fill="F2F6FC"/>
          </w:tcPr>
          <w:p w14:paraId="7D7CB053" w14:textId="77777777" w:rsidR="00AC41AE" w:rsidRDefault="00000000">
            <w:r>
              <w:rPr>
                <w:rFonts w:ascii="Arial" w:hAnsi="Arial"/>
                <w:sz w:val="18"/>
              </w:rPr>
              <w:t>56.10 kg/GJ</w:t>
            </w:r>
          </w:p>
        </w:tc>
        <w:tc>
          <w:tcPr>
            <w:tcW w:w="1806" w:type="dxa"/>
            <w:shd w:val="clear" w:color="auto" w:fill="F2F6FC"/>
          </w:tcPr>
          <w:p w14:paraId="33855BEF" w14:textId="77777777" w:rsidR="00AC41AE" w:rsidRDefault="00000000">
            <w:r>
              <w:rPr>
                <w:rFonts w:ascii="Arial" w:hAnsi="Arial"/>
                <w:sz w:val="18"/>
              </w:rPr>
              <w:t>0.0298 kgCO₂e/GJ</w:t>
            </w:r>
          </w:p>
        </w:tc>
        <w:tc>
          <w:tcPr>
            <w:tcW w:w="1806" w:type="dxa"/>
            <w:shd w:val="clear" w:color="auto" w:fill="F2F6FC"/>
          </w:tcPr>
          <w:p w14:paraId="1E24BC5D" w14:textId="77777777" w:rsidR="00AC41AE" w:rsidRDefault="00000000">
            <w:r>
              <w:rPr>
                <w:rFonts w:ascii="Arial" w:hAnsi="Arial"/>
                <w:sz w:val="18"/>
              </w:rPr>
              <w:t>0.0273 kgCO₂e/GJ</w:t>
            </w:r>
          </w:p>
        </w:tc>
        <w:tc>
          <w:tcPr>
            <w:tcW w:w="1806" w:type="dxa"/>
            <w:shd w:val="clear" w:color="auto" w:fill="F2F6FC"/>
          </w:tcPr>
          <w:p w14:paraId="025AFBC7" w14:textId="77777777" w:rsidR="00AC41AE" w:rsidRDefault="00000000">
            <w:r>
              <w:rPr>
                <w:rFonts w:ascii="Arial" w:hAnsi="Arial"/>
                <w:sz w:val="18"/>
              </w:rPr>
              <w:t>IPCC AR6</w:t>
            </w:r>
          </w:p>
        </w:tc>
      </w:tr>
    </w:tbl>
    <w:p w14:paraId="13CAF33A" w14:textId="77777777" w:rsidR="00AC41AE" w:rsidRDefault="00AC41AE"/>
    <w:p w14:paraId="6BE1A8D9" w14:textId="77777777" w:rsidR="00AC41AE" w:rsidRDefault="00000000">
      <w:pPr>
        <w:spacing w:after="160"/>
      </w:pPr>
      <w:r>
        <w:rPr>
          <w:rFonts w:ascii="Arial" w:hAnsi="Arial"/>
          <w:b/>
        </w:rPr>
        <w:t>A.3 Scope 2 — Indirect Emissions</w:t>
      </w:r>
    </w:p>
    <w:p w14:paraId="4B177030" w14:textId="77777777" w:rsidR="00AC41AE" w:rsidRDefault="00000000">
      <w:pPr>
        <w:spacing w:after="160"/>
      </w:pPr>
      <w:r>
        <w:t>Scope 2 covers purchased electricity. Dual reporting: location-based (grid average emission factor) and market-based (contractual instruments). Grid emission factor: PLN National Grid Average per DJK-ESDM Ministerial Decree. RECs deducted from market-based calculation only.</w:t>
      </w:r>
    </w:p>
    <w:p w14:paraId="5D37B5E1" w14:textId="77777777" w:rsidR="00AC41AE" w:rsidRDefault="00000000">
      <w:r>
        <w:rPr>
          <w:rFonts w:ascii="Arial" w:hAnsi="Arial"/>
          <w:b/>
          <w:sz w:val="20"/>
        </w:rPr>
        <w:t>Table 67: Scope 2 Grid Emission Factors</w:t>
      </w:r>
    </w:p>
    <w:tbl>
      <w:tblPr>
        <w:tblW w:w="0" w:type="auto"/>
        <w:jc w:val="center"/>
        <w:tblLook w:val="04A0" w:firstRow="1" w:lastRow="0" w:firstColumn="1" w:lastColumn="0" w:noHBand="0" w:noVBand="1"/>
      </w:tblPr>
      <w:tblGrid>
        <w:gridCol w:w="2257"/>
        <w:gridCol w:w="2257"/>
        <w:gridCol w:w="2257"/>
        <w:gridCol w:w="2257"/>
      </w:tblGrid>
      <w:tr w:rsidR="00AC41AE" w14:paraId="0BFBA88D" w14:textId="77777777">
        <w:trPr>
          <w:jc w:val="center"/>
        </w:trPr>
        <w:tc>
          <w:tcPr>
            <w:tcW w:w="2257" w:type="dxa"/>
            <w:shd w:val="clear" w:color="auto" w:fill="1B3A6B"/>
          </w:tcPr>
          <w:p w14:paraId="3D496DC7" w14:textId="77777777" w:rsidR="00AC41AE" w:rsidRDefault="00000000">
            <w:r>
              <w:rPr>
                <w:rFonts w:ascii="Arial" w:hAnsi="Arial"/>
                <w:b/>
                <w:color w:val="FFFFFF"/>
                <w:sz w:val="18"/>
              </w:rPr>
              <w:t>Grid Region</w:t>
            </w:r>
          </w:p>
        </w:tc>
        <w:tc>
          <w:tcPr>
            <w:tcW w:w="2257" w:type="dxa"/>
            <w:shd w:val="clear" w:color="auto" w:fill="1B3A6B"/>
          </w:tcPr>
          <w:p w14:paraId="45053A7E" w14:textId="77777777" w:rsidR="00AC41AE" w:rsidRDefault="00000000">
            <w:r>
              <w:rPr>
                <w:rFonts w:ascii="Arial" w:hAnsi="Arial"/>
                <w:b/>
                <w:color w:val="FFFFFF"/>
                <w:sz w:val="18"/>
              </w:rPr>
              <w:t>EF (kgCO₂/kWh)</w:t>
            </w:r>
          </w:p>
        </w:tc>
        <w:tc>
          <w:tcPr>
            <w:tcW w:w="2257" w:type="dxa"/>
            <w:shd w:val="clear" w:color="auto" w:fill="1B3A6B"/>
          </w:tcPr>
          <w:p w14:paraId="74A1CD63" w14:textId="77777777" w:rsidR="00AC41AE" w:rsidRDefault="00000000">
            <w:r>
              <w:rPr>
                <w:rFonts w:ascii="Arial" w:hAnsi="Arial"/>
                <w:b/>
                <w:color w:val="FFFFFF"/>
                <w:sz w:val="18"/>
              </w:rPr>
              <w:t>Source</w:t>
            </w:r>
          </w:p>
        </w:tc>
        <w:tc>
          <w:tcPr>
            <w:tcW w:w="2257" w:type="dxa"/>
            <w:shd w:val="clear" w:color="auto" w:fill="1B3A6B"/>
          </w:tcPr>
          <w:p w14:paraId="7E513217" w14:textId="77777777" w:rsidR="00AC41AE" w:rsidRDefault="00000000">
            <w:r>
              <w:rPr>
                <w:rFonts w:ascii="Arial" w:hAnsi="Arial"/>
                <w:b/>
                <w:color w:val="FFFFFF"/>
                <w:sz w:val="18"/>
              </w:rPr>
              <w:t>Year</w:t>
            </w:r>
          </w:p>
        </w:tc>
      </w:tr>
      <w:tr w:rsidR="00AC41AE" w14:paraId="3B0191CB" w14:textId="77777777">
        <w:trPr>
          <w:jc w:val="center"/>
        </w:trPr>
        <w:tc>
          <w:tcPr>
            <w:tcW w:w="2257" w:type="dxa"/>
          </w:tcPr>
          <w:p w14:paraId="507DD701" w14:textId="77777777" w:rsidR="00AC41AE" w:rsidRDefault="00000000">
            <w:r>
              <w:rPr>
                <w:rFonts w:ascii="Arial" w:hAnsi="Arial"/>
                <w:sz w:val="18"/>
              </w:rPr>
              <w:t>PLN National Grid (Indonesia)</w:t>
            </w:r>
          </w:p>
        </w:tc>
        <w:tc>
          <w:tcPr>
            <w:tcW w:w="2257" w:type="dxa"/>
          </w:tcPr>
          <w:p w14:paraId="06AE1A88" w14:textId="77777777" w:rsidR="00AC41AE" w:rsidRDefault="00000000">
            <w:pPr>
              <w:jc w:val="right"/>
            </w:pPr>
            <w:r>
              <w:rPr>
                <w:rFonts w:ascii="Arial" w:hAnsi="Arial"/>
                <w:sz w:val="18"/>
              </w:rPr>
              <w:t>0.7886</w:t>
            </w:r>
          </w:p>
        </w:tc>
        <w:tc>
          <w:tcPr>
            <w:tcW w:w="2257" w:type="dxa"/>
          </w:tcPr>
          <w:p w14:paraId="603C8CBA" w14:textId="77777777" w:rsidR="00AC41AE" w:rsidRDefault="00000000">
            <w:r>
              <w:rPr>
                <w:rFonts w:ascii="Arial" w:hAnsi="Arial"/>
                <w:sz w:val="18"/>
              </w:rPr>
              <w:t>DJK-ESDM</w:t>
            </w:r>
          </w:p>
        </w:tc>
        <w:tc>
          <w:tcPr>
            <w:tcW w:w="2257" w:type="dxa"/>
          </w:tcPr>
          <w:p w14:paraId="0DEF93B0" w14:textId="77777777" w:rsidR="00AC41AE" w:rsidRDefault="00000000">
            <w:pPr>
              <w:jc w:val="right"/>
            </w:pPr>
            <w:r>
              <w:rPr>
                <w:rFonts w:ascii="Arial" w:hAnsi="Arial"/>
                <w:sz w:val="18"/>
              </w:rPr>
              <w:t>2023</w:t>
            </w:r>
          </w:p>
        </w:tc>
      </w:tr>
    </w:tbl>
    <w:p w14:paraId="4642DDD4" w14:textId="77777777" w:rsidR="00AC41AE" w:rsidRDefault="00AC41AE"/>
    <w:p w14:paraId="0E44F9FE" w14:textId="77777777" w:rsidR="00AC41AE" w:rsidRDefault="00000000">
      <w:pPr>
        <w:spacing w:after="160"/>
      </w:pPr>
      <w:r>
        <w:rPr>
          <w:rFonts w:ascii="Arial" w:hAnsi="Arial"/>
          <w:b/>
        </w:rPr>
        <w:t>A.4 Scope 3 Category 15 — Financed Emissions (PCAF)</w:t>
      </w:r>
    </w:p>
    <w:p w14:paraId="07372EF0" w14:textId="77777777" w:rsidR="00AC41AE" w:rsidRDefault="00000000">
      <w:pPr>
        <w:spacing w:after="160"/>
      </w:pPr>
      <w:r>
        <w:lastRenderedPageBreak/>
        <w:t>Financed emissions calculated per PCAF Global GHG Accounting Standard Part A (2022). Asset class: business loans and project finance. Attribution formula: Financed Emissions = Σ (Attribution Factor × Borrower Scope 1+2 Emissions). Attribution Factor = Outstanding Amount / (Total Equity + Total Debt). Capped at 1.0 per REQ-ETL-19.</w:t>
      </w:r>
    </w:p>
    <w:p w14:paraId="6B10605C" w14:textId="77777777" w:rsidR="00AC41AE" w:rsidRDefault="00000000">
      <w:r>
        <w:rPr>
          <w:rFonts w:ascii="Arial" w:hAnsi="Arial"/>
          <w:b/>
          <w:sz w:val="20"/>
        </w:rPr>
        <w:t>Table 68: PCAF Confidence Weighting Factors</w:t>
      </w:r>
    </w:p>
    <w:tbl>
      <w:tblPr>
        <w:tblW w:w="0" w:type="auto"/>
        <w:jc w:val="center"/>
        <w:tblLook w:val="04A0" w:firstRow="1" w:lastRow="0" w:firstColumn="1" w:lastColumn="0" w:noHBand="0" w:noVBand="1"/>
      </w:tblPr>
      <w:tblGrid>
        <w:gridCol w:w="2257"/>
        <w:gridCol w:w="2257"/>
        <w:gridCol w:w="2257"/>
        <w:gridCol w:w="2257"/>
      </w:tblGrid>
      <w:tr w:rsidR="00AC41AE" w14:paraId="3354490F" w14:textId="77777777">
        <w:trPr>
          <w:jc w:val="center"/>
        </w:trPr>
        <w:tc>
          <w:tcPr>
            <w:tcW w:w="2257" w:type="dxa"/>
            <w:shd w:val="clear" w:color="auto" w:fill="1B3A6B"/>
          </w:tcPr>
          <w:p w14:paraId="6E4DABF2" w14:textId="77777777" w:rsidR="00AC41AE" w:rsidRDefault="00000000">
            <w:r>
              <w:rPr>
                <w:rFonts w:ascii="Arial" w:hAnsi="Arial"/>
                <w:b/>
                <w:color w:val="FFFFFF"/>
                <w:sz w:val="18"/>
              </w:rPr>
              <w:t>PCAF Score</w:t>
            </w:r>
          </w:p>
        </w:tc>
        <w:tc>
          <w:tcPr>
            <w:tcW w:w="2257" w:type="dxa"/>
            <w:shd w:val="clear" w:color="auto" w:fill="1B3A6B"/>
          </w:tcPr>
          <w:p w14:paraId="34CA4CF0" w14:textId="77777777" w:rsidR="00AC41AE" w:rsidRDefault="00000000">
            <w:r>
              <w:rPr>
                <w:rFonts w:ascii="Arial" w:hAnsi="Arial"/>
                <w:b/>
                <w:color w:val="FFFFFF"/>
                <w:sz w:val="18"/>
              </w:rPr>
              <w:t>Description</w:t>
            </w:r>
          </w:p>
        </w:tc>
        <w:tc>
          <w:tcPr>
            <w:tcW w:w="2257" w:type="dxa"/>
            <w:shd w:val="clear" w:color="auto" w:fill="1B3A6B"/>
          </w:tcPr>
          <w:p w14:paraId="4FF66DED" w14:textId="77777777" w:rsidR="00AC41AE" w:rsidRDefault="00000000">
            <w:r>
              <w:rPr>
                <w:rFonts w:ascii="Arial" w:hAnsi="Arial"/>
                <w:b/>
                <w:color w:val="FFFFFF"/>
                <w:sz w:val="18"/>
              </w:rPr>
              <w:t>Confidence Factor</w:t>
            </w:r>
          </w:p>
        </w:tc>
        <w:tc>
          <w:tcPr>
            <w:tcW w:w="2257" w:type="dxa"/>
            <w:shd w:val="clear" w:color="auto" w:fill="1B3A6B"/>
          </w:tcPr>
          <w:p w14:paraId="3BE3F5AA" w14:textId="77777777" w:rsidR="00AC41AE" w:rsidRDefault="00000000">
            <w:r>
              <w:rPr>
                <w:rFonts w:ascii="Arial" w:hAnsi="Arial"/>
                <w:b/>
                <w:color w:val="FFFFFF"/>
                <w:sz w:val="18"/>
              </w:rPr>
              <w:t>Uncertainty</w:t>
            </w:r>
          </w:p>
        </w:tc>
      </w:tr>
      <w:tr w:rsidR="00AC41AE" w14:paraId="1C08630F" w14:textId="77777777">
        <w:trPr>
          <w:jc w:val="center"/>
        </w:trPr>
        <w:tc>
          <w:tcPr>
            <w:tcW w:w="2257" w:type="dxa"/>
          </w:tcPr>
          <w:p w14:paraId="4383972C" w14:textId="77777777" w:rsidR="00AC41AE" w:rsidRDefault="00000000">
            <w:pPr>
              <w:jc w:val="right"/>
            </w:pPr>
            <w:r>
              <w:rPr>
                <w:rFonts w:ascii="Arial" w:hAnsi="Arial"/>
                <w:sz w:val="18"/>
              </w:rPr>
              <w:t>1.0</w:t>
            </w:r>
          </w:p>
        </w:tc>
        <w:tc>
          <w:tcPr>
            <w:tcW w:w="2257" w:type="dxa"/>
          </w:tcPr>
          <w:p w14:paraId="2A4B3AD8" w14:textId="77777777" w:rsidR="00AC41AE" w:rsidRDefault="00000000">
            <w:r>
              <w:rPr>
                <w:rFonts w:ascii="Arial" w:hAnsi="Arial"/>
                <w:sz w:val="18"/>
              </w:rPr>
              <w:t>Verified (CDP/equivalent)</w:t>
            </w:r>
          </w:p>
        </w:tc>
        <w:tc>
          <w:tcPr>
            <w:tcW w:w="2257" w:type="dxa"/>
          </w:tcPr>
          <w:p w14:paraId="231D2B5D" w14:textId="77777777" w:rsidR="00AC41AE" w:rsidRDefault="00000000">
            <w:pPr>
              <w:jc w:val="right"/>
            </w:pPr>
            <w:r>
              <w:rPr>
                <w:rFonts w:ascii="Arial" w:hAnsi="Arial"/>
                <w:sz w:val="18"/>
              </w:rPr>
              <w:t>1.00</w:t>
            </w:r>
          </w:p>
        </w:tc>
        <w:tc>
          <w:tcPr>
            <w:tcW w:w="2257" w:type="dxa"/>
          </w:tcPr>
          <w:p w14:paraId="31155FC9" w14:textId="77777777" w:rsidR="00AC41AE" w:rsidRDefault="00000000">
            <w:r>
              <w:rPr>
                <w:rFonts w:ascii="Arial" w:hAnsi="Arial"/>
                <w:sz w:val="18"/>
              </w:rPr>
              <w:t>±5%</w:t>
            </w:r>
          </w:p>
        </w:tc>
      </w:tr>
      <w:tr w:rsidR="00AC41AE" w14:paraId="7B7BADA4" w14:textId="77777777">
        <w:trPr>
          <w:jc w:val="center"/>
        </w:trPr>
        <w:tc>
          <w:tcPr>
            <w:tcW w:w="2257" w:type="dxa"/>
            <w:shd w:val="clear" w:color="auto" w:fill="F2F6FC"/>
          </w:tcPr>
          <w:p w14:paraId="08CD0367" w14:textId="77777777" w:rsidR="00AC41AE" w:rsidRDefault="00000000">
            <w:pPr>
              <w:jc w:val="right"/>
            </w:pPr>
            <w:r>
              <w:rPr>
                <w:rFonts w:ascii="Arial" w:hAnsi="Arial"/>
                <w:sz w:val="18"/>
              </w:rPr>
              <w:t>1.5</w:t>
            </w:r>
          </w:p>
        </w:tc>
        <w:tc>
          <w:tcPr>
            <w:tcW w:w="2257" w:type="dxa"/>
            <w:shd w:val="clear" w:color="auto" w:fill="F2F6FC"/>
          </w:tcPr>
          <w:p w14:paraId="3C084ECD" w14:textId="77777777" w:rsidR="00AC41AE" w:rsidRDefault="00000000">
            <w:r>
              <w:rPr>
                <w:rFonts w:ascii="Arial" w:hAnsi="Arial"/>
                <w:sz w:val="18"/>
              </w:rPr>
              <w:t>Audited, unverified</w:t>
            </w:r>
          </w:p>
        </w:tc>
        <w:tc>
          <w:tcPr>
            <w:tcW w:w="2257" w:type="dxa"/>
            <w:shd w:val="clear" w:color="auto" w:fill="F2F6FC"/>
          </w:tcPr>
          <w:p w14:paraId="25C3D3C9" w14:textId="77777777" w:rsidR="00AC41AE" w:rsidRDefault="00000000">
            <w:pPr>
              <w:jc w:val="right"/>
            </w:pPr>
            <w:r>
              <w:rPr>
                <w:rFonts w:ascii="Arial" w:hAnsi="Arial"/>
                <w:sz w:val="18"/>
              </w:rPr>
              <w:t>0.95</w:t>
            </w:r>
          </w:p>
        </w:tc>
        <w:tc>
          <w:tcPr>
            <w:tcW w:w="2257" w:type="dxa"/>
            <w:shd w:val="clear" w:color="auto" w:fill="F2F6FC"/>
          </w:tcPr>
          <w:p w14:paraId="64A07A2B" w14:textId="77777777" w:rsidR="00AC41AE" w:rsidRDefault="00000000">
            <w:r>
              <w:rPr>
                <w:rFonts w:ascii="Arial" w:hAnsi="Arial"/>
                <w:sz w:val="18"/>
              </w:rPr>
              <w:t>±10%</w:t>
            </w:r>
          </w:p>
        </w:tc>
      </w:tr>
      <w:tr w:rsidR="00AC41AE" w14:paraId="0F847786" w14:textId="77777777">
        <w:trPr>
          <w:jc w:val="center"/>
        </w:trPr>
        <w:tc>
          <w:tcPr>
            <w:tcW w:w="2257" w:type="dxa"/>
          </w:tcPr>
          <w:p w14:paraId="52C16D9B" w14:textId="77777777" w:rsidR="00AC41AE" w:rsidRDefault="00000000">
            <w:pPr>
              <w:jc w:val="right"/>
            </w:pPr>
            <w:r>
              <w:rPr>
                <w:rFonts w:ascii="Arial" w:hAnsi="Arial"/>
                <w:sz w:val="18"/>
              </w:rPr>
              <w:t>2.0</w:t>
            </w:r>
          </w:p>
        </w:tc>
        <w:tc>
          <w:tcPr>
            <w:tcW w:w="2257" w:type="dxa"/>
          </w:tcPr>
          <w:p w14:paraId="6196A50E" w14:textId="77777777" w:rsidR="00AC41AE" w:rsidRDefault="00000000">
            <w:r>
              <w:rPr>
                <w:rFonts w:ascii="Arial" w:hAnsi="Arial"/>
                <w:sz w:val="18"/>
              </w:rPr>
              <w:t>Physical activity-based</w:t>
            </w:r>
          </w:p>
        </w:tc>
        <w:tc>
          <w:tcPr>
            <w:tcW w:w="2257" w:type="dxa"/>
          </w:tcPr>
          <w:p w14:paraId="6B46EA71" w14:textId="77777777" w:rsidR="00AC41AE" w:rsidRDefault="00000000">
            <w:pPr>
              <w:jc w:val="right"/>
            </w:pPr>
            <w:r>
              <w:rPr>
                <w:rFonts w:ascii="Arial" w:hAnsi="Arial"/>
                <w:sz w:val="18"/>
              </w:rPr>
              <w:t>0.90</w:t>
            </w:r>
          </w:p>
        </w:tc>
        <w:tc>
          <w:tcPr>
            <w:tcW w:w="2257" w:type="dxa"/>
          </w:tcPr>
          <w:p w14:paraId="1A9CE185" w14:textId="77777777" w:rsidR="00AC41AE" w:rsidRDefault="00000000">
            <w:r>
              <w:rPr>
                <w:rFonts w:ascii="Arial" w:hAnsi="Arial"/>
                <w:sz w:val="18"/>
              </w:rPr>
              <w:t>±15%</w:t>
            </w:r>
          </w:p>
        </w:tc>
      </w:tr>
      <w:tr w:rsidR="00AC41AE" w14:paraId="3D510A24" w14:textId="77777777">
        <w:trPr>
          <w:jc w:val="center"/>
        </w:trPr>
        <w:tc>
          <w:tcPr>
            <w:tcW w:w="2257" w:type="dxa"/>
            <w:shd w:val="clear" w:color="auto" w:fill="F2F6FC"/>
          </w:tcPr>
          <w:p w14:paraId="67E9F8BD" w14:textId="77777777" w:rsidR="00AC41AE" w:rsidRDefault="00000000">
            <w:pPr>
              <w:jc w:val="right"/>
            </w:pPr>
            <w:r>
              <w:rPr>
                <w:rFonts w:ascii="Arial" w:hAnsi="Arial"/>
                <w:sz w:val="18"/>
              </w:rPr>
              <w:t>3.0</w:t>
            </w:r>
          </w:p>
        </w:tc>
        <w:tc>
          <w:tcPr>
            <w:tcW w:w="2257" w:type="dxa"/>
            <w:shd w:val="clear" w:color="auto" w:fill="F2F6FC"/>
          </w:tcPr>
          <w:p w14:paraId="15F8592F" w14:textId="77777777" w:rsidR="00AC41AE" w:rsidRDefault="00000000">
            <w:r>
              <w:rPr>
                <w:rFonts w:ascii="Arial" w:hAnsi="Arial"/>
                <w:sz w:val="18"/>
              </w:rPr>
              <w:t>EEIO + revenue-based</w:t>
            </w:r>
          </w:p>
        </w:tc>
        <w:tc>
          <w:tcPr>
            <w:tcW w:w="2257" w:type="dxa"/>
            <w:shd w:val="clear" w:color="auto" w:fill="F2F6FC"/>
          </w:tcPr>
          <w:p w14:paraId="7382107A" w14:textId="77777777" w:rsidR="00AC41AE" w:rsidRDefault="00000000">
            <w:pPr>
              <w:jc w:val="right"/>
            </w:pPr>
            <w:r>
              <w:rPr>
                <w:rFonts w:ascii="Arial" w:hAnsi="Arial"/>
                <w:sz w:val="18"/>
              </w:rPr>
              <w:t>0.75</w:t>
            </w:r>
          </w:p>
        </w:tc>
        <w:tc>
          <w:tcPr>
            <w:tcW w:w="2257" w:type="dxa"/>
            <w:shd w:val="clear" w:color="auto" w:fill="F2F6FC"/>
          </w:tcPr>
          <w:p w14:paraId="5FBEFF32" w14:textId="77777777" w:rsidR="00AC41AE" w:rsidRDefault="00000000">
            <w:r>
              <w:rPr>
                <w:rFonts w:ascii="Arial" w:hAnsi="Arial"/>
                <w:sz w:val="18"/>
              </w:rPr>
              <w:t>±25%</w:t>
            </w:r>
          </w:p>
        </w:tc>
      </w:tr>
      <w:tr w:rsidR="00AC41AE" w14:paraId="1607DC09" w14:textId="77777777">
        <w:trPr>
          <w:jc w:val="center"/>
        </w:trPr>
        <w:tc>
          <w:tcPr>
            <w:tcW w:w="2257" w:type="dxa"/>
          </w:tcPr>
          <w:p w14:paraId="68FECCE9" w14:textId="77777777" w:rsidR="00AC41AE" w:rsidRDefault="00000000">
            <w:pPr>
              <w:jc w:val="right"/>
            </w:pPr>
            <w:r>
              <w:rPr>
                <w:rFonts w:ascii="Arial" w:hAnsi="Arial"/>
                <w:sz w:val="18"/>
              </w:rPr>
              <w:t>4.0</w:t>
            </w:r>
          </w:p>
        </w:tc>
        <w:tc>
          <w:tcPr>
            <w:tcW w:w="2257" w:type="dxa"/>
          </w:tcPr>
          <w:p w14:paraId="1207EB93" w14:textId="77777777" w:rsidR="00AC41AE" w:rsidRDefault="00000000">
            <w:r>
              <w:rPr>
                <w:rFonts w:ascii="Arial" w:hAnsi="Arial"/>
                <w:sz w:val="18"/>
              </w:rPr>
              <w:t>EEIO + asset-based</w:t>
            </w:r>
          </w:p>
        </w:tc>
        <w:tc>
          <w:tcPr>
            <w:tcW w:w="2257" w:type="dxa"/>
          </w:tcPr>
          <w:p w14:paraId="54E53394" w14:textId="77777777" w:rsidR="00AC41AE" w:rsidRDefault="00000000">
            <w:pPr>
              <w:jc w:val="right"/>
            </w:pPr>
            <w:r>
              <w:rPr>
                <w:rFonts w:ascii="Arial" w:hAnsi="Arial"/>
                <w:sz w:val="18"/>
              </w:rPr>
              <w:t>0.60</w:t>
            </w:r>
          </w:p>
        </w:tc>
        <w:tc>
          <w:tcPr>
            <w:tcW w:w="2257" w:type="dxa"/>
          </w:tcPr>
          <w:p w14:paraId="77F8920C" w14:textId="77777777" w:rsidR="00AC41AE" w:rsidRDefault="00000000">
            <w:r>
              <w:rPr>
                <w:rFonts w:ascii="Arial" w:hAnsi="Arial"/>
                <w:sz w:val="18"/>
              </w:rPr>
              <w:t>±40%</w:t>
            </w:r>
          </w:p>
        </w:tc>
      </w:tr>
      <w:tr w:rsidR="00AC41AE" w14:paraId="0F386C7E" w14:textId="77777777">
        <w:trPr>
          <w:jc w:val="center"/>
        </w:trPr>
        <w:tc>
          <w:tcPr>
            <w:tcW w:w="2257" w:type="dxa"/>
            <w:shd w:val="clear" w:color="auto" w:fill="F2F6FC"/>
          </w:tcPr>
          <w:p w14:paraId="4690FA8B" w14:textId="77777777" w:rsidR="00AC41AE" w:rsidRDefault="00000000">
            <w:pPr>
              <w:jc w:val="right"/>
            </w:pPr>
            <w:r>
              <w:rPr>
                <w:rFonts w:ascii="Arial" w:hAnsi="Arial"/>
                <w:sz w:val="18"/>
              </w:rPr>
              <w:t>5.0</w:t>
            </w:r>
          </w:p>
        </w:tc>
        <w:tc>
          <w:tcPr>
            <w:tcW w:w="2257" w:type="dxa"/>
            <w:shd w:val="clear" w:color="auto" w:fill="F2F6FC"/>
          </w:tcPr>
          <w:p w14:paraId="42E885F4" w14:textId="77777777" w:rsidR="00AC41AE" w:rsidRDefault="00000000">
            <w:r>
              <w:rPr>
                <w:rFonts w:ascii="Arial" w:hAnsi="Arial"/>
                <w:sz w:val="18"/>
              </w:rPr>
              <w:t>Sector-average proxy</w:t>
            </w:r>
          </w:p>
        </w:tc>
        <w:tc>
          <w:tcPr>
            <w:tcW w:w="2257" w:type="dxa"/>
            <w:shd w:val="clear" w:color="auto" w:fill="F2F6FC"/>
          </w:tcPr>
          <w:p w14:paraId="6D67CB36" w14:textId="77777777" w:rsidR="00AC41AE" w:rsidRDefault="00000000">
            <w:pPr>
              <w:jc w:val="right"/>
            </w:pPr>
            <w:r>
              <w:rPr>
                <w:rFonts w:ascii="Arial" w:hAnsi="Arial"/>
                <w:sz w:val="18"/>
              </w:rPr>
              <w:t>0.45</w:t>
            </w:r>
          </w:p>
        </w:tc>
        <w:tc>
          <w:tcPr>
            <w:tcW w:w="2257" w:type="dxa"/>
            <w:shd w:val="clear" w:color="auto" w:fill="F2F6FC"/>
          </w:tcPr>
          <w:p w14:paraId="41EBD432" w14:textId="77777777" w:rsidR="00AC41AE" w:rsidRDefault="00000000">
            <w:r>
              <w:rPr>
                <w:rFonts w:ascii="Arial" w:hAnsi="Arial"/>
                <w:sz w:val="18"/>
              </w:rPr>
              <w:t>±55%</w:t>
            </w:r>
          </w:p>
        </w:tc>
      </w:tr>
    </w:tbl>
    <w:p w14:paraId="02A6C796" w14:textId="77777777" w:rsidR="00AC41AE" w:rsidRDefault="00AC41AE"/>
    <w:p w14:paraId="5343869B" w14:textId="77777777" w:rsidR="00AC41AE" w:rsidRDefault="00000000">
      <w:pPr>
        <w:spacing w:after="160"/>
      </w:pPr>
      <w:r>
        <w:rPr>
          <w:rFonts w:ascii="Arial" w:hAnsi="Arial"/>
          <w:b/>
        </w:rPr>
        <w:t>A.5 Intensity Metrics</w:t>
      </w:r>
    </w:p>
    <w:p w14:paraId="608FBC3B" w14:textId="77777777" w:rsidR="00AC41AE" w:rsidRDefault="00000000">
      <w:r>
        <w:rPr>
          <w:rFonts w:ascii="Arial" w:hAnsi="Arial"/>
          <w:b/>
          <w:sz w:val="20"/>
        </w:rPr>
        <w:t>Table 69: Intensity Metric Definitions</w:t>
      </w:r>
    </w:p>
    <w:tbl>
      <w:tblPr>
        <w:tblW w:w="0" w:type="auto"/>
        <w:jc w:val="center"/>
        <w:tblLook w:val="04A0" w:firstRow="1" w:lastRow="0" w:firstColumn="1" w:lastColumn="0" w:noHBand="0" w:noVBand="1"/>
      </w:tblPr>
      <w:tblGrid>
        <w:gridCol w:w="2257"/>
        <w:gridCol w:w="2257"/>
        <w:gridCol w:w="2257"/>
        <w:gridCol w:w="2257"/>
      </w:tblGrid>
      <w:tr w:rsidR="00AC41AE" w14:paraId="0C2E3ADC" w14:textId="77777777">
        <w:trPr>
          <w:jc w:val="center"/>
        </w:trPr>
        <w:tc>
          <w:tcPr>
            <w:tcW w:w="2257" w:type="dxa"/>
            <w:shd w:val="clear" w:color="auto" w:fill="1B3A6B"/>
          </w:tcPr>
          <w:p w14:paraId="0534FEB3" w14:textId="77777777" w:rsidR="00AC41AE" w:rsidRDefault="00000000">
            <w:r>
              <w:rPr>
                <w:rFonts w:ascii="Arial" w:hAnsi="Arial"/>
                <w:b/>
                <w:color w:val="FFFFFF"/>
                <w:sz w:val="18"/>
              </w:rPr>
              <w:t>Metric</w:t>
            </w:r>
          </w:p>
        </w:tc>
        <w:tc>
          <w:tcPr>
            <w:tcW w:w="2257" w:type="dxa"/>
            <w:shd w:val="clear" w:color="auto" w:fill="1B3A6B"/>
          </w:tcPr>
          <w:p w14:paraId="5D1BD5A5" w14:textId="77777777" w:rsidR="00AC41AE" w:rsidRDefault="00000000">
            <w:r>
              <w:rPr>
                <w:rFonts w:ascii="Arial" w:hAnsi="Arial"/>
                <w:b/>
                <w:color w:val="FFFFFF"/>
                <w:sz w:val="18"/>
              </w:rPr>
              <w:t>Formula</w:t>
            </w:r>
          </w:p>
        </w:tc>
        <w:tc>
          <w:tcPr>
            <w:tcW w:w="2257" w:type="dxa"/>
            <w:shd w:val="clear" w:color="auto" w:fill="1B3A6B"/>
          </w:tcPr>
          <w:p w14:paraId="0FDFF2C3" w14:textId="77777777" w:rsidR="00AC41AE" w:rsidRDefault="00000000">
            <w:r>
              <w:rPr>
                <w:rFonts w:ascii="Arial" w:hAnsi="Arial"/>
                <w:b/>
                <w:color w:val="FFFFFF"/>
                <w:sz w:val="18"/>
              </w:rPr>
              <w:t>Scope</w:t>
            </w:r>
          </w:p>
        </w:tc>
        <w:tc>
          <w:tcPr>
            <w:tcW w:w="2257" w:type="dxa"/>
            <w:shd w:val="clear" w:color="auto" w:fill="1B3A6B"/>
          </w:tcPr>
          <w:p w14:paraId="1D70D1D3" w14:textId="77777777" w:rsidR="00AC41AE" w:rsidRDefault="00000000">
            <w:r>
              <w:rPr>
                <w:rFonts w:ascii="Arial" w:hAnsi="Arial"/>
                <w:b/>
                <w:color w:val="FFFFFF"/>
                <w:sz w:val="18"/>
              </w:rPr>
              <w:t>Denominator Source</w:t>
            </w:r>
          </w:p>
        </w:tc>
      </w:tr>
      <w:tr w:rsidR="00AC41AE" w14:paraId="4531BCE3" w14:textId="77777777">
        <w:trPr>
          <w:jc w:val="center"/>
        </w:trPr>
        <w:tc>
          <w:tcPr>
            <w:tcW w:w="2257" w:type="dxa"/>
          </w:tcPr>
          <w:p w14:paraId="6494CE08" w14:textId="77777777" w:rsidR="00AC41AE" w:rsidRDefault="00000000">
            <w:r>
              <w:rPr>
                <w:rFonts w:ascii="Arial" w:hAnsi="Arial"/>
                <w:sz w:val="18"/>
              </w:rPr>
              <w:t>Revenue Intensity</w:t>
            </w:r>
          </w:p>
        </w:tc>
        <w:tc>
          <w:tcPr>
            <w:tcW w:w="2257" w:type="dxa"/>
          </w:tcPr>
          <w:p w14:paraId="3BB0E704" w14:textId="77777777" w:rsidR="00AC41AE" w:rsidRDefault="00000000">
            <w:r>
              <w:rPr>
                <w:rFonts w:ascii="Arial" w:hAnsi="Arial"/>
                <w:sz w:val="18"/>
              </w:rPr>
              <w:t>Total Emissions / Revenue</w:t>
            </w:r>
          </w:p>
        </w:tc>
        <w:tc>
          <w:tcPr>
            <w:tcW w:w="2257" w:type="dxa"/>
          </w:tcPr>
          <w:p w14:paraId="0C9B63B1" w14:textId="77777777" w:rsidR="00AC41AE" w:rsidRDefault="00000000">
            <w:r>
              <w:rPr>
                <w:rFonts w:ascii="Arial" w:hAnsi="Arial"/>
                <w:sz w:val="18"/>
              </w:rPr>
              <w:t>Scope 1+2+3</w:t>
            </w:r>
          </w:p>
        </w:tc>
        <w:tc>
          <w:tcPr>
            <w:tcW w:w="2257" w:type="dxa"/>
          </w:tcPr>
          <w:p w14:paraId="404C2B9B" w14:textId="77777777" w:rsidR="00AC41AE" w:rsidRDefault="00000000">
            <w:r>
              <w:rPr>
                <w:rFonts w:ascii="Arial" w:hAnsi="Arial"/>
                <w:sz w:val="18"/>
              </w:rPr>
              <w:t>Audited financial statements</w:t>
            </w:r>
          </w:p>
        </w:tc>
      </w:tr>
      <w:tr w:rsidR="00AC41AE" w14:paraId="19B0B106" w14:textId="77777777">
        <w:trPr>
          <w:jc w:val="center"/>
        </w:trPr>
        <w:tc>
          <w:tcPr>
            <w:tcW w:w="2257" w:type="dxa"/>
            <w:shd w:val="clear" w:color="auto" w:fill="F2F6FC"/>
          </w:tcPr>
          <w:p w14:paraId="202839AB" w14:textId="77777777" w:rsidR="00AC41AE" w:rsidRDefault="00000000">
            <w:r>
              <w:rPr>
                <w:rFonts w:ascii="Arial" w:hAnsi="Arial"/>
                <w:sz w:val="18"/>
              </w:rPr>
              <w:t>FTE Intensity</w:t>
            </w:r>
          </w:p>
        </w:tc>
        <w:tc>
          <w:tcPr>
            <w:tcW w:w="2257" w:type="dxa"/>
            <w:shd w:val="clear" w:color="auto" w:fill="F2F6FC"/>
          </w:tcPr>
          <w:p w14:paraId="4239097F" w14:textId="77777777" w:rsidR="00AC41AE" w:rsidRDefault="00000000">
            <w:r>
              <w:rPr>
                <w:rFonts w:ascii="Arial" w:hAnsi="Arial"/>
                <w:sz w:val="18"/>
              </w:rPr>
              <w:t>Operational Emissions / FTE</w:t>
            </w:r>
          </w:p>
        </w:tc>
        <w:tc>
          <w:tcPr>
            <w:tcW w:w="2257" w:type="dxa"/>
            <w:shd w:val="clear" w:color="auto" w:fill="F2F6FC"/>
          </w:tcPr>
          <w:p w14:paraId="212E25B4" w14:textId="77777777" w:rsidR="00AC41AE" w:rsidRDefault="00000000">
            <w:r>
              <w:rPr>
                <w:rFonts w:ascii="Arial" w:hAnsi="Arial"/>
                <w:sz w:val="18"/>
              </w:rPr>
              <w:t>Scope 1+2 only</w:t>
            </w:r>
          </w:p>
        </w:tc>
        <w:tc>
          <w:tcPr>
            <w:tcW w:w="2257" w:type="dxa"/>
            <w:shd w:val="clear" w:color="auto" w:fill="F2F6FC"/>
          </w:tcPr>
          <w:p w14:paraId="026938B2" w14:textId="77777777" w:rsidR="00AC41AE" w:rsidRDefault="00000000">
            <w:r>
              <w:rPr>
                <w:rFonts w:ascii="Arial" w:hAnsi="Arial"/>
                <w:sz w:val="18"/>
              </w:rPr>
              <w:t>HR system headcount</w:t>
            </w:r>
          </w:p>
        </w:tc>
      </w:tr>
    </w:tbl>
    <w:p w14:paraId="2A83FB0A" w14:textId="77777777" w:rsidR="00AC41AE" w:rsidRDefault="00AC41AE"/>
    <w:p w14:paraId="24428088" w14:textId="77777777" w:rsidR="00AC41AE" w:rsidRDefault="00000000">
      <w:r>
        <w:br w:type="page"/>
      </w:r>
    </w:p>
    <w:p w14:paraId="2649A957" w14:textId="77777777" w:rsidR="00AC41AE" w:rsidRDefault="00000000">
      <w:pPr>
        <w:pStyle w:val="Heading1"/>
        <w:spacing w:after="240"/>
      </w:pPr>
      <w:bookmarkStart w:id="35" w:name="_Toc232152630"/>
      <w:r>
        <w:rPr>
          <w:rFonts w:ascii="Arial" w:hAnsi="Arial"/>
          <w:color w:val="1B3A6B"/>
          <w:sz w:val="36"/>
        </w:rPr>
        <w:lastRenderedPageBreak/>
        <w:t>Appendix B: Data Quality &amp; Assurance Statement</w:t>
      </w:r>
      <w:bookmarkEnd w:id="35"/>
    </w:p>
    <w:p w14:paraId="72F23077" w14:textId="77777777" w:rsidR="00AC41AE" w:rsidRDefault="00000000">
      <w:pPr>
        <w:spacing w:after="160"/>
      </w:pPr>
      <w:r>
        <w:t>Data quality is assessed using the PCAF data quality scoring framework (1-5) for financed emissions and GHG Protocol quality indicators for operational emissions. This report has NOT been subject to external assurance. Third-party limited assurance is recommended for future reporting cycles.</w:t>
      </w:r>
    </w:p>
    <w:p w14:paraId="503A3878" w14:textId="77777777" w:rsidR="00AC41AE" w:rsidRDefault="00000000">
      <w:r>
        <w:rPr>
          <w:rFonts w:ascii="Arial" w:hAnsi="Arial"/>
          <w:b/>
          <w:sz w:val="20"/>
        </w:rPr>
        <w:t>Table 70: Operational Data Quality Assessment</w:t>
      </w:r>
    </w:p>
    <w:tbl>
      <w:tblPr>
        <w:tblW w:w="0" w:type="auto"/>
        <w:jc w:val="center"/>
        <w:tblLook w:val="04A0" w:firstRow="1" w:lastRow="0" w:firstColumn="1" w:lastColumn="0" w:noHBand="0" w:noVBand="1"/>
      </w:tblPr>
      <w:tblGrid>
        <w:gridCol w:w="3010"/>
        <w:gridCol w:w="3010"/>
        <w:gridCol w:w="3010"/>
      </w:tblGrid>
      <w:tr w:rsidR="00AC41AE" w14:paraId="6B1DBCE3" w14:textId="77777777">
        <w:trPr>
          <w:jc w:val="center"/>
        </w:trPr>
        <w:tc>
          <w:tcPr>
            <w:tcW w:w="3010" w:type="dxa"/>
            <w:shd w:val="clear" w:color="auto" w:fill="1B3A6B"/>
          </w:tcPr>
          <w:p w14:paraId="64953B84" w14:textId="77777777" w:rsidR="00AC41AE" w:rsidRDefault="00000000">
            <w:r>
              <w:rPr>
                <w:rFonts w:ascii="Arial" w:hAnsi="Arial"/>
                <w:b/>
                <w:color w:val="FFFFFF"/>
                <w:sz w:val="18"/>
              </w:rPr>
              <w:t>Quality Tier</w:t>
            </w:r>
          </w:p>
        </w:tc>
        <w:tc>
          <w:tcPr>
            <w:tcW w:w="3010" w:type="dxa"/>
            <w:shd w:val="clear" w:color="auto" w:fill="1B3A6B"/>
          </w:tcPr>
          <w:p w14:paraId="4C1934AF" w14:textId="77777777" w:rsidR="00AC41AE" w:rsidRDefault="00000000">
            <w:r>
              <w:rPr>
                <w:rFonts w:ascii="Arial" w:hAnsi="Arial"/>
                <w:b/>
                <w:color w:val="FFFFFF"/>
                <w:sz w:val="18"/>
              </w:rPr>
              <w:t>Criteria</w:t>
            </w:r>
          </w:p>
        </w:tc>
        <w:tc>
          <w:tcPr>
            <w:tcW w:w="3010" w:type="dxa"/>
            <w:shd w:val="clear" w:color="auto" w:fill="1B3A6B"/>
          </w:tcPr>
          <w:p w14:paraId="7E06EF78" w14:textId="77777777" w:rsidR="00AC41AE" w:rsidRDefault="00000000">
            <w:r>
              <w:rPr>
                <w:rFonts w:ascii="Arial" w:hAnsi="Arial"/>
                <w:b/>
                <w:color w:val="FFFFFF"/>
                <w:sz w:val="18"/>
              </w:rPr>
              <w:t>Description</w:t>
            </w:r>
          </w:p>
        </w:tc>
      </w:tr>
      <w:tr w:rsidR="00AC41AE" w14:paraId="2F7E6FD1" w14:textId="77777777">
        <w:trPr>
          <w:jc w:val="center"/>
        </w:trPr>
        <w:tc>
          <w:tcPr>
            <w:tcW w:w="3010" w:type="dxa"/>
          </w:tcPr>
          <w:p w14:paraId="6EE438B0" w14:textId="77777777" w:rsidR="00AC41AE" w:rsidRDefault="00000000">
            <w:r>
              <w:rPr>
                <w:rFonts w:ascii="Arial" w:hAnsi="Arial"/>
                <w:sz w:val="18"/>
              </w:rPr>
              <w:t>1 (High)</w:t>
            </w:r>
          </w:p>
        </w:tc>
        <w:tc>
          <w:tcPr>
            <w:tcW w:w="3010" w:type="dxa"/>
          </w:tcPr>
          <w:p w14:paraId="445FAB41" w14:textId="77777777" w:rsidR="00AC41AE" w:rsidRDefault="00000000">
            <w:r>
              <w:rPr>
                <w:rFonts w:ascii="Arial" w:hAnsi="Arial"/>
                <w:sz w:val="18"/>
              </w:rPr>
              <w:t>0 imputed months</w:t>
            </w:r>
          </w:p>
        </w:tc>
        <w:tc>
          <w:tcPr>
            <w:tcW w:w="3010" w:type="dxa"/>
          </w:tcPr>
          <w:p w14:paraId="2539A512" w14:textId="77777777" w:rsidR="00AC41AE" w:rsidRDefault="00000000">
            <w:r>
              <w:rPr>
                <w:rFonts w:ascii="Arial" w:hAnsi="Arial"/>
                <w:sz w:val="18"/>
              </w:rPr>
              <w:t>Complete primary data from smart meters</w:t>
            </w:r>
          </w:p>
        </w:tc>
      </w:tr>
      <w:tr w:rsidR="00AC41AE" w14:paraId="0FF26C2E" w14:textId="77777777">
        <w:trPr>
          <w:jc w:val="center"/>
        </w:trPr>
        <w:tc>
          <w:tcPr>
            <w:tcW w:w="3010" w:type="dxa"/>
            <w:shd w:val="clear" w:color="auto" w:fill="F2F6FC"/>
          </w:tcPr>
          <w:p w14:paraId="20947B52" w14:textId="77777777" w:rsidR="00AC41AE" w:rsidRDefault="00000000">
            <w:r>
              <w:rPr>
                <w:rFonts w:ascii="Arial" w:hAnsi="Arial"/>
                <w:sz w:val="18"/>
              </w:rPr>
              <w:t>2 (Good)</w:t>
            </w:r>
          </w:p>
        </w:tc>
        <w:tc>
          <w:tcPr>
            <w:tcW w:w="3010" w:type="dxa"/>
            <w:shd w:val="clear" w:color="auto" w:fill="F2F6FC"/>
          </w:tcPr>
          <w:p w14:paraId="7B4BBCD2" w14:textId="77777777" w:rsidR="00AC41AE" w:rsidRDefault="00000000">
            <w:r>
              <w:rPr>
                <w:rFonts w:ascii="Arial" w:hAnsi="Arial"/>
                <w:sz w:val="18"/>
              </w:rPr>
              <w:t>1-2 imputed months</w:t>
            </w:r>
          </w:p>
        </w:tc>
        <w:tc>
          <w:tcPr>
            <w:tcW w:w="3010" w:type="dxa"/>
            <w:shd w:val="clear" w:color="auto" w:fill="F2F6FC"/>
          </w:tcPr>
          <w:p w14:paraId="2397C1CC" w14:textId="77777777" w:rsidR="00AC41AE" w:rsidRDefault="00000000">
            <w:r>
              <w:rPr>
                <w:rFonts w:ascii="Arial" w:hAnsi="Arial"/>
                <w:sz w:val="18"/>
              </w:rPr>
              <w:t>Minor gaps filled with facility-type avg</w:t>
            </w:r>
          </w:p>
        </w:tc>
      </w:tr>
      <w:tr w:rsidR="00AC41AE" w14:paraId="290CD464" w14:textId="77777777">
        <w:trPr>
          <w:jc w:val="center"/>
        </w:trPr>
        <w:tc>
          <w:tcPr>
            <w:tcW w:w="3010" w:type="dxa"/>
          </w:tcPr>
          <w:p w14:paraId="622CD59C" w14:textId="77777777" w:rsidR="00AC41AE" w:rsidRDefault="00000000">
            <w:r>
              <w:rPr>
                <w:rFonts w:ascii="Arial" w:hAnsi="Arial"/>
                <w:sz w:val="18"/>
              </w:rPr>
              <w:t>3 (Moderate)</w:t>
            </w:r>
          </w:p>
        </w:tc>
        <w:tc>
          <w:tcPr>
            <w:tcW w:w="3010" w:type="dxa"/>
          </w:tcPr>
          <w:p w14:paraId="6D0BA4A6" w14:textId="77777777" w:rsidR="00AC41AE" w:rsidRDefault="00000000">
            <w:r>
              <w:rPr>
                <w:rFonts w:ascii="Arial" w:hAnsi="Arial"/>
                <w:sz w:val="18"/>
              </w:rPr>
              <w:t>3-5 imputed months</w:t>
            </w:r>
          </w:p>
        </w:tc>
        <w:tc>
          <w:tcPr>
            <w:tcW w:w="3010" w:type="dxa"/>
          </w:tcPr>
          <w:p w14:paraId="72B8727B" w14:textId="77777777" w:rsidR="00AC41AE" w:rsidRDefault="00000000">
            <w:r>
              <w:rPr>
                <w:rFonts w:ascii="Arial" w:hAnsi="Arial"/>
                <w:sz w:val="18"/>
              </w:rPr>
              <w:t>Significant estimation required</w:t>
            </w:r>
          </w:p>
        </w:tc>
      </w:tr>
      <w:tr w:rsidR="00AC41AE" w14:paraId="1A944AE7" w14:textId="77777777">
        <w:trPr>
          <w:jc w:val="center"/>
        </w:trPr>
        <w:tc>
          <w:tcPr>
            <w:tcW w:w="3010" w:type="dxa"/>
            <w:shd w:val="clear" w:color="auto" w:fill="F2F6FC"/>
          </w:tcPr>
          <w:p w14:paraId="6C3CD5F8" w14:textId="77777777" w:rsidR="00AC41AE" w:rsidRDefault="00000000">
            <w:r>
              <w:rPr>
                <w:rFonts w:ascii="Arial" w:hAnsi="Arial"/>
                <w:sz w:val="18"/>
              </w:rPr>
              <w:t>4 (Low)</w:t>
            </w:r>
          </w:p>
        </w:tc>
        <w:tc>
          <w:tcPr>
            <w:tcW w:w="3010" w:type="dxa"/>
            <w:shd w:val="clear" w:color="auto" w:fill="F2F6FC"/>
          </w:tcPr>
          <w:p w14:paraId="74E97C88" w14:textId="77777777" w:rsidR="00AC41AE" w:rsidRDefault="00000000">
            <w:r>
              <w:rPr>
                <w:rFonts w:ascii="Arial" w:hAnsi="Arial"/>
                <w:sz w:val="18"/>
              </w:rPr>
              <w:t>6+ imputed months</w:t>
            </w:r>
          </w:p>
        </w:tc>
        <w:tc>
          <w:tcPr>
            <w:tcW w:w="3010" w:type="dxa"/>
            <w:shd w:val="clear" w:color="auto" w:fill="F2F6FC"/>
          </w:tcPr>
          <w:p w14:paraId="3C5B6DE9" w14:textId="77777777" w:rsidR="00AC41AE" w:rsidRDefault="00000000">
            <w:r>
              <w:rPr>
                <w:rFonts w:ascii="Arial" w:hAnsi="Arial"/>
                <w:sz w:val="18"/>
              </w:rPr>
              <w:t>Majority estimated — improvement needed</w:t>
            </w:r>
          </w:p>
        </w:tc>
      </w:tr>
    </w:tbl>
    <w:p w14:paraId="460A4FCB" w14:textId="77777777" w:rsidR="00AC41AE" w:rsidRDefault="00AC41AE"/>
    <w:p w14:paraId="14A3EA5A" w14:textId="77777777" w:rsidR="00AC41AE" w:rsidRDefault="00000000">
      <w:pPr>
        <w:spacing w:after="160"/>
      </w:pPr>
      <w:r>
        <w:t>Improvement Plan: Target 100% smart meter coverage across all facilities by Q4 2025. Monthly automated data ingestion via utility API integration in development.</w:t>
      </w:r>
    </w:p>
    <w:p w14:paraId="6F623CBC" w14:textId="77777777" w:rsidR="00AC41AE" w:rsidRDefault="00000000">
      <w:r>
        <w:br w:type="page"/>
      </w:r>
    </w:p>
    <w:p w14:paraId="26C0E16C" w14:textId="77777777" w:rsidR="00AC41AE" w:rsidRDefault="00000000">
      <w:pPr>
        <w:pStyle w:val="Heading1"/>
        <w:spacing w:after="240"/>
      </w:pPr>
      <w:bookmarkStart w:id="36" w:name="_Toc232152631"/>
      <w:r>
        <w:rPr>
          <w:rFonts w:ascii="Arial" w:hAnsi="Arial"/>
          <w:color w:val="1B3A6B"/>
          <w:sz w:val="36"/>
        </w:rPr>
        <w:lastRenderedPageBreak/>
        <w:t>Appendix C: Sector Classification &amp; PCAF Mapping</w:t>
      </w:r>
      <w:bookmarkEnd w:id="36"/>
    </w:p>
    <w:p w14:paraId="5094C014" w14:textId="77777777" w:rsidR="00AC41AE" w:rsidRDefault="00000000">
      <w:pPr>
        <w:spacing w:after="160"/>
      </w:pPr>
      <w:r>
        <w:t>Sector classification follows NACE Rev. 2 codes mapped to PCAF asset classes. All productive loans in the portfolio are classified into one of the sectors below.</w:t>
      </w:r>
    </w:p>
    <w:p w14:paraId="7599A2EB" w14:textId="77777777" w:rsidR="00AC41AE" w:rsidRDefault="00000000">
      <w:r>
        <w:rPr>
          <w:rFonts w:ascii="Arial" w:hAnsi="Arial"/>
          <w:b/>
          <w:sz w:val="20"/>
        </w:rPr>
        <w:t>Table 71: PCAF Sector Classification</w:t>
      </w:r>
    </w:p>
    <w:tbl>
      <w:tblPr>
        <w:tblW w:w="0" w:type="auto"/>
        <w:jc w:val="center"/>
        <w:tblLook w:val="04A0" w:firstRow="1" w:lastRow="0" w:firstColumn="1" w:lastColumn="0" w:noHBand="0" w:noVBand="1"/>
      </w:tblPr>
      <w:tblGrid>
        <w:gridCol w:w="2257"/>
        <w:gridCol w:w="2257"/>
        <w:gridCol w:w="2257"/>
        <w:gridCol w:w="2257"/>
      </w:tblGrid>
      <w:tr w:rsidR="00AC41AE" w14:paraId="03F913F4" w14:textId="77777777">
        <w:trPr>
          <w:jc w:val="center"/>
        </w:trPr>
        <w:tc>
          <w:tcPr>
            <w:tcW w:w="2257" w:type="dxa"/>
            <w:shd w:val="clear" w:color="auto" w:fill="1B3A6B"/>
          </w:tcPr>
          <w:p w14:paraId="220C018A" w14:textId="77777777" w:rsidR="00AC41AE" w:rsidRDefault="00000000">
            <w:r>
              <w:rPr>
                <w:rFonts w:ascii="Arial" w:hAnsi="Arial"/>
                <w:b/>
                <w:color w:val="FFFFFF"/>
                <w:sz w:val="18"/>
              </w:rPr>
              <w:t>NACE Code</w:t>
            </w:r>
          </w:p>
        </w:tc>
        <w:tc>
          <w:tcPr>
            <w:tcW w:w="2257" w:type="dxa"/>
            <w:shd w:val="clear" w:color="auto" w:fill="1B3A6B"/>
          </w:tcPr>
          <w:p w14:paraId="41A3E1D3" w14:textId="77777777" w:rsidR="00AC41AE" w:rsidRDefault="00000000">
            <w:r>
              <w:rPr>
                <w:rFonts w:ascii="Arial" w:hAnsi="Arial"/>
                <w:b/>
                <w:color w:val="FFFFFF"/>
                <w:sz w:val="18"/>
              </w:rPr>
              <w:t>Sector</w:t>
            </w:r>
          </w:p>
        </w:tc>
        <w:tc>
          <w:tcPr>
            <w:tcW w:w="2257" w:type="dxa"/>
            <w:shd w:val="clear" w:color="auto" w:fill="1B3A6B"/>
          </w:tcPr>
          <w:p w14:paraId="471B3B8F" w14:textId="77777777" w:rsidR="00AC41AE" w:rsidRDefault="00000000">
            <w:r>
              <w:rPr>
                <w:rFonts w:ascii="Arial" w:hAnsi="Arial"/>
                <w:b/>
                <w:color w:val="FFFFFF"/>
                <w:sz w:val="18"/>
              </w:rPr>
              <w:t>PCAF Asset Class</w:t>
            </w:r>
          </w:p>
        </w:tc>
        <w:tc>
          <w:tcPr>
            <w:tcW w:w="2257" w:type="dxa"/>
            <w:shd w:val="clear" w:color="auto" w:fill="1B3A6B"/>
          </w:tcPr>
          <w:p w14:paraId="7AC8C9F7" w14:textId="77777777" w:rsidR="00AC41AE" w:rsidRDefault="00000000">
            <w:r>
              <w:rPr>
                <w:rFonts w:ascii="Arial" w:hAnsi="Arial"/>
                <w:b/>
                <w:color w:val="FFFFFF"/>
                <w:sz w:val="18"/>
              </w:rPr>
              <w:t>Emission Factor Source</w:t>
            </w:r>
          </w:p>
        </w:tc>
      </w:tr>
      <w:tr w:rsidR="00AC41AE" w14:paraId="4EE7B81F" w14:textId="77777777">
        <w:trPr>
          <w:jc w:val="center"/>
        </w:trPr>
        <w:tc>
          <w:tcPr>
            <w:tcW w:w="2257" w:type="dxa"/>
          </w:tcPr>
          <w:p w14:paraId="057F17A4" w14:textId="77777777" w:rsidR="00AC41AE" w:rsidRDefault="00000000">
            <w:r>
              <w:rPr>
                <w:rFonts w:ascii="Arial" w:hAnsi="Arial"/>
                <w:sz w:val="18"/>
              </w:rPr>
              <w:t>B.06</w:t>
            </w:r>
          </w:p>
        </w:tc>
        <w:tc>
          <w:tcPr>
            <w:tcW w:w="2257" w:type="dxa"/>
          </w:tcPr>
          <w:p w14:paraId="77BA9131" w14:textId="77777777" w:rsidR="00AC41AE" w:rsidRDefault="00000000">
            <w:r>
              <w:rPr>
                <w:rFonts w:ascii="Arial" w:hAnsi="Arial"/>
                <w:sz w:val="18"/>
              </w:rPr>
              <w:t>Energy — Oil &amp; Gas</w:t>
            </w:r>
          </w:p>
        </w:tc>
        <w:tc>
          <w:tcPr>
            <w:tcW w:w="2257" w:type="dxa"/>
          </w:tcPr>
          <w:p w14:paraId="4B6101DB" w14:textId="77777777" w:rsidR="00AC41AE" w:rsidRDefault="00000000">
            <w:r>
              <w:rPr>
                <w:rFonts w:ascii="Arial" w:hAnsi="Arial"/>
                <w:sz w:val="18"/>
              </w:rPr>
              <w:t>Business Loans</w:t>
            </w:r>
          </w:p>
        </w:tc>
        <w:tc>
          <w:tcPr>
            <w:tcW w:w="2257" w:type="dxa"/>
          </w:tcPr>
          <w:p w14:paraId="63910E8A" w14:textId="77777777" w:rsidR="00AC41AE" w:rsidRDefault="00000000">
            <w:r>
              <w:rPr>
                <w:rFonts w:ascii="Arial" w:hAnsi="Arial"/>
                <w:sz w:val="18"/>
              </w:rPr>
              <w:t>CDP / Company Reports</w:t>
            </w:r>
          </w:p>
        </w:tc>
      </w:tr>
      <w:tr w:rsidR="00AC41AE" w14:paraId="4D7346DF" w14:textId="77777777">
        <w:trPr>
          <w:jc w:val="center"/>
        </w:trPr>
        <w:tc>
          <w:tcPr>
            <w:tcW w:w="2257" w:type="dxa"/>
            <w:shd w:val="clear" w:color="auto" w:fill="F2F6FC"/>
          </w:tcPr>
          <w:p w14:paraId="2A8F5DFF" w14:textId="77777777" w:rsidR="00AC41AE" w:rsidRDefault="00000000">
            <w:r>
              <w:rPr>
                <w:rFonts w:ascii="Arial" w:hAnsi="Arial"/>
                <w:sz w:val="18"/>
              </w:rPr>
              <w:t>C.23</w:t>
            </w:r>
          </w:p>
        </w:tc>
        <w:tc>
          <w:tcPr>
            <w:tcW w:w="2257" w:type="dxa"/>
            <w:shd w:val="clear" w:color="auto" w:fill="F2F6FC"/>
          </w:tcPr>
          <w:p w14:paraId="5915C638" w14:textId="77777777" w:rsidR="00AC41AE" w:rsidRDefault="00000000">
            <w:r>
              <w:rPr>
                <w:rFonts w:ascii="Arial" w:hAnsi="Arial"/>
                <w:sz w:val="18"/>
              </w:rPr>
              <w:t>Manufacturing — Cement</w:t>
            </w:r>
          </w:p>
        </w:tc>
        <w:tc>
          <w:tcPr>
            <w:tcW w:w="2257" w:type="dxa"/>
            <w:shd w:val="clear" w:color="auto" w:fill="F2F6FC"/>
          </w:tcPr>
          <w:p w14:paraId="3362303B" w14:textId="77777777" w:rsidR="00AC41AE" w:rsidRDefault="00000000">
            <w:r>
              <w:rPr>
                <w:rFonts w:ascii="Arial" w:hAnsi="Arial"/>
                <w:sz w:val="18"/>
              </w:rPr>
              <w:t>Business Loans</w:t>
            </w:r>
          </w:p>
        </w:tc>
        <w:tc>
          <w:tcPr>
            <w:tcW w:w="2257" w:type="dxa"/>
            <w:shd w:val="clear" w:color="auto" w:fill="F2F6FC"/>
          </w:tcPr>
          <w:p w14:paraId="58E111C3" w14:textId="77777777" w:rsidR="00AC41AE" w:rsidRDefault="00000000">
            <w:r>
              <w:rPr>
                <w:rFonts w:ascii="Arial" w:hAnsi="Arial"/>
                <w:sz w:val="18"/>
              </w:rPr>
              <w:t>EEIO (Exiobase)</w:t>
            </w:r>
          </w:p>
        </w:tc>
      </w:tr>
      <w:tr w:rsidR="00AC41AE" w14:paraId="506EC81C" w14:textId="77777777">
        <w:trPr>
          <w:jc w:val="center"/>
        </w:trPr>
        <w:tc>
          <w:tcPr>
            <w:tcW w:w="2257" w:type="dxa"/>
          </w:tcPr>
          <w:p w14:paraId="5A72BB77" w14:textId="77777777" w:rsidR="00AC41AE" w:rsidRDefault="00000000">
            <w:r>
              <w:rPr>
                <w:rFonts w:ascii="Arial" w:hAnsi="Arial"/>
                <w:sz w:val="18"/>
              </w:rPr>
              <w:t>C.24</w:t>
            </w:r>
          </w:p>
        </w:tc>
        <w:tc>
          <w:tcPr>
            <w:tcW w:w="2257" w:type="dxa"/>
          </w:tcPr>
          <w:p w14:paraId="7E8EB7FE" w14:textId="77777777" w:rsidR="00AC41AE" w:rsidRDefault="00000000">
            <w:r>
              <w:rPr>
                <w:rFonts w:ascii="Arial" w:hAnsi="Arial"/>
                <w:sz w:val="18"/>
              </w:rPr>
              <w:t>Manufacturing — Steel</w:t>
            </w:r>
          </w:p>
        </w:tc>
        <w:tc>
          <w:tcPr>
            <w:tcW w:w="2257" w:type="dxa"/>
          </w:tcPr>
          <w:p w14:paraId="44357D77" w14:textId="77777777" w:rsidR="00AC41AE" w:rsidRDefault="00000000">
            <w:r>
              <w:rPr>
                <w:rFonts w:ascii="Arial" w:hAnsi="Arial"/>
                <w:sz w:val="18"/>
              </w:rPr>
              <w:t>Business Loans</w:t>
            </w:r>
          </w:p>
        </w:tc>
        <w:tc>
          <w:tcPr>
            <w:tcW w:w="2257" w:type="dxa"/>
          </w:tcPr>
          <w:p w14:paraId="531B112D" w14:textId="77777777" w:rsidR="00AC41AE" w:rsidRDefault="00000000">
            <w:r>
              <w:rPr>
                <w:rFonts w:ascii="Arial" w:hAnsi="Arial"/>
                <w:sz w:val="18"/>
              </w:rPr>
              <w:t>EEIO (Exiobase)</w:t>
            </w:r>
          </w:p>
        </w:tc>
      </w:tr>
      <w:tr w:rsidR="00AC41AE" w14:paraId="6AEBF3CB" w14:textId="77777777">
        <w:trPr>
          <w:jc w:val="center"/>
        </w:trPr>
        <w:tc>
          <w:tcPr>
            <w:tcW w:w="2257" w:type="dxa"/>
            <w:shd w:val="clear" w:color="auto" w:fill="F2F6FC"/>
          </w:tcPr>
          <w:p w14:paraId="44FFAF11" w14:textId="77777777" w:rsidR="00AC41AE" w:rsidRDefault="00000000">
            <w:r>
              <w:rPr>
                <w:rFonts w:ascii="Arial" w:hAnsi="Arial"/>
                <w:sz w:val="18"/>
              </w:rPr>
              <w:t>C.10</w:t>
            </w:r>
          </w:p>
        </w:tc>
        <w:tc>
          <w:tcPr>
            <w:tcW w:w="2257" w:type="dxa"/>
            <w:shd w:val="clear" w:color="auto" w:fill="F2F6FC"/>
          </w:tcPr>
          <w:p w14:paraId="1FEBF14D" w14:textId="77777777" w:rsidR="00AC41AE" w:rsidRDefault="00000000">
            <w:r>
              <w:rPr>
                <w:rFonts w:ascii="Arial" w:hAnsi="Arial"/>
                <w:sz w:val="18"/>
              </w:rPr>
              <w:t>Manufacturing — Food</w:t>
            </w:r>
          </w:p>
        </w:tc>
        <w:tc>
          <w:tcPr>
            <w:tcW w:w="2257" w:type="dxa"/>
            <w:shd w:val="clear" w:color="auto" w:fill="F2F6FC"/>
          </w:tcPr>
          <w:p w14:paraId="3994CD72" w14:textId="77777777" w:rsidR="00AC41AE" w:rsidRDefault="00000000">
            <w:r>
              <w:rPr>
                <w:rFonts w:ascii="Arial" w:hAnsi="Arial"/>
                <w:sz w:val="18"/>
              </w:rPr>
              <w:t>Business Loans</w:t>
            </w:r>
          </w:p>
        </w:tc>
        <w:tc>
          <w:tcPr>
            <w:tcW w:w="2257" w:type="dxa"/>
            <w:shd w:val="clear" w:color="auto" w:fill="F2F6FC"/>
          </w:tcPr>
          <w:p w14:paraId="1C9A6A47" w14:textId="77777777" w:rsidR="00AC41AE" w:rsidRDefault="00000000">
            <w:r>
              <w:rPr>
                <w:rFonts w:ascii="Arial" w:hAnsi="Arial"/>
                <w:sz w:val="18"/>
              </w:rPr>
              <w:t>EEIO (Exiobase)</w:t>
            </w:r>
          </w:p>
        </w:tc>
      </w:tr>
      <w:tr w:rsidR="00AC41AE" w14:paraId="4AD7B4A7" w14:textId="77777777">
        <w:trPr>
          <w:jc w:val="center"/>
        </w:trPr>
        <w:tc>
          <w:tcPr>
            <w:tcW w:w="2257" w:type="dxa"/>
          </w:tcPr>
          <w:p w14:paraId="78F48FF4" w14:textId="77777777" w:rsidR="00AC41AE" w:rsidRDefault="00000000">
            <w:r>
              <w:rPr>
                <w:rFonts w:ascii="Arial" w:hAnsi="Arial"/>
                <w:sz w:val="18"/>
              </w:rPr>
              <w:t>L.68</w:t>
            </w:r>
          </w:p>
        </w:tc>
        <w:tc>
          <w:tcPr>
            <w:tcW w:w="2257" w:type="dxa"/>
          </w:tcPr>
          <w:p w14:paraId="59438258" w14:textId="77777777" w:rsidR="00AC41AE" w:rsidRDefault="00000000">
            <w:r>
              <w:rPr>
                <w:rFonts w:ascii="Arial" w:hAnsi="Arial"/>
                <w:sz w:val="18"/>
              </w:rPr>
              <w:t>Real Estate — Commercial</w:t>
            </w:r>
          </w:p>
        </w:tc>
        <w:tc>
          <w:tcPr>
            <w:tcW w:w="2257" w:type="dxa"/>
          </w:tcPr>
          <w:p w14:paraId="0DEC49CE" w14:textId="77777777" w:rsidR="00AC41AE" w:rsidRDefault="00000000">
            <w:r>
              <w:rPr>
                <w:rFonts w:ascii="Arial" w:hAnsi="Arial"/>
                <w:sz w:val="18"/>
              </w:rPr>
              <w:t>Commercial Real Estate</w:t>
            </w:r>
          </w:p>
        </w:tc>
        <w:tc>
          <w:tcPr>
            <w:tcW w:w="2257" w:type="dxa"/>
          </w:tcPr>
          <w:p w14:paraId="3CD82387" w14:textId="77777777" w:rsidR="00AC41AE" w:rsidRDefault="00000000">
            <w:r>
              <w:rPr>
                <w:rFonts w:ascii="Arial" w:hAnsi="Arial"/>
                <w:sz w:val="18"/>
              </w:rPr>
              <w:t>Building EPC</w:t>
            </w:r>
          </w:p>
        </w:tc>
      </w:tr>
      <w:tr w:rsidR="00AC41AE" w14:paraId="6AA4A83B" w14:textId="77777777">
        <w:trPr>
          <w:jc w:val="center"/>
        </w:trPr>
        <w:tc>
          <w:tcPr>
            <w:tcW w:w="2257" w:type="dxa"/>
            <w:shd w:val="clear" w:color="auto" w:fill="F2F6FC"/>
          </w:tcPr>
          <w:p w14:paraId="503A56DD" w14:textId="77777777" w:rsidR="00AC41AE" w:rsidRDefault="00000000">
            <w:r>
              <w:rPr>
                <w:rFonts w:ascii="Arial" w:hAnsi="Arial"/>
                <w:sz w:val="18"/>
              </w:rPr>
              <w:t>L.68.2</w:t>
            </w:r>
          </w:p>
        </w:tc>
        <w:tc>
          <w:tcPr>
            <w:tcW w:w="2257" w:type="dxa"/>
            <w:shd w:val="clear" w:color="auto" w:fill="F2F6FC"/>
          </w:tcPr>
          <w:p w14:paraId="69234136" w14:textId="77777777" w:rsidR="00AC41AE" w:rsidRDefault="00000000">
            <w:r>
              <w:rPr>
                <w:rFonts w:ascii="Arial" w:hAnsi="Arial"/>
                <w:sz w:val="18"/>
              </w:rPr>
              <w:t>Real Estate — Residential</w:t>
            </w:r>
          </w:p>
        </w:tc>
        <w:tc>
          <w:tcPr>
            <w:tcW w:w="2257" w:type="dxa"/>
            <w:shd w:val="clear" w:color="auto" w:fill="F2F6FC"/>
          </w:tcPr>
          <w:p w14:paraId="0889A829" w14:textId="77777777" w:rsidR="00AC41AE" w:rsidRDefault="00000000">
            <w:r>
              <w:rPr>
                <w:rFonts w:ascii="Arial" w:hAnsi="Arial"/>
                <w:sz w:val="18"/>
              </w:rPr>
              <w:t>Mortgages</w:t>
            </w:r>
          </w:p>
        </w:tc>
        <w:tc>
          <w:tcPr>
            <w:tcW w:w="2257" w:type="dxa"/>
            <w:shd w:val="clear" w:color="auto" w:fill="F2F6FC"/>
          </w:tcPr>
          <w:p w14:paraId="2404E3D2" w14:textId="77777777" w:rsidR="00AC41AE" w:rsidRDefault="00000000">
            <w:r>
              <w:rPr>
                <w:rFonts w:ascii="Arial" w:hAnsi="Arial"/>
                <w:sz w:val="18"/>
              </w:rPr>
              <w:t>Building EPC</w:t>
            </w:r>
          </w:p>
        </w:tc>
      </w:tr>
      <w:tr w:rsidR="00AC41AE" w14:paraId="09AFA8A2" w14:textId="77777777">
        <w:trPr>
          <w:jc w:val="center"/>
        </w:trPr>
        <w:tc>
          <w:tcPr>
            <w:tcW w:w="2257" w:type="dxa"/>
          </w:tcPr>
          <w:p w14:paraId="49D6E16F" w14:textId="77777777" w:rsidR="00AC41AE" w:rsidRDefault="00000000">
            <w:r>
              <w:rPr>
                <w:rFonts w:ascii="Arial" w:hAnsi="Arial"/>
                <w:sz w:val="18"/>
              </w:rPr>
              <w:t>H.49</w:t>
            </w:r>
          </w:p>
        </w:tc>
        <w:tc>
          <w:tcPr>
            <w:tcW w:w="2257" w:type="dxa"/>
          </w:tcPr>
          <w:p w14:paraId="53933EC8" w14:textId="77777777" w:rsidR="00AC41AE" w:rsidRDefault="00000000">
            <w:r>
              <w:rPr>
                <w:rFonts w:ascii="Arial" w:hAnsi="Arial"/>
                <w:sz w:val="18"/>
              </w:rPr>
              <w:t>Transportation — Road</w:t>
            </w:r>
          </w:p>
        </w:tc>
        <w:tc>
          <w:tcPr>
            <w:tcW w:w="2257" w:type="dxa"/>
          </w:tcPr>
          <w:p w14:paraId="52DC683B" w14:textId="77777777" w:rsidR="00AC41AE" w:rsidRDefault="00000000">
            <w:r>
              <w:rPr>
                <w:rFonts w:ascii="Arial" w:hAnsi="Arial"/>
                <w:sz w:val="18"/>
              </w:rPr>
              <w:t>Business Loans</w:t>
            </w:r>
          </w:p>
        </w:tc>
        <w:tc>
          <w:tcPr>
            <w:tcW w:w="2257" w:type="dxa"/>
          </w:tcPr>
          <w:p w14:paraId="6C9776A6" w14:textId="77777777" w:rsidR="00AC41AE" w:rsidRDefault="00000000">
            <w:r>
              <w:rPr>
                <w:rFonts w:ascii="Arial" w:hAnsi="Arial"/>
                <w:sz w:val="18"/>
              </w:rPr>
              <w:t>Company Reports</w:t>
            </w:r>
          </w:p>
        </w:tc>
      </w:tr>
      <w:tr w:rsidR="00AC41AE" w14:paraId="554F520B" w14:textId="77777777">
        <w:trPr>
          <w:jc w:val="center"/>
        </w:trPr>
        <w:tc>
          <w:tcPr>
            <w:tcW w:w="2257" w:type="dxa"/>
            <w:shd w:val="clear" w:color="auto" w:fill="F2F6FC"/>
          </w:tcPr>
          <w:p w14:paraId="32E4F8BD" w14:textId="77777777" w:rsidR="00AC41AE" w:rsidRDefault="00000000">
            <w:r>
              <w:rPr>
                <w:rFonts w:ascii="Arial" w:hAnsi="Arial"/>
                <w:sz w:val="18"/>
              </w:rPr>
              <w:t>A.01</w:t>
            </w:r>
          </w:p>
        </w:tc>
        <w:tc>
          <w:tcPr>
            <w:tcW w:w="2257" w:type="dxa"/>
            <w:shd w:val="clear" w:color="auto" w:fill="F2F6FC"/>
          </w:tcPr>
          <w:p w14:paraId="152732BE" w14:textId="77777777" w:rsidR="00AC41AE" w:rsidRDefault="00000000">
            <w:r>
              <w:rPr>
                <w:rFonts w:ascii="Arial" w:hAnsi="Arial"/>
                <w:sz w:val="18"/>
              </w:rPr>
              <w:t>Agriculture</w:t>
            </w:r>
          </w:p>
        </w:tc>
        <w:tc>
          <w:tcPr>
            <w:tcW w:w="2257" w:type="dxa"/>
            <w:shd w:val="clear" w:color="auto" w:fill="F2F6FC"/>
          </w:tcPr>
          <w:p w14:paraId="1BD272D3" w14:textId="77777777" w:rsidR="00AC41AE" w:rsidRDefault="00000000">
            <w:r>
              <w:rPr>
                <w:rFonts w:ascii="Arial" w:hAnsi="Arial"/>
                <w:sz w:val="18"/>
              </w:rPr>
              <w:t>Business Loans</w:t>
            </w:r>
          </w:p>
        </w:tc>
        <w:tc>
          <w:tcPr>
            <w:tcW w:w="2257" w:type="dxa"/>
            <w:shd w:val="clear" w:color="auto" w:fill="F2F6FC"/>
          </w:tcPr>
          <w:p w14:paraId="738BCD49" w14:textId="77777777" w:rsidR="00AC41AE" w:rsidRDefault="00000000">
            <w:r>
              <w:rPr>
                <w:rFonts w:ascii="Arial" w:hAnsi="Arial"/>
                <w:sz w:val="18"/>
              </w:rPr>
              <w:t>EEIO (Exiobase)</w:t>
            </w:r>
          </w:p>
        </w:tc>
      </w:tr>
      <w:tr w:rsidR="00AC41AE" w14:paraId="26A8F236" w14:textId="77777777">
        <w:trPr>
          <w:jc w:val="center"/>
        </w:trPr>
        <w:tc>
          <w:tcPr>
            <w:tcW w:w="2257" w:type="dxa"/>
          </w:tcPr>
          <w:p w14:paraId="5F0B58D2" w14:textId="77777777" w:rsidR="00AC41AE" w:rsidRDefault="00000000">
            <w:r>
              <w:rPr>
                <w:rFonts w:ascii="Arial" w:hAnsi="Arial"/>
                <w:sz w:val="18"/>
              </w:rPr>
              <w:t>G.47</w:t>
            </w:r>
          </w:p>
        </w:tc>
        <w:tc>
          <w:tcPr>
            <w:tcW w:w="2257" w:type="dxa"/>
          </w:tcPr>
          <w:p w14:paraId="515B4E8C" w14:textId="77777777" w:rsidR="00AC41AE" w:rsidRDefault="00000000">
            <w:r>
              <w:rPr>
                <w:rFonts w:ascii="Arial" w:hAnsi="Arial"/>
                <w:sz w:val="18"/>
              </w:rPr>
              <w:t>Retail Trade</w:t>
            </w:r>
          </w:p>
        </w:tc>
        <w:tc>
          <w:tcPr>
            <w:tcW w:w="2257" w:type="dxa"/>
          </w:tcPr>
          <w:p w14:paraId="36E13E08" w14:textId="77777777" w:rsidR="00AC41AE" w:rsidRDefault="00000000">
            <w:r>
              <w:rPr>
                <w:rFonts w:ascii="Arial" w:hAnsi="Arial"/>
                <w:sz w:val="18"/>
              </w:rPr>
              <w:t>Business Loans</w:t>
            </w:r>
          </w:p>
        </w:tc>
        <w:tc>
          <w:tcPr>
            <w:tcW w:w="2257" w:type="dxa"/>
          </w:tcPr>
          <w:p w14:paraId="7A158554" w14:textId="77777777" w:rsidR="00AC41AE" w:rsidRDefault="00000000">
            <w:r>
              <w:rPr>
                <w:rFonts w:ascii="Arial" w:hAnsi="Arial"/>
                <w:sz w:val="18"/>
              </w:rPr>
              <w:t>EEIO (Exiobase)</w:t>
            </w:r>
          </w:p>
        </w:tc>
      </w:tr>
      <w:tr w:rsidR="00AC41AE" w14:paraId="0783089F" w14:textId="77777777">
        <w:trPr>
          <w:jc w:val="center"/>
        </w:trPr>
        <w:tc>
          <w:tcPr>
            <w:tcW w:w="2257" w:type="dxa"/>
            <w:shd w:val="clear" w:color="auto" w:fill="F2F6FC"/>
          </w:tcPr>
          <w:p w14:paraId="3A60BD7C" w14:textId="77777777" w:rsidR="00AC41AE" w:rsidRDefault="00000000">
            <w:r>
              <w:rPr>
                <w:rFonts w:ascii="Arial" w:hAnsi="Arial"/>
                <w:sz w:val="18"/>
              </w:rPr>
              <w:t>K.64</w:t>
            </w:r>
          </w:p>
        </w:tc>
        <w:tc>
          <w:tcPr>
            <w:tcW w:w="2257" w:type="dxa"/>
            <w:shd w:val="clear" w:color="auto" w:fill="F2F6FC"/>
          </w:tcPr>
          <w:p w14:paraId="2C521CE8" w14:textId="77777777" w:rsidR="00AC41AE" w:rsidRDefault="00000000">
            <w:r>
              <w:rPr>
                <w:rFonts w:ascii="Arial" w:hAnsi="Arial"/>
                <w:sz w:val="18"/>
              </w:rPr>
              <w:t>Financial Services</w:t>
            </w:r>
          </w:p>
        </w:tc>
        <w:tc>
          <w:tcPr>
            <w:tcW w:w="2257" w:type="dxa"/>
            <w:shd w:val="clear" w:color="auto" w:fill="F2F6FC"/>
          </w:tcPr>
          <w:p w14:paraId="652BC878" w14:textId="77777777" w:rsidR="00AC41AE" w:rsidRDefault="00000000">
            <w:r>
              <w:rPr>
                <w:rFonts w:ascii="Arial" w:hAnsi="Arial"/>
                <w:sz w:val="18"/>
              </w:rPr>
              <w:t>Business Loans</w:t>
            </w:r>
          </w:p>
        </w:tc>
        <w:tc>
          <w:tcPr>
            <w:tcW w:w="2257" w:type="dxa"/>
            <w:shd w:val="clear" w:color="auto" w:fill="F2F6FC"/>
          </w:tcPr>
          <w:p w14:paraId="5BB69BC7" w14:textId="77777777" w:rsidR="00AC41AE" w:rsidRDefault="00000000">
            <w:r>
              <w:rPr>
                <w:rFonts w:ascii="Arial" w:hAnsi="Arial"/>
                <w:sz w:val="18"/>
              </w:rPr>
              <w:t>Company Reports</w:t>
            </w:r>
          </w:p>
        </w:tc>
      </w:tr>
    </w:tbl>
    <w:p w14:paraId="48EE81BF" w14:textId="77777777" w:rsidR="00AC41AE" w:rsidRDefault="00AC41AE"/>
    <w:p w14:paraId="00F448E5" w14:textId="77777777" w:rsidR="00AC41AE" w:rsidRDefault="00000000">
      <w:r>
        <w:br w:type="page"/>
      </w:r>
    </w:p>
    <w:p w14:paraId="369D17C3" w14:textId="77777777" w:rsidR="00AC41AE" w:rsidRDefault="00000000">
      <w:pPr>
        <w:pStyle w:val="Heading1"/>
        <w:spacing w:after="240"/>
      </w:pPr>
      <w:bookmarkStart w:id="37" w:name="_Toc232152632"/>
      <w:r>
        <w:rPr>
          <w:rFonts w:ascii="Arial" w:hAnsi="Arial"/>
          <w:color w:val="1B3A6B"/>
          <w:sz w:val="36"/>
        </w:rPr>
        <w:lastRenderedPageBreak/>
        <w:t>Appendix D: GRI Content Index</w:t>
      </w:r>
      <w:bookmarkEnd w:id="37"/>
    </w:p>
    <w:p w14:paraId="43A571E0" w14:textId="77777777" w:rsidR="00AC41AE" w:rsidRDefault="00000000">
      <w:pPr>
        <w:spacing w:after="160"/>
      </w:pPr>
      <w:r>
        <w:t>This report has been prepared with reference to the GRI Standards (2021). GRI 102: Climate Change 2025 supersedes GRI 305 effective 1 January 2027.</w:t>
      </w:r>
    </w:p>
    <w:p w14:paraId="3D0E821B" w14:textId="77777777" w:rsidR="00AC41AE" w:rsidRDefault="00000000">
      <w:r>
        <w:rPr>
          <w:rFonts w:ascii="Arial" w:hAnsi="Arial"/>
          <w:b/>
          <w:sz w:val="20"/>
        </w:rPr>
        <w:t>Table 72: GRI Standards Content Index</w:t>
      </w:r>
    </w:p>
    <w:tbl>
      <w:tblPr>
        <w:tblW w:w="0" w:type="auto"/>
        <w:jc w:val="center"/>
        <w:tblLook w:val="04A0" w:firstRow="1" w:lastRow="0" w:firstColumn="1" w:lastColumn="0" w:noHBand="0" w:noVBand="1"/>
      </w:tblPr>
      <w:tblGrid>
        <w:gridCol w:w="2257"/>
        <w:gridCol w:w="2257"/>
        <w:gridCol w:w="2257"/>
        <w:gridCol w:w="2257"/>
      </w:tblGrid>
      <w:tr w:rsidR="00AC41AE" w14:paraId="736C8D76" w14:textId="77777777">
        <w:trPr>
          <w:jc w:val="center"/>
        </w:trPr>
        <w:tc>
          <w:tcPr>
            <w:tcW w:w="2257" w:type="dxa"/>
            <w:shd w:val="clear" w:color="auto" w:fill="1B3A6B"/>
          </w:tcPr>
          <w:p w14:paraId="70A21694" w14:textId="77777777" w:rsidR="00AC41AE" w:rsidRDefault="00000000">
            <w:r>
              <w:rPr>
                <w:rFonts w:ascii="Arial" w:hAnsi="Arial"/>
                <w:b/>
                <w:color w:val="FFFFFF"/>
                <w:sz w:val="18"/>
              </w:rPr>
              <w:t>GRI Standard</w:t>
            </w:r>
          </w:p>
        </w:tc>
        <w:tc>
          <w:tcPr>
            <w:tcW w:w="2257" w:type="dxa"/>
            <w:shd w:val="clear" w:color="auto" w:fill="1B3A6B"/>
          </w:tcPr>
          <w:p w14:paraId="154924A1" w14:textId="77777777" w:rsidR="00AC41AE" w:rsidRDefault="00000000">
            <w:r>
              <w:rPr>
                <w:rFonts w:ascii="Arial" w:hAnsi="Arial"/>
                <w:b/>
                <w:color w:val="FFFFFF"/>
                <w:sz w:val="18"/>
              </w:rPr>
              <w:t>Disclosure</w:t>
            </w:r>
          </w:p>
        </w:tc>
        <w:tc>
          <w:tcPr>
            <w:tcW w:w="2257" w:type="dxa"/>
            <w:shd w:val="clear" w:color="auto" w:fill="1B3A6B"/>
          </w:tcPr>
          <w:p w14:paraId="320EE784" w14:textId="77777777" w:rsidR="00AC41AE" w:rsidRDefault="00000000">
            <w:r>
              <w:rPr>
                <w:rFonts w:ascii="Arial" w:hAnsi="Arial"/>
                <w:b/>
                <w:color w:val="FFFFFF"/>
                <w:sz w:val="18"/>
              </w:rPr>
              <w:t>Section</w:t>
            </w:r>
          </w:p>
        </w:tc>
        <w:tc>
          <w:tcPr>
            <w:tcW w:w="2257" w:type="dxa"/>
            <w:shd w:val="clear" w:color="auto" w:fill="1B3A6B"/>
          </w:tcPr>
          <w:p w14:paraId="00D4812F" w14:textId="77777777" w:rsidR="00AC41AE" w:rsidRDefault="00000000">
            <w:r>
              <w:rPr>
                <w:rFonts w:ascii="Arial" w:hAnsi="Arial"/>
                <w:b/>
                <w:color w:val="FFFFFF"/>
                <w:sz w:val="18"/>
              </w:rPr>
              <w:t>Status</w:t>
            </w:r>
          </w:p>
        </w:tc>
      </w:tr>
      <w:tr w:rsidR="00AC41AE" w14:paraId="52CE5F18" w14:textId="77777777">
        <w:trPr>
          <w:jc w:val="center"/>
        </w:trPr>
        <w:tc>
          <w:tcPr>
            <w:tcW w:w="2257" w:type="dxa"/>
          </w:tcPr>
          <w:p w14:paraId="267BDA36" w14:textId="77777777" w:rsidR="00AC41AE" w:rsidRDefault="00000000">
            <w:r>
              <w:rPr>
                <w:rFonts w:ascii="Arial" w:hAnsi="Arial"/>
                <w:sz w:val="18"/>
              </w:rPr>
              <w:t>GRI 2-7</w:t>
            </w:r>
          </w:p>
        </w:tc>
        <w:tc>
          <w:tcPr>
            <w:tcW w:w="2257" w:type="dxa"/>
          </w:tcPr>
          <w:p w14:paraId="786F0FAC" w14:textId="77777777" w:rsidR="00AC41AE" w:rsidRDefault="00000000">
            <w:r>
              <w:rPr>
                <w:rFonts w:ascii="Arial" w:hAnsi="Arial"/>
                <w:sz w:val="18"/>
              </w:rPr>
              <w:t>Employees</w:t>
            </w:r>
          </w:p>
        </w:tc>
        <w:tc>
          <w:tcPr>
            <w:tcW w:w="2257" w:type="dxa"/>
          </w:tcPr>
          <w:p w14:paraId="57B93351" w14:textId="77777777" w:rsidR="00AC41AE" w:rsidRDefault="00000000">
            <w:r>
              <w:rPr>
                <w:rFonts w:ascii="Arial" w:hAnsi="Arial"/>
                <w:sz w:val="18"/>
              </w:rPr>
              <w:t>Social</w:t>
            </w:r>
          </w:p>
        </w:tc>
        <w:tc>
          <w:tcPr>
            <w:tcW w:w="2257" w:type="dxa"/>
          </w:tcPr>
          <w:p w14:paraId="76F291C0" w14:textId="77777777" w:rsidR="00AC41AE" w:rsidRDefault="00000000">
            <w:r>
              <w:rPr>
                <w:rFonts w:ascii="Arial" w:hAnsi="Arial"/>
                <w:sz w:val="18"/>
              </w:rPr>
              <w:t>✅ Disclosed</w:t>
            </w:r>
          </w:p>
        </w:tc>
      </w:tr>
      <w:tr w:rsidR="00AC41AE" w14:paraId="5425FD6D" w14:textId="77777777">
        <w:trPr>
          <w:jc w:val="center"/>
        </w:trPr>
        <w:tc>
          <w:tcPr>
            <w:tcW w:w="2257" w:type="dxa"/>
            <w:shd w:val="clear" w:color="auto" w:fill="F2F6FC"/>
          </w:tcPr>
          <w:p w14:paraId="52230EBC" w14:textId="77777777" w:rsidR="00AC41AE" w:rsidRDefault="00000000">
            <w:r>
              <w:rPr>
                <w:rFonts w:ascii="Arial" w:hAnsi="Arial"/>
                <w:sz w:val="18"/>
              </w:rPr>
              <w:t>GRI 305-1</w:t>
            </w:r>
          </w:p>
        </w:tc>
        <w:tc>
          <w:tcPr>
            <w:tcW w:w="2257" w:type="dxa"/>
            <w:shd w:val="clear" w:color="auto" w:fill="F2F6FC"/>
          </w:tcPr>
          <w:p w14:paraId="25F9152B" w14:textId="77777777" w:rsidR="00AC41AE" w:rsidRDefault="00000000">
            <w:r>
              <w:rPr>
                <w:rFonts w:ascii="Arial" w:hAnsi="Arial"/>
                <w:sz w:val="18"/>
              </w:rPr>
              <w:t>Direct (Scope 1) GHG emissions</w:t>
            </w:r>
          </w:p>
        </w:tc>
        <w:tc>
          <w:tcPr>
            <w:tcW w:w="2257" w:type="dxa"/>
            <w:shd w:val="clear" w:color="auto" w:fill="F2F6FC"/>
          </w:tcPr>
          <w:p w14:paraId="5FADE86A" w14:textId="77777777" w:rsidR="00AC41AE" w:rsidRDefault="00000000">
            <w:r>
              <w:rPr>
                <w:rFonts w:ascii="Arial" w:hAnsi="Arial"/>
                <w:sz w:val="18"/>
              </w:rPr>
              <w:t>Scope 1</w:t>
            </w:r>
          </w:p>
        </w:tc>
        <w:tc>
          <w:tcPr>
            <w:tcW w:w="2257" w:type="dxa"/>
            <w:shd w:val="clear" w:color="auto" w:fill="F2F6FC"/>
          </w:tcPr>
          <w:p w14:paraId="2DBA0386" w14:textId="77777777" w:rsidR="00AC41AE" w:rsidRDefault="00000000">
            <w:r>
              <w:rPr>
                <w:rFonts w:ascii="Arial" w:hAnsi="Arial"/>
                <w:sz w:val="18"/>
              </w:rPr>
              <w:t>✅ Disclosed</w:t>
            </w:r>
          </w:p>
        </w:tc>
      </w:tr>
      <w:tr w:rsidR="00AC41AE" w14:paraId="2ADE833D" w14:textId="77777777">
        <w:trPr>
          <w:jc w:val="center"/>
        </w:trPr>
        <w:tc>
          <w:tcPr>
            <w:tcW w:w="2257" w:type="dxa"/>
          </w:tcPr>
          <w:p w14:paraId="50781EF4" w14:textId="77777777" w:rsidR="00AC41AE" w:rsidRDefault="00000000">
            <w:r>
              <w:rPr>
                <w:rFonts w:ascii="Arial" w:hAnsi="Arial"/>
                <w:sz w:val="18"/>
              </w:rPr>
              <w:t>GRI 305-1a</w:t>
            </w:r>
          </w:p>
        </w:tc>
        <w:tc>
          <w:tcPr>
            <w:tcW w:w="2257" w:type="dxa"/>
          </w:tcPr>
          <w:p w14:paraId="2B48671C" w14:textId="77777777" w:rsidR="00AC41AE" w:rsidRDefault="00000000">
            <w:r>
              <w:rPr>
                <w:rFonts w:ascii="Arial" w:hAnsi="Arial"/>
                <w:sz w:val="18"/>
              </w:rPr>
              <w:t>Gross Scope 1 in tCO₂e</w:t>
            </w:r>
          </w:p>
        </w:tc>
        <w:tc>
          <w:tcPr>
            <w:tcW w:w="2257" w:type="dxa"/>
          </w:tcPr>
          <w:p w14:paraId="13A8694D" w14:textId="77777777" w:rsidR="00AC41AE" w:rsidRDefault="00000000">
            <w:r>
              <w:rPr>
                <w:rFonts w:ascii="Arial" w:hAnsi="Arial"/>
                <w:sz w:val="18"/>
              </w:rPr>
              <w:t>Scope 1</w:t>
            </w:r>
          </w:p>
        </w:tc>
        <w:tc>
          <w:tcPr>
            <w:tcW w:w="2257" w:type="dxa"/>
          </w:tcPr>
          <w:p w14:paraId="3EDC776E" w14:textId="77777777" w:rsidR="00AC41AE" w:rsidRDefault="00000000">
            <w:r>
              <w:rPr>
                <w:rFonts w:ascii="Arial" w:hAnsi="Arial"/>
                <w:sz w:val="18"/>
              </w:rPr>
              <w:t>✅ Disclosed</w:t>
            </w:r>
          </w:p>
        </w:tc>
      </w:tr>
      <w:tr w:rsidR="00AC41AE" w14:paraId="47C740B9" w14:textId="77777777">
        <w:trPr>
          <w:jc w:val="center"/>
        </w:trPr>
        <w:tc>
          <w:tcPr>
            <w:tcW w:w="2257" w:type="dxa"/>
            <w:shd w:val="clear" w:color="auto" w:fill="F2F6FC"/>
          </w:tcPr>
          <w:p w14:paraId="355D918E" w14:textId="77777777" w:rsidR="00AC41AE" w:rsidRDefault="00000000">
            <w:r>
              <w:rPr>
                <w:rFonts w:ascii="Arial" w:hAnsi="Arial"/>
                <w:sz w:val="18"/>
              </w:rPr>
              <w:t>GRI 305-1b</w:t>
            </w:r>
          </w:p>
        </w:tc>
        <w:tc>
          <w:tcPr>
            <w:tcW w:w="2257" w:type="dxa"/>
            <w:shd w:val="clear" w:color="auto" w:fill="F2F6FC"/>
          </w:tcPr>
          <w:p w14:paraId="61A5B89E" w14:textId="77777777" w:rsidR="00AC41AE" w:rsidRDefault="00000000">
            <w:r>
              <w:rPr>
                <w:rFonts w:ascii="Arial" w:hAnsi="Arial"/>
                <w:sz w:val="18"/>
              </w:rPr>
              <w:t>Gases included (CO₂, CH₄, N₂O)</w:t>
            </w:r>
          </w:p>
        </w:tc>
        <w:tc>
          <w:tcPr>
            <w:tcW w:w="2257" w:type="dxa"/>
            <w:shd w:val="clear" w:color="auto" w:fill="F2F6FC"/>
          </w:tcPr>
          <w:p w14:paraId="2DA882E8" w14:textId="77777777" w:rsidR="00AC41AE" w:rsidRDefault="00000000">
            <w:r>
              <w:rPr>
                <w:rFonts w:ascii="Arial" w:hAnsi="Arial"/>
                <w:sz w:val="18"/>
              </w:rPr>
              <w:t>Scope 1</w:t>
            </w:r>
          </w:p>
        </w:tc>
        <w:tc>
          <w:tcPr>
            <w:tcW w:w="2257" w:type="dxa"/>
            <w:shd w:val="clear" w:color="auto" w:fill="F2F6FC"/>
          </w:tcPr>
          <w:p w14:paraId="34B2BB46" w14:textId="77777777" w:rsidR="00AC41AE" w:rsidRDefault="00000000">
            <w:r>
              <w:rPr>
                <w:rFonts w:ascii="Arial" w:hAnsi="Arial"/>
                <w:sz w:val="18"/>
              </w:rPr>
              <w:t>✅ Disclosed</w:t>
            </w:r>
          </w:p>
        </w:tc>
      </w:tr>
      <w:tr w:rsidR="00AC41AE" w14:paraId="02C957D0" w14:textId="77777777">
        <w:trPr>
          <w:jc w:val="center"/>
        </w:trPr>
        <w:tc>
          <w:tcPr>
            <w:tcW w:w="2257" w:type="dxa"/>
          </w:tcPr>
          <w:p w14:paraId="420AE04F" w14:textId="77777777" w:rsidR="00AC41AE" w:rsidRDefault="00000000">
            <w:r>
              <w:rPr>
                <w:rFonts w:ascii="Arial" w:hAnsi="Arial"/>
                <w:sz w:val="18"/>
              </w:rPr>
              <w:t>GRI 305-1e</w:t>
            </w:r>
          </w:p>
        </w:tc>
        <w:tc>
          <w:tcPr>
            <w:tcW w:w="2257" w:type="dxa"/>
          </w:tcPr>
          <w:p w14:paraId="364C0E24" w14:textId="77777777" w:rsidR="00AC41AE" w:rsidRDefault="00000000">
            <w:r>
              <w:rPr>
                <w:rFonts w:ascii="Arial" w:hAnsi="Arial"/>
                <w:sz w:val="18"/>
              </w:rPr>
              <w:t>Emission factors &amp; GWP source</w:t>
            </w:r>
          </w:p>
        </w:tc>
        <w:tc>
          <w:tcPr>
            <w:tcW w:w="2257" w:type="dxa"/>
          </w:tcPr>
          <w:p w14:paraId="1EC753F2" w14:textId="77777777" w:rsidR="00AC41AE" w:rsidRDefault="00000000">
            <w:r>
              <w:rPr>
                <w:rFonts w:ascii="Arial" w:hAnsi="Arial"/>
                <w:sz w:val="18"/>
              </w:rPr>
              <w:t>Appendix A</w:t>
            </w:r>
          </w:p>
        </w:tc>
        <w:tc>
          <w:tcPr>
            <w:tcW w:w="2257" w:type="dxa"/>
          </w:tcPr>
          <w:p w14:paraId="5FEC2EB9" w14:textId="77777777" w:rsidR="00AC41AE" w:rsidRDefault="00000000">
            <w:r>
              <w:rPr>
                <w:rFonts w:ascii="Arial" w:hAnsi="Arial"/>
                <w:sz w:val="18"/>
              </w:rPr>
              <w:t>✅ Disclosed</w:t>
            </w:r>
          </w:p>
        </w:tc>
      </w:tr>
      <w:tr w:rsidR="00AC41AE" w14:paraId="6207214F" w14:textId="77777777">
        <w:trPr>
          <w:jc w:val="center"/>
        </w:trPr>
        <w:tc>
          <w:tcPr>
            <w:tcW w:w="2257" w:type="dxa"/>
            <w:shd w:val="clear" w:color="auto" w:fill="F2F6FC"/>
          </w:tcPr>
          <w:p w14:paraId="013A698F" w14:textId="77777777" w:rsidR="00AC41AE" w:rsidRDefault="00000000">
            <w:r>
              <w:rPr>
                <w:rFonts w:ascii="Arial" w:hAnsi="Arial"/>
                <w:sz w:val="18"/>
              </w:rPr>
              <w:t>GRI 305-1f</w:t>
            </w:r>
          </w:p>
        </w:tc>
        <w:tc>
          <w:tcPr>
            <w:tcW w:w="2257" w:type="dxa"/>
            <w:shd w:val="clear" w:color="auto" w:fill="F2F6FC"/>
          </w:tcPr>
          <w:p w14:paraId="38F03FC2" w14:textId="77777777" w:rsidR="00AC41AE" w:rsidRDefault="00000000">
            <w:r>
              <w:rPr>
                <w:rFonts w:ascii="Arial" w:hAnsi="Arial"/>
                <w:sz w:val="18"/>
              </w:rPr>
              <w:t>Consolidation approach</w:t>
            </w:r>
          </w:p>
        </w:tc>
        <w:tc>
          <w:tcPr>
            <w:tcW w:w="2257" w:type="dxa"/>
            <w:shd w:val="clear" w:color="auto" w:fill="F2F6FC"/>
          </w:tcPr>
          <w:p w14:paraId="73CAD7C6" w14:textId="77777777" w:rsidR="00AC41AE" w:rsidRDefault="00000000">
            <w:r>
              <w:rPr>
                <w:rFonts w:ascii="Arial" w:hAnsi="Arial"/>
                <w:sz w:val="18"/>
              </w:rPr>
              <w:t>Appendix A</w:t>
            </w:r>
          </w:p>
        </w:tc>
        <w:tc>
          <w:tcPr>
            <w:tcW w:w="2257" w:type="dxa"/>
            <w:shd w:val="clear" w:color="auto" w:fill="F2F6FC"/>
          </w:tcPr>
          <w:p w14:paraId="47C4C003" w14:textId="77777777" w:rsidR="00AC41AE" w:rsidRDefault="00000000">
            <w:r>
              <w:rPr>
                <w:rFonts w:ascii="Arial" w:hAnsi="Arial"/>
                <w:sz w:val="18"/>
              </w:rPr>
              <w:t>✅ Disclosed</w:t>
            </w:r>
          </w:p>
        </w:tc>
      </w:tr>
      <w:tr w:rsidR="00AC41AE" w14:paraId="6FCCCBE4" w14:textId="77777777">
        <w:trPr>
          <w:jc w:val="center"/>
        </w:trPr>
        <w:tc>
          <w:tcPr>
            <w:tcW w:w="2257" w:type="dxa"/>
          </w:tcPr>
          <w:p w14:paraId="4695B4F5" w14:textId="77777777" w:rsidR="00AC41AE" w:rsidRDefault="00000000">
            <w:r>
              <w:rPr>
                <w:rFonts w:ascii="Arial" w:hAnsi="Arial"/>
                <w:sz w:val="18"/>
              </w:rPr>
              <w:t>GRI 305-1g</w:t>
            </w:r>
          </w:p>
        </w:tc>
        <w:tc>
          <w:tcPr>
            <w:tcW w:w="2257" w:type="dxa"/>
          </w:tcPr>
          <w:p w14:paraId="784BEC00" w14:textId="77777777" w:rsidR="00AC41AE" w:rsidRDefault="00000000">
            <w:r>
              <w:rPr>
                <w:rFonts w:ascii="Arial" w:hAnsi="Arial"/>
                <w:sz w:val="18"/>
              </w:rPr>
              <w:t>Standards used</w:t>
            </w:r>
          </w:p>
        </w:tc>
        <w:tc>
          <w:tcPr>
            <w:tcW w:w="2257" w:type="dxa"/>
          </w:tcPr>
          <w:p w14:paraId="13A9A367" w14:textId="77777777" w:rsidR="00AC41AE" w:rsidRDefault="00000000">
            <w:r>
              <w:rPr>
                <w:rFonts w:ascii="Arial" w:hAnsi="Arial"/>
                <w:sz w:val="18"/>
              </w:rPr>
              <w:t>Appendix A</w:t>
            </w:r>
          </w:p>
        </w:tc>
        <w:tc>
          <w:tcPr>
            <w:tcW w:w="2257" w:type="dxa"/>
          </w:tcPr>
          <w:p w14:paraId="6DEE735E" w14:textId="77777777" w:rsidR="00AC41AE" w:rsidRDefault="00000000">
            <w:r>
              <w:rPr>
                <w:rFonts w:ascii="Arial" w:hAnsi="Arial"/>
                <w:sz w:val="18"/>
              </w:rPr>
              <w:t>✅ Disclosed</w:t>
            </w:r>
          </w:p>
        </w:tc>
      </w:tr>
      <w:tr w:rsidR="00AC41AE" w14:paraId="493A1311" w14:textId="77777777">
        <w:trPr>
          <w:jc w:val="center"/>
        </w:trPr>
        <w:tc>
          <w:tcPr>
            <w:tcW w:w="2257" w:type="dxa"/>
            <w:shd w:val="clear" w:color="auto" w:fill="F2F6FC"/>
          </w:tcPr>
          <w:p w14:paraId="1EB6D5A7" w14:textId="77777777" w:rsidR="00AC41AE" w:rsidRDefault="00000000">
            <w:r>
              <w:rPr>
                <w:rFonts w:ascii="Arial" w:hAnsi="Arial"/>
                <w:sz w:val="18"/>
              </w:rPr>
              <w:t>GRI 305-2</w:t>
            </w:r>
          </w:p>
        </w:tc>
        <w:tc>
          <w:tcPr>
            <w:tcW w:w="2257" w:type="dxa"/>
            <w:shd w:val="clear" w:color="auto" w:fill="F2F6FC"/>
          </w:tcPr>
          <w:p w14:paraId="672F29D4" w14:textId="77777777" w:rsidR="00AC41AE" w:rsidRDefault="00000000">
            <w:r>
              <w:rPr>
                <w:rFonts w:ascii="Arial" w:hAnsi="Arial"/>
                <w:sz w:val="18"/>
              </w:rPr>
              <w:t>Energy indirect (Scope 2)</w:t>
            </w:r>
          </w:p>
        </w:tc>
        <w:tc>
          <w:tcPr>
            <w:tcW w:w="2257" w:type="dxa"/>
            <w:shd w:val="clear" w:color="auto" w:fill="F2F6FC"/>
          </w:tcPr>
          <w:p w14:paraId="176492C5" w14:textId="77777777" w:rsidR="00AC41AE" w:rsidRDefault="00000000">
            <w:r>
              <w:rPr>
                <w:rFonts w:ascii="Arial" w:hAnsi="Arial"/>
                <w:sz w:val="18"/>
              </w:rPr>
              <w:t>Scope 2</w:t>
            </w:r>
          </w:p>
        </w:tc>
        <w:tc>
          <w:tcPr>
            <w:tcW w:w="2257" w:type="dxa"/>
            <w:shd w:val="clear" w:color="auto" w:fill="F2F6FC"/>
          </w:tcPr>
          <w:p w14:paraId="085F4080" w14:textId="77777777" w:rsidR="00AC41AE" w:rsidRDefault="00000000">
            <w:r>
              <w:rPr>
                <w:rFonts w:ascii="Arial" w:hAnsi="Arial"/>
                <w:sz w:val="18"/>
              </w:rPr>
              <w:t>✅ Disclosed</w:t>
            </w:r>
          </w:p>
        </w:tc>
      </w:tr>
      <w:tr w:rsidR="00AC41AE" w14:paraId="238EFF12" w14:textId="77777777">
        <w:trPr>
          <w:jc w:val="center"/>
        </w:trPr>
        <w:tc>
          <w:tcPr>
            <w:tcW w:w="2257" w:type="dxa"/>
          </w:tcPr>
          <w:p w14:paraId="53FA3F3A" w14:textId="77777777" w:rsidR="00AC41AE" w:rsidRDefault="00000000">
            <w:r>
              <w:rPr>
                <w:rFonts w:ascii="Arial" w:hAnsi="Arial"/>
                <w:sz w:val="18"/>
              </w:rPr>
              <w:t>GRI 305-2a</w:t>
            </w:r>
          </w:p>
        </w:tc>
        <w:tc>
          <w:tcPr>
            <w:tcW w:w="2257" w:type="dxa"/>
          </w:tcPr>
          <w:p w14:paraId="42587BEC" w14:textId="77777777" w:rsidR="00AC41AE" w:rsidRDefault="00000000">
            <w:r>
              <w:rPr>
                <w:rFonts w:ascii="Arial" w:hAnsi="Arial"/>
                <w:sz w:val="18"/>
              </w:rPr>
              <w:t>Location-based + Market-based</w:t>
            </w:r>
          </w:p>
        </w:tc>
        <w:tc>
          <w:tcPr>
            <w:tcW w:w="2257" w:type="dxa"/>
          </w:tcPr>
          <w:p w14:paraId="5796DD22" w14:textId="77777777" w:rsidR="00AC41AE" w:rsidRDefault="00000000">
            <w:r>
              <w:rPr>
                <w:rFonts w:ascii="Arial" w:hAnsi="Arial"/>
                <w:sz w:val="18"/>
              </w:rPr>
              <w:t>Scope 2</w:t>
            </w:r>
          </w:p>
        </w:tc>
        <w:tc>
          <w:tcPr>
            <w:tcW w:w="2257" w:type="dxa"/>
          </w:tcPr>
          <w:p w14:paraId="51AE375E" w14:textId="77777777" w:rsidR="00AC41AE" w:rsidRDefault="00000000">
            <w:r>
              <w:rPr>
                <w:rFonts w:ascii="Arial" w:hAnsi="Arial"/>
                <w:sz w:val="18"/>
              </w:rPr>
              <w:t>✅ Disclosed</w:t>
            </w:r>
          </w:p>
        </w:tc>
      </w:tr>
      <w:tr w:rsidR="00AC41AE" w14:paraId="7D415826" w14:textId="77777777">
        <w:trPr>
          <w:jc w:val="center"/>
        </w:trPr>
        <w:tc>
          <w:tcPr>
            <w:tcW w:w="2257" w:type="dxa"/>
            <w:shd w:val="clear" w:color="auto" w:fill="F2F6FC"/>
          </w:tcPr>
          <w:p w14:paraId="3FDC1AEC" w14:textId="77777777" w:rsidR="00AC41AE" w:rsidRDefault="00000000">
            <w:r>
              <w:rPr>
                <w:rFonts w:ascii="Arial" w:hAnsi="Arial"/>
                <w:sz w:val="18"/>
              </w:rPr>
              <w:t>GRI 305-3</w:t>
            </w:r>
          </w:p>
        </w:tc>
        <w:tc>
          <w:tcPr>
            <w:tcW w:w="2257" w:type="dxa"/>
            <w:shd w:val="clear" w:color="auto" w:fill="F2F6FC"/>
          </w:tcPr>
          <w:p w14:paraId="7A01B136" w14:textId="77777777" w:rsidR="00AC41AE" w:rsidRDefault="00000000">
            <w:r>
              <w:rPr>
                <w:rFonts w:ascii="Arial" w:hAnsi="Arial"/>
                <w:sz w:val="18"/>
              </w:rPr>
              <w:t>Other indirect (Scope 3)</w:t>
            </w:r>
          </w:p>
        </w:tc>
        <w:tc>
          <w:tcPr>
            <w:tcW w:w="2257" w:type="dxa"/>
            <w:shd w:val="clear" w:color="auto" w:fill="F2F6FC"/>
          </w:tcPr>
          <w:p w14:paraId="2DF870E2" w14:textId="77777777" w:rsidR="00AC41AE" w:rsidRDefault="00000000">
            <w:r>
              <w:rPr>
                <w:rFonts w:ascii="Arial" w:hAnsi="Arial"/>
                <w:sz w:val="18"/>
              </w:rPr>
              <w:t>PCAF / Scope 3</w:t>
            </w:r>
          </w:p>
        </w:tc>
        <w:tc>
          <w:tcPr>
            <w:tcW w:w="2257" w:type="dxa"/>
            <w:shd w:val="clear" w:color="auto" w:fill="F2F6FC"/>
          </w:tcPr>
          <w:p w14:paraId="2F0F6924" w14:textId="77777777" w:rsidR="00AC41AE" w:rsidRDefault="00000000">
            <w:r>
              <w:rPr>
                <w:rFonts w:ascii="Arial" w:hAnsi="Arial"/>
                <w:sz w:val="18"/>
              </w:rPr>
              <w:t>✅ Disclosed</w:t>
            </w:r>
          </w:p>
        </w:tc>
      </w:tr>
      <w:tr w:rsidR="00AC41AE" w14:paraId="09955175" w14:textId="77777777">
        <w:trPr>
          <w:jc w:val="center"/>
        </w:trPr>
        <w:tc>
          <w:tcPr>
            <w:tcW w:w="2257" w:type="dxa"/>
          </w:tcPr>
          <w:p w14:paraId="4EDFB459" w14:textId="77777777" w:rsidR="00AC41AE" w:rsidRDefault="00000000">
            <w:r>
              <w:rPr>
                <w:rFonts w:ascii="Arial" w:hAnsi="Arial"/>
                <w:sz w:val="18"/>
              </w:rPr>
              <w:t>GRI 305-3a</w:t>
            </w:r>
          </w:p>
        </w:tc>
        <w:tc>
          <w:tcPr>
            <w:tcW w:w="2257" w:type="dxa"/>
          </w:tcPr>
          <w:p w14:paraId="77168EA0" w14:textId="77777777" w:rsidR="00AC41AE" w:rsidRDefault="00000000">
            <w:r>
              <w:rPr>
                <w:rFonts w:ascii="Arial" w:hAnsi="Arial"/>
                <w:sz w:val="18"/>
              </w:rPr>
              <w:t>Category 15: Investments (PCAF)</w:t>
            </w:r>
          </w:p>
        </w:tc>
        <w:tc>
          <w:tcPr>
            <w:tcW w:w="2257" w:type="dxa"/>
          </w:tcPr>
          <w:p w14:paraId="376A773A" w14:textId="77777777" w:rsidR="00AC41AE" w:rsidRDefault="00000000">
            <w:r>
              <w:rPr>
                <w:rFonts w:ascii="Arial" w:hAnsi="Arial"/>
                <w:sz w:val="18"/>
              </w:rPr>
              <w:t>PCAF / Scope 3</w:t>
            </w:r>
          </w:p>
        </w:tc>
        <w:tc>
          <w:tcPr>
            <w:tcW w:w="2257" w:type="dxa"/>
          </w:tcPr>
          <w:p w14:paraId="0A6CC384" w14:textId="77777777" w:rsidR="00AC41AE" w:rsidRDefault="00000000">
            <w:r>
              <w:rPr>
                <w:rFonts w:ascii="Arial" w:hAnsi="Arial"/>
                <w:sz w:val="18"/>
              </w:rPr>
              <w:t>✅ Disclosed</w:t>
            </w:r>
          </w:p>
        </w:tc>
      </w:tr>
      <w:tr w:rsidR="00AC41AE" w14:paraId="2CB4A70F" w14:textId="77777777">
        <w:trPr>
          <w:jc w:val="center"/>
        </w:trPr>
        <w:tc>
          <w:tcPr>
            <w:tcW w:w="2257" w:type="dxa"/>
            <w:shd w:val="clear" w:color="auto" w:fill="F2F6FC"/>
          </w:tcPr>
          <w:p w14:paraId="4062B950" w14:textId="77777777" w:rsidR="00AC41AE" w:rsidRDefault="00000000">
            <w:r>
              <w:rPr>
                <w:rFonts w:ascii="Arial" w:hAnsi="Arial"/>
                <w:sz w:val="18"/>
              </w:rPr>
              <w:t>GRI 305-4</w:t>
            </w:r>
          </w:p>
        </w:tc>
        <w:tc>
          <w:tcPr>
            <w:tcW w:w="2257" w:type="dxa"/>
            <w:shd w:val="clear" w:color="auto" w:fill="F2F6FC"/>
          </w:tcPr>
          <w:p w14:paraId="266C1AAA" w14:textId="77777777" w:rsidR="00AC41AE" w:rsidRDefault="00000000">
            <w:r>
              <w:rPr>
                <w:rFonts w:ascii="Arial" w:hAnsi="Arial"/>
                <w:sz w:val="18"/>
              </w:rPr>
              <w:t>GHG emissions intensity</w:t>
            </w:r>
          </w:p>
        </w:tc>
        <w:tc>
          <w:tcPr>
            <w:tcW w:w="2257" w:type="dxa"/>
            <w:shd w:val="clear" w:color="auto" w:fill="F2F6FC"/>
          </w:tcPr>
          <w:p w14:paraId="1C47B51D" w14:textId="77777777" w:rsidR="00AC41AE" w:rsidRDefault="00000000">
            <w:r>
              <w:rPr>
                <w:rFonts w:ascii="Arial" w:hAnsi="Arial"/>
                <w:sz w:val="18"/>
              </w:rPr>
              <w:t>Intensity</w:t>
            </w:r>
          </w:p>
        </w:tc>
        <w:tc>
          <w:tcPr>
            <w:tcW w:w="2257" w:type="dxa"/>
            <w:shd w:val="clear" w:color="auto" w:fill="F2F6FC"/>
          </w:tcPr>
          <w:p w14:paraId="05FBECB6" w14:textId="77777777" w:rsidR="00AC41AE" w:rsidRDefault="00000000">
            <w:r>
              <w:rPr>
                <w:rFonts w:ascii="Arial" w:hAnsi="Arial"/>
                <w:sz w:val="18"/>
              </w:rPr>
              <w:t>✅ Disclosed</w:t>
            </w:r>
          </w:p>
        </w:tc>
      </w:tr>
      <w:tr w:rsidR="00AC41AE" w14:paraId="1DD4FEE0" w14:textId="77777777">
        <w:trPr>
          <w:jc w:val="center"/>
        </w:trPr>
        <w:tc>
          <w:tcPr>
            <w:tcW w:w="2257" w:type="dxa"/>
          </w:tcPr>
          <w:p w14:paraId="2979B2FB" w14:textId="77777777" w:rsidR="00AC41AE" w:rsidRDefault="00000000">
            <w:r>
              <w:rPr>
                <w:rFonts w:ascii="Arial" w:hAnsi="Arial"/>
                <w:sz w:val="18"/>
              </w:rPr>
              <w:t>GRI 305-5</w:t>
            </w:r>
          </w:p>
        </w:tc>
        <w:tc>
          <w:tcPr>
            <w:tcW w:w="2257" w:type="dxa"/>
          </w:tcPr>
          <w:p w14:paraId="3CD41A6E" w14:textId="77777777" w:rsidR="00AC41AE" w:rsidRDefault="00000000">
            <w:r>
              <w:rPr>
                <w:rFonts w:ascii="Arial" w:hAnsi="Arial"/>
                <w:sz w:val="18"/>
              </w:rPr>
              <w:t>Reduction of GHG emissions</w:t>
            </w:r>
          </w:p>
        </w:tc>
        <w:tc>
          <w:tcPr>
            <w:tcW w:w="2257" w:type="dxa"/>
          </w:tcPr>
          <w:p w14:paraId="3006C03C" w14:textId="77777777" w:rsidR="00AC41AE" w:rsidRDefault="00000000">
            <w:r>
              <w:rPr>
                <w:rFonts w:ascii="Arial" w:hAnsi="Arial"/>
                <w:sz w:val="18"/>
              </w:rPr>
              <w:t>Reduction</w:t>
            </w:r>
          </w:p>
        </w:tc>
        <w:tc>
          <w:tcPr>
            <w:tcW w:w="2257" w:type="dxa"/>
          </w:tcPr>
          <w:p w14:paraId="0E098236" w14:textId="77777777" w:rsidR="00AC41AE" w:rsidRDefault="00000000">
            <w:r>
              <w:rPr>
                <w:rFonts w:ascii="Arial" w:hAnsi="Arial"/>
                <w:sz w:val="18"/>
              </w:rPr>
              <w:t>⚠️ Partial</w:t>
            </w:r>
          </w:p>
        </w:tc>
      </w:tr>
      <w:tr w:rsidR="00AC41AE" w14:paraId="00779AFE" w14:textId="77777777">
        <w:trPr>
          <w:jc w:val="center"/>
        </w:trPr>
        <w:tc>
          <w:tcPr>
            <w:tcW w:w="2257" w:type="dxa"/>
            <w:shd w:val="clear" w:color="auto" w:fill="F2F6FC"/>
          </w:tcPr>
          <w:p w14:paraId="0F42A621" w14:textId="77777777" w:rsidR="00AC41AE" w:rsidRDefault="00000000">
            <w:r>
              <w:rPr>
                <w:rFonts w:ascii="Arial" w:hAnsi="Arial"/>
                <w:sz w:val="18"/>
              </w:rPr>
              <w:t>GRI 401-1</w:t>
            </w:r>
          </w:p>
        </w:tc>
        <w:tc>
          <w:tcPr>
            <w:tcW w:w="2257" w:type="dxa"/>
            <w:shd w:val="clear" w:color="auto" w:fill="F2F6FC"/>
          </w:tcPr>
          <w:p w14:paraId="0AEBEFCC" w14:textId="77777777" w:rsidR="00AC41AE" w:rsidRDefault="00000000">
            <w:r>
              <w:rPr>
                <w:rFonts w:ascii="Arial" w:hAnsi="Arial"/>
                <w:sz w:val="18"/>
              </w:rPr>
              <w:t>New hires and turnover</w:t>
            </w:r>
          </w:p>
        </w:tc>
        <w:tc>
          <w:tcPr>
            <w:tcW w:w="2257" w:type="dxa"/>
            <w:shd w:val="clear" w:color="auto" w:fill="F2F6FC"/>
          </w:tcPr>
          <w:p w14:paraId="185B143E" w14:textId="77777777" w:rsidR="00AC41AE" w:rsidRDefault="00000000">
            <w:r>
              <w:rPr>
                <w:rFonts w:ascii="Arial" w:hAnsi="Arial"/>
                <w:sz w:val="18"/>
              </w:rPr>
              <w:t>Social</w:t>
            </w:r>
          </w:p>
        </w:tc>
        <w:tc>
          <w:tcPr>
            <w:tcW w:w="2257" w:type="dxa"/>
            <w:shd w:val="clear" w:color="auto" w:fill="F2F6FC"/>
          </w:tcPr>
          <w:p w14:paraId="79244BA9" w14:textId="77777777" w:rsidR="00AC41AE" w:rsidRDefault="00000000">
            <w:r>
              <w:rPr>
                <w:rFonts w:ascii="Arial" w:hAnsi="Arial"/>
                <w:sz w:val="18"/>
              </w:rPr>
              <w:t>✅ Disclosed</w:t>
            </w:r>
          </w:p>
        </w:tc>
      </w:tr>
      <w:tr w:rsidR="00AC41AE" w14:paraId="6B4BA3C1" w14:textId="77777777">
        <w:trPr>
          <w:jc w:val="center"/>
        </w:trPr>
        <w:tc>
          <w:tcPr>
            <w:tcW w:w="2257" w:type="dxa"/>
          </w:tcPr>
          <w:p w14:paraId="0781BAD9" w14:textId="77777777" w:rsidR="00AC41AE" w:rsidRDefault="00000000">
            <w:r>
              <w:rPr>
                <w:rFonts w:ascii="Arial" w:hAnsi="Arial"/>
                <w:sz w:val="18"/>
              </w:rPr>
              <w:t>GRI 404-1</w:t>
            </w:r>
          </w:p>
        </w:tc>
        <w:tc>
          <w:tcPr>
            <w:tcW w:w="2257" w:type="dxa"/>
          </w:tcPr>
          <w:p w14:paraId="16E9CFA2" w14:textId="77777777" w:rsidR="00AC41AE" w:rsidRDefault="00000000">
            <w:r>
              <w:rPr>
                <w:rFonts w:ascii="Arial" w:hAnsi="Arial"/>
                <w:sz w:val="18"/>
              </w:rPr>
              <w:t>Training hours per employee</w:t>
            </w:r>
          </w:p>
        </w:tc>
        <w:tc>
          <w:tcPr>
            <w:tcW w:w="2257" w:type="dxa"/>
          </w:tcPr>
          <w:p w14:paraId="22CF2CB1" w14:textId="77777777" w:rsidR="00AC41AE" w:rsidRDefault="00000000">
            <w:r>
              <w:rPr>
                <w:rFonts w:ascii="Arial" w:hAnsi="Arial"/>
                <w:sz w:val="18"/>
              </w:rPr>
              <w:t>Social</w:t>
            </w:r>
          </w:p>
        </w:tc>
        <w:tc>
          <w:tcPr>
            <w:tcW w:w="2257" w:type="dxa"/>
          </w:tcPr>
          <w:p w14:paraId="00F2524A" w14:textId="77777777" w:rsidR="00AC41AE" w:rsidRDefault="00000000">
            <w:r>
              <w:rPr>
                <w:rFonts w:ascii="Arial" w:hAnsi="Arial"/>
                <w:sz w:val="18"/>
              </w:rPr>
              <w:t>✅ Disclosed</w:t>
            </w:r>
          </w:p>
        </w:tc>
      </w:tr>
      <w:tr w:rsidR="00AC41AE" w14:paraId="4174FADA" w14:textId="77777777">
        <w:trPr>
          <w:jc w:val="center"/>
        </w:trPr>
        <w:tc>
          <w:tcPr>
            <w:tcW w:w="2257" w:type="dxa"/>
            <w:shd w:val="clear" w:color="auto" w:fill="F2F6FC"/>
          </w:tcPr>
          <w:p w14:paraId="4FD61485" w14:textId="77777777" w:rsidR="00AC41AE" w:rsidRDefault="00000000">
            <w:r>
              <w:rPr>
                <w:rFonts w:ascii="Arial" w:hAnsi="Arial"/>
                <w:sz w:val="18"/>
              </w:rPr>
              <w:t>GRI 405-1</w:t>
            </w:r>
          </w:p>
        </w:tc>
        <w:tc>
          <w:tcPr>
            <w:tcW w:w="2257" w:type="dxa"/>
            <w:shd w:val="clear" w:color="auto" w:fill="F2F6FC"/>
          </w:tcPr>
          <w:p w14:paraId="62DE0137" w14:textId="77777777" w:rsidR="00AC41AE" w:rsidRDefault="00000000">
            <w:r>
              <w:rPr>
                <w:rFonts w:ascii="Arial" w:hAnsi="Arial"/>
                <w:sz w:val="18"/>
              </w:rPr>
              <w:t>Diversity of governance bodies</w:t>
            </w:r>
          </w:p>
        </w:tc>
        <w:tc>
          <w:tcPr>
            <w:tcW w:w="2257" w:type="dxa"/>
            <w:shd w:val="clear" w:color="auto" w:fill="F2F6FC"/>
          </w:tcPr>
          <w:p w14:paraId="79E17F15" w14:textId="77777777" w:rsidR="00AC41AE" w:rsidRDefault="00000000">
            <w:r>
              <w:rPr>
                <w:rFonts w:ascii="Arial" w:hAnsi="Arial"/>
                <w:sz w:val="18"/>
              </w:rPr>
              <w:t>Social</w:t>
            </w:r>
          </w:p>
        </w:tc>
        <w:tc>
          <w:tcPr>
            <w:tcW w:w="2257" w:type="dxa"/>
            <w:shd w:val="clear" w:color="auto" w:fill="F2F6FC"/>
          </w:tcPr>
          <w:p w14:paraId="5AD53C3E" w14:textId="77777777" w:rsidR="00AC41AE" w:rsidRDefault="00000000">
            <w:r>
              <w:rPr>
                <w:rFonts w:ascii="Arial" w:hAnsi="Arial"/>
                <w:sz w:val="18"/>
              </w:rPr>
              <w:t>✅ Disclosed</w:t>
            </w:r>
          </w:p>
        </w:tc>
      </w:tr>
      <w:tr w:rsidR="00AC41AE" w14:paraId="6B455E00" w14:textId="77777777">
        <w:trPr>
          <w:jc w:val="center"/>
        </w:trPr>
        <w:tc>
          <w:tcPr>
            <w:tcW w:w="2257" w:type="dxa"/>
          </w:tcPr>
          <w:p w14:paraId="3FC85F5A" w14:textId="77777777" w:rsidR="00AC41AE" w:rsidRDefault="00000000">
            <w:r>
              <w:rPr>
                <w:rFonts w:ascii="Arial" w:hAnsi="Arial"/>
                <w:sz w:val="18"/>
              </w:rPr>
              <w:t>GRI 406-1</w:t>
            </w:r>
          </w:p>
        </w:tc>
        <w:tc>
          <w:tcPr>
            <w:tcW w:w="2257" w:type="dxa"/>
          </w:tcPr>
          <w:p w14:paraId="04FED797" w14:textId="77777777" w:rsidR="00AC41AE" w:rsidRDefault="00000000">
            <w:r>
              <w:rPr>
                <w:rFonts w:ascii="Arial" w:hAnsi="Arial"/>
                <w:sz w:val="18"/>
              </w:rPr>
              <w:t>Discrimination incidents</w:t>
            </w:r>
          </w:p>
        </w:tc>
        <w:tc>
          <w:tcPr>
            <w:tcW w:w="2257" w:type="dxa"/>
          </w:tcPr>
          <w:p w14:paraId="3FA171CE" w14:textId="77777777" w:rsidR="00AC41AE" w:rsidRDefault="00000000">
            <w:r>
              <w:rPr>
                <w:rFonts w:ascii="Arial" w:hAnsi="Arial"/>
                <w:sz w:val="18"/>
              </w:rPr>
              <w:t>Social</w:t>
            </w:r>
          </w:p>
        </w:tc>
        <w:tc>
          <w:tcPr>
            <w:tcW w:w="2257" w:type="dxa"/>
          </w:tcPr>
          <w:p w14:paraId="2F97BD49" w14:textId="77777777" w:rsidR="00AC41AE" w:rsidRDefault="00000000">
            <w:r>
              <w:rPr>
                <w:rFonts w:ascii="Arial" w:hAnsi="Arial"/>
                <w:sz w:val="18"/>
              </w:rPr>
              <w:t>✅ Disclosed</w:t>
            </w:r>
          </w:p>
        </w:tc>
      </w:tr>
    </w:tbl>
    <w:p w14:paraId="5F3426F3" w14:textId="77777777" w:rsidR="00AC41AE" w:rsidRDefault="00000000">
      <w:r>
        <w:rPr>
          <w:rFonts w:ascii="Arial" w:hAnsi="Arial"/>
          <w:i/>
          <w:sz w:val="16"/>
        </w:rPr>
        <w:t>Source: GRI Standards 2021. Note: GRI 102 (2025) supersedes GRI 305 from 2027.</w:t>
      </w:r>
    </w:p>
    <w:p w14:paraId="6EC72957" w14:textId="77777777" w:rsidR="00AC41AE" w:rsidRDefault="00AC41AE"/>
    <w:p w14:paraId="6989F27A" w14:textId="77777777" w:rsidR="00AC41AE" w:rsidRDefault="00000000">
      <w:r>
        <w:br w:type="page"/>
      </w:r>
    </w:p>
    <w:p w14:paraId="6C282688" w14:textId="77777777" w:rsidR="00AC41AE" w:rsidRDefault="00000000">
      <w:pPr>
        <w:pStyle w:val="Heading1"/>
        <w:spacing w:after="240"/>
      </w:pPr>
      <w:bookmarkStart w:id="38" w:name="_Toc232152633"/>
      <w:r>
        <w:rPr>
          <w:rFonts w:ascii="Arial" w:hAnsi="Arial"/>
          <w:color w:val="1B3A6B"/>
          <w:sz w:val="36"/>
        </w:rPr>
        <w:lastRenderedPageBreak/>
        <w:t>Appendix E: Framework Disclosure Cross-Reference</w:t>
      </w:r>
      <w:bookmarkEnd w:id="38"/>
    </w:p>
    <w:p w14:paraId="5B5B250B" w14:textId="77777777" w:rsidR="00AC41AE" w:rsidRDefault="00000000">
      <w:pPr>
        <w:spacing w:after="160"/>
      </w:pPr>
      <w:r>
        <w:t>This report simultaneously addresses requirements from four sustainability reporting frameworks. The table below maps report sections to specific disclosure requirements per framework.</w:t>
      </w:r>
    </w:p>
    <w:p w14:paraId="52A8F7BA" w14:textId="77777777" w:rsidR="00AC41AE" w:rsidRDefault="00000000">
      <w:r>
        <w:rPr>
          <w:rFonts w:ascii="Arial" w:hAnsi="Arial"/>
          <w:b/>
          <w:sz w:val="20"/>
        </w:rPr>
        <w:t>Table 73: Multi-Framework Disclosure Mapping</w:t>
      </w:r>
    </w:p>
    <w:tbl>
      <w:tblPr>
        <w:tblW w:w="0" w:type="auto"/>
        <w:jc w:val="center"/>
        <w:tblLook w:val="04A0" w:firstRow="1" w:lastRow="0" w:firstColumn="1" w:lastColumn="0" w:noHBand="0" w:noVBand="1"/>
      </w:tblPr>
      <w:tblGrid>
        <w:gridCol w:w="1806"/>
        <w:gridCol w:w="1806"/>
        <w:gridCol w:w="1806"/>
        <w:gridCol w:w="1806"/>
        <w:gridCol w:w="1806"/>
      </w:tblGrid>
      <w:tr w:rsidR="00AC41AE" w14:paraId="64A37B5A" w14:textId="77777777">
        <w:trPr>
          <w:jc w:val="center"/>
        </w:trPr>
        <w:tc>
          <w:tcPr>
            <w:tcW w:w="1806" w:type="dxa"/>
            <w:shd w:val="clear" w:color="auto" w:fill="1B3A6B"/>
          </w:tcPr>
          <w:p w14:paraId="37348784" w14:textId="77777777" w:rsidR="00AC41AE" w:rsidRDefault="00000000">
            <w:r>
              <w:rPr>
                <w:rFonts w:ascii="Arial" w:hAnsi="Arial"/>
                <w:b/>
                <w:color w:val="FFFFFF"/>
                <w:sz w:val="18"/>
              </w:rPr>
              <w:t>Report Section</w:t>
            </w:r>
          </w:p>
        </w:tc>
        <w:tc>
          <w:tcPr>
            <w:tcW w:w="1806" w:type="dxa"/>
            <w:shd w:val="clear" w:color="auto" w:fill="1B3A6B"/>
          </w:tcPr>
          <w:p w14:paraId="753FB0D6" w14:textId="77777777" w:rsidR="00AC41AE" w:rsidRDefault="00000000">
            <w:r>
              <w:rPr>
                <w:rFonts w:ascii="Arial" w:hAnsi="Arial"/>
                <w:b/>
                <w:color w:val="FFFFFF"/>
                <w:sz w:val="18"/>
              </w:rPr>
              <w:t>GRI 305</w:t>
            </w:r>
          </w:p>
        </w:tc>
        <w:tc>
          <w:tcPr>
            <w:tcW w:w="1806" w:type="dxa"/>
            <w:shd w:val="clear" w:color="auto" w:fill="1B3A6B"/>
          </w:tcPr>
          <w:p w14:paraId="276FF270" w14:textId="77777777" w:rsidR="00AC41AE" w:rsidRDefault="00000000">
            <w:r>
              <w:rPr>
                <w:rFonts w:ascii="Arial" w:hAnsi="Arial"/>
                <w:b/>
                <w:color w:val="FFFFFF"/>
                <w:sz w:val="18"/>
              </w:rPr>
              <w:t>IFRS S2</w:t>
            </w:r>
          </w:p>
        </w:tc>
        <w:tc>
          <w:tcPr>
            <w:tcW w:w="1806" w:type="dxa"/>
            <w:shd w:val="clear" w:color="auto" w:fill="1B3A6B"/>
          </w:tcPr>
          <w:p w14:paraId="0CB46D5C" w14:textId="77777777" w:rsidR="00AC41AE" w:rsidRDefault="00000000">
            <w:r>
              <w:rPr>
                <w:rFonts w:ascii="Arial" w:hAnsi="Arial"/>
                <w:b/>
                <w:color w:val="FFFFFF"/>
                <w:sz w:val="18"/>
              </w:rPr>
              <w:t>ESRS E1</w:t>
            </w:r>
          </w:p>
        </w:tc>
        <w:tc>
          <w:tcPr>
            <w:tcW w:w="1806" w:type="dxa"/>
            <w:shd w:val="clear" w:color="auto" w:fill="1B3A6B"/>
          </w:tcPr>
          <w:p w14:paraId="00D41E85" w14:textId="77777777" w:rsidR="00AC41AE" w:rsidRDefault="00000000">
            <w:r>
              <w:rPr>
                <w:rFonts w:ascii="Arial" w:hAnsi="Arial"/>
                <w:b/>
                <w:color w:val="FFFFFF"/>
                <w:sz w:val="18"/>
              </w:rPr>
              <w:t>OJK PSPK</w:t>
            </w:r>
          </w:p>
        </w:tc>
      </w:tr>
      <w:tr w:rsidR="00AC41AE" w14:paraId="554358E3" w14:textId="77777777">
        <w:trPr>
          <w:jc w:val="center"/>
        </w:trPr>
        <w:tc>
          <w:tcPr>
            <w:tcW w:w="1806" w:type="dxa"/>
          </w:tcPr>
          <w:p w14:paraId="6EC01DE2" w14:textId="77777777" w:rsidR="00AC41AE" w:rsidRDefault="00000000">
            <w:r>
              <w:rPr>
                <w:rFonts w:ascii="Arial" w:hAnsi="Arial"/>
                <w:sz w:val="18"/>
              </w:rPr>
              <w:t>Scope 1 Emissions</w:t>
            </w:r>
          </w:p>
        </w:tc>
        <w:tc>
          <w:tcPr>
            <w:tcW w:w="1806" w:type="dxa"/>
          </w:tcPr>
          <w:p w14:paraId="5B476BE0" w14:textId="77777777" w:rsidR="00AC41AE" w:rsidRDefault="00000000">
            <w:r>
              <w:rPr>
                <w:rFonts w:ascii="Arial" w:hAnsi="Arial"/>
                <w:sz w:val="18"/>
              </w:rPr>
              <w:t>305-1 (a-g)</w:t>
            </w:r>
          </w:p>
        </w:tc>
        <w:tc>
          <w:tcPr>
            <w:tcW w:w="1806" w:type="dxa"/>
          </w:tcPr>
          <w:p w14:paraId="5E02451E" w14:textId="77777777" w:rsidR="00AC41AE" w:rsidRDefault="00000000">
            <w:r>
              <w:rPr>
                <w:rFonts w:ascii="Arial" w:hAnsi="Arial"/>
                <w:sz w:val="18"/>
              </w:rPr>
              <w:t>Para 29(a)(i)</w:t>
            </w:r>
          </w:p>
        </w:tc>
        <w:tc>
          <w:tcPr>
            <w:tcW w:w="1806" w:type="dxa"/>
          </w:tcPr>
          <w:p w14:paraId="18227A73" w14:textId="77777777" w:rsidR="00AC41AE" w:rsidRDefault="00000000">
            <w:r>
              <w:rPr>
                <w:rFonts w:ascii="Arial" w:hAnsi="Arial"/>
                <w:sz w:val="18"/>
              </w:rPr>
              <w:t>DR E1-6 §44</w:t>
            </w:r>
          </w:p>
        </w:tc>
        <w:tc>
          <w:tcPr>
            <w:tcW w:w="1806" w:type="dxa"/>
          </w:tcPr>
          <w:p w14:paraId="7DC04C7D" w14:textId="77777777" w:rsidR="00AC41AE" w:rsidRDefault="00000000">
            <w:r>
              <w:rPr>
                <w:rFonts w:ascii="Arial" w:hAnsi="Arial"/>
                <w:sz w:val="18"/>
              </w:rPr>
              <w:t>Lampiran II.A.1</w:t>
            </w:r>
          </w:p>
        </w:tc>
      </w:tr>
      <w:tr w:rsidR="00AC41AE" w14:paraId="0387E935" w14:textId="77777777">
        <w:trPr>
          <w:jc w:val="center"/>
        </w:trPr>
        <w:tc>
          <w:tcPr>
            <w:tcW w:w="1806" w:type="dxa"/>
            <w:shd w:val="clear" w:color="auto" w:fill="F2F6FC"/>
          </w:tcPr>
          <w:p w14:paraId="13B5D183" w14:textId="77777777" w:rsidR="00AC41AE" w:rsidRDefault="00000000">
            <w:r>
              <w:rPr>
                <w:rFonts w:ascii="Arial" w:hAnsi="Arial"/>
                <w:sz w:val="18"/>
              </w:rPr>
              <w:t>Scope 2 Emissions</w:t>
            </w:r>
          </w:p>
        </w:tc>
        <w:tc>
          <w:tcPr>
            <w:tcW w:w="1806" w:type="dxa"/>
            <w:shd w:val="clear" w:color="auto" w:fill="F2F6FC"/>
          </w:tcPr>
          <w:p w14:paraId="41334849" w14:textId="77777777" w:rsidR="00AC41AE" w:rsidRDefault="00000000">
            <w:r>
              <w:rPr>
                <w:rFonts w:ascii="Arial" w:hAnsi="Arial"/>
                <w:sz w:val="18"/>
              </w:rPr>
              <w:t>305-2 (a-e)</w:t>
            </w:r>
          </w:p>
        </w:tc>
        <w:tc>
          <w:tcPr>
            <w:tcW w:w="1806" w:type="dxa"/>
            <w:shd w:val="clear" w:color="auto" w:fill="F2F6FC"/>
          </w:tcPr>
          <w:p w14:paraId="6768ED1D" w14:textId="77777777" w:rsidR="00AC41AE" w:rsidRDefault="00000000">
            <w:r>
              <w:rPr>
                <w:rFonts w:ascii="Arial" w:hAnsi="Arial"/>
                <w:sz w:val="18"/>
              </w:rPr>
              <w:t>Para 29(a)(ii)</w:t>
            </w:r>
          </w:p>
        </w:tc>
        <w:tc>
          <w:tcPr>
            <w:tcW w:w="1806" w:type="dxa"/>
            <w:shd w:val="clear" w:color="auto" w:fill="F2F6FC"/>
          </w:tcPr>
          <w:p w14:paraId="3F5D4E26" w14:textId="77777777" w:rsidR="00AC41AE" w:rsidRDefault="00000000">
            <w:r>
              <w:rPr>
                <w:rFonts w:ascii="Arial" w:hAnsi="Arial"/>
                <w:sz w:val="18"/>
              </w:rPr>
              <w:t>DR E1-6 §47-48</w:t>
            </w:r>
          </w:p>
        </w:tc>
        <w:tc>
          <w:tcPr>
            <w:tcW w:w="1806" w:type="dxa"/>
            <w:shd w:val="clear" w:color="auto" w:fill="F2F6FC"/>
          </w:tcPr>
          <w:p w14:paraId="798BCEC2" w14:textId="77777777" w:rsidR="00AC41AE" w:rsidRDefault="00000000">
            <w:r>
              <w:rPr>
                <w:rFonts w:ascii="Arial" w:hAnsi="Arial"/>
                <w:sz w:val="18"/>
              </w:rPr>
              <w:t>Lampiran II.A.2</w:t>
            </w:r>
          </w:p>
        </w:tc>
      </w:tr>
      <w:tr w:rsidR="00AC41AE" w14:paraId="583331E4" w14:textId="77777777">
        <w:trPr>
          <w:jc w:val="center"/>
        </w:trPr>
        <w:tc>
          <w:tcPr>
            <w:tcW w:w="1806" w:type="dxa"/>
          </w:tcPr>
          <w:p w14:paraId="100A4C21" w14:textId="77777777" w:rsidR="00AC41AE" w:rsidRDefault="00000000">
            <w:r>
              <w:rPr>
                <w:rFonts w:ascii="Arial" w:hAnsi="Arial"/>
                <w:sz w:val="18"/>
              </w:rPr>
              <w:t>Scope 3 / Financed</w:t>
            </w:r>
          </w:p>
        </w:tc>
        <w:tc>
          <w:tcPr>
            <w:tcW w:w="1806" w:type="dxa"/>
          </w:tcPr>
          <w:p w14:paraId="76175877" w14:textId="77777777" w:rsidR="00AC41AE" w:rsidRDefault="00000000">
            <w:r>
              <w:rPr>
                <w:rFonts w:ascii="Arial" w:hAnsi="Arial"/>
                <w:sz w:val="18"/>
              </w:rPr>
              <w:t>305-3 (a-f)</w:t>
            </w:r>
          </w:p>
        </w:tc>
        <w:tc>
          <w:tcPr>
            <w:tcW w:w="1806" w:type="dxa"/>
          </w:tcPr>
          <w:p w14:paraId="78A9BC32" w14:textId="77777777" w:rsidR="00AC41AE" w:rsidRDefault="00000000">
            <w:r>
              <w:rPr>
                <w:rFonts w:ascii="Arial" w:hAnsi="Arial"/>
                <w:sz w:val="18"/>
              </w:rPr>
              <w:t>Para 29(a)(iv)</w:t>
            </w:r>
          </w:p>
        </w:tc>
        <w:tc>
          <w:tcPr>
            <w:tcW w:w="1806" w:type="dxa"/>
          </w:tcPr>
          <w:p w14:paraId="22A5CAD1" w14:textId="77777777" w:rsidR="00AC41AE" w:rsidRDefault="00000000">
            <w:r>
              <w:rPr>
                <w:rFonts w:ascii="Arial" w:hAnsi="Arial"/>
                <w:sz w:val="18"/>
              </w:rPr>
              <w:t>DR E1-6 §51-54</w:t>
            </w:r>
          </w:p>
        </w:tc>
        <w:tc>
          <w:tcPr>
            <w:tcW w:w="1806" w:type="dxa"/>
          </w:tcPr>
          <w:p w14:paraId="4D62891E" w14:textId="77777777" w:rsidR="00AC41AE" w:rsidRDefault="00000000">
            <w:r>
              <w:rPr>
                <w:rFonts w:ascii="Arial" w:hAnsi="Arial"/>
                <w:sz w:val="18"/>
              </w:rPr>
              <w:t>Lampiran II.A.3</w:t>
            </w:r>
          </w:p>
        </w:tc>
      </w:tr>
      <w:tr w:rsidR="00AC41AE" w14:paraId="34F96954" w14:textId="77777777">
        <w:trPr>
          <w:jc w:val="center"/>
        </w:trPr>
        <w:tc>
          <w:tcPr>
            <w:tcW w:w="1806" w:type="dxa"/>
            <w:shd w:val="clear" w:color="auto" w:fill="F2F6FC"/>
          </w:tcPr>
          <w:p w14:paraId="3F0DEA8B" w14:textId="77777777" w:rsidR="00AC41AE" w:rsidRDefault="00000000">
            <w:r>
              <w:rPr>
                <w:rFonts w:ascii="Arial" w:hAnsi="Arial"/>
                <w:sz w:val="18"/>
              </w:rPr>
              <w:t>Intensity</w:t>
            </w:r>
          </w:p>
        </w:tc>
        <w:tc>
          <w:tcPr>
            <w:tcW w:w="1806" w:type="dxa"/>
            <w:shd w:val="clear" w:color="auto" w:fill="F2F6FC"/>
          </w:tcPr>
          <w:p w14:paraId="13EBB3DC" w14:textId="77777777" w:rsidR="00AC41AE" w:rsidRDefault="00000000">
            <w:r>
              <w:rPr>
                <w:rFonts w:ascii="Arial" w:hAnsi="Arial"/>
                <w:sz w:val="18"/>
              </w:rPr>
              <w:t>305-4 (a-d)</w:t>
            </w:r>
          </w:p>
        </w:tc>
        <w:tc>
          <w:tcPr>
            <w:tcW w:w="1806" w:type="dxa"/>
            <w:shd w:val="clear" w:color="auto" w:fill="F2F6FC"/>
          </w:tcPr>
          <w:p w14:paraId="545FBED6" w14:textId="77777777" w:rsidR="00AC41AE" w:rsidRDefault="00000000">
            <w:r>
              <w:rPr>
                <w:rFonts w:ascii="Arial" w:hAnsi="Arial"/>
                <w:sz w:val="18"/>
              </w:rPr>
              <w:t>Para 29(b)</w:t>
            </w:r>
          </w:p>
        </w:tc>
        <w:tc>
          <w:tcPr>
            <w:tcW w:w="1806" w:type="dxa"/>
            <w:shd w:val="clear" w:color="auto" w:fill="F2F6FC"/>
          </w:tcPr>
          <w:p w14:paraId="7828EF41" w14:textId="77777777" w:rsidR="00AC41AE" w:rsidRDefault="00000000">
            <w:r>
              <w:rPr>
                <w:rFonts w:ascii="Arial" w:hAnsi="Arial"/>
                <w:sz w:val="18"/>
              </w:rPr>
              <w:t>DR E1-6 §55-56</w:t>
            </w:r>
          </w:p>
        </w:tc>
        <w:tc>
          <w:tcPr>
            <w:tcW w:w="1806" w:type="dxa"/>
            <w:shd w:val="clear" w:color="auto" w:fill="F2F6FC"/>
          </w:tcPr>
          <w:p w14:paraId="556F96CF" w14:textId="77777777" w:rsidR="00AC41AE" w:rsidRDefault="00000000">
            <w:r>
              <w:rPr>
                <w:rFonts w:ascii="Arial" w:hAnsi="Arial"/>
                <w:sz w:val="18"/>
              </w:rPr>
              <w:t>Lampiran II.B</w:t>
            </w:r>
          </w:p>
        </w:tc>
      </w:tr>
      <w:tr w:rsidR="00AC41AE" w14:paraId="1B45376D" w14:textId="77777777">
        <w:trPr>
          <w:jc w:val="center"/>
        </w:trPr>
        <w:tc>
          <w:tcPr>
            <w:tcW w:w="1806" w:type="dxa"/>
          </w:tcPr>
          <w:p w14:paraId="5F4A8518" w14:textId="77777777" w:rsidR="00AC41AE" w:rsidRDefault="00000000">
            <w:r>
              <w:rPr>
                <w:rFonts w:ascii="Arial" w:hAnsi="Arial"/>
                <w:sz w:val="18"/>
              </w:rPr>
              <w:t>Reduction Targets</w:t>
            </w:r>
          </w:p>
        </w:tc>
        <w:tc>
          <w:tcPr>
            <w:tcW w:w="1806" w:type="dxa"/>
          </w:tcPr>
          <w:p w14:paraId="48E0D1CB" w14:textId="77777777" w:rsidR="00AC41AE" w:rsidRDefault="00000000">
            <w:r>
              <w:rPr>
                <w:rFonts w:ascii="Arial" w:hAnsi="Arial"/>
                <w:sz w:val="18"/>
              </w:rPr>
              <w:t>305-5 (a-e)</w:t>
            </w:r>
          </w:p>
        </w:tc>
        <w:tc>
          <w:tcPr>
            <w:tcW w:w="1806" w:type="dxa"/>
          </w:tcPr>
          <w:p w14:paraId="73DD3E0C" w14:textId="77777777" w:rsidR="00AC41AE" w:rsidRDefault="00000000">
            <w:r>
              <w:rPr>
                <w:rFonts w:ascii="Arial" w:hAnsi="Arial"/>
                <w:sz w:val="18"/>
              </w:rPr>
              <w:t>Para 33-36</w:t>
            </w:r>
          </w:p>
        </w:tc>
        <w:tc>
          <w:tcPr>
            <w:tcW w:w="1806" w:type="dxa"/>
          </w:tcPr>
          <w:p w14:paraId="09A24261" w14:textId="77777777" w:rsidR="00AC41AE" w:rsidRDefault="00000000">
            <w:r>
              <w:rPr>
                <w:rFonts w:ascii="Arial" w:hAnsi="Arial"/>
                <w:sz w:val="18"/>
              </w:rPr>
              <w:t>DR E1-4 §34-42</w:t>
            </w:r>
          </w:p>
        </w:tc>
        <w:tc>
          <w:tcPr>
            <w:tcW w:w="1806" w:type="dxa"/>
          </w:tcPr>
          <w:p w14:paraId="30D94BFF" w14:textId="77777777" w:rsidR="00AC41AE" w:rsidRDefault="00000000">
            <w:r>
              <w:rPr>
                <w:rFonts w:ascii="Arial" w:hAnsi="Arial"/>
                <w:sz w:val="18"/>
              </w:rPr>
              <w:t>Lampiran II.C</w:t>
            </w:r>
          </w:p>
        </w:tc>
      </w:tr>
      <w:tr w:rsidR="00AC41AE" w14:paraId="5387F994" w14:textId="77777777">
        <w:trPr>
          <w:jc w:val="center"/>
        </w:trPr>
        <w:tc>
          <w:tcPr>
            <w:tcW w:w="1806" w:type="dxa"/>
            <w:shd w:val="clear" w:color="auto" w:fill="F2F6FC"/>
          </w:tcPr>
          <w:p w14:paraId="496C1681" w14:textId="77777777" w:rsidR="00AC41AE" w:rsidRDefault="00000000">
            <w:r>
              <w:rPr>
                <w:rFonts w:ascii="Arial" w:hAnsi="Arial"/>
                <w:sz w:val="18"/>
              </w:rPr>
              <w:t>Governance</w:t>
            </w:r>
          </w:p>
        </w:tc>
        <w:tc>
          <w:tcPr>
            <w:tcW w:w="1806" w:type="dxa"/>
            <w:shd w:val="clear" w:color="auto" w:fill="F2F6FC"/>
          </w:tcPr>
          <w:p w14:paraId="52A83EC2" w14:textId="77777777" w:rsidR="00AC41AE" w:rsidRDefault="00000000">
            <w:r>
              <w:rPr>
                <w:rFonts w:ascii="Arial" w:hAnsi="Arial"/>
                <w:sz w:val="18"/>
              </w:rPr>
              <w:t>N/A</w:t>
            </w:r>
          </w:p>
        </w:tc>
        <w:tc>
          <w:tcPr>
            <w:tcW w:w="1806" w:type="dxa"/>
            <w:shd w:val="clear" w:color="auto" w:fill="F2F6FC"/>
          </w:tcPr>
          <w:p w14:paraId="1B7C87E6" w14:textId="77777777" w:rsidR="00AC41AE" w:rsidRDefault="00000000">
            <w:r>
              <w:rPr>
                <w:rFonts w:ascii="Arial" w:hAnsi="Arial"/>
                <w:sz w:val="18"/>
              </w:rPr>
              <w:t>Para 5-9</w:t>
            </w:r>
          </w:p>
        </w:tc>
        <w:tc>
          <w:tcPr>
            <w:tcW w:w="1806" w:type="dxa"/>
            <w:shd w:val="clear" w:color="auto" w:fill="F2F6FC"/>
          </w:tcPr>
          <w:p w14:paraId="137639DB" w14:textId="77777777" w:rsidR="00AC41AE" w:rsidRDefault="00000000">
            <w:r>
              <w:rPr>
                <w:rFonts w:ascii="Arial" w:hAnsi="Arial"/>
                <w:sz w:val="18"/>
              </w:rPr>
              <w:t>ESRS 2 GOV-1</w:t>
            </w:r>
          </w:p>
        </w:tc>
        <w:tc>
          <w:tcPr>
            <w:tcW w:w="1806" w:type="dxa"/>
            <w:shd w:val="clear" w:color="auto" w:fill="F2F6FC"/>
          </w:tcPr>
          <w:p w14:paraId="39963BFC" w14:textId="77777777" w:rsidR="00AC41AE" w:rsidRDefault="00000000">
            <w:r>
              <w:rPr>
                <w:rFonts w:ascii="Arial" w:hAnsi="Arial"/>
                <w:sz w:val="18"/>
              </w:rPr>
              <w:t>Lampiran I</w:t>
            </w:r>
          </w:p>
        </w:tc>
      </w:tr>
      <w:tr w:rsidR="00AC41AE" w14:paraId="04434726" w14:textId="77777777">
        <w:trPr>
          <w:jc w:val="center"/>
        </w:trPr>
        <w:tc>
          <w:tcPr>
            <w:tcW w:w="1806" w:type="dxa"/>
          </w:tcPr>
          <w:p w14:paraId="227E8419" w14:textId="77777777" w:rsidR="00AC41AE" w:rsidRDefault="00000000">
            <w:r>
              <w:rPr>
                <w:rFonts w:ascii="Arial" w:hAnsi="Arial"/>
                <w:sz w:val="18"/>
              </w:rPr>
              <w:t>Transition Plan</w:t>
            </w:r>
          </w:p>
        </w:tc>
        <w:tc>
          <w:tcPr>
            <w:tcW w:w="1806" w:type="dxa"/>
          </w:tcPr>
          <w:p w14:paraId="6A9E8B0C" w14:textId="77777777" w:rsidR="00AC41AE" w:rsidRDefault="00000000">
            <w:r>
              <w:rPr>
                <w:rFonts w:ascii="Arial" w:hAnsi="Arial"/>
                <w:sz w:val="18"/>
              </w:rPr>
              <w:t>N/A</w:t>
            </w:r>
          </w:p>
        </w:tc>
        <w:tc>
          <w:tcPr>
            <w:tcW w:w="1806" w:type="dxa"/>
          </w:tcPr>
          <w:p w14:paraId="5F492EA3" w14:textId="77777777" w:rsidR="00AC41AE" w:rsidRDefault="00000000">
            <w:r>
              <w:rPr>
                <w:rFonts w:ascii="Arial" w:hAnsi="Arial"/>
                <w:sz w:val="18"/>
              </w:rPr>
              <w:t>Para 14-15</w:t>
            </w:r>
          </w:p>
        </w:tc>
        <w:tc>
          <w:tcPr>
            <w:tcW w:w="1806" w:type="dxa"/>
          </w:tcPr>
          <w:p w14:paraId="158F16E8" w14:textId="77777777" w:rsidR="00AC41AE" w:rsidRDefault="00000000">
            <w:r>
              <w:rPr>
                <w:rFonts w:ascii="Arial" w:hAnsi="Arial"/>
                <w:sz w:val="18"/>
              </w:rPr>
              <w:t>DR E1-1 §14-19</w:t>
            </w:r>
          </w:p>
        </w:tc>
        <w:tc>
          <w:tcPr>
            <w:tcW w:w="1806" w:type="dxa"/>
          </w:tcPr>
          <w:p w14:paraId="2D6E8724" w14:textId="77777777" w:rsidR="00AC41AE" w:rsidRDefault="00000000">
            <w:r>
              <w:rPr>
                <w:rFonts w:ascii="Arial" w:hAnsi="Arial"/>
                <w:sz w:val="18"/>
              </w:rPr>
              <w:t>Lampiran III</w:t>
            </w:r>
          </w:p>
        </w:tc>
      </w:tr>
      <w:tr w:rsidR="00AC41AE" w14:paraId="23912A4C" w14:textId="77777777">
        <w:trPr>
          <w:jc w:val="center"/>
        </w:trPr>
        <w:tc>
          <w:tcPr>
            <w:tcW w:w="1806" w:type="dxa"/>
            <w:shd w:val="clear" w:color="auto" w:fill="F2F6FC"/>
          </w:tcPr>
          <w:p w14:paraId="240D32D4" w14:textId="77777777" w:rsidR="00AC41AE" w:rsidRDefault="00000000">
            <w:r>
              <w:rPr>
                <w:rFonts w:ascii="Arial" w:hAnsi="Arial"/>
                <w:sz w:val="18"/>
              </w:rPr>
              <w:t>Social Metrics</w:t>
            </w:r>
          </w:p>
        </w:tc>
        <w:tc>
          <w:tcPr>
            <w:tcW w:w="1806" w:type="dxa"/>
            <w:shd w:val="clear" w:color="auto" w:fill="F2F6FC"/>
          </w:tcPr>
          <w:p w14:paraId="2963C76F" w14:textId="77777777" w:rsidR="00AC41AE" w:rsidRDefault="00000000">
            <w:r>
              <w:rPr>
                <w:rFonts w:ascii="Arial" w:hAnsi="Arial"/>
                <w:sz w:val="18"/>
              </w:rPr>
              <w:t>401/404/405/406</w:t>
            </w:r>
          </w:p>
        </w:tc>
        <w:tc>
          <w:tcPr>
            <w:tcW w:w="1806" w:type="dxa"/>
            <w:shd w:val="clear" w:color="auto" w:fill="F2F6FC"/>
          </w:tcPr>
          <w:p w14:paraId="73E6ADAF" w14:textId="77777777" w:rsidR="00AC41AE" w:rsidRDefault="00000000">
            <w:r>
              <w:rPr>
                <w:rFonts w:ascii="Arial" w:hAnsi="Arial"/>
                <w:sz w:val="18"/>
              </w:rPr>
              <w:t>N/A</w:t>
            </w:r>
          </w:p>
        </w:tc>
        <w:tc>
          <w:tcPr>
            <w:tcW w:w="1806" w:type="dxa"/>
            <w:shd w:val="clear" w:color="auto" w:fill="F2F6FC"/>
          </w:tcPr>
          <w:p w14:paraId="73A213E6" w14:textId="77777777" w:rsidR="00AC41AE" w:rsidRDefault="00000000">
            <w:r>
              <w:rPr>
                <w:rFonts w:ascii="Arial" w:hAnsi="Arial"/>
                <w:sz w:val="18"/>
              </w:rPr>
              <w:t>ESRS S1</w:t>
            </w:r>
          </w:p>
        </w:tc>
        <w:tc>
          <w:tcPr>
            <w:tcW w:w="1806" w:type="dxa"/>
            <w:shd w:val="clear" w:color="auto" w:fill="F2F6FC"/>
          </w:tcPr>
          <w:p w14:paraId="2BE24C2D" w14:textId="77777777" w:rsidR="00AC41AE" w:rsidRDefault="00000000">
            <w:r>
              <w:rPr>
                <w:rFonts w:ascii="Arial" w:hAnsi="Arial"/>
                <w:sz w:val="18"/>
              </w:rPr>
              <w:t>Lampiran IV</w:t>
            </w:r>
          </w:p>
        </w:tc>
      </w:tr>
    </w:tbl>
    <w:p w14:paraId="1310782F" w14:textId="77777777" w:rsidR="00AC41AE" w:rsidRDefault="00000000">
      <w:r>
        <w:rPr>
          <w:rFonts w:ascii="Arial" w:hAnsi="Arial"/>
          <w:i/>
          <w:sz w:val="16"/>
        </w:rPr>
        <w:t>Source: Cross-reference per framework publication (GRI 2021, IFRS S2 2023, ESRS 2023, POJK 51/2017)</w:t>
      </w:r>
    </w:p>
    <w:p w14:paraId="79DF5CFE" w14:textId="77777777" w:rsidR="00AC41AE" w:rsidRDefault="00AC41AE"/>
    <w:p w14:paraId="08FF65C7" w14:textId="77777777" w:rsidR="00AC41AE" w:rsidRDefault="00000000">
      <w:r>
        <w:br w:type="page"/>
      </w:r>
    </w:p>
    <w:p w14:paraId="48F02D2D" w14:textId="77777777" w:rsidR="00AC41AE" w:rsidRDefault="00000000">
      <w:pPr>
        <w:pStyle w:val="Heading1"/>
        <w:spacing w:after="240"/>
      </w:pPr>
      <w:bookmarkStart w:id="39" w:name="_Toc232152634"/>
      <w:r>
        <w:rPr>
          <w:rFonts w:ascii="Arial" w:hAnsi="Arial"/>
          <w:color w:val="1B3A6B"/>
          <w:sz w:val="36"/>
        </w:rPr>
        <w:lastRenderedPageBreak/>
        <w:t>Appendix F: Glossary of Terms &amp; Abbreviations</w:t>
      </w:r>
      <w:bookmarkEnd w:id="39"/>
    </w:p>
    <w:p w14:paraId="410205CB" w14:textId="77777777" w:rsidR="00AC41AE" w:rsidRDefault="00000000">
      <w:r>
        <w:rPr>
          <w:rFonts w:ascii="Arial" w:hAnsi="Arial"/>
          <w:b/>
          <w:sz w:val="20"/>
        </w:rPr>
        <w:t>Table 74: Glossary</w:t>
      </w:r>
    </w:p>
    <w:tbl>
      <w:tblPr>
        <w:tblW w:w="0" w:type="auto"/>
        <w:jc w:val="center"/>
        <w:tblLook w:val="04A0" w:firstRow="1" w:lastRow="0" w:firstColumn="1" w:lastColumn="0" w:noHBand="0" w:noVBand="1"/>
      </w:tblPr>
      <w:tblGrid>
        <w:gridCol w:w="4514"/>
        <w:gridCol w:w="4514"/>
      </w:tblGrid>
      <w:tr w:rsidR="00AC41AE" w14:paraId="352E994D" w14:textId="77777777">
        <w:trPr>
          <w:jc w:val="center"/>
        </w:trPr>
        <w:tc>
          <w:tcPr>
            <w:tcW w:w="4514" w:type="dxa"/>
            <w:shd w:val="clear" w:color="auto" w:fill="1B3A6B"/>
          </w:tcPr>
          <w:p w14:paraId="05A50C8C" w14:textId="77777777" w:rsidR="00AC41AE" w:rsidRDefault="00000000">
            <w:r>
              <w:rPr>
                <w:rFonts w:ascii="Arial" w:hAnsi="Arial"/>
                <w:b/>
                <w:color w:val="FFFFFF"/>
                <w:sz w:val="18"/>
              </w:rPr>
              <w:t>Term / Abbreviation</w:t>
            </w:r>
          </w:p>
        </w:tc>
        <w:tc>
          <w:tcPr>
            <w:tcW w:w="4514" w:type="dxa"/>
            <w:shd w:val="clear" w:color="auto" w:fill="1B3A6B"/>
          </w:tcPr>
          <w:p w14:paraId="27DF1B7F" w14:textId="77777777" w:rsidR="00AC41AE" w:rsidRDefault="00000000">
            <w:r>
              <w:rPr>
                <w:rFonts w:ascii="Arial" w:hAnsi="Arial"/>
                <w:b/>
                <w:color w:val="FFFFFF"/>
                <w:sz w:val="18"/>
              </w:rPr>
              <w:t>Definition</w:t>
            </w:r>
          </w:p>
        </w:tc>
      </w:tr>
      <w:tr w:rsidR="00AC41AE" w14:paraId="5E350068" w14:textId="77777777">
        <w:trPr>
          <w:jc w:val="center"/>
        </w:trPr>
        <w:tc>
          <w:tcPr>
            <w:tcW w:w="4514" w:type="dxa"/>
          </w:tcPr>
          <w:p w14:paraId="57BBE15C" w14:textId="77777777" w:rsidR="00AC41AE" w:rsidRDefault="00000000">
            <w:r>
              <w:rPr>
                <w:rFonts w:ascii="Arial" w:hAnsi="Arial"/>
                <w:sz w:val="18"/>
              </w:rPr>
              <w:t>tCO₂e</w:t>
            </w:r>
          </w:p>
        </w:tc>
        <w:tc>
          <w:tcPr>
            <w:tcW w:w="4514" w:type="dxa"/>
          </w:tcPr>
          <w:p w14:paraId="5DC15DB6" w14:textId="77777777" w:rsidR="00AC41AE" w:rsidRDefault="00000000">
            <w:r>
              <w:rPr>
                <w:rFonts w:ascii="Arial" w:hAnsi="Arial"/>
                <w:sz w:val="18"/>
              </w:rPr>
              <w:t>Tonnes of carbon dioxide equivalent</w:t>
            </w:r>
          </w:p>
        </w:tc>
      </w:tr>
      <w:tr w:rsidR="00AC41AE" w14:paraId="09723FDB" w14:textId="77777777">
        <w:trPr>
          <w:jc w:val="center"/>
        </w:trPr>
        <w:tc>
          <w:tcPr>
            <w:tcW w:w="4514" w:type="dxa"/>
            <w:shd w:val="clear" w:color="auto" w:fill="F2F6FC"/>
          </w:tcPr>
          <w:p w14:paraId="325D8833" w14:textId="77777777" w:rsidR="00AC41AE" w:rsidRDefault="00000000">
            <w:r>
              <w:rPr>
                <w:rFonts w:ascii="Arial" w:hAnsi="Arial"/>
                <w:sz w:val="18"/>
              </w:rPr>
              <w:t>GHG</w:t>
            </w:r>
          </w:p>
        </w:tc>
        <w:tc>
          <w:tcPr>
            <w:tcW w:w="4514" w:type="dxa"/>
            <w:shd w:val="clear" w:color="auto" w:fill="F2F6FC"/>
          </w:tcPr>
          <w:p w14:paraId="493ECE04" w14:textId="77777777" w:rsidR="00AC41AE" w:rsidRDefault="00000000">
            <w:r>
              <w:rPr>
                <w:rFonts w:ascii="Arial" w:hAnsi="Arial"/>
                <w:sz w:val="18"/>
              </w:rPr>
              <w:t>Greenhouse Gas</w:t>
            </w:r>
          </w:p>
        </w:tc>
      </w:tr>
      <w:tr w:rsidR="00AC41AE" w14:paraId="1BECC898" w14:textId="77777777">
        <w:trPr>
          <w:jc w:val="center"/>
        </w:trPr>
        <w:tc>
          <w:tcPr>
            <w:tcW w:w="4514" w:type="dxa"/>
          </w:tcPr>
          <w:p w14:paraId="7F086436" w14:textId="77777777" w:rsidR="00AC41AE" w:rsidRDefault="00000000">
            <w:r>
              <w:rPr>
                <w:rFonts w:ascii="Arial" w:hAnsi="Arial"/>
                <w:sz w:val="18"/>
              </w:rPr>
              <w:t>GWP</w:t>
            </w:r>
          </w:p>
        </w:tc>
        <w:tc>
          <w:tcPr>
            <w:tcW w:w="4514" w:type="dxa"/>
          </w:tcPr>
          <w:p w14:paraId="7FF95989" w14:textId="77777777" w:rsidR="00AC41AE" w:rsidRDefault="00000000">
            <w:r>
              <w:rPr>
                <w:rFonts w:ascii="Arial" w:hAnsi="Arial"/>
                <w:sz w:val="18"/>
              </w:rPr>
              <w:t>Global Warming Potential (100-year, IPCC AR6)</w:t>
            </w:r>
          </w:p>
        </w:tc>
      </w:tr>
      <w:tr w:rsidR="00AC41AE" w14:paraId="28DC4734" w14:textId="77777777">
        <w:trPr>
          <w:jc w:val="center"/>
        </w:trPr>
        <w:tc>
          <w:tcPr>
            <w:tcW w:w="4514" w:type="dxa"/>
            <w:shd w:val="clear" w:color="auto" w:fill="F2F6FC"/>
          </w:tcPr>
          <w:p w14:paraId="65D83161" w14:textId="77777777" w:rsidR="00AC41AE" w:rsidRDefault="00000000">
            <w:r>
              <w:rPr>
                <w:rFonts w:ascii="Arial" w:hAnsi="Arial"/>
                <w:sz w:val="18"/>
              </w:rPr>
              <w:t>PCAF</w:t>
            </w:r>
          </w:p>
        </w:tc>
        <w:tc>
          <w:tcPr>
            <w:tcW w:w="4514" w:type="dxa"/>
            <w:shd w:val="clear" w:color="auto" w:fill="F2F6FC"/>
          </w:tcPr>
          <w:p w14:paraId="31EB3EFD" w14:textId="77777777" w:rsidR="00AC41AE" w:rsidRDefault="00000000">
            <w:r>
              <w:rPr>
                <w:rFonts w:ascii="Arial" w:hAnsi="Arial"/>
                <w:sz w:val="18"/>
              </w:rPr>
              <w:t>Partnership for Carbon Accounting Financials</w:t>
            </w:r>
          </w:p>
        </w:tc>
      </w:tr>
      <w:tr w:rsidR="00AC41AE" w14:paraId="15360576" w14:textId="77777777">
        <w:trPr>
          <w:jc w:val="center"/>
        </w:trPr>
        <w:tc>
          <w:tcPr>
            <w:tcW w:w="4514" w:type="dxa"/>
          </w:tcPr>
          <w:p w14:paraId="25A460D2" w14:textId="77777777" w:rsidR="00AC41AE" w:rsidRDefault="00000000">
            <w:r>
              <w:rPr>
                <w:rFonts w:ascii="Arial" w:hAnsi="Arial"/>
                <w:sz w:val="18"/>
              </w:rPr>
              <w:t>SBTi</w:t>
            </w:r>
          </w:p>
        </w:tc>
        <w:tc>
          <w:tcPr>
            <w:tcW w:w="4514" w:type="dxa"/>
          </w:tcPr>
          <w:p w14:paraId="2E232458" w14:textId="77777777" w:rsidR="00AC41AE" w:rsidRDefault="00000000">
            <w:r>
              <w:rPr>
                <w:rFonts w:ascii="Arial" w:hAnsi="Arial"/>
                <w:sz w:val="18"/>
              </w:rPr>
              <w:t>Science Based Targets initiative</w:t>
            </w:r>
          </w:p>
        </w:tc>
      </w:tr>
      <w:tr w:rsidR="00AC41AE" w14:paraId="1D40B6BF" w14:textId="77777777">
        <w:trPr>
          <w:jc w:val="center"/>
        </w:trPr>
        <w:tc>
          <w:tcPr>
            <w:tcW w:w="4514" w:type="dxa"/>
            <w:shd w:val="clear" w:color="auto" w:fill="F2F6FC"/>
          </w:tcPr>
          <w:p w14:paraId="547C29E7" w14:textId="77777777" w:rsidR="00AC41AE" w:rsidRDefault="00000000">
            <w:r>
              <w:rPr>
                <w:rFonts w:ascii="Arial" w:hAnsi="Arial"/>
                <w:sz w:val="18"/>
              </w:rPr>
              <w:t>NZBA</w:t>
            </w:r>
          </w:p>
        </w:tc>
        <w:tc>
          <w:tcPr>
            <w:tcW w:w="4514" w:type="dxa"/>
            <w:shd w:val="clear" w:color="auto" w:fill="F2F6FC"/>
          </w:tcPr>
          <w:p w14:paraId="3A6058F0" w14:textId="77777777" w:rsidR="00AC41AE" w:rsidRDefault="00000000">
            <w:r>
              <w:rPr>
                <w:rFonts w:ascii="Arial" w:hAnsi="Arial"/>
                <w:sz w:val="18"/>
              </w:rPr>
              <w:t>Net-Zero Banking Alliance</w:t>
            </w:r>
          </w:p>
        </w:tc>
      </w:tr>
      <w:tr w:rsidR="00AC41AE" w14:paraId="65872F43" w14:textId="77777777">
        <w:trPr>
          <w:jc w:val="center"/>
        </w:trPr>
        <w:tc>
          <w:tcPr>
            <w:tcW w:w="4514" w:type="dxa"/>
          </w:tcPr>
          <w:p w14:paraId="56AF82C5" w14:textId="77777777" w:rsidR="00AC41AE" w:rsidRDefault="00000000">
            <w:r>
              <w:rPr>
                <w:rFonts w:ascii="Arial" w:hAnsi="Arial"/>
                <w:sz w:val="18"/>
              </w:rPr>
              <w:t>NDC</w:t>
            </w:r>
          </w:p>
        </w:tc>
        <w:tc>
          <w:tcPr>
            <w:tcW w:w="4514" w:type="dxa"/>
          </w:tcPr>
          <w:p w14:paraId="2638A10D" w14:textId="77777777" w:rsidR="00AC41AE" w:rsidRDefault="00000000">
            <w:r>
              <w:rPr>
                <w:rFonts w:ascii="Arial" w:hAnsi="Arial"/>
                <w:sz w:val="18"/>
              </w:rPr>
              <w:t>Nationally Determined Contribution (Paris Agreement)</w:t>
            </w:r>
          </w:p>
        </w:tc>
      </w:tr>
      <w:tr w:rsidR="00AC41AE" w14:paraId="5F58343D" w14:textId="77777777">
        <w:trPr>
          <w:jc w:val="center"/>
        </w:trPr>
        <w:tc>
          <w:tcPr>
            <w:tcW w:w="4514" w:type="dxa"/>
            <w:shd w:val="clear" w:color="auto" w:fill="F2F6FC"/>
          </w:tcPr>
          <w:p w14:paraId="0E2CF862" w14:textId="77777777" w:rsidR="00AC41AE" w:rsidRDefault="00000000">
            <w:r>
              <w:rPr>
                <w:rFonts w:ascii="Arial" w:hAnsi="Arial"/>
                <w:sz w:val="18"/>
              </w:rPr>
              <w:t>RECs</w:t>
            </w:r>
          </w:p>
        </w:tc>
        <w:tc>
          <w:tcPr>
            <w:tcW w:w="4514" w:type="dxa"/>
            <w:shd w:val="clear" w:color="auto" w:fill="F2F6FC"/>
          </w:tcPr>
          <w:p w14:paraId="6E416F50" w14:textId="77777777" w:rsidR="00AC41AE" w:rsidRDefault="00000000">
            <w:r>
              <w:rPr>
                <w:rFonts w:ascii="Arial" w:hAnsi="Arial"/>
                <w:sz w:val="18"/>
              </w:rPr>
              <w:t>Renewable Energy Certificates</w:t>
            </w:r>
          </w:p>
        </w:tc>
      </w:tr>
      <w:tr w:rsidR="00AC41AE" w14:paraId="26712AFC" w14:textId="77777777">
        <w:trPr>
          <w:jc w:val="center"/>
        </w:trPr>
        <w:tc>
          <w:tcPr>
            <w:tcW w:w="4514" w:type="dxa"/>
          </w:tcPr>
          <w:p w14:paraId="55D902D1" w14:textId="77777777" w:rsidR="00AC41AE" w:rsidRDefault="00000000">
            <w:r>
              <w:rPr>
                <w:rFonts w:ascii="Arial" w:hAnsi="Arial"/>
                <w:sz w:val="18"/>
              </w:rPr>
              <w:t>PPA</w:t>
            </w:r>
          </w:p>
        </w:tc>
        <w:tc>
          <w:tcPr>
            <w:tcW w:w="4514" w:type="dxa"/>
          </w:tcPr>
          <w:p w14:paraId="014DF308" w14:textId="77777777" w:rsidR="00AC41AE" w:rsidRDefault="00000000">
            <w:r>
              <w:rPr>
                <w:rFonts w:ascii="Arial" w:hAnsi="Arial"/>
                <w:sz w:val="18"/>
              </w:rPr>
              <w:t>Power Purchase Agreement</w:t>
            </w:r>
          </w:p>
        </w:tc>
      </w:tr>
      <w:tr w:rsidR="00AC41AE" w14:paraId="19CCE437" w14:textId="77777777">
        <w:trPr>
          <w:jc w:val="center"/>
        </w:trPr>
        <w:tc>
          <w:tcPr>
            <w:tcW w:w="4514" w:type="dxa"/>
            <w:shd w:val="clear" w:color="auto" w:fill="F2F6FC"/>
          </w:tcPr>
          <w:p w14:paraId="5E8ADE69" w14:textId="77777777" w:rsidR="00AC41AE" w:rsidRDefault="00000000">
            <w:r>
              <w:rPr>
                <w:rFonts w:ascii="Arial" w:hAnsi="Arial"/>
                <w:sz w:val="18"/>
              </w:rPr>
              <w:t>EF</w:t>
            </w:r>
          </w:p>
        </w:tc>
        <w:tc>
          <w:tcPr>
            <w:tcW w:w="4514" w:type="dxa"/>
            <w:shd w:val="clear" w:color="auto" w:fill="F2F6FC"/>
          </w:tcPr>
          <w:p w14:paraId="108357D3" w14:textId="77777777" w:rsidR="00AC41AE" w:rsidRDefault="00000000">
            <w:r>
              <w:rPr>
                <w:rFonts w:ascii="Arial" w:hAnsi="Arial"/>
                <w:sz w:val="18"/>
              </w:rPr>
              <w:t>Emission Factor</w:t>
            </w:r>
          </w:p>
        </w:tc>
      </w:tr>
      <w:tr w:rsidR="00AC41AE" w14:paraId="66295D1D" w14:textId="77777777">
        <w:trPr>
          <w:jc w:val="center"/>
        </w:trPr>
        <w:tc>
          <w:tcPr>
            <w:tcW w:w="4514" w:type="dxa"/>
          </w:tcPr>
          <w:p w14:paraId="645BCC0C" w14:textId="77777777" w:rsidR="00AC41AE" w:rsidRDefault="00000000">
            <w:r>
              <w:rPr>
                <w:rFonts w:ascii="Arial" w:hAnsi="Arial"/>
                <w:sz w:val="18"/>
              </w:rPr>
              <w:t>FTE</w:t>
            </w:r>
          </w:p>
        </w:tc>
        <w:tc>
          <w:tcPr>
            <w:tcW w:w="4514" w:type="dxa"/>
          </w:tcPr>
          <w:p w14:paraId="30AFDFCC" w14:textId="77777777" w:rsidR="00AC41AE" w:rsidRDefault="00000000">
            <w:r>
              <w:rPr>
                <w:rFonts w:ascii="Arial" w:hAnsi="Arial"/>
                <w:sz w:val="18"/>
              </w:rPr>
              <w:t>Full-Time Equivalent (headcount)</w:t>
            </w:r>
          </w:p>
        </w:tc>
      </w:tr>
      <w:tr w:rsidR="00AC41AE" w14:paraId="7900AE16" w14:textId="77777777">
        <w:trPr>
          <w:jc w:val="center"/>
        </w:trPr>
        <w:tc>
          <w:tcPr>
            <w:tcW w:w="4514" w:type="dxa"/>
            <w:shd w:val="clear" w:color="auto" w:fill="F2F6FC"/>
          </w:tcPr>
          <w:p w14:paraId="5BE610BA" w14:textId="77777777" w:rsidR="00AC41AE" w:rsidRDefault="00000000">
            <w:r>
              <w:rPr>
                <w:rFonts w:ascii="Arial" w:hAnsi="Arial"/>
                <w:sz w:val="18"/>
              </w:rPr>
              <w:t>YoY</w:t>
            </w:r>
          </w:p>
        </w:tc>
        <w:tc>
          <w:tcPr>
            <w:tcW w:w="4514" w:type="dxa"/>
            <w:shd w:val="clear" w:color="auto" w:fill="F2F6FC"/>
          </w:tcPr>
          <w:p w14:paraId="241C9EB1" w14:textId="77777777" w:rsidR="00AC41AE" w:rsidRDefault="00000000">
            <w:r>
              <w:rPr>
                <w:rFonts w:ascii="Arial" w:hAnsi="Arial"/>
                <w:sz w:val="18"/>
              </w:rPr>
              <w:t>Year-over-Year</w:t>
            </w:r>
          </w:p>
        </w:tc>
      </w:tr>
      <w:tr w:rsidR="00AC41AE" w14:paraId="2AFB8916" w14:textId="77777777">
        <w:trPr>
          <w:jc w:val="center"/>
        </w:trPr>
        <w:tc>
          <w:tcPr>
            <w:tcW w:w="4514" w:type="dxa"/>
          </w:tcPr>
          <w:p w14:paraId="2A236E44" w14:textId="77777777" w:rsidR="00AC41AE" w:rsidRDefault="00000000">
            <w:r>
              <w:rPr>
                <w:rFonts w:ascii="Arial" w:hAnsi="Arial"/>
                <w:sz w:val="18"/>
              </w:rPr>
              <w:t>EEIO</w:t>
            </w:r>
          </w:p>
        </w:tc>
        <w:tc>
          <w:tcPr>
            <w:tcW w:w="4514" w:type="dxa"/>
          </w:tcPr>
          <w:p w14:paraId="2C49EC50" w14:textId="77777777" w:rsidR="00AC41AE" w:rsidRDefault="00000000">
            <w:r>
              <w:rPr>
                <w:rFonts w:ascii="Arial" w:hAnsi="Arial"/>
                <w:sz w:val="18"/>
              </w:rPr>
              <w:t>Environmentally Extended Input-Output (model)</w:t>
            </w:r>
          </w:p>
        </w:tc>
      </w:tr>
      <w:tr w:rsidR="00AC41AE" w14:paraId="7033878C" w14:textId="77777777">
        <w:trPr>
          <w:jc w:val="center"/>
        </w:trPr>
        <w:tc>
          <w:tcPr>
            <w:tcW w:w="4514" w:type="dxa"/>
            <w:shd w:val="clear" w:color="auto" w:fill="F2F6FC"/>
          </w:tcPr>
          <w:p w14:paraId="0EC6EA89" w14:textId="77777777" w:rsidR="00AC41AE" w:rsidRDefault="00000000">
            <w:r>
              <w:rPr>
                <w:rFonts w:ascii="Arial" w:hAnsi="Arial"/>
                <w:sz w:val="18"/>
              </w:rPr>
              <w:t>GRI</w:t>
            </w:r>
          </w:p>
        </w:tc>
        <w:tc>
          <w:tcPr>
            <w:tcW w:w="4514" w:type="dxa"/>
            <w:shd w:val="clear" w:color="auto" w:fill="F2F6FC"/>
          </w:tcPr>
          <w:p w14:paraId="00203F93" w14:textId="77777777" w:rsidR="00AC41AE" w:rsidRDefault="00000000">
            <w:r>
              <w:rPr>
                <w:rFonts w:ascii="Arial" w:hAnsi="Arial"/>
                <w:sz w:val="18"/>
              </w:rPr>
              <w:t>Global Reporting Initiative</w:t>
            </w:r>
          </w:p>
        </w:tc>
      </w:tr>
      <w:tr w:rsidR="00AC41AE" w14:paraId="324CA3BE" w14:textId="77777777">
        <w:trPr>
          <w:jc w:val="center"/>
        </w:trPr>
        <w:tc>
          <w:tcPr>
            <w:tcW w:w="4514" w:type="dxa"/>
          </w:tcPr>
          <w:p w14:paraId="03E3F8F4" w14:textId="77777777" w:rsidR="00AC41AE" w:rsidRDefault="00000000">
            <w:r>
              <w:rPr>
                <w:rFonts w:ascii="Arial" w:hAnsi="Arial"/>
                <w:sz w:val="18"/>
              </w:rPr>
              <w:t>IFRS S2</w:t>
            </w:r>
          </w:p>
        </w:tc>
        <w:tc>
          <w:tcPr>
            <w:tcW w:w="4514" w:type="dxa"/>
          </w:tcPr>
          <w:p w14:paraId="5BD26A80" w14:textId="77777777" w:rsidR="00AC41AE" w:rsidRDefault="00000000">
            <w:r>
              <w:rPr>
                <w:rFonts w:ascii="Arial" w:hAnsi="Arial"/>
                <w:sz w:val="18"/>
              </w:rPr>
              <w:t>IFRS Sustainability Disclosure Standard S2 (Climate)</w:t>
            </w:r>
          </w:p>
        </w:tc>
      </w:tr>
      <w:tr w:rsidR="00AC41AE" w14:paraId="15831C0A" w14:textId="77777777">
        <w:trPr>
          <w:jc w:val="center"/>
        </w:trPr>
        <w:tc>
          <w:tcPr>
            <w:tcW w:w="4514" w:type="dxa"/>
            <w:shd w:val="clear" w:color="auto" w:fill="F2F6FC"/>
          </w:tcPr>
          <w:p w14:paraId="41327170" w14:textId="77777777" w:rsidR="00AC41AE" w:rsidRDefault="00000000">
            <w:r>
              <w:rPr>
                <w:rFonts w:ascii="Arial" w:hAnsi="Arial"/>
                <w:sz w:val="18"/>
              </w:rPr>
              <w:t>ESRS E1</w:t>
            </w:r>
          </w:p>
        </w:tc>
        <w:tc>
          <w:tcPr>
            <w:tcW w:w="4514" w:type="dxa"/>
            <w:shd w:val="clear" w:color="auto" w:fill="F2F6FC"/>
          </w:tcPr>
          <w:p w14:paraId="47369F1E" w14:textId="77777777" w:rsidR="00AC41AE" w:rsidRDefault="00000000">
            <w:r>
              <w:rPr>
                <w:rFonts w:ascii="Arial" w:hAnsi="Arial"/>
                <w:sz w:val="18"/>
              </w:rPr>
              <w:t>European Sustainability Reporting Standard E1 (Climate Change)</w:t>
            </w:r>
          </w:p>
        </w:tc>
      </w:tr>
      <w:tr w:rsidR="00AC41AE" w14:paraId="7560AF1A" w14:textId="77777777">
        <w:trPr>
          <w:jc w:val="center"/>
        </w:trPr>
        <w:tc>
          <w:tcPr>
            <w:tcW w:w="4514" w:type="dxa"/>
          </w:tcPr>
          <w:p w14:paraId="61D772D0" w14:textId="77777777" w:rsidR="00AC41AE" w:rsidRDefault="00000000">
            <w:r>
              <w:rPr>
                <w:rFonts w:ascii="Arial" w:hAnsi="Arial"/>
                <w:sz w:val="18"/>
              </w:rPr>
              <w:t>CSRD</w:t>
            </w:r>
          </w:p>
        </w:tc>
        <w:tc>
          <w:tcPr>
            <w:tcW w:w="4514" w:type="dxa"/>
          </w:tcPr>
          <w:p w14:paraId="215C84D5" w14:textId="77777777" w:rsidR="00AC41AE" w:rsidRDefault="00000000">
            <w:r>
              <w:rPr>
                <w:rFonts w:ascii="Arial" w:hAnsi="Arial"/>
                <w:sz w:val="18"/>
              </w:rPr>
              <w:t>Corporate Sustainability Reporting Directive (EU)</w:t>
            </w:r>
          </w:p>
        </w:tc>
      </w:tr>
      <w:tr w:rsidR="00AC41AE" w14:paraId="3DB12E31" w14:textId="77777777">
        <w:trPr>
          <w:jc w:val="center"/>
        </w:trPr>
        <w:tc>
          <w:tcPr>
            <w:tcW w:w="4514" w:type="dxa"/>
            <w:shd w:val="clear" w:color="auto" w:fill="F2F6FC"/>
          </w:tcPr>
          <w:p w14:paraId="192A5C7A" w14:textId="77777777" w:rsidR="00AC41AE" w:rsidRDefault="00000000">
            <w:r>
              <w:rPr>
                <w:rFonts w:ascii="Arial" w:hAnsi="Arial"/>
                <w:sz w:val="18"/>
              </w:rPr>
              <w:t>OJK</w:t>
            </w:r>
          </w:p>
        </w:tc>
        <w:tc>
          <w:tcPr>
            <w:tcW w:w="4514" w:type="dxa"/>
            <w:shd w:val="clear" w:color="auto" w:fill="F2F6FC"/>
          </w:tcPr>
          <w:p w14:paraId="092A7AAF" w14:textId="77777777" w:rsidR="00AC41AE" w:rsidRDefault="00000000">
            <w:r>
              <w:rPr>
                <w:rFonts w:ascii="Arial" w:hAnsi="Arial"/>
                <w:sz w:val="18"/>
              </w:rPr>
              <w:t>Otoritas Jasa Keuangan (Financial Services Authority, Indonesia)</w:t>
            </w:r>
          </w:p>
        </w:tc>
      </w:tr>
      <w:tr w:rsidR="00AC41AE" w14:paraId="318A213C" w14:textId="77777777">
        <w:trPr>
          <w:jc w:val="center"/>
        </w:trPr>
        <w:tc>
          <w:tcPr>
            <w:tcW w:w="4514" w:type="dxa"/>
          </w:tcPr>
          <w:p w14:paraId="5145E47E" w14:textId="77777777" w:rsidR="00AC41AE" w:rsidRDefault="00000000">
            <w:r>
              <w:rPr>
                <w:rFonts w:ascii="Arial" w:hAnsi="Arial"/>
                <w:sz w:val="18"/>
              </w:rPr>
              <w:t>POJK</w:t>
            </w:r>
          </w:p>
        </w:tc>
        <w:tc>
          <w:tcPr>
            <w:tcW w:w="4514" w:type="dxa"/>
          </w:tcPr>
          <w:p w14:paraId="015B95B0" w14:textId="77777777" w:rsidR="00AC41AE" w:rsidRDefault="00000000">
            <w:r>
              <w:rPr>
                <w:rFonts w:ascii="Arial" w:hAnsi="Arial"/>
                <w:sz w:val="18"/>
              </w:rPr>
              <w:t>Peraturan Otoritas Jasa Keuangan (OJK Regulation)</w:t>
            </w:r>
          </w:p>
        </w:tc>
      </w:tr>
      <w:tr w:rsidR="00AC41AE" w14:paraId="279A19EA" w14:textId="77777777">
        <w:trPr>
          <w:jc w:val="center"/>
        </w:trPr>
        <w:tc>
          <w:tcPr>
            <w:tcW w:w="4514" w:type="dxa"/>
            <w:shd w:val="clear" w:color="auto" w:fill="F2F6FC"/>
          </w:tcPr>
          <w:p w14:paraId="1B29B94A" w14:textId="77777777" w:rsidR="00AC41AE" w:rsidRDefault="00000000">
            <w:r>
              <w:rPr>
                <w:rFonts w:ascii="Arial" w:hAnsi="Arial"/>
                <w:sz w:val="18"/>
              </w:rPr>
              <w:t>PSPK</w:t>
            </w:r>
          </w:p>
        </w:tc>
        <w:tc>
          <w:tcPr>
            <w:tcW w:w="4514" w:type="dxa"/>
            <w:shd w:val="clear" w:color="auto" w:fill="F2F6FC"/>
          </w:tcPr>
          <w:p w14:paraId="2AB61D98" w14:textId="77777777" w:rsidR="00AC41AE" w:rsidRDefault="00000000">
            <w:r>
              <w:rPr>
                <w:rFonts w:ascii="Arial" w:hAnsi="Arial"/>
                <w:sz w:val="18"/>
              </w:rPr>
              <w:t>Penerapan Keuangan Berkelanjutan (Sustainable Finance Implementation)</w:t>
            </w:r>
          </w:p>
        </w:tc>
      </w:tr>
      <w:tr w:rsidR="00AC41AE" w14:paraId="64AB4228" w14:textId="77777777">
        <w:trPr>
          <w:jc w:val="center"/>
        </w:trPr>
        <w:tc>
          <w:tcPr>
            <w:tcW w:w="4514" w:type="dxa"/>
          </w:tcPr>
          <w:p w14:paraId="5DE0DEFD" w14:textId="77777777" w:rsidR="00AC41AE" w:rsidRDefault="00000000">
            <w:r>
              <w:rPr>
                <w:rFonts w:ascii="Arial" w:hAnsi="Arial"/>
                <w:sz w:val="18"/>
              </w:rPr>
              <w:t>PLN</w:t>
            </w:r>
          </w:p>
        </w:tc>
        <w:tc>
          <w:tcPr>
            <w:tcW w:w="4514" w:type="dxa"/>
          </w:tcPr>
          <w:p w14:paraId="16D78237" w14:textId="77777777" w:rsidR="00AC41AE" w:rsidRDefault="00000000">
            <w:r>
              <w:rPr>
                <w:rFonts w:ascii="Arial" w:hAnsi="Arial"/>
                <w:sz w:val="18"/>
              </w:rPr>
              <w:t>Perusahaan Listrik Negara (State Electricity Company, Indonesia)</w:t>
            </w:r>
          </w:p>
        </w:tc>
      </w:tr>
      <w:tr w:rsidR="00AC41AE" w14:paraId="3C3A6A53" w14:textId="77777777">
        <w:trPr>
          <w:jc w:val="center"/>
        </w:trPr>
        <w:tc>
          <w:tcPr>
            <w:tcW w:w="4514" w:type="dxa"/>
            <w:shd w:val="clear" w:color="auto" w:fill="F2F6FC"/>
          </w:tcPr>
          <w:p w14:paraId="1915F1FE" w14:textId="77777777" w:rsidR="00AC41AE" w:rsidRDefault="00000000">
            <w:r>
              <w:rPr>
                <w:rFonts w:ascii="Arial" w:hAnsi="Arial"/>
                <w:sz w:val="18"/>
              </w:rPr>
              <w:t>DJK-ESDM</w:t>
            </w:r>
          </w:p>
        </w:tc>
        <w:tc>
          <w:tcPr>
            <w:tcW w:w="4514" w:type="dxa"/>
            <w:shd w:val="clear" w:color="auto" w:fill="F2F6FC"/>
          </w:tcPr>
          <w:p w14:paraId="79F1619B" w14:textId="77777777" w:rsidR="00AC41AE" w:rsidRDefault="00000000">
            <w:r>
              <w:rPr>
                <w:rFonts w:ascii="Arial" w:hAnsi="Arial"/>
                <w:sz w:val="18"/>
              </w:rPr>
              <w:t>Directorate General of Electricity, Ministry of Energy</w:t>
            </w:r>
          </w:p>
        </w:tc>
      </w:tr>
    </w:tbl>
    <w:p w14:paraId="280DC51A" w14:textId="77777777" w:rsidR="00AC41AE" w:rsidRDefault="00000000">
      <w:r>
        <w:rPr>
          <w:rFonts w:ascii="Arial" w:hAnsi="Arial"/>
          <w:i/>
          <w:sz w:val="16"/>
        </w:rPr>
        <w:t>Source: Compiled from GHG Protocol, PCAF Standard, and regulatory publications</w:t>
      </w:r>
    </w:p>
    <w:p w14:paraId="334F2CD8" w14:textId="77777777" w:rsidR="00AC41AE" w:rsidRDefault="00AC41AE"/>
    <w:sectPr w:rsidR="00AC41AE" w:rsidSect="00034616">
      <w:headerReference w:type="default" r:id="rId41"/>
      <w:footerReference w:type="default" r:id="rId42"/>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02D65" w14:textId="77777777" w:rsidR="00172AED" w:rsidRDefault="00172AED">
      <w:pPr>
        <w:spacing w:after="0" w:line="240" w:lineRule="auto"/>
      </w:pPr>
      <w:r>
        <w:separator/>
      </w:r>
    </w:p>
  </w:endnote>
  <w:endnote w:type="continuationSeparator" w:id="0">
    <w:p w14:paraId="350030EF" w14:textId="77777777" w:rsidR="00172AED" w:rsidRDefault="00172A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93C38" w14:textId="5D65AF38" w:rsidR="00AC41AE" w:rsidRDefault="00000000">
    <w:pPr>
      <w:pStyle w:val="Footer"/>
    </w:pPr>
    <w:r>
      <w:rPr>
        <w:rFonts w:ascii="Arial" w:hAnsi="Arial"/>
        <w:color w:val="808080"/>
        <w:sz w:val="18"/>
      </w:rPr>
      <w:t>ESG Report MULTI_FRAMEWORK 2024</w:t>
    </w:r>
    <w:r>
      <w:tab/>
    </w:r>
    <w:r>
      <w:tab/>
    </w:r>
    <w:r>
      <w:rPr>
        <w:color w:val="808080"/>
        <w:sz w:val="18"/>
      </w:rPr>
      <w:t xml:space="preserve">Page </w:t>
    </w:r>
    <w:r>
      <w:rPr>
        <w:color w:val="808080"/>
        <w:sz w:val="18"/>
      </w:rPr>
      <w:fldChar w:fldCharType="begin"/>
    </w:r>
    <w:r>
      <w:rPr>
        <w:color w:val="808080"/>
        <w:sz w:val="18"/>
      </w:rPr>
      <w:instrText xml:space="preserve"> PAGE </w:instrText>
    </w:r>
    <w:r w:rsidR="00174992">
      <w:rPr>
        <w:color w:val="808080"/>
        <w:sz w:val="18"/>
      </w:rPr>
      <w:fldChar w:fldCharType="separate"/>
    </w:r>
    <w:r w:rsidR="00174992">
      <w:rPr>
        <w:noProof/>
        <w:color w:val="808080"/>
        <w:sz w:val="18"/>
      </w:rPr>
      <w:t>2</w:t>
    </w:r>
    <w:r>
      <w:rPr>
        <w:color w:val="808080"/>
        <w:sz w:val="18"/>
      </w:rPr>
      <w:fldChar w:fldCharType="end"/>
    </w:r>
    <w:r>
      <w:rPr>
        <w:color w:val="808080"/>
        <w:sz w:val="18"/>
      </w:rPr>
      <w:t xml:space="preserve"> of </w:t>
    </w:r>
    <w:r>
      <w:rPr>
        <w:color w:val="808080"/>
        <w:sz w:val="18"/>
      </w:rPr>
      <w:fldChar w:fldCharType="begin"/>
    </w:r>
    <w:r>
      <w:rPr>
        <w:color w:val="808080"/>
        <w:sz w:val="18"/>
      </w:rPr>
      <w:instrText xml:space="preserve"> NUMPAGES </w:instrText>
    </w:r>
    <w:r w:rsidR="00174992">
      <w:rPr>
        <w:color w:val="808080"/>
        <w:sz w:val="18"/>
      </w:rPr>
      <w:fldChar w:fldCharType="separate"/>
    </w:r>
    <w:r w:rsidR="00174992">
      <w:rPr>
        <w:noProof/>
        <w:color w:val="808080"/>
        <w:sz w:val="18"/>
      </w:rPr>
      <w:t>3</w:t>
    </w:r>
    <w:r>
      <w:rPr>
        <w:color w:val="80808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07095" w14:textId="77777777" w:rsidR="00172AED" w:rsidRDefault="00172AED">
      <w:pPr>
        <w:spacing w:after="0" w:line="240" w:lineRule="auto"/>
      </w:pPr>
      <w:r>
        <w:separator/>
      </w:r>
    </w:p>
  </w:footnote>
  <w:footnote w:type="continuationSeparator" w:id="0">
    <w:p w14:paraId="112B5FD7" w14:textId="77777777" w:rsidR="00172AED" w:rsidRDefault="00172A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D7A5D6" w14:textId="77777777" w:rsidR="00AC41AE" w:rsidRDefault="00000000">
    <w:pPr>
      <w:pStyle w:val="Header"/>
      <w:jc w:val="right"/>
    </w:pPr>
    <w:r>
      <w:rPr>
        <w:rFonts w:ascii="Arial" w:hAnsi="Arial"/>
        <w:sz w:val="18"/>
      </w:rPr>
      <w:t>GENERIC_FI_001 | Reporting Year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3263896">
    <w:abstractNumId w:val="8"/>
  </w:num>
  <w:num w:numId="2" w16cid:durableId="880897726">
    <w:abstractNumId w:val="6"/>
  </w:num>
  <w:num w:numId="3" w16cid:durableId="2040885342">
    <w:abstractNumId w:val="5"/>
  </w:num>
  <w:num w:numId="4" w16cid:durableId="1777017051">
    <w:abstractNumId w:val="4"/>
  </w:num>
  <w:num w:numId="5" w16cid:durableId="1229343255">
    <w:abstractNumId w:val="7"/>
  </w:num>
  <w:num w:numId="6" w16cid:durableId="737896395">
    <w:abstractNumId w:val="3"/>
  </w:num>
  <w:num w:numId="7" w16cid:durableId="2003510312">
    <w:abstractNumId w:val="2"/>
  </w:num>
  <w:num w:numId="8" w16cid:durableId="793254104">
    <w:abstractNumId w:val="1"/>
  </w:num>
  <w:num w:numId="9" w16cid:durableId="2101364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AED"/>
    <w:rsid w:val="00174992"/>
    <w:rsid w:val="0029639D"/>
    <w:rsid w:val="00300B84"/>
    <w:rsid w:val="00326F90"/>
    <w:rsid w:val="00AA1D8D"/>
    <w:rsid w:val="00AC41A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75DCFD3-7311-436F-B208-985633C97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74992"/>
    <w:pPr>
      <w:spacing w:after="100"/>
    </w:pPr>
  </w:style>
  <w:style w:type="paragraph" w:styleId="TOC2">
    <w:name w:val="toc 2"/>
    <w:basedOn w:val="Normal"/>
    <w:next w:val="Normal"/>
    <w:autoRedefine/>
    <w:uiPriority w:val="39"/>
    <w:unhideWhenUsed/>
    <w:rsid w:val="00174992"/>
    <w:pPr>
      <w:spacing w:after="100"/>
      <w:ind w:left="220"/>
    </w:pPr>
  </w:style>
  <w:style w:type="paragraph" w:styleId="TOC3">
    <w:name w:val="toc 3"/>
    <w:basedOn w:val="Normal"/>
    <w:next w:val="Normal"/>
    <w:autoRedefine/>
    <w:uiPriority w:val="39"/>
    <w:unhideWhenUsed/>
    <w:rsid w:val="00174992"/>
    <w:pPr>
      <w:spacing w:after="100"/>
      <w:ind w:left="440"/>
    </w:pPr>
  </w:style>
  <w:style w:type="character" w:styleId="Hyperlink">
    <w:name w:val="Hyperlink"/>
    <w:basedOn w:val="DefaultParagraphFont"/>
    <w:uiPriority w:val="99"/>
    <w:unhideWhenUsed/>
    <w:rsid w:val="0017499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86</Pages>
  <Words>23623</Words>
  <Characters>134654</Characters>
  <Application>Microsoft Office Word</Application>
  <DocSecurity>0</DocSecurity>
  <Lines>1122</Lines>
  <Paragraphs>315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ESG Sustainability Report 2024 - MULTI_FRAMEWORK</dc:title>
  <dc:subject>GHG Emissions Disclosure - MULTI_FRAMEWORK</dc:subject>
  <dc:creator>ESG Reporting System (GENERIC_FI_001)</dc:creator>
  <cp:keywords>ESG, GHG, MULTI_FRAMEWORK, 2024, PCAF, Scope1, Scope2, Scope3</cp:keywords>
  <dc:description>Generated by execution: arn:aws:states:us-east-1:061039769766:execution:ESGReportGenerationStateMachine:1af3384b-6878-4fff-bdb2-5d3f74daf84a</dc:description>
  <cp:lastModifiedBy>Raditya Rahardyansyah Rifat</cp:lastModifiedBy>
  <cp:revision>2</cp:revision>
  <dcterms:created xsi:type="dcterms:W3CDTF">2013-12-23T23:15:00Z</dcterms:created>
  <dcterms:modified xsi:type="dcterms:W3CDTF">2026-06-12T03:30:00Z</dcterms:modified>
  <cp:category>ESG Sustainability Report</cp:category>
</cp:coreProperties>
</file>